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D9F2D0" w:themeColor="accent6" w:themeTint="33"/>
  <w:body>
    <w:p>
      <w:pPr>
        <w:spacing w:line="560" w:lineRule="exact"/>
        <w:ind w:left="0" w:leftChars="-50" w:hanging="140" w:hangingChars="35"/>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bookmarkStart w:id="77" w:name="_GoBack"/>
      <w:bookmarkEnd w:id="77"/>
    </w:p>
    <w:p>
      <w:pPr>
        <w:spacing w:line="560" w:lineRule="exact"/>
        <w:ind w:left="0" w:leftChars="-50" w:hanging="140" w:hangingChars="35"/>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spacing w:line="560" w:lineRule="exact"/>
        <w:ind w:left="0" w:leftChars="-50" w:hanging="140" w:hangingChars="35"/>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spacing w:line="560" w:lineRule="exact"/>
        <w:ind w:left="0" w:leftChars="-50" w:hanging="140" w:hangingChars="35"/>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t>新疆维吾尔自治区水利工程建设项目勘察设计招标评标方法和标准</w:t>
      </w:r>
    </w:p>
    <w:p>
      <w:pPr>
        <w:pStyle w:val="18"/>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t>（征求意见稿）</w:t>
      </w: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cs="Times New Roman"/>
          <w:b/>
          <w:bCs/>
          <w:color w:val="000000" w:themeColor="text1"/>
          <w:sz w:val="40"/>
          <w:szCs w:val="40"/>
          <w:highlight w:val="none"/>
          <w:u w:val="none"/>
          <w14:textFill>
            <w14:solidFill>
              <w14:schemeClr w14:val="tx1"/>
            </w14:solidFill>
          </w14:textFill>
        </w:rPr>
      </w:pPr>
    </w:p>
    <w:p>
      <w:pPr>
        <w:pStyle w:val="18"/>
        <w:widowControl/>
        <w:spacing w:line="360" w:lineRule="auto"/>
        <w:jc w:val="center"/>
        <w:rPr>
          <w:rFonts w:hint="default" w:ascii="Times New Roman" w:hAnsi="Times New Roman" w:eastAsia="黑体" w:cs="Times New Roman"/>
          <w:b w:val="0"/>
          <w:bCs w:val="0"/>
          <w:color w:val="000000" w:themeColor="text1"/>
          <w:sz w:val="40"/>
          <w:szCs w:val="40"/>
          <w:highlight w:val="none"/>
          <w:u w:val="none"/>
          <w:lang w:eastAsia="zh-CN"/>
          <w14:textFill>
            <w14:solidFill>
              <w14:schemeClr w14:val="tx1"/>
            </w14:solidFill>
          </w14:textFill>
        </w:rPr>
      </w:pPr>
      <w:r>
        <w:rPr>
          <w:rFonts w:hint="default" w:ascii="Times New Roman" w:hAnsi="Times New Roman" w:eastAsia="黑体" w:cs="Times New Roman"/>
          <w:b w:val="0"/>
          <w:bCs w:val="0"/>
          <w:color w:val="000000" w:themeColor="text1"/>
          <w:sz w:val="40"/>
          <w:szCs w:val="40"/>
          <w:highlight w:val="none"/>
          <w:u w:val="none"/>
          <w:lang w:eastAsia="zh-CN"/>
          <w14:textFill>
            <w14:solidFill>
              <w14:schemeClr w14:val="tx1"/>
            </w14:solidFill>
          </w14:textFill>
        </w:rPr>
        <w:t>新</w:t>
      </w:r>
      <w:r>
        <w:rPr>
          <w:rFonts w:hint="default" w:ascii="Times New Roman" w:hAnsi="Times New Roman" w:eastAsia="黑体" w:cs="Times New Roman"/>
          <w:b w:val="0"/>
          <w:bCs w:val="0"/>
          <w:color w:val="000000" w:themeColor="text1"/>
          <w:sz w:val="40"/>
          <w:szCs w:val="40"/>
          <w:highlight w:val="none"/>
          <w:u w:val="none"/>
          <w:lang w:eastAsia="zh-CN"/>
          <w14:textFill>
            <w14:solidFill>
              <w14:schemeClr w14:val="tx1"/>
            </w14:solidFill>
          </w14:textFill>
        </w:rPr>
        <w:t>疆维吾尔自治区水利厅</w:t>
      </w:r>
    </w:p>
    <w:p>
      <w:pPr>
        <w:pStyle w:val="18"/>
        <w:widowControl/>
        <w:spacing w:line="360" w:lineRule="auto"/>
        <w:jc w:val="center"/>
        <w:rPr>
          <w:rFonts w:hint="default" w:ascii="Times New Roman" w:hAnsi="Times New Roman" w:eastAsia="黑体" w:cs="Times New Roman"/>
          <w:b w:val="0"/>
          <w:bCs w:val="0"/>
          <w:color w:val="000000" w:themeColor="text1"/>
          <w:sz w:val="40"/>
          <w:szCs w:val="40"/>
          <w:highlight w:val="none"/>
          <w:u w:val="none"/>
          <w14:textFill>
            <w14:solidFill>
              <w14:schemeClr w14:val="tx1"/>
            </w14:solidFill>
          </w14:textFill>
        </w:rPr>
      </w:pPr>
      <w:r>
        <w:rPr>
          <w:rFonts w:hint="default" w:ascii="Times New Roman" w:hAnsi="Times New Roman" w:eastAsia="黑体" w:cs="Times New Roman"/>
          <w:b w:val="0"/>
          <w:bCs w:val="0"/>
          <w:color w:val="000000" w:themeColor="text1"/>
          <w:sz w:val="40"/>
          <w:szCs w:val="40"/>
          <w:highlight w:val="none"/>
          <w:u w:val="none"/>
          <w14:textFill>
            <w14:solidFill>
              <w14:schemeClr w14:val="tx1"/>
            </w14:solidFill>
          </w14:textFill>
        </w:rPr>
        <w:t>202</w:t>
      </w:r>
      <w:r>
        <w:rPr>
          <w:rFonts w:hint="default" w:ascii="Times New Roman" w:hAnsi="Times New Roman" w:eastAsia="黑体" w:cs="Times New Roman"/>
          <w:b w:val="0"/>
          <w:bCs w:val="0"/>
          <w:color w:val="000000" w:themeColor="text1"/>
          <w:sz w:val="40"/>
          <w:szCs w:val="40"/>
          <w:highlight w:val="none"/>
          <w:u w:val="none"/>
          <w:lang w:val="en-US" w:eastAsia="zh-CN"/>
          <w14:textFill>
            <w14:solidFill>
              <w14:schemeClr w14:val="tx1"/>
            </w14:solidFill>
          </w14:textFill>
        </w:rPr>
        <w:t>6</w:t>
      </w:r>
      <w:r>
        <w:rPr>
          <w:rFonts w:hint="default" w:ascii="Times New Roman" w:hAnsi="Times New Roman" w:eastAsia="黑体" w:cs="Times New Roman"/>
          <w:b w:val="0"/>
          <w:bCs w:val="0"/>
          <w:color w:val="000000" w:themeColor="text1"/>
          <w:sz w:val="40"/>
          <w:szCs w:val="40"/>
          <w:highlight w:val="none"/>
          <w:u w:val="none"/>
          <w14:textFill>
            <w14:solidFill>
              <w14:schemeClr w14:val="tx1"/>
            </w14:solidFill>
          </w14:textFill>
        </w:rPr>
        <w:t>年</w:t>
      </w:r>
      <w:r>
        <w:rPr>
          <w:rFonts w:hint="default" w:ascii="Times New Roman" w:hAnsi="Times New Roman" w:eastAsia="黑体" w:cs="Times New Roman"/>
          <w:b w:val="0"/>
          <w:bCs w:val="0"/>
          <w:color w:val="000000" w:themeColor="text1"/>
          <w:sz w:val="40"/>
          <w:szCs w:val="40"/>
          <w:highlight w:val="none"/>
          <w:u w:val="none"/>
          <w:lang w:val="en-US" w:eastAsia="zh-CN"/>
          <w14:textFill>
            <w14:solidFill>
              <w14:schemeClr w14:val="tx1"/>
            </w14:solidFill>
          </w14:textFill>
        </w:rPr>
        <w:t>2</w:t>
      </w:r>
      <w:r>
        <w:rPr>
          <w:rFonts w:hint="default" w:ascii="Times New Roman" w:hAnsi="Times New Roman" w:eastAsia="黑体" w:cs="Times New Roman"/>
          <w:b w:val="0"/>
          <w:bCs w:val="0"/>
          <w:color w:val="000000" w:themeColor="text1"/>
          <w:sz w:val="40"/>
          <w:szCs w:val="40"/>
          <w:highlight w:val="none"/>
          <w:u w:val="none"/>
          <w14:textFill>
            <w14:solidFill>
              <w14:schemeClr w14:val="tx1"/>
            </w14:solidFill>
          </w14:textFill>
        </w:rPr>
        <w:t>月</w:t>
      </w:r>
    </w:p>
    <w:p>
      <w:pPr>
        <w:widowControl/>
        <w:jc w:val="left"/>
        <w:rPr>
          <w:rFonts w:hint="default" w:ascii="Times New Roman" w:hAnsi="Times New Roman" w:cs="Times New Roman"/>
          <w:b/>
          <w:bCs/>
          <w:color w:val="000000" w:themeColor="text1"/>
          <w:sz w:val="40"/>
          <w:szCs w:val="40"/>
          <w:highlight w:val="none"/>
          <w:u w:val="none"/>
          <w14:textFill>
            <w14:solidFill>
              <w14:schemeClr w14:val="tx1"/>
            </w14:solidFill>
          </w14:textFill>
        </w:rPr>
      </w:pPr>
      <w:r>
        <w:rPr>
          <w:rFonts w:hint="default" w:ascii="Times New Roman" w:hAnsi="Times New Roman" w:cs="Times New Roman"/>
          <w:b/>
          <w:bCs/>
          <w:color w:val="000000" w:themeColor="text1"/>
          <w:sz w:val="40"/>
          <w:szCs w:val="40"/>
          <w:highlight w:val="none"/>
          <w:u w:val="none"/>
          <w14:textFill>
            <w14:solidFill>
              <w14:schemeClr w14:val="tx1"/>
            </w14:solidFill>
          </w14:textFill>
        </w:rPr>
        <w:br w:type="page"/>
      </w:r>
    </w:p>
    <w:p>
      <w:pPr>
        <w:widowControl/>
        <w:jc w:val="center"/>
        <w:rPr>
          <w:rFonts w:hint="default" w:ascii="Times New Roman" w:hAnsi="Times New Roman" w:eastAsia="宋体" w:cs="Times New Roman"/>
          <w:color w:val="000000" w:themeColor="text1"/>
          <w:kern w:val="2"/>
          <w:sz w:val="40"/>
          <w:szCs w:val="40"/>
          <w:highlight w:val="none"/>
          <w:u w:val="none"/>
          <w:lang w:val="en-US" w:eastAsia="zh-CN" w:bidi="ar-SA"/>
          <w14:textFill>
            <w14:solidFill>
              <w14:schemeClr w14:val="tx1"/>
            </w14:solidFill>
          </w14:textFill>
        </w:rPr>
      </w:pPr>
      <w:r>
        <w:rPr>
          <w:rFonts w:hint="default" w:ascii="Times New Roman" w:hAnsi="Times New Roman" w:eastAsia="黑体" w:cs="Times New Roman"/>
          <w:b w:val="0"/>
          <w:bCs w:val="0"/>
          <w:color w:val="000000" w:themeColor="text1"/>
          <w:sz w:val="36"/>
          <w:szCs w:val="36"/>
          <w:highlight w:val="none"/>
          <w:u w:val="none"/>
          <w14:textFill>
            <w14:solidFill>
              <w14:schemeClr w14:val="tx1"/>
            </w14:solidFill>
          </w14:textFill>
        </w:rPr>
        <w:t>目</w:t>
      </w:r>
      <w:r>
        <w:rPr>
          <w:rFonts w:hint="default" w:ascii="Times New Roman" w:hAnsi="Times New Roman" w:eastAsia="黑体" w:cs="Times New Roman"/>
          <w:b w:val="0"/>
          <w:bCs w:val="0"/>
          <w:color w:val="000000" w:themeColor="text1"/>
          <w:sz w:val="36"/>
          <w:szCs w:val="36"/>
          <w:highlight w:val="none"/>
          <w:u w:val="none"/>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36"/>
          <w:szCs w:val="36"/>
          <w:highlight w:val="none"/>
          <w:u w:val="none"/>
          <w14:textFill>
            <w14:solidFill>
              <w14:schemeClr w14:val="tx1"/>
            </w14:solidFill>
          </w14:textFill>
        </w:rPr>
        <w:t>录</w:t>
      </w:r>
      <w:r>
        <w:rPr>
          <w:rStyle w:val="23"/>
          <w:rFonts w:hint="default" w:ascii="Times New Roman" w:hAnsi="Times New Roman" w:cs="Times New Roman"/>
          <w:highlight w:val="none"/>
          <w:u w:val="none"/>
        </w:rPr>
        <w:fldChar w:fldCharType="begin"/>
      </w:r>
      <w:r>
        <w:rPr>
          <w:rStyle w:val="23"/>
          <w:rFonts w:hint="default" w:ascii="Times New Roman" w:hAnsi="Times New Roman" w:cs="Times New Roman"/>
          <w:highlight w:val="none"/>
          <w:u w:val="none"/>
        </w:rPr>
        <w:instrText xml:space="preserve"> TOC \o "1-5" \h \z \u </w:instrText>
      </w:r>
      <w:r>
        <w:rPr>
          <w:rStyle w:val="23"/>
          <w:rFonts w:hint="default" w:ascii="Times New Roman" w:hAnsi="Times New Roman" w:cs="Times New Roman"/>
          <w:highlight w:val="none"/>
          <w:u w:val="none"/>
        </w:rPr>
        <w:fldChar w:fldCharType="separate"/>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_Toc13820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一、适用范围</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_Toc13820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4</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_Toc3020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二、评标委员会的组建</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_Toc3020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6</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_Toc31215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三、评审</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_Toc31215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7</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_Toc27840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28"/>
          <w:highlight w:val="none"/>
          <w:u w:val="none"/>
        </w:rPr>
        <w:t>（一）资格评审</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_Toc27840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7</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_Toc30927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28"/>
          <w:highlight w:val="none"/>
          <w:u w:val="none"/>
        </w:rPr>
        <w:t>（二）响应性评审</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_Toc30927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8</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_Toc4742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28"/>
          <w:highlight w:val="none"/>
          <w:u w:val="none"/>
        </w:rPr>
        <w:t>（三）技术和商务评分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_Toc4742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9</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_Toc2407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28"/>
          <w:highlight w:val="none"/>
          <w:u w:val="none"/>
        </w:rPr>
        <w:t>（四）报价评分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_Toc2407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9</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_Toc8103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28"/>
          <w:highlight w:val="none"/>
          <w:u w:val="none"/>
        </w:rPr>
        <w:t>（五）计算最终得分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_Toc8103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9</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_Toc22387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28"/>
          <w:highlight w:val="none"/>
          <w:u w:val="none"/>
        </w:rPr>
        <w:t>（六）中标候选人排序及中标人确定</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_Toc22387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10</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_Toc16087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四、评分标准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_Toc16087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11</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_Toc8447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6"/>
          <w:highlight w:val="none"/>
          <w:u w:val="none"/>
        </w:rPr>
        <w:t>五、释义</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_Toc8447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11</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_Toc9086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6"/>
          <w:highlight w:val="none"/>
          <w:u w:val="none"/>
        </w:rPr>
        <w:t>综合评估法Ⅰ类评分标准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_Toc9086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13</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_Toc2898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一、技术部分（50分）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_Toc2898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13</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_Toc1872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（一）设计方案（44分）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_Toc1872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13</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_Toc24614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（二）资源配备及服务能力（6分）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_Toc24614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15</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_Toc31057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二、商务部分（25分）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_Toc31057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16</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_Toc21543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（一）信用评价部分（6分）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_Toc21543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16</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_Toc14887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（二）类似工程业绩（18分）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_Toc14887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17</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_Toc32155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（三）获奖情况（1分）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_Toc32155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20</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_Toc12422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三、报价部分（25分）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_Toc12422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20</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_Toc17789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6"/>
          <w:highlight w:val="none"/>
          <w:u w:val="none"/>
        </w:rPr>
        <w:t>综合评估法Ⅱ类评分标准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_Toc17789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23</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_Toc24417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一、技术部分（4</w:t>
      </w:r>
      <w:r>
        <w:rPr>
          <w:rFonts w:hint="default" w:ascii="Times New Roman" w:hAnsi="Times New Roman" w:eastAsia="仿宋_GB2312" w:cs="Times New Roman"/>
          <w:bCs/>
          <w:szCs w:val="32"/>
          <w:highlight w:val="none"/>
          <w:u w:val="none"/>
          <w:lang w:val="en-US" w:eastAsia="zh-CN"/>
        </w:rPr>
        <w:t>5</w:t>
      </w:r>
      <w:r>
        <w:rPr>
          <w:rFonts w:hint="default" w:ascii="Times New Roman" w:hAnsi="Times New Roman" w:eastAsia="仿宋_GB2312" w:cs="Times New Roman"/>
          <w:bCs/>
          <w:szCs w:val="32"/>
          <w:highlight w:val="none"/>
          <w:u w:val="none"/>
        </w:rPr>
        <w:t>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_Toc24417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23</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_Toc14701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（一）设计方案（40分）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_Toc14701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23</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_Toc15330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（二）资源配备及服务能力（</w:t>
      </w:r>
      <w:r>
        <w:rPr>
          <w:rFonts w:hint="default" w:ascii="Times New Roman" w:hAnsi="Times New Roman" w:eastAsia="仿宋_GB2312" w:cs="Times New Roman"/>
          <w:bCs/>
          <w:szCs w:val="32"/>
          <w:highlight w:val="none"/>
          <w:u w:val="none"/>
          <w:lang w:val="en-US" w:eastAsia="zh-CN"/>
        </w:rPr>
        <w:t>5</w:t>
      </w:r>
      <w:r>
        <w:rPr>
          <w:rFonts w:hint="default" w:ascii="Times New Roman" w:hAnsi="Times New Roman" w:eastAsia="仿宋_GB2312" w:cs="Times New Roman"/>
          <w:bCs/>
          <w:szCs w:val="32"/>
          <w:highlight w:val="none"/>
          <w:u w:val="none"/>
        </w:rPr>
        <w:t>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_Toc15330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25</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_Toc2521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二、商务部分（</w:t>
      </w:r>
      <w:r>
        <w:rPr>
          <w:rFonts w:hint="default" w:ascii="Times New Roman" w:hAnsi="Times New Roman" w:eastAsia="仿宋_GB2312" w:cs="Times New Roman"/>
          <w:bCs/>
          <w:szCs w:val="32"/>
          <w:highlight w:val="none"/>
          <w:u w:val="none"/>
          <w:lang w:val="en-US" w:eastAsia="zh-CN"/>
        </w:rPr>
        <w:t>25</w:t>
      </w:r>
      <w:r>
        <w:rPr>
          <w:rFonts w:hint="default" w:ascii="Times New Roman" w:hAnsi="Times New Roman" w:eastAsia="仿宋_GB2312" w:cs="Times New Roman"/>
          <w:bCs/>
          <w:szCs w:val="32"/>
          <w:highlight w:val="none"/>
          <w:u w:val="none"/>
        </w:rPr>
        <w:t>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_Toc2521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26</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_Toc21497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（一）信用评价部分（</w:t>
      </w:r>
      <w:r>
        <w:rPr>
          <w:rFonts w:hint="default" w:ascii="Times New Roman" w:hAnsi="Times New Roman" w:eastAsia="仿宋_GB2312" w:cs="Times New Roman"/>
          <w:bCs/>
          <w:szCs w:val="32"/>
          <w:highlight w:val="none"/>
          <w:u w:val="none"/>
          <w:lang w:val="en-US" w:eastAsia="zh-CN"/>
        </w:rPr>
        <w:t>5</w:t>
      </w:r>
      <w:r>
        <w:rPr>
          <w:rFonts w:hint="default" w:ascii="Times New Roman" w:hAnsi="Times New Roman" w:eastAsia="仿宋_GB2312" w:cs="Times New Roman"/>
          <w:bCs/>
          <w:szCs w:val="32"/>
          <w:highlight w:val="none"/>
          <w:u w:val="none"/>
        </w:rPr>
        <w:t>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_Toc21497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26</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7"/>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_Toc25835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（二）类似工程业绩（</w:t>
      </w:r>
      <w:r>
        <w:rPr>
          <w:rFonts w:hint="default" w:ascii="Times New Roman" w:hAnsi="Times New Roman" w:eastAsia="仿宋_GB2312" w:cs="Times New Roman"/>
          <w:bCs/>
          <w:szCs w:val="32"/>
          <w:highlight w:val="none"/>
          <w:u w:val="none"/>
          <w:lang w:val="en-US" w:eastAsia="zh-CN"/>
        </w:rPr>
        <w:t>20</w:t>
      </w:r>
      <w:r>
        <w:rPr>
          <w:rFonts w:hint="default" w:ascii="Times New Roman" w:hAnsi="Times New Roman" w:eastAsia="仿宋_GB2312" w:cs="Times New Roman"/>
          <w:bCs/>
          <w:szCs w:val="32"/>
          <w:highlight w:val="none"/>
          <w:u w:val="none"/>
        </w:rPr>
        <w:t>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_Toc25835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27</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highlight w:val="none"/>
          <w:u w:val="none"/>
        </w:rPr>
      </w:pP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begin"/>
      </w:r>
      <w:r>
        <w:rPr>
          <w:rFonts w:hint="default" w:ascii="Times New Roman" w:hAnsi="Times New Roman" w:eastAsia="仿宋_GB2312" w:cs="Times New Roman"/>
          <w:szCs w:val="40"/>
          <w:highlight w:val="none"/>
          <w:u w:val="none"/>
        </w:rPr>
        <w:instrText xml:space="preserve"> HYPERLINK \l _Toc9777 </w:instrText>
      </w:r>
      <w:r>
        <w:rPr>
          <w:rFonts w:hint="default" w:ascii="Times New Roman" w:hAnsi="Times New Roman" w:eastAsia="仿宋_GB2312" w:cs="Times New Roman"/>
          <w:szCs w:val="40"/>
          <w:highlight w:val="none"/>
          <w:u w:val="none"/>
        </w:rPr>
        <w:fldChar w:fldCharType="separate"/>
      </w:r>
      <w:r>
        <w:rPr>
          <w:rFonts w:hint="default" w:ascii="Times New Roman" w:hAnsi="Times New Roman" w:eastAsia="仿宋_GB2312" w:cs="Times New Roman"/>
          <w:bCs/>
          <w:szCs w:val="32"/>
          <w:highlight w:val="none"/>
          <w:u w:val="none"/>
        </w:rPr>
        <w:t>三、报价部分（</w:t>
      </w:r>
      <w:r>
        <w:rPr>
          <w:rFonts w:hint="default" w:ascii="Times New Roman" w:hAnsi="Times New Roman" w:eastAsia="仿宋_GB2312" w:cs="Times New Roman"/>
          <w:bCs/>
          <w:szCs w:val="32"/>
          <w:highlight w:val="none"/>
          <w:u w:val="none"/>
          <w:lang w:val="en-US" w:eastAsia="zh-CN"/>
        </w:rPr>
        <w:t>30</w:t>
      </w:r>
      <w:r>
        <w:rPr>
          <w:rFonts w:hint="default" w:ascii="Times New Roman" w:hAnsi="Times New Roman" w:eastAsia="仿宋_GB2312" w:cs="Times New Roman"/>
          <w:bCs/>
          <w:szCs w:val="32"/>
          <w:highlight w:val="none"/>
          <w:u w:val="none"/>
        </w:rPr>
        <w:t>分）</w:t>
      </w:r>
      <w:r>
        <w:rPr>
          <w:rFonts w:hint="default" w:ascii="Times New Roman" w:hAnsi="Times New Roman" w:eastAsia="仿宋_GB2312" w:cs="Times New Roman"/>
          <w:highlight w:val="none"/>
          <w:u w:val="none"/>
        </w:rPr>
        <w:tab/>
      </w:r>
      <w:r>
        <w:rPr>
          <w:rFonts w:hint="default" w:ascii="Times New Roman" w:hAnsi="Times New Roman" w:eastAsia="仿宋_GB2312" w:cs="Times New Roman"/>
          <w:highlight w:val="none"/>
          <w:u w:val="none"/>
        </w:rPr>
        <w:fldChar w:fldCharType="begin"/>
      </w:r>
      <w:r>
        <w:rPr>
          <w:rFonts w:hint="default" w:ascii="Times New Roman" w:hAnsi="Times New Roman" w:eastAsia="仿宋_GB2312" w:cs="Times New Roman"/>
          <w:highlight w:val="none"/>
          <w:u w:val="none"/>
        </w:rPr>
        <w:instrText xml:space="preserve"> PAGEREF _Toc9777 \h </w:instrText>
      </w:r>
      <w:r>
        <w:rPr>
          <w:rFonts w:hint="default" w:ascii="Times New Roman" w:hAnsi="Times New Roman" w:eastAsia="仿宋_GB2312" w:cs="Times New Roman"/>
          <w:highlight w:val="none"/>
          <w:u w:val="none"/>
        </w:rPr>
        <w:fldChar w:fldCharType="separate"/>
      </w:r>
      <w:r>
        <w:rPr>
          <w:rFonts w:hint="default" w:ascii="Times New Roman" w:hAnsi="Times New Roman" w:eastAsia="仿宋_GB2312" w:cs="Times New Roman"/>
          <w:highlight w:val="none"/>
          <w:u w:val="none"/>
        </w:rPr>
        <w:t>29</w:t>
      </w:r>
      <w:r>
        <w:rPr>
          <w:rFonts w:hint="default" w:ascii="Times New Roman" w:hAnsi="Times New Roman" w:eastAsia="仿宋_GB2312" w:cs="Times New Roman"/>
          <w:highlight w:val="none"/>
          <w:u w:val="none"/>
        </w:rPr>
        <w:fldChar w:fldCharType="end"/>
      </w:r>
      <w:r>
        <w:rPr>
          <w:rFonts w:hint="default" w:ascii="Times New Roman" w:hAnsi="Times New Roman" w:eastAsia="仿宋_GB2312" w:cs="Times New Roman"/>
          <w:color w:val="000000" w:themeColor="text1"/>
          <w:szCs w:val="40"/>
          <w:highlight w:val="none"/>
          <w:u w:val="none"/>
          <w14:textFill>
            <w14:solidFill>
              <w14:schemeClr w14:val="tx1"/>
            </w14:solidFill>
          </w14:textFill>
        </w:rPr>
        <w:fldChar w:fldCharType="end"/>
      </w:r>
    </w:p>
    <w:p>
      <w:pPr>
        <w:widowControl/>
        <w:jc w:val="center"/>
        <w:rPr>
          <w:rFonts w:hint="default" w:ascii="Times New Roman" w:hAnsi="Times New Roman" w:cs="Times New Roman"/>
          <w:color w:val="000000" w:themeColor="text1"/>
          <w:sz w:val="40"/>
          <w:szCs w:val="40"/>
          <w:highlight w:val="none"/>
          <w:u w:val="none"/>
          <w14:textFill>
            <w14:solidFill>
              <w14:schemeClr w14:val="tx1"/>
            </w14:solidFill>
          </w14:textFill>
        </w:rPr>
      </w:pPr>
      <w:r>
        <w:rPr>
          <w:rFonts w:hint="default" w:ascii="Times New Roman" w:hAnsi="Times New Roman" w:cs="Times New Roman"/>
          <w:color w:val="000000" w:themeColor="text1"/>
          <w:sz w:val="40"/>
          <w:szCs w:val="40"/>
          <w:highlight w:val="none"/>
          <w:u w:val="none"/>
          <w14:textFill>
            <w14:solidFill>
              <w14:schemeClr w14:val="tx1"/>
            </w14:solidFill>
          </w14:textFill>
        </w:rPr>
        <w:fldChar w:fldCharType="end"/>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t>新疆维吾尔自治区水利工程建设项目勘察设计</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t>招标评标方法和标准</w:t>
      </w:r>
    </w:p>
    <w:p>
      <w:pPr>
        <w:pStyle w:val="18"/>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highlight w:val="none"/>
          <w:u w:val="none"/>
          <w14:textFill>
            <w14:solidFill>
              <w14:schemeClr w14:val="tx1"/>
            </w14:solidFill>
          </w14:textFill>
        </w:rPr>
        <w:t>（征求意见稿）</w:t>
      </w:r>
    </w:p>
    <w:p>
      <w:pPr>
        <w:spacing w:line="560" w:lineRule="exact"/>
        <w:ind w:firstLine="560" w:firstLineChars="200"/>
        <w:rPr>
          <w:rFonts w:hint="default" w:ascii="Times New Roman" w:hAnsi="Times New Roman" w:cs="Times New Roman"/>
          <w:color w:val="000000" w:themeColor="text1"/>
          <w:szCs w:val="28"/>
          <w:highlight w:val="none"/>
          <w:u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为规范新疆维吾尔自治区水利工程建设项目勘察设计评标工作，提高评标质量，确保招标投标活动公平、公正、科学合理，保障招标投标各方的合法权益，根据《中华人民共和国招标投标法》《中华人民共和国招标投标法实施条例》及国家相关规定，结合本自治区实际，制定《新疆维吾尔自治区水利工程建设项目勘察设计招标评标方法和标准》。</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0" w:name="_Toc13820"/>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一、适用范围</w:t>
      </w:r>
      <w:bookmarkEnd w:id="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shd w:val="pct10" w:color="auto" w:fill="FFFFFF"/>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新疆维吾尔自治区水利工程建设项目勘察设计招标评标方法分为综合评估法Ⅰ类、综合评估法Ⅱ类。</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综合评估法Ⅰ类适用于大中型水库（包括除险加固水库）、电站、泵站、引供水、水闸</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等类型、规模的水利建设项目</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，1、2级堤防等主体工程</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勘察设计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及其它技术复杂的</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勘察设计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招标项目；</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综合评估法Ⅱ类适用于小型水库（包括除险加固水库）、渠首（病险水闸除险加固）、灌区改造、农田水利、牧区水利、饮水安全，3级以下堤防，水土保持以及其它各类小型水利建设项目。</w:t>
      </w:r>
    </w:p>
    <w:p>
      <w:pPr>
        <w:pStyle w:val="18"/>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大中小型水库（包括除险加固水库）枢纽、水闸、电站、泵站、引供水，1、2级堤防工程规模依据《水利水电工程等级划分及洪水标准》（SL252-2017）确定。</w:t>
      </w:r>
    </w:p>
    <w:p>
      <w:pPr>
        <w:pStyle w:val="18"/>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sz w:val="28"/>
          <w:szCs w:val="28"/>
          <w:highlight w:val="none"/>
          <w:u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u w:val="none"/>
          <w14:textFill>
            <w14:solidFill>
              <w14:schemeClr w14:val="tx1"/>
            </w14:solidFill>
          </w14:textFill>
        </w:rPr>
        <w:t>水利水电工程分等指标</w:t>
      </w:r>
    </w:p>
    <w:tbl>
      <w:tblPr>
        <w:tblStyle w:val="20"/>
        <w:tblW w:w="863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4"/>
        <w:gridCol w:w="705"/>
        <w:gridCol w:w="779"/>
        <w:gridCol w:w="800"/>
        <w:gridCol w:w="883"/>
        <w:gridCol w:w="933"/>
        <w:gridCol w:w="709"/>
        <w:gridCol w:w="858"/>
        <w:gridCol w:w="708"/>
        <w:gridCol w:w="851"/>
        <w:gridCol w:w="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jc w:val="center"/>
        </w:trPr>
        <w:tc>
          <w:tcPr>
            <w:tcW w:w="564"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工程等别</w:t>
            </w:r>
          </w:p>
        </w:tc>
        <w:tc>
          <w:tcPr>
            <w:tcW w:w="705"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工程规模</w:t>
            </w:r>
          </w:p>
        </w:tc>
        <w:tc>
          <w:tcPr>
            <w:tcW w:w="779"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水库总库容/10</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⁸</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m</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³</w:t>
            </w:r>
          </w:p>
        </w:tc>
        <w:tc>
          <w:tcPr>
            <w:tcW w:w="2616" w:type="dxa"/>
            <w:gridSpan w:val="3"/>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防洪</w:t>
            </w:r>
          </w:p>
        </w:tc>
        <w:tc>
          <w:tcPr>
            <w:tcW w:w="709" w:type="dxa"/>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治涝</w:t>
            </w:r>
          </w:p>
        </w:tc>
        <w:tc>
          <w:tcPr>
            <w:tcW w:w="858" w:type="dxa"/>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灌溉</w:t>
            </w:r>
          </w:p>
        </w:tc>
        <w:tc>
          <w:tcPr>
            <w:tcW w:w="1559" w:type="dxa"/>
            <w:gridSpan w:val="2"/>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供水</w:t>
            </w:r>
          </w:p>
        </w:tc>
        <w:tc>
          <w:tcPr>
            <w:tcW w:w="844" w:type="dxa"/>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发电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564" w:type="dxa"/>
            <w:vMerge w:val="continue"/>
            <w:vAlign w:val="center"/>
          </w:tcPr>
          <w:p>
            <w:pPr>
              <w:widowControl/>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p>
        </w:tc>
        <w:tc>
          <w:tcPr>
            <w:tcW w:w="705" w:type="dxa"/>
            <w:vMerge w:val="continue"/>
            <w:vAlign w:val="center"/>
          </w:tcPr>
          <w:p>
            <w:pPr>
              <w:widowControl/>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p>
        </w:tc>
        <w:tc>
          <w:tcPr>
            <w:tcW w:w="779" w:type="dxa"/>
            <w:vMerge w:val="continue"/>
            <w:vAlign w:val="center"/>
          </w:tcPr>
          <w:p>
            <w:pPr>
              <w:widowControl/>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p>
        </w:tc>
        <w:tc>
          <w:tcPr>
            <w:tcW w:w="800"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保护人口/10</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⁴</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人</w:t>
            </w:r>
          </w:p>
        </w:tc>
        <w:tc>
          <w:tcPr>
            <w:tcW w:w="883"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保护农田面积/10</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⁴</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亩</w:t>
            </w:r>
          </w:p>
        </w:tc>
        <w:tc>
          <w:tcPr>
            <w:tcW w:w="933"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保护区当量经济规模/10</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⁴</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人</w:t>
            </w:r>
          </w:p>
        </w:tc>
        <w:tc>
          <w:tcPr>
            <w:tcW w:w="709"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治涝面积/10</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⁴</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亩</w:t>
            </w:r>
          </w:p>
        </w:tc>
        <w:tc>
          <w:tcPr>
            <w:tcW w:w="858"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灌溉面积/10</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⁴</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亩</w:t>
            </w:r>
          </w:p>
        </w:tc>
        <w:tc>
          <w:tcPr>
            <w:tcW w:w="708"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供水对象重要性</w:t>
            </w:r>
          </w:p>
        </w:tc>
        <w:tc>
          <w:tcPr>
            <w:tcW w:w="851"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年引水量/10</w:t>
            </w:r>
            <w:r>
              <w:rPr>
                <w:rFonts w:hint="default" w:ascii="Times New Roman" w:hAnsi="Times New Roman" w:cs="Times New Roman"/>
                <w:b/>
                <w:bCs/>
                <w:color w:val="000000" w:themeColor="text1"/>
                <w:kern w:val="0"/>
                <w:sz w:val="22"/>
                <w:szCs w:val="22"/>
                <w:highlight w:val="none"/>
                <w:u w:val="none"/>
                <w:vertAlign w:val="superscript"/>
                <w14:textFill>
                  <w14:solidFill>
                    <w14:schemeClr w14:val="tx1"/>
                  </w14:solidFill>
                </w14:textFill>
              </w:rPr>
              <w:t>8</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m</w:t>
            </w: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³</w:t>
            </w:r>
          </w:p>
        </w:tc>
        <w:tc>
          <w:tcPr>
            <w:tcW w:w="844" w:type="dxa"/>
            <w:vMerge w:val="restart"/>
            <w:tcMar>
              <w:top w:w="0" w:type="dxa"/>
              <w:left w:w="108" w:type="dxa"/>
              <w:bottom w:w="0" w:type="dxa"/>
              <w:right w:w="108" w:type="dxa"/>
            </w:tcMar>
            <w:vAlign w:val="center"/>
          </w:tcPr>
          <w:p>
            <w:pPr>
              <w:widowControl/>
              <w:jc w:val="center"/>
              <w:textAlignment w:val="cente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2"/>
                <w:highlight w:val="none"/>
                <w:u w:val="none"/>
                <w14:textFill>
                  <w14:solidFill>
                    <w14:schemeClr w14:val="tx1"/>
                  </w14:solidFill>
                </w14:textFill>
              </w:rPr>
              <w:t>发电装机容量/MW</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564"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05"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79"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00"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83"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933"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09"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58"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08"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51"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44"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jc w:val="center"/>
        </w:trPr>
        <w:tc>
          <w:tcPr>
            <w:tcW w:w="564"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05"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79"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00"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83"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933"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09"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58"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708"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51"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44" w:type="dxa"/>
            <w:vMerge w:val="continue"/>
            <w:vAlign w:val="center"/>
          </w:tcPr>
          <w:p>
            <w:pPr>
              <w:widowControl/>
              <w:spacing w:line="200" w:lineRule="atLeas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56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Ⅰ</w:t>
            </w:r>
          </w:p>
        </w:tc>
        <w:tc>
          <w:tcPr>
            <w:tcW w:w="705"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大(1)型</w:t>
            </w:r>
          </w:p>
        </w:tc>
        <w:tc>
          <w:tcPr>
            <w:tcW w:w="77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c>
          <w:tcPr>
            <w:tcW w:w="800"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150</w:t>
            </w:r>
          </w:p>
        </w:tc>
        <w:tc>
          <w:tcPr>
            <w:tcW w:w="88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500</w:t>
            </w:r>
          </w:p>
        </w:tc>
        <w:tc>
          <w:tcPr>
            <w:tcW w:w="93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300</w:t>
            </w:r>
          </w:p>
        </w:tc>
        <w:tc>
          <w:tcPr>
            <w:tcW w:w="70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200</w:t>
            </w:r>
          </w:p>
        </w:tc>
        <w:tc>
          <w:tcPr>
            <w:tcW w:w="85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150</w:t>
            </w:r>
          </w:p>
        </w:tc>
        <w:tc>
          <w:tcPr>
            <w:tcW w:w="70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特别重要</w:t>
            </w:r>
          </w:p>
        </w:tc>
        <w:tc>
          <w:tcPr>
            <w:tcW w:w="851"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c>
          <w:tcPr>
            <w:tcW w:w="84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jc w:val="center"/>
        </w:trPr>
        <w:tc>
          <w:tcPr>
            <w:tcW w:w="56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Ⅱ</w:t>
            </w:r>
          </w:p>
        </w:tc>
        <w:tc>
          <w:tcPr>
            <w:tcW w:w="705"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大(2)型</w:t>
            </w:r>
          </w:p>
        </w:tc>
        <w:tc>
          <w:tcPr>
            <w:tcW w:w="77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c>
          <w:tcPr>
            <w:tcW w:w="800"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＜150,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50</w:t>
            </w:r>
          </w:p>
        </w:tc>
        <w:tc>
          <w:tcPr>
            <w:tcW w:w="88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100</w:t>
            </w:r>
          </w:p>
        </w:tc>
        <w:tc>
          <w:tcPr>
            <w:tcW w:w="93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＜300,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100</w:t>
            </w:r>
          </w:p>
        </w:tc>
        <w:tc>
          <w:tcPr>
            <w:tcW w:w="70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＜200,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60</w:t>
            </w:r>
          </w:p>
        </w:tc>
        <w:tc>
          <w:tcPr>
            <w:tcW w:w="85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＜150,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50</w:t>
            </w:r>
          </w:p>
        </w:tc>
        <w:tc>
          <w:tcPr>
            <w:tcW w:w="70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重要</w:t>
            </w:r>
          </w:p>
        </w:tc>
        <w:tc>
          <w:tcPr>
            <w:tcW w:w="851"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3</w:t>
            </w:r>
          </w:p>
        </w:tc>
        <w:tc>
          <w:tcPr>
            <w:tcW w:w="84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＜1200,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300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jc w:val="center"/>
        </w:trPr>
        <w:tc>
          <w:tcPr>
            <w:tcW w:w="56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Ⅲ</w:t>
            </w:r>
          </w:p>
        </w:tc>
        <w:tc>
          <w:tcPr>
            <w:tcW w:w="705"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中型</w:t>
            </w:r>
          </w:p>
        </w:tc>
        <w:tc>
          <w:tcPr>
            <w:tcW w:w="77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0,</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0.10</w:t>
            </w:r>
          </w:p>
        </w:tc>
        <w:tc>
          <w:tcPr>
            <w:tcW w:w="800"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20</w:t>
            </w:r>
          </w:p>
        </w:tc>
        <w:tc>
          <w:tcPr>
            <w:tcW w:w="88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30</w:t>
            </w:r>
          </w:p>
        </w:tc>
        <w:tc>
          <w:tcPr>
            <w:tcW w:w="93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40</w:t>
            </w:r>
          </w:p>
        </w:tc>
        <w:tc>
          <w:tcPr>
            <w:tcW w:w="70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＜60,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15</w:t>
            </w:r>
          </w:p>
        </w:tc>
        <w:tc>
          <w:tcPr>
            <w:tcW w:w="85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w:t>
            </w:r>
          </w:p>
        </w:tc>
        <w:tc>
          <w:tcPr>
            <w:tcW w:w="70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比较重要</w:t>
            </w:r>
          </w:p>
        </w:tc>
        <w:tc>
          <w:tcPr>
            <w:tcW w:w="851"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＜3,</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w:t>
            </w:r>
          </w:p>
        </w:tc>
        <w:tc>
          <w:tcPr>
            <w:tcW w:w="84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＜300,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jc w:val="center"/>
        </w:trPr>
        <w:tc>
          <w:tcPr>
            <w:tcW w:w="56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Ⅳ</w:t>
            </w:r>
          </w:p>
        </w:tc>
        <w:tc>
          <w:tcPr>
            <w:tcW w:w="705"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小(1)型</w:t>
            </w:r>
          </w:p>
        </w:tc>
        <w:tc>
          <w:tcPr>
            <w:tcW w:w="77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＜0.1,</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0.01</w:t>
            </w:r>
          </w:p>
        </w:tc>
        <w:tc>
          <w:tcPr>
            <w:tcW w:w="800"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＜20,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w:t>
            </w:r>
          </w:p>
        </w:tc>
        <w:tc>
          <w:tcPr>
            <w:tcW w:w="88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＜30,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5</w:t>
            </w:r>
          </w:p>
        </w:tc>
        <w:tc>
          <w:tcPr>
            <w:tcW w:w="93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＜40,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c>
          <w:tcPr>
            <w:tcW w:w="70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＜15,</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3</w:t>
            </w:r>
          </w:p>
        </w:tc>
        <w:tc>
          <w:tcPr>
            <w:tcW w:w="85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0.5</w:t>
            </w:r>
          </w:p>
        </w:tc>
        <w:tc>
          <w:tcPr>
            <w:tcW w:w="708" w:type="dxa"/>
            <w:vMerge w:val="restart"/>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一般</w:t>
            </w:r>
          </w:p>
        </w:tc>
        <w:tc>
          <w:tcPr>
            <w:tcW w:w="851"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0.3</w:t>
            </w:r>
          </w:p>
        </w:tc>
        <w:tc>
          <w:tcPr>
            <w:tcW w:w="84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＜50,</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56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Ⅴ</w:t>
            </w:r>
          </w:p>
        </w:tc>
        <w:tc>
          <w:tcPr>
            <w:tcW w:w="705"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小(2)型</w:t>
            </w:r>
          </w:p>
        </w:tc>
        <w:tc>
          <w:tcPr>
            <w:tcW w:w="77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＜0.01,</w:t>
            </w:r>
          </w:p>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color w:val="000000" w:themeColor="text1"/>
                <w:kern w:val="0"/>
                <w:sz w:val="21"/>
                <w:szCs w:val="21"/>
                <w:highlight w:val="none"/>
                <w:u w:val="none"/>
                <w14:textFill>
                  <w14:solidFill>
                    <w14:schemeClr w14:val="tx1"/>
                  </w14:solidFill>
                </w14:textFill>
              </w:rPr>
              <w:t>0.001</w:t>
            </w:r>
          </w:p>
        </w:tc>
        <w:tc>
          <w:tcPr>
            <w:tcW w:w="800"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w:t>
            </w:r>
          </w:p>
        </w:tc>
        <w:tc>
          <w:tcPr>
            <w:tcW w:w="88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＜5</w:t>
            </w:r>
          </w:p>
        </w:tc>
        <w:tc>
          <w:tcPr>
            <w:tcW w:w="933"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c>
          <w:tcPr>
            <w:tcW w:w="709"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＜3</w:t>
            </w:r>
          </w:p>
        </w:tc>
        <w:tc>
          <w:tcPr>
            <w:tcW w:w="858"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＜0.5</w:t>
            </w:r>
          </w:p>
        </w:tc>
        <w:tc>
          <w:tcPr>
            <w:tcW w:w="708" w:type="dxa"/>
            <w:vMerge w:val="continue"/>
            <w:vAlign w:val="center"/>
          </w:tcPr>
          <w:p>
            <w:pPr>
              <w:widowControl/>
              <w:spacing w:line="240" w:lineRule="exact"/>
              <w:rPr>
                <w:rFonts w:hint="default" w:ascii="Times New Roman" w:hAnsi="Times New Roman" w:cs="Times New Roman"/>
                <w:color w:val="000000" w:themeColor="text1"/>
                <w:kern w:val="0"/>
                <w:sz w:val="21"/>
                <w:szCs w:val="21"/>
                <w:highlight w:val="none"/>
                <w:u w:val="none"/>
                <w14:textFill>
                  <w14:solidFill>
                    <w14:schemeClr w14:val="tx1"/>
                  </w14:solidFill>
                </w14:textFill>
              </w:rPr>
            </w:pPr>
          </w:p>
        </w:tc>
        <w:tc>
          <w:tcPr>
            <w:tcW w:w="851"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＜0.3</w:t>
            </w:r>
          </w:p>
        </w:tc>
        <w:tc>
          <w:tcPr>
            <w:tcW w:w="844" w:type="dxa"/>
            <w:tcMar>
              <w:top w:w="0" w:type="dxa"/>
              <w:left w:w="108" w:type="dxa"/>
              <w:bottom w:w="0" w:type="dxa"/>
              <w:right w:w="108" w:type="dxa"/>
            </w:tcMar>
            <w:vAlign w:val="center"/>
          </w:tcPr>
          <w:p>
            <w:pPr>
              <w:widowControl/>
              <w:spacing w:line="240" w:lineRule="exact"/>
              <w:jc w:val="center"/>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color w:val="000000" w:themeColor="text1"/>
                <w:kern w:val="0"/>
                <w:sz w:val="21"/>
                <w:szCs w:val="21"/>
                <w:highlight w:val="none"/>
                <w:u w:val="none"/>
                <w14:textFill>
                  <w14:solidFill>
                    <w14:schemeClr w14:val="tx1"/>
                  </w14:solidFill>
                </w14:textFill>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8634" w:type="dxa"/>
            <w:gridSpan w:val="11"/>
            <w:tcMar>
              <w:top w:w="0" w:type="dxa"/>
              <w:left w:w="108" w:type="dxa"/>
              <w:bottom w:w="0" w:type="dxa"/>
              <w:right w:w="108" w:type="dxa"/>
            </w:tcMar>
          </w:tcPr>
          <w:p>
            <w:pPr>
              <w:keepNext w:val="0"/>
              <w:keepLines w:val="0"/>
              <w:pageBreakBefore w:val="0"/>
              <w:widowControl/>
              <w:kinsoku/>
              <w:wordWrap/>
              <w:overflowPunct/>
              <w:topLinePunct w:val="0"/>
              <w:autoSpaceDE/>
              <w:autoSpaceDN/>
              <w:bidi w:val="0"/>
              <w:adjustRightInd/>
              <w:snapToGrid/>
              <w:spacing w:line="340" w:lineRule="exact"/>
              <w:ind w:left="28"/>
              <w:textAlignment w:val="cente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t>注1:水库总库容指水库最高水位以下的静库容；治涝面积指设计治涝面积；灌溉面积指设计灌溉面积；年引水量指供水工程渠首设计年均引(取)水量。</w:t>
            </w:r>
          </w:p>
          <w:p>
            <w:pPr>
              <w:keepNext w:val="0"/>
              <w:keepLines w:val="0"/>
              <w:pageBreakBefore w:val="0"/>
              <w:widowControl/>
              <w:kinsoku/>
              <w:wordWrap/>
              <w:overflowPunct/>
              <w:topLinePunct w:val="0"/>
              <w:autoSpaceDE/>
              <w:autoSpaceDN/>
              <w:bidi w:val="0"/>
              <w:adjustRightInd/>
              <w:snapToGrid/>
              <w:spacing w:line="340" w:lineRule="exact"/>
              <w:ind w:left="28"/>
              <w:textAlignment w:val="cente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t>注2:保护区当量经济规模指标仅限于城市保护区；防洪、供水中的多项指标满足1项即可。</w:t>
            </w:r>
          </w:p>
          <w:p>
            <w:pPr>
              <w:keepNext w:val="0"/>
              <w:keepLines w:val="0"/>
              <w:pageBreakBefore w:val="0"/>
              <w:widowControl/>
              <w:kinsoku/>
              <w:wordWrap/>
              <w:overflowPunct/>
              <w:topLinePunct w:val="0"/>
              <w:autoSpaceDE/>
              <w:autoSpaceDN/>
              <w:bidi w:val="0"/>
              <w:adjustRightInd/>
              <w:snapToGrid/>
              <w:spacing w:line="340" w:lineRule="exact"/>
              <w:ind w:left="28"/>
              <w:textAlignment w:val="cente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t>注3:按供水对象的重要性确定工程等别时，该工程应为供水对象的主要水源。</w:t>
            </w:r>
          </w:p>
          <w:p>
            <w:pPr>
              <w:keepNext w:val="0"/>
              <w:keepLines w:val="0"/>
              <w:pageBreakBefore w:val="0"/>
              <w:widowControl/>
              <w:kinsoku/>
              <w:wordWrap/>
              <w:overflowPunct/>
              <w:topLinePunct w:val="0"/>
              <w:autoSpaceDE/>
              <w:autoSpaceDN/>
              <w:bidi w:val="0"/>
              <w:adjustRightInd/>
              <w:snapToGrid/>
              <w:spacing w:line="340" w:lineRule="exact"/>
              <w:ind w:left="28"/>
              <w:textAlignment w:val="center"/>
              <w:rPr>
                <w:rFonts w:hint="default" w:ascii="Times New Roman" w:hAnsi="Times New Roman" w:cs="Times New Roman"/>
                <w:color w:val="000000" w:themeColor="text1"/>
                <w:kern w:val="0"/>
                <w:sz w:val="21"/>
                <w:szCs w:val="21"/>
                <w:highlight w:val="none"/>
                <w:u w:val="none"/>
                <w14:textFill>
                  <w14:solidFill>
                    <w14:schemeClr w14:val="tx1"/>
                  </w14:solidFill>
                </w14:textFill>
              </w:rPr>
            </w:pPr>
            <w:r>
              <w:rPr>
                <w:rFonts w:hint="default" w:ascii="Times New Roman" w:hAnsi="Times New Roman" w:eastAsia="仿宋_GB2312" w:cs="Times New Roman"/>
                <w:color w:val="000000" w:themeColor="text1"/>
                <w:kern w:val="0"/>
                <w:sz w:val="21"/>
                <w:szCs w:val="21"/>
                <w:highlight w:val="none"/>
                <w:u w:val="none"/>
                <w14:textFill>
                  <w14:solidFill>
                    <w14:schemeClr w14:val="tx1"/>
                  </w14:solidFill>
                </w14:textFill>
              </w:rPr>
              <w:t>注4:对综合利用的水利水电工程，当各综合利用项目的分等(级)指标对应的规模不同时，应按最高规模确定。</w:t>
            </w:r>
          </w:p>
        </w:tc>
      </w:tr>
    </w:tbl>
    <w:p>
      <w:pPr>
        <w:pStyle w:val="18"/>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sz w:val="28"/>
          <w:szCs w:val="28"/>
          <w:highlight w:val="none"/>
          <w:u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u w:val="none"/>
          <w14:textFill>
            <w14:solidFill>
              <w14:schemeClr w14:val="tx1"/>
            </w14:solidFill>
          </w14:textFill>
        </w:rPr>
        <w:t>水闸分类标准</w:t>
      </w:r>
    </w:p>
    <w:tbl>
      <w:tblPr>
        <w:tblStyle w:val="20"/>
        <w:tblW w:w="835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1266"/>
        <w:gridCol w:w="1134"/>
        <w:gridCol w:w="1985"/>
        <w:gridCol w:w="1275"/>
        <w:gridCol w:w="1418"/>
        <w:gridCol w:w="127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2" w:hRule="atLeast"/>
          <w:jc w:val="center"/>
        </w:trPr>
        <w:tc>
          <w:tcPr>
            <w:tcW w:w="1266"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工程等别</w:t>
            </w:r>
          </w:p>
        </w:tc>
        <w:tc>
          <w:tcPr>
            <w:tcW w:w="1134"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Ⅰ</w:t>
            </w:r>
          </w:p>
        </w:tc>
        <w:tc>
          <w:tcPr>
            <w:tcW w:w="1985"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Ⅱ</w:t>
            </w:r>
          </w:p>
        </w:tc>
        <w:tc>
          <w:tcPr>
            <w:tcW w:w="1275"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Ⅲ</w:t>
            </w:r>
          </w:p>
        </w:tc>
        <w:tc>
          <w:tcPr>
            <w:tcW w:w="1418"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Ⅳ</w:t>
            </w:r>
          </w:p>
        </w:tc>
        <w:tc>
          <w:tcPr>
            <w:tcW w:w="1276"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2" w:hRule="atLeast"/>
          <w:jc w:val="center"/>
        </w:trPr>
        <w:tc>
          <w:tcPr>
            <w:tcW w:w="1266"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工程规模</w:t>
            </w:r>
          </w:p>
        </w:tc>
        <w:tc>
          <w:tcPr>
            <w:tcW w:w="1134"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大</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1</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型</w:t>
            </w:r>
          </w:p>
        </w:tc>
        <w:tc>
          <w:tcPr>
            <w:tcW w:w="1985"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大</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2</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型</w:t>
            </w:r>
          </w:p>
        </w:tc>
        <w:tc>
          <w:tcPr>
            <w:tcW w:w="1275"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中型</w:t>
            </w:r>
          </w:p>
        </w:tc>
        <w:tc>
          <w:tcPr>
            <w:tcW w:w="1418"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小</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1</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型</w:t>
            </w:r>
          </w:p>
        </w:tc>
        <w:tc>
          <w:tcPr>
            <w:tcW w:w="1276" w:type="dxa"/>
            <w:tcMar>
              <w:top w:w="0" w:type="dxa"/>
              <w:left w:w="108" w:type="dxa"/>
              <w:bottom w:w="0" w:type="dxa"/>
              <w:right w:w="108" w:type="dxa"/>
            </w:tcMar>
            <w:vAlign w:val="center"/>
          </w:tcPr>
          <w:p>
            <w:pPr>
              <w:widowControl/>
              <w:spacing w:line="360" w:lineRule="auto"/>
              <w:jc w:val="cente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小</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2</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w:t>
            </w:r>
            <w:r>
              <w:rPr>
                <w:rFonts w:hint="default" w:ascii="Times New Roman" w:hAnsi="Times New Roman" w:cs="Times New Roman"/>
                <w:b/>
                <w:bCs/>
                <w:color w:val="000000" w:themeColor="text1"/>
                <w:kern w:val="0"/>
                <w:sz w:val="21"/>
                <w:szCs w:val="21"/>
                <w:highlight w:val="none"/>
                <w:u w:val="none"/>
                <w14:textFill>
                  <w14:solidFill>
                    <w14:schemeClr w14:val="tx1"/>
                  </w14:solidFill>
                </w14:textFill>
              </w:rPr>
              <w:t>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3" w:hRule="atLeast"/>
          <w:jc w:val="center"/>
        </w:trPr>
        <w:tc>
          <w:tcPr>
            <w:tcW w:w="1266" w:type="dxa"/>
            <w:tcMar>
              <w:top w:w="0" w:type="dxa"/>
              <w:left w:w="108" w:type="dxa"/>
              <w:bottom w:w="0" w:type="dxa"/>
              <w:right w:w="108" w:type="dxa"/>
            </w:tcMar>
            <w:vAlign w:val="center"/>
          </w:tcPr>
          <w:p>
            <w:pPr>
              <w:widowControl/>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过闸流量</w:t>
            </w:r>
          </w:p>
        </w:tc>
        <w:tc>
          <w:tcPr>
            <w:tcW w:w="1134" w:type="dxa"/>
            <w:tcMar>
              <w:top w:w="0" w:type="dxa"/>
              <w:left w:w="108" w:type="dxa"/>
              <w:bottom w:w="0" w:type="dxa"/>
              <w:right w:w="108" w:type="dxa"/>
            </w:tcMar>
            <w:vAlign w:val="center"/>
          </w:tcPr>
          <w:p>
            <w:pPr>
              <w:widowControl/>
              <w:spacing w:line="240" w:lineRule="exact"/>
              <w:jc w:val="center"/>
              <w:rPr>
                <w:rFonts w:hint="default" w:ascii="Times New Roman" w:hAnsi="Times New Roman" w:cs="Times New Roman"/>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color w:val="000000" w:themeColor="text1"/>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5000m</w:t>
            </w:r>
            <w:r>
              <w:rPr>
                <w:rFonts w:hint="default" w:ascii="Times New Roman" w:hAnsi="Times New Roman" w:cs="Times New Roman"/>
                <w:color w:val="000000" w:themeColor="text1"/>
                <w:kern w:val="0"/>
                <w:sz w:val="22"/>
                <w:szCs w:val="22"/>
                <w:highlight w:val="none"/>
                <w:u w:val="none"/>
                <w:vertAlign w:val="superscript"/>
                <w14:textFill>
                  <w14:solidFill>
                    <w14:schemeClr w14:val="tx1"/>
                  </w14:solidFill>
                </w14:textFill>
              </w:rPr>
              <w:t>3</w:t>
            </w:r>
          </w:p>
        </w:tc>
        <w:tc>
          <w:tcPr>
            <w:tcW w:w="1985" w:type="dxa"/>
            <w:tcMar>
              <w:top w:w="0" w:type="dxa"/>
              <w:left w:w="108" w:type="dxa"/>
              <w:bottom w:w="0" w:type="dxa"/>
              <w:right w:w="108" w:type="dxa"/>
            </w:tcMar>
            <w:vAlign w:val="center"/>
          </w:tcPr>
          <w:p>
            <w:pPr>
              <w:widowControl/>
              <w:spacing w:line="240" w:lineRule="exact"/>
              <w:jc w:val="center"/>
              <w:rPr>
                <w:rFonts w:hint="default" w:ascii="Times New Roman" w:hAnsi="Times New Roman" w:cs="Times New Roman"/>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color w:val="000000" w:themeColor="text1"/>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1000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 xml:space="preserve"> ＜5000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p>
        </w:tc>
        <w:tc>
          <w:tcPr>
            <w:tcW w:w="1275" w:type="dxa"/>
            <w:tcMar>
              <w:top w:w="0" w:type="dxa"/>
              <w:left w:w="108" w:type="dxa"/>
              <w:bottom w:w="0" w:type="dxa"/>
              <w:right w:w="108" w:type="dxa"/>
            </w:tcMar>
            <w:vAlign w:val="center"/>
          </w:tcPr>
          <w:p>
            <w:pPr>
              <w:widowControl/>
              <w:spacing w:line="240" w:lineRule="exact"/>
              <w:jc w:val="center"/>
              <w:rPr>
                <w:rFonts w:hint="default" w:ascii="Times New Roman" w:hAnsi="Times New Roman" w:cs="Times New Roman"/>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color w:val="000000" w:themeColor="text1"/>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100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 xml:space="preserve"> ＜1000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p>
        </w:tc>
        <w:tc>
          <w:tcPr>
            <w:tcW w:w="1418" w:type="dxa"/>
            <w:tcMar>
              <w:top w:w="0" w:type="dxa"/>
              <w:left w:w="108" w:type="dxa"/>
              <w:bottom w:w="0" w:type="dxa"/>
              <w:right w:w="108" w:type="dxa"/>
            </w:tcMar>
            <w:vAlign w:val="center"/>
          </w:tcPr>
          <w:p>
            <w:pPr>
              <w:widowControl/>
              <w:spacing w:line="240" w:lineRule="exact"/>
              <w:jc w:val="center"/>
              <w:rPr>
                <w:rFonts w:hint="default" w:ascii="Times New Roman" w:hAnsi="Times New Roman" w:cs="Times New Roman"/>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color w:val="000000" w:themeColor="text1"/>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20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 xml:space="preserve"> ＜100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p>
        </w:tc>
        <w:tc>
          <w:tcPr>
            <w:tcW w:w="1276" w:type="dxa"/>
            <w:tcMar>
              <w:top w:w="0" w:type="dxa"/>
              <w:left w:w="108" w:type="dxa"/>
              <w:bottom w:w="0" w:type="dxa"/>
              <w:right w:w="108" w:type="dxa"/>
            </w:tcMar>
            <w:vAlign w:val="center"/>
          </w:tcPr>
          <w:p>
            <w:pPr>
              <w:widowControl/>
              <w:spacing w:line="240" w:lineRule="exact"/>
              <w:jc w:val="center"/>
              <w:rPr>
                <w:rFonts w:hint="default" w:ascii="Times New Roman" w:hAnsi="Times New Roman" w:cs="Times New Roman"/>
                <w:color w:val="000000" w:themeColor="text1"/>
                <w:kern w:val="0"/>
                <w:sz w:val="22"/>
                <w:szCs w:val="22"/>
                <w:highlight w:val="none"/>
                <w:u w:val="none"/>
                <w14:textFill>
                  <w14:solidFill>
                    <w14:schemeClr w14:val="tx1"/>
                  </w14:solidFill>
                </w14:textFill>
              </w:rPr>
            </w:pPr>
            <w:r>
              <w:rPr>
                <w:rFonts w:hint="default" w:ascii="Times New Roman" w:hAnsi="Times New Roman" w:cs="Times New Roman"/>
                <w:color w:val="000000" w:themeColor="text1"/>
                <w:kern w:val="0"/>
                <w:sz w:val="22"/>
                <w:szCs w:val="22"/>
                <w:highlight w:val="none"/>
                <w:u w:val="none"/>
                <w14:textFill>
                  <w14:solidFill>
                    <w14:schemeClr w14:val="tx1"/>
                  </w14:solidFill>
                </w14:textFill>
              </w:rPr>
              <w:t>＜</w:t>
            </w:r>
            <w:r>
              <w:rPr>
                <w:rFonts w:hint="default" w:ascii="Times New Roman" w:hAnsi="Times New Roman" w:cs="Times New Roman"/>
                <w:color w:val="000000" w:themeColor="text1"/>
                <w:kern w:val="0"/>
                <w:sz w:val="22"/>
                <w:szCs w:val="22"/>
                <w:highlight w:val="none"/>
                <w:u w:val="none"/>
                <w14:textFill>
                  <w14:solidFill>
                    <w14:schemeClr w14:val="tx1"/>
                  </w14:solidFill>
                </w14:textFill>
              </w:rPr>
              <w:t>20</w:t>
            </w:r>
            <w:r>
              <w:rPr>
                <w:rFonts w:hint="default" w:ascii="Times New Roman" w:hAnsi="Times New Roman" w:cs="Times New Roman"/>
                <w:color w:val="000000" w:themeColor="text1"/>
                <w:spacing w:val="-2"/>
                <w:kern w:val="0"/>
                <w:sz w:val="22"/>
                <w:szCs w:val="22"/>
                <w:highlight w:val="none"/>
                <w:u w:val="none"/>
                <w14:textFill>
                  <w14:solidFill>
                    <w14:schemeClr w14:val="tx1"/>
                  </w14:solidFill>
                </w14:textFill>
              </w:rPr>
              <w:t>m</w:t>
            </w:r>
            <w:r>
              <w:rPr>
                <w:rFonts w:hint="default" w:ascii="Times New Roman" w:hAnsi="Times New Roman" w:cs="Times New Roman"/>
                <w:color w:val="000000" w:themeColor="text1"/>
                <w:spacing w:val="-2"/>
                <w:kern w:val="0"/>
                <w:sz w:val="22"/>
                <w:szCs w:val="22"/>
                <w:highlight w:val="none"/>
                <w:u w:val="none"/>
                <w:vertAlign w:val="superscript"/>
                <w14:textFill>
                  <w14:solidFill>
                    <w14:schemeClr w14:val="tx1"/>
                  </w14:solidFill>
                </w14:textFill>
              </w:rPr>
              <w:t>3</w:t>
            </w:r>
          </w:p>
        </w:tc>
      </w:tr>
    </w:tbl>
    <w:p>
      <w:pPr>
        <w:pStyle w:val="18"/>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sz w:val="28"/>
          <w:szCs w:val="28"/>
          <w:highlight w:val="none"/>
          <w:u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u w:val="none"/>
          <w14:textFill>
            <w14:solidFill>
              <w14:schemeClr w14:val="tx1"/>
            </w14:solidFill>
          </w14:textFill>
        </w:rPr>
        <w:t>堤防永久性水工建筑物级别</w:t>
      </w:r>
    </w:p>
    <w:tbl>
      <w:tblPr>
        <w:tblStyle w:val="20"/>
        <w:tblW w:w="835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33"/>
        <w:gridCol w:w="1276"/>
        <w:gridCol w:w="1276"/>
        <w:gridCol w:w="1275"/>
        <w:gridCol w:w="1418"/>
        <w:gridCol w:w="12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833" w:type="dxa"/>
          </w:tcPr>
          <w:p>
            <w:pPr>
              <w:widowControl/>
              <w:jc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spacing w:val="2"/>
                <w:kern w:val="0"/>
                <w:sz w:val="24"/>
                <w:szCs w:val="21"/>
                <w:highlight w:val="none"/>
                <w:u w:val="none"/>
                <w14:textFill>
                  <w14:solidFill>
                    <w14:schemeClr w14:val="tx1"/>
                  </w14:solidFill>
                </w14:textFill>
              </w:rPr>
              <w:t>防洪标准/</w:t>
            </w:r>
            <w:r>
              <w:rPr>
                <w:rFonts w:hint="default" w:ascii="Times New Roman" w:hAnsi="Times New Roman" w:cs="Times New Roman"/>
                <w:b/>
                <w:bCs/>
                <w:color w:val="000000" w:themeColor="text1"/>
                <w:spacing w:val="47"/>
                <w:kern w:val="0"/>
                <w:sz w:val="24"/>
                <w:szCs w:val="21"/>
                <w:highlight w:val="none"/>
                <w:u w:val="none"/>
                <w14:textFill>
                  <w14:solidFill>
                    <w14:schemeClr w14:val="tx1"/>
                  </w14:solidFill>
                </w14:textFill>
              </w:rPr>
              <w:t>[重现期(年)]</w:t>
            </w:r>
          </w:p>
        </w:tc>
        <w:tc>
          <w:tcPr>
            <w:tcW w:w="1276" w:type="dxa"/>
            <w:vAlign w:val="center"/>
          </w:tcPr>
          <w:p>
            <w:pPr>
              <w:widowControl/>
              <w:jc w:val="cente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100</w:t>
            </w:r>
          </w:p>
        </w:tc>
        <w:tc>
          <w:tcPr>
            <w:tcW w:w="1276" w:type="dxa"/>
            <w:vAlign w:val="center"/>
          </w:tcPr>
          <w:p>
            <w:pPr>
              <w:widowControl/>
              <w:jc w:val="cente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＜100,</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50</w:t>
            </w:r>
          </w:p>
        </w:tc>
        <w:tc>
          <w:tcPr>
            <w:tcW w:w="1275" w:type="dxa"/>
            <w:vAlign w:val="center"/>
          </w:tcPr>
          <w:p>
            <w:pPr>
              <w:widowControl/>
              <w:jc w:val="cente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＜50,</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30</w:t>
            </w:r>
          </w:p>
        </w:tc>
        <w:tc>
          <w:tcPr>
            <w:tcW w:w="1418" w:type="dxa"/>
            <w:vAlign w:val="center"/>
          </w:tcPr>
          <w:p>
            <w:pPr>
              <w:widowControl/>
              <w:jc w:val="cente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＜30,</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20</w:t>
            </w:r>
          </w:p>
        </w:tc>
        <w:tc>
          <w:tcPr>
            <w:tcW w:w="1276" w:type="dxa"/>
            <w:vAlign w:val="center"/>
          </w:tcPr>
          <w:p>
            <w:pPr>
              <w:widowControl/>
              <w:jc w:val="cente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＜20,</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w:t>
            </w:r>
            <w:r>
              <w:rPr>
                <w:rFonts w:hint="default" w:ascii="Times New Roman" w:hAnsi="Times New Roman" w:cs="Times New Roman"/>
                <w:b/>
                <w:bCs/>
                <w:color w:val="000000" w:themeColor="text1"/>
                <w:kern w:val="0"/>
                <w:sz w:val="22"/>
                <w:szCs w:val="20"/>
                <w:highlight w:val="none"/>
                <w:u w:val="none"/>
                <w14:textFill>
                  <w14:solidFill>
                    <w14:schemeClr w14:val="tx1"/>
                  </w14:solidFill>
                </w14:textFill>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jc w:val="center"/>
        </w:trPr>
        <w:tc>
          <w:tcPr>
            <w:tcW w:w="1833" w:type="dxa"/>
            <w:vAlign w:val="center"/>
          </w:tcPr>
          <w:p>
            <w:pPr>
              <w:widowControl/>
              <w:jc w:val="center"/>
              <w:textAlignment w:val="cente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pPr>
            <w:r>
              <w:rPr>
                <w:rFonts w:hint="default" w:ascii="Times New Roman" w:hAnsi="Times New Roman" w:cs="Times New Roman"/>
                <w:b/>
                <w:bCs/>
                <w:color w:val="000000" w:themeColor="text1"/>
                <w:kern w:val="0"/>
                <w:sz w:val="24"/>
                <w:szCs w:val="21"/>
                <w:highlight w:val="none"/>
                <w:u w:val="none"/>
                <w14:textFill>
                  <w14:solidFill>
                    <w14:schemeClr w14:val="tx1"/>
                  </w14:solidFill>
                </w14:textFill>
              </w:rPr>
              <w:t>堤防级别</w:t>
            </w:r>
          </w:p>
        </w:tc>
        <w:tc>
          <w:tcPr>
            <w:tcW w:w="1276" w:type="dxa"/>
            <w:vAlign w:val="center"/>
          </w:tcPr>
          <w:p>
            <w:pPr>
              <w:widowControl/>
              <w:jc w:val="center"/>
              <w:textAlignment w:val="center"/>
              <w:rPr>
                <w:rFonts w:hint="default" w:ascii="Times New Roman" w:hAnsi="Times New Roman" w:cs="Times New Roman"/>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color w:val="000000" w:themeColor="text1"/>
                <w:kern w:val="0"/>
                <w:sz w:val="22"/>
                <w:szCs w:val="20"/>
                <w:highlight w:val="none"/>
                <w:u w:val="none"/>
                <w14:textFill>
                  <w14:solidFill>
                    <w14:schemeClr w14:val="tx1"/>
                  </w14:solidFill>
                </w14:textFill>
              </w:rPr>
              <w:t>1</w:t>
            </w:r>
          </w:p>
        </w:tc>
        <w:tc>
          <w:tcPr>
            <w:tcW w:w="1276" w:type="dxa"/>
            <w:vAlign w:val="center"/>
          </w:tcPr>
          <w:p>
            <w:pPr>
              <w:widowControl/>
              <w:jc w:val="center"/>
              <w:textAlignment w:val="center"/>
              <w:rPr>
                <w:rFonts w:hint="default" w:ascii="Times New Roman" w:hAnsi="Times New Roman" w:cs="Times New Roman"/>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color w:val="000000" w:themeColor="text1"/>
                <w:kern w:val="0"/>
                <w:sz w:val="22"/>
                <w:szCs w:val="20"/>
                <w:highlight w:val="none"/>
                <w:u w:val="none"/>
                <w14:textFill>
                  <w14:solidFill>
                    <w14:schemeClr w14:val="tx1"/>
                  </w14:solidFill>
                </w14:textFill>
              </w:rPr>
              <w:t>2</w:t>
            </w:r>
          </w:p>
        </w:tc>
        <w:tc>
          <w:tcPr>
            <w:tcW w:w="1275" w:type="dxa"/>
            <w:vAlign w:val="center"/>
          </w:tcPr>
          <w:p>
            <w:pPr>
              <w:widowControl/>
              <w:jc w:val="center"/>
              <w:textAlignment w:val="center"/>
              <w:rPr>
                <w:rFonts w:hint="default" w:ascii="Times New Roman" w:hAnsi="Times New Roman" w:cs="Times New Roman"/>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color w:val="000000" w:themeColor="text1"/>
                <w:kern w:val="0"/>
                <w:sz w:val="22"/>
                <w:szCs w:val="20"/>
                <w:highlight w:val="none"/>
                <w:u w:val="none"/>
                <w14:textFill>
                  <w14:solidFill>
                    <w14:schemeClr w14:val="tx1"/>
                  </w14:solidFill>
                </w14:textFill>
              </w:rPr>
              <w:t>3</w:t>
            </w:r>
          </w:p>
        </w:tc>
        <w:tc>
          <w:tcPr>
            <w:tcW w:w="1418" w:type="dxa"/>
            <w:vAlign w:val="center"/>
          </w:tcPr>
          <w:p>
            <w:pPr>
              <w:widowControl/>
              <w:jc w:val="center"/>
              <w:textAlignment w:val="center"/>
              <w:rPr>
                <w:rFonts w:hint="default" w:ascii="Times New Roman" w:hAnsi="Times New Roman" w:cs="Times New Roman"/>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color w:val="000000" w:themeColor="text1"/>
                <w:kern w:val="0"/>
                <w:sz w:val="22"/>
                <w:szCs w:val="20"/>
                <w:highlight w:val="none"/>
                <w:u w:val="none"/>
                <w14:textFill>
                  <w14:solidFill>
                    <w14:schemeClr w14:val="tx1"/>
                  </w14:solidFill>
                </w14:textFill>
              </w:rPr>
              <w:t>4</w:t>
            </w:r>
          </w:p>
        </w:tc>
        <w:tc>
          <w:tcPr>
            <w:tcW w:w="1276" w:type="dxa"/>
            <w:vAlign w:val="center"/>
          </w:tcPr>
          <w:p>
            <w:pPr>
              <w:widowControl/>
              <w:jc w:val="center"/>
              <w:textAlignment w:val="center"/>
              <w:rPr>
                <w:rFonts w:hint="default" w:ascii="Times New Roman" w:hAnsi="Times New Roman" w:cs="Times New Roman"/>
                <w:color w:val="000000" w:themeColor="text1"/>
                <w:kern w:val="0"/>
                <w:sz w:val="22"/>
                <w:szCs w:val="20"/>
                <w:highlight w:val="none"/>
                <w:u w:val="none"/>
                <w14:textFill>
                  <w14:solidFill>
                    <w14:schemeClr w14:val="tx1"/>
                  </w14:solidFill>
                </w14:textFill>
              </w:rPr>
            </w:pPr>
            <w:r>
              <w:rPr>
                <w:rFonts w:hint="default" w:ascii="Times New Roman" w:hAnsi="Times New Roman" w:cs="Times New Roman"/>
                <w:color w:val="000000" w:themeColor="text1"/>
                <w:kern w:val="0"/>
                <w:sz w:val="22"/>
                <w:szCs w:val="20"/>
                <w:highlight w:val="none"/>
                <w:u w:val="none"/>
                <w14:textFill>
                  <w14:solidFill>
                    <w14:schemeClr w14:val="tx1"/>
                  </w14:solidFill>
                </w14:textFill>
              </w:rPr>
              <w:t>5</w:t>
            </w:r>
          </w:p>
        </w:tc>
      </w:tr>
    </w:tbl>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1" w:name="_Toc3020"/>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二、评标委员会的组建</w:t>
      </w:r>
      <w:bookmarkEnd w:id="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评标由招标人依法组建的评标委员会负责。评标委员会由招标人或其委托的招标代理机构熟悉相关业务的代表，以及有关技术、经济等方面的专家组成，其中技术、经济等方面的专家不得少于成员总数的三分之二。大型水利工程、中型水闸、中小型水库等枢纽工程(包括除险加固)水电站、泵站及其它技术复杂的水利工程，成员人数为七人及以上单数，其他水利工程成员人数为五人</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及</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以上单数。</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下列人员不得担任评标委员会成员，已经担任的应当更换。</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(一)投标人或者投标人主要负责人的近亲属;</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(二)项目主管部门或者行政监督部门的人员;</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(三)与投标人有经济利益关系，可能影响对投标公正评审的;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(四)曾因在招标、评标以及其他与招标投标有关活动中从事违法行为而受过行政处罚或刑事处罚的。</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2" w:name="_Toc31215"/>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三、评审</w:t>
      </w:r>
      <w:bookmarkEnd w:id="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投标人应按照《水利部关于印发〈水利建设市场经营主体信用信息管理办法〉的通知》（水建设〔2024〕201号）的规定，在全国水利建设市场监管平台建立信息档案，如实填报基础登记信息、运营信息、行政奖励信息、社会评价信息和其他信息。评标委员会在评标评审中，应查询全国水利建设市场监管平台投标人公示信息进行核对，投标人投标文件与全国水利建设市场监管平台公示不一致的人员资格、业绩、投标人业绩、社会评价信息、行政奖励信息等影响到评标结果的信息，评标委员会评标评审不予认定。</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3" w:name="_Toc27840"/>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（一）资格评审</w:t>
      </w:r>
      <w:bookmarkEnd w:id="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1.采用资格预审的，组建资格审查委员会，按照资格预审文件载明的标准和方法对投标人进行资格预审。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2.采用资格后审的，组建评标委员会，对所有投标人的投标资格进行审查。</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3.投标人通过资格审查必须同时满足下列条件：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（1）具备独立法人资格，具有水利水电工程勘察设计的相应资质。具体资质要求由招标人根据工程规模与特点，严格按照《建设工程勘察设计资质管理规定》要求在招标公告中确定；</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资质等级和承接工程规模等级范围对应</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请见住房和城乡建设部发布的《建设工程勘察设计资质管理规定》及配套的《工程勘察资质标准》《工程设计资质标准》。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（2）具有有效营业执照证书；</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（3）投标人未处于被责令停业，投标资格被取消，财产被接管、冻结，破产状态；</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资格预审项目自确定正式投标人之日起或资格后审项目自开标之日起至发出中标通知书前，投标项目负责人（项目总设计师）不得被更换。确需更换项目负责人（项目总设计师）的，需经招标单位同意出具书面证明，且更换后的人员资格不得低于合同约定的条件，并符合以下情形：</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①</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死亡；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因重大疾病、辞职或调离原工作企业不能履行职责；</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③</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因违法违规被责令停止执业；</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④</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因犯罪或涉嫌犯罪被羁押或判刑；</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⑤</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因其它不可抗力等特殊情况必须更换的。</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4" w:name="_Toc30927"/>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（二）响应性评审</w:t>
      </w:r>
      <w:bookmarkEnd w:id="4"/>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评标活动中发现存在《新疆维吾尔自治区建设工程串通投标行为认定和处理办法(试行)》(新政资发(2022)15号)串通投标行为和以他人名义投标、以行贿手段谋取中标或者以其他弄虚作假方式投标的，经评标委员会确认，应当否决其投标，并在评标报告中说明。</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评标委员会对通过资格审查的投标人进行响应性评审。未能实质响应的，应当否决其投标，并在评标报告中说明。招标文件对重大偏差另有规定的，从其规定。投标文件出现细微偏差不会对其他投标人造成不公平结果，在实质上响应招标文件要求的，不影响投标文件有效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3.投标文件有下列情形之一的，视为未能在实质上响应招标文件：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（1）未按招标文件要求提供投标保证金的；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（2）投标文件未按招标文件格式要求签字或加盖公章的；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（3）投标文件载明的招标项目完成期限（含准备期）超过招标文件规定期限或投标文件承诺的质量等级低于招标文件规定要求的；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（4）投标文件附有招标人不能接受的条件的；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（5）不符合招标文件中规定的其他实质性要求或违反国家有关规定的；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（6）投标报价明显低于成本，或者高于招标文件设定的最高投标限价的；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（7）采用资格预审的，投标文件中投标人名称或组织机构拟投入项目负责人（项目总设计师）、专业设计负责人需满足项目特点与专业要求。</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投标文件中承诺的投标有效期少于招标文件中载明的投标有效期</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5" w:name="_Toc4742"/>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（三）技术和商务评分</w:t>
      </w:r>
      <w:bookmarkEnd w:id="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采用综合评估法。评标委员会根据本评标办法独立对投标人投标文件的技术部分和商务部分逐项打分并累计总分，即为投标人的技术和商务得分，计算方法见评分标准。</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6" w:name="_Toc2407"/>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（四）报价评分</w:t>
      </w:r>
      <w:bookmarkEnd w:id="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评标委员会对各有效投标人报价复核并评分，计算方法见评分标准。</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7" w:name="_Toc8103"/>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（五）计算最终得分</w:t>
      </w:r>
      <w:bookmarkEnd w:id="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技术部分、商务部分与报价部分得分之和为投标人的最终得分。</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8" w:name="_Toc22387"/>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（六）中标候选人排序及中标人确定</w:t>
      </w:r>
      <w:bookmarkEnd w:id="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评标委员会对各有效投标人投标得分复核确认，并按投标得分由高到低推荐不超过3名中标候选人。如得分相等，则投标报价低的排名靠前；投标报价也相等的，由招标人代表在监督人员的监督下，当场随机抽取确定最终的中标候选人排序顺位。</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2.招标人根据评标委员会推荐的中标候选人名单进行公示。无特殊情况时，排名第一的中标候选人确定为中标人。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排名第一的中标候选人放弃中标、因不可抗力不能履行合同、不按照招标文件要求提交履约保证金、被查实存在影响中标结果的违法行为等情形，不符合中标条件的，招标人可以按照评标委员会提出的中标候选人名单排序依次确定其他中标候选人为中标人，也可以重新招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4.失信行为否决。依照《全国失信惩戒措施基础清单（2025年版）》，有下列情形之一，受到有关行政部门行政处罚或被列入失信被执行人名单，且仍处于公示期内的，取消中标资格：</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（1）串通投标或以行贿的手段谋取中标，且情节严重的投标人；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（2）以他人名义投标或者以其他方式弄虚作假，骗取中标，且情节严重的投标人；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（3）不按照与招标人订立的合同履行义务，且情节严重的中标人；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（4）被列入拖欠农民工工资失信联合惩戒对象名单的主体。</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以上信息以“信用中国”网站、全国水利建设市场监管平台公布和各级各行业行政部门经查实认定并在其官网公示的为准。招标人收到对投标人上述行为的异议，或有管辖权的水行政主管部门收到对投标人上述行为的投诉后，应当依法予以核处。</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9" w:name="_Toc16087"/>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四、评分标准</w:t>
      </w:r>
      <w:bookmarkEnd w:id="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详见《综合评估法评分标准》。</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10" w:name="_Toc8447"/>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五、释义</w:t>
      </w:r>
      <w:bookmarkEnd w:id="1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bookmarkStart w:id="11" w:name="_Hlk207009651"/>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（一）招标人或其委托的招标代理机构参与评标活动的代表，聘用单位应当依法与其建立规范的劳动关系，并满足以下要求：</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应签订期限不少于1年的书面劳动合同，劳动关系存续期需覆盖整个评标活动周期；</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须依法连续缴纳基本养老保险、医疗保险等社会保险，且参保缴费记录应自开标日起向前追溯不少于6个月。企业设立不足6个月的，提供至少1个月的社保缴费证明。</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二）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评标委员会应当书面要求存在细微偏差的投标人在评标结束前予以补正。</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）其他技术复杂的招标项目是指如下类型：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1.含渡槽、倒虹吸、泵站、隧洞（单洞长度大于1km或隧洞总长超过2km）的渠系工程；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2.含高边坡、高挡墙、深基坑、桩基础等施工难度大的防洪护岸、库岸整治、河道治理工程；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3.涉及喀斯特地貌、断层带穿越、涌水突泥风险区、地震高烈度区（≥8度）等地质复杂性较大的水利工程；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4.设计供水规模大于10000m3/d，含净化消毒设施设备的Ⅰ型集中式供水工程，高海拔2000米以上地区及含管道（管径φ315及以上）、渠道（流量1m3/s及以上）的输配水工程；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5.其他经水行政主管部门认定为技术复杂的项目等。</w:t>
      </w:r>
    </w:p>
    <w:p>
      <w:pPr>
        <w:widowControl/>
        <w:shd w:val="clear" w:color="auto" w:fill="FFFFFF"/>
        <w:spacing w:line="360" w:lineRule="auto"/>
        <w:ind w:firstLine="640"/>
        <w:rPr>
          <w:rFonts w:hint="default" w:ascii="Times New Roman" w:hAnsi="Times New Roman" w:eastAsia="宋体" w:cs="Times New Roman"/>
          <w:color w:val="000000" w:themeColor="text1"/>
          <w:kern w:val="0"/>
          <w:szCs w:val="28"/>
          <w:highlight w:val="none"/>
          <w:u w:val="none"/>
          <w:shd w:val="clear" w:color="auto" w:fill="FFFFFF"/>
          <w:lang w:val="en-US" w:eastAsia="zh-CN"/>
          <w14:textFill>
            <w14:solidFill>
              <w14:schemeClr w14:val="tx1"/>
            </w14:solidFill>
          </w14:textFill>
        </w:rPr>
      </w:pPr>
      <w: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t>（</w:t>
      </w:r>
      <w:r>
        <w:rPr>
          <w:rFonts w:hint="default" w:ascii="Times New Roman" w:hAnsi="Times New Roman" w:cs="Times New Roman"/>
          <w:color w:val="000000" w:themeColor="text1"/>
          <w:kern w:val="0"/>
          <w:szCs w:val="28"/>
          <w:highlight w:val="none"/>
          <w:u w:val="none"/>
          <w:shd w:val="clear" w:color="auto" w:fill="FFFFFF"/>
          <w:lang w:val="en-US" w:eastAsia="zh-CN"/>
          <w14:textFill>
            <w14:solidFill>
              <w14:schemeClr w14:val="tx1"/>
            </w14:solidFill>
          </w14:textFill>
        </w:rPr>
        <w:t>四</w:t>
      </w:r>
      <w: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t>）</w:t>
      </w:r>
      <w:r>
        <w:rPr>
          <w:rFonts w:hint="default" w:ascii="Times New Roman" w:hAnsi="Times New Roman" w:cs="Times New Roman"/>
          <w:color w:val="000000" w:themeColor="text1"/>
          <w:kern w:val="0"/>
          <w:szCs w:val="28"/>
          <w:highlight w:val="none"/>
          <w:u w:val="none"/>
          <w:shd w:val="clear" w:color="auto" w:fill="FFFFFF"/>
          <w:lang w:val="en-US" w:eastAsia="zh-CN"/>
          <w14:textFill>
            <w14:solidFill>
              <w14:schemeClr w14:val="tx1"/>
            </w14:solidFill>
          </w14:textFill>
        </w:rPr>
        <w:t>勘察设计项目中</w:t>
      </w:r>
      <w: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t>常见难点与关键点</w:t>
      </w:r>
      <w:r>
        <w:rPr>
          <w:rFonts w:hint="default" w:ascii="Times New Roman" w:hAnsi="Times New Roman" w:cs="Times New Roman"/>
          <w:color w:val="000000" w:themeColor="text1"/>
          <w:highlight w:val="none"/>
          <w:u w:val="none"/>
          <w:lang w:eastAsia="zh-CN"/>
          <w14:textFill>
            <w14:solidFill>
              <w14:schemeClr w14:val="tx1"/>
            </w14:solidFill>
          </w14:textFill>
        </w:rPr>
        <w:t>。</w:t>
      </w:r>
    </w:p>
    <w:tbl>
      <w:tblPr>
        <w:tblStyle w:val="20"/>
        <w:tblW w:w="8287" w:type="dxa"/>
        <w:tblInd w:w="4"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Layout w:type="autofit"/>
        <w:tblCellMar>
          <w:top w:w="15" w:type="dxa"/>
          <w:left w:w="15" w:type="dxa"/>
          <w:bottom w:w="15" w:type="dxa"/>
          <w:right w:w="15" w:type="dxa"/>
        </w:tblCellMar>
      </w:tblPr>
      <w:tblGrid>
        <w:gridCol w:w="1313"/>
        <w:gridCol w:w="3409"/>
        <w:gridCol w:w="3565"/>
      </w:tblGrid>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blHeader/>
        </w:trPr>
        <w:tc>
          <w:tcPr>
            <w:tcW w:w="1313" w:type="dxa"/>
            <w:shd w:val="clear" w:color="auto" w:fill="D8D8D8" w:themeFill="background1" w:themeFillShade="D9"/>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bCs/>
                <w:color w:val="0F1115"/>
                <w:sz w:val="24"/>
                <w:szCs w:val="24"/>
                <w:highlight w:val="none"/>
              </w:rPr>
            </w:pPr>
            <w:r>
              <w:rPr>
                <w:rFonts w:hint="default" w:ascii="Times New Roman" w:hAnsi="Times New Roman" w:cs="Times New Roman"/>
                <w:b/>
                <w:bCs/>
                <w:color w:val="0F1115"/>
                <w:sz w:val="24"/>
                <w:szCs w:val="24"/>
                <w:highlight w:val="none"/>
              </w:rPr>
              <w:t>项目类型</w:t>
            </w:r>
          </w:p>
        </w:tc>
        <w:tc>
          <w:tcPr>
            <w:tcW w:w="3409" w:type="dxa"/>
            <w:shd w:val="clear" w:color="auto" w:fill="D8D8D8" w:themeFill="background1" w:themeFillShade="D9"/>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bCs/>
                <w:color w:val="0F1115"/>
                <w:sz w:val="24"/>
                <w:szCs w:val="24"/>
                <w:highlight w:val="none"/>
              </w:rPr>
            </w:pPr>
            <w:r>
              <w:rPr>
                <w:rFonts w:hint="default" w:ascii="Times New Roman" w:hAnsi="Times New Roman" w:cs="Times New Roman"/>
                <w:b/>
                <w:bCs/>
                <w:color w:val="0F1115"/>
                <w:sz w:val="24"/>
                <w:szCs w:val="24"/>
                <w:highlight w:val="none"/>
              </w:rPr>
              <w:t>主要难点</w:t>
            </w:r>
          </w:p>
        </w:tc>
        <w:tc>
          <w:tcPr>
            <w:tcW w:w="3565" w:type="dxa"/>
            <w:shd w:val="clear" w:color="auto" w:fill="D8D8D8" w:themeFill="background1" w:themeFillShade="D9"/>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bCs/>
                <w:color w:val="0F1115"/>
                <w:sz w:val="24"/>
                <w:szCs w:val="24"/>
                <w:highlight w:val="none"/>
              </w:rPr>
            </w:pPr>
            <w:r>
              <w:rPr>
                <w:rFonts w:hint="default" w:ascii="Times New Roman" w:hAnsi="Times New Roman" w:cs="Times New Roman"/>
                <w:b/>
                <w:bCs/>
                <w:color w:val="0F1115"/>
                <w:sz w:val="24"/>
                <w:szCs w:val="24"/>
                <w:highlight w:val="none"/>
              </w:rPr>
              <w:t>关键设计要点</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水库工程</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1.地质条件复杂（断层、岩溶、软弱夹层等）</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2.库区淹没与移民安置复杂</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3.大坝抗滑稳定、渗流控制、抗震安全</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4.多沙河流的泥沙淤积问题</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5.对地质与生态环境的潜在影响（滑坡、诱发地震、生态阻断</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1.坝址与坝型优选（重力坝、拱坝、土石坝</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2.水文与调洪演算（设计洪水位、泄洪设施</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3.防渗系统设计（帷幕灌浆、防渗墙</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4.抗震动力分析与设计</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5.生态流量保障设施（生态泄水孔、鱼道</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堤防与河道整治</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1.水文泥沙条件多变，河势不稳定</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2.软基、透水层等地基处理复杂</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3.生态护岸与传统工程结构的协调</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4.城市段多目标约束（防洪、景观、市政</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1.河道水力模拟与行洪断面设计</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2.护岸结构选型与防冲设计（生态护坡、抛石护脚</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3.防渗与加固处理（防渗墙、土工合成材料</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4.整治线规划与河势控制</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5.安全监测系统设计（位移、渗流监测</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引调水工程</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1.长线路地质条件多变（隧洞围岩、软土沉降</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2.多建筑物水力衔接与调控复杂</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3.长距离输水水质保障</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4.跨流域调水的生态影响</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1.线路综合比选（地形、地质、社会经济</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2.泵站与渠系优化设计（扬程、流量、水力衔接</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3.关键建筑物设计（隧洞支护、渡槽结构、倒虹吸</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4.水质保护与监控系统</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5.生态补水与补偿设施</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灌排工程</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1.水资源优化配置与平衡</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2.盐碱化与涝渍防治</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3.田间工程精细化与地形适应</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4.渠系渗漏与建筑物老化</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1.灌溉制度与水量平衡分析</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2.节水灌溉系统设计（管道化、喷滴灌</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3.排水系统设计（明沟、暗管、地下水位控制</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4.渠系布局与防渗设计</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5.配套建筑物设计（分水闸、量水设施</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水电站工程</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（含抽水蓄能）</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1.高水头压力结构安全（管道、调压井</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2.地下厂房围岩稳定与高边坡处理</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3.水力机械选型适应复杂运行条件</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4.电网接入与运行调度协调</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1.开发方式与厂坝布置优化</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2.高压输水系统设计（线路、衬砌、支护</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3.调保计算与调压设施设计</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4.厂房与开关站布置（通风、防洪、防潮</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5.减缓和补偿生态影响措施（鱼道、生态流量</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水土保持工程</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1.措施需适应多样侵蚀类型</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2.生态恢复长期性与不确定性</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3.小型工程分散，设计标准化难</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1.小流域综合治理规划（坡面-沟道-河道体系</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2.拦沙工程设计（谷坊、拦沙坝</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3.坡面防护工程（梯田、鱼鳞坑、截水沟</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4.林草措施优化配置</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5.监测站点布设与效益评价</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1313" w:type="dxa"/>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港口与航道工程</w:t>
            </w:r>
          </w:p>
        </w:tc>
        <w:tc>
          <w:tcPr>
            <w:tcW w:w="3409" w:type="dxa"/>
            <w:shd w:val="clear" w:color="auto" w:fill="FFFFFF"/>
            <w:tcMar>
              <w:top w:w="150" w:type="dxa"/>
              <w:left w:w="24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1.复杂水文泥沙（潮汐、波浪、淤积</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2.沿海深厚软基处理</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3.结构耐久性（腐蚀、撞击、冰凌</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4.通航安全与交通管理</w:t>
            </w:r>
          </w:p>
        </w:tc>
        <w:tc>
          <w:tcPr>
            <w:tcW w:w="3565" w:type="dxa"/>
            <w:shd w:val="clear" w:color="auto" w:fill="FFFFFF"/>
            <w:tcMar>
              <w:top w:w="150" w:type="dxa"/>
              <w:left w:w="240" w:type="dxa"/>
              <w:bottom w:w="150" w:type="dxa"/>
              <w:right w:w="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rPr>
              <w:t>1.港区总平面布局优化</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2.航道选线与疏浚设计</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3.码头结构选型与地基处理</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4.防护建筑物设计（防波堤、护岸</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r>
              <w:rPr>
                <w:rFonts w:hint="default" w:ascii="Times New Roman" w:hAnsi="Times New Roman" w:cs="Times New Roman"/>
                <w:color w:val="0F1115"/>
                <w:sz w:val="24"/>
                <w:szCs w:val="24"/>
                <w:highlight w:val="none"/>
              </w:rPr>
              <w:br w:type="textWrapping"/>
            </w:r>
            <w:r>
              <w:rPr>
                <w:rFonts w:hint="default" w:ascii="Times New Roman" w:hAnsi="Times New Roman" w:cs="Times New Roman"/>
                <w:color w:val="0F1115"/>
                <w:sz w:val="24"/>
                <w:szCs w:val="24"/>
                <w:highlight w:val="none"/>
              </w:rPr>
              <w:t>5.助航设施配置（航标、灯塔</w:t>
            </w:r>
            <w:r>
              <w:rPr>
                <w:rFonts w:hint="default" w:ascii="Times New Roman" w:hAnsi="Times New Roman" w:cs="Times New Roman"/>
                <w:color w:val="0F1115"/>
                <w:sz w:val="24"/>
                <w:szCs w:val="24"/>
                <w:highlight w:val="none"/>
                <w:lang w:val="en-US" w:eastAsia="zh-CN"/>
              </w:rPr>
              <w:t>等</w:t>
            </w:r>
            <w:r>
              <w:rPr>
                <w:rFonts w:hint="default" w:ascii="Times New Roman" w:hAnsi="Times New Roman" w:cs="Times New Roman"/>
                <w:color w:val="0F1115"/>
                <w:sz w:val="24"/>
                <w:szCs w:val="24"/>
                <w:highlight w:val="none"/>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shd w:val="clear" w:color="auto" w:fill="FFFFFF"/>
          <w:tblCellMar>
            <w:top w:w="15" w:type="dxa"/>
            <w:left w:w="15" w:type="dxa"/>
            <w:bottom w:w="15" w:type="dxa"/>
            <w:right w:w="15" w:type="dxa"/>
          </w:tblCellMar>
        </w:tblPrEx>
        <w:tc>
          <w:tcPr>
            <w:tcW w:w="8287" w:type="dxa"/>
            <w:gridSpan w:val="3"/>
            <w:shd w:val="clear" w:color="auto" w:fill="FFFFFF"/>
            <w:tcMar>
              <w:top w:w="150" w:type="dxa"/>
              <w:left w:w="0" w:type="dxa"/>
              <w:bottom w:w="150" w:type="dxa"/>
              <w:right w:w="240"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color w:val="0F1115"/>
                <w:sz w:val="24"/>
                <w:szCs w:val="24"/>
                <w:highlight w:val="none"/>
              </w:rPr>
            </w:pPr>
            <w:r>
              <w:rPr>
                <w:rFonts w:hint="default" w:ascii="Times New Roman" w:hAnsi="Times New Roman" w:cs="Times New Roman"/>
                <w:color w:val="0F1115"/>
                <w:sz w:val="24"/>
                <w:szCs w:val="24"/>
                <w:highlight w:val="none"/>
                <w:lang w:val="en-US" w:eastAsia="zh-CN"/>
              </w:rPr>
              <w:t>备注：其他类型项目的难点与关键点由招标人自行制定并在招标文件中明确。</w:t>
            </w:r>
          </w:p>
        </w:tc>
      </w:tr>
    </w:tbl>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关于技术部分评审中的暗示包括但不限于以下具体情形内容：</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1.技术文件格式统一按要求进行编制；技术文件内不得出现投标人名称或者任何能引起判断出投标人名称和其相关人员信息的内容；不得在技术投标文件内出现空白页、重复页情况；</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2.A4幅面，全篇无色底纹；无页眉、页脚、页码；图表用纸幅面小于A4的用A4幅面，大于A4幅面的一律使用A3幅面；</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3.字体与排版要求：小四号宋体；常规字形，字体颜色为黑色，不得有任何修饰；字间距为标准，字体位置为标准，行间距为1.5倍行距，段前及段后间距均为0行；上、下、左、右页边距均为2.5厘米；</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相关</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附图（含图中表格）字体颜色为黑色，宋体字体，常规字形，不得有任何修饰，以清晰为准；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5.技术文件不做目录；</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6.技术文件中不得出现任何有关投标人的资料及可以识别的记号。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（幅面大小</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行距及页边距只是word或wps格式文本制作设置要求，评标委员会成员认为电子投标文件最终实际展示情况明显异常的，须经评标委员会讨论确定。）</w:t>
      </w:r>
    </w:p>
    <w:bookmarkEnd w:id="11"/>
    <w:p>
      <w:pPr>
        <w:pStyle w:val="18"/>
        <w:widowControl/>
        <w:spacing w:line="360" w:lineRule="auto"/>
        <w:ind w:firstLine="560" w:firstLineChars="200"/>
        <w:rPr>
          <w:rFonts w:hint="default" w:ascii="Times New Roman" w:hAnsi="Times New Roman" w:cs="Times New Roman"/>
          <w:color w:val="000000" w:themeColor="text1"/>
          <w:sz w:val="28"/>
          <w:szCs w:val="28"/>
          <w:highlight w:val="none"/>
          <w:u w:val="none"/>
          <w14:textFill>
            <w14:solidFill>
              <w14:schemeClr w14:val="tx1"/>
            </w14:solidFill>
          </w14:textFill>
        </w:rPr>
      </w:pPr>
      <w:r>
        <w:rPr>
          <w:rFonts w:hint="default" w:ascii="Times New Roman" w:hAnsi="Times New Roman" w:cs="Times New Roman"/>
          <w:color w:val="000000" w:themeColor="text1"/>
          <w:sz w:val="28"/>
          <w:szCs w:val="28"/>
          <w:highlight w:val="none"/>
          <w:u w:val="none"/>
          <w14:textFill>
            <w14:solidFill>
              <w14:schemeClr w14:val="tx1"/>
            </w14:solidFill>
          </w14:textFill>
        </w:rPr>
        <w:br w:type="page"/>
      </w:r>
    </w:p>
    <w:p>
      <w:pPr>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cs="Times New Roman"/>
          <w:b w:val="0"/>
          <w:bCs w:val="0"/>
          <w:color w:val="000000" w:themeColor="text1"/>
          <w:sz w:val="32"/>
          <w:szCs w:val="28"/>
          <w:highlight w:val="none"/>
          <w:u w:val="none"/>
          <w14:textFill>
            <w14:solidFill>
              <w14:schemeClr w14:val="tx1"/>
            </w14:solidFill>
          </w14:textFill>
        </w:rPr>
      </w:pPr>
      <w:r>
        <w:rPr>
          <w:rFonts w:hint="default" w:ascii="Times New Roman" w:hAnsi="Times New Roman" w:eastAsia="黑体" w:cs="Times New Roman"/>
          <w:b w:val="0"/>
          <w:bCs w:val="0"/>
          <w:color w:val="000000" w:themeColor="text1"/>
          <w:sz w:val="32"/>
          <w:szCs w:val="28"/>
          <w:highlight w:val="none"/>
          <w:u w:val="none"/>
          <w14:textFill>
            <w14:solidFill>
              <w14:schemeClr w14:val="tx1"/>
            </w14:solidFill>
          </w14:textFill>
        </w:rPr>
        <w:t>附件</w:t>
      </w:r>
    </w:p>
    <w:p>
      <w:pPr>
        <w:pStyle w:val="2"/>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宋体" w:cs="Times New Roman"/>
          <w:b/>
          <w:bCs/>
          <w:color w:val="000000" w:themeColor="text1"/>
          <w:sz w:val="36"/>
          <w:szCs w:val="36"/>
          <w:highlight w:val="none"/>
          <w:u w:val="none"/>
          <w14:textFill>
            <w14:solidFill>
              <w14:schemeClr w14:val="tx1"/>
            </w14:solidFill>
          </w14:textFill>
        </w:rPr>
      </w:pPr>
      <w:bookmarkStart w:id="12" w:name="_Toc9086"/>
    </w:p>
    <w:p>
      <w:pPr>
        <w:pStyle w:val="2"/>
        <w:pageBreakBefore w:val="0"/>
        <w:widowControl w:val="0"/>
        <w:kinsoku/>
        <w:wordWrap/>
        <w:overflowPunct/>
        <w:topLinePunct w:val="0"/>
        <w:autoSpaceDE/>
        <w:autoSpaceDN/>
        <w:bidi w:val="0"/>
        <w:adjustRightInd/>
        <w:snapToGrid/>
        <w:spacing w:before="0" w:after="0" w:line="560" w:lineRule="exact"/>
        <w:jc w:val="center"/>
        <w:textAlignment w:val="auto"/>
        <w:rPr>
          <w:rFonts w:hint="eastAsia" w:ascii="方正小标宋_GBK" w:hAnsi="方正小标宋_GBK" w:eastAsia="方正小标宋_GBK" w:cs="方正小标宋_GBK"/>
          <w:b w:val="0"/>
          <w:bCs w:val="0"/>
          <w:color w:val="000000" w:themeColor="text1"/>
          <w:sz w:val="44"/>
          <w:szCs w:val="44"/>
          <w:highlight w:val="none"/>
          <w:u w:val="none"/>
          <w14:textFill>
            <w14:solidFill>
              <w14:schemeClr w14:val="tx1"/>
            </w14:solidFill>
          </w14:textFill>
        </w:rPr>
      </w:pPr>
      <w:r>
        <w:rPr>
          <w:rFonts w:hint="eastAsia" w:ascii="方正小标宋_GBK" w:hAnsi="方正小标宋_GBK" w:eastAsia="方正小标宋_GBK" w:cs="方正小标宋_GBK"/>
          <w:b w:val="0"/>
          <w:bCs w:val="0"/>
          <w:color w:val="000000" w:themeColor="text1"/>
          <w:sz w:val="44"/>
          <w:szCs w:val="44"/>
          <w:highlight w:val="none"/>
          <w:u w:val="none"/>
          <w14:textFill>
            <w14:solidFill>
              <w14:schemeClr w14:val="tx1"/>
            </w14:solidFill>
          </w14:textFill>
        </w:rPr>
        <w:t>综合评估法Ⅰ类评分标准</w:t>
      </w:r>
      <w:bookmarkEnd w:id="1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综合评估法Ⅰ类评分标准采用百分制。总得分为技术评审、商务评审、及报价评审三项得分评价之和，其中技术部分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分，商务部分25分，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报价</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部分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30</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经初步评审合格的投标文件，评标委员会应当根据以下评分标准，对其技术、商务和报价作进一步评审、比较、评分。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技术部分采用暗标评审，</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投标人</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提交的设计方案、资源配备及服务能力（除人员总体配备之外）不得有任何有关投标人的暗示（具体情形规定见释义）。否则，将否决其投标。</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13" w:name="_Toc2898"/>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一、技术部分（</w:t>
      </w:r>
      <w:r>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t>45</w:t>
      </w:r>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分）</w:t>
      </w:r>
      <w:bookmarkEnd w:id="13"/>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 xml:space="preserve"> </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14" w:name="_Toc1872"/>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（一）设计方案（</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39</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14"/>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15" w:name="_Toc1346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1.勘察设计工作方案思路（5分）</w:t>
      </w:r>
      <w:bookmarkEnd w:id="1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对勘察设计方案的总体思路、各专项思路的完整、合理进行评分。符合的，得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分，比较符合的，得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分，基本</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符合的，得2分，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16" w:name="_Toc2201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2.设计说明与设计方案（</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8</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1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对勘察设计项目的设计说明的合理清晰、设计依据的合规适用、设计方案的完整可行进行评分。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符合的，得8分，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分，基本符合的，得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分，不符合或者未提供的，得0分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pStyle w:val="4"/>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宋体" w:cs="Times New Roman"/>
          <w:b/>
          <w:bCs/>
          <w:color w:val="000000" w:themeColor="text1"/>
          <w:sz w:val="28"/>
          <w:szCs w:val="28"/>
          <w:highlight w:val="none"/>
          <w:u w:val="none"/>
          <w:lang w:val="en-US" w:eastAsia="zh-CN"/>
          <w14:textFill>
            <w14:solidFill>
              <w14:schemeClr w14:val="tx1"/>
            </w14:solidFill>
          </w14:textFill>
        </w:rPr>
      </w:pPr>
      <w:bookmarkStart w:id="17" w:name="_Toc393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3.</w:t>
      </w:r>
      <w:bookmarkStart w:id="18" w:name="OLE_LINK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对项目关键点、难点的理解及措施</w:t>
      </w:r>
      <w:bookmarkEnd w:id="18"/>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r>
        <w:rPr>
          <w:rFonts w:hint="default" w:ascii="Times New Roman" w:hAnsi="Times New Roman" w:eastAsia="宋体" w:cs="Times New Roman"/>
          <w:b/>
          <w:bCs/>
          <w:color w:val="000000" w:themeColor="text1"/>
          <w:sz w:val="28"/>
          <w:szCs w:val="28"/>
          <w:highlight w:val="none"/>
          <w:u w:val="none"/>
          <w14:textFill>
            <w14:solidFill>
              <w14:schemeClr w14:val="tx1"/>
            </w14:solidFill>
          </w14:textFill>
        </w:rPr>
        <w:t>）</w:t>
      </w:r>
      <w:bookmarkEnd w:id="1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bookmarkStart w:id="19" w:name="OLE_LINK2"/>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（1）对项目关键点、难点的识别、理解和分析进行评分。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符合飞，得3分，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比较符合的，得2分，基本符合的，得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（2）对项目关键点、难点的应对措施、风险防范进行评分。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得2分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，比</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常见难点与关键点见释义中的附表。其他类型项目由招标人自行制定并在招标文件中明确</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20" w:name="_Toc3250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4.质量控制的程序、措施和质量保证体系（</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2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对项目质量控制的组织形式、质量保证措施及管理措施的合理与可行性进行评分。符合的，得5分，比较符合的，得3分，基本符合的，得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21" w:name="_Toc1630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5.工作进度计划安排及措施（</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2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（1）对项目总体计划安排、各专项任务的衔接、提供成果时间点等</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进度计划进行评分。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符合的，得3分，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基本</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（2）对勘察设计的后续服务内容承诺及保证措施</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的符合程度进行评分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符合的，得2分，比较符合的，得1分，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得0分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22" w:name="_Toc26338"/>
      <w:bookmarkStart w:id="23" w:name="OLE_LINK16"/>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6.设计安全保障措施（</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22"/>
    </w:p>
    <w:bookmarkEnd w:id="23"/>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bookmarkStart w:id="24" w:name="OLE_LINK17"/>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对</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设计安全保障措施</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至少包括对勘察设计过程中的人员安全、财产安全、交付产品安全</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符合的，得3分，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比较符合的，得2分，基本符合的，得1</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，不符合或未提供的，得0分。</w:t>
      </w:r>
    </w:p>
    <w:bookmarkEnd w:id="24"/>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25" w:name="_Toc11604"/>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7.技术创新与信息化应用（</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2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投标人明确拟在项目中采用适用的节能环保、低碳、智能、绿色设计理念及科技成果的应用，或基于BIM、GIS等技术和模拟分析软件开展多专业一体化设计等智能设计与数字化设计体系的数字化产品交付，或对采用适用的新技术、新工艺、新材料、新装备、智能建造技术等（“四新”技术是指水利部科技与国际合作司、自治区水行政主管部门确定的相关技术推广目录）等的适用</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程度</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进行评分（招标人</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应</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在招标文件中明确项目实际特点）。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适用的，得3分，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比较适用的，得2分，基本适用的，得1</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适用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26" w:name="_Toc32063"/>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8.投资控制措施及其可行性（</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2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对投资控制措施及其可行性进行评分。</w:t>
      </w:r>
      <w:bookmarkStart w:id="27" w:name="OLE_LINK22"/>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符合的，得3分，比较符合</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的</w:t>
      </w:r>
      <w:bookmarkEnd w:id="27"/>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得</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基本符合</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的，得1分，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不符合</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28" w:name="_Toc2391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9.合理化建议（</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2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对合理化建议的合理程度进行评分。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合理的，得2分，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比较合理的，得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分，不合理或未提供的，得0分。</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29" w:name="_Toc24614"/>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（二）资源配备及服务能力（6分）</w:t>
      </w:r>
      <w:bookmarkEnd w:id="29"/>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30" w:name="_Toc30066"/>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1.项目机构设置（1分）</w:t>
      </w:r>
      <w:bookmarkEnd w:id="3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对项目机构设置、岗位职责的合理与完备性</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的符合程度进行评分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bookmarkStart w:id="31" w:name="OLE_LINK23"/>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比较符合的，得1分，基本符合的，得0.5分，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bookmarkEnd w:id="31"/>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得0分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32" w:name="_Toc1895"/>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2.人员总体配备（</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3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对人员配备从专业、岗位、人数等方面与招标要求的匹配程度进行评分。比较符合的，得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基本</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由招标人在招标文件中明确本项目的专业、岗位、人数的具体要求。</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33" w:name="_Toc7343"/>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3.拟投入的技术装备（1分）</w:t>
      </w:r>
      <w:bookmarkEnd w:id="3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对拟投入的主要技术装备的合理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与</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完备性</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的符合性进行评分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比较符合的，得1分，基本符合的，得0.5分，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4.设计代表驻场承诺（1分）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按照</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招标要求，</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由投标人</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书面承诺：根据工程建设需要设立设计代表机构或派驻合格设计代表，及时处理设计问题、办理设计变更，</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并满足驻场时间要求。</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有书面承诺且符合招标要求的，得1分，否则得0分。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由招标人在招标文件中明确具体派驻要求。</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34" w:name="_Toc31057"/>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二、商务部分（25分）</w:t>
      </w:r>
      <w:bookmarkEnd w:id="34"/>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35" w:name="_Toc21543"/>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（一）信用评价部分（6分）</w:t>
      </w:r>
      <w:bookmarkEnd w:id="35"/>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36" w:name="_Toc24289"/>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1.信用评价（3分）</w:t>
      </w:r>
      <w:bookmarkEnd w:id="3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经中国水利部认定为AAA级的，得3分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其中：勘察AAA级的，得1.5分；设计AAA级的，得1.5分。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经中国水利部认定为AA级的，得2分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其中：勘察AA级得1分，设计AA级得1分。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经中国水利部认定为A级的，得1.5分；其中：勘察A级得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0.75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分，设计A级得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0.75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经中国水利部认定为B级及以下的，得1分。其中：勘察</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B</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级</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及以下</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0.5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分，设计</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B级及以下</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0.5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备注：由招标人在招标文件中确定本招标项目的具体类型（如勘察、设计、勘察设计）。根据项目类型，按照投标人所具有的信用评价等级分别计分。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37" w:name="_Toc2578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2.市场监管行为评价（3分）</w:t>
      </w:r>
      <w:bookmarkEnd w:id="3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按照《水利建设市场经营主体信用信息管理办法》（水建设〔2024〕201号），受到各级水行政主管部门公示的失信信息（以全国水利建设市场监管平台公示的信息为准），且在投标截止时仍在公示期内的，按照以下标准进行扣分，直至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“一般失信信息”扣分标准如下：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①</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以普通程序作出的罚款的扣2.5分/次；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没收违法所得的扣2.5分/次；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③</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没收非法财物的扣2.5分/次；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④</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暂扣许可证件的扣2.5分/次。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“严重失信信息”扣分标准如下：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①</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吊销许可证件的扣完；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降低资质等级的扣完；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③</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责令关闭的扣完；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④</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责令停产停业的扣完；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⑤</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限制开展生产经营活动的扣完；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⑥</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限制从业的扣完；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⑦；</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不得申请行政许可的扣完。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同一失信行为同时受到两类及以上行政处理的，按最重的行政处理进行计分。</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38" w:name="_Toc14887"/>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（二）类似工程业绩（1</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7</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38"/>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39" w:name="_Toc14907"/>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w:t>
      </w:r>
      <w:bookmarkStart w:id="40" w:name="OLE_LINK2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项目负责人的资历和业绩</w:t>
      </w:r>
      <w:bookmarkEnd w:id="4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9</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3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（1）项目负责人具有水利</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相关</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专业高级职称，承担过类似工程勘察设计项目（类似项目应在招标文件中界定，下同）的项目负责人且有证明文件的，得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分，每多一项得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9</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）项目负责人没有勘察设计经历的，得0分。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业绩认定应同时满足以下条件：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业绩认定以中标（成交）通知书、合同文件</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批复文件（可研批复或初设批复或实施方案批复）</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或单项工程完工或工程竣工(合同完工)验收鉴定书或发包人证明材料为准，证明材料必须载明项目负责人（</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项目总设计师</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）姓名，证明材料必须与全国水利建设市场监管平</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台填报公</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示</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信息一致，不一致的不予认定。</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上述发包人证明须经该项目水行政主管部门加盖公章。</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41" w:name="_Toc22823"/>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2.投标人的业绩（</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8</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4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bookmarkStart w:id="42" w:name="OLE_LINK13"/>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近</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年以招标公告发布之日起往前推算</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以合同签订日期为准，下同)承接过类似勘察设计项目，且有证明文件的，得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分，每多一项加</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近</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年未承接过类似勘察设计项目的，得0分。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同时满足以上多项条款的，按得分最高的条款进行计分。</w:t>
      </w:r>
      <w:bookmarkEnd w:id="4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业绩认定应同时满足以下条件：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（1）已完成勘察设计项目业绩需提供业绩认定以中标（成交）通知书、合同文件、批复文件（可研批复或初设批复或实施方案批复）或单项工程完工或工程竣工（合同完工）验收鉴定书或发包人证明材料为准。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上述证明材料必须与全国水利建设市场监管平台填报公示信息一致，不一致的不予认定；</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上述发包人证明须经该项目水行政主管部门加盖公章。</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由招标人根据本次招标范围，按照上述要求明确投标人提供相应设计阶段的业绩证明资料。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（2）与招标勘察设计项目主体工程相类似的对应规模等级或水闸或水工主要建筑物等级；</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（3）招标人根据招标项目主体工程类别按下表在招标公告中确定类似业绩的类别。</w:t>
      </w:r>
    </w:p>
    <w:tbl>
      <w:tblPr>
        <w:tblStyle w:val="20"/>
        <w:tblW w:w="8308"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2"/>
        <w:gridCol w:w="3480"/>
        <w:gridCol w:w="2647"/>
        <w:gridCol w:w="6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blHeader/>
        </w:trPr>
        <w:tc>
          <w:tcPr>
            <w:tcW w:w="1562"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4"/>
                <w:sz w:val="24"/>
                <w:szCs w:val="24"/>
                <w:highlight w:val="none"/>
                <w:u w:val="none"/>
                <w14:textFill>
                  <w14:solidFill>
                    <w14:schemeClr w14:val="tx1"/>
                  </w14:solidFill>
                </w14:textFill>
              </w:rPr>
              <w:t>建筑物形式</w:t>
            </w: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3"/>
                <w:sz w:val="24"/>
                <w:szCs w:val="24"/>
                <w:highlight w:val="none"/>
                <w:u w:val="none"/>
                <w14:textFill>
                  <w14:solidFill>
                    <w14:schemeClr w14:val="tx1"/>
                  </w14:solidFill>
                </w14:textFill>
              </w:rPr>
              <w:t>规模或特性</w:t>
            </w:r>
          </w:p>
        </w:tc>
        <w:tc>
          <w:tcPr>
            <w:tcW w:w="2647" w:type="dxa"/>
            <w:vAlign w:val="center"/>
          </w:tcPr>
          <w:p>
            <w:pPr>
              <w:pStyle w:val="50"/>
              <w:widowControl/>
              <w:kinsoku w:val="0"/>
              <w:autoSpaceDE w:val="0"/>
              <w:autoSpaceDN w:val="0"/>
              <w:adjustRightInd w:val="0"/>
              <w:snapToGrid w:val="0"/>
              <w:spacing w:line="230" w:lineRule="auto"/>
              <w:jc w:val="center"/>
              <w:textAlignment w:val="baseline"/>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3"/>
                <w:sz w:val="24"/>
                <w:szCs w:val="24"/>
                <w:highlight w:val="none"/>
                <w:u w:val="none"/>
                <w:lang w:eastAsia="zh-CN"/>
                <w14:textFill>
                  <w14:solidFill>
                    <w14:schemeClr w14:val="tx1"/>
                  </w14:solidFill>
                </w14:textFill>
              </w:rPr>
              <w:t>类似业绩设置最低要求</w:t>
            </w:r>
          </w:p>
        </w:tc>
        <w:tc>
          <w:tcPr>
            <w:tcW w:w="619"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4"/>
                <w:sz w:val="24"/>
                <w:szCs w:val="24"/>
                <w:highlight w:val="none"/>
                <w:u w:val="none"/>
                <w14:textFill>
                  <w14:solidFill>
                    <w14:schemeClr w14:val="tx1"/>
                  </w14:solidFill>
                </w14:textFill>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大坝</w:t>
            </w: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坝高≤30m</w:t>
            </w:r>
          </w:p>
        </w:tc>
        <w:tc>
          <w:tcPr>
            <w:tcW w:w="2647" w:type="dxa"/>
            <w:vMerge w:val="restart"/>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按坝高</w:t>
            </w:r>
            <w:r>
              <w:rPr>
                <w:rFonts w:hint="default" w:ascii="Times New Roman" w:hAnsi="Times New Roman" w:cs="Times New Roman"/>
                <w:color w:val="000000" w:themeColor="text1"/>
                <w:spacing w:val="-2"/>
                <w:sz w:val="24"/>
                <w:szCs w:val="24"/>
                <w:highlight w:val="none"/>
                <w:u w:val="none"/>
                <w:lang w:val="en-US" w:eastAsia="zh-CN"/>
                <w14:textFill>
                  <w14:solidFill>
                    <w14:schemeClr w14:val="tx1"/>
                  </w14:solidFill>
                </w14:textFill>
              </w:rPr>
              <w:t>70</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%设置，或可设高坝业绩</w:t>
            </w:r>
          </w:p>
        </w:tc>
        <w:tc>
          <w:tcPr>
            <w:tcW w:w="619" w:type="dxa"/>
            <w:vMerge w:val="restart"/>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30m＜坝高≤70m</w:t>
            </w:r>
          </w:p>
        </w:tc>
        <w:tc>
          <w:tcPr>
            <w:tcW w:w="2647" w:type="dxa"/>
            <w:vMerge w:val="continue"/>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70m＜坝高≤100m</w:t>
            </w:r>
          </w:p>
        </w:tc>
        <w:tc>
          <w:tcPr>
            <w:tcW w:w="2647" w:type="dxa"/>
            <w:vMerge w:val="continue"/>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100m＜坝高≤200m</w:t>
            </w:r>
          </w:p>
        </w:tc>
        <w:tc>
          <w:tcPr>
            <w:tcW w:w="2647" w:type="dxa"/>
            <w:vMerge w:val="continue"/>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坝高&gt;200m</w:t>
            </w:r>
          </w:p>
        </w:tc>
        <w:tc>
          <w:tcPr>
            <w:tcW w:w="2647" w:type="dxa"/>
            <w:vMerge w:val="continue"/>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大（1）型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大（1）型</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大（2）型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大（2）型或以上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中型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中型或以上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小（1）型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小（1）型或以上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小（2）型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小（2）型或以上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14:textFill>
                  <w14:solidFill>
                    <w14:schemeClr w14:val="tx1"/>
                  </w14:solidFill>
                </w14:textFill>
              </w:rPr>
              <w:t>水闸</w:t>
            </w: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流量≤20m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restart"/>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按设计流量的</w:t>
            </w:r>
            <w:r>
              <w:rPr>
                <w:rFonts w:hint="default" w:ascii="Times New Roman" w:hAnsi="Times New Roman" w:cs="Times New Roman"/>
                <w:color w:val="000000" w:themeColor="text1"/>
                <w:spacing w:val="-2"/>
                <w:sz w:val="24"/>
                <w:szCs w:val="24"/>
                <w:highlight w:val="none"/>
                <w:u w:val="none"/>
                <w:lang w:val="en-US" w:eastAsia="zh-CN"/>
                <w14:textFill>
                  <w14:solidFill>
                    <w14:schemeClr w14:val="tx1"/>
                  </w14:solidFill>
                </w14:textFill>
              </w:rPr>
              <w:t>7</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0%设置</w:t>
            </w:r>
          </w:p>
        </w:tc>
        <w:tc>
          <w:tcPr>
            <w:tcW w:w="619" w:type="dxa"/>
            <w:vMerge w:val="restart"/>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20m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＜流量≤100m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＜流量≤1000m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1000m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＜流量≤5000m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流量&gt;5000m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pStyle w:val="50"/>
              <w:widowControl/>
              <w:kinsoku w:val="0"/>
              <w:autoSpaceDE w:val="0"/>
              <w:autoSpaceDN w:val="0"/>
              <w:adjustRightInd w:val="0"/>
              <w:snapToGrid w:val="0"/>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大（1）型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大（1）型</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大（2）型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大（2）型或以上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中型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中型或以上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小（1）型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小（1）型或以上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小（2）型</w:t>
            </w:r>
          </w:p>
        </w:tc>
        <w:tc>
          <w:tcPr>
            <w:tcW w:w="2647" w:type="dxa"/>
            <w:vAlign w:val="center"/>
          </w:tcPr>
          <w:p>
            <w:pPr>
              <w:pStyle w:val="50"/>
              <w:widowControl/>
              <w:kinsoku w:val="0"/>
              <w:autoSpaceDE w:val="0"/>
              <w:autoSpaceDN w:val="0"/>
              <w:adjustRightInd w:val="0"/>
              <w:snapToGrid w:val="0"/>
              <w:spacing w:line="223"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小（2）型或以上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14:textFill>
                  <w14:solidFill>
                    <w14:schemeClr w14:val="tx1"/>
                  </w14:solidFill>
                </w14:textFill>
              </w:rPr>
              <w:t>泵站</w:t>
            </w: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设计流量＜2m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w:t>
            </w:r>
          </w:p>
        </w:tc>
        <w:tc>
          <w:tcPr>
            <w:tcW w:w="2647"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14:textFill>
                  <w14:solidFill>
                    <w14:schemeClr w14:val="tx1"/>
                  </w14:solidFill>
                </w14:textFill>
              </w:rPr>
              <w:t>设计流量</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的</w:t>
            </w:r>
            <w:r>
              <w:rPr>
                <w:rFonts w:hint="default" w:ascii="Times New Roman" w:hAnsi="Times New Roman" w:cs="Times New Roman"/>
                <w:color w:val="000000" w:themeColor="text1"/>
                <w:spacing w:val="-1"/>
                <w:sz w:val="24"/>
                <w:szCs w:val="24"/>
                <w:highlight w:val="none"/>
                <w:u w:val="none"/>
                <w:lang w:val="en-US" w:eastAsia="zh-CN"/>
                <w14:textFill>
                  <w14:solidFill>
                    <w14:schemeClr w14:val="tx1"/>
                  </w14:solidFill>
                </w14:textFill>
              </w:rPr>
              <w:t>7</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0%</w:t>
            </w:r>
          </w:p>
        </w:tc>
        <w:tc>
          <w:tcPr>
            <w:tcW w:w="619" w:type="dxa"/>
            <w:vMerge w:val="restart"/>
            <w:vAlign w:val="center"/>
          </w:tcPr>
          <w:p>
            <w:pPr>
              <w:widowControl/>
              <w:kinsoku w:val="0"/>
              <w:autoSpaceDE w:val="0"/>
              <w:autoSpaceDN w:val="0"/>
              <w:adjustRightInd w:val="0"/>
              <w:snapToGrid w:val="0"/>
              <w:spacing w:line="312" w:lineRule="auto"/>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562"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2m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/s≤设计流量＜10m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w:t>
            </w:r>
          </w:p>
        </w:tc>
        <w:tc>
          <w:tcPr>
            <w:tcW w:w="2647"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c>
          <w:tcPr>
            <w:tcW w:w="619" w:type="dxa"/>
            <w:vMerge w:val="continue"/>
            <w:vAlign w:val="center"/>
          </w:tcPr>
          <w:p>
            <w:pPr>
              <w:pStyle w:val="50"/>
              <w:widowControl/>
              <w:kinsoku w:val="0"/>
              <w:autoSpaceDE w:val="0"/>
              <w:autoSpaceDN w:val="0"/>
              <w:adjustRightInd w:val="0"/>
              <w:snapToGrid w:val="0"/>
              <w:spacing w:line="235"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/s≤设计流量＜50m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w:t>
            </w:r>
          </w:p>
        </w:tc>
        <w:tc>
          <w:tcPr>
            <w:tcW w:w="2647"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50m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/s≤设计流量＜200m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w:t>
            </w:r>
          </w:p>
        </w:tc>
        <w:tc>
          <w:tcPr>
            <w:tcW w:w="2647"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设计流量≥200m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/s</w:t>
            </w:r>
          </w:p>
        </w:tc>
        <w:tc>
          <w:tcPr>
            <w:tcW w:w="2647"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电站</w:t>
            </w: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装机＜10MW</w:t>
            </w:r>
          </w:p>
        </w:tc>
        <w:tc>
          <w:tcPr>
            <w:tcW w:w="2647" w:type="dxa"/>
            <w:vMerge w:val="restart"/>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t>装机容量的</w:t>
            </w:r>
            <w:r>
              <w:rPr>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t>7</w:t>
            </w:r>
            <w:r>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t>0%</w:t>
            </w:r>
          </w:p>
        </w:tc>
        <w:tc>
          <w:tcPr>
            <w:tcW w:w="619" w:type="dxa"/>
            <w:vMerge w:val="restart"/>
            <w:vAlign w:val="center"/>
          </w:tcPr>
          <w:p>
            <w:pPr>
              <w:pStyle w:val="50"/>
              <w:widowControl/>
              <w:kinsoku w:val="0"/>
              <w:autoSpaceDE w:val="0"/>
              <w:autoSpaceDN w:val="0"/>
              <w:adjustRightInd w:val="0"/>
              <w:snapToGrid w:val="0"/>
              <w:spacing w:line="23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10MW≤装机＜50MW</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50MW≤装机＜300MW</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300MW≤装机＜1200MW</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装机≥1200MW</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14:textFill>
                  <w14:solidFill>
                    <w14:schemeClr w14:val="tx1"/>
                  </w14:solidFill>
                </w14:textFill>
              </w:rPr>
              <w:t>堤防工程</w:t>
            </w: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防洪标准≥100年一遇及以上</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防洪标准≥50年一遇</w:t>
            </w:r>
          </w:p>
        </w:tc>
        <w:tc>
          <w:tcPr>
            <w:tcW w:w="619" w:type="dxa"/>
            <w:vMerge w:val="restart"/>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50年一遇≤防洪标准＜100年一遇及以上</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防洪标准≥20年一遇</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1级堤防</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1级堤防</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2级堤防</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2级堤防以上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3级堤防</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3级堤防以上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4级堤防</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4级堤防以上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5级堤防</w:t>
            </w:r>
          </w:p>
        </w:tc>
        <w:tc>
          <w:tcPr>
            <w:tcW w:w="2647" w:type="dxa"/>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snapToGrid w:val="0"/>
                <w:color w:val="000000" w:themeColor="text1"/>
                <w:spacing w:val="-2"/>
                <w:kern w:val="0"/>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5级堤防以上</w:t>
            </w: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val="ar" w:eastAsia="zh-CN"/>
                <w14:textFill>
                  <w14:solidFill>
                    <w14:schemeClr w14:val="tx1"/>
                  </w14:solidFill>
                </w14:textFill>
              </w:rPr>
              <w:t>引供水工程</w:t>
            </w: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年供水量≥10亿m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val="ar" w:eastAsia="zh-CN"/>
                <w14:textFill>
                  <w14:solidFill>
                    <w14:schemeClr w14:val="tx1"/>
                  </w14:solidFill>
                </w14:textFill>
              </w:rPr>
              <w:t>年供水量的</w:t>
            </w:r>
            <w:r>
              <w:rPr>
                <w:rFonts w:hint="default" w:ascii="Times New Roman" w:hAnsi="Times New Roman" w:cs="Times New Roman"/>
                <w:color w:val="000000" w:themeColor="text1"/>
                <w:spacing w:val="-1"/>
                <w:sz w:val="24"/>
                <w:szCs w:val="24"/>
                <w:highlight w:val="none"/>
                <w:u w:val="none"/>
                <w:lang w:val="en-US" w:eastAsia="zh-CN"/>
                <w14:textFill>
                  <w14:solidFill>
                    <w14:schemeClr w14:val="tx1"/>
                  </w14:solidFill>
                </w14:textFill>
              </w:rPr>
              <w:t>7</w:t>
            </w:r>
            <w:r>
              <w:rPr>
                <w:rFonts w:hint="default" w:ascii="Times New Roman" w:hAnsi="Times New Roman" w:cs="Times New Roman"/>
                <w:color w:val="000000" w:themeColor="text1"/>
                <w:spacing w:val="-1"/>
                <w:sz w:val="24"/>
                <w:szCs w:val="24"/>
                <w:highlight w:val="none"/>
                <w:u w:val="none"/>
                <w:lang w:val="ar" w:eastAsia="zh-CN"/>
                <w14:textFill>
                  <w14:solidFill>
                    <w14:schemeClr w14:val="tx1"/>
                  </w14:solidFill>
                </w14:textFill>
              </w:rPr>
              <w:t>0%</w:t>
            </w:r>
          </w:p>
        </w:tc>
        <w:tc>
          <w:tcPr>
            <w:tcW w:w="619"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3亿m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≤年供水量＜10亿m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1亿m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≤年供水量＜3亿m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0.3亿m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≤年供水量＜1亿m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年供水量＜0.3亿m</w:t>
            </w:r>
            <w:r>
              <w:rPr>
                <w:rFonts w:hint="default" w:ascii="Times New Roman" w:hAnsi="Times New Roman" w:cs="Times New Roman"/>
                <w:color w:val="000000" w:themeColor="text1"/>
                <w:kern w:val="0"/>
                <w:sz w:val="24"/>
                <w:szCs w:val="24"/>
                <w:highlight w:val="none"/>
                <w:u w:val="none"/>
                <w:vertAlign w:val="superscript"/>
                <w:lang w:eastAsia="zh-CN" w:bidi="ar"/>
                <w14:textFill>
                  <w14:solidFill>
                    <w14:schemeClr w14:val="tx1"/>
                  </w14:solidFill>
                </w14:textFill>
              </w:rPr>
              <w:t>3</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val="ar" w:eastAsia="zh-CN"/>
                <w14:textFill>
                  <w14:solidFill>
                    <w14:schemeClr w14:val="tx1"/>
                  </w14:solidFill>
                </w14:textFill>
              </w:rPr>
              <w:t>隧洞工程</w:t>
            </w: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软基地质</w:t>
            </w:r>
          </w:p>
        </w:tc>
        <w:tc>
          <w:tcPr>
            <w:tcW w:w="2647"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val="ar" w:eastAsia="zh-CN"/>
                <w14:textFill>
                  <w14:solidFill>
                    <w14:schemeClr w14:val="tx1"/>
                  </w14:solidFill>
                </w14:textFill>
              </w:rPr>
              <w:t>洞径的</w:t>
            </w:r>
            <w:r>
              <w:rPr>
                <w:rFonts w:hint="default" w:ascii="Times New Roman" w:hAnsi="Times New Roman" w:cs="Times New Roman"/>
                <w:color w:val="000000" w:themeColor="text1"/>
                <w:spacing w:val="-1"/>
                <w:sz w:val="24"/>
                <w:szCs w:val="24"/>
                <w:highlight w:val="none"/>
                <w:u w:val="none"/>
                <w:lang w:val="en-US" w:eastAsia="zh-CN"/>
                <w14:textFill>
                  <w14:solidFill>
                    <w14:schemeClr w14:val="tx1"/>
                  </w14:solidFill>
                </w14:textFill>
              </w:rPr>
              <w:t>7</w:t>
            </w:r>
            <w:r>
              <w:rPr>
                <w:rFonts w:hint="default" w:ascii="Times New Roman" w:hAnsi="Times New Roman" w:cs="Times New Roman"/>
                <w:color w:val="000000" w:themeColor="text1"/>
                <w:spacing w:val="-1"/>
                <w:sz w:val="24"/>
                <w:szCs w:val="24"/>
                <w:highlight w:val="none"/>
                <w:u w:val="none"/>
                <w:lang w:val="ar" w:eastAsia="zh-CN"/>
                <w14:textFill>
                  <w14:solidFill>
                    <w14:schemeClr w14:val="tx1"/>
                  </w14:solidFill>
                </w14:textFill>
              </w:rPr>
              <w:t>0%</w:t>
            </w:r>
          </w:p>
        </w:tc>
        <w:tc>
          <w:tcPr>
            <w:tcW w:w="619"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硬基地质</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渠道</w:t>
            </w: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过水流量</w:t>
            </w:r>
            <w:r>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t>≥</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300m</w:t>
            </w:r>
            <w:r>
              <w:rPr>
                <w:rFonts w:hint="default" w:ascii="Times New Roman" w:hAnsi="Times New Roman" w:cs="Times New Roman"/>
                <w:color w:val="000000" w:themeColor="text1"/>
                <w:spacing w:val="-1"/>
                <w:sz w:val="24"/>
                <w:szCs w:val="24"/>
                <w:highlight w:val="none"/>
                <w:u w:val="none"/>
                <w:vertAlign w:val="superscript"/>
                <w:lang w:eastAsia="zh-CN"/>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/s</w:t>
            </w:r>
          </w:p>
        </w:tc>
        <w:tc>
          <w:tcPr>
            <w:tcW w:w="2647"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过水流量的</w:t>
            </w:r>
            <w:r>
              <w:rPr>
                <w:rFonts w:hint="default" w:ascii="Times New Roman" w:hAnsi="Times New Roman" w:cs="Times New Roman"/>
                <w:color w:val="000000" w:themeColor="text1"/>
                <w:spacing w:val="-1"/>
                <w:sz w:val="24"/>
                <w:szCs w:val="24"/>
                <w:highlight w:val="none"/>
                <w:u w:val="none"/>
                <w:lang w:val="en-US" w:eastAsia="zh-CN"/>
                <w14:textFill>
                  <w14:solidFill>
                    <w14:schemeClr w14:val="tx1"/>
                  </w14:solidFill>
                </w14:textFill>
              </w:rPr>
              <w:t>7</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0%</w:t>
            </w:r>
          </w:p>
        </w:tc>
        <w:tc>
          <w:tcPr>
            <w:tcW w:w="619" w:type="dxa"/>
            <w:vMerge w:val="restart"/>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20m</w:t>
            </w:r>
            <w:r>
              <w:rPr>
                <w:rFonts w:hint="default" w:ascii="Times New Roman" w:hAnsi="Times New Roman" w:cs="Times New Roman"/>
                <w:color w:val="000000" w:themeColor="text1"/>
                <w:spacing w:val="-1"/>
                <w:sz w:val="24"/>
                <w:szCs w:val="24"/>
                <w:highlight w:val="none"/>
                <w:u w:val="none"/>
                <w:vertAlign w:val="superscript"/>
                <w:lang w:eastAsia="zh-CN"/>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/s≤过水流量＜300m</w:t>
            </w:r>
            <w:r>
              <w:rPr>
                <w:rFonts w:hint="default" w:ascii="Times New Roman" w:hAnsi="Times New Roman" w:cs="Times New Roman"/>
                <w:color w:val="000000" w:themeColor="text1"/>
                <w:spacing w:val="-1"/>
                <w:sz w:val="24"/>
                <w:szCs w:val="24"/>
                <w:highlight w:val="none"/>
                <w:u w:val="none"/>
                <w:vertAlign w:val="superscript"/>
                <w:lang w:eastAsia="zh-CN"/>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/s</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562" w:type="dxa"/>
            <w:vMerge w:val="continue"/>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14:textFill>
                  <w14:solidFill>
                    <w14:schemeClr w14:val="tx1"/>
                  </w14:solidFill>
                </w14:textFill>
              </w:rPr>
            </w:pPr>
          </w:p>
        </w:tc>
        <w:tc>
          <w:tcPr>
            <w:tcW w:w="3480" w:type="dxa"/>
            <w:vAlign w:val="center"/>
          </w:tcPr>
          <w:p>
            <w:pPr>
              <w:pStyle w:val="50"/>
              <w:widowControl/>
              <w:kinsoku w:val="0"/>
              <w:autoSpaceDE w:val="0"/>
              <w:autoSpaceDN w:val="0"/>
              <w:adjustRightInd w:val="0"/>
              <w:snapToGrid w:val="0"/>
              <w:spacing w:line="221" w:lineRule="auto"/>
              <w:jc w:val="center"/>
              <w:textAlignment w:val="baseline"/>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pP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过水流量＜20m</w:t>
            </w:r>
            <w:r>
              <w:rPr>
                <w:rFonts w:hint="default" w:ascii="Times New Roman" w:hAnsi="Times New Roman" w:cs="Times New Roman"/>
                <w:color w:val="000000" w:themeColor="text1"/>
                <w:spacing w:val="-1"/>
                <w:sz w:val="24"/>
                <w:szCs w:val="24"/>
                <w:highlight w:val="none"/>
                <w:u w:val="none"/>
                <w:vertAlign w:val="superscript"/>
                <w:lang w:eastAsia="zh-CN"/>
                <w14:textFill>
                  <w14:solidFill>
                    <w14:schemeClr w14:val="tx1"/>
                  </w14:solidFill>
                </w14:textFill>
              </w:rPr>
              <w:t>3</w:t>
            </w:r>
            <w:r>
              <w:rPr>
                <w:rFonts w:hint="default" w:ascii="Times New Roman" w:hAnsi="Times New Roman" w:cs="Times New Roman"/>
                <w:color w:val="000000" w:themeColor="text1"/>
                <w:spacing w:val="-1"/>
                <w:sz w:val="24"/>
                <w:szCs w:val="24"/>
                <w:highlight w:val="none"/>
                <w:u w:val="none"/>
                <w:lang w:eastAsia="zh-CN"/>
                <w14:textFill>
                  <w14:solidFill>
                    <w14:schemeClr w14:val="tx1"/>
                  </w14:solidFill>
                </w14:textFill>
              </w:rPr>
              <w:t>/s</w:t>
            </w:r>
          </w:p>
        </w:tc>
        <w:tc>
          <w:tcPr>
            <w:tcW w:w="2647" w:type="dxa"/>
            <w:vMerge w:val="continue"/>
            <w:vAlign w:val="center"/>
          </w:tcPr>
          <w:p>
            <w:pPr>
              <w:pStyle w:val="50"/>
              <w:widowControl/>
              <w:kinsoku w:val="0"/>
              <w:autoSpaceDE w:val="0"/>
              <w:autoSpaceDN w:val="0"/>
              <w:adjustRightInd w:val="0"/>
              <w:snapToGrid w:val="0"/>
              <w:spacing w:line="220" w:lineRule="auto"/>
              <w:jc w:val="center"/>
              <w:textAlignment w:val="baseline"/>
              <w:rPr>
                <w:rFonts w:hint="default" w:ascii="Times New Roman" w:hAnsi="Times New Roman" w:cs="Times New Roman"/>
                <w:color w:val="000000" w:themeColor="text1"/>
                <w:spacing w:val="-2"/>
                <w:sz w:val="24"/>
                <w:szCs w:val="24"/>
                <w:highlight w:val="none"/>
                <w:u w:val="none"/>
                <w:lang w:eastAsia="zh-CN"/>
                <w14:textFill>
                  <w14:solidFill>
                    <w14:schemeClr w14:val="tx1"/>
                  </w14:solidFill>
                </w14:textFill>
              </w:rPr>
            </w:pPr>
          </w:p>
        </w:tc>
        <w:tc>
          <w:tcPr>
            <w:tcW w:w="619" w:type="dxa"/>
            <w:vMerge w:val="continue"/>
            <w:vAlign w:val="center"/>
          </w:tcPr>
          <w:p>
            <w:pPr>
              <w:widowControl/>
              <w:kinsoku w:val="0"/>
              <w:autoSpaceDE w:val="0"/>
              <w:autoSpaceDN w:val="0"/>
              <w:adjustRightInd w:val="0"/>
              <w:snapToGrid w:val="0"/>
              <w:jc w:val="center"/>
              <w:textAlignment w:val="baseline"/>
              <w:rPr>
                <w:rFonts w:hint="default" w:ascii="Times New Roman" w:hAnsi="Times New Roman" w:cs="Times New Roman"/>
                <w:color w:val="000000" w:themeColor="text1"/>
                <w:sz w:val="24"/>
                <w:highlight w:val="none"/>
                <w:u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pPr>
      <w:bookmarkStart w:id="43" w:name="_Toc32155"/>
      <w:r>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t>注：1.类似工程业绩认定中，类似业绩工程等别不能低于招标文件要求的工程等别。</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pPr>
      <w:r>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t>2.类似工程业绩认定中，水库</w:t>
      </w:r>
      <w:r>
        <w:rPr>
          <w:rFonts w:hint="default" w:ascii="Times New Roman" w:hAnsi="Times New Roman" w:cs="Times New Roman"/>
          <w:b w:val="0"/>
          <w:bCs w:val="0"/>
          <w:color w:val="000000" w:themeColor="text1"/>
          <w:sz w:val="22"/>
          <w:szCs w:val="22"/>
          <w:highlight w:val="none"/>
          <w:u w:val="none"/>
          <w:lang w:eastAsia="zh-CN"/>
          <w14:textFill>
            <w14:solidFill>
              <w14:schemeClr w14:val="tx1"/>
            </w14:solidFill>
          </w14:textFill>
        </w:rPr>
        <w:t>、</w:t>
      </w:r>
      <w:r>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t>水电站</w:t>
      </w:r>
      <w:r>
        <w:rPr>
          <w:rFonts w:hint="default" w:ascii="Times New Roman" w:hAnsi="Times New Roman" w:cs="Times New Roman"/>
          <w:b w:val="0"/>
          <w:bCs w:val="0"/>
          <w:color w:val="000000" w:themeColor="text1"/>
          <w:sz w:val="22"/>
          <w:szCs w:val="22"/>
          <w:highlight w:val="none"/>
          <w:u w:val="none"/>
          <w:lang w:val="en-US" w:eastAsia="zh-CN"/>
          <w14:textFill>
            <w14:solidFill>
              <w14:schemeClr w14:val="tx1"/>
            </w14:solidFill>
          </w14:textFill>
        </w:rPr>
        <w:t>主体</w:t>
      </w:r>
      <w:r>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t>工程业绩可作为其它同等级以下规模水利项目的有效类似业绩。</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pPr>
      <w:r>
        <w:rPr>
          <w:rFonts w:hint="default" w:ascii="Times New Roman" w:hAnsi="Times New Roman" w:eastAsia="宋体" w:cs="Times New Roman"/>
          <w:b w:val="0"/>
          <w:bCs w:val="0"/>
          <w:color w:val="000000" w:themeColor="text1"/>
          <w:sz w:val="22"/>
          <w:szCs w:val="22"/>
          <w:highlight w:val="none"/>
          <w:u w:val="none"/>
          <w14:textFill>
            <w14:solidFill>
              <w14:schemeClr w14:val="tx1"/>
            </w14:solidFill>
          </w14:textFill>
        </w:rPr>
        <w:t>3.类似工程业绩认定中，农村饮水、河湖整治、水土保持、环境保护及其他强制要求招标的项目或小型工程项目，按照同类型单项合同额的60%认定。</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（三）获奖情况（</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4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所勘察设计的水利工程项目近十年（从招标公告发布之日起往前推算，以颁发日期为准）：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1.获得全国性奖项：国家政府或国家行政主管部门或全国性协会（学会）颁发的奖项，得1分，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每多一项得1分，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最多</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得2分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2.获得省</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级奖项：省</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级政府或省级行政主管部门颁发的奖项，得0.5分，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每多1项得0.5分，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最多</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得1分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同时满足以上多项条款的，最高得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获奖情况的认定，以所获得奖项的获奖证书为准。</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44" w:name="_Toc12422"/>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三、报价部分（</w:t>
      </w:r>
      <w:r>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t>30</w:t>
      </w:r>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分）</w:t>
      </w:r>
      <w:bookmarkEnd w:id="44"/>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45" w:name="_Toc2846"/>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1.投标总报价的计算步骤</w:t>
      </w:r>
      <w:bookmarkEnd w:id="4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（1）计算评标基准价。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（2）计算各投标人投标总报价与评标基准价的偏差。</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（3）计算投标总报价得分。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46" w:name="_Toc25785"/>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2.评标基准价的确定</w:t>
      </w:r>
      <w:bookmarkEnd w:id="4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采用招标控制价和有效报价的算术平均值确定评标基准价（适用于招标人设置招标控制价的）。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评标基准价按照以下方法计算：</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（1）确定有效报价的算术平均值</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有效报价：初步评审合格的投标人，且其投标报价在招标文件中载明招标控制价下浮率在0-</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含5%）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之间的任意一个百分数，由招标人确定，并在招标文件中载明。不在该</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下浮率</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范围内的投标报价，不参与评标基准价的计算，但不以此否决其投标。</w:t>
      </w:r>
    </w:p>
    <w:p>
      <w:pPr>
        <w:spacing w:before="190" w:beforeLines="50" w:after="190" w:afterLines="50" w:line="360" w:lineRule="auto"/>
        <w:ind w:firstLine="560" w:firstLineChars="200"/>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pPr>
      <w: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t>D=</w:t>
      </w:r>
      <w: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drawing>
          <wp:inline distT="0" distB="0" distL="0" distR="0">
            <wp:extent cx="984250" cy="365760"/>
            <wp:effectExtent l="0" t="0" r="6350" b="0"/>
            <wp:docPr id="665149421" name="图片 3" descr="descript"/>
            <wp:cNvGraphicFramePr/>
            <a:graphic xmlns:a="http://schemas.openxmlformats.org/drawingml/2006/main">
              <a:graphicData uri="http://schemas.openxmlformats.org/drawingml/2006/picture">
                <pic:pic xmlns:pic="http://schemas.openxmlformats.org/drawingml/2006/picture">
                  <pic:nvPicPr>
                    <pic:cNvPr id="665149421" name="图片 3" descr="descript"/>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88401" cy="367303"/>
                    </a:xfrm>
                    <a:prstGeom prst="rect">
                      <a:avLst/>
                    </a:prstGeom>
                    <a:noFill/>
                    <a:ln>
                      <a:noFill/>
                    </a:ln>
                    <a:effectLst/>
                  </pic:spPr>
                </pic:pic>
              </a:graphicData>
            </a:graphic>
          </wp:inline>
        </w:drawing>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式中：</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D为评标基准价；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N为投标人的有效报价；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n为有效报价的投标人个数。</w:t>
      </w:r>
    </w:p>
    <w:p>
      <w:pPr>
        <w:numPr>
          <w:ilvl w:val="0"/>
          <w:numId w:val="1"/>
        </w:numPr>
        <w:spacing w:line="560" w:lineRule="exact"/>
        <w:ind w:firstLine="560" w:firstLineChars="200"/>
        <w:rPr>
          <w:rFonts w:hint="default" w:ascii="Times New Roman" w:hAnsi="Times New Roman" w:cs="Times New Roman"/>
          <w:color w:val="000000" w:themeColor="text1"/>
          <w:kern w:val="0"/>
          <w:szCs w:val="28"/>
          <w:highlight w:val="none"/>
          <w:u w:val="none"/>
          <w:shd w:val="clear" w:color="auto" w:fill="FFFFFF"/>
          <w:lang w:eastAsia="zh-CN"/>
          <w14:textFill>
            <w14:solidFill>
              <w14:schemeClr w14:val="tx1"/>
            </w14:solidFill>
          </w14:textFill>
        </w:rPr>
      </w:pPr>
      <w:r>
        <w:rPr>
          <w:rFonts w:hint="default" w:ascii="Times New Roman" w:hAnsi="Times New Roman" w:cs="Times New Roman"/>
          <w:color w:val="000000" w:themeColor="text1"/>
          <w:kern w:val="0"/>
          <w:szCs w:val="28"/>
          <w:highlight w:val="none"/>
          <w:u w:val="none"/>
          <w:shd w:val="clear" w:color="auto" w:fill="FFFFFF"/>
          <w:lang w:eastAsia="zh-CN"/>
          <w14:textFill>
            <w14:solidFill>
              <w14:schemeClr w14:val="tx1"/>
            </w14:solidFill>
          </w14:textFill>
        </w:rPr>
        <w:t>确定评标基准价</w:t>
      </w:r>
    </w:p>
    <w:p>
      <w:pPr>
        <w:pStyle w:val="18"/>
        <w:widowControl w:val="0"/>
        <w:spacing w:before="0" w:beforeAutospacing="0" w:after="0" w:afterAutospacing="0"/>
        <w:ind w:firstLine="560" w:firstLineChars="200"/>
        <w:jc w:val="both"/>
        <w:rPr>
          <w:rFonts w:hint="default" w:ascii="Times New Roman" w:hAnsi="Times New Roman" w:eastAsia="仿宋_GB2312" w:cs="Times New Roman"/>
          <w:sz w:val="32"/>
          <w:szCs w:val="32"/>
          <w:highlight w:val="none"/>
          <w:u w:val="none"/>
          <w:shd w:val="clear" w:color="auto" w:fill="FFFFFF"/>
        </w:rPr>
      </w:pPr>
      <w:r>
        <w:rPr>
          <w:rFonts w:hint="default" w:ascii="Times New Roman" w:hAnsi="Times New Roman" w:eastAsia="仿宋_GB2312" w:cs="Times New Roman"/>
          <w:sz w:val="28"/>
          <w:szCs w:val="28"/>
          <w:highlight w:val="none"/>
          <w:u w:val="none"/>
          <w:shd w:val="clear" w:color="auto" w:fill="FFFFFF"/>
        </w:rPr>
        <w:t>S</w:t>
      </w:r>
      <w:r>
        <w:rPr>
          <w:rFonts w:hint="default" w:ascii="Times New Roman" w:hAnsi="Times New Roman" w:eastAsia="仿宋_GB2312" w:cs="Times New Roman"/>
          <w:sz w:val="32"/>
          <w:szCs w:val="32"/>
          <w:highlight w:val="none"/>
          <w:u w:val="none"/>
          <w:shd w:val="clear" w:color="auto" w:fill="FFFFFF"/>
        </w:rPr>
        <w:t xml:space="preserve"> = </w:t>
      </w:r>
      <w:r>
        <w:rPr>
          <w:rFonts w:hint="default" w:ascii="Times New Roman" w:hAnsi="Times New Roman" w:eastAsia="方正书宋简体" w:cs="Times New Roman"/>
          <w:position w:val="-24"/>
          <w:sz w:val="32"/>
          <w:szCs w:val="32"/>
          <w:highlight w:val="none"/>
          <w:u w:val="none"/>
        </w:rPr>
        <w:drawing>
          <wp:inline distT="0" distB="0" distL="114300" distR="114300">
            <wp:extent cx="427355" cy="391795"/>
            <wp:effectExtent l="0" t="0" r="444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27355" cy="391795"/>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式中：</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S为评标基准价；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R为招标控制价；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D为有效报价的算术平均值。</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47" w:name="_Toc4468"/>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3.投标总报价偏差计算</w:t>
      </w:r>
      <w:bookmarkEnd w:id="47"/>
    </w:p>
    <w:p>
      <w:pPr>
        <w:pStyle w:val="18"/>
        <w:widowControl w:val="0"/>
        <w:spacing w:before="0" w:beforeAutospacing="0" w:after="0" w:afterAutospacing="0"/>
        <w:ind w:firstLine="640" w:firstLineChars="200"/>
        <w:jc w:val="both"/>
        <w:rPr>
          <w:rFonts w:hint="default" w:ascii="Times New Roman" w:hAnsi="Times New Roman" w:eastAsia="仿宋_GB2312" w:cs="Times New Roman"/>
          <w:sz w:val="32"/>
          <w:szCs w:val="32"/>
          <w:highlight w:val="none"/>
          <w:u w:val="none"/>
          <w:shd w:val="clear" w:color="auto" w:fill="FFFFFF"/>
        </w:rPr>
      </w:pPr>
      <w:r>
        <w:rPr>
          <w:rFonts w:hint="default" w:ascii="Times New Roman" w:hAnsi="Times New Roman" w:eastAsia="仿宋_GB2312" w:cs="Times New Roman"/>
          <w:sz w:val="32"/>
          <w:szCs w:val="32"/>
          <w:highlight w:val="none"/>
          <w:u w:val="none"/>
          <w:shd w:val="clear" w:color="auto" w:fill="FFFFFF"/>
        </w:rPr>
        <w:t xml:space="preserve">E = </w:t>
      </w:r>
      <w:r>
        <w:rPr>
          <w:rFonts w:hint="default" w:ascii="Times New Roman" w:hAnsi="Times New Roman" w:eastAsia="仿宋_GB2312" w:cs="Times New Roman"/>
          <w:sz w:val="32"/>
          <w:szCs w:val="32"/>
          <w:highlight w:val="none"/>
          <w:u w:val="none"/>
          <w:shd w:val="clear" w:color="auto" w:fill="FFFFFF"/>
        </w:rPr>
        <w:drawing>
          <wp:inline distT="0" distB="0" distL="114300" distR="114300">
            <wp:extent cx="341630" cy="313055"/>
            <wp:effectExtent l="0" t="0" r="127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41630" cy="313055"/>
                    </a:xfrm>
                    <a:prstGeom prst="rect">
                      <a:avLst/>
                    </a:prstGeom>
                    <a:noFill/>
                    <a:ln>
                      <a:noFill/>
                    </a:ln>
                  </pic:spPr>
                </pic:pic>
              </a:graphicData>
            </a:graphic>
          </wp:inline>
        </w:drawing>
      </w:r>
      <w:r>
        <w:rPr>
          <w:rFonts w:hint="default" w:ascii="Times New Roman" w:hAnsi="Times New Roman" w:eastAsia="仿宋_GB2312" w:cs="Times New Roman"/>
          <w:sz w:val="32"/>
          <w:szCs w:val="32"/>
          <w:highlight w:val="none"/>
          <w:u w:val="none"/>
          <w:shd w:val="clear" w:color="auto" w:fill="FFFFFF"/>
        </w:rPr>
        <w:t>×100%</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式中：</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E为投标总报价偏差；</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N为投标人投标报价；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S</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为评标基准价。</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48" w:name="_Toc1576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4.投标总报价得分计算</w:t>
      </w:r>
      <w:bookmarkEnd w:id="4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投标总报价与评标基准价相等得满分，投标总报价每低于评标基准价1%扣0.3分，基本分12分；每高于评标基准价1%扣0.5分，基本分10分，处于整数点之间的值以内插法计算。</w:t>
      </w:r>
    </w:p>
    <w:p>
      <w:pP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pPr>
      <w:r>
        <w:rPr>
          <w:rFonts w:hint="default" w:ascii="Times New Roman" w:hAnsi="Times New Roman" w:cs="Times New Roman"/>
          <w:color w:val="000000" w:themeColor="text1"/>
          <w:kern w:val="0"/>
          <w:szCs w:val="28"/>
          <w:highlight w:val="none"/>
          <w:u w:val="none"/>
          <w:shd w:val="clear" w:color="auto" w:fill="FFFFFF"/>
          <w14:textFill>
            <w14:solidFill>
              <w14:schemeClr w14:val="tx1"/>
            </w14:solidFill>
          </w14:textFill>
        </w:rPr>
        <w:br w:type="page"/>
      </w:r>
    </w:p>
    <w:p>
      <w:pPr>
        <w:pStyle w:val="2"/>
        <w:keepNext/>
        <w:keepLines/>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方正小标宋_GBK" w:cs="Times New Roman"/>
          <w:b w:val="0"/>
          <w:bCs w:val="0"/>
          <w:color w:val="000000" w:themeColor="text1"/>
          <w:sz w:val="40"/>
          <w:szCs w:val="40"/>
          <w:highlight w:val="none"/>
          <w:u w:val="none"/>
          <w14:textFill>
            <w14:solidFill>
              <w14:schemeClr w14:val="tx1"/>
            </w14:solidFill>
          </w14:textFill>
        </w:rPr>
      </w:pPr>
      <w:bookmarkStart w:id="49" w:name="_Toc17789"/>
      <w:r>
        <w:rPr>
          <w:rFonts w:hint="default" w:ascii="Times New Roman" w:hAnsi="Times New Roman" w:eastAsia="方正小标宋_GBK" w:cs="Times New Roman"/>
          <w:b w:val="0"/>
          <w:bCs w:val="0"/>
          <w:color w:val="000000" w:themeColor="text1"/>
          <w:sz w:val="40"/>
          <w:szCs w:val="40"/>
          <w:highlight w:val="none"/>
          <w:u w:val="none"/>
          <w14:textFill>
            <w14:solidFill>
              <w14:schemeClr w14:val="tx1"/>
            </w14:solidFill>
          </w14:textFill>
        </w:rPr>
        <w:t>综合评估法Ⅱ类评分标准</w:t>
      </w:r>
      <w:bookmarkEnd w:id="4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综合评估法Ⅱ类评分标准采用百分制。总得分为技术评审、商务评审、及报价评审三项得分评价之和，其中技术部分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分，商务部分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分，价格部分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经初步评审合格的投标文件，评标委员会应当根据以下评分标准，对其技术、商务和报价作进一步评审、比较、评分。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技术部分采用暗标评审，提交的设计方案、资源配备及服务能力（除人员总体配备之外）不得有任何有关投标人的暗示（具体情形规定见释义）。否则，将否决其投标。</w:t>
      </w:r>
    </w:p>
    <w:p>
      <w:pPr>
        <w:pStyle w:val="2"/>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pPr>
      <w:bookmarkStart w:id="50" w:name="_Toc24417"/>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一、技术部分（4</w:t>
      </w:r>
      <w:r>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t>0</w:t>
      </w:r>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分）</w:t>
      </w:r>
      <w:bookmarkEnd w:id="50"/>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pPr>
      <w:bookmarkStart w:id="51" w:name="_Toc14701"/>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（一）设计方案（</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34</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51"/>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52" w:name="_Toc15886"/>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1.勘察设计工作方案思路（5分）</w:t>
      </w:r>
      <w:bookmarkEnd w:id="5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对勘察设计方案的总体思路、各专项思路的完整、合理性进行评分。符合的，得5分，比较符合的，得3分，基本符合的，得2分，不符合或未提供的，得0分。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53" w:name="_Toc6675"/>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2.设计说明与设计方案（</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7</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5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cs="Times New Roman"/>
          <w:color w:val="000000" w:themeColor="text1"/>
          <w:sz w:val="32"/>
          <w:szCs w:val="32"/>
          <w:highlight w:val="none"/>
          <w:u w:val="none"/>
          <w14:textFill>
            <w14:solidFill>
              <w14:schemeClr w14:val="tx1"/>
            </w14:solidFill>
          </w14:textFill>
        </w:rPr>
        <w:t>对</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勘察设计项目的设计说明的合理清晰、设计依据的合规适用、设计方案的完整可行进行评分。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符合的，得7分，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分，基本符合的，得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分，不符合或者未提供的，得0分。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54" w:name="_Toc8636"/>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3.对项目关键点、难点的理解及措施（</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54"/>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（1）对项目关键点、难点的识别、理解和分析进行评分。符合</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，得3分，比较符合的，得2分，基本符合的，得1分，不符合或未提供的，得0分。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（2）对项目关键点、难点的应对措施、风险防范进行评分。符合的，得2分，比较符合的，得1分，不符合或未提供的，得0分。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常见难点与关键点见释义中的附表。其他类型项目由招标人自行制定并在招标文件中明确。</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常见难点与关键点见释义中的附表。其他类型项目由招标人自行制定并在招标文件中明确。</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55" w:name="_Toc2746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4.质量控制的程序、措施和质量保证体系（</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5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对项目质量控制的组织形式、质量保证措施及管理措施的合理与可行性进行评分。符合的，得5分，比较符合的，得3分，基本符合的，得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56" w:name="_Toc4619"/>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5.工作进度计划安排及措施（</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4</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5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（1）对项目总体计划安排、各专项任务的衔接、提供成果时间点等</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进度计划</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与招标项目要求的符合程度</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进行评分。符合的，得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比较符合的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（2）对勘察设计的后续服务内容承诺及保证措施</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的符合程度进行评分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符合的，得2分，比较符合的，得1分，不符合或未提供的，得0分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57" w:name="_Toc25794"/>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6.设计安全保障措施（</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5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对</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设计安全保障措施</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至少包括对勘察设计过程中的人员安全、财产安全、交付产品安全</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与招标项目要求的符合程度</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进行评分。符合的，得3分，比较符合的，得2分，基本符合的，得1分，不符合或未提供的，得0分。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58" w:name="_Toc2559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7.技术创新与信息化应用（</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5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投标人明确拟在项目中采用适用的节能环保、低碳、智能、绿色设计理念及科技成果的应用，或基于BIM、GIS等技术和模拟分析软件开展多专业一体化设计等智能设计与数字化设计体系的数字化产品交付，或对采用适用的新技术、新工艺、新材料、新装备、智能建造技术（“四新”技术是指水利部科技与国际合作司、</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新疆维吾尔自治区科学技术厅</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确定的相关技术推广目录）的适用程度</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进行评分，适用的，得2分，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比较</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适用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适用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招标人在招标文件中</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根据项目实际特点，明确技术创新与信息化应用的具体使用要求。</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59" w:name="_Toc2330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8.投资控制措施及其可行性（2分）</w:t>
      </w:r>
      <w:bookmarkEnd w:id="5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对投资控制措施及其可行性进行评分。比较符合的，得2分，基本符合的，得1</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60" w:name="_Toc18376"/>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9.合理化建议（</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6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对合理化建议的合理程度进行</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评分，比较符合的，得1分，基本符合的，得0.5分，不符合或未提供的，得0分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61" w:name="_Toc15330"/>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（二）资源配备及服务能力（</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6</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61"/>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62" w:name="_Toc24533"/>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1.项目机构设置（1分）</w:t>
      </w:r>
      <w:bookmarkEnd w:id="6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对项目机构设置、岗位职责的合理与完备</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性进行评分，比较合理与完备的，得1分，基本合理与完备的，得0.5分，不符合或未提供的，得0分。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63" w:name="_Toc9450"/>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2.人员总体配备（</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6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对人员配备从专业、岗位、人数等方面与招标要求的匹配程度进行评分。比较符合的，得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分，基本符合的，得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分，不符合或未提供的，得0分。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由招标人在招标文件</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中</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明确本项目的专业、岗位、人数的具体要求。</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64" w:name="_Toc28113"/>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3.拟投入的技术装备（1分）</w:t>
      </w:r>
      <w:bookmarkEnd w:id="64"/>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对拟投入的主要技术装备的合理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与</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完备</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性</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进行评分，比较合理与完备的，得1分，基本合理与完备的，得0.5分，不符合或未提供的，得0分。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4.设计代表驻场承诺（1分）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由投标人</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书面承诺：</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按照</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招标要求，根据工程建设需要设立设计代表机构或派驻合格设计代表，及时处理设计问题、办理设计变更，</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并满足驻场时间要求。</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有书面承诺且符合招标要求的，得1分，否则得0分。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由招标人在招标文件中明确具体派驻要求。</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pPr>
      <w:bookmarkStart w:id="65" w:name="_Toc2521"/>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二、商务部分（</w:t>
      </w:r>
      <w:r>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t>20</w:t>
      </w:r>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分）</w:t>
      </w:r>
      <w:bookmarkEnd w:id="65"/>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pPr>
      <w:bookmarkStart w:id="66" w:name="_Toc21497"/>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（一）信用评价部分（</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6</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66"/>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67" w:name="_Toc21413"/>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1.信用评价（3分）</w:t>
      </w:r>
      <w:bookmarkEnd w:id="67"/>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经中国水利部认定为AAA级的，得3分。其中：勘察AAA级的，得1.5分；设计AAA级的，得1.5分。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经中国水利部认定为AA级的，得2分。其中：勘察AA级得1分，设计AA级得1分。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经中国水利部认定为A级的，得1.5分；其中：勘察A级得0.75分，设计A级得0.75分。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经中国水利部认定为B级及以下的，得1分。其中：勘察B级及以下得0.5分，设计B级及以下得0.5分。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备注：由招标人在招标文件中确定本招标项目的具体类型（如勘察、设计、勘察设计），根据项目类型，按照投标人所具有的信用评价等级分别计分。</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68" w:name="_Toc20587"/>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.市场监管行为评价（</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68"/>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按照《水利建设市场经营主体信用信息管理办法》（水建设〔2024〕201号），受到各级水行政主管部门公示的失信信息（以全国水利建设市场监管平台公示的信息为准），且在投标截止时仍在公示期内的，按照以下标准进行扣分，直至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“一般失信信息”扣分标准如下：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①</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以普通程序作出的罚款的扣2.5分/次；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没收违法所得的扣2.5分/次；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③</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没收非法财物的扣2.5分/次；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④</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暂扣许可证件的扣2.5分/次。</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“严重失信信息”扣分标准如下：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①</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吊销许可证件的扣完；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②</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降低资质等级的扣完；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③</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责令关闭的扣完；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④</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责令停产停业的扣完；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⑤</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限制开展生产经营活动的扣完；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⑥</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限制从业的扣完；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⑦；</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不得申请行政许可的扣完。</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同一失信行为同时受到两类及以上行政处理的，按最重的行政处理进行计分。</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pPr>
      <w:bookmarkStart w:id="69" w:name="_Toc25835"/>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（二）类似工程业绩（</w:t>
      </w:r>
      <w:r>
        <w:rPr>
          <w:rFonts w:hint="default" w:ascii="Times New Roman" w:hAnsi="Times New Roman" w:eastAsia="楷体_GB2312" w:cs="Times New Roman"/>
          <w:b w:val="0"/>
          <w:bCs w:val="0"/>
          <w:color w:val="000000" w:themeColor="text1"/>
          <w:sz w:val="32"/>
          <w:szCs w:val="32"/>
          <w:highlight w:val="none"/>
          <w:u w:val="none"/>
          <w:lang w:val="en-US" w:eastAsia="zh-CN"/>
          <w14:textFill>
            <w14:solidFill>
              <w14:schemeClr w14:val="tx1"/>
            </w14:solidFill>
          </w14:textFill>
        </w:rPr>
        <w:t>14</w:t>
      </w:r>
      <w:r>
        <w:rPr>
          <w:rFonts w:hint="default" w:ascii="Times New Roman" w:hAnsi="Times New Roman" w:eastAsia="楷体_GB2312" w:cs="Times New Roman"/>
          <w:b w:val="0"/>
          <w:bCs w:val="0"/>
          <w:color w:val="000000" w:themeColor="text1"/>
          <w:sz w:val="32"/>
          <w:szCs w:val="32"/>
          <w:highlight w:val="none"/>
          <w:u w:val="none"/>
          <w14:textFill>
            <w14:solidFill>
              <w14:schemeClr w14:val="tx1"/>
            </w14:solidFill>
          </w14:textFill>
        </w:rPr>
        <w:t>分）</w:t>
      </w:r>
      <w:bookmarkEnd w:id="69"/>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70" w:name="_Toc19554"/>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1.项目负责人的资历和业绩（</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8</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70"/>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（1）项目负责人具有水利水电专业高级职称，承担过类似工程勘察设计项目（类似项目应在招标文件中界定，下同）的项目负责人（项目总设计师）且有证明文件的，得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分，每多一项得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（2）项目负责人具有水利水电专业中级职称，承担过类似勘察设计项目负责人且有证明文件的，得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分，每多一项得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（3）项目负责人具有水利水电专业中级及以上职称，没有担任过类似工程、但担任过其他同等工程规模或建筑物级别水利工程项目负责人（项目总设计师）且有证明文件的，得1分，每多一项得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负责人没有</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担任项目负责人经历的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同时满足以上多项条款的，按得分最高的条款进行计分。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业绩认定应同时满足以下条件：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业绩认定以中标（成交）通知书、合同文件、批复文件（可研批复或初设批复或实施方案批复）或单项工程完工或工程竣工（合同完工）验收鉴定书或发包人证明材料为准，证明材料必须载明项目负责人（项目总设计师）姓名，证明材料必须与全国水利建设市场监管平台填报公式信息一致，不一致的不予认定。</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上述发包人证明须经该项目水行政主管部门加盖公章。</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pPr>
      <w:bookmarkStart w:id="71" w:name="_Toc583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2.投标人的业绩（</w:t>
      </w:r>
      <w:r>
        <w:rPr>
          <w:rFonts w:hint="default" w:ascii="Times New Roman" w:hAnsi="Times New Roman" w:eastAsia="仿宋_GB2312" w:cs="Times New Roman"/>
          <w:b/>
          <w:bCs/>
          <w:color w:val="000000" w:themeColor="text1"/>
          <w:sz w:val="32"/>
          <w:szCs w:val="32"/>
          <w:highlight w:val="none"/>
          <w:u w:val="none"/>
          <w:lang w:val="en-US" w:eastAsia="zh-CN"/>
          <w14:textFill>
            <w14:solidFill>
              <w14:schemeClr w14:val="tx1"/>
            </w14:solidFill>
          </w14:textFill>
        </w:rPr>
        <w:t>6</w:t>
      </w:r>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分）</w:t>
      </w:r>
      <w:bookmarkEnd w:id="71"/>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（1）近五年(以招标公告发布之日起往前推算，以合同签订日期为准，下同)承接过类似勘察设计项目，且有证明文件的，得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分，每多一项加</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（2）近五年未承接过类似工程勘察设计项目、但承接过其他同等级水利工程规模或建筑物级别水利工程勘察设计项目，且有证明文件的，得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分，每多一项加</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分，最多得</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（3）近五年未承接过类似勘察设计项目的，得0分。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同时满足以上多项条款的，按得分最高的条款进行计分。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业绩认定应同时满足以下条件：</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综合评估法Ⅱ类的类似工程业绩应满足条件与综合评估法Ⅰ类相同。</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pPr>
      <w:bookmarkStart w:id="72" w:name="_Toc9777"/>
      <w:r>
        <w:rPr>
          <w:rFonts w:hint="default" w:ascii="Times New Roman" w:hAnsi="Times New Roman" w:eastAsia="黑体" w:cs="Times New Roman"/>
          <w:b w:val="0"/>
          <w:bCs w:val="0"/>
          <w:color w:val="000000" w:themeColor="text1"/>
          <w:sz w:val="32"/>
          <w:szCs w:val="32"/>
          <w:highlight w:val="none"/>
          <w:u w:val="none"/>
          <w:lang w:eastAsia="zh-CN"/>
          <w14:textFill>
            <w14:solidFill>
              <w14:schemeClr w14:val="tx1"/>
            </w14:solidFill>
          </w14:textFill>
        </w:rPr>
        <w:t>三、</w:t>
      </w:r>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报价部分（</w:t>
      </w:r>
      <w:r>
        <w:rPr>
          <w:rFonts w:hint="default" w:ascii="Times New Roman" w:hAnsi="Times New Roman" w:eastAsia="黑体" w:cs="Times New Roman"/>
          <w:b w:val="0"/>
          <w:bCs w:val="0"/>
          <w:color w:val="000000" w:themeColor="text1"/>
          <w:sz w:val="32"/>
          <w:szCs w:val="32"/>
          <w:highlight w:val="none"/>
          <w:u w:val="none"/>
          <w:lang w:val="en-US" w:eastAsia="zh-CN"/>
          <w14:textFill>
            <w14:solidFill>
              <w14:schemeClr w14:val="tx1"/>
            </w14:solidFill>
          </w14:textFill>
        </w:rPr>
        <w:t>40</w:t>
      </w:r>
      <w:r>
        <w:rPr>
          <w:rFonts w:hint="default" w:ascii="Times New Roman" w:hAnsi="Times New Roman" w:eastAsia="黑体" w:cs="Times New Roman"/>
          <w:b w:val="0"/>
          <w:bCs w:val="0"/>
          <w:color w:val="000000" w:themeColor="text1"/>
          <w:sz w:val="32"/>
          <w:szCs w:val="32"/>
          <w:highlight w:val="none"/>
          <w:u w:val="none"/>
          <w14:textFill>
            <w14:solidFill>
              <w14:schemeClr w14:val="tx1"/>
            </w14:solidFill>
          </w14:textFill>
        </w:rPr>
        <w:t>分）</w:t>
      </w:r>
      <w:bookmarkEnd w:id="72"/>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73" w:name="_Toc6484"/>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1.投标总报价的计算步骤</w:t>
      </w:r>
      <w:bookmarkEnd w:id="73"/>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详见《综合评估法Ⅰ类评分标准》中投标总报价的计算步骤。</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74" w:name="_Toc21554"/>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2.评标基准价的确定</w:t>
      </w:r>
      <w:bookmarkEnd w:id="74"/>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详见《综合评估法Ⅰ类评分标准》中评标基准价的确定。</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75" w:name="_Toc15734"/>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3.投标总报价偏差计算</w:t>
      </w:r>
      <w:bookmarkEnd w:id="7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详见《综合评估法Ⅰ类评分标准》中投标总报价偏差计算。</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2" w:firstLineChars="200"/>
        <w:textAlignment w:val="auto"/>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pPr>
      <w:bookmarkStart w:id="76" w:name="_Toc28671"/>
      <w:r>
        <w:rPr>
          <w:rFonts w:hint="default" w:ascii="Times New Roman" w:hAnsi="Times New Roman" w:eastAsia="仿宋_GB2312" w:cs="Times New Roman"/>
          <w:b/>
          <w:bCs/>
          <w:color w:val="000000" w:themeColor="text1"/>
          <w:sz w:val="32"/>
          <w:szCs w:val="32"/>
          <w:highlight w:val="none"/>
          <w:u w:val="none"/>
          <w14:textFill>
            <w14:solidFill>
              <w14:schemeClr w14:val="tx1"/>
            </w14:solidFill>
          </w14:textFill>
        </w:rPr>
        <w:t>4.投标总报价得分计算</w:t>
      </w:r>
      <w:bookmarkEnd w:id="7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投标总报价与评标基准价相等得满分，投标总报价每低于评标基准价1%扣0.3分，基本分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15</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分；每高于评标基准价1%扣0.5分，基本分</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分，处于整数点之间的值以内插法计算。</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pPr>
    </w:p>
    <w:sectPr>
      <w:headerReference r:id="rId3" w:type="default"/>
      <w:footerReference r:id="rId4" w:type="default"/>
      <w:pgSz w:w="11906" w:h="16838"/>
      <w:pgMar w:top="2098" w:right="1531" w:bottom="1984" w:left="1531" w:header="993" w:footer="667"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EU-B1"/>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EU-B1"/>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Light">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Cambria Math">
    <w:altName w:val="DejaVu Math TeX Gyre"/>
    <w:panose1 w:val="02040503050406030204"/>
    <w:charset w:val="00"/>
    <w:family w:val="roman"/>
    <w:pitch w:val="default"/>
    <w:sig w:usb0="00000000" w:usb1="00000000" w:usb2="02000000" w:usb3="00000000" w:csb0="2000019F" w:csb1="00000000"/>
  </w:font>
  <w:font w:name="DejaVu Math TeX Gyre">
    <w:panose1 w:val="02000503000000000000"/>
    <w:charset w:val="00"/>
    <w:family w:val="auto"/>
    <w:pitch w:val="default"/>
    <w:sig w:usb0="A10000EF" w:usb1="4201F9EE" w:usb2="02000000" w:usb3="00000000" w:csb0="60000193" w:csb1="0DD40000"/>
  </w:font>
  <w:font w:name="Segoe UI">
    <w:altName w:val="Noto Naskh Arabic"/>
    <w:panose1 w:val="020B0502040204020203"/>
    <w:charset w:val="00"/>
    <w:family w:val="swiss"/>
    <w:pitch w:val="default"/>
    <w:sig w:usb0="00000000" w:usb1="00000000" w:usb2="00000009" w:usb3="00000000" w:csb0="200001FF" w:csb1="00000000"/>
  </w:font>
  <w:font w:name="Noto Naskh Arabic">
    <w:panose1 w:val="020B0502040504020204"/>
    <w:charset w:val="00"/>
    <w:family w:val="auto"/>
    <w:pitch w:val="default"/>
    <w:sig w:usb0="80002003" w:usb1="80002000" w:usb2="00000008" w:usb3="00000000" w:csb0="00000041" w:csb1="00080000"/>
  </w:font>
  <w:font w:name="仿宋_GB2312">
    <w:panose1 w:val="02010609030101010101"/>
    <w:charset w:val="86"/>
    <w:family w:val="modern"/>
    <w:pitch w:val="default"/>
    <w:sig w:usb0="00000001" w:usb1="080E0000" w:usb2="00000000" w:usb3="00000000" w:csb0="00040000" w:csb1="00000000"/>
  </w:font>
  <w:font w:name="方正书宋简体">
    <w:altName w:val="方正书宋_GBK"/>
    <w:panose1 w:val="03000509000000000000"/>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C059">
    <w:panose1 w:val="00000500000000000000"/>
    <w:charset w:val="00"/>
    <w:family w:val="auto"/>
    <w:pitch w:val="default"/>
    <w:sig w:usb0="00000287" w:usb1="00000800" w:usb2="00000000" w:usb3="00000000" w:csb0="6000009F" w:csb1="00000000"/>
  </w:font>
  <w:font w:name="等线 Light">
    <w:altName w:val="C059"/>
    <w:panose1 w:val="00000000000000000000"/>
    <w:charset w:val="00"/>
    <w:family w:val="auto"/>
    <w:pitch w:val="default"/>
    <w:sig w:usb0="00000000" w:usb1="00000000" w:usb2="00000000" w:usb3="00000000" w:csb0="00000000" w:csb1="00000000"/>
  </w:font>
  <w:font w:name="EU-B1">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1087457"/>
    </w:sdtPr>
    <w:sdtContent>
      <w:sdt>
        <w:sdtPr>
          <w:id w:val="1728636285"/>
        </w:sdtPr>
        <w:sdtContent>
          <w:p>
            <w:pPr>
              <w:pStyle w:val="1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rFonts w:hint="eastAsia"/>
      </w:rPr>
      <w:t>新疆维吾尔自治区水利工程建设项目勘察设计招标评标方法和标准（征求意见稿）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D2BD8"/>
    <w:multiLevelType w:val="singleLevel"/>
    <w:tmpl w:val="58AD2BD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58E"/>
    <w:rsid w:val="000018B3"/>
    <w:rsid w:val="00003A2D"/>
    <w:rsid w:val="00003A4F"/>
    <w:rsid w:val="00003C65"/>
    <w:rsid w:val="00006C8A"/>
    <w:rsid w:val="00007D1E"/>
    <w:rsid w:val="000104CE"/>
    <w:rsid w:val="00011ABB"/>
    <w:rsid w:val="00011B03"/>
    <w:rsid w:val="0001516D"/>
    <w:rsid w:val="00016161"/>
    <w:rsid w:val="0001697A"/>
    <w:rsid w:val="000173C8"/>
    <w:rsid w:val="00020F27"/>
    <w:rsid w:val="0002292B"/>
    <w:rsid w:val="0003041F"/>
    <w:rsid w:val="00030D15"/>
    <w:rsid w:val="0003181E"/>
    <w:rsid w:val="00032601"/>
    <w:rsid w:val="000415B1"/>
    <w:rsid w:val="0004202B"/>
    <w:rsid w:val="00044211"/>
    <w:rsid w:val="00045E9D"/>
    <w:rsid w:val="00047C36"/>
    <w:rsid w:val="00051C9B"/>
    <w:rsid w:val="00054E75"/>
    <w:rsid w:val="00055BF7"/>
    <w:rsid w:val="00055E86"/>
    <w:rsid w:val="0005785C"/>
    <w:rsid w:val="000578B4"/>
    <w:rsid w:val="00060673"/>
    <w:rsid w:val="0006070A"/>
    <w:rsid w:val="00061429"/>
    <w:rsid w:val="000631F8"/>
    <w:rsid w:val="0006475A"/>
    <w:rsid w:val="00064C4E"/>
    <w:rsid w:val="00065651"/>
    <w:rsid w:val="000710E9"/>
    <w:rsid w:val="00072274"/>
    <w:rsid w:val="00073668"/>
    <w:rsid w:val="00074AB5"/>
    <w:rsid w:val="00076153"/>
    <w:rsid w:val="000876F8"/>
    <w:rsid w:val="00090908"/>
    <w:rsid w:val="00093DC4"/>
    <w:rsid w:val="00094032"/>
    <w:rsid w:val="00095AEC"/>
    <w:rsid w:val="00096432"/>
    <w:rsid w:val="00096A1E"/>
    <w:rsid w:val="000A0E60"/>
    <w:rsid w:val="000A19BD"/>
    <w:rsid w:val="000A30B0"/>
    <w:rsid w:val="000A3C49"/>
    <w:rsid w:val="000A4CC4"/>
    <w:rsid w:val="000A69AE"/>
    <w:rsid w:val="000B2A44"/>
    <w:rsid w:val="000B300B"/>
    <w:rsid w:val="000B46FB"/>
    <w:rsid w:val="000B4C42"/>
    <w:rsid w:val="000B53AB"/>
    <w:rsid w:val="000B6584"/>
    <w:rsid w:val="000C01EC"/>
    <w:rsid w:val="000C1BE6"/>
    <w:rsid w:val="000C1FFE"/>
    <w:rsid w:val="000C3A85"/>
    <w:rsid w:val="000C45E5"/>
    <w:rsid w:val="000C67D5"/>
    <w:rsid w:val="000C6AD9"/>
    <w:rsid w:val="000C6B90"/>
    <w:rsid w:val="000C764A"/>
    <w:rsid w:val="000D16CB"/>
    <w:rsid w:val="000D3A95"/>
    <w:rsid w:val="000D3E2B"/>
    <w:rsid w:val="000D40B1"/>
    <w:rsid w:val="000D51D2"/>
    <w:rsid w:val="000D57F5"/>
    <w:rsid w:val="000D7D7F"/>
    <w:rsid w:val="000E00CA"/>
    <w:rsid w:val="000E185A"/>
    <w:rsid w:val="000E23CF"/>
    <w:rsid w:val="000E253A"/>
    <w:rsid w:val="000E650E"/>
    <w:rsid w:val="000E750B"/>
    <w:rsid w:val="000F08E0"/>
    <w:rsid w:val="000F32F9"/>
    <w:rsid w:val="0010019D"/>
    <w:rsid w:val="00104703"/>
    <w:rsid w:val="00104DB8"/>
    <w:rsid w:val="00107D57"/>
    <w:rsid w:val="001128BC"/>
    <w:rsid w:val="00113A74"/>
    <w:rsid w:val="00113A84"/>
    <w:rsid w:val="00113B93"/>
    <w:rsid w:val="00114249"/>
    <w:rsid w:val="00114C74"/>
    <w:rsid w:val="00115A2F"/>
    <w:rsid w:val="001162BD"/>
    <w:rsid w:val="00117855"/>
    <w:rsid w:val="001178AB"/>
    <w:rsid w:val="00117BDA"/>
    <w:rsid w:val="00120B04"/>
    <w:rsid w:val="00121553"/>
    <w:rsid w:val="00124A9A"/>
    <w:rsid w:val="001251FB"/>
    <w:rsid w:val="0012579D"/>
    <w:rsid w:val="00126364"/>
    <w:rsid w:val="001277F9"/>
    <w:rsid w:val="00127A60"/>
    <w:rsid w:val="00130091"/>
    <w:rsid w:val="00130D41"/>
    <w:rsid w:val="00130E50"/>
    <w:rsid w:val="001333D9"/>
    <w:rsid w:val="00133990"/>
    <w:rsid w:val="00133D7B"/>
    <w:rsid w:val="001347DB"/>
    <w:rsid w:val="00137374"/>
    <w:rsid w:val="00137716"/>
    <w:rsid w:val="00143292"/>
    <w:rsid w:val="0014443E"/>
    <w:rsid w:val="00145285"/>
    <w:rsid w:val="00147017"/>
    <w:rsid w:val="00147782"/>
    <w:rsid w:val="001507B3"/>
    <w:rsid w:val="001507DF"/>
    <w:rsid w:val="001516B9"/>
    <w:rsid w:val="00151B74"/>
    <w:rsid w:val="001521C5"/>
    <w:rsid w:val="00152EA0"/>
    <w:rsid w:val="00153EB8"/>
    <w:rsid w:val="001543A8"/>
    <w:rsid w:val="00155632"/>
    <w:rsid w:val="00155740"/>
    <w:rsid w:val="00155C8A"/>
    <w:rsid w:val="00161F47"/>
    <w:rsid w:val="001620BB"/>
    <w:rsid w:val="00167716"/>
    <w:rsid w:val="00172F1C"/>
    <w:rsid w:val="0017489F"/>
    <w:rsid w:val="00174A86"/>
    <w:rsid w:val="00176B93"/>
    <w:rsid w:val="0018268C"/>
    <w:rsid w:val="00182886"/>
    <w:rsid w:val="0018346F"/>
    <w:rsid w:val="00185B6E"/>
    <w:rsid w:val="001870CD"/>
    <w:rsid w:val="0019075F"/>
    <w:rsid w:val="00190831"/>
    <w:rsid w:val="00195587"/>
    <w:rsid w:val="001964A8"/>
    <w:rsid w:val="00197570"/>
    <w:rsid w:val="001A3FDA"/>
    <w:rsid w:val="001A5396"/>
    <w:rsid w:val="001A56F8"/>
    <w:rsid w:val="001A5B6F"/>
    <w:rsid w:val="001A6F69"/>
    <w:rsid w:val="001B0F46"/>
    <w:rsid w:val="001B0F6A"/>
    <w:rsid w:val="001B3D4D"/>
    <w:rsid w:val="001B6083"/>
    <w:rsid w:val="001B617B"/>
    <w:rsid w:val="001B6599"/>
    <w:rsid w:val="001B7082"/>
    <w:rsid w:val="001C01A7"/>
    <w:rsid w:val="001C3F5A"/>
    <w:rsid w:val="001C6A75"/>
    <w:rsid w:val="001C7342"/>
    <w:rsid w:val="001C7B25"/>
    <w:rsid w:val="001D5A47"/>
    <w:rsid w:val="001D6CE6"/>
    <w:rsid w:val="001D71D5"/>
    <w:rsid w:val="001E0157"/>
    <w:rsid w:val="001E1FBD"/>
    <w:rsid w:val="001E4F9C"/>
    <w:rsid w:val="001F0ED4"/>
    <w:rsid w:val="001F16FE"/>
    <w:rsid w:val="001F2B9F"/>
    <w:rsid w:val="00200ABD"/>
    <w:rsid w:val="00201EE4"/>
    <w:rsid w:val="002020BB"/>
    <w:rsid w:val="002023F5"/>
    <w:rsid w:val="002025BC"/>
    <w:rsid w:val="0021192F"/>
    <w:rsid w:val="00213BBE"/>
    <w:rsid w:val="002144BA"/>
    <w:rsid w:val="00216E8A"/>
    <w:rsid w:val="0021715D"/>
    <w:rsid w:val="002206AA"/>
    <w:rsid w:val="00221ADF"/>
    <w:rsid w:val="00221BD5"/>
    <w:rsid w:val="002230B3"/>
    <w:rsid w:val="00223150"/>
    <w:rsid w:val="00225A11"/>
    <w:rsid w:val="002261EC"/>
    <w:rsid w:val="00226710"/>
    <w:rsid w:val="002332F3"/>
    <w:rsid w:val="002333CE"/>
    <w:rsid w:val="00234345"/>
    <w:rsid w:val="0023506F"/>
    <w:rsid w:val="00235A8E"/>
    <w:rsid w:val="00236EB3"/>
    <w:rsid w:val="0024099C"/>
    <w:rsid w:val="00240CB5"/>
    <w:rsid w:val="00242004"/>
    <w:rsid w:val="00242B3A"/>
    <w:rsid w:val="00244008"/>
    <w:rsid w:val="00244B5A"/>
    <w:rsid w:val="00244BF0"/>
    <w:rsid w:val="0024513C"/>
    <w:rsid w:val="002464CB"/>
    <w:rsid w:val="002465F4"/>
    <w:rsid w:val="00246ADD"/>
    <w:rsid w:val="00246BC5"/>
    <w:rsid w:val="0025013F"/>
    <w:rsid w:val="002503B5"/>
    <w:rsid w:val="002511F5"/>
    <w:rsid w:val="00251591"/>
    <w:rsid w:val="002516E3"/>
    <w:rsid w:val="002545CA"/>
    <w:rsid w:val="00254724"/>
    <w:rsid w:val="00261514"/>
    <w:rsid w:val="00264E61"/>
    <w:rsid w:val="00264EE3"/>
    <w:rsid w:val="00265548"/>
    <w:rsid w:val="00265B67"/>
    <w:rsid w:val="00266B4E"/>
    <w:rsid w:val="00270C69"/>
    <w:rsid w:val="002717D2"/>
    <w:rsid w:val="00272284"/>
    <w:rsid w:val="002723F8"/>
    <w:rsid w:val="002812CB"/>
    <w:rsid w:val="0028449C"/>
    <w:rsid w:val="00284BF8"/>
    <w:rsid w:val="002858CC"/>
    <w:rsid w:val="0028621D"/>
    <w:rsid w:val="0028675C"/>
    <w:rsid w:val="002869BC"/>
    <w:rsid w:val="0028780B"/>
    <w:rsid w:val="00287A5B"/>
    <w:rsid w:val="0029031C"/>
    <w:rsid w:val="00291248"/>
    <w:rsid w:val="00291911"/>
    <w:rsid w:val="002A0A9C"/>
    <w:rsid w:val="002A27D1"/>
    <w:rsid w:val="002A2A8C"/>
    <w:rsid w:val="002A501E"/>
    <w:rsid w:val="002A74FE"/>
    <w:rsid w:val="002B163A"/>
    <w:rsid w:val="002B21CF"/>
    <w:rsid w:val="002B44DE"/>
    <w:rsid w:val="002B46F6"/>
    <w:rsid w:val="002B659E"/>
    <w:rsid w:val="002B7583"/>
    <w:rsid w:val="002C1B03"/>
    <w:rsid w:val="002C3C68"/>
    <w:rsid w:val="002C3E14"/>
    <w:rsid w:val="002C5A67"/>
    <w:rsid w:val="002C6F90"/>
    <w:rsid w:val="002C71E7"/>
    <w:rsid w:val="002C7381"/>
    <w:rsid w:val="002C79D7"/>
    <w:rsid w:val="002D0CAE"/>
    <w:rsid w:val="002D1F7A"/>
    <w:rsid w:val="002D3D98"/>
    <w:rsid w:val="002D546E"/>
    <w:rsid w:val="002D554C"/>
    <w:rsid w:val="002D7173"/>
    <w:rsid w:val="002D74FB"/>
    <w:rsid w:val="002E13AB"/>
    <w:rsid w:val="002E1406"/>
    <w:rsid w:val="002E1E44"/>
    <w:rsid w:val="002E5EA7"/>
    <w:rsid w:val="002E72A8"/>
    <w:rsid w:val="002F0E1B"/>
    <w:rsid w:val="002F2D69"/>
    <w:rsid w:val="002F35EF"/>
    <w:rsid w:val="002F516F"/>
    <w:rsid w:val="00301086"/>
    <w:rsid w:val="003021A4"/>
    <w:rsid w:val="00303890"/>
    <w:rsid w:val="003039E3"/>
    <w:rsid w:val="00305658"/>
    <w:rsid w:val="00306015"/>
    <w:rsid w:val="00310264"/>
    <w:rsid w:val="00310CCD"/>
    <w:rsid w:val="0031148D"/>
    <w:rsid w:val="00311E2F"/>
    <w:rsid w:val="00311F38"/>
    <w:rsid w:val="0031289B"/>
    <w:rsid w:val="0031337F"/>
    <w:rsid w:val="00313E31"/>
    <w:rsid w:val="003142A5"/>
    <w:rsid w:val="00317C2A"/>
    <w:rsid w:val="00320C7D"/>
    <w:rsid w:val="003216F3"/>
    <w:rsid w:val="003218C4"/>
    <w:rsid w:val="00321DB2"/>
    <w:rsid w:val="00322C94"/>
    <w:rsid w:val="00323CB7"/>
    <w:rsid w:val="0032645F"/>
    <w:rsid w:val="003270DB"/>
    <w:rsid w:val="00327B04"/>
    <w:rsid w:val="003326E7"/>
    <w:rsid w:val="003345B0"/>
    <w:rsid w:val="00336604"/>
    <w:rsid w:val="00337209"/>
    <w:rsid w:val="003374D0"/>
    <w:rsid w:val="00340876"/>
    <w:rsid w:val="00340B17"/>
    <w:rsid w:val="0034107C"/>
    <w:rsid w:val="00341876"/>
    <w:rsid w:val="0034265C"/>
    <w:rsid w:val="003460EF"/>
    <w:rsid w:val="00346AB0"/>
    <w:rsid w:val="00350282"/>
    <w:rsid w:val="00352ED5"/>
    <w:rsid w:val="0035533D"/>
    <w:rsid w:val="00355562"/>
    <w:rsid w:val="00355FF6"/>
    <w:rsid w:val="003560B0"/>
    <w:rsid w:val="003576A4"/>
    <w:rsid w:val="0036143B"/>
    <w:rsid w:val="00361EAE"/>
    <w:rsid w:val="00361F15"/>
    <w:rsid w:val="00362890"/>
    <w:rsid w:val="00365538"/>
    <w:rsid w:val="00365780"/>
    <w:rsid w:val="00365999"/>
    <w:rsid w:val="00366496"/>
    <w:rsid w:val="0036668D"/>
    <w:rsid w:val="00371BD5"/>
    <w:rsid w:val="003738D6"/>
    <w:rsid w:val="003743F8"/>
    <w:rsid w:val="0037603F"/>
    <w:rsid w:val="0038172E"/>
    <w:rsid w:val="00381903"/>
    <w:rsid w:val="00381FA8"/>
    <w:rsid w:val="0038269F"/>
    <w:rsid w:val="00382950"/>
    <w:rsid w:val="00385BE7"/>
    <w:rsid w:val="00397E70"/>
    <w:rsid w:val="003A090A"/>
    <w:rsid w:val="003A18B4"/>
    <w:rsid w:val="003A232C"/>
    <w:rsid w:val="003A3BFB"/>
    <w:rsid w:val="003A4893"/>
    <w:rsid w:val="003A55D2"/>
    <w:rsid w:val="003A6064"/>
    <w:rsid w:val="003A7537"/>
    <w:rsid w:val="003B0FDF"/>
    <w:rsid w:val="003B1940"/>
    <w:rsid w:val="003B2927"/>
    <w:rsid w:val="003B2B7E"/>
    <w:rsid w:val="003B3AA5"/>
    <w:rsid w:val="003B6353"/>
    <w:rsid w:val="003C240D"/>
    <w:rsid w:val="003C2503"/>
    <w:rsid w:val="003C5008"/>
    <w:rsid w:val="003C53FF"/>
    <w:rsid w:val="003D1D51"/>
    <w:rsid w:val="003D2BE2"/>
    <w:rsid w:val="003D2C22"/>
    <w:rsid w:val="003D6100"/>
    <w:rsid w:val="003D74D4"/>
    <w:rsid w:val="003E2463"/>
    <w:rsid w:val="003E42A9"/>
    <w:rsid w:val="003E55FE"/>
    <w:rsid w:val="003E600D"/>
    <w:rsid w:val="003F30EB"/>
    <w:rsid w:val="003F3424"/>
    <w:rsid w:val="003F3ABD"/>
    <w:rsid w:val="004020E9"/>
    <w:rsid w:val="00402839"/>
    <w:rsid w:val="004042AD"/>
    <w:rsid w:val="004061DA"/>
    <w:rsid w:val="00407885"/>
    <w:rsid w:val="004172D1"/>
    <w:rsid w:val="0042164F"/>
    <w:rsid w:val="004220FA"/>
    <w:rsid w:val="00422673"/>
    <w:rsid w:val="004253CF"/>
    <w:rsid w:val="00430E99"/>
    <w:rsid w:val="00433FDB"/>
    <w:rsid w:val="004342C5"/>
    <w:rsid w:val="00435A42"/>
    <w:rsid w:val="004362EE"/>
    <w:rsid w:val="00436820"/>
    <w:rsid w:val="00436F0A"/>
    <w:rsid w:val="00437E42"/>
    <w:rsid w:val="004413F3"/>
    <w:rsid w:val="004516BB"/>
    <w:rsid w:val="00453DEF"/>
    <w:rsid w:val="00454690"/>
    <w:rsid w:val="00456DDB"/>
    <w:rsid w:val="00457AF1"/>
    <w:rsid w:val="00460345"/>
    <w:rsid w:val="00461172"/>
    <w:rsid w:val="00461333"/>
    <w:rsid w:val="00461570"/>
    <w:rsid w:val="0046349C"/>
    <w:rsid w:val="004639B4"/>
    <w:rsid w:val="0046401C"/>
    <w:rsid w:val="004643AD"/>
    <w:rsid w:val="00464528"/>
    <w:rsid w:val="00465426"/>
    <w:rsid w:val="004654C3"/>
    <w:rsid w:val="00465CAE"/>
    <w:rsid w:val="00465FEC"/>
    <w:rsid w:val="0046790B"/>
    <w:rsid w:val="00467C5B"/>
    <w:rsid w:val="00470123"/>
    <w:rsid w:val="004707F6"/>
    <w:rsid w:val="00472142"/>
    <w:rsid w:val="00472A13"/>
    <w:rsid w:val="00474574"/>
    <w:rsid w:val="004745A8"/>
    <w:rsid w:val="00474CB3"/>
    <w:rsid w:val="0047513D"/>
    <w:rsid w:val="00475B93"/>
    <w:rsid w:val="00475E59"/>
    <w:rsid w:val="00476EA0"/>
    <w:rsid w:val="00476EEC"/>
    <w:rsid w:val="004774FC"/>
    <w:rsid w:val="00477F78"/>
    <w:rsid w:val="00480962"/>
    <w:rsid w:val="004820BC"/>
    <w:rsid w:val="00484B0F"/>
    <w:rsid w:val="00487239"/>
    <w:rsid w:val="00487F58"/>
    <w:rsid w:val="00490004"/>
    <w:rsid w:val="00491176"/>
    <w:rsid w:val="00494824"/>
    <w:rsid w:val="00495671"/>
    <w:rsid w:val="004974A8"/>
    <w:rsid w:val="004A0E6B"/>
    <w:rsid w:val="004A4338"/>
    <w:rsid w:val="004A5FF7"/>
    <w:rsid w:val="004A6029"/>
    <w:rsid w:val="004A6474"/>
    <w:rsid w:val="004B041A"/>
    <w:rsid w:val="004B0879"/>
    <w:rsid w:val="004B1259"/>
    <w:rsid w:val="004B14BE"/>
    <w:rsid w:val="004B2BFE"/>
    <w:rsid w:val="004B35D6"/>
    <w:rsid w:val="004B380C"/>
    <w:rsid w:val="004B4134"/>
    <w:rsid w:val="004B6AEC"/>
    <w:rsid w:val="004B7866"/>
    <w:rsid w:val="004B7D7A"/>
    <w:rsid w:val="004C02C8"/>
    <w:rsid w:val="004C0581"/>
    <w:rsid w:val="004C1D63"/>
    <w:rsid w:val="004C5B0E"/>
    <w:rsid w:val="004C5FC8"/>
    <w:rsid w:val="004C6056"/>
    <w:rsid w:val="004C7748"/>
    <w:rsid w:val="004C7EBE"/>
    <w:rsid w:val="004D0598"/>
    <w:rsid w:val="004D0F08"/>
    <w:rsid w:val="004D218A"/>
    <w:rsid w:val="004D219E"/>
    <w:rsid w:val="004D2EFF"/>
    <w:rsid w:val="004D41F1"/>
    <w:rsid w:val="004D499A"/>
    <w:rsid w:val="004D65CA"/>
    <w:rsid w:val="004D6DB4"/>
    <w:rsid w:val="004D76EA"/>
    <w:rsid w:val="004E3238"/>
    <w:rsid w:val="004E4AE9"/>
    <w:rsid w:val="004E4BBE"/>
    <w:rsid w:val="004F141B"/>
    <w:rsid w:val="004F1612"/>
    <w:rsid w:val="004F1954"/>
    <w:rsid w:val="004F2602"/>
    <w:rsid w:val="004F3E8E"/>
    <w:rsid w:val="004F4D19"/>
    <w:rsid w:val="004F7072"/>
    <w:rsid w:val="00501AD0"/>
    <w:rsid w:val="00502AD1"/>
    <w:rsid w:val="00511E11"/>
    <w:rsid w:val="00512FF5"/>
    <w:rsid w:val="005133FD"/>
    <w:rsid w:val="00514033"/>
    <w:rsid w:val="0051425D"/>
    <w:rsid w:val="00514FEF"/>
    <w:rsid w:val="00515288"/>
    <w:rsid w:val="00515297"/>
    <w:rsid w:val="005159A4"/>
    <w:rsid w:val="00515D88"/>
    <w:rsid w:val="005171DC"/>
    <w:rsid w:val="00517244"/>
    <w:rsid w:val="00517BC5"/>
    <w:rsid w:val="00517F54"/>
    <w:rsid w:val="00520924"/>
    <w:rsid w:val="00521DC7"/>
    <w:rsid w:val="005240FF"/>
    <w:rsid w:val="005271A2"/>
    <w:rsid w:val="005272F5"/>
    <w:rsid w:val="0053016B"/>
    <w:rsid w:val="005305F8"/>
    <w:rsid w:val="005315F0"/>
    <w:rsid w:val="0053185D"/>
    <w:rsid w:val="00531994"/>
    <w:rsid w:val="005344B1"/>
    <w:rsid w:val="00534573"/>
    <w:rsid w:val="00534F4E"/>
    <w:rsid w:val="00535BA0"/>
    <w:rsid w:val="00536178"/>
    <w:rsid w:val="0053626B"/>
    <w:rsid w:val="00536BD3"/>
    <w:rsid w:val="0053732E"/>
    <w:rsid w:val="00537B38"/>
    <w:rsid w:val="005401EB"/>
    <w:rsid w:val="0054042C"/>
    <w:rsid w:val="00540EF2"/>
    <w:rsid w:val="0054303F"/>
    <w:rsid w:val="00543650"/>
    <w:rsid w:val="00544752"/>
    <w:rsid w:val="00546941"/>
    <w:rsid w:val="00552742"/>
    <w:rsid w:val="00552E37"/>
    <w:rsid w:val="00552F77"/>
    <w:rsid w:val="0055598B"/>
    <w:rsid w:val="00555D83"/>
    <w:rsid w:val="0055614C"/>
    <w:rsid w:val="0055770B"/>
    <w:rsid w:val="00557850"/>
    <w:rsid w:val="0056169F"/>
    <w:rsid w:val="00563E3D"/>
    <w:rsid w:val="00565E56"/>
    <w:rsid w:val="00566327"/>
    <w:rsid w:val="0057029D"/>
    <w:rsid w:val="0057039F"/>
    <w:rsid w:val="0057162C"/>
    <w:rsid w:val="005747F4"/>
    <w:rsid w:val="00576C12"/>
    <w:rsid w:val="00576E25"/>
    <w:rsid w:val="00582B6D"/>
    <w:rsid w:val="00584AA5"/>
    <w:rsid w:val="00584C9E"/>
    <w:rsid w:val="0058557E"/>
    <w:rsid w:val="00587BED"/>
    <w:rsid w:val="00592409"/>
    <w:rsid w:val="00592432"/>
    <w:rsid w:val="0059246C"/>
    <w:rsid w:val="00592A6D"/>
    <w:rsid w:val="00593557"/>
    <w:rsid w:val="005937B1"/>
    <w:rsid w:val="00593939"/>
    <w:rsid w:val="00596F22"/>
    <w:rsid w:val="005A412F"/>
    <w:rsid w:val="005A5684"/>
    <w:rsid w:val="005A63DA"/>
    <w:rsid w:val="005A66D6"/>
    <w:rsid w:val="005A7BD5"/>
    <w:rsid w:val="005B0054"/>
    <w:rsid w:val="005B122A"/>
    <w:rsid w:val="005B211A"/>
    <w:rsid w:val="005B2C1C"/>
    <w:rsid w:val="005B3641"/>
    <w:rsid w:val="005B6916"/>
    <w:rsid w:val="005B7C3A"/>
    <w:rsid w:val="005C2444"/>
    <w:rsid w:val="005C2E7D"/>
    <w:rsid w:val="005C51B2"/>
    <w:rsid w:val="005C54C7"/>
    <w:rsid w:val="005D10B5"/>
    <w:rsid w:val="005D1142"/>
    <w:rsid w:val="005D2850"/>
    <w:rsid w:val="005D55DA"/>
    <w:rsid w:val="005D65E3"/>
    <w:rsid w:val="005E1988"/>
    <w:rsid w:val="005E21D1"/>
    <w:rsid w:val="005E271A"/>
    <w:rsid w:val="005E34E0"/>
    <w:rsid w:val="005E4DAD"/>
    <w:rsid w:val="005E5F66"/>
    <w:rsid w:val="005E6171"/>
    <w:rsid w:val="005F1F24"/>
    <w:rsid w:val="005F2A55"/>
    <w:rsid w:val="005F5208"/>
    <w:rsid w:val="005F70E9"/>
    <w:rsid w:val="006004E0"/>
    <w:rsid w:val="00600EDB"/>
    <w:rsid w:val="006012D2"/>
    <w:rsid w:val="00603DEE"/>
    <w:rsid w:val="00607651"/>
    <w:rsid w:val="00610345"/>
    <w:rsid w:val="006122BF"/>
    <w:rsid w:val="006123A6"/>
    <w:rsid w:val="00612414"/>
    <w:rsid w:val="00612416"/>
    <w:rsid w:val="0061258C"/>
    <w:rsid w:val="00612933"/>
    <w:rsid w:val="00613DFF"/>
    <w:rsid w:val="006150DA"/>
    <w:rsid w:val="00615717"/>
    <w:rsid w:val="00616B7E"/>
    <w:rsid w:val="00616E8F"/>
    <w:rsid w:val="0061729D"/>
    <w:rsid w:val="006214FE"/>
    <w:rsid w:val="006242FE"/>
    <w:rsid w:val="00624C97"/>
    <w:rsid w:val="00624EC7"/>
    <w:rsid w:val="00627DA2"/>
    <w:rsid w:val="006319BF"/>
    <w:rsid w:val="00631D69"/>
    <w:rsid w:val="00631E7E"/>
    <w:rsid w:val="006325A4"/>
    <w:rsid w:val="00632AD1"/>
    <w:rsid w:val="00636429"/>
    <w:rsid w:val="00636860"/>
    <w:rsid w:val="00640082"/>
    <w:rsid w:val="006403A5"/>
    <w:rsid w:val="00640FA6"/>
    <w:rsid w:val="006425A1"/>
    <w:rsid w:val="00644DDE"/>
    <w:rsid w:val="0064698E"/>
    <w:rsid w:val="00650BD1"/>
    <w:rsid w:val="006513E9"/>
    <w:rsid w:val="00651AC1"/>
    <w:rsid w:val="00654D3C"/>
    <w:rsid w:val="006561E1"/>
    <w:rsid w:val="00656A29"/>
    <w:rsid w:val="0065786D"/>
    <w:rsid w:val="006606A7"/>
    <w:rsid w:val="0066147F"/>
    <w:rsid w:val="00661BBE"/>
    <w:rsid w:val="00663D1D"/>
    <w:rsid w:val="00666304"/>
    <w:rsid w:val="006670A4"/>
    <w:rsid w:val="00670BF8"/>
    <w:rsid w:val="00671041"/>
    <w:rsid w:val="006737DF"/>
    <w:rsid w:val="00674199"/>
    <w:rsid w:val="00674EAB"/>
    <w:rsid w:val="00676E62"/>
    <w:rsid w:val="00681217"/>
    <w:rsid w:val="00682B44"/>
    <w:rsid w:val="00683075"/>
    <w:rsid w:val="0068449C"/>
    <w:rsid w:val="0068672C"/>
    <w:rsid w:val="006872BF"/>
    <w:rsid w:val="0069038A"/>
    <w:rsid w:val="00690B4D"/>
    <w:rsid w:val="00691A86"/>
    <w:rsid w:val="00692E22"/>
    <w:rsid w:val="0069428B"/>
    <w:rsid w:val="0069441B"/>
    <w:rsid w:val="0069558E"/>
    <w:rsid w:val="006957EA"/>
    <w:rsid w:val="00696023"/>
    <w:rsid w:val="006964A3"/>
    <w:rsid w:val="00696E32"/>
    <w:rsid w:val="00697BEF"/>
    <w:rsid w:val="006A0ADF"/>
    <w:rsid w:val="006A1178"/>
    <w:rsid w:val="006A5043"/>
    <w:rsid w:val="006A61CF"/>
    <w:rsid w:val="006A6360"/>
    <w:rsid w:val="006A6918"/>
    <w:rsid w:val="006A7D35"/>
    <w:rsid w:val="006B2DBB"/>
    <w:rsid w:val="006B404E"/>
    <w:rsid w:val="006B48F6"/>
    <w:rsid w:val="006B4EE8"/>
    <w:rsid w:val="006B67A8"/>
    <w:rsid w:val="006B7B7C"/>
    <w:rsid w:val="006C2D5F"/>
    <w:rsid w:val="006C3857"/>
    <w:rsid w:val="006C4CA6"/>
    <w:rsid w:val="006C6543"/>
    <w:rsid w:val="006C72FE"/>
    <w:rsid w:val="006D01BE"/>
    <w:rsid w:val="006D3BE8"/>
    <w:rsid w:val="006D4BEF"/>
    <w:rsid w:val="006E02AC"/>
    <w:rsid w:val="006E095B"/>
    <w:rsid w:val="006E1510"/>
    <w:rsid w:val="006E1D1B"/>
    <w:rsid w:val="006E3E61"/>
    <w:rsid w:val="006E48EA"/>
    <w:rsid w:val="006E7238"/>
    <w:rsid w:val="006F0A03"/>
    <w:rsid w:val="006F3501"/>
    <w:rsid w:val="006F7D2A"/>
    <w:rsid w:val="0070100E"/>
    <w:rsid w:val="007027F2"/>
    <w:rsid w:val="00704404"/>
    <w:rsid w:val="00705C5C"/>
    <w:rsid w:val="00707EBA"/>
    <w:rsid w:val="007109D9"/>
    <w:rsid w:val="00714573"/>
    <w:rsid w:val="00714745"/>
    <w:rsid w:val="0072068F"/>
    <w:rsid w:val="00720AFA"/>
    <w:rsid w:val="0072554B"/>
    <w:rsid w:val="00726AC6"/>
    <w:rsid w:val="007271BB"/>
    <w:rsid w:val="00727A2C"/>
    <w:rsid w:val="0073016C"/>
    <w:rsid w:val="00733E46"/>
    <w:rsid w:val="00734A79"/>
    <w:rsid w:val="00736CDD"/>
    <w:rsid w:val="00736DCC"/>
    <w:rsid w:val="00740876"/>
    <w:rsid w:val="0074231C"/>
    <w:rsid w:val="00743BEE"/>
    <w:rsid w:val="00743FDD"/>
    <w:rsid w:val="00745DCE"/>
    <w:rsid w:val="007475B7"/>
    <w:rsid w:val="007502A2"/>
    <w:rsid w:val="00751C28"/>
    <w:rsid w:val="00752AA8"/>
    <w:rsid w:val="007537D4"/>
    <w:rsid w:val="00756795"/>
    <w:rsid w:val="00756870"/>
    <w:rsid w:val="007579FE"/>
    <w:rsid w:val="00757E9A"/>
    <w:rsid w:val="007603E2"/>
    <w:rsid w:val="007605A4"/>
    <w:rsid w:val="00763361"/>
    <w:rsid w:val="007662D4"/>
    <w:rsid w:val="0076698E"/>
    <w:rsid w:val="00766A8F"/>
    <w:rsid w:val="00767B24"/>
    <w:rsid w:val="00767C41"/>
    <w:rsid w:val="00770230"/>
    <w:rsid w:val="00771120"/>
    <w:rsid w:val="007742C8"/>
    <w:rsid w:val="00774FC3"/>
    <w:rsid w:val="00775041"/>
    <w:rsid w:val="007753A8"/>
    <w:rsid w:val="00775A4B"/>
    <w:rsid w:val="00777030"/>
    <w:rsid w:val="00781BEF"/>
    <w:rsid w:val="00784F28"/>
    <w:rsid w:val="00785E36"/>
    <w:rsid w:val="00786E8E"/>
    <w:rsid w:val="0079084A"/>
    <w:rsid w:val="0079188F"/>
    <w:rsid w:val="00791D0C"/>
    <w:rsid w:val="007934DB"/>
    <w:rsid w:val="00794514"/>
    <w:rsid w:val="007945E3"/>
    <w:rsid w:val="007A33B4"/>
    <w:rsid w:val="007A51A4"/>
    <w:rsid w:val="007A72E2"/>
    <w:rsid w:val="007B16FA"/>
    <w:rsid w:val="007B19B8"/>
    <w:rsid w:val="007B1F11"/>
    <w:rsid w:val="007B2AAA"/>
    <w:rsid w:val="007B338D"/>
    <w:rsid w:val="007B33BE"/>
    <w:rsid w:val="007B3F06"/>
    <w:rsid w:val="007B5184"/>
    <w:rsid w:val="007B6BF1"/>
    <w:rsid w:val="007C00B6"/>
    <w:rsid w:val="007C032B"/>
    <w:rsid w:val="007C1347"/>
    <w:rsid w:val="007C1414"/>
    <w:rsid w:val="007C1557"/>
    <w:rsid w:val="007C5988"/>
    <w:rsid w:val="007C69A1"/>
    <w:rsid w:val="007C6AA3"/>
    <w:rsid w:val="007D362C"/>
    <w:rsid w:val="007D427A"/>
    <w:rsid w:val="007D52C2"/>
    <w:rsid w:val="007D621D"/>
    <w:rsid w:val="007D737F"/>
    <w:rsid w:val="007E1A34"/>
    <w:rsid w:val="007E692E"/>
    <w:rsid w:val="007E7151"/>
    <w:rsid w:val="007E74AD"/>
    <w:rsid w:val="007E7FE2"/>
    <w:rsid w:val="007F0978"/>
    <w:rsid w:val="007F21EC"/>
    <w:rsid w:val="007F2555"/>
    <w:rsid w:val="007F4717"/>
    <w:rsid w:val="007F4CC1"/>
    <w:rsid w:val="007F69F3"/>
    <w:rsid w:val="007F7888"/>
    <w:rsid w:val="008017CC"/>
    <w:rsid w:val="008024E7"/>
    <w:rsid w:val="00804F31"/>
    <w:rsid w:val="0080563C"/>
    <w:rsid w:val="0080769E"/>
    <w:rsid w:val="00812277"/>
    <w:rsid w:val="00812A01"/>
    <w:rsid w:val="008132DF"/>
    <w:rsid w:val="00815F02"/>
    <w:rsid w:val="00817CD0"/>
    <w:rsid w:val="00822B02"/>
    <w:rsid w:val="00822FA3"/>
    <w:rsid w:val="00825AA9"/>
    <w:rsid w:val="00827407"/>
    <w:rsid w:val="0083018F"/>
    <w:rsid w:val="00831490"/>
    <w:rsid w:val="00831887"/>
    <w:rsid w:val="008424B3"/>
    <w:rsid w:val="00842B1A"/>
    <w:rsid w:val="008448EC"/>
    <w:rsid w:val="00844F52"/>
    <w:rsid w:val="008471EA"/>
    <w:rsid w:val="00847E7F"/>
    <w:rsid w:val="00850B7F"/>
    <w:rsid w:val="00850D3D"/>
    <w:rsid w:val="00851A8A"/>
    <w:rsid w:val="00851B89"/>
    <w:rsid w:val="00852E56"/>
    <w:rsid w:val="0085328D"/>
    <w:rsid w:val="0085434E"/>
    <w:rsid w:val="00854D48"/>
    <w:rsid w:val="0085584C"/>
    <w:rsid w:val="00855EFA"/>
    <w:rsid w:val="00856C7B"/>
    <w:rsid w:val="00857135"/>
    <w:rsid w:val="00857BDA"/>
    <w:rsid w:val="008602D5"/>
    <w:rsid w:val="00861B88"/>
    <w:rsid w:val="008676C2"/>
    <w:rsid w:val="00867AC1"/>
    <w:rsid w:val="00873F16"/>
    <w:rsid w:val="00876C38"/>
    <w:rsid w:val="008773C8"/>
    <w:rsid w:val="0087779C"/>
    <w:rsid w:val="00877FBB"/>
    <w:rsid w:val="008853A0"/>
    <w:rsid w:val="00886380"/>
    <w:rsid w:val="008873BD"/>
    <w:rsid w:val="0088753A"/>
    <w:rsid w:val="00887B75"/>
    <w:rsid w:val="00890110"/>
    <w:rsid w:val="00890BE0"/>
    <w:rsid w:val="008919E7"/>
    <w:rsid w:val="0089397C"/>
    <w:rsid w:val="00894BB0"/>
    <w:rsid w:val="00895F9B"/>
    <w:rsid w:val="00896FD2"/>
    <w:rsid w:val="008A36CB"/>
    <w:rsid w:val="008A4242"/>
    <w:rsid w:val="008A446F"/>
    <w:rsid w:val="008A4493"/>
    <w:rsid w:val="008A4777"/>
    <w:rsid w:val="008A4ABE"/>
    <w:rsid w:val="008A7F17"/>
    <w:rsid w:val="008B18D6"/>
    <w:rsid w:val="008B1FFC"/>
    <w:rsid w:val="008B2EE0"/>
    <w:rsid w:val="008B3732"/>
    <w:rsid w:val="008B4A9C"/>
    <w:rsid w:val="008B4B34"/>
    <w:rsid w:val="008B4EB3"/>
    <w:rsid w:val="008C0D73"/>
    <w:rsid w:val="008C17FB"/>
    <w:rsid w:val="008C5DC3"/>
    <w:rsid w:val="008C68DE"/>
    <w:rsid w:val="008C6B8D"/>
    <w:rsid w:val="008C6C03"/>
    <w:rsid w:val="008C74AD"/>
    <w:rsid w:val="008C7D3F"/>
    <w:rsid w:val="008D09F0"/>
    <w:rsid w:val="008D2FDC"/>
    <w:rsid w:val="008D3B98"/>
    <w:rsid w:val="008D45E3"/>
    <w:rsid w:val="008D77CB"/>
    <w:rsid w:val="008E12A3"/>
    <w:rsid w:val="008E1FA2"/>
    <w:rsid w:val="008E283D"/>
    <w:rsid w:val="008E3485"/>
    <w:rsid w:val="008E3E79"/>
    <w:rsid w:val="008E645B"/>
    <w:rsid w:val="008E6DA8"/>
    <w:rsid w:val="008E6E30"/>
    <w:rsid w:val="008F0B12"/>
    <w:rsid w:val="008F0B34"/>
    <w:rsid w:val="008F1636"/>
    <w:rsid w:val="008F33D3"/>
    <w:rsid w:val="008F360F"/>
    <w:rsid w:val="008F5BC7"/>
    <w:rsid w:val="0090034D"/>
    <w:rsid w:val="009008C6"/>
    <w:rsid w:val="009055C9"/>
    <w:rsid w:val="00907D28"/>
    <w:rsid w:val="0091070D"/>
    <w:rsid w:val="0091167C"/>
    <w:rsid w:val="00914B2A"/>
    <w:rsid w:val="009156BE"/>
    <w:rsid w:val="00915974"/>
    <w:rsid w:val="00921141"/>
    <w:rsid w:val="00921EDE"/>
    <w:rsid w:val="009238B7"/>
    <w:rsid w:val="009245C4"/>
    <w:rsid w:val="00924A73"/>
    <w:rsid w:val="0092520B"/>
    <w:rsid w:val="00931168"/>
    <w:rsid w:val="00936193"/>
    <w:rsid w:val="00940DB8"/>
    <w:rsid w:val="00941937"/>
    <w:rsid w:val="00941FBF"/>
    <w:rsid w:val="0094238B"/>
    <w:rsid w:val="0094485E"/>
    <w:rsid w:val="009471AA"/>
    <w:rsid w:val="00947463"/>
    <w:rsid w:val="00947D3C"/>
    <w:rsid w:val="00947D69"/>
    <w:rsid w:val="00952B60"/>
    <w:rsid w:val="00955C22"/>
    <w:rsid w:val="00957FF6"/>
    <w:rsid w:val="0096250A"/>
    <w:rsid w:val="00963349"/>
    <w:rsid w:val="00970A0E"/>
    <w:rsid w:val="00972505"/>
    <w:rsid w:val="009766C9"/>
    <w:rsid w:val="00977DF4"/>
    <w:rsid w:val="0098298D"/>
    <w:rsid w:val="0098396B"/>
    <w:rsid w:val="0098412B"/>
    <w:rsid w:val="009862EB"/>
    <w:rsid w:val="00990AFA"/>
    <w:rsid w:val="009918D4"/>
    <w:rsid w:val="00991A5E"/>
    <w:rsid w:val="009923B1"/>
    <w:rsid w:val="0099476E"/>
    <w:rsid w:val="009948DD"/>
    <w:rsid w:val="00996D79"/>
    <w:rsid w:val="0099702B"/>
    <w:rsid w:val="00997495"/>
    <w:rsid w:val="009A1EFF"/>
    <w:rsid w:val="009A2FF0"/>
    <w:rsid w:val="009A419A"/>
    <w:rsid w:val="009B1EF1"/>
    <w:rsid w:val="009B4D2A"/>
    <w:rsid w:val="009B4DF8"/>
    <w:rsid w:val="009B5B8C"/>
    <w:rsid w:val="009B6EAF"/>
    <w:rsid w:val="009B7897"/>
    <w:rsid w:val="009C0781"/>
    <w:rsid w:val="009C1E65"/>
    <w:rsid w:val="009C6A8B"/>
    <w:rsid w:val="009C7493"/>
    <w:rsid w:val="009D0BAF"/>
    <w:rsid w:val="009D39DE"/>
    <w:rsid w:val="009D4DAF"/>
    <w:rsid w:val="009D64B8"/>
    <w:rsid w:val="009D72E5"/>
    <w:rsid w:val="009E1B6C"/>
    <w:rsid w:val="009E2A4E"/>
    <w:rsid w:val="009E3412"/>
    <w:rsid w:val="009E411F"/>
    <w:rsid w:val="009E4922"/>
    <w:rsid w:val="009E7A8B"/>
    <w:rsid w:val="009E7BDE"/>
    <w:rsid w:val="009F36FF"/>
    <w:rsid w:val="009F56F6"/>
    <w:rsid w:val="009F7D4C"/>
    <w:rsid w:val="009F7F86"/>
    <w:rsid w:val="00A00FDC"/>
    <w:rsid w:val="00A011A1"/>
    <w:rsid w:val="00A02654"/>
    <w:rsid w:val="00A028A2"/>
    <w:rsid w:val="00A02DE1"/>
    <w:rsid w:val="00A046AC"/>
    <w:rsid w:val="00A0542D"/>
    <w:rsid w:val="00A06C6E"/>
    <w:rsid w:val="00A07885"/>
    <w:rsid w:val="00A07F55"/>
    <w:rsid w:val="00A14671"/>
    <w:rsid w:val="00A17755"/>
    <w:rsid w:val="00A177C2"/>
    <w:rsid w:val="00A2051D"/>
    <w:rsid w:val="00A21714"/>
    <w:rsid w:val="00A2179F"/>
    <w:rsid w:val="00A217B7"/>
    <w:rsid w:val="00A2299E"/>
    <w:rsid w:val="00A22C1B"/>
    <w:rsid w:val="00A236FE"/>
    <w:rsid w:val="00A2392C"/>
    <w:rsid w:val="00A24226"/>
    <w:rsid w:val="00A24572"/>
    <w:rsid w:val="00A269A8"/>
    <w:rsid w:val="00A30F0E"/>
    <w:rsid w:val="00A311AD"/>
    <w:rsid w:val="00A312D2"/>
    <w:rsid w:val="00A3335E"/>
    <w:rsid w:val="00A33BDF"/>
    <w:rsid w:val="00A346E3"/>
    <w:rsid w:val="00A36441"/>
    <w:rsid w:val="00A416B8"/>
    <w:rsid w:val="00A4447B"/>
    <w:rsid w:val="00A445E9"/>
    <w:rsid w:val="00A46233"/>
    <w:rsid w:val="00A46C44"/>
    <w:rsid w:val="00A47980"/>
    <w:rsid w:val="00A53B47"/>
    <w:rsid w:val="00A56DD4"/>
    <w:rsid w:val="00A57F54"/>
    <w:rsid w:val="00A64AB1"/>
    <w:rsid w:val="00A66F3F"/>
    <w:rsid w:val="00A678AE"/>
    <w:rsid w:val="00A67D8B"/>
    <w:rsid w:val="00A70C43"/>
    <w:rsid w:val="00A714C4"/>
    <w:rsid w:val="00A71752"/>
    <w:rsid w:val="00A7280A"/>
    <w:rsid w:val="00A72961"/>
    <w:rsid w:val="00A7443A"/>
    <w:rsid w:val="00A74E74"/>
    <w:rsid w:val="00A75B70"/>
    <w:rsid w:val="00A75BF0"/>
    <w:rsid w:val="00A75CF5"/>
    <w:rsid w:val="00A76CA8"/>
    <w:rsid w:val="00A83CE5"/>
    <w:rsid w:val="00A8777E"/>
    <w:rsid w:val="00A9450D"/>
    <w:rsid w:val="00A946F0"/>
    <w:rsid w:val="00A9473C"/>
    <w:rsid w:val="00A96048"/>
    <w:rsid w:val="00AA00D9"/>
    <w:rsid w:val="00AA0A62"/>
    <w:rsid w:val="00AA1157"/>
    <w:rsid w:val="00AA57ED"/>
    <w:rsid w:val="00AA68A0"/>
    <w:rsid w:val="00AA6AF7"/>
    <w:rsid w:val="00AA7EB5"/>
    <w:rsid w:val="00AB49EF"/>
    <w:rsid w:val="00AB57E2"/>
    <w:rsid w:val="00AB597D"/>
    <w:rsid w:val="00AB65A6"/>
    <w:rsid w:val="00AB72C7"/>
    <w:rsid w:val="00AC11BF"/>
    <w:rsid w:val="00AC2152"/>
    <w:rsid w:val="00AC2A42"/>
    <w:rsid w:val="00AC3045"/>
    <w:rsid w:val="00AC3B2B"/>
    <w:rsid w:val="00AC5E7E"/>
    <w:rsid w:val="00AC6CA1"/>
    <w:rsid w:val="00AD168A"/>
    <w:rsid w:val="00AD16CF"/>
    <w:rsid w:val="00AD2FAC"/>
    <w:rsid w:val="00AD50E8"/>
    <w:rsid w:val="00AE1304"/>
    <w:rsid w:val="00AE2932"/>
    <w:rsid w:val="00AE343D"/>
    <w:rsid w:val="00AE7552"/>
    <w:rsid w:val="00AF0F98"/>
    <w:rsid w:val="00AF11AE"/>
    <w:rsid w:val="00AF1D4D"/>
    <w:rsid w:val="00AF2050"/>
    <w:rsid w:val="00AF4DE0"/>
    <w:rsid w:val="00AF4EC0"/>
    <w:rsid w:val="00AF60A6"/>
    <w:rsid w:val="00AF6FCB"/>
    <w:rsid w:val="00AF71F3"/>
    <w:rsid w:val="00AF7ADD"/>
    <w:rsid w:val="00B01268"/>
    <w:rsid w:val="00B01B18"/>
    <w:rsid w:val="00B029C5"/>
    <w:rsid w:val="00B04CD5"/>
    <w:rsid w:val="00B10578"/>
    <w:rsid w:val="00B112A5"/>
    <w:rsid w:val="00B11C1C"/>
    <w:rsid w:val="00B137A2"/>
    <w:rsid w:val="00B14367"/>
    <w:rsid w:val="00B15500"/>
    <w:rsid w:val="00B16919"/>
    <w:rsid w:val="00B170ED"/>
    <w:rsid w:val="00B171A4"/>
    <w:rsid w:val="00B2023A"/>
    <w:rsid w:val="00B218BB"/>
    <w:rsid w:val="00B22AC1"/>
    <w:rsid w:val="00B23832"/>
    <w:rsid w:val="00B24F0B"/>
    <w:rsid w:val="00B26D49"/>
    <w:rsid w:val="00B272B6"/>
    <w:rsid w:val="00B3089E"/>
    <w:rsid w:val="00B30C93"/>
    <w:rsid w:val="00B33057"/>
    <w:rsid w:val="00B415D7"/>
    <w:rsid w:val="00B43F8D"/>
    <w:rsid w:val="00B44C19"/>
    <w:rsid w:val="00B454E7"/>
    <w:rsid w:val="00B46FC8"/>
    <w:rsid w:val="00B50AF1"/>
    <w:rsid w:val="00B50BFD"/>
    <w:rsid w:val="00B5123F"/>
    <w:rsid w:val="00B52102"/>
    <w:rsid w:val="00B527E8"/>
    <w:rsid w:val="00B52B97"/>
    <w:rsid w:val="00B55E7C"/>
    <w:rsid w:val="00B57F7A"/>
    <w:rsid w:val="00B60477"/>
    <w:rsid w:val="00B6160F"/>
    <w:rsid w:val="00B63A27"/>
    <w:rsid w:val="00B67895"/>
    <w:rsid w:val="00B67BA9"/>
    <w:rsid w:val="00B70785"/>
    <w:rsid w:val="00B7138C"/>
    <w:rsid w:val="00B73B67"/>
    <w:rsid w:val="00B74743"/>
    <w:rsid w:val="00B74C79"/>
    <w:rsid w:val="00B75601"/>
    <w:rsid w:val="00B77398"/>
    <w:rsid w:val="00B77CAC"/>
    <w:rsid w:val="00B77DF9"/>
    <w:rsid w:val="00B8268B"/>
    <w:rsid w:val="00B82B7F"/>
    <w:rsid w:val="00B84BD8"/>
    <w:rsid w:val="00B84CBA"/>
    <w:rsid w:val="00B84FAC"/>
    <w:rsid w:val="00B8608B"/>
    <w:rsid w:val="00B86375"/>
    <w:rsid w:val="00B90676"/>
    <w:rsid w:val="00B90B97"/>
    <w:rsid w:val="00B94A5C"/>
    <w:rsid w:val="00B96349"/>
    <w:rsid w:val="00B963A6"/>
    <w:rsid w:val="00B96AD0"/>
    <w:rsid w:val="00B97D97"/>
    <w:rsid w:val="00BA12AA"/>
    <w:rsid w:val="00BA1F77"/>
    <w:rsid w:val="00BA1FA9"/>
    <w:rsid w:val="00BA2396"/>
    <w:rsid w:val="00BA332F"/>
    <w:rsid w:val="00BA3BCA"/>
    <w:rsid w:val="00BA42A9"/>
    <w:rsid w:val="00BB3EF5"/>
    <w:rsid w:val="00BB451A"/>
    <w:rsid w:val="00BB53D7"/>
    <w:rsid w:val="00BB6698"/>
    <w:rsid w:val="00BC0111"/>
    <w:rsid w:val="00BC3B41"/>
    <w:rsid w:val="00BC63C7"/>
    <w:rsid w:val="00BC7032"/>
    <w:rsid w:val="00BD234D"/>
    <w:rsid w:val="00BD39A1"/>
    <w:rsid w:val="00BD3DB7"/>
    <w:rsid w:val="00BD61D4"/>
    <w:rsid w:val="00BD66AB"/>
    <w:rsid w:val="00BD6A46"/>
    <w:rsid w:val="00BE7C74"/>
    <w:rsid w:val="00BF0044"/>
    <w:rsid w:val="00BF1690"/>
    <w:rsid w:val="00BF1B44"/>
    <w:rsid w:val="00BF60AA"/>
    <w:rsid w:val="00BF63D5"/>
    <w:rsid w:val="00C00BA2"/>
    <w:rsid w:val="00C02B74"/>
    <w:rsid w:val="00C049A5"/>
    <w:rsid w:val="00C04AB7"/>
    <w:rsid w:val="00C05C73"/>
    <w:rsid w:val="00C066CA"/>
    <w:rsid w:val="00C10521"/>
    <w:rsid w:val="00C127D5"/>
    <w:rsid w:val="00C12C57"/>
    <w:rsid w:val="00C15674"/>
    <w:rsid w:val="00C167A1"/>
    <w:rsid w:val="00C17039"/>
    <w:rsid w:val="00C17BE9"/>
    <w:rsid w:val="00C2122B"/>
    <w:rsid w:val="00C21267"/>
    <w:rsid w:val="00C227ED"/>
    <w:rsid w:val="00C24DA9"/>
    <w:rsid w:val="00C24F3E"/>
    <w:rsid w:val="00C27238"/>
    <w:rsid w:val="00C27264"/>
    <w:rsid w:val="00C303CA"/>
    <w:rsid w:val="00C30916"/>
    <w:rsid w:val="00C316A1"/>
    <w:rsid w:val="00C32054"/>
    <w:rsid w:val="00C3298C"/>
    <w:rsid w:val="00C3316C"/>
    <w:rsid w:val="00C35903"/>
    <w:rsid w:val="00C3648C"/>
    <w:rsid w:val="00C369A1"/>
    <w:rsid w:val="00C4070C"/>
    <w:rsid w:val="00C411DB"/>
    <w:rsid w:val="00C41A27"/>
    <w:rsid w:val="00C454AF"/>
    <w:rsid w:val="00C45B72"/>
    <w:rsid w:val="00C46D43"/>
    <w:rsid w:val="00C47170"/>
    <w:rsid w:val="00C472E6"/>
    <w:rsid w:val="00C47947"/>
    <w:rsid w:val="00C47B24"/>
    <w:rsid w:val="00C47B9E"/>
    <w:rsid w:val="00C530E5"/>
    <w:rsid w:val="00C53A03"/>
    <w:rsid w:val="00C540D0"/>
    <w:rsid w:val="00C5518A"/>
    <w:rsid w:val="00C61216"/>
    <w:rsid w:val="00C61317"/>
    <w:rsid w:val="00C6229D"/>
    <w:rsid w:val="00C6473F"/>
    <w:rsid w:val="00C67227"/>
    <w:rsid w:val="00C70059"/>
    <w:rsid w:val="00C718E4"/>
    <w:rsid w:val="00C71D14"/>
    <w:rsid w:val="00C721EA"/>
    <w:rsid w:val="00C72CCF"/>
    <w:rsid w:val="00C72D37"/>
    <w:rsid w:val="00C73F88"/>
    <w:rsid w:val="00C74E4E"/>
    <w:rsid w:val="00C80B4F"/>
    <w:rsid w:val="00C817FF"/>
    <w:rsid w:val="00C82221"/>
    <w:rsid w:val="00C839B1"/>
    <w:rsid w:val="00C86918"/>
    <w:rsid w:val="00C875F1"/>
    <w:rsid w:val="00C929BA"/>
    <w:rsid w:val="00C93BD9"/>
    <w:rsid w:val="00C950F2"/>
    <w:rsid w:val="00C9663D"/>
    <w:rsid w:val="00CA26B9"/>
    <w:rsid w:val="00CA334E"/>
    <w:rsid w:val="00CA37A2"/>
    <w:rsid w:val="00CA416E"/>
    <w:rsid w:val="00CA6C39"/>
    <w:rsid w:val="00CA6C78"/>
    <w:rsid w:val="00CA76F0"/>
    <w:rsid w:val="00CB0348"/>
    <w:rsid w:val="00CB03F1"/>
    <w:rsid w:val="00CB2180"/>
    <w:rsid w:val="00CB21A4"/>
    <w:rsid w:val="00CB25C9"/>
    <w:rsid w:val="00CB3141"/>
    <w:rsid w:val="00CB3603"/>
    <w:rsid w:val="00CB4EC7"/>
    <w:rsid w:val="00CB7913"/>
    <w:rsid w:val="00CC1D90"/>
    <w:rsid w:val="00CC1FC5"/>
    <w:rsid w:val="00CC3770"/>
    <w:rsid w:val="00CC6724"/>
    <w:rsid w:val="00CD0735"/>
    <w:rsid w:val="00CD1C6B"/>
    <w:rsid w:val="00CD1E52"/>
    <w:rsid w:val="00CD268C"/>
    <w:rsid w:val="00CD3D5C"/>
    <w:rsid w:val="00CD6969"/>
    <w:rsid w:val="00CD6AD3"/>
    <w:rsid w:val="00CE55A4"/>
    <w:rsid w:val="00CE66E3"/>
    <w:rsid w:val="00CE70BC"/>
    <w:rsid w:val="00CE7889"/>
    <w:rsid w:val="00CF1A1B"/>
    <w:rsid w:val="00CF1C07"/>
    <w:rsid w:val="00CF4EC1"/>
    <w:rsid w:val="00D02BD9"/>
    <w:rsid w:val="00D0363B"/>
    <w:rsid w:val="00D04278"/>
    <w:rsid w:val="00D04D08"/>
    <w:rsid w:val="00D0552A"/>
    <w:rsid w:val="00D059DD"/>
    <w:rsid w:val="00D0605A"/>
    <w:rsid w:val="00D10671"/>
    <w:rsid w:val="00D116B9"/>
    <w:rsid w:val="00D1181F"/>
    <w:rsid w:val="00D12973"/>
    <w:rsid w:val="00D12C7F"/>
    <w:rsid w:val="00D1768B"/>
    <w:rsid w:val="00D17ACB"/>
    <w:rsid w:val="00D17E85"/>
    <w:rsid w:val="00D20A27"/>
    <w:rsid w:val="00D258D2"/>
    <w:rsid w:val="00D27624"/>
    <w:rsid w:val="00D27AC3"/>
    <w:rsid w:val="00D316E8"/>
    <w:rsid w:val="00D3194A"/>
    <w:rsid w:val="00D34DFA"/>
    <w:rsid w:val="00D400E2"/>
    <w:rsid w:val="00D41BBC"/>
    <w:rsid w:val="00D4676C"/>
    <w:rsid w:val="00D467EE"/>
    <w:rsid w:val="00D50388"/>
    <w:rsid w:val="00D503DA"/>
    <w:rsid w:val="00D508C3"/>
    <w:rsid w:val="00D50EEA"/>
    <w:rsid w:val="00D510CF"/>
    <w:rsid w:val="00D57FD4"/>
    <w:rsid w:val="00D640C8"/>
    <w:rsid w:val="00D64D60"/>
    <w:rsid w:val="00D66CF2"/>
    <w:rsid w:val="00D72F02"/>
    <w:rsid w:val="00D73008"/>
    <w:rsid w:val="00D7398D"/>
    <w:rsid w:val="00D76ECA"/>
    <w:rsid w:val="00D80176"/>
    <w:rsid w:val="00D81BA5"/>
    <w:rsid w:val="00D83325"/>
    <w:rsid w:val="00D83A0D"/>
    <w:rsid w:val="00D8639C"/>
    <w:rsid w:val="00D868C5"/>
    <w:rsid w:val="00D906F3"/>
    <w:rsid w:val="00D908A9"/>
    <w:rsid w:val="00D93715"/>
    <w:rsid w:val="00D957D2"/>
    <w:rsid w:val="00D96B33"/>
    <w:rsid w:val="00D97F9C"/>
    <w:rsid w:val="00DA00A4"/>
    <w:rsid w:val="00DA0239"/>
    <w:rsid w:val="00DA0828"/>
    <w:rsid w:val="00DA23E4"/>
    <w:rsid w:val="00DA2975"/>
    <w:rsid w:val="00DA2D48"/>
    <w:rsid w:val="00DA50FA"/>
    <w:rsid w:val="00DA7361"/>
    <w:rsid w:val="00DB134C"/>
    <w:rsid w:val="00DB241E"/>
    <w:rsid w:val="00DB32EB"/>
    <w:rsid w:val="00DB4A3C"/>
    <w:rsid w:val="00DB4AC0"/>
    <w:rsid w:val="00DB5DCE"/>
    <w:rsid w:val="00DC0887"/>
    <w:rsid w:val="00DC1CDB"/>
    <w:rsid w:val="00DC2CC8"/>
    <w:rsid w:val="00DC51D4"/>
    <w:rsid w:val="00DC529F"/>
    <w:rsid w:val="00DC5BB8"/>
    <w:rsid w:val="00DC70D6"/>
    <w:rsid w:val="00DC7502"/>
    <w:rsid w:val="00DC7611"/>
    <w:rsid w:val="00DC7F37"/>
    <w:rsid w:val="00DD0810"/>
    <w:rsid w:val="00DD1E44"/>
    <w:rsid w:val="00DD38E5"/>
    <w:rsid w:val="00DD4A8F"/>
    <w:rsid w:val="00DD5124"/>
    <w:rsid w:val="00DD5128"/>
    <w:rsid w:val="00DD5C7F"/>
    <w:rsid w:val="00DD6C1D"/>
    <w:rsid w:val="00DE3C36"/>
    <w:rsid w:val="00DE7D49"/>
    <w:rsid w:val="00DF3371"/>
    <w:rsid w:val="00DF34D2"/>
    <w:rsid w:val="00DF43AE"/>
    <w:rsid w:val="00E00BF5"/>
    <w:rsid w:val="00E01406"/>
    <w:rsid w:val="00E01D72"/>
    <w:rsid w:val="00E02945"/>
    <w:rsid w:val="00E02AA1"/>
    <w:rsid w:val="00E03CE0"/>
    <w:rsid w:val="00E06F9F"/>
    <w:rsid w:val="00E12D09"/>
    <w:rsid w:val="00E13123"/>
    <w:rsid w:val="00E136A2"/>
    <w:rsid w:val="00E15658"/>
    <w:rsid w:val="00E15782"/>
    <w:rsid w:val="00E157CA"/>
    <w:rsid w:val="00E21C3E"/>
    <w:rsid w:val="00E23646"/>
    <w:rsid w:val="00E3024F"/>
    <w:rsid w:val="00E306F5"/>
    <w:rsid w:val="00E31C1E"/>
    <w:rsid w:val="00E33804"/>
    <w:rsid w:val="00E34B0B"/>
    <w:rsid w:val="00E34C6C"/>
    <w:rsid w:val="00E37F4B"/>
    <w:rsid w:val="00E402FD"/>
    <w:rsid w:val="00E40CC5"/>
    <w:rsid w:val="00E41C5E"/>
    <w:rsid w:val="00E428CC"/>
    <w:rsid w:val="00E43B8A"/>
    <w:rsid w:val="00E450D9"/>
    <w:rsid w:val="00E45717"/>
    <w:rsid w:val="00E55765"/>
    <w:rsid w:val="00E601D4"/>
    <w:rsid w:val="00E6142D"/>
    <w:rsid w:val="00E62400"/>
    <w:rsid w:val="00E66040"/>
    <w:rsid w:val="00E66503"/>
    <w:rsid w:val="00E66C50"/>
    <w:rsid w:val="00E67804"/>
    <w:rsid w:val="00E724B6"/>
    <w:rsid w:val="00E72B60"/>
    <w:rsid w:val="00E7307A"/>
    <w:rsid w:val="00E73356"/>
    <w:rsid w:val="00E76357"/>
    <w:rsid w:val="00E76532"/>
    <w:rsid w:val="00E7730A"/>
    <w:rsid w:val="00E77388"/>
    <w:rsid w:val="00E7779E"/>
    <w:rsid w:val="00E77AAF"/>
    <w:rsid w:val="00E805BA"/>
    <w:rsid w:val="00E80E6B"/>
    <w:rsid w:val="00E82D2A"/>
    <w:rsid w:val="00E83A47"/>
    <w:rsid w:val="00E850ED"/>
    <w:rsid w:val="00E861B6"/>
    <w:rsid w:val="00E87372"/>
    <w:rsid w:val="00E90313"/>
    <w:rsid w:val="00E9100C"/>
    <w:rsid w:val="00E91C34"/>
    <w:rsid w:val="00E921FF"/>
    <w:rsid w:val="00EA1885"/>
    <w:rsid w:val="00EA438F"/>
    <w:rsid w:val="00EA6A5A"/>
    <w:rsid w:val="00EA6F75"/>
    <w:rsid w:val="00EB0730"/>
    <w:rsid w:val="00EB141D"/>
    <w:rsid w:val="00EB17DC"/>
    <w:rsid w:val="00EB29A3"/>
    <w:rsid w:val="00EB471F"/>
    <w:rsid w:val="00EB54E0"/>
    <w:rsid w:val="00EB69B0"/>
    <w:rsid w:val="00EB70BE"/>
    <w:rsid w:val="00EB7BB6"/>
    <w:rsid w:val="00EB7DD4"/>
    <w:rsid w:val="00EC1913"/>
    <w:rsid w:val="00EC397D"/>
    <w:rsid w:val="00EC3A27"/>
    <w:rsid w:val="00EC5511"/>
    <w:rsid w:val="00ED0F98"/>
    <w:rsid w:val="00ED5074"/>
    <w:rsid w:val="00ED69CD"/>
    <w:rsid w:val="00ED7892"/>
    <w:rsid w:val="00EE07AC"/>
    <w:rsid w:val="00EE14FD"/>
    <w:rsid w:val="00EE3AB1"/>
    <w:rsid w:val="00EE3D67"/>
    <w:rsid w:val="00EF1047"/>
    <w:rsid w:val="00EF1EC7"/>
    <w:rsid w:val="00EF26A0"/>
    <w:rsid w:val="00EF3680"/>
    <w:rsid w:val="00EF3F6D"/>
    <w:rsid w:val="00EF6EAC"/>
    <w:rsid w:val="00EF72E1"/>
    <w:rsid w:val="00F00754"/>
    <w:rsid w:val="00F009CA"/>
    <w:rsid w:val="00F0150F"/>
    <w:rsid w:val="00F03338"/>
    <w:rsid w:val="00F041F9"/>
    <w:rsid w:val="00F04909"/>
    <w:rsid w:val="00F04E4B"/>
    <w:rsid w:val="00F10704"/>
    <w:rsid w:val="00F10829"/>
    <w:rsid w:val="00F10916"/>
    <w:rsid w:val="00F109EF"/>
    <w:rsid w:val="00F11FC3"/>
    <w:rsid w:val="00F123DE"/>
    <w:rsid w:val="00F12B83"/>
    <w:rsid w:val="00F13C34"/>
    <w:rsid w:val="00F14527"/>
    <w:rsid w:val="00F1657D"/>
    <w:rsid w:val="00F17D38"/>
    <w:rsid w:val="00F2095A"/>
    <w:rsid w:val="00F22293"/>
    <w:rsid w:val="00F236D6"/>
    <w:rsid w:val="00F23E98"/>
    <w:rsid w:val="00F24B42"/>
    <w:rsid w:val="00F24C08"/>
    <w:rsid w:val="00F272CC"/>
    <w:rsid w:val="00F30F86"/>
    <w:rsid w:val="00F32917"/>
    <w:rsid w:val="00F32B21"/>
    <w:rsid w:val="00F34873"/>
    <w:rsid w:val="00F35195"/>
    <w:rsid w:val="00F371FB"/>
    <w:rsid w:val="00F37C9A"/>
    <w:rsid w:val="00F40646"/>
    <w:rsid w:val="00F40C6E"/>
    <w:rsid w:val="00F41584"/>
    <w:rsid w:val="00F43409"/>
    <w:rsid w:val="00F437BA"/>
    <w:rsid w:val="00F438ED"/>
    <w:rsid w:val="00F44A9B"/>
    <w:rsid w:val="00F458B6"/>
    <w:rsid w:val="00F45B78"/>
    <w:rsid w:val="00F4639F"/>
    <w:rsid w:val="00F46908"/>
    <w:rsid w:val="00F47343"/>
    <w:rsid w:val="00F47497"/>
    <w:rsid w:val="00F51573"/>
    <w:rsid w:val="00F5187E"/>
    <w:rsid w:val="00F5216E"/>
    <w:rsid w:val="00F56C42"/>
    <w:rsid w:val="00F5739F"/>
    <w:rsid w:val="00F6014E"/>
    <w:rsid w:val="00F634F7"/>
    <w:rsid w:val="00F679BE"/>
    <w:rsid w:val="00F67C23"/>
    <w:rsid w:val="00F718CC"/>
    <w:rsid w:val="00F723A6"/>
    <w:rsid w:val="00F72660"/>
    <w:rsid w:val="00F72BE3"/>
    <w:rsid w:val="00F73454"/>
    <w:rsid w:val="00F74E39"/>
    <w:rsid w:val="00F7663F"/>
    <w:rsid w:val="00F7799D"/>
    <w:rsid w:val="00F80E31"/>
    <w:rsid w:val="00F814DD"/>
    <w:rsid w:val="00F82CB3"/>
    <w:rsid w:val="00F83758"/>
    <w:rsid w:val="00F8550B"/>
    <w:rsid w:val="00F85A49"/>
    <w:rsid w:val="00F85FF2"/>
    <w:rsid w:val="00F86832"/>
    <w:rsid w:val="00F86F6D"/>
    <w:rsid w:val="00F904B4"/>
    <w:rsid w:val="00F92D49"/>
    <w:rsid w:val="00F95AA1"/>
    <w:rsid w:val="00F96015"/>
    <w:rsid w:val="00FA1CA6"/>
    <w:rsid w:val="00FA29C9"/>
    <w:rsid w:val="00FA2AB6"/>
    <w:rsid w:val="00FA6524"/>
    <w:rsid w:val="00FA790D"/>
    <w:rsid w:val="00FA79D2"/>
    <w:rsid w:val="00FB0548"/>
    <w:rsid w:val="00FB1367"/>
    <w:rsid w:val="00FB29C0"/>
    <w:rsid w:val="00FB2A5C"/>
    <w:rsid w:val="00FB415D"/>
    <w:rsid w:val="00FB4194"/>
    <w:rsid w:val="00FB438F"/>
    <w:rsid w:val="00FB489D"/>
    <w:rsid w:val="00FB5D6C"/>
    <w:rsid w:val="00FB633C"/>
    <w:rsid w:val="00FB75C3"/>
    <w:rsid w:val="00FC042D"/>
    <w:rsid w:val="00FC2724"/>
    <w:rsid w:val="00FC287C"/>
    <w:rsid w:val="00FC2AF7"/>
    <w:rsid w:val="00FC3EEA"/>
    <w:rsid w:val="00FC4A52"/>
    <w:rsid w:val="00FC5211"/>
    <w:rsid w:val="00FC546A"/>
    <w:rsid w:val="00FD3F99"/>
    <w:rsid w:val="00FD5013"/>
    <w:rsid w:val="00FD5E5E"/>
    <w:rsid w:val="00FD5EFB"/>
    <w:rsid w:val="00FD65D4"/>
    <w:rsid w:val="00FD7B2D"/>
    <w:rsid w:val="00FE08F4"/>
    <w:rsid w:val="00FE0A7A"/>
    <w:rsid w:val="00FE1034"/>
    <w:rsid w:val="00FE199C"/>
    <w:rsid w:val="00FE1BA1"/>
    <w:rsid w:val="00FE3383"/>
    <w:rsid w:val="00FE69BC"/>
    <w:rsid w:val="00FF0045"/>
    <w:rsid w:val="00FF3E90"/>
    <w:rsid w:val="00FF4B6A"/>
    <w:rsid w:val="029E5B41"/>
    <w:rsid w:val="04230AD7"/>
    <w:rsid w:val="054E76FD"/>
    <w:rsid w:val="078F7AB0"/>
    <w:rsid w:val="0A942C75"/>
    <w:rsid w:val="0CF4009D"/>
    <w:rsid w:val="0FAD1102"/>
    <w:rsid w:val="114C494B"/>
    <w:rsid w:val="12176E12"/>
    <w:rsid w:val="124D5F3E"/>
    <w:rsid w:val="13FD3CDB"/>
    <w:rsid w:val="175E7186"/>
    <w:rsid w:val="178A2F73"/>
    <w:rsid w:val="18BC4D76"/>
    <w:rsid w:val="191B5F66"/>
    <w:rsid w:val="1F0A1A6D"/>
    <w:rsid w:val="297D5E20"/>
    <w:rsid w:val="29FA1DF1"/>
    <w:rsid w:val="2E362CA9"/>
    <w:rsid w:val="30F11BC9"/>
    <w:rsid w:val="31556AAC"/>
    <w:rsid w:val="321D78C4"/>
    <w:rsid w:val="33AB50A9"/>
    <w:rsid w:val="36A3693F"/>
    <w:rsid w:val="39327D20"/>
    <w:rsid w:val="411B386E"/>
    <w:rsid w:val="47282D11"/>
    <w:rsid w:val="47A21E1C"/>
    <w:rsid w:val="48755BF9"/>
    <w:rsid w:val="528D504D"/>
    <w:rsid w:val="53EB1FF8"/>
    <w:rsid w:val="55E56AF3"/>
    <w:rsid w:val="57224149"/>
    <w:rsid w:val="594159E5"/>
    <w:rsid w:val="59660D3D"/>
    <w:rsid w:val="5B7C7628"/>
    <w:rsid w:val="5BCF7D1A"/>
    <w:rsid w:val="62F21D30"/>
    <w:rsid w:val="68F71C1C"/>
    <w:rsid w:val="6A615767"/>
    <w:rsid w:val="6A710606"/>
    <w:rsid w:val="70EC49AE"/>
    <w:rsid w:val="71E67949"/>
    <w:rsid w:val="72BF66EA"/>
    <w:rsid w:val="746B2B3D"/>
    <w:rsid w:val="77F3549D"/>
    <w:rsid w:val="7826119D"/>
    <w:rsid w:val="7A2B3800"/>
    <w:rsid w:val="7B0109E7"/>
    <w:rsid w:val="7B8A64CD"/>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paragraph" w:styleId="2">
    <w:name w:val="heading 1"/>
    <w:basedOn w:val="1"/>
    <w:next w:val="1"/>
    <w:link w:val="2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6"/>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7"/>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8"/>
    <w:unhideWhenUsed/>
    <w:qFormat/>
    <w:uiPriority w:val="9"/>
    <w:pPr>
      <w:keepNext/>
      <w:keepLines/>
      <w:spacing w:before="80" w:after="40"/>
      <w:outlineLvl w:val="3"/>
    </w:pPr>
    <w:rPr>
      <w:rFonts w:cstheme="majorBidi"/>
      <w:color w:val="104862" w:themeColor="accent1" w:themeShade="BF"/>
      <w:szCs w:val="28"/>
    </w:rPr>
  </w:style>
  <w:style w:type="paragraph" w:styleId="6">
    <w:name w:val="heading 5"/>
    <w:basedOn w:val="1"/>
    <w:next w:val="1"/>
    <w:link w:val="29"/>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3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3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9"/>
    <w:qFormat/>
    <w:uiPriority w:val="99"/>
    <w:pPr>
      <w:jc w:val="left"/>
    </w:pPr>
    <w:rPr>
      <w:sz w:val="21"/>
    </w:rPr>
  </w:style>
  <w:style w:type="paragraph" w:styleId="12">
    <w:name w:val="toc 3"/>
    <w:basedOn w:val="1"/>
    <w:next w:val="1"/>
    <w:unhideWhenUsed/>
    <w:qFormat/>
    <w:uiPriority w:val="39"/>
    <w:pPr>
      <w:ind w:left="840" w:leftChars="400"/>
    </w:pPr>
  </w:style>
  <w:style w:type="paragraph" w:styleId="13">
    <w:name w:val="footer"/>
    <w:basedOn w:val="1"/>
    <w:link w:val="48"/>
    <w:unhideWhenUsed/>
    <w:qFormat/>
    <w:uiPriority w:val="99"/>
    <w:pPr>
      <w:tabs>
        <w:tab w:val="center" w:pos="4153"/>
        <w:tab w:val="right" w:pos="8306"/>
      </w:tabs>
      <w:snapToGrid w:val="0"/>
      <w:jc w:val="left"/>
    </w:pPr>
    <w:rPr>
      <w:sz w:val="18"/>
      <w:szCs w:val="18"/>
    </w:rPr>
  </w:style>
  <w:style w:type="paragraph" w:styleId="14">
    <w:name w:val="header"/>
    <w:basedOn w:val="1"/>
    <w:link w:val="47"/>
    <w:unhideWhenUsed/>
    <w:qFormat/>
    <w:uiPriority w:val="99"/>
    <w:pP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Subtitle"/>
    <w:basedOn w:val="1"/>
    <w:next w:val="1"/>
    <w:link w:val="35"/>
    <w:qFormat/>
    <w:uiPriority w:val="11"/>
    <w:pPr>
      <w:jc w:val="center"/>
    </w:pPr>
    <w:rPr>
      <w:rFonts w:asciiTheme="majorHAnsi" w:hAnsiTheme="majorHAnsi" w:eastAsiaTheme="majorEastAsia" w:cstheme="majorBidi"/>
      <w:color w:val="595959" w:themeColor="text1" w:themeTint="A6"/>
      <w:spacing w:val="15"/>
      <w:szCs w:val="28"/>
      <w14:textFill>
        <w14:solidFill>
          <w14:schemeClr w14:val="tx1">
            <w14:lumMod w14:val="65000"/>
            <w14:lumOff w14:val="35000"/>
          </w14:schemeClr>
        </w14:solidFill>
      </w14:textFill>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rPr>
      <w:sz w:val="24"/>
    </w:rPr>
  </w:style>
  <w:style w:type="paragraph" w:styleId="19">
    <w:name w:val="Title"/>
    <w:basedOn w:val="1"/>
    <w:next w:val="1"/>
    <w:link w:val="34"/>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21">
    <w:name w:val="Table Grid"/>
    <w:basedOn w:val="2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3">
    <w:name w:val="Hyperlink"/>
    <w:basedOn w:val="22"/>
    <w:unhideWhenUsed/>
    <w:qFormat/>
    <w:uiPriority w:val="99"/>
    <w:rPr>
      <w:color w:val="467886" w:themeColor="hyperlink"/>
      <w:u w:val="single"/>
      <w14:textFill>
        <w14:solidFill>
          <w14:schemeClr w14:val="hlink"/>
        </w14:solidFill>
      </w14:textFill>
    </w:rPr>
  </w:style>
  <w:style w:type="character" w:styleId="24">
    <w:name w:val="annotation reference"/>
    <w:basedOn w:val="22"/>
    <w:semiHidden/>
    <w:unhideWhenUsed/>
    <w:qFormat/>
    <w:uiPriority w:val="99"/>
    <w:rPr>
      <w:sz w:val="21"/>
      <w:szCs w:val="21"/>
    </w:rPr>
  </w:style>
  <w:style w:type="character" w:customStyle="1" w:styleId="25">
    <w:name w:val="标题 1 字符"/>
    <w:basedOn w:val="22"/>
    <w:link w:val="2"/>
    <w:qFormat/>
    <w:uiPriority w:val="9"/>
    <w:rPr>
      <w:rFonts w:asciiTheme="majorHAnsi" w:hAnsiTheme="majorHAnsi" w:eastAsiaTheme="majorEastAsia" w:cstheme="majorBidi"/>
      <w:color w:val="104862" w:themeColor="accent1" w:themeShade="BF"/>
      <w:sz w:val="48"/>
      <w:szCs w:val="48"/>
    </w:rPr>
  </w:style>
  <w:style w:type="character" w:customStyle="1" w:styleId="26">
    <w:name w:val="标题 2 字符"/>
    <w:basedOn w:val="22"/>
    <w:link w:val="3"/>
    <w:qFormat/>
    <w:uiPriority w:val="9"/>
    <w:rPr>
      <w:rFonts w:asciiTheme="majorHAnsi" w:hAnsiTheme="majorHAnsi" w:eastAsiaTheme="majorEastAsia" w:cstheme="majorBidi"/>
      <w:color w:val="104862" w:themeColor="accent1" w:themeShade="BF"/>
      <w:sz w:val="40"/>
      <w:szCs w:val="40"/>
    </w:rPr>
  </w:style>
  <w:style w:type="character" w:customStyle="1" w:styleId="27">
    <w:name w:val="标题 3 字符"/>
    <w:basedOn w:val="22"/>
    <w:link w:val="4"/>
    <w:qFormat/>
    <w:uiPriority w:val="9"/>
    <w:rPr>
      <w:rFonts w:asciiTheme="majorHAnsi" w:hAnsiTheme="majorHAnsi" w:eastAsiaTheme="majorEastAsia" w:cstheme="majorBidi"/>
      <w:color w:val="104862" w:themeColor="accent1" w:themeShade="BF"/>
      <w:sz w:val="32"/>
      <w:szCs w:val="32"/>
    </w:rPr>
  </w:style>
  <w:style w:type="character" w:customStyle="1" w:styleId="28">
    <w:name w:val="标题 4 字符"/>
    <w:basedOn w:val="22"/>
    <w:link w:val="5"/>
    <w:qFormat/>
    <w:uiPriority w:val="9"/>
    <w:rPr>
      <w:rFonts w:cstheme="majorBidi"/>
      <w:color w:val="104862" w:themeColor="accent1" w:themeShade="BF"/>
      <w:sz w:val="28"/>
      <w:szCs w:val="28"/>
    </w:rPr>
  </w:style>
  <w:style w:type="character" w:customStyle="1" w:styleId="29">
    <w:name w:val="标题 5 字符"/>
    <w:basedOn w:val="22"/>
    <w:link w:val="6"/>
    <w:semiHidden/>
    <w:qFormat/>
    <w:uiPriority w:val="9"/>
    <w:rPr>
      <w:rFonts w:cstheme="majorBidi"/>
      <w:color w:val="104862" w:themeColor="accent1" w:themeShade="BF"/>
      <w:sz w:val="24"/>
    </w:rPr>
  </w:style>
  <w:style w:type="character" w:customStyle="1" w:styleId="30">
    <w:name w:val="标题 6 字符"/>
    <w:basedOn w:val="22"/>
    <w:link w:val="7"/>
    <w:semiHidden/>
    <w:qFormat/>
    <w:uiPriority w:val="9"/>
    <w:rPr>
      <w:rFonts w:cstheme="majorBidi"/>
      <w:b/>
      <w:bCs/>
      <w:color w:val="104862" w:themeColor="accent1" w:themeShade="BF"/>
    </w:rPr>
  </w:style>
  <w:style w:type="character" w:customStyle="1" w:styleId="31">
    <w:name w:val="标题 7 字符"/>
    <w:basedOn w:val="22"/>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2">
    <w:name w:val="标题 8 字符"/>
    <w:basedOn w:val="22"/>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3">
    <w:name w:val="标题 9 字符"/>
    <w:basedOn w:val="22"/>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4">
    <w:name w:val="标题 字符"/>
    <w:basedOn w:val="22"/>
    <w:link w:val="19"/>
    <w:qFormat/>
    <w:uiPriority w:val="10"/>
    <w:rPr>
      <w:rFonts w:asciiTheme="majorHAnsi" w:hAnsiTheme="majorHAnsi" w:eastAsiaTheme="majorEastAsia" w:cstheme="majorBidi"/>
      <w:spacing w:val="-10"/>
      <w:kern w:val="28"/>
      <w:sz w:val="56"/>
      <w:szCs w:val="56"/>
    </w:rPr>
  </w:style>
  <w:style w:type="character" w:customStyle="1" w:styleId="35">
    <w:name w:val="副标题 字符"/>
    <w:basedOn w:val="22"/>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6">
    <w:name w:val="Quote"/>
    <w:basedOn w:val="1"/>
    <w:next w:val="1"/>
    <w:link w:val="37"/>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7">
    <w:name w:val="引用 字符"/>
    <w:basedOn w:val="22"/>
    <w:link w:val="36"/>
    <w:qFormat/>
    <w:uiPriority w:val="29"/>
    <w:rPr>
      <w:i/>
      <w:iCs/>
      <w:color w:val="404040" w:themeColor="text1" w:themeTint="BF"/>
      <w14:textFill>
        <w14:solidFill>
          <w14:schemeClr w14:val="tx1">
            <w14:lumMod w14:val="75000"/>
            <w14:lumOff w14:val="25000"/>
          </w14:schemeClr>
        </w14:solidFill>
      </w14:textFill>
    </w:rPr>
  </w:style>
  <w:style w:type="paragraph" w:styleId="38">
    <w:name w:val="List Paragraph"/>
    <w:basedOn w:val="1"/>
    <w:qFormat/>
    <w:uiPriority w:val="34"/>
    <w:pPr>
      <w:ind w:left="720"/>
      <w:contextualSpacing/>
    </w:pPr>
  </w:style>
  <w:style w:type="character" w:customStyle="1" w:styleId="39">
    <w:name w:val="明显强调1"/>
    <w:basedOn w:val="22"/>
    <w:qFormat/>
    <w:uiPriority w:val="21"/>
    <w:rPr>
      <w:i/>
      <w:iCs/>
      <w:color w:val="104862" w:themeColor="accent1" w:themeShade="BF"/>
    </w:rPr>
  </w:style>
  <w:style w:type="paragraph" w:styleId="40">
    <w:name w:val="Intense Quote"/>
    <w:basedOn w:val="1"/>
    <w:next w:val="1"/>
    <w:link w:val="4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1">
    <w:name w:val="明显引用 字符"/>
    <w:basedOn w:val="22"/>
    <w:link w:val="40"/>
    <w:qFormat/>
    <w:uiPriority w:val="30"/>
    <w:rPr>
      <w:i/>
      <w:iCs/>
      <w:color w:val="104862" w:themeColor="accent1" w:themeShade="BF"/>
    </w:rPr>
  </w:style>
  <w:style w:type="character" w:customStyle="1" w:styleId="42">
    <w:name w:val="明显参考1"/>
    <w:basedOn w:val="22"/>
    <w:qFormat/>
    <w:uiPriority w:val="32"/>
    <w:rPr>
      <w:b/>
      <w:bCs/>
      <w:smallCaps/>
      <w:color w:val="104862" w:themeColor="accent1" w:themeShade="BF"/>
      <w:spacing w:val="5"/>
    </w:rPr>
  </w:style>
  <w:style w:type="character" w:customStyle="1" w:styleId="43">
    <w:name w:val="未处理的提及1"/>
    <w:basedOn w:val="22"/>
    <w:semiHidden/>
    <w:unhideWhenUsed/>
    <w:qFormat/>
    <w:uiPriority w:val="99"/>
    <w:rPr>
      <w:color w:val="605E5C"/>
      <w:shd w:val="clear" w:color="auto" w:fill="E1DFDD"/>
    </w:rPr>
  </w:style>
  <w:style w:type="paragraph" w:customStyle="1" w:styleId="44">
    <w:name w:val="修订1"/>
    <w:hidden/>
    <w:semiHidden/>
    <w:qFormat/>
    <w:uiPriority w:val="99"/>
    <w:rPr>
      <w:rFonts w:ascii="Calibri" w:hAnsi="Calibri" w:eastAsia="宋体" w:cs="Times New Roman"/>
      <w:kern w:val="2"/>
      <w:sz w:val="28"/>
      <w:szCs w:val="24"/>
      <w:lang w:val="en-US" w:eastAsia="zh-CN" w:bidi="ar-SA"/>
    </w:rPr>
  </w:style>
  <w:style w:type="table" w:customStyle="1" w:styleId="45">
    <w:name w:val="网格型1"/>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
    <w:name w:val="网格型2"/>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页眉 字符"/>
    <w:basedOn w:val="22"/>
    <w:link w:val="14"/>
    <w:qFormat/>
    <w:uiPriority w:val="99"/>
    <w:rPr>
      <w:rFonts w:ascii="Calibri" w:hAnsi="Calibri" w:eastAsia="宋体" w:cs="Times New Roman"/>
      <w:sz w:val="18"/>
      <w:szCs w:val="18"/>
      <w14:ligatures w14:val="none"/>
    </w:rPr>
  </w:style>
  <w:style w:type="character" w:customStyle="1" w:styleId="48">
    <w:name w:val="页脚 字符"/>
    <w:basedOn w:val="22"/>
    <w:link w:val="13"/>
    <w:qFormat/>
    <w:uiPriority w:val="99"/>
    <w:rPr>
      <w:rFonts w:ascii="Calibri" w:hAnsi="Calibri" w:eastAsia="宋体" w:cs="Times New Roman"/>
      <w:sz w:val="18"/>
      <w:szCs w:val="18"/>
      <w14:ligatures w14:val="none"/>
    </w:rPr>
  </w:style>
  <w:style w:type="character" w:customStyle="1" w:styleId="49">
    <w:name w:val="批注文字 字符"/>
    <w:basedOn w:val="22"/>
    <w:link w:val="11"/>
    <w:qFormat/>
    <w:uiPriority w:val="99"/>
    <w:rPr>
      <w:rFonts w:ascii="Calibri" w:hAnsi="Calibri" w:eastAsia="宋体" w:cs="Times New Roman"/>
      <w:kern w:val="2"/>
      <w:sz w:val="21"/>
      <w:szCs w:val="24"/>
    </w:rPr>
  </w:style>
  <w:style w:type="paragraph" w:customStyle="1" w:styleId="50">
    <w:name w:val="Table Text"/>
    <w:basedOn w:val="1"/>
    <w:semiHidden/>
    <w:qFormat/>
    <w:uiPriority w:val="0"/>
    <w:rPr>
      <w:rFonts w:ascii="宋体" w:hAnsi="宋体" w:cs="宋体"/>
      <w:sz w:val="33"/>
      <w:szCs w:val="33"/>
      <w:lang w:eastAsia="en-US"/>
    </w:rPr>
  </w:style>
  <w:style w:type="character" w:customStyle="1" w:styleId="51">
    <w:name w:val="font21"/>
    <w:qFormat/>
    <w:uiPriority w:val="0"/>
    <w:rPr>
      <w:rFonts w:hint="default" w:ascii="Times New Roman" w:hAnsi="Times New Roman" w:cs="Times New Roman"/>
      <w:color w:val="000000"/>
      <w:sz w:val="24"/>
      <w:szCs w:val="24"/>
      <w:u w:val="none"/>
    </w:rPr>
  </w:style>
  <w:style w:type="character" w:customStyle="1" w:styleId="52">
    <w:name w:val="font11"/>
    <w:qFormat/>
    <w:uiPriority w:val="0"/>
    <w:rPr>
      <w:rFonts w:hint="eastAsia" w:ascii="仿宋" w:hAnsi="仿宋" w:eastAsia="仿宋" w:cs="仿宋"/>
      <w:color w:val="000000"/>
      <w:sz w:val="24"/>
      <w:szCs w:val="24"/>
      <w:u w:val="none"/>
    </w:rPr>
  </w:style>
  <w:style w:type="character" w:customStyle="1" w:styleId="53">
    <w:name w:val="font3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30</Pages>
  <Words>5058</Words>
  <Characters>5457</Characters>
  <Lines>152</Lines>
  <Paragraphs>43</Paragraphs>
  <TotalTime>54</TotalTime>
  <ScaleCrop>false</ScaleCrop>
  <LinksUpToDate>false</LinksUpToDate>
  <CharactersWithSpaces>5528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2025-08-21T12:21:00Z</dcterms:created>
  <dc:creator>小军 杨</dc:creator>
  <cp:lastModifiedBy>user</cp:lastModifiedBy>
  <cp:lastPrinted>2026-01-29T16:20:00Z</cp:lastPrinted>
  <dcterms:modified xsi:type="dcterms:W3CDTF">2026-02-12T12:28:15Z</dcterms:modified>
  <cp:revision>474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eyJoZGlkIjoiMzNhODc2MzI1NGQ5ZjQ3MTgxODAzOWQ2OWFiYzE4ZDYiLCJ1c2VySWQiOiIyOTY4NDEzMzkifQ==</vt:lpwstr>
  </property>
  <property fmtid="{D5CDD505-2E9C-101B-9397-08002B2CF9AE}" pid="3" name="KSOProductBuildVer">
    <vt:lpwstr>2052-11.8.2.11810</vt:lpwstr>
  </property>
  <property fmtid="{D5CDD505-2E9C-101B-9397-08002B2CF9AE}" pid="4" name="ICV">
    <vt:lpwstr>A86DC9801C07A744DF568D6980B9E68D</vt:lpwstr>
  </property>
</Properties>
</file>