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spacing w:line="240" w:lineRule="auto"/>
        <w:jc w:val="center"/>
        <w:rPr>
          <w:rFonts w:hint="eastAsia" w:ascii="Times New Roman" w:hAnsi="Times New Roman" w:eastAsia="方正小标宋简体" w:cs="Times New Roman"/>
          <w:sz w:val="48"/>
          <w:szCs w:val="48"/>
          <w:lang w:val="en-US" w:eastAsia="zh-CN"/>
        </w:rPr>
      </w:pPr>
      <w:r>
        <w:rPr>
          <w:rFonts w:hint="eastAsia" w:ascii="Times New Roman" w:hAnsi="Times New Roman" w:eastAsia="方正小标宋简体" w:cs="Times New Roman"/>
          <w:sz w:val="48"/>
          <w:szCs w:val="48"/>
          <w:lang w:val="en-US" w:eastAsia="zh-CN"/>
        </w:rPr>
        <w:t>新疆维吾尔自治区</w:t>
      </w:r>
      <w:r>
        <w:rPr>
          <w:rFonts w:hint="eastAsia" w:ascii="Times New Roman" w:hAnsi="Times New Roman" w:eastAsia="方正小标宋简体" w:cs="Times New Roman"/>
          <w:sz w:val="48"/>
          <w:szCs w:val="48"/>
        </w:rPr>
        <w:t>水利工程</w:t>
      </w:r>
      <w:r>
        <w:rPr>
          <w:rFonts w:hint="eastAsia" w:ascii="Times New Roman" w:hAnsi="Times New Roman" w:eastAsia="方正小标宋简体" w:cs="Times New Roman"/>
          <w:sz w:val="48"/>
          <w:szCs w:val="48"/>
          <w:lang w:val="en-US" w:eastAsia="zh-CN"/>
        </w:rPr>
        <w:t>建设项目</w:t>
      </w:r>
    </w:p>
    <w:p>
      <w:pPr>
        <w:spacing w:line="240" w:lineRule="auto"/>
        <w:jc w:val="center"/>
        <w:rPr>
          <w:rFonts w:ascii="Times New Roman" w:hAnsi="Times New Roman" w:eastAsia="方正小标宋简体" w:cs="Times New Roman"/>
          <w:sz w:val="48"/>
          <w:szCs w:val="48"/>
        </w:rPr>
      </w:pPr>
      <w:r>
        <w:rPr>
          <w:rFonts w:hint="eastAsia" w:ascii="Times New Roman" w:hAnsi="Times New Roman" w:eastAsia="方正小标宋简体" w:cs="Times New Roman"/>
          <w:sz w:val="48"/>
          <w:szCs w:val="48"/>
        </w:rPr>
        <w:t>勘察设计招标文件示范文本</w:t>
      </w:r>
    </w:p>
    <w:p>
      <w:pPr>
        <w:spacing w:line="240" w:lineRule="auto"/>
        <w:jc w:val="center"/>
        <w:rPr>
          <w:rFonts w:ascii="方正小标宋简体" w:hAnsi="Times New Roman" w:eastAsia="方正小标宋简体" w:cs="Times New Roman"/>
          <w:sz w:val="32"/>
          <w:szCs w:val="32"/>
        </w:rPr>
      </w:pPr>
      <w:r>
        <w:rPr>
          <w:rFonts w:hint="eastAsia" w:ascii="方正小标宋简体" w:hAnsi="Times New Roman" w:eastAsia="方正小标宋简体" w:cs="Times New Roman"/>
          <w:sz w:val="32"/>
          <w:szCs w:val="32"/>
          <w:lang w:eastAsia="zh-Hans"/>
        </w:rPr>
        <w:t>（</w:t>
      </w:r>
      <w:r>
        <w:rPr>
          <w:rFonts w:hint="eastAsia" w:ascii="方正小标宋简体" w:hAnsi="Times New Roman" w:eastAsia="方正小标宋简体"/>
          <w:sz w:val="32"/>
          <w:szCs w:val="32"/>
        </w:rPr>
        <w:t>20</w:t>
      </w:r>
      <w:r>
        <w:rPr>
          <w:rFonts w:hint="default" w:ascii="方正小标宋简体" w:hAnsi="Times New Roman" w:eastAsia="方正小标宋简体"/>
          <w:sz w:val="32"/>
          <w:szCs w:val="32"/>
        </w:rPr>
        <w:t>2</w:t>
      </w:r>
      <w:r>
        <w:rPr>
          <w:rFonts w:hint="eastAsia" w:ascii="方正小标宋简体" w:hAnsi="Times New Roman" w:eastAsia="方正小标宋简体"/>
          <w:sz w:val="32"/>
          <w:szCs w:val="32"/>
          <w:lang w:val="en-US" w:eastAsia="zh-CN"/>
        </w:rPr>
        <w:t>6</w:t>
      </w:r>
      <w:r>
        <w:rPr>
          <w:rFonts w:hint="eastAsia" w:ascii="方正小标宋简体" w:hAnsi="Times New Roman" w:eastAsia="方正小标宋简体"/>
          <w:sz w:val="32"/>
          <w:szCs w:val="32"/>
        </w:rPr>
        <w:t>年</w:t>
      </w:r>
      <w:r>
        <w:rPr>
          <w:rFonts w:hint="eastAsia" w:ascii="方正小标宋简体" w:hAnsi="Times New Roman" w:eastAsia="方正小标宋简体"/>
          <w:sz w:val="32"/>
          <w:szCs w:val="32"/>
          <w:lang w:val="en-US" w:eastAsia="zh-Hans"/>
        </w:rPr>
        <w:t>修订</w:t>
      </w:r>
      <w:r>
        <w:rPr>
          <w:rFonts w:hint="eastAsia" w:ascii="方正小标宋简体" w:hAnsi="Times New Roman" w:eastAsia="方正小标宋简体"/>
          <w:sz w:val="32"/>
          <w:szCs w:val="32"/>
        </w:rPr>
        <w:t>版</w:t>
      </w:r>
      <w:r>
        <w:rPr>
          <w:rFonts w:hint="eastAsia" w:ascii="方正小标宋简体" w:hAnsi="Times New Roman" w:eastAsia="方正小标宋简体"/>
          <w:sz w:val="32"/>
          <w:szCs w:val="32"/>
          <w:lang w:eastAsia="zh-Hans"/>
        </w:rPr>
        <w:t>）</w:t>
      </w: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pStyle w:val="17"/>
        <w:rPr>
          <w:rFonts w:cs="Times New Roman" w:asciiTheme="minorEastAsia" w:hAnsiTheme="minorEastAsia"/>
          <w:sz w:val="52"/>
          <w:szCs w:val="52"/>
        </w:rPr>
      </w:pPr>
    </w:p>
    <w:p>
      <w:pPr>
        <w:pStyle w:val="17"/>
        <w:rPr>
          <w:rFonts w:cs="Times New Roman" w:asciiTheme="minorEastAsia" w:hAnsiTheme="minorEastAsia"/>
          <w:sz w:val="52"/>
          <w:szCs w:val="52"/>
        </w:rPr>
      </w:pPr>
    </w:p>
    <w:p>
      <w:pPr>
        <w:jc w:val="center"/>
        <w:rPr>
          <w:rFonts w:cs="Times New Roman" w:asciiTheme="minorEastAsia" w:hAnsiTheme="minorEastAsia"/>
          <w:sz w:val="52"/>
          <w:szCs w:val="52"/>
        </w:rPr>
      </w:pPr>
    </w:p>
    <w:p>
      <w:pPr>
        <w:jc w:val="center"/>
        <w:rPr>
          <w:rFonts w:cs="Times New Roman" w:asciiTheme="minorEastAsia" w:hAnsiTheme="minorEastAsia"/>
          <w:sz w:val="52"/>
          <w:szCs w:val="52"/>
        </w:rPr>
      </w:pPr>
    </w:p>
    <w:p>
      <w:pPr>
        <w:spacing w:line="240" w:lineRule="auto"/>
        <w:jc w:val="center"/>
        <w:rPr>
          <w:rFonts w:hint="default" w:ascii="方正小标宋简体" w:hAnsi="Times New Roman" w:eastAsia="方正小标宋简体" w:cs="Times New Roman"/>
          <w:sz w:val="32"/>
          <w:szCs w:val="32"/>
          <w:lang w:val="en-US" w:eastAsia="zh-CN"/>
        </w:rPr>
      </w:pPr>
      <w:r>
        <w:rPr>
          <w:rFonts w:hint="eastAsia" w:ascii="方正小标宋简体" w:hAnsi="Times New Roman" w:eastAsia="方正小标宋简体" w:cs="Times New Roman"/>
          <w:sz w:val="32"/>
          <w:szCs w:val="32"/>
        </w:rPr>
        <w:t>新</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疆</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维</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吾</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尔</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自</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治</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区</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水</w:t>
      </w:r>
      <w:r>
        <w:rPr>
          <w:rFonts w:hint="eastAsia" w:ascii="方正小标宋简体" w:hAnsi="Times New Roman" w:eastAsia="方正小标宋简体" w:cs="Times New Roman"/>
          <w:sz w:val="32"/>
          <w:szCs w:val="32"/>
          <w:lang w:val="en-US" w:eastAsia="zh-CN"/>
        </w:rPr>
        <w:t xml:space="preserve"> </w:t>
      </w:r>
      <w:r>
        <w:rPr>
          <w:rFonts w:hint="eastAsia" w:ascii="方正小标宋简体" w:hAnsi="Times New Roman" w:eastAsia="方正小标宋简体" w:cs="Times New Roman"/>
          <w:sz w:val="32"/>
          <w:szCs w:val="32"/>
        </w:rPr>
        <w:t>利</w:t>
      </w:r>
      <w:r>
        <w:rPr>
          <w:rFonts w:hint="eastAsia" w:ascii="方正小标宋简体" w:hAnsi="Times New Roman" w:eastAsia="方正小标宋简体" w:cs="Times New Roman"/>
          <w:sz w:val="32"/>
          <w:szCs w:val="32"/>
          <w:lang w:val="en-US" w:eastAsia="zh-CN"/>
        </w:rPr>
        <w:t xml:space="preserve"> 厅</w:t>
      </w:r>
    </w:p>
    <w:p>
      <w:pPr>
        <w:spacing w:line="240" w:lineRule="auto"/>
        <w:jc w:val="center"/>
        <w:rPr>
          <w:rFonts w:ascii="方正小标宋简体" w:hAnsi="Times New Roman" w:eastAsia="方正小标宋简体" w:cs="Times New Roman"/>
          <w:sz w:val="32"/>
          <w:szCs w:val="32"/>
        </w:rPr>
      </w:pPr>
      <w:r>
        <w:rPr>
          <w:rFonts w:hint="eastAsia" w:ascii="方正小标宋简体" w:hAnsi="Times New Roman" w:eastAsia="方正小标宋简体" w:cs="Times New Roman"/>
          <w:sz w:val="32"/>
          <w:szCs w:val="32"/>
        </w:rPr>
        <w:t>20</w:t>
      </w:r>
      <w:r>
        <w:rPr>
          <w:rFonts w:hint="default" w:ascii="方正小标宋简体" w:hAnsi="Times New Roman" w:eastAsia="方正小标宋简体" w:cs="Times New Roman"/>
          <w:sz w:val="32"/>
          <w:szCs w:val="32"/>
        </w:rPr>
        <w:t>2</w:t>
      </w:r>
      <w:r>
        <w:rPr>
          <w:rFonts w:hint="eastAsia" w:ascii="方正小标宋简体" w:hAnsi="Times New Roman" w:eastAsia="方正小标宋简体" w:cs="Times New Roman"/>
          <w:sz w:val="32"/>
          <w:szCs w:val="32"/>
          <w:lang w:val="en-US" w:eastAsia="zh-CN"/>
        </w:rPr>
        <w:t>6</w:t>
      </w:r>
      <w:r>
        <w:rPr>
          <w:rFonts w:hint="eastAsia" w:ascii="方正小标宋简体" w:hAnsi="Times New Roman" w:eastAsia="方正小标宋简体" w:cs="Times New Roman"/>
          <w:sz w:val="32"/>
          <w:szCs w:val="32"/>
        </w:rPr>
        <w:t>年</w:t>
      </w:r>
      <w:r>
        <w:rPr>
          <w:rFonts w:hint="eastAsia" w:ascii="方正小标宋简体" w:hAnsi="Times New Roman" w:eastAsia="方正小标宋简体" w:cs="Times New Roman"/>
          <w:sz w:val="32"/>
          <w:szCs w:val="32"/>
          <w:lang w:val="en-US" w:eastAsia="zh-CN"/>
        </w:rPr>
        <w:t>7</w:t>
      </w:r>
      <w:r>
        <w:rPr>
          <w:rFonts w:hint="eastAsia" w:ascii="方正小标宋简体" w:hAnsi="Times New Roman" w:eastAsia="方正小标宋简体" w:cs="Times New Roman"/>
          <w:sz w:val="32"/>
          <w:szCs w:val="32"/>
        </w:rPr>
        <w:t>月</w:t>
      </w:r>
    </w:p>
    <w:p>
      <w:pPr>
        <w:jc w:val="center"/>
        <w:rPr>
          <w:rFonts w:ascii="Times New Roman" w:hAnsi="Times New Roman" w:eastAsia="方正小标宋简体" w:cs="Times New Roman"/>
          <w:sz w:val="36"/>
          <w:szCs w:val="36"/>
        </w:rPr>
      </w:pPr>
    </w:p>
    <w:p>
      <w:pPr>
        <w:rPr>
          <w:rFonts w:hint="eastAsia" w:asciiTheme="majorEastAsia" w:hAnsiTheme="majorEastAsia" w:eastAsiaTheme="majorEastAsia"/>
          <w:sz w:val="52"/>
          <w:szCs w:val="52"/>
        </w:rPr>
      </w:pPr>
      <w:r>
        <w:rPr>
          <w:rFonts w:hint="eastAsia" w:asciiTheme="majorEastAsia" w:hAnsiTheme="majorEastAsia" w:eastAsiaTheme="majorEastAsia"/>
          <w:sz w:val="52"/>
          <w:szCs w:val="52"/>
        </w:rPr>
        <w:br w:type="page"/>
      </w:r>
    </w:p>
    <w:p>
      <w:pPr>
        <w:pStyle w:val="25"/>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ajorEastAsia" w:hAnsiTheme="majorEastAsia" w:eastAsiaTheme="majorEastAsia"/>
          <w:sz w:val="52"/>
          <w:szCs w:val="52"/>
        </w:rPr>
        <w:sectPr>
          <w:footerReference r:id="rId3" w:type="default"/>
          <w:pgSz w:w="11906" w:h="16838"/>
          <w:pgMar w:top="1440" w:right="1531" w:bottom="1118" w:left="1531" w:header="851" w:footer="0" w:gutter="0"/>
          <w:pgNumType w:fmt="lowerRoman"/>
          <w:cols w:space="425" w:num="1"/>
          <w:docGrid w:type="lines" w:linePitch="312" w:charSpace="0"/>
        </w:sectPr>
      </w:pPr>
    </w:p>
    <w:p>
      <w:pPr>
        <w:pStyle w:val="25"/>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ajorEastAsia" w:hAnsiTheme="majorEastAsia" w:eastAsiaTheme="majorEastAsia"/>
          <w:sz w:val="52"/>
          <w:szCs w:val="52"/>
        </w:rPr>
      </w:pPr>
      <w:bookmarkStart w:id="0" w:name="_Toc24456"/>
      <w:r>
        <w:rPr>
          <w:rFonts w:hint="eastAsia" w:asciiTheme="majorEastAsia" w:hAnsiTheme="majorEastAsia" w:eastAsiaTheme="majorEastAsia"/>
          <w:sz w:val="52"/>
          <w:szCs w:val="52"/>
        </w:rPr>
        <w:t>使用说明</w:t>
      </w:r>
      <w:bookmarkEnd w:id="0"/>
    </w:p>
    <w:p>
      <w:pPr>
        <w:widowControl/>
        <w:numPr>
          <w:ilvl w:val="0"/>
          <w:numId w:val="0"/>
        </w:numPr>
        <w:shd w:val="clear" w:color="auto" w:fill="FFFFFF"/>
        <w:snapToGrid w:val="0"/>
        <w:ind w:firstLine="480" w:firstLineChars="200"/>
        <w:rPr>
          <w:rFonts w:hint="eastAsia"/>
          <w:sz w:val="24"/>
          <w:szCs w:val="24"/>
        </w:rPr>
      </w:pPr>
      <w:r>
        <w:rPr>
          <w:rFonts w:hint="eastAsia"/>
          <w:sz w:val="24"/>
          <w:szCs w:val="24"/>
          <w:lang w:val="en-US" w:eastAsia="zh-CN"/>
        </w:rPr>
        <w:t>一、</w:t>
      </w:r>
      <w:r>
        <w:rPr>
          <w:rFonts w:hint="eastAsia"/>
          <w:sz w:val="24"/>
          <w:szCs w:val="24"/>
        </w:rPr>
        <w:t>《新疆维吾尔自治区水利工程电子招标投标勘察设计招标文件示范文本》（以下简称《勘察设计招标文件示范文本》）是依据《中华人民共和国招标投标法》（中华人民共和国主席令第21号）、《中华人民共和国招标投标法实施条例》（国务院令第613号）、《中华人民共和国标准勘察招标文件（2017年版）》（发改法规〔2017〕1606号）、《中华人民共和国标准设计招标文件（2017年版）》（发改法规〔2017〕1606号）、《电子招标投标办法》（国家发展改革委、工业和信息化部、监察部、住房城乡建设部、交通运输部、铁道部、水利部、商务部令第20号）、《水利工程质量事故处理规定》（水利部令第57号）、《水利工程质量管理规定》（水利部令第52号）及《水利水电建设工程验收规程》（SL/T 223—2025），结合自治区实际情况编制，适用于新疆维吾尔自治区行政区域内依法必须进行招标的水利工程勘察设计项目电子招标投标活动。</w:t>
      </w:r>
    </w:p>
    <w:p>
      <w:pPr>
        <w:widowControl/>
        <w:numPr>
          <w:ilvl w:val="0"/>
          <w:numId w:val="0"/>
        </w:numPr>
        <w:shd w:val="clear" w:color="auto" w:fill="FFFFFF"/>
        <w:snapToGrid w:val="0"/>
        <w:ind w:firstLine="480" w:firstLineChars="200"/>
        <w:rPr>
          <w:sz w:val="24"/>
          <w:szCs w:val="24"/>
        </w:rPr>
      </w:pPr>
      <w:r>
        <w:rPr>
          <w:rFonts w:hint="eastAsia"/>
          <w:sz w:val="24"/>
          <w:szCs w:val="24"/>
        </w:rPr>
        <w:t>二、《勘察设计招标文件示范文本》用相同序号标示的章、节、条、款、项、目，供招标人和投标人选择使用；以空格标示的由招标人填写的内容，招标人应根据招标项目具体特点和实际需要具体化，确实没有需要填写的，在空格中用“/”标示。</w:t>
      </w:r>
    </w:p>
    <w:p>
      <w:pPr>
        <w:widowControl/>
        <w:shd w:val="clear" w:color="auto" w:fill="FFFFFF"/>
        <w:snapToGrid w:val="0"/>
        <w:ind w:firstLine="480" w:firstLineChars="200"/>
        <w:rPr>
          <w:rFonts w:hint="eastAsia"/>
          <w:sz w:val="24"/>
          <w:szCs w:val="24"/>
        </w:rPr>
      </w:pPr>
      <w:r>
        <w:rPr>
          <w:rFonts w:hint="eastAsia"/>
          <w:sz w:val="24"/>
          <w:szCs w:val="24"/>
        </w:rPr>
        <w:t>三、招标人按照《勘察设计招标文件示范文本》第一章的格式发布招标公告或发出投标邀请书后，将实际发布的招标公告或实际发出的投标邀请书编入出售的招标文件中，作为投标邀请。其中，招标公告应同时注明发布所在的所有</w:t>
      </w:r>
      <w:r>
        <w:rPr>
          <w:rFonts w:hint="eastAsia"/>
          <w:sz w:val="24"/>
          <w:szCs w:val="24"/>
          <w:highlight w:val="none"/>
        </w:rPr>
        <w:t>媒介名称。商务部分设置类似业绩要求的，应当符合附表1。投标资格条件设置水利水电工程</w:t>
      </w:r>
      <w:r>
        <w:rPr>
          <w:rFonts w:hint="eastAsia"/>
          <w:sz w:val="24"/>
          <w:szCs w:val="24"/>
          <w:highlight w:val="none"/>
          <w:lang w:val="en-US" w:eastAsia="zh-CN"/>
        </w:rPr>
        <w:t>勘察、设计、勘察设计的</w:t>
      </w:r>
      <w:r>
        <w:rPr>
          <w:rFonts w:hint="eastAsia"/>
          <w:sz w:val="24"/>
          <w:szCs w:val="24"/>
          <w:highlight w:val="none"/>
        </w:rPr>
        <w:t>相应资质要求的，应当符合附表2</w:t>
      </w:r>
      <w:r>
        <w:rPr>
          <w:rFonts w:hint="eastAsia"/>
          <w:sz w:val="24"/>
          <w:szCs w:val="24"/>
          <w:highlight w:val="none"/>
          <w:lang w:eastAsia="zh-CN"/>
        </w:rPr>
        <w:t>、</w:t>
      </w:r>
      <w:r>
        <w:rPr>
          <w:rFonts w:hint="eastAsia"/>
          <w:sz w:val="24"/>
          <w:szCs w:val="24"/>
          <w:highlight w:val="none"/>
          <w:lang w:val="en-US" w:eastAsia="zh-CN"/>
        </w:rPr>
        <w:t>附表3</w:t>
      </w:r>
      <w:r>
        <w:rPr>
          <w:rFonts w:hint="eastAsia"/>
          <w:sz w:val="24"/>
          <w:szCs w:val="24"/>
          <w:highlight w:val="none"/>
        </w:rPr>
        <w:t>。</w:t>
      </w:r>
    </w:p>
    <w:p>
      <w:pPr>
        <w:widowControl/>
        <w:shd w:val="clear" w:color="auto" w:fill="FFFFFF"/>
        <w:snapToGrid w:val="0"/>
        <w:ind w:firstLine="480" w:firstLineChars="200"/>
        <w:rPr>
          <w:sz w:val="24"/>
          <w:szCs w:val="28"/>
        </w:rPr>
      </w:pPr>
      <w:r>
        <w:rPr>
          <w:rFonts w:hint="eastAsia" w:eastAsia="宋体" w:cs="Times New Roman"/>
          <w:sz w:val="24"/>
          <w:szCs w:val="24"/>
          <w:lang w:val="en-US" w:eastAsia="zh-Hans"/>
        </w:rPr>
        <w:t>四、</w:t>
      </w:r>
      <w:r>
        <w:rPr>
          <w:rFonts w:hint="eastAsia"/>
          <w:sz w:val="24"/>
          <w:szCs w:val="24"/>
        </w:rPr>
        <w:t>《勘察设计招标文件示范文本》</w:t>
      </w:r>
      <w:r>
        <w:rPr>
          <w:rFonts w:hint="eastAsia" w:eastAsia="宋体" w:cs="Times New Roman"/>
          <w:sz w:val="24"/>
          <w:szCs w:val="24"/>
        </w:rPr>
        <w:t>第二章“投标人须知”正文应全文引用。“投标人须知前附表”用于进一步明确“投标人须知”正文中未尽事宜，招标人应结合招标项目具体特点和实际需要编制和填写，但不应与“投标人须知”正文内容相抵触，否则抵触内容无效。</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eastAsia"/>
          <w:sz w:val="24"/>
          <w:szCs w:val="24"/>
          <w:lang w:eastAsia="zh-CN"/>
        </w:rPr>
      </w:pPr>
      <w:r>
        <w:rPr>
          <w:rFonts w:hint="eastAsia"/>
          <w:sz w:val="24"/>
          <w:szCs w:val="24"/>
          <w:lang w:val="en-US" w:eastAsia="zh-Hans"/>
        </w:rPr>
        <w:t>五</w:t>
      </w:r>
      <w:r>
        <w:rPr>
          <w:rFonts w:hint="eastAsia"/>
          <w:sz w:val="24"/>
          <w:szCs w:val="24"/>
        </w:rPr>
        <w:t>、《勘察设计招标文件示范文本》第三章“评标办法”正文应全文引用</w:t>
      </w:r>
      <w:r>
        <w:rPr>
          <w:rFonts w:hint="eastAsia"/>
          <w:sz w:val="24"/>
          <w:szCs w:val="24"/>
          <w:lang w:eastAsia="zh-CN"/>
        </w:rPr>
        <w:t>。“评标办法”分别规定综合评估法Ⅰ类、综合评估法Ⅱ类</w:t>
      </w:r>
      <w:r>
        <w:rPr>
          <w:rFonts w:hint="eastAsia"/>
          <w:sz w:val="24"/>
          <w:szCs w:val="24"/>
          <w:lang w:val="en-US" w:eastAsia="zh-CN"/>
        </w:rPr>
        <w:t>两</w:t>
      </w:r>
      <w:r>
        <w:rPr>
          <w:rFonts w:hint="eastAsia"/>
          <w:sz w:val="24"/>
          <w:szCs w:val="24"/>
          <w:lang w:eastAsia="zh-CN"/>
        </w:rPr>
        <w:t>种评标方法，供招标人根据招标项目具体特点和实际需要选择适用。“评标办法”前附表应列明全部评审因素和评审标准，并在本章前附表标明投标人不满足要求即否决其投标的全部条款。</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eastAsia"/>
          <w:sz w:val="24"/>
          <w:szCs w:val="24"/>
          <w:lang w:val="en-US" w:eastAsia="zh-CN"/>
        </w:rPr>
      </w:pPr>
      <w:r>
        <w:rPr>
          <w:rFonts w:hint="eastAsia"/>
          <w:sz w:val="24"/>
          <w:szCs w:val="24"/>
          <w:lang w:val="en-US" w:eastAsia="zh-CN"/>
        </w:rPr>
        <w:t>《勘察设计招标文件示范文本》根据工程规模、复杂程度将勘察设计项目的评标办法划分为如下两类，供招标人参考。</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eastAsia"/>
          <w:sz w:val="24"/>
          <w:szCs w:val="24"/>
          <w:lang w:val="en-US" w:eastAsia="zh-CN"/>
        </w:rPr>
      </w:pPr>
      <w:r>
        <w:rPr>
          <w:rFonts w:hint="eastAsia"/>
          <w:sz w:val="24"/>
          <w:szCs w:val="24"/>
          <w:lang w:val="en-US" w:eastAsia="zh-CN"/>
        </w:rPr>
        <w:t>综合评估法Ⅰ类适用于大中型水库（包括除险加固水库）、电站、泵站、引供水、水闸等类型、规模的水利建设项目，1、2级堤防等主体工程勘察设计及其它技术复杂的勘察设计招标项目；</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eastAsia"/>
          <w:sz w:val="24"/>
          <w:szCs w:val="24"/>
          <w:lang w:val="en-US" w:eastAsia="zh-CN"/>
        </w:rPr>
      </w:pPr>
      <w:r>
        <w:rPr>
          <w:rFonts w:hint="eastAsia"/>
          <w:sz w:val="24"/>
          <w:szCs w:val="24"/>
          <w:lang w:val="en-US" w:eastAsia="zh-CN"/>
        </w:rPr>
        <w:t>综合评估法Ⅱ类适用于小型水库（包括除险加固水库）、渠首（病险水闸除险加固）、灌区改造、农田水利、牧区水利、饮水安全，3级以下堤防，水土保持以及其它各类小型水利建设项目。</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eastAsia"/>
          <w:sz w:val="24"/>
          <w:szCs w:val="24"/>
          <w:highlight w:val="none"/>
          <w:lang w:val="en-US" w:eastAsia="zh-CN"/>
        </w:rPr>
      </w:pPr>
      <w:r>
        <w:rPr>
          <w:rFonts w:hint="eastAsia"/>
          <w:sz w:val="24"/>
          <w:szCs w:val="24"/>
          <w:lang w:val="en-US" w:eastAsia="zh-CN"/>
        </w:rPr>
        <w:t>大中小型水库（包括除险加固水库）枢纽、水闸、电站、泵站、引供水，1、2级堤防工程规模依据《水利水电工程等级划分及洪水标准》（SL252-2017）确定，</w:t>
      </w:r>
      <w:r>
        <w:rPr>
          <w:rFonts w:hint="eastAsia"/>
          <w:sz w:val="24"/>
          <w:szCs w:val="24"/>
          <w:highlight w:val="none"/>
          <w:lang w:val="en-US" w:eastAsia="zh-CN"/>
        </w:rPr>
        <w:t>应当符合附表4。其它技术复杂的勘察设计招标项目的确定，应当符合附表5。</w:t>
      </w:r>
    </w:p>
    <w:p>
      <w:pPr>
        <w:keepNext w:val="0"/>
        <w:pageBreakBefore w:val="0"/>
        <w:widowControl w:val="0"/>
        <w:shd w:val="clear" w:color="auto" w:fill="FFFFFF"/>
        <w:kinsoku/>
        <w:wordWrap/>
        <w:overflowPunct/>
        <w:topLinePunct w:val="0"/>
        <w:autoSpaceDE/>
        <w:autoSpaceDN/>
        <w:bidi w:val="0"/>
        <w:adjustRightInd/>
        <w:snapToGrid w:val="0"/>
        <w:ind w:firstLine="480" w:firstLineChars="200"/>
        <w:textAlignment w:val="auto"/>
        <w:rPr>
          <w:rFonts w:hint="default"/>
          <w:sz w:val="24"/>
          <w:szCs w:val="24"/>
          <w:highlight w:val="none"/>
          <w:lang w:val="en-US" w:eastAsia="zh-CN"/>
        </w:rPr>
      </w:pPr>
      <w:r>
        <w:rPr>
          <w:rFonts w:hint="default"/>
          <w:sz w:val="24"/>
          <w:szCs w:val="24"/>
          <w:highlight w:val="none"/>
          <w:lang w:val="en-US" w:eastAsia="zh-CN"/>
        </w:rPr>
        <w:t>勘察设计项目中常见难点与关键点</w:t>
      </w:r>
      <w:r>
        <w:rPr>
          <w:rFonts w:hint="eastAsia"/>
          <w:sz w:val="24"/>
          <w:szCs w:val="24"/>
          <w:highlight w:val="none"/>
          <w:lang w:val="en-US" w:eastAsia="zh-CN"/>
        </w:rPr>
        <w:t>的确定，应当符合附表6。其他类型项目的难点与关键点由招标人自行制定并在招标文件中明确。</w:t>
      </w:r>
    </w:p>
    <w:p>
      <w:pPr>
        <w:keepNext w:val="0"/>
        <w:keepLines/>
        <w:pageBreakBefore w:val="0"/>
        <w:widowControl w:val="0"/>
        <w:kinsoku/>
        <w:wordWrap/>
        <w:overflowPunct/>
        <w:topLinePunct w:val="0"/>
        <w:autoSpaceDE/>
        <w:autoSpaceDN/>
        <w:bidi w:val="0"/>
        <w:adjustRightInd/>
        <w:snapToGrid/>
        <w:ind w:firstLine="480" w:firstLineChars="200"/>
        <w:textAlignment w:val="auto"/>
        <w:rPr>
          <w:sz w:val="24"/>
          <w:szCs w:val="28"/>
        </w:rPr>
      </w:pPr>
      <w:r>
        <w:rPr>
          <w:rFonts w:hint="eastAsia" w:eastAsia="宋体" w:cs="Times New Roman"/>
          <w:sz w:val="24"/>
          <w:szCs w:val="24"/>
          <w:lang w:val="en-US" w:eastAsia="zh-Hans"/>
        </w:rPr>
        <w:t>六</w:t>
      </w:r>
      <w:r>
        <w:rPr>
          <w:rFonts w:hint="eastAsia" w:eastAsia="宋体" w:cs="Times New Roman"/>
          <w:sz w:val="24"/>
          <w:szCs w:val="24"/>
          <w:lang w:eastAsia="zh-Hans"/>
        </w:rPr>
        <w:t>、</w:t>
      </w:r>
      <w:r>
        <w:rPr>
          <w:rFonts w:hint="eastAsia"/>
          <w:sz w:val="24"/>
          <w:szCs w:val="24"/>
        </w:rPr>
        <w:t>《勘察设计招标招标文件示范文本》</w:t>
      </w:r>
      <w:r>
        <w:rPr>
          <w:rFonts w:hint="eastAsia" w:eastAsia="宋体" w:cs="Times New Roman"/>
          <w:sz w:val="24"/>
          <w:szCs w:val="24"/>
          <w:lang w:eastAsia="zh-Hans"/>
        </w:rPr>
        <w:t>第</w:t>
      </w:r>
      <w:r>
        <w:rPr>
          <w:rFonts w:hint="eastAsia" w:eastAsia="宋体" w:cs="Times New Roman"/>
          <w:sz w:val="24"/>
          <w:szCs w:val="24"/>
          <w:lang w:val="en-US" w:eastAsia="zh-Hans"/>
        </w:rPr>
        <w:t>四</w:t>
      </w:r>
      <w:r>
        <w:rPr>
          <w:rFonts w:hint="eastAsia" w:eastAsia="宋体" w:cs="Times New Roman"/>
          <w:sz w:val="24"/>
          <w:szCs w:val="24"/>
          <w:lang w:eastAsia="zh-Hans"/>
        </w:rPr>
        <w:t>章“合同条款及格式”中通用合同条款应全文引用。专用合同条款系对通用合同条款进行补充、细化。除通用合同条款明确专用合同条款可作出不同约定外，补充细化的内容不得与通用合同条款规定相抵触，不得违反法律、法规和行业规章的有关规定和平等、自愿、公平以及诚实信用原则。</w:t>
      </w:r>
    </w:p>
    <w:p>
      <w:pPr>
        <w:widowControl/>
        <w:shd w:val="clear" w:color="auto" w:fill="FFFFFF"/>
        <w:snapToGrid w:val="0"/>
        <w:ind w:firstLine="480" w:firstLineChars="200"/>
        <w:rPr>
          <w:sz w:val="24"/>
          <w:szCs w:val="24"/>
        </w:rPr>
      </w:pPr>
      <w:r>
        <w:rPr>
          <w:rFonts w:hint="eastAsia"/>
          <w:sz w:val="24"/>
          <w:szCs w:val="24"/>
          <w:lang w:val="en-US" w:eastAsia="zh-Hans"/>
        </w:rPr>
        <w:t>七</w:t>
      </w:r>
      <w:r>
        <w:rPr>
          <w:rFonts w:hint="eastAsia"/>
          <w:sz w:val="24"/>
          <w:szCs w:val="24"/>
        </w:rPr>
        <w:t>、《勘察设计招标招标文件示范文本》第五章“发包人要求”由招标人根据招标项目具体特点和实际需要编制，并与“投标人须知”、“通用合同条款”、“专用合同条款”相衔接。</w:t>
      </w:r>
    </w:p>
    <w:p>
      <w:pPr>
        <w:widowControl/>
        <w:shd w:val="clear" w:color="auto" w:fill="FFFFFF"/>
        <w:snapToGrid w:val="0"/>
        <w:ind w:firstLine="480" w:firstLineChars="200"/>
        <w:rPr>
          <w:rFonts w:hint="eastAsia"/>
          <w:sz w:val="24"/>
          <w:szCs w:val="24"/>
        </w:rPr>
      </w:pPr>
      <w:r>
        <w:rPr>
          <w:rFonts w:hint="eastAsia"/>
          <w:sz w:val="24"/>
          <w:szCs w:val="24"/>
          <w:lang w:val="en-US" w:eastAsia="zh-Hans"/>
        </w:rPr>
        <w:t>八</w:t>
      </w:r>
      <w:r>
        <w:rPr>
          <w:rFonts w:hint="eastAsia"/>
          <w:sz w:val="24"/>
          <w:szCs w:val="24"/>
        </w:rPr>
        <w:t>、《勘察设计招标招标文件示范文本》第六章“投标文件格式”供招标人参考使用。</w:t>
      </w:r>
    </w:p>
    <w:p>
      <w:pPr>
        <w:widowControl/>
        <w:shd w:val="clear" w:color="auto" w:fill="FFFFFF"/>
        <w:snapToGrid w:val="0"/>
        <w:ind w:firstLine="480" w:firstLineChars="200"/>
        <w:rPr>
          <w:rFonts w:hint="eastAsia"/>
          <w:sz w:val="24"/>
          <w:szCs w:val="24"/>
          <w:lang w:eastAsia="zh-CN"/>
        </w:rPr>
      </w:pPr>
      <w:r>
        <w:rPr>
          <w:rFonts w:hint="eastAsia"/>
          <w:sz w:val="24"/>
          <w:szCs w:val="24"/>
          <w:lang w:val="en-US" w:eastAsia="zh-CN"/>
        </w:rPr>
        <w:t>九、《勘察设计招标招标文件示范文本》</w:t>
      </w:r>
      <w:r>
        <w:rPr>
          <w:rFonts w:hint="eastAsia"/>
          <w:sz w:val="24"/>
          <w:szCs w:val="24"/>
        </w:rPr>
        <w:t>中“以上”“以下”“以内”“不少于”“不超过”除另有约定外均不包含本值</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十、《勘察设计招标招标文件示范文本》中有关招标人的约定除特别声明外，同时适用于受其委托承担招标代理任务的招标代理机构。</w:t>
      </w:r>
    </w:p>
    <w:p>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十</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、《勘察设计招标招标文件示范文本》</w:t>
      </w:r>
      <w:r>
        <w:rPr>
          <w:rFonts w:hint="eastAsia" w:ascii="宋体" w:hAnsi="宋体" w:eastAsia="宋体" w:cs="宋体"/>
          <w:sz w:val="22"/>
          <w:szCs w:val="22"/>
          <w:highlight w:val="none"/>
          <w:lang w:val="en-US" w:eastAsia="zh-CN"/>
        </w:rPr>
        <w:t>中</w:t>
      </w:r>
      <w:r>
        <w:rPr>
          <w:rFonts w:hint="eastAsia" w:ascii="宋体" w:hAnsi="宋体" w:eastAsia="宋体" w:cs="宋体"/>
          <w:sz w:val="22"/>
          <w:szCs w:val="22"/>
          <w:highlight w:val="none"/>
        </w:rPr>
        <w:t>“五险一金”指根据《中华人民共和国劳动法》《中华人民共和国社会保险法》《住房公积金管理条例》所要求的养老保险、医疗保险、失业保险、工伤保险和生育保险及住房公积金。</w:t>
      </w:r>
    </w:p>
    <w:p>
      <w:pPr>
        <w:widowControl/>
        <w:shd w:val="clear" w:color="auto" w:fill="FFFFFF"/>
        <w:snapToGrid w:val="0"/>
        <w:ind w:firstLine="440" w:firstLineChars="200"/>
        <w:rPr>
          <w:rFonts w:hint="eastAsia" w:ascii="宋体" w:hAnsi="宋体" w:eastAsia="宋体" w:cs="宋体"/>
          <w:kern w:val="2"/>
          <w:sz w:val="22"/>
          <w:szCs w:val="22"/>
          <w:lang w:eastAsia="zh-CN"/>
        </w:rPr>
      </w:pPr>
      <w:r>
        <w:rPr>
          <w:rFonts w:hint="eastAsia" w:ascii="宋体" w:hAnsi="宋体" w:eastAsia="宋体" w:cs="宋体"/>
          <w:sz w:val="22"/>
          <w:szCs w:val="22"/>
          <w:highlight w:val="none"/>
        </w:rPr>
        <w:t>十</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勘察设计招标招标文件示范文本》与法律法规、规章、规范性文件不一致时，招标人应按法律法规、规章、规范性文件调整修改。《勘察设计招标招标文件示范文本》由新疆维吾尔自治区水利厅负责解释和管理。执行过程中，如有问题和建议，请及时向新疆维吾尔自治区水利厅网站上反馈</w:t>
      </w:r>
      <w:r>
        <w:rPr>
          <w:rFonts w:hint="eastAsia" w:ascii="宋体" w:hAnsi="宋体" w:eastAsia="宋体" w:cs="宋体"/>
          <w:kern w:val="2"/>
          <w:sz w:val="22"/>
          <w:szCs w:val="22"/>
          <w:lang w:eastAsia="zh-CN"/>
        </w:rPr>
        <w:t>。</w:t>
      </w:r>
    </w:p>
    <w:p>
      <w:pPr>
        <w:rPr>
          <w:rFonts w:hint="eastAsia" w:ascii="宋体" w:hAnsi="宋体" w:eastAsia="宋体" w:cs="宋体"/>
          <w:kern w:val="2"/>
          <w:sz w:val="22"/>
          <w:szCs w:val="22"/>
          <w:lang w:eastAsia="zh-CN"/>
        </w:rPr>
      </w:pPr>
      <w:r>
        <w:rPr>
          <w:rFonts w:hint="eastAsia" w:ascii="宋体" w:hAnsi="宋体" w:eastAsia="宋体" w:cs="宋体"/>
          <w:kern w:val="2"/>
          <w:sz w:val="22"/>
          <w:szCs w:val="22"/>
          <w:lang w:eastAsia="zh-CN"/>
        </w:rPr>
        <w:br w:type="page"/>
      </w:r>
    </w:p>
    <w:p>
      <w:pPr>
        <w:pStyle w:val="3"/>
        <w:bidi w:val="0"/>
        <w:rPr>
          <w:rFonts w:hint="eastAsia"/>
          <w:highlight w:val="none"/>
        </w:rPr>
      </w:pPr>
      <w:bookmarkStart w:id="1" w:name="_Toc24239"/>
      <w:r>
        <w:rPr>
          <w:rFonts w:hint="eastAsia"/>
          <w:highlight w:val="none"/>
        </w:rPr>
        <w:t>附表1：类似业绩设置标准</w:t>
      </w:r>
      <w:bookmarkEnd w:id="1"/>
    </w:p>
    <w:tbl>
      <w:tblPr>
        <w:tblStyle w:val="29"/>
        <w:tblW w:w="893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2"/>
        <w:gridCol w:w="3480"/>
        <w:gridCol w:w="2760"/>
        <w:gridCol w:w="11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5" w:hRule="atLeast"/>
          <w:tblHeader/>
        </w:trPr>
        <w:tc>
          <w:tcPr>
            <w:tcW w:w="1562"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r>
              <w:rPr>
                <w:rFonts w:hint="eastAsia" w:cs="仿宋"/>
                <w:color w:val="000000"/>
                <w:spacing w:val="-4"/>
                <w:sz w:val="21"/>
                <w:szCs w:val="21"/>
              </w:rPr>
              <w:t>建筑物形式</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r>
              <w:rPr>
                <w:rFonts w:hint="eastAsia" w:cs="仿宋"/>
                <w:color w:val="000000"/>
                <w:spacing w:val="-3"/>
                <w:sz w:val="21"/>
                <w:szCs w:val="21"/>
              </w:rPr>
              <w:t>规模或特性</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30" w:lineRule="auto"/>
              <w:ind w:left="0" w:right="0"/>
              <w:jc w:val="center"/>
              <w:textAlignment w:val="baseline"/>
              <w:rPr>
                <w:rFonts w:hint="eastAsia" w:cs="仿宋"/>
                <w:color w:val="000000"/>
                <w:sz w:val="21"/>
                <w:szCs w:val="21"/>
                <w:lang w:eastAsia="zh-CN"/>
              </w:rPr>
            </w:pPr>
            <w:r>
              <w:rPr>
                <w:rFonts w:hint="eastAsia" w:cs="仿宋"/>
                <w:color w:val="000000"/>
                <w:spacing w:val="-3"/>
                <w:sz w:val="21"/>
                <w:szCs w:val="21"/>
                <w:lang w:eastAsia="zh-CN"/>
              </w:rPr>
              <w:t>类似业绩设置最低要求</w:t>
            </w:r>
          </w:p>
        </w:tc>
        <w:tc>
          <w:tcPr>
            <w:tcW w:w="1134"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r>
              <w:rPr>
                <w:rFonts w:hint="eastAsia" w:cs="仿宋"/>
                <w:color w:val="000000"/>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lang w:eastAsia="zh-CN"/>
              </w:rPr>
            </w:pPr>
            <w:r>
              <w:rPr>
                <w:rFonts w:hint="eastAsia" w:cs="仿宋"/>
                <w:color w:val="000000"/>
                <w:spacing w:val="-2"/>
                <w:sz w:val="21"/>
                <w:szCs w:val="21"/>
                <w:lang w:eastAsia="zh-CN"/>
              </w:rPr>
              <w:t>大坝</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坝高≤30m</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按坝高80%设置，或可设高坝业绩</w:t>
            </w:r>
          </w:p>
        </w:tc>
        <w:tc>
          <w:tcPr>
            <w:tcW w:w="1134" w:type="dxa"/>
            <w:vMerge w:val="restart"/>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30m＜坝高≤70m</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70m＜坝高≤100m</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90"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100m＜坝高≤200m</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坝高&gt;200m</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大（1）型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大（1）型</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大（2）型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大（2）型或以上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中型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中型或以上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小（1）型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小（1）型或以上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小（2）型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小（2）型或以上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r>
              <w:rPr>
                <w:rFonts w:hint="eastAsia" w:cs="仿宋"/>
                <w:color w:val="000000"/>
                <w:spacing w:val="-2"/>
                <w:sz w:val="21"/>
                <w:szCs w:val="21"/>
              </w:rPr>
              <w:t>水闸</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r>
              <w:rPr>
                <w:rFonts w:hint="eastAsia" w:cs="仿宋"/>
                <w:color w:val="000000"/>
                <w:spacing w:val="-2"/>
                <w:sz w:val="21"/>
                <w:szCs w:val="21"/>
                <w:lang w:eastAsia="zh-CN"/>
              </w:rPr>
              <w:t>流量≤20m</w:t>
            </w:r>
            <w:r>
              <w:rPr>
                <w:rFonts w:hint="eastAsia" w:cs="仿宋"/>
                <w:color w:val="000000"/>
                <w:kern w:val="0"/>
                <w:sz w:val="21"/>
                <w:szCs w:val="21"/>
                <w:vertAlign w:val="superscript"/>
                <w:lang w:eastAsia="zh-CN" w:bidi="ar"/>
              </w:rPr>
              <w:t>3</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按设计流量的80%设置</w:t>
            </w:r>
          </w:p>
        </w:tc>
        <w:tc>
          <w:tcPr>
            <w:tcW w:w="1134"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r>
              <w:rPr>
                <w:rFonts w:hint="eastAsia" w:cs="仿宋"/>
                <w:color w:val="000000"/>
                <w:spacing w:val="-2"/>
                <w:sz w:val="21"/>
                <w:szCs w:val="21"/>
                <w:lang w:eastAsia="zh-CN"/>
              </w:rPr>
              <w:t>20m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＜流量≤100m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r>
              <w:rPr>
                <w:rFonts w:hint="eastAsia" w:cs="仿宋"/>
                <w:color w:val="000000"/>
                <w:spacing w:val="-2"/>
                <w:sz w:val="21"/>
                <w:szCs w:val="21"/>
                <w:lang w:eastAsia="zh-CN"/>
              </w:rPr>
              <w:t>100m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＜流量≤1000m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r>
              <w:rPr>
                <w:rFonts w:hint="eastAsia" w:cs="仿宋"/>
                <w:color w:val="000000"/>
                <w:spacing w:val="-2"/>
                <w:sz w:val="21"/>
                <w:szCs w:val="21"/>
                <w:lang w:eastAsia="zh-CN"/>
              </w:rPr>
              <w:t>1000m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＜流量≤5000m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r>
              <w:rPr>
                <w:rFonts w:hint="eastAsia" w:cs="仿宋"/>
                <w:color w:val="000000"/>
                <w:spacing w:val="-2"/>
                <w:sz w:val="21"/>
                <w:szCs w:val="21"/>
                <w:lang w:eastAsia="zh-CN"/>
              </w:rPr>
              <w:t>流量&gt;5000m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大（1）型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大（1）型</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大（2）型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大（2）型或以上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中型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中型或以上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小（1）型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小（1）型或以上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小（2）型</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小（2）型或以上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r>
              <w:rPr>
                <w:rFonts w:hint="eastAsia" w:cs="仿宋"/>
                <w:color w:val="000000"/>
                <w:spacing w:val="-2"/>
                <w:sz w:val="21"/>
                <w:szCs w:val="21"/>
              </w:rPr>
              <w:t>泵站</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设计流量＜2m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lang w:eastAsia="zh-CN"/>
              </w:rPr>
            </w:pPr>
            <w:r>
              <w:rPr>
                <w:rFonts w:hint="eastAsia" w:cs="仿宋"/>
                <w:color w:val="000000"/>
                <w:spacing w:val="-1"/>
                <w:sz w:val="21"/>
                <w:szCs w:val="21"/>
              </w:rPr>
              <w:t>设计流量</w:t>
            </w:r>
            <w:r>
              <w:rPr>
                <w:rFonts w:hint="eastAsia" w:cs="仿宋"/>
                <w:color w:val="000000"/>
                <w:spacing w:val="-1"/>
                <w:sz w:val="21"/>
                <w:szCs w:val="21"/>
                <w:lang w:eastAsia="zh-CN"/>
              </w:rPr>
              <w:t>的80%</w:t>
            </w:r>
          </w:p>
        </w:tc>
        <w:tc>
          <w:tcPr>
            <w:tcW w:w="1134" w:type="dxa"/>
            <w:vMerge w:val="restart"/>
            <w:vAlign w:val="center"/>
          </w:tcPr>
          <w:p>
            <w:pPr>
              <w:keepNext w:val="0"/>
              <w:keepLines w:val="0"/>
              <w:widowControl/>
              <w:suppressLineNumbers w:val="0"/>
              <w:kinsoku w:val="0"/>
              <w:autoSpaceDE w:val="0"/>
              <w:autoSpaceDN w:val="0"/>
              <w:adjustRightInd w:val="0"/>
              <w:snapToGrid w:val="0"/>
              <w:spacing w:before="0" w:beforeAutospacing="0" w:after="160" w:afterAutospacing="0" w:line="312" w:lineRule="auto"/>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9"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2m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/s≤设计流量＜10m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p>
        </w:tc>
        <w:tc>
          <w:tcPr>
            <w:tcW w:w="1134"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35" w:lineRule="auto"/>
              <w:ind w:left="0" w:right="0"/>
              <w:jc w:val="center"/>
              <w:textAlignment w:val="baseline"/>
              <w:rPr>
                <w:rFonts w:hint="eastAsia"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10m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/s≤设计流量＜50m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50m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/s≤设计流量＜200m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设计流量≥200m</w:t>
            </w:r>
            <w:r>
              <w:rPr>
                <w:rFonts w:hint="eastAsia" w:cs="仿宋"/>
                <w:color w:val="000000"/>
                <w:kern w:val="0"/>
                <w:sz w:val="21"/>
                <w:szCs w:val="21"/>
                <w:vertAlign w:val="superscript"/>
                <w:lang w:eastAsia="zh-CN" w:bidi="ar"/>
              </w:rPr>
              <w:t>3</w:t>
            </w:r>
            <w:r>
              <w:rPr>
                <w:rFonts w:hint="eastAsia" w:cs="仿宋"/>
                <w:color w:val="000000"/>
                <w:spacing w:val="-2"/>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r>
              <w:rPr>
                <w:rFonts w:hint="eastAsia" w:cs="仿宋"/>
                <w:color w:val="000000"/>
                <w:spacing w:val="-1"/>
                <w:sz w:val="21"/>
                <w:szCs w:val="21"/>
                <w:lang w:eastAsia="zh-CN"/>
              </w:rPr>
              <w:t>电站</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装机＜10MW</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lang w:eastAsia="zh-CN"/>
              </w:rPr>
            </w:pPr>
            <w:r>
              <w:rPr>
                <w:rFonts w:hint="eastAsia" w:cs="仿宋"/>
                <w:color w:val="000000"/>
                <w:sz w:val="21"/>
                <w:szCs w:val="21"/>
                <w:lang w:eastAsia="zh-CN"/>
              </w:rPr>
              <w:t>装机容量的80%</w:t>
            </w:r>
          </w:p>
        </w:tc>
        <w:tc>
          <w:tcPr>
            <w:tcW w:w="1134"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30" w:lineRule="auto"/>
              <w:ind w:left="0" w:right="0"/>
              <w:jc w:val="center"/>
              <w:textAlignment w:val="baseline"/>
              <w:rPr>
                <w:rFonts w:hint="eastAsia"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10MW≤装机＜50MW</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50MW≤装机＜300MW</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1"/>
                <w:szCs w:val="21"/>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300MW≤装机＜1200MW</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装机≥1200MW</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1"/>
                <w:szCs w:val="21"/>
              </w:rPr>
            </w:pPr>
            <w:r>
              <w:rPr>
                <w:rFonts w:hint="eastAsia" w:cs="仿宋"/>
                <w:color w:val="000000"/>
                <w:spacing w:val="-1"/>
                <w:sz w:val="21"/>
                <w:szCs w:val="21"/>
              </w:rPr>
              <w:t>堤防工程</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防洪标准≥100年一遇及以上</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防洪标准≥50年一遇</w:t>
            </w:r>
          </w:p>
        </w:tc>
        <w:tc>
          <w:tcPr>
            <w:tcW w:w="1134" w:type="dxa"/>
            <w:vMerge w:val="restart"/>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50年一遇≤防洪标准＜100年一遇及以上</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防洪标准≥20年一遇</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1级堤防</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1级堤防</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2级堤防</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2级堤防以上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3级堤防</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3级堤防以上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4级堤防</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4级堤防以上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r>
              <w:rPr>
                <w:rFonts w:hint="eastAsia" w:cs="仿宋"/>
                <w:color w:val="000000"/>
                <w:spacing w:val="-2"/>
                <w:sz w:val="21"/>
                <w:szCs w:val="21"/>
                <w:lang w:eastAsia="zh-CN"/>
              </w:rPr>
              <w:t>5级堤防</w:t>
            </w:r>
          </w:p>
        </w:tc>
        <w:tc>
          <w:tcPr>
            <w:tcW w:w="276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1"/>
                <w:szCs w:val="21"/>
                <w:lang w:eastAsia="zh-CN"/>
              </w:rPr>
            </w:pPr>
            <w:r>
              <w:rPr>
                <w:rFonts w:hint="eastAsia" w:cs="仿宋"/>
                <w:color w:val="000000"/>
                <w:spacing w:val="-2"/>
                <w:sz w:val="21"/>
                <w:szCs w:val="21"/>
                <w:lang w:eastAsia="zh-CN"/>
              </w:rPr>
              <w:t>5级堤防以上</w:t>
            </w: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r>
              <w:rPr>
                <w:rFonts w:hint="eastAsia" w:cs="仿宋"/>
                <w:color w:val="000000"/>
                <w:spacing w:val="-1"/>
                <w:sz w:val="21"/>
                <w:szCs w:val="21"/>
                <w:lang w:val="ar" w:eastAsia="zh-CN"/>
              </w:rPr>
              <w:t>引供水工程</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年供水量≥10亿m</w:t>
            </w:r>
            <w:r>
              <w:rPr>
                <w:rFonts w:hint="eastAsia" w:cs="仿宋"/>
                <w:color w:val="000000"/>
                <w:kern w:val="0"/>
                <w:sz w:val="21"/>
                <w:szCs w:val="21"/>
                <w:vertAlign w:val="superscript"/>
                <w:lang w:eastAsia="zh-CN" w:bidi="ar"/>
              </w:rPr>
              <w:t>3</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val="ar" w:eastAsia="zh-CN"/>
              </w:rPr>
              <w:t>年供水量的80%</w:t>
            </w:r>
          </w:p>
        </w:tc>
        <w:tc>
          <w:tcPr>
            <w:tcW w:w="1134"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3亿m</w:t>
            </w:r>
            <w:r>
              <w:rPr>
                <w:rFonts w:hint="eastAsia" w:cs="仿宋"/>
                <w:color w:val="000000"/>
                <w:kern w:val="0"/>
                <w:sz w:val="21"/>
                <w:szCs w:val="21"/>
                <w:vertAlign w:val="superscript"/>
                <w:lang w:eastAsia="zh-CN" w:bidi="ar"/>
              </w:rPr>
              <w:t>3</w:t>
            </w:r>
            <w:r>
              <w:rPr>
                <w:rFonts w:hint="eastAsia" w:cs="仿宋"/>
                <w:color w:val="000000"/>
                <w:spacing w:val="-1"/>
                <w:sz w:val="21"/>
                <w:szCs w:val="21"/>
                <w:lang w:eastAsia="zh-CN"/>
              </w:rPr>
              <w:t>≤年供水量＜10亿m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1亿m</w:t>
            </w:r>
            <w:r>
              <w:rPr>
                <w:rFonts w:hint="eastAsia" w:cs="仿宋"/>
                <w:color w:val="000000"/>
                <w:kern w:val="0"/>
                <w:sz w:val="21"/>
                <w:szCs w:val="21"/>
                <w:vertAlign w:val="superscript"/>
                <w:lang w:eastAsia="zh-CN" w:bidi="ar"/>
              </w:rPr>
              <w:t>3</w:t>
            </w:r>
            <w:r>
              <w:rPr>
                <w:rFonts w:hint="eastAsia" w:cs="仿宋"/>
                <w:color w:val="000000"/>
                <w:spacing w:val="-1"/>
                <w:sz w:val="21"/>
                <w:szCs w:val="21"/>
                <w:lang w:eastAsia="zh-CN"/>
              </w:rPr>
              <w:t>≤年供水量＜3亿m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0.3亿m</w:t>
            </w:r>
            <w:r>
              <w:rPr>
                <w:rFonts w:hint="eastAsia" w:cs="仿宋"/>
                <w:color w:val="000000"/>
                <w:kern w:val="0"/>
                <w:sz w:val="21"/>
                <w:szCs w:val="21"/>
                <w:vertAlign w:val="superscript"/>
                <w:lang w:eastAsia="zh-CN" w:bidi="ar"/>
              </w:rPr>
              <w:t>3</w:t>
            </w:r>
            <w:r>
              <w:rPr>
                <w:rFonts w:hint="eastAsia" w:cs="仿宋"/>
                <w:color w:val="000000"/>
                <w:spacing w:val="-1"/>
                <w:sz w:val="21"/>
                <w:szCs w:val="21"/>
                <w:lang w:eastAsia="zh-CN"/>
              </w:rPr>
              <w:t>≤年供水量＜1亿m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年供水量＜0.3亿m</w:t>
            </w:r>
            <w:r>
              <w:rPr>
                <w:rFonts w:hint="eastAsia" w:cs="仿宋"/>
                <w:color w:val="000000"/>
                <w:kern w:val="0"/>
                <w:sz w:val="21"/>
                <w:szCs w:val="21"/>
                <w:vertAlign w:val="superscript"/>
                <w:lang w:eastAsia="zh-CN" w:bidi="ar"/>
              </w:rPr>
              <w:t>3</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r>
              <w:rPr>
                <w:rFonts w:hint="eastAsia" w:cs="仿宋"/>
                <w:color w:val="000000"/>
                <w:spacing w:val="-1"/>
                <w:sz w:val="21"/>
                <w:szCs w:val="21"/>
                <w:lang w:val="ar" w:eastAsia="zh-CN"/>
              </w:rPr>
              <w:t>隧洞工程</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软基地质</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val="ar" w:eastAsia="zh-CN"/>
              </w:rPr>
              <w:t>洞径的80%</w:t>
            </w:r>
          </w:p>
        </w:tc>
        <w:tc>
          <w:tcPr>
            <w:tcW w:w="1134"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硬基地质</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渠道</w:t>
            </w: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过水流量</w:t>
            </w:r>
            <w:r>
              <w:rPr>
                <w:rFonts w:hint="eastAsia" w:cs="仿宋"/>
                <w:color w:val="000000"/>
                <w:spacing w:val="-2"/>
                <w:sz w:val="21"/>
                <w:szCs w:val="21"/>
                <w:lang w:eastAsia="zh-CN"/>
              </w:rPr>
              <w:t>≥</w:t>
            </w:r>
            <w:r>
              <w:rPr>
                <w:rFonts w:hint="eastAsia" w:cs="仿宋"/>
                <w:color w:val="000000"/>
                <w:spacing w:val="-1"/>
                <w:sz w:val="21"/>
                <w:szCs w:val="21"/>
                <w:lang w:eastAsia="zh-CN"/>
              </w:rPr>
              <w:t>300m</w:t>
            </w:r>
            <w:r>
              <w:rPr>
                <w:rFonts w:hint="eastAsia" w:cs="仿宋"/>
                <w:color w:val="000000"/>
                <w:spacing w:val="-1"/>
                <w:sz w:val="21"/>
                <w:szCs w:val="21"/>
                <w:vertAlign w:val="superscript"/>
                <w:lang w:eastAsia="zh-CN"/>
              </w:rPr>
              <w:t>3</w:t>
            </w:r>
            <w:r>
              <w:rPr>
                <w:rFonts w:hint="eastAsia" w:cs="仿宋"/>
                <w:color w:val="000000"/>
                <w:spacing w:val="-1"/>
                <w:sz w:val="21"/>
                <w:szCs w:val="21"/>
                <w:lang w:eastAsia="zh-CN"/>
              </w:rPr>
              <w:t>/s</w:t>
            </w:r>
          </w:p>
        </w:tc>
        <w:tc>
          <w:tcPr>
            <w:tcW w:w="2760"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过水流量的80%</w:t>
            </w:r>
          </w:p>
        </w:tc>
        <w:tc>
          <w:tcPr>
            <w:tcW w:w="1134" w:type="dxa"/>
            <w:vMerge w:val="restart"/>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20m</w:t>
            </w:r>
            <w:r>
              <w:rPr>
                <w:rFonts w:hint="eastAsia" w:cs="仿宋"/>
                <w:color w:val="000000"/>
                <w:spacing w:val="-1"/>
                <w:sz w:val="21"/>
                <w:szCs w:val="21"/>
                <w:vertAlign w:val="superscript"/>
                <w:lang w:eastAsia="zh-CN"/>
              </w:rPr>
              <w:t>3</w:t>
            </w:r>
            <w:r>
              <w:rPr>
                <w:rFonts w:hint="eastAsia" w:cs="仿宋"/>
                <w:color w:val="000000"/>
                <w:spacing w:val="-1"/>
                <w:sz w:val="21"/>
                <w:szCs w:val="21"/>
                <w:lang w:eastAsia="zh-CN"/>
              </w:rPr>
              <w:t>/s≤过水流量＜300m</w:t>
            </w:r>
            <w:r>
              <w:rPr>
                <w:rFonts w:hint="eastAsia" w:cs="仿宋"/>
                <w:color w:val="000000"/>
                <w:spacing w:val="-1"/>
                <w:sz w:val="21"/>
                <w:szCs w:val="21"/>
                <w:vertAlign w:val="superscript"/>
                <w:lang w:eastAsia="zh-CN"/>
              </w:rPr>
              <w:t>3</w:t>
            </w:r>
            <w:r>
              <w:rPr>
                <w:rFonts w:hint="eastAsia" w:cs="仿宋"/>
                <w:color w:val="000000"/>
                <w:spacing w:val="-1"/>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83" w:hRule="atLeast"/>
        </w:trPr>
        <w:tc>
          <w:tcPr>
            <w:tcW w:w="1562"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rPr>
            </w:pPr>
          </w:p>
        </w:tc>
        <w:tc>
          <w:tcPr>
            <w:tcW w:w="3480" w:type="dxa"/>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1"/>
                <w:szCs w:val="21"/>
                <w:lang w:eastAsia="zh-CN"/>
              </w:rPr>
            </w:pPr>
            <w:r>
              <w:rPr>
                <w:rFonts w:hint="eastAsia" w:cs="仿宋"/>
                <w:color w:val="000000"/>
                <w:spacing w:val="-1"/>
                <w:sz w:val="21"/>
                <w:szCs w:val="21"/>
                <w:lang w:eastAsia="zh-CN"/>
              </w:rPr>
              <w:t>过水流量＜20m</w:t>
            </w:r>
            <w:r>
              <w:rPr>
                <w:rFonts w:hint="eastAsia" w:cs="仿宋"/>
                <w:color w:val="000000"/>
                <w:spacing w:val="-1"/>
                <w:sz w:val="21"/>
                <w:szCs w:val="21"/>
                <w:vertAlign w:val="superscript"/>
                <w:lang w:eastAsia="zh-CN"/>
              </w:rPr>
              <w:t>3</w:t>
            </w:r>
            <w:r>
              <w:rPr>
                <w:rFonts w:hint="eastAsia" w:cs="仿宋"/>
                <w:color w:val="000000"/>
                <w:spacing w:val="-1"/>
                <w:sz w:val="21"/>
                <w:szCs w:val="21"/>
                <w:lang w:eastAsia="zh-CN"/>
              </w:rPr>
              <w:t>/s</w:t>
            </w:r>
          </w:p>
        </w:tc>
        <w:tc>
          <w:tcPr>
            <w:tcW w:w="2760" w:type="dxa"/>
            <w:vMerge w:val="continue"/>
            <w:vAlign w:val="center"/>
          </w:tcPr>
          <w:p>
            <w:pPr>
              <w:pStyle w:val="46"/>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1"/>
                <w:szCs w:val="21"/>
                <w:lang w:eastAsia="zh-CN"/>
              </w:rPr>
            </w:pPr>
          </w:p>
        </w:tc>
        <w:tc>
          <w:tcPr>
            <w:tcW w:w="1134" w:type="dxa"/>
            <w:vMerge w:val="continue"/>
            <w:vAlign w:val="center"/>
          </w:tcPr>
          <w:p>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1"/>
                <w:szCs w:val="21"/>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注： 1.类似工程业绩认定中，类似业绩工程等别不能低于招标文件要求的工程等别。</w:t>
      </w:r>
    </w:p>
    <w:p>
      <w:pPr>
        <w:keepNext w:val="0"/>
        <w:keepLines w:val="0"/>
        <w:pageBreakBefore w:val="0"/>
        <w:widowControl w:val="0"/>
        <w:kinsoku/>
        <w:wordWrap/>
        <w:overflowPunct/>
        <w:topLinePunct w:val="0"/>
        <w:autoSpaceDE/>
        <w:autoSpaceDN/>
        <w:bidi w:val="0"/>
        <w:adjustRightInd/>
        <w:snapToGrid/>
        <w:textAlignment w:val="auto"/>
        <w:rPr>
          <w:rFonts w:hint="eastAsia"/>
          <w:sz w:val="21"/>
          <w:szCs w:val="21"/>
          <w:highlight w:val="none"/>
        </w:rPr>
      </w:pPr>
      <w:r>
        <w:rPr>
          <w:rFonts w:hint="eastAsia" w:ascii="宋体" w:hAnsi="宋体" w:eastAsia="宋体" w:cs="宋体"/>
          <w:kern w:val="2"/>
          <w:sz w:val="21"/>
          <w:szCs w:val="21"/>
          <w:lang w:eastAsia="zh-CN"/>
        </w:rPr>
        <w:t>2.类似工程业绩认定中，大、中型水库工程业绩，可作为其它中小型水利施工项目的有效类似业绩。</w:t>
      </w:r>
    </w:p>
    <w:p>
      <w:pPr>
        <w:pStyle w:val="3"/>
        <w:bidi w:val="0"/>
        <w:rPr>
          <w:rFonts w:hint="eastAsia"/>
          <w:highlight w:val="none"/>
        </w:rPr>
      </w:pPr>
      <w:bookmarkStart w:id="2" w:name="_Toc19608"/>
      <w:r>
        <w:rPr>
          <w:rFonts w:hint="eastAsia"/>
          <w:highlight w:val="none"/>
        </w:rPr>
        <w:t>附表</w:t>
      </w:r>
      <w:r>
        <w:rPr>
          <w:rFonts w:hint="eastAsia"/>
          <w:highlight w:val="none"/>
          <w:lang w:val="en-US" w:eastAsia="zh-CN"/>
        </w:rPr>
        <w:t>2</w:t>
      </w:r>
      <w:r>
        <w:rPr>
          <w:rFonts w:hint="eastAsia"/>
          <w:highlight w:val="none"/>
        </w:rPr>
        <w:t>：工程勘察项目专业划分与工程规模对应表</w:t>
      </w:r>
      <w:bookmarkEnd w:id="2"/>
    </w:p>
    <w:tbl>
      <w:tblPr>
        <w:tblStyle w:val="30"/>
        <w:tblW w:w="8874" w:type="dxa"/>
        <w:tblInd w:w="94"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
      <w:tblGrid>
        <w:gridCol w:w="437"/>
        <w:gridCol w:w="469"/>
        <w:gridCol w:w="2708"/>
        <w:gridCol w:w="2710"/>
        <w:gridCol w:w="2550"/>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Ex>
        <w:tc>
          <w:tcPr>
            <w:tcW w:w="437"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序号</w:t>
            </w:r>
          </w:p>
        </w:tc>
        <w:tc>
          <w:tcPr>
            <w:tcW w:w="469"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专业</w:t>
            </w:r>
          </w:p>
        </w:tc>
        <w:tc>
          <w:tcPr>
            <w:tcW w:w="2708"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甲级</w:t>
            </w:r>
          </w:p>
        </w:tc>
        <w:tc>
          <w:tcPr>
            <w:tcW w:w="2710"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乙级</w:t>
            </w:r>
          </w:p>
        </w:tc>
        <w:tc>
          <w:tcPr>
            <w:tcW w:w="2550"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丙级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Ex>
        <w:tc>
          <w:tcPr>
            <w:tcW w:w="437"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1</w:t>
            </w:r>
          </w:p>
        </w:tc>
        <w:tc>
          <w:tcPr>
            <w:tcW w:w="469"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岩土工程</w:t>
            </w:r>
          </w:p>
        </w:tc>
        <w:tc>
          <w:tcPr>
            <w:tcW w:w="2708"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一、岩土工程勘察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1.国家重点项目的岩土工程勘察。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2.按《岩土工程勘察规范》(GB50021)等国家、行业标准规定的勘察等级为甲级的岩土工程勘察、水文地质勘察。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3.按《建筑地基基础设计规范》(GB50007)等国家、行业标准规定的地基基础设计等级为甲级的建设工程岩土工程勘察、水文地质勘察。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4.按《建筑边坡工程技术规范》(GB50330)《建筑基坑支护技术规程》(JGJ120)等国家、行业标准规定的安全等级为一级的边坡、基坑等建设工程岩土工程勘察、水文地质勘察。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eastAsiaTheme="minorEastAsia"/>
                <w:color w:val="000000" w:themeColor="text1"/>
                <w:kern w:val="0"/>
                <w:sz w:val="21"/>
                <w:szCs w:val="21"/>
                <w:lang w:eastAsia="zh-CN"/>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5.水文地质勘察：按《建筑与市政降水工程技术规范》(JGJ/T111)等国家、行业标准规定的复杂程度为复杂的降水工程或止水工程勘察</w:t>
            </w:r>
            <w:r>
              <w:rPr>
                <w:rFonts w:hint="eastAsia" w:ascii="宋体" w:hAnsi="宋体" w:cs="方正小标宋_GBK"/>
                <w:color w:val="000000" w:themeColor="text1"/>
                <w:kern w:val="0"/>
                <w:sz w:val="21"/>
                <w:szCs w:val="21"/>
                <w:lang w:eastAsia="zh-CN"/>
                <w14:textFill>
                  <w14:solidFill>
                    <w14:schemeClr w14:val="tx1"/>
                  </w14:solidFill>
                </w14:textFill>
              </w:rPr>
              <w:t>。</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6.海洋工程勘察：测线长度 500公里以上的海洋岩土勘察。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7.其他项目按现行工程设计资质标准，其规模为特大型、大型项目的岩土工程勘察、水文地质勘察。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二、岩土工程设计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1.国家重点项目的岩土工程设计。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2.按《建筑地基基础设计规范》(GB50007)等国家、行业技术标准规定地基基础设计等级为甲级、乙级项目的岩土工程设计。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3.按《筑边坡工程技术规范》(GB50330)、《建筑基坑支护技术规程》(JGJ120)等国家、行业技术标准规定安全等级为一级、二级的基坑工程设计，安全等级为一级、二级的边坡工程设计。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4.按《建筑与市政工程地下水控制技术规范》(JGJ/T 111)复杂程度为中等复杂及以上的降水工程或止水工程设计。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5.国家、行业技术标准规定勘察等级为甲、乙级工程的岩土工程设计。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6.不良地质作用和地质灾害的治理工程设计。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7.国家、行业技术标准规定复朵程度划分为中等以上工程项目的岩士工程设计。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8.建(构)筑物纠偏设计及基础托换设计，建(构)筑物沉降控制设计。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9.填海工程的岩土工程设计。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10.其他项目其工程重要性等级按国家、行业技术标准规定在二级及以上的岩土工程设计。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三、岩土工程检测监测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1.国家重点工程和有特殊要求的岩土工程检测、监测。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2.大型跨江、跨海桥梁桩基检测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3.高铁、地铁、轻轨、隧道工程、水利水电工程、高速公路工程和飞行区指标为4C及以上机场场道的岩七工程检测、监测。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4.安全等级为一级的基坑工程、边坡工程的岩土工程监测。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5.建筑物纠偏、加固工程中的岩土工程监测，重、特大抢险工程的岩土工程监测。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eastAsiaTheme="minorEastAsia"/>
                <w:color w:val="000000" w:themeColor="text1"/>
                <w:kern w:val="0"/>
                <w:sz w:val="21"/>
                <w:szCs w:val="21"/>
                <w:lang w:eastAsia="zh-CN"/>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6.地基承载力达到300kPa且提高幅度50%及以上的地基处理检测，单桩最大加载在10000kN及以上的桩基检测</w:t>
            </w:r>
            <w:r>
              <w:rPr>
                <w:rFonts w:hint="eastAsia" w:ascii="宋体" w:hAnsi="宋体" w:cs="方正小标宋_GBK"/>
                <w:color w:val="000000" w:themeColor="text1"/>
                <w:kern w:val="0"/>
                <w:sz w:val="21"/>
                <w:szCs w:val="21"/>
                <w:lang w:eastAsia="zh-CN"/>
                <w14:textFill>
                  <w14:solidFill>
                    <w14:schemeClr w14:val="tx1"/>
                  </w14:solidFill>
                </w14:textFill>
              </w:rPr>
              <w:t>。</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7.其他项目按现行工程设计资质标准，其设计规模为特大型、大型项目中的岩土工程检测、监测。</w:t>
            </w:r>
          </w:p>
        </w:tc>
        <w:tc>
          <w:tcPr>
            <w:tcW w:w="2710"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一、岩土工程勘察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1.按《岩土工程勘察规范》(GB50021)等国家、行业标准规定的勘察等级为乙级的岩土工程勘察、水文地质勘察。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2.按《建筑地基基础设计规范(GB50007)等国家、行业标准规定的地基基础设计等级为乙级的建设工程岩土工程勘察、水文地质勘察。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3.按《建筑边坡工程技术规范》(GB50330)《建筑基坑支护技术规程》(JGJ120)等国家、行业标准规定的安全等级为二级的边坡、基坑等建设工程岩土工程勘察、水文地质勘察。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4.水文地质勘察：按《建筑与市政降水工程技术规范》(JGJ/T111)等国家、行业标准规定的复杂程度为中等复杂的降水工程或止水工程勘察。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5.海洋工程勘察： 测线长度500公里以下的海洋岩土勘察。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6.其他项目按现行工程设计资质标准，其规模为中型项目的岩土工程勘察、水文地质勘察。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二、岩土工程设计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1.按《建筑地基基础设计规范》(GB50007)等国家、行业技术标准规定地基基础设计等级为丙级项目的岩土工程设计。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2.按《建筑边坡工程技术规范》(GB50330)《建筑基坑支护技术规程》(JGJ120)等国家、行业技术标准规定安全等级为三级的基坑工程设计，安全等级为三级的边坡工程设计。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3.按《建筑与市政工程地下水控制技术规范》(JGJ/T111)复杂程度为简单的降水工程或止水工程设计。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4.国家、行业技术标准规定勘察等级为丙级工程的岩土工程设计。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5.国家、行业技术标准规定复杂程度为简单工程项目的岩土工程设计。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6.其他项目其工程重要性等级按国家、行业技术标准规定在三级的岩土工程设计。</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三、岩土工程检测监测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1.无特殊要求的岩土工程检测、监测。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2.安全等级为二级、三级的基坑工程、边坡工程的岩土工程监测。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3.一般土层处理后，地基承载力300kPa 以下的地基处理检测：单桩最大加载在10000kN以下的桩基检测。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4.其他项目按现行工程设计资质标准，其设计规模为中型、小型项目中的岩土工程检测、监测。</w:t>
            </w:r>
          </w:p>
        </w:tc>
        <w:tc>
          <w:tcPr>
            <w:tcW w:w="2550"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一、岩土工程勘察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1.按《岩土工程勘察规范》(GB50021)等国家、行业标准规定的勘察等级为丙级的岩土工程勘察、水文地质勘察。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2.按《建筑地基基础设计规范》(GB50007)等国家、行业标准规定的地基基础设计等级为丙级的建设工程岩土工程勘察、水文地质勘察。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3.按《建筑边坡工程技术规范》(GB50330)《建筑基坑支护技术规程》(JGJ120)等国家、行业标准规定的安全等级为三级的边坡、基坑等建设工程岩土工程勘察、水文地质勘察。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4.水文地质勘察：按《建筑与市政降水工程技术规范》(JGJ/T111)等国家、行业标准规定的复杂程度为简单的降水工程或止水工程勘察。</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5.其他项目按现行工程设计资质标准，其规模为小型项目的岩土工程勘察、水文地质勘察。</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Ex>
        <w:tc>
          <w:tcPr>
            <w:tcW w:w="437"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2</w:t>
            </w:r>
          </w:p>
        </w:tc>
        <w:tc>
          <w:tcPr>
            <w:tcW w:w="469"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工程测量</w:t>
            </w:r>
          </w:p>
        </w:tc>
        <w:tc>
          <w:tcPr>
            <w:tcW w:w="2708"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1.国家重点工程的首级控制测量、地形测量、施工测量、变形与形变测量、精密工程测量、竣工测量、地下管线测量。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2.测景面积为20km及以上的大比例尺(比例尺在1:500-1:5000)地形图地形测量。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3.国家大型、重点、特殊项目精密工程测量。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4.长度20km及以上的线路工程测量。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5.总长度20km及以上综合地下管廊(线)测量。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6.地基基础设计等级为甲级的建筑物、重要古建筑、大型市政桥梁、重要管线、场地滑坡等工程的变形与形变测量。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7.大中型、重点、特殊水利水电工程测量。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8.高铁、地铁、轻轨工程测量，隧道工程测量，矿山测景。</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9.海洋工程测量中测线长度200公里以上的大比例尺全覆盖海底地形测量、工程测线长度500公里以上旁侧声纳测量。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10.其他项目按现行工程设计资质标准，其设计规模为特大型、大型项目的工程测量。</w:t>
            </w:r>
          </w:p>
        </w:tc>
        <w:tc>
          <w:tcPr>
            <w:tcW w:w="2710"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1.一般工程的控制测量、地形测量、施工测量、变形与形变测量、竣工测量、地下管线测量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2.测量面积为10-20km</w:t>
            </w:r>
            <w:r>
              <w:rPr>
                <w:rFonts w:hint="eastAsia" w:ascii="宋体" w:hAnsi="宋体" w:cs="方正小标宋_GBK"/>
                <w:color w:val="000000" w:themeColor="text1"/>
                <w:kern w:val="0"/>
                <w:sz w:val="21"/>
                <w:szCs w:val="21"/>
                <w:vertAlign w:val="superscript"/>
                <w14:textFill>
                  <w14:solidFill>
                    <w14:schemeClr w14:val="tx1"/>
                  </w14:solidFill>
                </w14:textFill>
              </w:rPr>
              <w:t>2</w:t>
            </w:r>
            <w:r>
              <w:rPr>
                <w:rFonts w:hint="eastAsia" w:ascii="宋体" w:hAnsi="宋体" w:cs="方正小标宋_GBK"/>
                <w:color w:val="000000" w:themeColor="text1"/>
                <w:kern w:val="0"/>
                <w:sz w:val="21"/>
                <w:szCs w:val="21"/>
                <w14:textFill>
                  <w14:solidFill>
                    <w14:schemeClr w14:val="tx1"/>
                  </w14:solidFill>
                </w14:textFill>
              </w:rPr>
              <w:t>的大比例尺(比例尺在1:500-1:5000)地形图地形测。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3.一般工程的精密工程测量。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4.长度5-20km 的线路工程测量。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5.总长度20km以下综合地下管廊(线)测量。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6.地基基础设计等级为乙级、丙级的建筑物变形与形变测量，地表、道路沉降测量，中小市政桥梁变形测量，一般管线变形测量。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7.小型水利水电工程测量。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8.海洋工程测量中测线长度200公里以下的人比例尺全覆盖海底地形测量、工程测线长度500公里以下旁侧声纳测量。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9.其他项目按现行工程设计资质标准，其设计规模为中型项目的工程测量。</w:t>
            </w:r>
          </w:p>
        </w:tc>
        <w:tc>
          <w:tcPr>
            <w:tcW w:w="2550"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1.测量面积为10km</w:t>
            </w:r>
            <w:r>
              <w:rPr>
                <w:rFonts w:hint="eastAsia" w:ascii="宋体" w:hAnsi="宋体" w:cs="方正小标宋_GBK"/>
                <w:color w:val="000000" w:themeColor="text1"/>
                <w:kern w:val="0"/>
                <w:sz w:val="21"/>
                <w:szCs w:val="21"/>
                <w:vertAlign w:val="superscript"/>
                <w14:textFill>
                  <w14:solidFill>
                    <w14:schemeClr w14:val="tx1"/>
                  </w14:solidFill>
                </w14:textFill>
              </w:rPr>
              <w:t>2</w:t>
            </w:r>
            <w:r>
              <w:rPr>
                <w:rFonts w:hint="eastAsia" w:ascii="宋体" w:hAnsi="宋体" w:cs="方正小标宋_GBK"/>
                <w:color w:val="000000" w:themeColor="text1"/>
                <w:kern w:val="0"/>
                <w:sz w:val="21"/>
                <w:szCs w:val="21"/>
                <w14:textFill>
                  <w14:solidFill>
                    <w14:schemeClr w14:val="tx1"/>
                  </w14:solidFill>
                </w14:textFill>
              </w:rPr>
              <w:t>及以下的大比例尺(比例尺在1:500-1:5000)地形图地形测景。</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2.长度5km及以下的线路工程测量。</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3.其他项目按现行工程设计资质标准，其设计规模为小型项目的工程测量。</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Ex>
        <w:tc>
          <w:tcPr>
            <w:tcW w:w="437"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3</w:t>
            </w:r>
          </w:p>
        </w:tc>
        <w:tc>
          <w:tcPr>
            <w:tcW w:w="469"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textAlignment w:val="auto"/>
              <w:rPr>
                <w:rFonts w:hint="eastAsia" w:ascii="宋体" w:hAnsi="宋体" w:cs="方正小标宋_GBK"/>
                <w:b/>
                <w:bCs/>
                <w:color w:val="000000" w:themeColor="text1"/>
                <w:kern w:val="0"/>
                <w:sz w:val="21"/>
                <w:szCs w:val="21"/>
                <w14:textFill>
                  <w14:solidFill>
                    <w14:schemeClr w14:val="tx1"/>
                  </w14:solidFill>
                </w14:textFill>
              </w:rPr>
            </w:pPr>
            <w:r>
              <w:rPr>
                <w:rFonts w:hint="eastAsia" w:ascii="宋体" w:hAnsi="宋体" w:cs="方正小标宋_GBK"/>
                <w:b/>
                <w:bCs/>
                <w:color w:val="000000" w:themeColor="text1"/>
                <w:kern w:val="0"/>
                <w:sz w:val="21"/>
                <w:szCs w:val="21"/>
                <w14:textFill>
                  <w14:solidFill>
                    <w14:schemeClr w14:val="tx1"/>
                  </w14:solidFill>
                </w14:textFill>
              </w:rPr>
              <w:t>勘探测试</w:t>
            </w:r>
          </w:p>
        </w:tc>
        <w:tc>
          <w:tcPr>
            <w:tcW w:w="2708"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1.国家重点工程的工程物探、测试、室内试验。</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2.高铁、地铁、轻轨、隧道工程、水利水电工程和高速公路工程的工程物探、测试。</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3.大型跨江、跨海、海洋工程的工程物探，岩溶地区水域工程物探,复杂地质和地形条件下探查地下目的物的深度和精度要求较高的工程物探。</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4.按《岩土工程勘察规范》(GB50021)岩土工程勘察等级为甲级的工程项目涉及的工程物探、测试、室内试验。</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5.特殊性岩土的室内试验、工程物探中的地震勘探。</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6.块体基础振动设计参数测试。</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7.海洋工程环境调查中10个站位以上全潮水文泥沙同步观测、冬夏两季6个月波浪观测，半个月以上定点水文连续观测、测线长度20公里以上走航式海流剖面测量以及一年以上连续水位或气象观测。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8.放射性、危险性或污染场地的工程物探、测试。</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9.其他项目按现行工程设计资质标准，其设计规模为特大型、大型项目的工程物探、测试、室内试验。</w:t>
            </w:r>
          </w:p>
        </w:tc>
        <w:tc>
          <w:tcPr>
            <w:tcW w:w="2710" w:type="dxa"/>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1.工程钻探。</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2.一般工程的工程物探、测试、室内试验。</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3.中等复杂地质和地形条件下探查地下目的物的深度和精度要求一般的工程物探。</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4.按《岩土工程勘察规范》(GB50021)岩土工程勘察等级为乙级、丙级的工程项目涉及的工程物探、测试、室内试验。</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5.海洋工程环境调查中9个站位以下全潮水文泥沙同步观测、冬夏两季小于6个月波浪观测半个月以上定点水文连续观测、测线长度20公里以下走航式海流剖面测量以及小于一年的连续水位或气象观测。</w:t>
            </w:r>
          </w:p>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both"/>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6.其他项目按现行工程设计资质标准，其设计规模为中型、小型项目的工程物探、测试、室内试验。</w:t>
            </w:r>
          </w:p>
        </w:tc>
        <w:tc>
          <w:tcPr>
            <w:tcW w:w="2550" w:type="dxa"/>
            <w:vAlign w:val="center"/>
          </w:tcPr>
          <w:p>
            <w:pPr>
              <w:pStyle w:val="24"/>
              <w:keepNext w:val="0"/>
              <w:keepLines w:val="0"/>
              <w:pageBreakBefore w:val="0"/>
              <w:widowControl/>
              <w:kinsoku/>
              <w:wordWrap w:val="0"/>
              <w:overflowPunct/>
              <w:topLinePunct w:val="0"/>
              <w:autoSpaceDE/>
              <w:autoSpaceDN/>
              <w:bidi w:val="0"/>
              <w:adjustRightInd/>
              <w:snapToGrid/>
              <w:spacing w:beforeAutospacing="0" w:afterAutospacing="0" w:line="400" w:lineRule="exact"/>
              <w:jc w:val="center"/>
              <w:textAlignment w:val="auto"/>
              <w:rPr>
                <w:rFonts w:hint="eastAsia" w:ascii="宋体" w:hAnsi="宋体" w:cs="方正小标宋_GBK"/>
                <w:color w:val="000000" w:themeColor="text1"/>
                <w:kern w:val="0"/>
                <w:sz w:val="21"/>
                <w:szCs w:val="21"/>
                <w14:textFill>
                  <w14:solidFill>
                    <w14:schemeClr w14:val="tx1"/>
                  </w14:solidFill>
                </w14:textFill>
              </w:rPr>
            </w:pPr>
            <w:r>
              <w:rPr>
                <w:rFonts w:hint="eastAsia" w:ascii="宋体" w:hAnsi="宋体" w:cs="方正小标宋_GBK"/>
                <w:color w:val="000000" w:themeColor="text1"/>
                <w:kern w:val="0"/>
                <w:sz w:val="21"/>
                <w:szCs w:val="21"/>
                <w14:textFill>
                  <w14:solidFill>
                    <w14:schemeClr w14:val="tx1"/>
                  </w14:solidFill>
                </w14:textFill>
              </w:rPr>
              <w:t>/</w:t>
            </w:r>
          </w:p>
        </w:tc>
      </w:tr>
    </w:tbl>
    <w:p>
      <w:pPr>
        <w:pStyle w:val="3"/>
        <w:bidi w:val="0"/>
        <w:rPr>
          <w:rFonts w:hint="eastAsia"/>
          <w:b/>
          <w:bCs/>
          <w:highlight w:val="none"/>
        </w:rPr>
      </w:pPr>
      <w:bookmarkStart w:id="3" w:name="_Toc25906"/>
      <w:r>
        <w:rPr>
          <w:rFonts w:hint="eastAsia"/>
          <w:b/>
          <w:bCs/>
          <w:highlight w:val="none"/>
        </w:rPr>
        <w:t>附表</w:t>
      </w:r>
      <w:r>
        <w:rPr>
          <w:rFonts w:hint="eastAsia"/>
          <w:b/>
          <w:bCs/>
          <w:highlight w:val="none"/>
          <w:lang w:val="en-US" w:eastAsia="zh-CN"/>
        </w:rPr>
        <w:t>3</w:t>
      </w:r>
      <w:r>
        <w:rPr>
          <w:rFonts w:hint="eastAsia"/>
          <w:b/>
          <w:bCs/>
          <w:highlight w:val="none"/>
        </w:rPr>
        <w:t>：工程设计资质标准</w:t>
      </w:r>
      <w:bookmarkEnd w:id="3"/>
    </w:p>
    <w:tbl>
      <w:tblPr>
        <w:tblStyle w:val="47"/>
        <w:tblW w:w="8615"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512"/>
        <w:gridCol w:w="1701"/>
        <w:gridCol w:w="340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91" w:hRule="atLeast"/>
          <w:jc w:val="center"/>
        </w:trPr>
        <w:tc>
          <w:tcPr>
            <w:tcW w:w="3512" w:type="dxa"/>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工程设计企业资质</w:t>
            </w:r>
          </w:p>
        </w:tc>
        <w:tc>
          <w:tcPr>
            <w:tcW w:w="1701" w:type="dxa"/>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资质等级</w:t>
            </w:r>
          </w:p>
        </w:tc>
        <w:tc>
          <w:tcPr>
            <w:tcW w:w="3402" w:type="dxa"/>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设计工程范围规模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82" w:hRule="atLeast"/>
          <w:jc w:val="center"/>
        </w:trPr>
        <w:tc>
          <w:tcPr>
            <w:tcW w:w="3512" w:type="dxa"/>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工程设计综合资质</w:t>
            </w:r>
          </w:p>
        </w:tc>
        <w:tc>
          <w:tcPr>
            <w:tcW w:w="1701"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只设甲级</w:t>
            </w:r>
          </w:p>
        </w:tc>
        <w:tc>
          <w:tcPr>
            <w:tcW w:w="3402"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工程规模不受限制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8" w:hRule="atLeast"/>
          <w:jc w:val="center"/>
        </w:trPr>
        <w:tc>
          <w:tcPr>
            <w:tcW w:w="3512" w:type="dxa"/>
            <w:vMerge w:val="restart"/>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工程设计行业资质</w:t>
            </w:r>
          </w:p>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(须具有水利行业建设工程设计资质)</w:t>
            </w:r>
          </w:p>
        </w:tc>
        <w:tc>
          <w:tcPr>
            <w:tcW w:w="1701"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行业甲级资质</w:t>
            </w:r>
          </w:p>
        </w:tc>
        <w:tc>
          <w:tcPr>
            <w:tcW w:w="3402"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工程规模不受限制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3512" w:type="dxa"/>
            <w:vMerge w:val="continue"/>
            <w:vAlign w:val="center"/>
          </w:tcPr>
          <w:p>
            <w:pPr>
              <w:jc w:val="center"/>
              <w:rPr>
                <w:rFonts w:hint="eastAsia" w:ascii="宋体" w:hAnsi="宋体" w:cs="仿宋"/>
                <w:b/>
                <w:bCs/>
                <w:color w:val="000000" w:themeColor="text1"/>
                <w:kern w:val="0"/>
                <w:sz w:val="21"/>
                <w:szCs w:val="16"/>
                <w:shd w:val="clear" w:color="auto" w:fill="FFFFFF"/>
                <w14:textFill>
                  <w14:solidFill>
                    <w14:schemeClr w14:val="tx1"/>
                  </w14:solidFill>
                </w14:textFill>
              </w:rPr>
            </w:pPr>
          </w:p>
        </w:tc>
        <w:tc>
          <w:tcPr>
            <w:tcW w:w="1701"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行业乙级资质</w:t>
            </w:r>
          </w:p>
        </w:tc>
        <w:tc>
          <w:tcPr>
            <w:tcW w:w="3402" w:type="dxa"/>
            <w:vAlign w:val="center"/>
          </w:tcPr>
          <w:p>
            <w:pPr>
              <w:jc w:val="center"/>
              <w:rPr>
                <w:rFonts w:hint="eastAsia" w:ascii="宋体" w:hAnsi="宋体" w:cs="仿宋"/>
                <w:color w:val="000000" w:themeColor="text1"/>
                <w:kern w:val="0"/>
                <w:sz w:val="21"/>
                <w:szCs w:val="16"/>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承担中、小型规模项目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12" w:hRule="atLeast"/>
          <w:jc w:val="center"/>
        </w:trPr>
        <w:tc>
          <w:tcPr>
            <w:tcW w:w="3512" w:type="dxa"/>
            <w:vMerge w:val="restart"/>
            <w:vAlign w:val="center"/>
          </w:tcPr>
          <w:p>
            <w:pPr>
              <w:jc w:val="center"/>
              <w:rPr>
                <w:rFonts w:hint="eastAsia" w:ascii="宋体" w:hAnsi="宋体" w:cs="仿宋"/>
                <w:b/>
                <w:bCs/>
                <w:color w:val="000000" w:themeColor="text1"/>
                <w:kern w:val="0"/>
                <w:sz w:val="21"/>
                <w:szCs w:val="20"/>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工程设计专业资质</w:t>
            </w:r>
          </w:p>
          <w:p>
            <w:pPr>
              <w:jc w:val="center"/>
              <w:rPr>
                <w:rFonts w:hint="eastAsia" w:ascii="宋体" w:hAnsi="宋体" w:cs="仿宋"/>
                <w:b/>
                <w:bCs/>
                <w:color w:val="000000" w:themeColor="text1"/>
                <w:w w:val="80"/>
                <w:kern w:val="0"/>
                <w:sz w:val="21"/>
                <w:szCs w:val="16"/>
                <w:shd w:val="clear" w:color="auto" w:fill="FFFFFF"/>
                <w14:textFill>
                  <w14:solidFill>
                    <w14:schemeClr w14:val="tx1"/>
                  </w14:solidFill>
                </w14:textFill>
              </w:rPr>
            </w:pPr>
            <w:r>
              <w:rPr>
                <w:rFonts w:hint="eastAsia" w:ascii="宋体" w:hAnsi="宋体" w:cs="仿宋"/>
                <w:b/>
                <w:bCs/>
                <w:color w:val="000000" w:themeColor="text1"/>
                <w:kern w:val="0"/>
                <w:sz w:val="21"/>
                <w:szCs w:val="20"/>
                <w:shd w:val="clear" w:color="auto" w:fill="FFFFFF"/>
                <w14:textFill>
                  <w14:solidFill>
                    <w14:schemeClr w14:val="tx1"/>
                  </w14:solidFill>
                </w14:textFill>
              </w:rPr>
              <w:t>(须具有水利行业建设工程设计资质</w:t>
            </w:r>
            <w:r>
              <w:rPr>
                <w:rFonts w:ascii="宋体" w:hAnsi="宋体" w:cs="仿宋"/>
                <w:b/>
                <w:bCs/>
                <w:color w:val="000000" w:themeColor="text1"/>
                <w:kern w:val="0"/>
                <w:sz w:val="21"/>
                <w:szCs w:val="20"/>
                <w:shd w:val="clear" w:color="auto" w:fill="FFFFFF"/>
                <w14:textFill>
                  <w14:solidFill>
                    <w14:schemeClr w14:val="tx1"/>
                  </w14:solidFill>
                </w14:textFill>
              </w:rPr>
              <w:t>)</w:t>
            </w:r>
          </w:p>
        </w:tc>
        <w:tc>
          <w:tcPr>
            <w:tcW w:w="1701"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专业资质甲级</w:t>
            </w:r>
          </w:p>
        </w:tc>
        <w:tc>
          <w:tcPr>
            <w:tcW w:w="3402" w:type="dxa"/>
            <w:vAlign w:val="center"/>
          </w:tcPr>
          <w:p>
            <w:pPr>
              <w:jc w:val="center"/>
              <w:rPr>
                <w:rFonts w:hint="eastAsia" w:ascii="宋体" w:hAnsi="宋体" w:cs="仿宋"/>
                <w:color w:val="000000" w:themeColor="text1"/>
                <w:kern w:val="0"/>
                <w:sz w:val="21"/>
                <w:szCs w:val="16"/>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业务规模不受限制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3512" w:type="dxa"/>
            <w:vMerge w:val="continue"/>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p>
        </w:tc>
        <w:tc>
          <w:tcPr>
            <w:tcW w:w="1701"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专业资质乙级</w:t>
            </w:r>
          </w:p>
        </w:tc>
        <w:tc>
          <w:tcPr>
            <w:tcW w:w="3402" w:type="dxa"/>
            <w:vAlign w:val="center"/>
          </w:tcPr>
          <w:p>
            <w:pPr>
              <w:jc w:val="center"/>
              <w:rPr>
                <w:rFonts w:hint="eastAsia" w:ascii="宋体" w:hAnsi="宋体" w:cs="仿宋"/>
                <w:color w:val="000000" w:themeColor="text1"/>
                <w:kern w:val="0"/>
                <w:sz w:val="21"/>
                <w:szCs w:val="20"/>
                <w:shd w:val="clear" w:color="auto" w:fill="FFFFFF"/>
                <w14:textFill>
                  <w14:solidFill>
                    <w14:schemeClr w14:val="tx1"/>
                  </w14:solidFill>
                </w14:textFill>
              </w:rPr>
            </w:pPr>
            <w:r>
              <w:rPr>
                <w:rFonts w:hint="eastAsia" w:ascii="宋体" w:hAnsi="宋体" w:cs="仿宋"/>
                <w:color w:val="000000" w:themeColor="text1"/>
                <w:kern w:val="0"/>
                <w:sz w:val="21"/>
                <w:szCs w:val="20"/>
                <w:shd w:val="clear" w:color="auto" w:fill="FFFFFF"/>
                <w14:textFill>
                  <w14:solidFill>
                    <w14:schemeClr w14:val="tx1"/>
                  </w14:solidFill>
                </w14:textFill>
              </w:rPr>
              <w:t>承担本专业中、小型规模项目</w:t>
            </w:r>
          </w:p>
        </w:tc>
      </w:tr>
    </w:tbl>
    <w:p>
      <w:pPr>
        <w:pStyle w:val="3"/>
        <w:bidi w:val="0"/>
        <w:rPr>
          <w:rFonts w:hint="eastAsia"/>
          <w:highlight w:val="none"/>
        </w:rPr>
      </w:pPr>
      <w:bookmarkStart w:id="4" w:name="_Toc18196"/>
      <w:r>
        <w:rPr>
          <w:rFonts w:hint="eastAsia"/>
          <w:highlight w:val="none"/>
        </w:rPr>
        <w:t>附表</w:t>
      </w:r>
      <w:r>
        <w:rPr>
          <w:rFonts w:hint="eastAsia"/>
          <w:highlight w:val="none"/>
          <w:lang w:val="en-US" w:eastAsia="zh-CN"/>
        </w:rPr>
        <w:t>4</w:t>
      </w:r>
      <w:r>
        <w:rPr>
          <w:rFonts w:hint="eastAsia"/>
          <w:highlight w:val="none"/>
        </w:rPr>
        <w:t>：水利水电工程分等指标</w:t>
      </w:r>
      <w:bookmarkEnd w:id="4"/>
    </w:p>
    <w:tbl>
      <w:tblPr>
        <w:tblStyle w:val="29"/>
        <w:tblW w:w="8917" w:type="dxa"/>
        <w:jc w:val="center"/>
        <w:tblInd w:w="0" w:type="dxa"/>
        <w:tblLayout w:type="fixed"/>
        <w:tblCellMar>
          <w:top w:w="0" w:type="dxa"/>
          <w:left w:w="108" w:type="dxa"/>
          <w:bottom w:w="0" w:type="dxa"/>
          <w:right w:w="108" w:type="dxa"/>
        </w:tblCellMar>
      </w:tblPr>
      <w:tblGrid>
        <w:gridCol w:w="704"/>
        <w:gridCol w:w="800"/>
        <w:gridCol w:w="823"/>
        <w:gridCol w:w="823"/>
        <w:gridCol w:w="823"/>
        <w:gridCol w:w="823"/>
        <w:gridCol w:w="823"/>
        <w:gridCol w:w="823"/>
        <w:gridCol w:w="823"/>
        <w:gridCol w:w="823"/>
        <w:gridCol w:w="829"/>
      </w:tblGrid>
      <w:tr>
        <w:tblPrEx>
          <w:tblLayout w:type="fixed"/>
          <w:tblCellMar>
            <w:top w:w="0" w:type="dxa"/>
            <w:left w:w="108" w:type="dxa"/>
            <w:bottom w:w="0" w:type="dxa"/>
            <w:right w:w="108" w:type="dxa"/>
          </w:tblCellMar>
        </w:tblPrEx>
        <w:trPr>
          <w:trHeight w:val="450"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工程等别</w:t>
            </w:r>
          </w:p>
        </w:tc>
        <w:tc>
          <w:tcPr>
            <w:tcW w:w="8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工程规模</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水库总库容/10</w:t>
            </w:r>
            <w:r>
              <w:rPr>
                <w:rStyle w:val="48"/>
                <w:rFonts w:hint="eastAsia" w:ascii="宋体" w:hAnsi="宋体" w:cs="宋体"/>
                <w:b/>
                <w:bCs/>
                <w:color w:val="auto"/>
                <w:w w:val="80"/>
                <w:sz w:val="21"/>
                <w:szCs w:val="21"/>
                <w:lang w:bidi="ar"/>
              </w:rPr>
              <w:t>⁸</w:t>
            </w:r>
            <w:r>
              <w:rPr>
                <w:rStyle w:val="49"/>
                <w:rFonts w:hint="default" w:ascii="宋体" w:hAnsi="宋体" w:eastAsia="宋体" w:cs="宋体"/>
                <w:b/>
                <w:bCs/>
                <w:color w:val="auto"/>
                <w:w w:val="80"/>
                <w:sz w:val="21"/>
                <w:szCs w:val="21"/>
                <w:lang w:bidi="ar"/>
              </w:rPr>
              <w:t>m</w:t>
            </w:r>
            <w:r>
              <w:rPr>
                <w:rStyle w:val="50"/>
                <w:rFonts w:hint="default"/>
                <w:b/>
                <w:bCs/>
                <w:color w:val="auto"/>
                <w:w w:val="80"/>
                <w:sz w:val="21"/>
                <w:szCs w:val="21"/>
                <w:lang w:bidi="ar"/>
              </w:rPr>
              <w:t>³</w:t>
            </w:r>
          </w:p>
        </w:tc>
        <w:tc>
          <w:tcPr>
            <w:tcW w:w="2469"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kern w:val="0"/>
                <w:szCs w:val="21"/>
                <w:lang w:bidi="ar"/>
              </w:rPr>
            </w:pPr>
            <w:r>
              <w:rPr>
                <w:rFonts w:hint="eastAsia" w:ascii="宋体" w:hAnsi="宋体" w:cs="宋体"/>
                <w:b/>
                <w:bCs/>
                <w:w w:val="80"/>
                <w:kern w:val="0"/>
                <w:szCs w:val="21"/>
                <w:lang w:bidi="ar"/>
              </w:rPr>
              <w:t>防洪</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治涝</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灌溉</w:t>
            </w:r>
          </w:p>
        </w:tc>
        <w:tc>
          <w:tcPr>
            <w:tcW w:w="164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kern w:val="0"/>
                <w:szCs w:val="21"/>
                <w:lang w:bidi="ar"/>
              </w:rPr>
            </w:pPr>
            <w:r>
              <w:rPr>
                <w:rFonts w:hint="eastAsia" w:ascii="宋体" w:hAnsi="宋体" w:cs="宋体"/>
                <w:b/>
                <w:bCs/>
                <w:w w:val="80"/>
                <w:kern w:val="0"/>
                <w:szCs w:val="21"/>
                <w:lang w:bidi="ar"/>
              </w:rPr>
              <w:t>供水</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发电</w:t>
            </w:r>
          </w:p>
        </w:tc>
      </w:tr>
      <w:tr>
        <w:tblPrEx>
          <w:tblLayout w:type="fixed"/>
          <w:tblCellMar>
            <w:top w:w="0" w:type="dxa"/>
            <w:left w:w="108" w:type="dxa"/>
            <w:bottom w:w="0" w:type="dxa"/>
            <w:right w:w="108" w:type="dxa"/>
          </w:tblCellMar>
        </w:tblPrEx>
        <w:trPr>
          <w:trHeight w:val="64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b/>
                <w:bCs/>
                <w:w w:val="80"/>
                <w:szCs w:val="21"/>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b/>
                <w:bCs/>
                <w:w w:val="80"/>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b/>
                <w:bCs/>
                <w:w w:val="80"/>
                <w:szCs w:val="21"/>
              </w:rPr>
            </w:pP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保护人口/10</w:t>
            </w:r>
            <w:r>
              <w:rPr>
                <w:rStyle w:val="48"/>
                <w:rFonts w:hint="eastAsia" w:ascii="宋体" w:hAnsi="宋体" w:cs="宋体"/>
                <w:b/>
                <w:bCs/>
                <w:color w:val="auto"/>
                <w:w w:val="80"/>
                <w:sz w:val="21"/>
                <w:szCs w:val="21"/>
                <w:lang w:bidi="ar"/>
              </w:rPr>
              <w:t>⁴</w:t>
            </w:r>
            <w:r>
              <w:rPr>
                <w:rStyle w:val="49"/>
                <w:rFonts w:hint="default" w:ascii="宋体" w:hAnsi="宋体" w:eastAsia="宋体" w:cs="宋体"/>
                <w:b/>
                <w:bCs/>
                <w:color w:val="auto"/>
                <w:w w:val="80"/>
                <w:sz w:val="21"/>
                <w:szCs w:val="21"/>
                <w:lang w:bidi="ar"/>
              </w:rPr>
              <w:t>人</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保护农田面积/10</w:t>
            </w:r>
            <w:r>
              <w:rPr>
                <w:rStyle w:val="48"/>
                <w:rFonts w:hint="eastAsia" w:ascii="宋体" w:hAnsi="宋体" w:cs="宋体"/>
                <w:b/>
                <w:bCs/>
                <w:color w:val="auto"/>
                <w:w w:val="80"/>
                <w:sz w:val="21"/>
                <w:szCs w:val="21"/>
                <w:lang w:bidi="ar"/>
              </w:rPr>
              <w:t>⁴</w:t>
            </w:r>
            <w:r>
              <w:rPr>
                <w:rStyle w:val="49"/>
                <w:rFonts w:hint="default" w:ascii="宋体" w:hAnsi="宋体" w:eastAsia="宋体" w:cs="宋体"/>
                <w:b/>
                <w:bCs/>
                <w:color w:val="auto"/>
                <w:w w:val="80"/>
                <w:sz w:val="21"/>
                <w:szCs w:val="21"/>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保护区当量经济规模/10</w:t>
            </w:r>
            <w:r>
              <w:rPr>
                <w:rStyle w:val="48"/>
                <w:rFonts w:hint="eastAsia" w:ascii="宋体" w:hAnsi="宋体" w:cs="宋体"/>
                <w:b/>
                <w:bCs/>
                <w:color w:val="auto"/>
                <w:w w:val="80"/>
                <w:sz w:val="21"/>
                <w:szCs w:val="21"/>
                <w:lang w:bidi="ar"/>
              </w:rPr>
              <w:t>⁴</w:t>
            </w:r>
            <w:r>
              <w:rPr>
                <w:rStyle w:val="49"/>
                <w:rFonts w:hint="default" w:ascii="宋体" w:hAnsi="宋体" w:eastAsia="宋体" w:cs="宋体"/>
                <w:b/>
                <w:bCs/>
                <w:color w:val="auto"/>
                <w:w w:val="80"/>
                <w:sz w:val="21"/>
                <w:szCs w:val="21"/>
                <w:lang w:bidi="ar"/>
              </w:rPr>
              <w:t>人</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治涝面积/10</w:t>
            </w:r>
            <w:r>
              <w:rPr>
                <w:rStyle w:val="48"/>
                <w:rFonts w:hint="eastAsia" w:ascii="宋体" w:hAnsi="宋体" w:cs="宋体"/>
                <w:b/>
                <w:bCs/>
                <w:color w:val="auto"/>
                <w:w w:val="80"/>
                <w:sz w:val="21"/>
                <w:szCs w:val="21"/>
                <w:lang w:bidi="ar"/>
              </w:rPr>
              <w:t>⁴</w:t>
            </w:r>
            <w:r>
              <w:rPr>
                <w:rStyle w:val="49"/>
                <w:rFonts w:hint="default" w:ascii="宋体" w:hAnsi="宋体" w:eastAsia="宋体" w:cs="宋体"/>
                <w:b/>
                <w:bCs/>
                <w:color w:val="auto"/>
                <w:w w:val="80"/>
                <w:sz w:val="21"/>
                <w:szCs w:val="21"/>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灌溉面积/10</w:t>
            </w:r>
            <w:r>
              <w:rPr>
                <w:rStyle w:val="48"/>
                <w:rFonts w:hint="eastAsia" w:ascii="宋体" w:hAnsi="宋体" w:cs="宋体"/>
                <w:b/>
                <w:bCs/>
                <w:color w:val="auto"/>
                <w:w w:val="80"/>
                <w:sz w:val="21"/>
                <w:szCs w:val="21"/>
                <w:lang w:bidi="ar"/>
              </w:rPr>
              <w:t>⁴</w:t>
            </w:r>
            <w:r>
              <w:rPr>
                <w:rStyle w:val="49"/>
                <w:rFonts w:hint="default" w:ascii="宋体" w:hAnsi="宋体" w:eastAsia="宋体" w:cs="宋体"/>
                <w:b/>
                <w:bCs/>
                <w:color w:val="auto"/>
                <w:w w:val="80"/>
                <w:sz w:val="21"/>
                <w:szCs w:val="21"/>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供水对象重要性</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年引水量/108m</w:t>
            </w:r>
            <w:r>
              <w:rPr>
                <w:rStyle w:val="50"/>
                <w:rFonts w:hint="default"/>
                <w:b/>
                <w:bCs/>
                <w:color w:val="auto"/>
                <w:w w:val="80"/>
                <w:sz w:val="21"/>
                <w:szCs w:val="21"/>
                <w:lang w:bidi="ar"/>
              </w:rPr>
              <w:t>³</w:t>
            </w: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宋体" w:hAnsi="宋体" w:cs="宋体"/>
                <w:b/>
                <w:bCs/>
                <w:w w:val="80"/>
                <w:szCs w:val="21"/>
              </w:rPr>
            </w:pPr>
            <w:r>
              <w:rPr>
                <w:rFonts w:hint="eastAsia" w:ascii="宋体" w:hAnsi="宋体" w:cs="宋体"/>
                <w:b/>
                <w:bCs/>
                <w:w w:val="80"/>
                <w:kern w:val="0"/>
                <w:szCs w:val="21"/>
                <w:lang w:bidi="ar"/>
              </w:rPr>
              <w:t>发电装机容量/MW</w:t>
            </w:r>
          </w:p>
        </w:tc>
      </w:tr>
      <w:tr>
        <w:tblPrEx>
          <w:tblLayout w:type="fixed"/>
          <w:tblCellMar>
            <w:top w:w="0" w:type="dxa"/>
            <w:left w:w="108" w:type="dxa"/>
            <w:bottom w:w="0" w:type="dxa"/>
            <w:right w:w="108" w:type="dxa"/>
          </w:tblCellMar>
        </w:tblPrEx>
        <w:trPr>
          <w:trHeight w:val="312"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312"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bCs/>
                <w:szCs w:val="21"/>
              </w:rPr>
            </w:pPr>
            <w:r>
              <w:rPr>
                <w:rFonts w:hint="eastAsia" w:ascii="宋体" w:hAnsi="宋体" w:cs="宋体"/>
                <w:b/>
                <w:bCs/>
                <w:szCs w:val="21"/>
              </w:rPr>
              <w:t>Ⅰ</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szCs w:val="21"/>
              </w:rPr>
            </w:pPr>
            <w:r>
              <w:rPr>
                <w:rFonts w:hint="eastAsia" w:ascii="宋体" w:hAnsi="宋体" w:cs="宋体"/>
                <w:b/>
                <w:bCs/>
                <w:kern w:val="0"/>
                <w:szCs w:val="21"/>
                <w:lang w:bidi="ar"/>
              </w:rPr>
              <w:t>大(1)型</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≥150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≥500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≥300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≥200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≥150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特别重要</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≥1200</w:t>
            </w:r>
          </w:p>
        </w:tc>
      </w:tr>
      <w:tr>
        <w:tblPrEx>
          <w:tblLayout w:type="fixed"/>
          <w:tblCellMar>
            <w:top w:w="0" w:type="dxa"/>
            <w:left w:w="108" w:type="dxa"/>
            <w:bottom w:w="0" w:type="dxa"/>
            <w:right w:w="108" w:type="dxa"/>
          </w:tblCellMar>
        </w:tblPrEx>
        <w:trPr>
          <w:trHeight w:val="108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bCs/>
                <w:szCs w:val="21"/>
              </w:rPr>
            </w:pPr>
            <w:r>
              <w:rPr>
                <w:rFonts w:hint="eastAsia" w:ascii="宋体" w:hAnsi="宋体" w:cs="宋体"/>
                <w:b/>
                <w:bCs/>
                <w:szCs w:val="21"/>
              </w:rPr>
              <w:t>Ⅱ</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szCs w:val="21"/>
              </w:rPr>
            </w:pPr>
            <w:r>
              <w:rPr>
                <w:rFonts w:hint="eastAsia" w:ascii="宋体" w:hAnsi="宋体" w:cs="宋体"/>
                <w:b/>
                <w:bCs/>
                <w:kern w:val="0"/>
                <w:szCs w:val="21"/>
                <w:lang w:bidi="ar"/>
              </w:rPr>
              <w:t>大(2)型</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＜10,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＜150,≥50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＜500,≥100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＜300,≥100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＜200,≥60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＜150,≥50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重要</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＜10,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＜1200,≥300</w:t>
            </w:r>
          </w:p>
        </w:tc>
      </w:tr>
      <w:tr>
        <w:tblPrEx>
          <w:tblLayout w:type="fixed"/>
          <w:tblCellMar>
            <w:top w:w="0" w:type="dxa"/>
            <w:left w:w="108" w:type="dxa"/>
            <w:bottom w:w="0" w:type="dxa"/>
            <w:right w:w="108" w:type="dxa"/>
          </w:tblCellMar>
        </w:tblPrEx>
        <w:trPr>
          <w:trHeight w:val="105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Ⅲ</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szCs w:val="21"/>
              </w:rPr>
            </w:pPr>
            <w:r>
              <w:rPr>
                <w:rFonts w:hint="eastAsia" w:ascii="宋体" w:hAnsi="宋体" w:cs="宋体"/>
                <w:b/>
                <w:bCs/>
                <w:kern w:val="0"/>
                <w:szCs w:val="21"/>
                <w:lang w:bidi="ar"/>
              </w:rPr>
              <w:t>中型</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＜1.0,≥0.10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＜50,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≥20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＜100,≥30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＜100,≥40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＜60,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＜50,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比较</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重要</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＜3,≥1</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＜300,≥50</w:t>
            </w:r>
          </w:p>
        </w:tc>
      </w:tr>
      <w:tr>
        <w:tblPrEx>
          <w:tblLayout w:type="fixed"/>
          <w:tblCellMar>
            <w:top w:w="0" w:type="dxa"/>
            <w:left w:w="108" w:type="dxa"/>
            <w:bottom w:w="0" w:type="dxa"/>
            <w:right w:w="108" w:type="dxa"/>
          </w:tblCellMar>
        </w:tblPrEx>
        <w:trPr>
          <w:trHeight w:val="107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Ⅳ</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szCs w:val="21"/>
              </w:rPr>
            </w:pPr>
            <w:r>
              <w:rPr>
                <w:rFonts w:hint="eastAsia" w:ascii="宋体" w:hAnsi="宋体" w:cs="宋体"/>
                <w:b/>
                <w:bCs/>
                <w:kern w:val="0"/>
                <w:szCs w:val="21"/>
                <w:lang w:bidi="ar"/>
              </w:rPr>
              <w:t>小(1)型</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＜0.1,≥0.01</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＜20,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＜30,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＜40,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＜15,</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＜5,</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≥0.5</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一般</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＜1,</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≥0.3</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kern w:val="0"/>
                <w:szCs w:val="21"/>
                <w:lang w:bidi="ar"/>
              </w:rPr>
            </w:pPr>
            <w:r>
              <w:rPr>
                <w:rFonts w:hint="eastAsia" w:ascii="宋体" w:hAnsi="宋体" w:cs="宋体"/>
                <w:w w:val="80"/>
                <w:kern w:val="0"/>
                <w:szCs w:val="21"/>
                <w:lang w:bidi="ar"/>
              </w:rPr>
              <w:t>＜50,</w:t>
            </w:r>
          </w:p>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r>
      <w:tr>
        <w:tblPrEx>
          <w:tblLayout w:type="fixed"/>
          <w:tblCellMar>
            <w:top w:w="0" w:type="dxa"/>
            <w:left w:w="108" w:type="dxa"/>
            <w:bottom w:w="0" w:type="dxa"/>
            <w:right w:w="108" w:type="dxa"/>
          </w:tblCellMar>
        </w:tblPrEx>
        <w:trPr>
          <w:trHeight w:val="95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bCs/>
                <w:szCs w:val="21"/>
              </w:rPr>
            </w:pPr>
            <w:r>
              <w:rPr>
                <w:rFonts w:hint="eastAsia" w:ascii="宋体" w:hAnsi="宋体" w:cs="宋体"/>
                <w:b/>
                <w:bCs/>
                <w:szCs w:val="21"/>
              </w:rPr>
              <w:t>Ⅴ</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szCs w:val="21"/>
              </w:rPr>
            </w:pPr>
            <w:r>
              <w:rPr>
                <w:rFonts w:hint="eastAsia" w:ascii="宋体" w:hAnsi="宋体" w:cs="宋体"/>
                <w:b/>
                <w:bCs/>
                <w:kern w:val="0"/>
                <w:szCs w:val="21"/>
                <w:lang w:bidi="ar"/>
              </w:rPr>
              <w:t>小(2)型</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＜0.01,≥0.001</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＜3</w:t>
            </w: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＜0.5</w:t>
            </w: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p>
        </w:tc>
        <w:tc>
          <w:tcPr>
            <w:tcW w:w="823"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＜0.3</w:t>
            </w:r>
          </w:p>
        </w:tc>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w w:val="80"/>
                <w:szCs w:val="21"/>
              </w:rPr>
            </w:pPr>
            <w:r>
              <w:rPr>
                <w:rFonts w:hint="eastAsia" w:ascii="宋体" w:hAnsi="宋体" w:cs="宋体"/>
                <w:w w:val="80"/>
                <w:kern w:val="0"/>
                <w:szCs w:val="21"/>
                <w:lang w:bidi="ar"/>
              </w:rPr>
              <w:t>＜10</w:t>
            </w:r>
          </w:p>
        </w:tc>
      </w:tr>
      <w:tr>
        <w:tblPrEx>
          <w:tblLayout w:type="fixed"/>
          <w:tblCellMar>
            <w:top w:w="0" w:type="dxa"/>
            <w:left w:w="108" w:type="dxa"/>
            <w:bottom w:w="0" w:type="dxa"/>
            <w:right w:w="108" w:type="dxa"/>
          </w:tblCellMar>
        </w:tblPrEx>
        <w:trPr>
          <w:trHeight w:val="90" w:hRule="atLeast"/>
          <w:jc w:val="center"/>
        </w:trPr>
        <w:tc>
          <w:tcPr>
            <w:tcW w:w="8917" w:type="dxa"/>
            <w:gridSpan w:val="11"/>
            <w:tcBorders>
              <w:top w:val="single" w:color="000000" w:sz="4" w:space="0"/>
              <w:left w:val="single" w:color="000000" w:sz="4" w:space="0"/>
              <w:bottom w:val="single" w:color="000000" w:sz="4" w:space="0"/>
              <w:right w:val="single" w:color="000000" w:sz="4" w:space="0"/>
            </w:tcBorders>
          </w:tcPr>
          <w:p>
            <w:pPr>
              <w:widowControl/>
              <w:spacing w:line="240" w:lineRule="auto"/>
              <w:jc w:val="left"/>
              <w:textAlignment w:val="top"/>
              <w:rPr>
                <w:rFonts w:hint="eastAsia" w:ascii="宋体" w:hAnsi="宋体" w:cs="宋体"/>
                <w:szCs w:val="21"/>
              </w:rPr>
            </w:pPr>
            <w:r>
              <w:rPr>
                <w:rFonts w:hint="eastAsia" w:ascii="宋体" w:hAnsi="宋体" w:cs="宋体"/>
                <w:szCs w:val="21"/>
              </w:rPr>
              <w:t>注1:水库总库容指水库最高水位以下的静库容；治涝面积指设计治涝面积；灌溉面积指设计灌溉面积；年引水量指供水工程渠首设计年均引(取)水量。</w:t>
            </w:r>
          </w:p>
          <w:p>
            <w:pPr>
              <w:widowControl/>
              <w:spacing w:line="240" w:lineRule="auto"/>
              <w:jc w:val="left"/>
              <w:textAlignment w:val="top"/>
              <w:rPr>
                <w:rFonts w:hint="eastAsia" w:ascii="宋体" w:hAnsi="宋体" w:cs="宋体"/>
                <w:szCs w:val="21"/>
              </w:rPr>
            </w:pPr>
            <w:r>
              <w:rPr>
                <w:rFonts w:hint="eastAsia" w:ascii="宋体" w:hAnsi="宋体" w:cs="宋体"/>
                <w:szCs w:val="21"/>
              </w:rPr>
              <w:t>注2:保护区当量经济规模指标仅限于城市保护区；防洪、供水中的多项指标满足1项即可。</w:t>
            </w:r>
          </w:p>
          <w:p>
            <w:pPr>
              <w:widowControl/>
              <w:spacing w:line="240" w:lineRule="auto"/>
              <w:jc w:val="left"/>
              <w:textAlignment w:val="top"/>
              <w:rPr>
                <w:rFonts w:hint="eastAsia" w:ascii="宋体" w:hAnsi="宋体" w:cs="宋体"/>
                <w:szCs w:val="21"/>
              </w:rPr>
            </w:pPr>
            <w:r>
              <w:rPr>
                <w:rFonts w:hint="eastAsia" w:ascii="宋体" w:hAnsi="宋体" w:cs="宋体"/>
                <w:szCs w:val="21"/>
              </w:rPr>
              <w:t>注3:按供水对象的重要性确定工程等别时，该工程应为供水对象的主要水源。</w:t>
            </w:r>
          </w:p>
        </w:tc>
      </w:tr>
    </w:tbl>
    <w:p>
      <w:pPr>
        <w:jc w:val="center"/>
        <w:rPr>
          <w:rFonts w:hint="eastAsia" w:ascii="宋体" w:hAnsi="宋体" w:cs="宋体"/>
          <w:b/>
          <w:bCs/>
          <w:sz w:val="28"/>
          <w:szCs w:val="28"/>
          <w:highlight w:val="none"/>
        </w:rPr>
      </w:pPr>
      <w:r>
        <w:rPr>
          <w:rFonts w:hint="eastAsia" w:ascii="宋体" w:hAnsi="宋体" w:cs="宋体"/>
          <w:b/>
          <w:bCs/>
          <w:sz w:val="28"/>
          <w:szCs w:val="28"/>
          <w:highlight w:val="none"/>
        </w:rPr>
        <w:t>水闸分类标准</w:t>
      </w:r>
    </w:p>
    <w:tbl>
      <w:tblPr>
        <w:tblStyle w:val="30"/>
        <w:tblW w:w="89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188"/>
        <w:gridCol w:w="2020"/>
        <w:gridCol w:w="1910"/>
        <w:gridCol w:w="1690"/>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267"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工程等别</w:t>
            </w:r>
          </w:p>
        </w:tc>
        <w:tc>
          <w:tcPr>
            <w:tcW w:w="1188"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Ⅰ</w:t>
            </w:r>
          </w:p>
        </w:tc>
        <w:tc>
          <w:tcPr>
            <w:tcW w:w="2020"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Ⅱ</w:t>
            </w:r>
          </w:p>
        </w:tc>
        <w:tc>
          <w:tcPr>
            <w:tcW w:w="1910"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Ⅲ</w:t>
            </w:r>
          </w:p>
        </w:tc>
        <w:tc>
          <w:tcPr>
            <w:tcW w:w="1690"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Ⅳ</w:t>
            </w:r>
          </w:p>
        </w:tc>
        <w:tc>
          <w:tcPr>
            <w:tcW w:w="846"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267"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工程规模</w:t>
            </w:r>
          </w:p>
        </w:tc>
        <w:tc>
          <w:tcPr>
            <w:tcW w:w="1188" w:type="dxa"/>
            <w:vAlign w:val="center"/>
          </w:tcPr>
          <w:p>
            <w:pPr>
              <w:spacing w:line="240" w:lineRule="auto"/>
              <w:jc w:val="center"/>
              <w:rPr>
                <w:rFonts w:hint="eastAsia" w:ascii="宋体" w:hAnsi="宋体" w:cs="宋体"/>
                <w:szCs w:val="21"/>
                <w:highlight w:val="none"/>
              </w:rPr>
            </w:pPr>
            <w:r>
              <w:rPr>
                <w:rFonts w:hint="eastAsia" w:ascii="宋体" w:hAnsi="宋体" w:cs="宋体"/>
                <w:szCs w:val="21"/>
                <w:highlight w:val="none"/>
              </w:rPr>
              <w:t>大（1）型</w:t>
            </w:r>
          </w:p>
        </w:tc>
        <w:tc>
          <w:tcPr>
            <w:tcW w:w="2020" w:type="dxa"/>
            <w:vAlign w:val="center"/>
          </w:tcPr>
          <w:p>
            <w:pPr>
              <w:spacing w:line="240" w:lineRule="auto"/>
              <w:jc w:val="center"/>
              <w:rPr>
                <w:rFonts w:hint="eastAsia" w:ascii="宋体" w:hAnsi="宋体" w:cs="宋体"/>
                <w:szCs w:val="21"/>
                <w:highlight w:val="none"/>
              </w:rPr>
            </w:pPr>
            <w:r>
              <w:rPr>
                <w:rFonts w:hint="eastAsia" w:ascii="宋体" w:hAnsi="宋体" w:cs="宋体"/>
                <w:szCs w:val="21"/>
                <w:highlight w:val="none"/>
              </w:rPr>
              <w:t>大（2）型</w:t>
            </w:r>
          </w:p>
        </w:tc>
        <w:tc>
          <w:tcPr>
            <w:tcW w:w="1910" w:type="dxa"/>
            <w:vAlign w:val="center"/>
          </w:tcPr>
          <w:p>
            <w:pPr>
              <w:spacing w:line="240" w:lineRule="auto"/>
              <w:jc w:val="center"/>
              <w:rPr>
                <w:rFonts w:hint="eastAsia" w:ascii="宋体" w:hAnsi="宋体" w:cs="宋体"/>
                <w:szCs w:val="21"/>
                <w:highlight w:val="none"/>
              </w:rPr>
            </w:pPr>
            <w:r>
              <w:rPr>
                <w:rFonts w:hint="eastAsia" w:ascii="宋体" w:hAnsi="宋体" w:cs="宋体"/>
                <w:szCs w:val="21"/>
                <w:highlight w:val="none"/>
              </w:rPr>
              <w:t>中型</w:t>
            </w:r>
          </w:p>
        </w:tc>
        <w:tc>
          <w:tcPr>
            <w:tcW w:w="1690" w:type="dxa"/>
            <w:vAlign w:val="center"/>
          </w:tcPr>
          <w:p>
            <w:pPr>
              <w:spacing w:line="240" w:lineRule="auto"/>
              <w:jc w:val="center"/>
              <w:rPr>
                <w:rFonts w:hint="eastAsia" w:ascii="宋体" w:hAnsi="宋体" w:cs="宋体"/>
                <w:szCs w:val="21"/>
                <w:highlight w:val="none"/>
              </w:rPr>
            </w:pPr>
            <w:r>
              <w:rPr>
                <w:rFonts w:hint="eastAsia" w:ascii="宋体" w:hAnsi="宋体" w:cs="宋体"/>
                <w:szCs w:val="21"/>
                <w:highlight w:val="none"/>
              </w:rPr>
              <w:t>小（1）型</w:t>
            </w:r>
          </w:p>
        </w:tc>
        <w:tc>
          <w:tcPr>
            <w:tcW w:w="846" w:type="dxa"/>
            <w:vAlign w:val="center"/>
          </w:tcPr>
          <w:p>
            <w:pPr>
              <w:spacing w:line="240" w:lineRule="auto"/>
              <w:jc w:val="center"/>
              <w:rPr>
                <w:rFonts w:hint="eastAsia" w:ascii="宋体" w:hAnsi="宋体" w:cs="宋体"/>
                <w:szCs w:val="21"/>
                <w:highlight w:val="none"/>
              </w:rPr>
            </w:pPr>
            <w:r>
              <w:rPr>
                <w:rFonts w:hint="eastAsia" w:ascii="宋体" w:hAnsi="宋体" w:cs="宋体"/>
                <w:szCs w:val="21"/>
                <w:highlight w:val="none"/>
              </w:rPr>
              <w:t>小（2）型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267" w:type="dxa"/>
            <w:vAlign w:val="center"/>
          </w:tcPr>
          <w:p>
            <w:pPr>
              <w:spacing w:line="240" w:lineRule="auto"/>
              <w:jc w:val="center"/>
              <w:rPr>
                <w:rFonts w:hint="eastAsia" w:ascii="宋体" w:hAnsi="宋体" w:cs="宋体"/>
                <w:b/>
                <w:bCs/>
                <w:szCs w:val="21"/>
                <w:highlight w:val="none"/>
              </w:rPr>
            </w:pPr>
            <w:r>
              <w:rPr>
                <w:rFonts w:hint="eastAsia" w:ascii="宋体" w:hAnsi="宋体" w:cs="宋体"/>
                <w:b/>
                <w:bCs/>
                <w:szCs w:val="21"/>
                <w:highlight w:val="none"/>
              </w:rPr>
              <w:t>过闸流量</w:t>
            </w:r>
          </w:p>
        </w:tc>
        <w:tc>
          <w:tcPr>
            <w:tcW w:w="1188" w:type="dxa"/>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kern w:val="0"/>
                <w:szCs w:val="21"/>
                <w:highlight w:val="none"/>
                <w:lang w:bidi="ar"/>
              </w:rPr>
              <w:t>5000m</w:t>
            </w:r>
            <w:r>
              <w:rPr>
                <w:rFonts w:hint="eastAsia" w:ascii="宋体" w:hAnsi="宋体" w:cs="宋体"/>
                <w:kern w:val="0"/>
                <w:szCs w:val="21"/>
                <w:highlight w:val="none"/>
                <w:vertAlign w:val="superscript"/>
                <w:lang w:bidi="ar"/>
              </w:rPr>
              <w:t>3</w:t>
            </w:r>
          </w:p>
        </w:tc>
        <w:tc>
          <w:tcPr>
            <w:tcW w:w="2020" w:type="dxa"/>
            <w:vAlign w:val="center"/>
          </w:tcPr>
          <w:p>
            <w:pPr>
              <w:widowControl/>
              <w:jc w:val="left"/>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w:t>
            </w:r>
            <w:r>
              <w:rPr>
                <w:rFonts w:hint="eastAsia" w:ascii="宋体" w:hAnsi="宋体" w:cs="宋体"/>
                <w:kern w:val="0"/>
                <w:szCs w:val="21"/>
                <w:highlight w:val="none"/>
                <w:lang w:bidi="ar"/>
              </w:rPr>
              <w:t>1000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r>
              <w:rPr>
                <w:rFonts w:hint="eastAsia" w:ascii="宋体" w:hAnsi="宋体" w:cs="宋体"/>
                <w:spacing w:val="-2"/>
                <w:szCs w:val="21"/>
                <w:highlight w:val="none"/>
              </w:rPr>
              <w:t>,</w:t>
            </w:r>
            <w:r>
              <w:rPr>
                <w:rFonts w:hint="eastAsia" w:ascii="宋体" w:hAnsi="宋体" w:cs="宋体"/>
                <w:szCs w:val="21"/>
                <w:highlight w:val="none"/>
                <w:lang w:val="en-US" w:eastAsia="zh-CN"/>
              </w:rPr>
              <w:t>≤</w:t>
            </w:r>
            <w:r>
              <w:rPr>
                <w:rFonts w:hint="eastAsia" w:ascii="宋体" w:hAnsi="宋体" w:cs="宋体"/>
                <w:kern w:val="0"/>
                <w:szCs w:val="21"/>
                <w:highlight w:val="none"/>
                <w:lang w:bidi="ar"/>
              </w:rPr>
              <w:t>5000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p>
        </w:tc>
        <w:tc>
          <w:tcPr>
            <w:tcW w:w="1910" w:type="dxa"/>
            <w:vAlign w:val="center"/>
          </w:tcPr>
          <w:p>
            <w:pPr>
              <w:widowControl/>
              <w:jc w:val="left"/>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w:t>
            </w:r>
            <w:r>
              <w:rPr>
                <w:rFonts w:hint="eastAsia" w:ascii="宋体" w:hAnsi="宋体" w:cs="宋体"/>
                <w:kern w:val="0"/>
                <w:szCs w:val="21"/>
                <w:highlight w:val="none"/>
                <w:lang w:bidi="ar"/>
              </w:rPr>
              <w:t>100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r>
              <w:rPr>
                <w:rFonts w:hint="eastAsia" w:ascii="宋体" w:hAnsi="宋体" w:cs="宋体"/>
                <w:spacing w:val="-2"/>
                <w:szCs w:val="21"/>
                <w:highlight w:val="none"/>
              </w:rPr>
              <w:t>,</w:t>
            </w:r>
            <w:r>
              <w:rPr>
                <w:rFonts w:hint="eastAsia" w:ascii="宋体" w:hAnsi="宋体" w:cs="宋体"/>
                <w:szCs w:val="21"/>
                <w:highlight w:val="none"/>
                <w:lang w:val="en-US" w:eastAsia="zh-CN"/>
              </w:rPr>
              <w:t>≤</w:t>
            </w:r>
            <w:r>
              <w:rPr>
                <w:rFonts w:hint="eastAsia" w:ascii="宋体" w:hAnsi="宋体" w:cs="宋体"/>
                <w:kern w:val="0"/>
                <w:szCs w:val="21"/>
                <w:highlight w:val="none"/>
                <w:lang w:bidi="ar"/>
              </w:rPr>
              <w:t>1000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p>
        </w:tc>
        <w:tc>
          <w:tcPr>
            <w:tcW w:w="1690" w:type="dxa"/>
            <w:vAlign w:val="center"/>
          </w:tcPr>
          <w:p>
            <w:pPr>
              <w:widowControl/>
              <w:jc w:val="left"/>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w:t>
            </w:r>
            <w:r>
              <w:rPr>
                <w:rFonts w:hint="eastAsia" w:ascii="宋体" w:hAnsi="宋体" w:cs="宋体"/>
                <w:kern w:val="0"/>
                <w:szCs w:val="21"/>
                <w:highlight w:val="none"/>
                <w:lang w:bidi="ar"/>
              </w:rPr>
              <w:t>20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r>
              <w:rPr>
                <w:rFonts w:hint="eastAsia" w:ascii="宋体" w:hAnsi="宋体" w:cs="宋体"/>
                <w:spacing w:val="-2"/>
                <w:szCs w:val="21"/>
                <w:highlight w:val="none"/>
              </w:rPr>
              <w:t>,</w:t>
            </w:r>
            <w:r>
              <w:rPr>
                <w:rFonts w:hint="eastAsia" w:ascii="宋体" w:hAnsi="宋体" w:cs="宋体"/>
                <w:spacing w:val="-2"/>
                <w:szCs w:val="21"/>
                <w:highlight w:val="none"/>
                <w:lang w:val="en-US" w:eastAsia="zh-CN"/>
              </w:rPr>
              <w:t>≤</w:t>
            </w:r>
            <w:r>
              <w:rPr>
                <w:rFonts w:hint="eastAsia" w:ascii="宋体" w:hAnsi="宋体" w:cs="宋体"/>
                <w:kern w:val="0"/>
                <w:szCs w:val="21"/>
                <w:highlight w:val="none"/>
                <w:lang w:bidi="ar"/>
              </w:rPr>
              <w:t>100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p>
        </w:tc>
        <w:tc>
          <w:tcPr>
            <w:tcW w:w="846" w:type="dxa"/>
            <w:vAlign w:val="center"/>
          </w:tcPr>
          <w:p>
            <w:pPr>
              <w:widowControl/>
              <w:jc w:val="left"/>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w:t>
            </w:r>
            <w:r>
              <w:rPr>
                <w:rFonts w:hint="eastAsia" w:ascii="宋体" w:hAnsi="宋体" w:cs="宋体"/>
                <w:kern w:val="0"/>
                <w:szCs w:val="21"/>
                <w:highlight w:val="none"/>
                <w:lang w:bidi="ar"/>
              </w:rPr>
              <w:t>20</w:t>
            </w:r>
            <w:r>
              <w:rPr>
                <w:rFonts w:hint="eastAsia" w:ascii="宋体" w:hAnsi="宋体" w:cs="宋体"/>
                <w:spacing w:val="-2"/>
                <w:szCs w:val="21"/>
                <w:highlight w:val="none"/>
              </w:rPr>
              <w:t>m</w:t>
            </w:r>
            <w:r>
              <w:rPr>
                <w:rFonts w:hint="eastAsia" w:ascii="宋体" w:hAnsi="宋体" w:cs="宋体"/>
                <w:spacing w:val="-2"/>
                <w:szCs w:val="21"/>
                <w:highlight w:val="none"/>
                <w:vertAlign w:val="superscript"/>
              </w:rPr>
              <w:t>3</w:t>
            </w:r>
          </w:p>
        </w:tc>
      </w:tr>
    </w:tbl>
    <w:p>
      <w:pPr>
        <w:spacing w:before="130" w:line="184" w:lineRule="auto"/>
        <w:jc w:val="center"/>
        <w:rPr>
          <w:rFonts w:hint="eastAsia" w:ascii="宋体" w:hAnsi="宋体" w:cs="宋体"/>
          <w:sz w:val="28"/>
          <w:szCs w:val="28"/>
        </w:rPr>
      </w:pPr>
      <w:r>
        <w:rPr>
          <w:rFonts w:hint="eastAsia" w:ascii="宋体" w:hAnsi="宋体" w:cs="宋体"/>
          <w:b/>
          <w:bCs/>
          <w:sz w:val="28"/>
          <w:szCs w:val="28"/>
        </w:rPr>
        <w:t>堤防永久性水工建筑物级别</w:t>
      </w:r>
    </w:p>
    <w:tbl>
      <w:tblPr>
        <w:tblStyle w:val="51"/>
        <w:tblW w:w="88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1"/>
        <w:gridCol w:w="1235"/>
        <w:gridCol w:w="1625"/>
        <w:gridCol w:w="1570"/>
        <w:gridCol w:w="1420"/>
        <w:gridCol w:w="13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jc w:val="center"/>
        </w:trPr>
        <w:tc>
          <w:tcPr>
            <w:tcW w:w="1721" w:type="dxa"/>
          </w:tcPr>
          <w:p>
            <w:pPr>
              <w:pStyle w:val="46"/>
              <w:spacing w:before="98" w:line="240" w:lineRule="auto"/>
              <w:jc w:val="center"/>
              <w:rPr>
                <w:rFonts w:hint="eastAsia"/>
                <w:b/>
                <w:bCs/>
                <w:sz w:val="21"/>
                <w:szCs w:val="21"/>
              </w:rPr>
            </w:pPr>
            <w:r>
              <w:rPr>
                <w:rFonts w:hint="eastAsia"/>
                <w:b/>
                <w:bCs/>
                <w:spacing w:val="2"/>
                <w:sz w:val="21"/>
                <w:szCs w:val="21"/>
              </w:rPr>
              <w:t>防洪标准/</w:t>
            </w:r>
            <w:r>
              <w:rPr>
                <w:rFonts w:hint="eastAsia"/>
                <w:b/>
                <w:bCs/>
                <w:spacing w:val="47"/>
                <w:sz w:val="21"/>
                <w:szCs w:val="21"/>
              </w:rPr>
              <w:t>[重现期(年)]</w:t>
            </w:r>
          </w:p>
        </w:tc>
        <w:tc>
          <w:tcPr>
            <w:tcW w:w="1235" w:type="dxa"/>
            <w:vAlign w:val="center"/>
          </w:tcPr>
          <w:p>
            <w:pPr>
              <w:jc w:val="center"/>
              <w:rPr>
                <w:rFonts w:hint="eastAsia" w:ascii="宋体" w:hAnsi="宋体" w:cs="宋体"/>
                <w:b/>
                <w:bCs/>
                <w:spacing w:val="2"/>
                <w:szCs w:val="21"/>
                <w:lang w:eastAsia="en-US"/>
              </w:rPr>
            </w:pPr>
            <w:r>
              <w:rPr>
                <w:rFonts w:hint="eastAsia" w:ascii="宋体" w:hAnsi="宋体" w:cs="宋体"/>
                <w:b/>
                <w:bCs/>
                <w:szCs w:val="21"/>
              </w:rPr>
              <w:t>≥100</w:t>
            </w:r>
          </w:p>
        </w:tc>
        <w:tc>
          <w:tcPr>
            <w:tcW w:w="1625" w:type="dxa"/>
            <w:vAlign w:val="center"/>
          </w:tcPr>
          <w:p>
            <w:pPr>
              <w:jc w:val="center"/>
              <w:rPr>
                <w:rFonts w:hint="eastAsia" w:ascii="宋体" w:hAnsi="宋体" w:cs="宋体"/>
                <w:b/>
                <w:bCs/>
                <w:spacing w:val="2"/>
                <w:szCs w:val="21"/>
                <w:lang w:eastAsia="en-US"/>
              </w:rPr>
            </w:pPr>
            <w:r>
              <w:rPr>
                <w:rFonts w:hint="eastAsia" w:ascii="宋体" w:hAnsi="宋体" w:cs="宋体"/>
                <w:b/>
                <w:bCs/>
                <w:kern w:val="0"/>
                <w:szCs w:val="21"/>
                <w:lang w:bidi="ar"/>
              </w:rPr>
              <w:t>＜</w:t>
            </w:r>
            <w:r>
              <w:rPr>
                <w:rFonts w:hint="eastAsia" w:ascii="宋体" w:hAnsi="宋体" w:cs="宋体"/>
                <w:b/>
                <w:bCs/>
                <w:szCs w:val="21"/>
              </w:rPr>
              <w:t>100,≥50</w:t>
            </w:r>
          </w:p>
        </w:tc>
        <w:tc>
          <w:tcPr>
            <w:tcW w:w="1570" w:type="dxa"/>
            <w:vAlign w:val="center"/>
          </w:tcPr>
          <w:p>
            <w:pPr>
              <w:jc w:val="center"/>
              <w:rPr>
                <w:rFonts w:hint="eastAsia" w:ascii="宋体" w:hAnsi="宋体" w:cs="宋体"/>
                <w:b/>
                <w:bCs/>
                <w:spacing w:val="2"/>
                <w:szCs w:val="21"/>
                <w:lang w:eastAsia="en-US"/>
              </w:rPr>
            </w:pPr>
            <w:r>
              <w:rPr>
                <w:rFonts w:hint="eastAsia" w:ascii="宋体" w:hAnsi="宋体" w:cs="宋体"/>
                <w:b/>
                <w:bCs/>
                <w:kern w:val="0"/>
                <w:szCs w:val="21"/>
                <w:lang w:bidi="ar"/>
              </w:rPr>
              <w:t>＜</w:t>
            </w:r>
            <w:r>
              <w:rPr>
                <w:rFonts w:hint="eastAsia" w:ascii="宋体" w:hAnsi="宋体" w:cs="宋体"/>
                <w:b/>
                <w:bCs/>
                <w:szCs w:val="21"/>
              </w:rPr>
              <w:t>50,≥30</w:t>
            </w:r>
          </w:p>
        </w:tc>
        <w:tc>
          <w:tcPr>
            <w:tcW w:w="1420" w:type="dxa"/>
            <w:vAlign w:val="center"/>
          </w:tcPr>
          <w:p>
            <w:pPr>
              <w:jc w:val="center"/>
              <w:rPr>
                <w:rFonts w:hint="eastAsia" w:ascii="宋体" w:hAnsi="宋体" w:cs="宋体"/>
                <w:b/>
                <w:bCs/>
                <w:spacing w:val="2"/>
                <w:szCs w:val="21"/>
                <w:lang w:eastAsia="en-US"/>
              </w:rPr>
            </w:pPr>
            <w:r>
              <w:rPr>
                <w:rFonts w:hint="eastAsia" w:ascii="宋体" w:hAnsi="宋体" w:cs="宋体"/>
                <w:b/>
                <w:bCs/>
                <w:kern w:val="0"/>
                <w:szCs w:val="21"/>
                <w:lang w:bidi="ar"/>
              </w:rPr>
              <w:t>＜</w:t>
            </w:r>
            <w:r>
              <w:rPr>
                <w:rFonts w:hint="eastAsia" w:ascii="宋体" w:hAnsi="宋体" w:cs="宋体"/>
                <w:b/>
                <w:bCs/>
                <w:szCs w:val="21"/>
              </w:rPr>
              <w:t>30,≥20</w:t>
            </w:r>
          </w:p>
        </w:tc>
        <w:tc>
          <w:tcPr>
            <w:tcW w:w="1302" w:type="dxa"/>
            <w:vAlign w:val="center"/>
          </w:tcPr>
          <w:p>
            <w:pPr>
              <w:jc w:val="center"/>
              <w:rPr>
                <w:rFonts w:hint="eastAsia" w:ascii="宋体" w:hAnsi="宋体" w:cs="宋体"/>
                <w:b/>
                <w:bCs/>
                <w:spacing w:val="2"/>
                <w:szCs w:val="21"/>
                <w:lang w:eastAsia="en-US"/>
              </w:rPr>
            </w:pPr>
            <w:r>
              <w:rPr>
                <w:rFonts w:hint="eastAsia" w:ascii="宋体" w:hAnsi="宋体" w:cs="宋体"/>
                <w:b/>
                <w:bCs/>
                <w:kern w:val="0"/>
                <w:szCs w:val="21"/>
                <w:lang w:bidi="ar"/>
              </w:rPr>
              <w:t>＜</w:t>
            </w:r>
            <w:r>
              <w:rPr>
                <w:rFonts w:hint="eastAsia" w:ascii="宋体" w:hAnsi="宋体" w:cs="宋体"/>
                <w:b/>
                <w:bCs/>
                <w:szCs w:val="21"/>
              </w:rPr>
              <w:t>20,≥10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jc w:val="center"/>
        </w:trPr>
        <w:tc>
          <w:tcPr>
            <w:tcW w:w="1721"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b/>
                <w:bCs/>
                <w:kern w:val="0"/>
                <w:szCs w:val="21"/>
                <w:lang w:bidi="ar"/>
              </w:rPr>
              <w:t>堤防级别</w:t>
            </w:r>
          </w:p>
        </w:tc>
        <w:tc>
          <w:tcPr>
            <w:tcW w:w="1235"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1</w:t>
            </w:r>
          </w:p>
        </w:tc>
        <w:tc>
          <w:tcPr>
            <w:tcW w:w="1625"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2</w:t>
            </w:r>
          </w:p>
        </w:tc>
        <w:tc>
          <w:tcPr>
            <w:tcW w:w="1570"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3</w:t>
            </w:r>
          </w:p>
        </w:tc>
        <w:tc>
          <w:tcPr>
            <w:tcW w:w="1420"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4</w:t>
            </w:r>
          </w:p>
        </w:tc>
        <w:tc>
          <w:tcPr>
            <w:tcW w:w="1302" w:type="dxa"/>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5</w:t>
            </w:r>
          </w:p>
        </w:tc>
      </w:tr>
    </w:tbl>
    <w:p>
      <w:pPr>
        <w:pStyle w:val="3"/>
        <w:bidi w:val="0"/>
        <w:rPr>
          <w:rFonts w:hint="eastAsia"/>
          <w:highlight w:val="none"/>
          <w:lang w:val="en-US" w:eastAsia="zh-CN"/>
        </w:rPr>
      </w:pPr>
      <w:bookmarkStart w:id="5" w:name="_Toc26186"/>
      <w:r>
        <w:rPr>
          <w:rFonts w:hint="eastAsia"/>
          <w:highlight w:val="none"/>
          <w:lang w:val="en-US" w:eastAsia="zh-CN"/>
        </w:rPr>
        <w:t>附表5：其他技术复杂的招标项目</w:t>
      </w:r>
      <w:bookmarkEnd w:id="5"/>
    </w:p>
    <w:tbl>
      <w:tblPr>
        <w:tblStyle w:val="30"/>
        <w:tblW w:w="88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8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blHeade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序号</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1</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1"/>
                <w:szCs w:val="21"/>
                <w:shd w:val="clear" w:color="auto" w:fill="FFFFFF"/>
              </w:rPr>
            </w:pPr>
            <w:r>
              <w:rPr>
                <w:rFonts w:hint="eastAsia" w:ascii="宋体" w:hAnsi="宋体" w:eastAsia="宋体" w:cs="宋体"/>
                <w:sz w:val="21"/>
                <w:szCs w:val="21"/>
              </w:rPr>
              <w:t>含渡槽、倒虹吸、泵站、隧洞（单洞长度大于1km或隧洞总长超过2km）的渠系工程。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2</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1"/>
                <w:szCs w:val="21"/>
                <w:shd w:val="clear" w:color="auto" w:fill="FFFFFF"/>
              </w:rPr>
            </w:pPr>
            <w:r>
              <w:rPr>
                <w:rFonts w:hint="eastAsia" w:ascii="宋体" w:hAnsi="宋体" w:eastAsia="宋体" w:cs="宋体"/>
                <w:sz w:val="21"/>
                <w:szCs w:val="21"/>
              </w:rPr>
              <w:t>含高边坡、高挡墙、深基坑、桩基础等施工难度大的防洪护岸、库岸整治、河道治理工程。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3</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1"/>
                <w:szCs w:val="21"/>
                <w:shd w:val="clear" w:color="auto" w:fill="FFFFFF"/>
              </w:rPr>
            </w:pPr>
            <w:r>
              <w:rPr>
                <w:rFonts w:hint="eastAsia" w:ascii="宋体" w:hAnsi="宋体" w:eastAsia="宋体" w:cs="宋体"/>
                <w:sz w:val="21"/>
                <w:szCs w:val="21"/>
              </w:rPr>
              <w:t>涉及喀斯特地貌、断层带穿越、涌水突泥风险区、地震高烈度区（≥8度）等地质复杂性较大的水利工程。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4</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设计供水规模大于10000m</w:t>
            </w:r>
            <w:r>
              <w:rPr>
                <w:rFonts w:hint="eastAsia" w:ascii="宋体" w:hAnsi="宋体" w:eastAsia="宋体" w:cs="宋体"/>
                <w:spacing w:val="-2"/>
                <w:sz w:val="21"/>
                <w:szCs w:val="21"/>
                <w:vertAlign w:val="superscript"/>
              </w:rPr>
              <w:t>3</w:t>
            </w:r>
            <w:r>
              <w:rPr>
                <w:rFonts w:hint="eastAsia" w:ascii="宋体" w:hAnsi="宋体" w:eastAsia="宋体" w:cs="宋体"/>
                <w:sz w:val="21"/>
                <w:szCs w:val="21"/>
              </w:rPr>
              <w:t>/d，含净化消毒设施设备的Ⅰ型集中式供水工程，高海拔2000米以上地区及含管道（管径φ315及以上）、渠道（流量1m</w:t>
            </w:r>
            <w:r>
              <w:rPr>
                <w:rFonts w:hint="eastAsia" w:ascii="宋体" w:hAnsi="宋体" w:eastAsia="宋体" w:cs="宋体"/>
                <w:sz w:val="21"/>
                <w:szCs w:val="21"/>
                <w:vertAlign w:val="superscript"/>
                <w:lang w:bidi="ar"/>
              </w:rPr>
              <w:t>3</w:t>
            </w:r>
            <w:r>
              <w:rPr>
                <w:rFonts w:hint="eastAsia" w:ascii="宋体" w:hAnsi="宋体" w:eastAsia="宋体" w:cs="宋体"/>
                <w:sz w:val="21"/>
                <w:szCs w:val="21"/>
              </w:rPr>
              <w:t>/s及以上）的输配水工程。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5"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5</w:t>
            </w:r>
          </w:p>
        </w:tc>
        <w:tc>
          <w:tcPr>
            <w:tcW w:w="8051" w:type="dxa"/>
            <w:vAlign w:val="center"/>
          </w:tcPr>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其他经水行政主管部门认定为技术复杂的项目等。</w:t>
            </w:r>
          </w:p>
        </w:tc>
      </w:tr>
    </w:tbl>
    <w:p>
      <w:pPr>
        <w:pStyle w:val="3"/>
        <w:bidi w:val="0"/>
        <w:rPr>
          <w:rFonts w:hint="eastAsia"/>
          <w:highlight w:val="none"/>
          <w:lang w:val="en-US" w:eastAsia="zh-CN"/>
        </w:rPr>
      </w:pPr>
      <w:bookmarkStart w:id="6" w:name="_Toc10487"/>
      <w:r>
        <w:rPr>
          <w:rFonts w:hint="eastAsia"/>
          <w:highlight w:val="none"/>
          <w:lang w:val="en-US" w:eastAsia="zh-CN"/>
        </w:rPr>
        <w:t>附表6：勘察设计项目中常见难点与关键点</w:t>
      </w:r>
      <w:bookmarkEnd w:id="6"/>
    </w:p>
    <w:tbl>
      <w:tblPr>
        <w:tblStyle w:val="29"/>
        <w:tblW w:w="8844" w:type="dxa"/>
        <w:tblInd w:w="4"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FFFFFF"/>
        <w:tblLayout w:type="fixed"/>
        <w:tblCellMar>
          <w:top w:w="15" w:type="dxa"/>
          <w:left w:w="15" w:type="dxa"/>
          <w:bottom w:w="15" w:type="dxa"/>
          <w:right w:w="15" w:type="dxa"/>
        </w:tblCellMar>
      </w:tblPr>
      <w:tblGrid>
        <w:gridCol w:w="1313"/>
        <w:gridCol w:w="3668"/>
        <w:gridCol w:w="3863"/>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FFFFFF"/>
          <w:tblLayout w:type="fixed"/>
          <w:tblCellMar>
            <w:top w:w="15" w:type="dxa"/>
            <w:left w:w="15" w:type="dxa"/>
            <w:bottom w:w="15" w:type="dxa"/>
            <w:right w:w="15" w:type="dxa"/>
          </w:tblCellMar>
        </w:tblPrEx>
        <w:trPr>
          <w:tblHeader/>
        </w:trPr>
        <w:tc>
          <w:tcPr>
            <w:tcW w:w="1313" w:type="dxa"/>
            <w:shd w:val="clear" w:color="auto" w:fill="auto"/>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项目类型</w:t>
            </w:r>
          </w:p>
        </w:tc>
        <w:tc>
          <w:tcPr>
            <w:tcW w:w="3668" w:type="dxa"/>
            <w:shd w:val="clear" w:color="auto" w:fill="auto"/>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主要难点</w:t>
            </w:r>
          </w:p>
        </w:tc>
        <w:tc>
          <w:tcPr>
            <w:tcW w:w="3863" w:type="dxa"/>
            <w:shd w:val="clear" w:color="auto" w:fill="auto"/>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关键设计要点</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FFFFFF"/>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水库工程</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地质条件复杂（断层、岩溶、软弱夹层等）</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库区淹没与移民安置复杂</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大坝抗滑稳定、渗流控制、抗震安全</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多沙河流的泥沙淤积问题</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对地质与生态环境的潜在影响（滑坡、诱发地震、生态阻断</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1.坝址与坝型优选（重力坝、拱坝、土石坝</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2.水文与调洪演算（设计洪水位、泄洪设施</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3.防渗系统设计（帷幕灌浆、防渗墙</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4.抗震动力分析与设计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5.生态流量保障设施（生态泄水孔、鱼道</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堤防与河道整治</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eastAsiaTheme="minorEastAsia"/>
                <w:color w:val="0F1115"/>
                <w:kern w:val="2"/>
                <w:sz w:val="21"/>
                <w:szCs w:val="21"/>
                <w:lang w:val="en-US" w:eastAsia="zh-CN" w:bidi="ar-SA"/>
              </w:rPr>
              <w:t>1.</w:t>
            </w:r>
            <w:r>
              <w:rPr>
                <w:rFonts w:hint="default" w:ascii="Times New Roman" w:hAnsi="Times New Roman" w:cs="Times New Roman"/>
                <w:color w:val="0F1115"/>
                <w:sz w:val="21"/>
                <w:szCs w:val="21"/>
                <w:highlight w:val="none"/>
              </w:rPr>
              <w:t>水文泥沙条件多变，河势不稳定</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eastAsiaTheme="minorEastAsia"/>
                <w:color w:val="0F1115"/>
                <w:kern w:val="2"/>
                <w:sz w:val="21"/>
                <w:szCs w:val="21"/>
                <w:lang w:val="en-US" w:eastAsia="zh-CN" w:bidi="ar-SA"/>
              </w:rPr>
              <w:t>2.</w:t>
            </w:r>
            <w:r>
              <w:rPr>
                <w:rFonts w:hint="default" w:ascii="Times New Roman" w:hAnsi="Times New Roman" w:cs="Times New Roman"/>
                <w:color w:val="0F1115"/>
                <w:sz w:val="21"/>
                <w:szCs w:val="21"/>
                <w:highlight w:val="none"/>
              </w:rPr>
              <w:t>软基、透水层等地基处理复杂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3.生态护岸与传统工程结构的协调</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4.城市段多目标约束（防洪、景观、市政</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1.河道水力模拟与行洪断面设计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2.护岸结构选型与防冲设计（生态护坡、抛石护脚</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3.防渗与加固处理（防渗墙、土工合成材料</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4.整治线规划与河势控制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5.安全监测系统设计（位移、渗流监测</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FFFFFF"/>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引调水工程</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长线路地质条件多变（隧洞围岩、软土沉降</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多建筑物水力衔接与调控复杂</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长距离输水水质保障</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跨流域调水的生态影响</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线路综合比选（地形、地质、社会经济</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泵站与渠系优化设计（扬程、流量、水力衔接</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关键建筑物设计（隧洞支护、渡槽结构、倒虹吸</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水质保护与监控系统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5.生态补水与补偿设施</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灌排工程</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numPr>
                <w:ilvl w:val="0"/>
                <w:numId w:val="4"/>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水资源优化配置与平衡</w:t>
            </w:r>
          </w:p>
          <w:p>
            <w:pPr>
              <w:keepNext w:val="0"/>
              <w:keepLines w:val="0"/>
              <w:pageBreakBefore w:val="0"/>
              <w:widowControl/>
              <w:numPr>
                <w:ilvl w:val="0"/>
                <w:numId w:val="4"/>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盐碱化与涝渍防治</w:t>
            </w:r>
          </w:p>
          <w:p>
            <w:pPr>
              <w:keepNext w:val="0"/>
              <w:keepLines w:val="0"/>
              <w:pageBreakBefore w:val="0"/>
              <w:widowControl/>
              <w:numPr>
                <w:ilvl w:val="0"/>
                <w:numId w:val="4"/>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田间工程精细化与地形适应</w:t>
            </w:r>
          </w:p>
          <w:p>
            <w:pPr>
              <w:keepNext w:val="0"/>
              <w:keepLines w:val="0"/>
              <w:pageBreakBefore w:val="0"/>
              <w:widowControl/>
              <w:numPr>
                <w:ilvl w:val="0"/>
                <w:numId w:val="4"/>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渠系渗漏与建筑物老化</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灌溉制度与水量平衡分析</w:t>
            </w:r>
          </w:p>
          <w:p>
            <w:pPr>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节水灌溉系统设计（管道化、喷滴灌</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排水系统设计（明沟、暗管、地下水位控制</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渠系布局与防渗设计</w:t>
            </w:r>
          </w:p>
          <w:p>
            <w:pPr>
              <w:keepNext w:val="0"/>
              <w:keepLines w:val="0"/>
              <w:pageBreakBefore w:val="0"/>
              <w:widowControl/>
              <w:numPr>
                <w:ilvl w:val="0"/>
                <w:numId w:val="5"/>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配套建筑物设计（分水闸、量水设施</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水电站工程</w:t>
            </w:r>
            <w:r>
              <w:rPr>
                <w:rFonts w:hint="default" w:ascii="Times New Roman" w:hAnsi="Times New Roman" w:cs="Times New Roman"/>
                <w:b/>
                <w:bCs/>
                <w:color w:val="0F1115"/>
                <w:sz w:val="21"/>
                <w:szCs w:val="21"/>
                <w:highlight w:val="none"/>
              </w:rPr>
              <w:br w:type="textWrapping"/>
            </w:r>
            <w:r>
              <w:rPr>
                <w:rFonts w:hint="default" w:ascii="Times New Roman" w:hAnsi="Times New Roman" w:cs="Times New Roman"/>
                <w:b/>
                <w:bCs/>
                <w:color w:val="0F1115"/>
                <w:sz w:val="21"/>
                <w:szCs w:val="21"/>
                <w:highlight w:val="none"/>
              </w:rPr>
              <w:t>（含抽水蓄能）</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1.高水头压力结构安全（管道、调压井</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2.地下厂房围岩稳定与高边坡处理</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3.水力机械选型适应复杂运行条件</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4.电网接入与运行调度协调</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1.开发方式与厂坝布置优化</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2.高压输水系统设计（线路、衬砌、支护</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3.调保计算与调压设施设计</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4.厂房与开关站布置（通风、防洪、防潮</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5.减缓和补偿生态影响措施（鱼道、生态流量</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tabs>
                <w:tab w:val="left" w:pos="1050"/>
              </w:tabs>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水土保持工程</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1.措施需适应多样侵蚀类型</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2.生态恢复长期性与不确定性</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3.小型工程分散，设计标准化难</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1.小流域综合治理规划（坡面-沟道-河道体系</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2.拦沙工程设计（谷坊、拦沙坝</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3.坡面防护工程（梯田、鱼鳞坑、截水沟</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4.林草措施优化配置</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5.监测站点布设与效益评价</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1313" w:type="dxa"/>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F1115"/>
                <w:sz w:val="21"/>
                <w:szCs w:val="21"/>
                <w:highlight w:val="none"/>
              </w:rPr>
            </w:pPr>
            <w:r>
              <w:rPr>
                <w:rFonts w:hint="default" w:ascii="Times New Roman" w:hAnsi="Times New Roman" w:cs="Times New Roman"/>
                <w:b/>
                <w:bCs/>
                <w:color w:val="0F1115"/>
                <w:sz w:val="21"/>
                <w:szCs w:val="21"/>
                <w:highlight w:val="none"/>
              </w:rPr>
              <w:t>港口与航道工程</w:t>
            </w:r>
          </w:p>
        </w:tc>
        <w:tc>
          <w:tcPr>
            <w:tcW w:w="3668" w:type="dxa"/>
            <w:shd w:val="clear" w:color="auto" w:fill="FFFFFF"/>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1.复杂水文泥沙（潮汐、波浪、淤积</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2.沿海深厚软基处理</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3.结构耐久性（腐蚀、撞击、冰凌</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4.通航安全与交通管理</w:t>
            </w:r>
          </w:p>
        </w:tc>
        <w:tc>
          <w:tcPr>
            <w:tcW w:w="3863" w:type="dxa"/>
            <w:shd w:val="clear" w:color="auto" w:fill="FFFFFF"/>
            <w:tcMar>
              <w:top w:w="150" w:type="dxa"/>
              <w:left w:w="240" w:type="dxa"/>
              <w:bottom w:w="150" w:type="dxa"/>
              <w:right w:w="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rPr>
              <w:t>1.港区总平面布局优化</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2.航道选线与疏浚设计</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3.码头结构选型与地基处理</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4.防护建筑物设计（防波堤、护岸</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r>
              <w:rPr>
                <w:rFonts w:hint="default" w:ascii="Times New Roman" w:hAnsi="Times New Roman" w:cs="Times New Roman"/>
                <w:color w:val="0F1115"/>
                <w:sz w:val="21"/>
                <w:szCs w:val="21"/>
                <w:highlight w:val="none"/>
              </w:rPr>
              <w:br w:type="textWrapping"/>
            </w:r>
            <w:r>
              <w:rPr>
                <w:rFonts w:hint="default" w:ascii="Times New Roman" w:hAnsi="Times New Roman" w:cs="Times New Roman"/>
                <w:color w:val="0F1115"/>
                <w:sz w:val="21"/>
                <w:szCs w:val="21"/>
                <w:highlight w:val="none"/>
              </w:rPr>
              <w:t>5.助航设施配置（航标、灯塔</w:t>
            </w:r>
            <w:r>
              <w:rPr>
                <w:rFonts w:hint="default" w:ascii="Times New Roman" w:hAnsi="Times New Roman" w:cs="Times New Roman"/>
                <w:color w:val="0F1115"/>
                <w:sz w:val="21"/>
                <w:szCs w:val="21"/>
                <w:highlight w:val="none"/>
                <w:lang w:val="en-US" w:eastAsia="zh-CN"/>
              </w:rPr>
              <w:t>等</w:t>
            </w:r>
            <w:r>
              <w:rPr>
                <w:rFonts w:hint="default" w:ascii="Times New Roman" w:hAnsi="Times New Roman" w:cs="Times New Roman"/>
                <w:color w:val="0F1115"/>
                <w:sz w:val="21"/>
                <w:szCs w:val="21"/>
                <w:highlight w:val="none"/>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5" w:type="dxa"/>
            <w:left w:w="15" w:type="dxa"/>
            <w:bottom w:w="15" w:type="dxa"/>
            <w:right w:w="15" w:type="dxa"/>
          </w:tblCellMar>
        </w:tblPrEx>
        <w:tc>
          <w:tcPr>
            <w:tcW w:w="8844" w:type="dxa"/>
            <w:gridSpan w:val="3"/>
            <w:shd w:val="clear" w:color="auto" w:fill="FFFFFF"/>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F1115"/>
                <w:sz w:val="21"/>
                <w:szCs w:val="21"/>
                <w:highlight w:val="none"/>
              </w:rPr>
            </w:pPr>
            <w:r>
              <w:rPr>
                <w:rFonts w:hint="default" w:ascii="Times New Roman" w:hAnsi="Times New Roman" w:cs="Times New Roman"/>
                <w:color w:val="0F1115"/>
                <w:sz w:val="21"/>
                <w:szCs w:val="21"/>
                <w:highlight w:val="none"/>
                <w:lang w:val="en-US" w:eastAsia="zh-CN"/>
              </w:rPr>
              <w:t>备注：其他类型项目的难点与关键点由招标人自行制定并在招标文件中明确。</w:t>
            </w:r>
          </w:p>
        </w:tc>
      </w:tr>
    </w:tbl>
    <w:p>
      <w:pPr>
        <w:pStyle w:val="17"/>
        <w:ind w:left="0" w:leftChars="0" w:firstLine="0" w:firstLineChars="0"/>
        <w:rPr>
          <w:rFonts w:hint="eastAsia"/>
        </w:rPr>
      </w:pPr>
    </w:p>
    <w:p>
      <w:pPr>
        <w:pStyle w:val="17"/>
        <w:rPr>
          <w:rFonts w:hint="eastAsia"/>
        </w:rPr>
      </w:pPr>
    </w:p>
    <w:p>
      <w:pPr>
        <w:rPr>
          <w:rFonts w:hint="eastAsia"/>
          <w:sz w:val="24"/>
          <w:szCs w:val="24"/>
        </w:rPr>
        <w:sectPr>
          <w:footerReference r:id="rId4" w:type="default"/>
          <w:pgSz w:w="11906" w:h="16838"/>
          <w:pgMar w:top="1440" w:right="1531" w:bottom="1118" w:left="1531" w:header="851" w:footer="992" w:gutter="0"/>
          <w:pgNumType w:fmt="lowerRoman" w:start="1"/>
          <w:cols w:space="425" w:num="1"/>
          <w:docGrid w:type="lines" w:linePitch="312" w:charSpace="0"/>
        </w:sectPr>
      </w:pPr>
    </w:p>
    <w:p>
      <w:pPr>
        <w:rPr>
          <w:rFonts w:hint="eastAsia"/>
          <w:sz w:val="24"/>
          <w:szCs w:val="24"/>
        </w:rPr>
      </w:pPr>
    </w:p>
    <w:p>
      <w:pPr>
        <w:pStyle w:val="17"/>
      </w:pPr>
    </w:p>
    <w:p>
      <w:pPr>
        <w:widowControl/>
        <w:shd w:val="clear" w:color="auto" w:fill="FFFFFF"/>
        <w:snapToGrid w:val="0"/>
        <w:ind w:firstLine="643" w:firstLineChars="200"/>
        <w:jc w:val="center"/>
        <w:rPr>
          <w:b/>
          <w:sz w:val="32"/>
          <w:szCs w:val="32"/>
        </w:rPr>
      </w:pPr>
    </w:p>
    <w:p>
      <w:pPr>
        <w:pStyle w:val="17"/>
      </w:pPr>
    </w:p>
    <w:p>
      <w:pPr>
        <w:widowControl/>
        <w:shd w:val="clear" w:color="auto" w:fill="FFFFFF"/>
        <w:snapToGrid w:val="0"/>
        <w:ind w:firstLine="1040" w:firstLineChars="200"/>
        <w:jc w:val="both"/>
        <w:rPr>
          <w:b/>
          <w:sz w:val="32"/>
          <w:szCs w:val="32"/>
        </w:rPr>
      </w:pPr>
      <w:r>
        <w:rPr>
          <w:rFonts w:hint="default"/>
          <w:color w:val="auto"/>
          <w:sz w:val="52"/>
          <w:szCs w:val="52"/>
          <w:u w:val="single"/>
        </w:rPr>
        <w:t xml:space="preserve">       </w:t>
      </w:r>
      <w:r>
        <w:rPr>
          <w:rFonts w:hint="eastAsia" w:eastAsia="宋体" w:cs="Times New Roman"/>
          <w:color w:val="auto"/>
          <w:sz w:val="52"/>
          <w:szCs w:val="52"/>
          <w:u w:val="single" w:color="auto"/>
        </w:rPr>
        <w:t>（项目名称）</w:t>
      </w:r>
      <w:r>
        <w:rPr>
          <w:rFonts w:hint="default" w:eastAsia="宋体" w:cs="Times New Roman"/>
          <w:color w:val="auto"/>
          <w:sz w:val="52"/>
          <w:szCs w:val="52"/>
          <w:u w:val="single" w:color="auto"/>
        </w:rPr>
        <w:t xml:space="preserve">     </w:t>
      </w:r>
    </w:p>
    <w:p>
      <w:pPr>
        <w:widowControl/>
        <w:shd w:val="clear" w:color="auto" w:fill="FFFFFF"/>
        <w:snapToGrid w:val="0"/>
        <w:ind w:firstLine="643" w:firstLineChars="200"/>
        <w:jc w:val="center"/>
        <w:rPr>
          <w:b/>
          <w:sz w:val="32"/>
          <w:szCs w:val="32"/>
        </w:rPr>
      </w:pPr>
    </w:p>
    <w:p>
      <w:pPr>
        <w:widowControl/>
        <w:shd w:val="clear" w:color="auto" w:fill="FFFFFF"/>
        <w:snapToGrid w:val="0"/>
        <w:ind w:firstLine="643" w:firstLineChars="200"/>
        <w:jc w:val="center"/>
        <w:rPr>
          <w:b/>
          <w:sz w:val="32"/>
          <w:szCs w:val="32"/>
        </w:rPr>
      </w:pPr>
    </w:p>
    <w:p>
      <w:pPr>
        <w:widowControl/>
        <w:shd w:val="clear" w:color="auto" w:fill="FFFFFF"/>
        <w:snapToGrid w:val="0"/>
        <w:ind w:firstLine="643" w:firstLineChars="200"/>
        <w:jc w:val="center"/>
        <w:rPr>
          <w:b/>
          <w:sz w:val="32"/>
          <w:szCs w:val="32"/>
        </w:rPr>
      </w:pPr>
    </w:p>
    <w:p>
      <w:pPr>
        <w:widowControl/>
        <w:shd w:val="clear" w:color="auto" w:fill="FFFFFF"/>
        <w:snapToGrid w:val="0"/>
        <w:ind w:firstLine="0" w:firstLineChars="0"/>
        <w:jc w:val="center"/>
        <w:rPr>
          <w:rFonts w:hint="eastAsia"/>
          <w:b/>
          <w:sz w:val="52"/>
          <w:szCs w:val="52"/>
        </w:rPr>
      </w:pPr>
      <w:r>
        <w:rPr>
          <w:rFonts w:hint="eastAsia"/>
          <w:b/>
          <w:sz w:val="52"/>
          <w:szCs w:val="52"/>
        </w:rPr>
        <w:t>招标文件</w:t>
      </w:r>
    </w:p>
    <w:p>
      <w:pPr>
        <w:pStyle w:val="17"/>
      </w:pPr>
    </w:p>
    <w:p>
      <w:pPr>
        <w:widowControl/>
        <w:shd w:val="clear" w:color="auto" w:fill="FFFFFF"/>
        <w:snapToGrid w:val="0"/>
        <w:spacing w:line="480" w:lineRule="auto"/>
        <w:ind w:firstLine="2570" w:firstLineChars="800"/>
        <w:jc w:val="both"/>
        <w:rPr>
          <w:rFonts w:hint="default" w:eastAsia="宋体" w:cs="Times New Roman"/>
          <w:b/>
          <w:sz w:val="32"/>
          <w:szCs w:val="32"/>
        </w:rPr>
      </w:pPr>
      <w:r>
        <w:rPr>
          <w:rFonts w:hint="eastAsia" w:eastAsia="宋体" w:cs="Times New Roman"/>
          <w:b/>
          <w:sz w:val="32"/>
          <w:szCs w:val="32"/>
        </w:rPr>
        <w:t>招标</w:t>
      </w:r>
      <w:r>
        <w:rPr>
          <w:rFonts w:hint="eastAsia" w:eastAsia="宋体" w:cs="Times New Roman"/>
          <w:b/>
          <w:sz w:val="32"/>
          <w:szCs w:val="32"/>
          <w:lang w:val="en-US" w:eastAsia="zh-Hans"/>
        </w:rPr>
        <w:t>项目</w:t>
      </w:r>
      <w:r>
        <w:rPr>
          <w:rFonts w:hint="eastAsia" w:eastAsia="宋体" w:cs="Times New Roman"/>
          <w:b/>
          <w:sz w:val="32"/>
          <w:szCs w:val="32"/>
        </w:rPr>
        <w:t>编号：</w:t>
      </w:r>
      <w:r>
        <w:rPr>
          <w:rFonts w:hint="default" w:eastAsia="宋体" w:cs="Times New Roman"/>
          <w:b/>
          <w:sz w:val="32"/>
          <w:szCs w:val="32"/>
          <w:u w:val="single"/>
        </w:rPr>
        <w:t xml:space="preserve">            </w:t>
      </w:r>
    </w:p>
    <w:p>
      <w:pPr>
        <w:widowControl/>
        <w:shd w:val="clear" w:color="auto" w:fill="FFFFFF"/>
        <w:snapToGrid w:val="0"/>
        <w:ind w:firstLine="562" w:firstLineChars="200"/>
        <w:jc w:val="center"/>
        <w:rPr>
          <w:b/>
          <w:sz w:val="28"/>
          <w:szCs w:val="28"/>
        </w:rPr>
      </w:pPr>
    </w:p>
    <w:p>
      <w:pPr>
        <w:widowControl/>
        <w:shd w:val="clear" w:color="auto" w:fill="FFFFFF"/>
        <w:snapToGrid w:val="0"/>
        <w:ind w:firstLine="0" w:firstLineChars="0"/>
        <w:jc w:val="both"/>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562" w:firstLineChars="200"/>
        <w:jc w:val="center"/>
        <w:rPr>
          <w:b/>
          <w:sz w:val="28"/>
          <w:szCs w:val="28"/>
        </w:rPr>
      </w:pPr>
    </w:p>
    <w:p>
      <w:pPr>
        <w:widowControl/>
        <w:shd w:val="clear" w:color="auto" w:fill="FFFFFF"/>
        <w:snapToGrid w:val="0"/>
        <w:ind w:firstLine="643" w:firstLineChars="200"/>
        <w:jc w:val="center"/>
        <w:rPr>
          <w:b/>
          <w:sz w:val="32"/>
          <w:szCs w:val="32"/>
        </w:rPr>
      </w:pPr>
      <w:r>
        <w:rPr>
          <w:rFonts w:hint="eastAsia"/>
          <w:b/>
          <w:sz w:val="32"/>
          <w:szCs w:val="32"/>
        </w:rPr>
        <w:t>招</w:t>
      </w:r>
      <w:r>
        <w:rPr>
          <w:rFonts w:hint="default"/>
          <w:b/>
          <w:sz w:val="32"/>
          <w:szCs w:val="32"/>
        </w:rPr>
        <w:t xml:space="preserve">   </w:t>
      </w:r>
      <w:r>
        <w:rPr>
          <w:rFonts w:hint="eastAsia"/>
          <w:b/>
          <w:sz w:val="32"/>
          <w:szCs w:val="32"/>
        </w:rPr>
        <w:t>标</w:t>
      </w:r>
      <w:r>
        <w:rPr>
          <w:rFonts w:hint="default"/>
          <w:b/>
          <w:sz w:val="32"/>
          <w:szCs w:val="32"/>
        </w:rPr>
        <w:t xml:space="preserve">   </w:t>
      </w:r>
      <w:r>
        <w:rPr>
          <w:rFonts w:hint="eastAsia"/>
          <w:b/>
          <w:sz w:val="32"/>
          <w:szCs w:val="32"/>
        </w:rPr>
        <w:t>人：</w:t>
      </w:r>
      <w:r>
        <w:rPr>
          <w:rFonts w:hint="default" w:eastAsia="宋体" w:cs="Times New Roman"/>
          <w:color w:val="auto"/>
          <w:szCs w:val="21"/>
          <w:u w:val="single" w:color="auto"/>
        </w:rPr>
        <w:t xml:space="preserve">                            </w:t>
      </w:r>
      <w:r>
        <w:rPr>
          <w:rFonts w:hint="eastAsia"/>
          <w:b/>
          <w:sz w:val="32"/>
          <w:szCs w:val="32"/>
        </w:rPr>
        <w:t>（盖单位</w:t>
      </w:r>
      <w:r>
        <w:rPr>
          <w:rFonts w:hint="eastAsia"/>
          <w:b/>
          <w:sz w:val="32"/>
          <w:szCs w:val="32"/>
          <w:lang w:val="en-US" w:eastAsia="zh-CN"/>
        </w:rPr>
        <w:t>公</w:t>
      </w:r>
      <w:r>
        <w:rPr>
          <w:rFonts w:hint="eastAsia"/>
          <w:b/>
          <w:sz w:val="32"/>
          <w:szCs w:val="32"/>
        </w:rPr>
        <w:t>章）</w:t>
      </w:r>
    </w:p>
    <w:p>
      <w:pPr>
        <w:widowControl/>
        <w:shd w:val="clear" w:color="auto" w:fill="FFFFFF"/>
        <w:snapToGrid w:val="0"/>
        <w:ind w:firstLine="643" w:firstLineChars="200"/>
        <w:jc w:val="center"/>
        <w:rPr>
          <w:b/>
          <w:sz w:val="32"/>
          <w:szCs w:val="32"/>
        </w:rPr>
      </w:pPr>
      <w:r>
        <w:rPr>
          <w:rFonts w:hint="eastAsia"/>
          <w:b/>
          <w:sz w:val="32"/>
          <w:szCs w:val="32"/>
        </w:rPr>
        <w:t>招标代理机构：</w:t>
      </w:r>
      <w:r>
        <w:rPr>
          <w:rFonts w:hint="default" w:eastAsia="宋体" w:cs="Times New Roman"/>
          <w:color w:val="auto"/>
          <w:szCs w:val="21"/>
          <w:u w:val="single" w:color="auto"/>
        </w:rPr>
        <w:t xml:space="preserve">                            </w:t>
      </w:r>
      <w:r>
        <w:rPr>
          <w:rFonts w:hint="eastAsia"/>
          <w:b/>
          <w:sz w:val="32"/>
          <w:szCs w:val="32"/>
        </w:rPr>
        <w:t>（盖单位</w:t>
      </w:r>
      <w:r>
        <w:rPr>
          <w:rFonts w:hint="eastAsia"/>
          <w:b/>
          <w:sz w:val="32"/>
          <w:szCs w:val="32"/>
          <w:lang w:val="en-US" w:eastAsia="zh-CN"/>
        </w:rPr>
        <w:t>公</w:t>
      </w:r>
      <w:r>
        <w:rPr>
          <w:rFonts w:hint="eastAsia"/>
          <w:b/>
          <w:sz w:val="32"/>
          <w:szCs w:val="32"/>
        </w:rPr>
        <w:t>章）</w:t>
      </w:r>
    </w:p>
    <w:p>
      <w:pPr>
        <w:widowControl/>
        <w:shd w:val="clear" w:color="auto" w:fill="FFFFFF"/>
        <w:snapToGrid w:val="0"/>
        <w:ind w:firstLine="643" w:firstLineChars="200"/>
        <w:jc w:val="center"/>
        <w:rPr>
          <w:b/>
          <w:sz w:val="32"/>
          <w:szCs w:val="32"/>
        </w:rPr>
      </w:pPr>
    </w:p>
    <w:p>
      <w:pPr>
        <w:widowControl/>
        <w:shd w:val="clear" w:color="auto" w:fill="FFFFFF"/>
        <w:snapToGrid w:val="0"/>
        <w:ind w:firstLine="420" w:firstLineChars="200"/>
        <w:jc w:val="center"/>
        <w:rPr>
          <w:rFonts w:hint="eastAsia"/>
          <w:b/>
          <w:sz w:val="32"/>
          <w:szCs w:val="32"/>
        </w:rPr>
      </w:pPr>
      <w:r>
        <w:rPr>
          <w:rFonts w:hint="default" w:eastAsia="宋体" w:cs="Times New Roman"/>
          <w:color w:val="auto"/>
          <w:szCs w:val="21"/>
          <w:u w:val="single" w:color="auto"/>
        </w:rPr>
        <w:t xml:space="preserve">          </w:t>
      </w:r>
      <w:r>
        <w:rPr>
          <w:rFonts w:hint="eastAsia"/>
          <w:b/>
          <w:sz w:val="32"/>
          <w:szCs w:val="32"/>
        </w:rPr>
        <w:t>年</w:t>
      </w:r>
      <w:r>
        <w:rPr>
          <w:rFonts w:hint="default" w:eastAsia="宋体" w:cs="Times New Roman"/>
          <w:color w:val="auto"/>
          <w:szCs w:val="21"/>
          <w:u w:val="single" w:color="auto"/>
        </w:rPr>
        <w:t xml:space="preserve">         </w:t>
      </w:r>
      <w:r>
        <w:rPr>
          <w:rFonts w:hint="eastAsia"/>
          <w:b/>
          <w:sz w:val="32"/>
          <w:szCs w:val="32"/>
        </w:rPr>
        <w:t>月</w:t>
      </w:r>
      <w:r>
        <w:rPr>
          <w:rFonts w:hint="default" w:eastAsia="宋体" w:cs="Times New Roman"/>
          <w:color w:val="auto"/>
          <w:szCs w:val="21"/>
          <w:u w:val="single" w:color="auto"/>
        </w:rPr>
        <w:t xml:space="preserve">        </w:t>
      </w:r>
      <w:r>
        <w:rPr>
          <w:rFonts w:hint="eastAsia"/>
          <w:b/>
          <w:sz w:val="32"/>
          <w:szCs w:val="32"/>
        </w:rPr>
        <w:t>日</w:t>
      </w:r>
    </w:p>
    <w:p>
      <w:pPr>
        <w:widowControl/>
        <w:shd w:val="clear" w:color="auto" w:fill="FFFFFF"/>
        <w:snapToGrid w:val="0"/>
        <w:ind w:firstLine="723" w:firstLineChars="200"/>
        <w:jc w:val="center"/>
        <w:rPr>
          <w:rFonts w:hint="eastAsia"/>
          <w:b/>
          <w:sz w:val="36"/>
          <w:szCs w:val="36"/>
        </w:rPr>
        <w:sectPr>
          <w:footerReference r:id="rId5" w:type="default"/>
          <w:pgSz w:w="11906" w:h="16838"/>
          <w:pgMar w:top="1440" w:right="1531" w:bottom="1118" w:left="1531" w:header="851" w:footer="992" w:gutter="0"/>
          <w:pgNumType w:fmt="upperRoman" w:start="1"/>
          <w:cols w:space="425" w:num="1"/>
          <w:docGrid w:type="lines" w:linePitch="312" w:charSpace="0"/>
        </w:sectPr>
      </w:pPr>
    </w:p>
    <w:p>
      <w:pPr>
        <w:widowControl/>
        <w:shd w:val="clear" w:color="auto" w:fill="FFFFFF"/>
        <w:snapToGrid w:val="0"/>
        <w:ind w:firstLine="723" w:firstLineChars="200"/>
        <w:jc w:val="center"/>
        <w:rPr>
          <w:b/>
          <w:sz w:val="36"/>
          <w:szCs w:val="36"/>
        </w:rPr>
      </w:pPr>
      <w:r>
        <w:rPr>
          <w:rFonts w:hint="eastAsia"/>
          <w:b/>
          <w:sz w:val="36"/>
          <w:szCs w:val="36"/>
        </w:rPr>
        <w:t>目 录</w:t>
      </w:r>
    </w:p>
    <w:p>
      <w:pPr>
        <w:pStyle w:val="19"/>
        <w:tabs>
          <w:tab w:val="right" w:leader="dot" w:pos="8844"/>
        </w:tabs>
      </w:pPr>
      <w:r>
        <w:rPr>
          <w:rFonts w:asciiTheme="minorEastAsia" w:hAnsiTheme="minorEastAsia"/>
          <w:i w:val="0"/>
          <w:iCs w:val="0"/>
          <w:sz w:val="21"/>
          <w:szCs w:val="21"/>
        </w:rPr>
        <w:fldChar w:fldCharType="begin"/>
      </w:r>
      <w:r>
        <w:rPr>
          <w:rFonts w:asciiTheme="minorEastAsia" w:hAnsiTheme="minorEastAsia"/>
          <w:i w:val="0"/>
          <w:iCs w:val="0"/>
          <w:sz w:val="21"/>
          <w:szCs w:val="21"/>
        </w:rPr>
        <w:instrText xml:space="preserve"> TOC \o "1-3" \h \z \u </w:instrText>
      </w:r>
      <w:r>
        <w:rPr>
          <w:rFonts w:asciiTheme="minorEastAsia" w:hAnsiTheme="minorEastAsia"/>
          <w:i w:val="0"/>
          <w:iCs w:val="0"/>
          <w:sz w:val="21"/>
          <w:szCs w:val="21"/>
        </w:rPr>
        <w:fldChar w:fldCharType="separate"/>
      </w:r>
      <w:r>
        <w:rPr>
          <w:rFonts w:asciiTheme="minorEastAsia" w:hAnsiTheme="minorEastAsia"/>
          <w:i w:val="0"/>
          <w:iCs w:val="0"/>
          <w:szCs w:val="21"/>
        </w:rPr>
        <w:fldChar w:fldCharType="begin"/>
      </w:r>
      <w:r>
        <w:rPr>
          <w:rFonts w:asciiTheme="minorEastAsia" w:hAnsiTheme="minorEastAsia"/>
          <w:i w:val="0"/>
          <w:iCs w:val="0"/>
          <w:szCs w:val="21"/>
        </w:rPr>
        <w:instrText xml:space="preserve"> HYPERLINK \l _Toc24456 </w:instrText>
      </w:r>
      <w:r>
        <w:rPr>
          <w:rFonts w:asciiTheme="minorEastAsia" w:hAnsiTheme="minorEastAsia"/>
          <w:i w:val="0"/>
          <w:iCs w:val="0"/>
          <w:szCs w:val="21"/>
        </w:rPr>
        <w:fldChar w:fldCharType="separate"/>
      </w:r>
      <w:r>
        <w:rPr>
          <w:rFonts w:hint="eastAsia" w:asciiTheme="majorEastAsia" w:hAnsiTheme="majorEastAsia" w:eastAsiaTheme="majorEastAsia"/>
          <w:szCs w:val="52"/>
        </w:rPr>
        <w:t>使用说明</w:t>
      </w:r>
      <w:r>
        <w:tab/>
      </w:r>
      <w:r>
        <w:fldChar w:fldCharType="begin"/>
      </w:r>
      <w:r>
        <w:instrText xml:space="preserve"> PAGEREF _Toc24456 \h </w:instrText>
      </w:r>
      <w:r>
        <w:fldChar w:fldCharType="separate"/>
      </w:r>
      <w:r>
        <w:t>i</w:t>
      </w:r>
      <w:r>
        <w:fldChar w:fldCharType="end"/>
      </w:r>
      <w:r>
        <w:rPr>
          <w:rFonts w:asciiTheme="minorEastAsia" w:hAnsiTheme="minorEastAsia"/>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_Toc24239 </w:instrText>
      </w:r>
      <w:r>
        <w:rPr>
          <w:rFonts w:asciiTheme="minorEastAsia" w:hAnsiTheme="minorEastAsia" w:cstheme="minorHAnsi"/>
          <w:i w:val="0"/>
          <w:iCs w:val="0"/>
          <w:szCs w:val="21"/>
        </w:rPr>
        <w:fldChar w:fldCharType="separate"/>
      </w:r>
      <w:r>
        <w:rPr>
          <w:rFonts w:hint="eastAsia"/>
          <w:highlight w:val="none"/>
        </w:rPr>
        <w:t>附表1：类似业绩设置标准</w:t>
      </w:r>
      <w:r>
        <w:tab/>
      </w:r>
      <w:r>
        <w:fldChar w:fldCharType="begin"/>
      </w:r>
      <w:r>
        <w:instrText xml:space="preserve"> PAGEREF _Toc24239 \h </w:instrText>
      </w:r>
      <w:r>
        <w:fldChar w:fldCharType="separate"/>
      </w:r>
      <w:r>
        <w:t>iv</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_Toc19608 </w:instrText>
      </w:r>
      <w:r>
        <w:rPr>
          <w:rFonts w:asciiTheme="minorEastAsia" w:hAnsiTheme="minorEastAsia" w:cstheme="minorHAnsi"/>
          <w:i w:val="0"/>
          <w:iCs w:val="0"/>
          <w:szCs w:val="21"/>
        </w:rPr>
        <w:fldChar w:fldCharType="separate"/>
      </w:r>
      <w:r>
        <w:rPr>
          <w:rFonts w:hint="eastAsia"/>
          <w:highlight w:val="none"/>
        </w:rPr>
        <w:t>附表</w:t>
      </w:r>
      <w:r>
        <w:rPr>
          <w:rFonts w:hint="eastAsia"/>
          <w:highlight w:val="none"/>
          <w:lang w:val="en-US" w:eastAsia="zh-CN"/>
        </w:rPr>
        <w:t>2</w:t>
      </w:r>
      <w:r>
        <w:rPr>
          <w:rFonts w:hint="eastAsia"/>
          <w:highlight w:val="none"/>
        </w:rPr>
        <w:t>：工程勘察项目专业划分与工程规模对应表</w:t>
      </w:r>
      <w:r>
        <w:tab/>
      </w:r>
      <w:r>
        <w:fldChar w:fldCharType="begin"/>
      </w:r>
      <w:r>
        <w:instrText xml:space="preserve"> PAGEREF _Toc19608 \h </w:instrText>
      </w:r>
      <w:r>
        <w:fldChar w:fldCharType="separate"/>
      </w:r>
      <w:r>
        <w:t>iv</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_Toc25906 </w:instrText>
      </w:r>
      <w:r>
        <w:rPr>
          <w:rFonts w:asciiTheme="minorEastAsia" w:hAnsiTheme="minorEastAsia" w:cstheme="minorHAnsi"/>
          <w:i w:val="0"/>
          <w:iCs w:val="0"/>
          <w:szCs w:val="21"/>
        </w:rPr>
        <w:fldChar w:fldCharType="separate"/>
      </w:r>
      <w:r>
        <w:rPr>
          <w:rFonts w:hint="eastAsia"/>
          <w:bCs/>
          <w:highlight w:val="none"/>
        </w:rPr>
        <w:t>附表</w:t>
      </w:r>
      <w:r>
        <w:rPr>
          <w:rFonts w:hint="eastAsia"/>
          <w:bCs/>
          <w:highlight w:val="none"/>
          <w:lang w:val="en-US" w:eastAsia="zh-CN"/>
        </w:rPr>
        <w:t>3</w:t>
      </w:r>
      <w:r>
        <w:rPr>
          <w:rFonts w:hint="eastAsia"/>
          <w:bCs/>
          <w:highlight w:val="none"/>
        </w:rPr>
        <w:t>：工程设计资质标准</w:t>
      </w:r>
      <w:r>
        <w:tab/>
      </w:r>
      <w:r>
        <w:fldChar w:fldCharType="begin"/>
      </w:r>
      <w:r>
        <w:instrText xml:space="preserve"> PAGEREF _Toc25906 \h </w:instrText>
      </w:r>
      <w:r>
        <w:fldChar w:fldCharType="separate"/>
      </w:r>
      <w:r>
        <w:t>ix</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_Toc18196 </w:instrText>
      </w:r>
      <w:r>
        <w:rPr>
          <w:rFonts w:asciiTheme="minorEastAsia" w:hAnsiTheme="minorEastAsia" w:cstheme="minorHAnsi"/>
          <w:i w:val="0"/>
          <w:iCs w:val="0"/>
          <w:szCs w:val="21"/>
        </w:rPr>
        <w:fldChar w:fldCharType="separate"/>
      </w:r>
      <w:r>
        <w:rPr>
          <w:rFonts w:hint="eastAsia"/>
          <w:highlight w:val="none"/>
        </w:rPr>
        <w:t>附表</w:t>
      </w:r>
      <w:r>
        <w:rPr>
          <w:rFonts w:hint="eastAsia"/>
          <w:highlight w:val="none"/>
          <w:lang w:val="en-US" w:eastAsia="zh-CN"/>
        </w:rPr>
        <w:t>4</w:t>
      </w:r>
      <w:r>
        <w:rPr>
          <w:rFonts w:hint="eastAsia"/>
          <w:highlight w:val="none"/>
        </w:rPr>
        <w:t>：水利水电工程分等指标</w:t>
      </w:r>
      <w:r>
        <w:tab/>
      </w:r>
      <w:r>
        <w:fldChar w:fldCharType="begin"/>
      </w:r>
      <w:r>
        <w:instrText xml:space="preserve"> PAGEREF _Toc18196 \h </w:instrText>
      </w:r>
      <w:r>
        <w:fldChar w:fldCharType="separate"/>
      </w:r>
      <w:r>
        <w:t>x</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_Toc26186 </w:instrText>
      </w:r>
      <w:r>
        <w:rPr>
          <w:rFonts w:asciiTheme="minorEastAsia" w:hAnsiTheme="minorEastAsia" w:cstheme="minorHAnsi"/>
          <w:i w:val="0"/>
          <w:iCs w:val="0"/>
          <w:szCs w:val="21"/>
        </w:rPr>
        <w:fldChar w:fldCharType="separate"/>
      </w:r>
      <w:r>
        <w:rPr>
          <w:rFonts w:hint="eastAsia"/>
          <w:highlight w:val="none"/>
          <w:lang w:val="en-US" w:eastAsia="zh-CN"/>
        </w:rPr>
        <w:t>附表5：其他技术复杂的招标项目</w:t>
      </w:r>
      <w:r>
        <w:tab/>
      </w:r>
      <w:r>
        <w:fldChar w:fldCharType="begin"/>
      </w:r>
      <w:r>
        <w:instrText xml:space="preserve"> PAGEREF _Toc26186 \h </w:instrText>
      </w:r>
      <w:r>
        <w:fldChar w:fldCharType="separate"/>
      </w:r>
      <w:r>
        <w:t>xi</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_Toc10487 </w:instrText>
      </w:r>
      <w:r>
        <w:rPr>
          <w:rFonts w:asciiTheme="minorEastAsia" w:hAnsiTheme="minorEastAsia" w:cstheme="minorHAnsi"/>
          <w:i w:val="0"/>
          <w:iCs w:val="0"/>
          <w:szCs w:val="21"/>
        </w:rPr>
        <w:fldChar w:fldCharType="separate"/>
      </w:r>
      <w:r>
        <w:rPr>
          <w:rFonts w:hint="eastAsia"/>
          <w:highlight w:val="none"/>
          <w:lang w:val="en-US" w:eastAsia="zh-CN"/>
        </w:rPr>
        <w:t>附表6：勘察设计项目中常见难点与关键点</w:t>
      </w:r>
      <w:r>
        <w:tab/>
      </w:r>
      <w:r>
        <w:fldChar w:fldCharType="begin"/>
      </w:r>
      <w:r>
        <w:instrText xml:space="preserve"> PAGEREF _Toc10487 \h </w:instrText>
      </w:r>
      <w:r>
        <w:fldChar w:fldCharType="separate"/>
      </w:r>
      <w:r>
        <w:t>xi</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_Toc3759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52"/>
        </w:rPr>
        <w:t>第一卷</w:t>
      </w:r>
      <w:r>
        <w:tab/>
      </w:r>
      <w:r>
        <w:fldChar w:fldCharType="begin"/>
      </w:r>
      <w:r>
        <w:instrText xml:space="preserve"> PAGEREF _Toc3759 \h </w:instrText>
      </w:r>
      <w:r>
        <w:fldChar w:fldCharType="separate"/>
      </w:r>
      <w:r>
        <w:t>1</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_Toc13052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36"/>
        </w:rPr>
        <w:t>第一章 招标公告（适用于公开招标）</w:t>
      </w:r>
      <w:r>
        <w:tab/>
      </w:r>
      <w:r>
        <w:fldChar w:fldCharType="begin"/>
      </w:r>
      <w:r>
        <w:instrText xml:space="preserve"> PAGEREF _Toc13052 \h </w:instrText>
      </w:r>
      <w:r>
        <w:fldChar w:fldCharType="separate"/>
      </w:r>
      <w:r>
        <w:t>3</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_Toc15594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rPr>
        <w:t>1. 招标条件</w:t>
      </w:r>
      <w:r>
        <w:tab/>
      </w:r>
      <w:r>
        <w:fldChar w:fldCharType="begin"/>
      </w:r>
      <w:r>
        <w:instrText xml:space="preserve"> PAGEREF _Toc15594 \h </w:instrText>
      </w:r>
      <w:r>
        <w:fldChar w:fldCharType="separate"/>
      </w:r>
      <w:r>
        <w:t>3</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_Toc5396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rPr>
        <w:t>2. 项目概况与招标范围</w:t>
      </w:r>
      <w:r>
        <w:tab/>
      </w:r>
      <w:r>
        <w:fldChar w:fldCharType="begin"/>
      </w:r>
      <w:r>
        <w:instrText xml:space="preserve"> PAGEREF _Toc5396 \h </w:instrText>
      </w:r>
      <w:r>
        <w:fldChar w:fldCharType="separate"/>
      </w:r>
      <w:r>
        <w:t>3</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_Toc23401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rPr>
        <w:t>3. 投标人资格要求及审查办法</w:t>
      </w:r>
      <w:r>
        <w:tab/>
      </w:r>
      <w:r>
        <w:fldChar w:fldCharType="begin"/>
      </w:r>
      <w:r>
        <w:instrText xml:space="preserve"> PAGEREF _Toc23401 \h </w:instrText>
      </w:r>
      <w:r>
        <w:fldChar w:fldCharType="separate"/>
      </w:r>
      <w:r>
        <w:t>3</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_Toc18912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 招标文件的获取</w:t>
      </w:r>
      <w:r>
        <w:tab/>
      </w:r>
      <w:r>
        <w:fldChar w:fldCharType="begin"/>
      </w:r>
      <w:r>
        <w:instrText xml:space="preserve"> PAGEREF _Toc18912 \h </w:instrText>
      </w:r>
      <w:r>
        <w:fldChar w:fldCharType="separate"/>
      </w:r>
      <w:r>
        <w:t>3</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_Toc28739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rPr>
        <w:t>. 投标文件的递交</w:t>
      </w:r>
      <w:r>
        <w:tab/>
      </w:r>
      <w:r>
        <w:fldChar w:fldCharType="begin"/>
      </w:r>
      <w:r>
        <w:instrText xml:space="preserve"> PAGEREF _Toc28739 \h </w:instrText>
      </w:r>
      <w:r>
        <w:fldChar w:fldCharType="separate"/>
      </w:r>
      <w:r>
        <w:t>4</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_Toc17713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rPr>
        <w:t>. 发布公告的媒介</w:t>
      </w:r>
      <w:r>
        <w:tab/>
      </w:r>
      <w:r>
        <w:fldChar w:fldCharType="begin"/>
      </w:r>
      <w:r>
        <w:instrText xml:space="preserve"> PAGEREF _Toc17713 \h </w:instrText>
      </w:r>
      <w:r>
        <w:fldChar w:fldCharType="separate"/>
      </w:r>
      <w:r>
        <w:t>4</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_Toc21973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7</w:t>
      </w:r>
      <w:r>
        <w:rPr>
          <w:rFonts w:hint="eastAsia" w:asciiTheme="minorEastAsia" w:hAnsiTheme="minorEastAsia" w:eastAsiaTheme="minorEastAsia" w:cstheme="minorEastAsia"/>
          <w:szCs w:val="21"/>
        </w:rPr>
        <w:t>.投标保证金的提交</w:t>
      </w:r>
      <w:r>
        <w:tab/>
      </w:r>
      <w:r>
        <w:fldChar w:fldCharType="begin"/>
      </w:r>
      <w:r>
        <w:instrText xml:space="preserve"> PAGEREF _Toc21973 \h </w:instrText>
      </w:r>
      <w:r>
        <w:fldChar w:fldCharType="separate"/>
      </w:r>
      <w:r>
        <w:t>4</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_Toc32399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rPr>
        <w:t>. 联系方式</w:t>
      </w:r>
      <w:r>
        <w:tab/>
      </w:r>
      <w:r>
        <w:fldChar w:fldCharType="begin"/>
      </w:r>
      <w:r>
        <w:instrText xml:space="preserve"> PAGEREF _Toc32399 \h </w:instrText>
      </w:r>
      <w:r>
        <w:fldChar w:fldCharType="separate"/>
      </w:r>
      <w:r>
        <w:t>4</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_Toc6555 </w:instrText>
      </w:r>
      <w:r>
        <w:rPr>
          <w:rFonts w:asciiTheme="minorEastAsia" w:hAnsiTheme="minorEastAsia" w:cstheme="minorHAnsi"/>
          <w:i w:val="0"/>
          <w:iCs w:val="0"/>
          <w:szCs w:val="21"/>
        </w:rPr>
        <w:fldChar w:fldCharType="separate"/>
      </w:r>
      <w:r>
        <w:rPr>
          <w:rFonts w:hint="eastAsia" w:asciiTheme="minorEastAsia" w:hAnsiTheme="minorEastAsia" w:eastAsiaTheme="minorEastAsia" w:cstheme="minorEastAsia"/>
          <w:szCs w:val="21"/>
          <w:lang w:val="en-US" w:eastAsia="zh-CN"/>
        </w:rPr>
        <w:t>9</w:t>
      </w:r>
      <w:r>
        <w:rPr>
          <w:rFonts w:hint="eastAsia" w:asciiTheme="minorEastAsia" w:hAnsiTheme="minorEastAsia" w:eastAsiaTheme="minorEastAsia" w:cstheme="minorEastAsia"/>
          <w:szCs w:val="21"/>
        </w:rPr>
        <w:t>、异议提出的渠道</w:t>
      </w:r>
      <w:r>
        <w:tab/>
      </w:r>
      <w:r>
        <w:fldChar w:fldCharType="begin"/>
      </w:r>
      <w:r>
        <w:instrText xml:space="preserve"> PAGEREF _Toc6555 \h </w:instrText>
      </w:r>
      <w:r>
        <w:fldChar w:fldCharType="separate"/>
      </w:r>
      <w:r>
        <w:t>4</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_Toc14013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36"/>
        </w:rPr>
        <w:t>第一章 投标邀请书（适用于邀请招标）</w:t>
      </w:r>
      <w:r>
        <w:tab/>
      </w:r>
      <w:r>
        <w:fldChar w:fldCharType="begin"/>
      </w:r>
      <w:r>
        <w:instrText xml:space="preserve"> PAGEREF _Toc14013 \h </w:instrText>
      </w:r>
      <w:r>
        <w:fldChar w:fldCharType="separate"/>
      </w:r>
      <w:r>
        <w:t>5</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_Toc7420 </w:instrText>
      </w:r>
      <w:r>
        <w:rPr>
          <w:rFonts w:asciiTheme="minorEastAsia" w:hAnsiTheme="minorEastAsia" w:cstheme="minorHAnsi"/>
          <w:i w:val="0"/>
          <w:iCs w:val="0"/>
          <w:szCs w:val="21"/>
        </w:rPr>
        <w:fldChar w:fldCharType="separate"/>
      </w:r>
      <w:r>
        <w:rPr>
          <w:rFonts w:hint="eastAsia" w:asciiTheme="majorEastAsia" w:hAnsiTheme="majorEastAsia"/>
          <w:szCs w:val="21"/>
        </w:rPr>
        <w:t>1. 招标条件</w:t>
      </w:r>
      <w:r>
        <w:tab/>
      </w:r>
      <w:r>
        <w:fldChar w:fldCharType="begin"/>
      </w:r>
      <w:r>
        <w:instrText xml:space="preserve"> PAGEREF _Toc7420 \h </w:instrText>
      </w:r>
      <w:r>
        <w:fldChar w:fldCharType="separate"/>
      </w:r>
      <w:r>
        <w:t>5</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_Toc12837 </w:instrText>
      </w:r>
      <w:r>
        <w:rPr>
          <w:rFonts w:asciiTheme="minorEastAsia" w:hAnsiTheme="minorEastAsia" w:cstheme="minorHAnsi"/>
          <w:i w:val="0"/>
          <w:iCs w:val="0"/>
          <w:szCs w:val="21"/>
        </w:rPr>
        <w:fldChar w:fldCharType="separate"/>
      </w:r>
      <w:r>
        <w:rPr>
          <w:rFonts w:hint="eastAsia" w:asciiTheme="majorEastAsia" w:hAnsiTheme="majorEastAsia"/>
          <w:szCs w:val="21"/>
        </w:rPr>
        <w:t>2. 项目概况与招标范围</w:t>
      </w:r>
      <w:r>
        <w:tab/>
      </w:r>
      <w:r>
        <w:fldChar w:fldCharType="begin"/>
      </w:r>
      <w:r>
        <w:instrText xml:space="preserve"> PAGEREF _Toc12837 \h </w:instrText>
      </w:r>
      <w:r>
        <w:fldChar w:fldCharType="separate"/>
      </w:r>
      <w:r>
        <w:t>5</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_Toc3689 </w:instrText>
      </w:r>
      <w:r>
        <w:rPr>
          <w:rFonts w:asciiTheme="minorEastAsia" w:hAnsiTheme="minorEastAsia" w:cstheme="minorHAnsi"/>
          <w:i w:val="0"/>
          <w:iCs w:val="0"/>
          <w:szCs w:val="21"/>
        </w:rPr>
        <w:fldChar w:fldCharType="separate"/>
      </w:r>
      <w:r>
        <w:rPr>
          <w:rFonts w:hint="eastAsia" w:asciiTheme="majorEastAsia" w:hAnsiTheme="majorEastAsia"/>
          <w:szCs w:val="21"/>
        </w:rPr>
        <w:t>3. 投标人资格要求及审查办法</w:t>
      </w:r>
      <w:r>
        <w:tab/>
      </w:r>
      <w:r>
        <w:fldChar w:fldCharType="begin"/>
      </w:r>
      <w:r>
        <w:instrText xml:space="preserve"> PAGEREF _Toc3689 \h </w:instrText>
      </w:r>
      <w:r>
        <w:fldChar w:fldCharType="separate"/>
      </w:r>
      <w:r>
        <w:t>5</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_Toc3092 </w:instrText>
      </w:r>
      <w:r>
        <w:rPr>
          <w:rFonts w:asciiTheme="minorEastAsia" w:hAnsiTheme="minorEastAsia" w:cstheme="minorHAnsi"/>
          <w:i w:val="0"/>
          <w:iCs w:val="0"/>
          <w:szCs w:val="21"/>
        </w:rPr>
        <w:fldChar w:fldCharType="separate"/>
      </w:r>
      <w:r>
        <w:rPr>
          <w:rFonts w:hint="eastAsia" w:asciiTheme="majorEastAsia" w:hAnsiTheme="majorEastAsia"/>
          <w:szCs w:val="21"/>
          <w:lang w:val="en-US" w:eastAsia="zh-CN"/>
        </w:rPr>
        <w:t>5</w:t>
      </w:r>
      <w:r>
        <w:rPr>
          <w:rFonts w:hint="eastAsia" w:asciiTheme="majorEastAsia" w:hAnsiTheme="majorEastAsia"/>
          <w:szCs w:val="21"/>
        </w:rPr>
        <w:t>. 投标文件的递交</w:t>
      </w:r>
      <w:r>
        <w:tab/>
      </w:r>
      <w:r>
        <w:fldChar w:fldCharType="begin"/>
      </w:r>
      <w:r>
        <w:instrText xml:space="preserve"> PAGEREF _Toc3092 \h </w:instrText>
      </w:r>
      <w:r>
        <w:fldChar w:fldCharType="separate"/>
      </w:r>
      <w:r>
        <w:t>6</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_Toc27293 </w:instrText>
      </w:r>
      <w:r>
        <w:rPr>
          <w:rFonts w:asciiTheme="minorEastAsia" w:hAnsiTheme="minorEastAsia" w:cstheme="minorHAnsi"/>
          <w:i w:val="0"/>
          <w:iCs w:val="0"/>
          <w:szCs w:val="21"/>
        </w:rPr>
        <w:fldChar w:fldCharType="separate"/>
      </w:r>
      <w:r>
        <w:rPr>
          <w:rFonts w:hint="eastAsia" w:asciiTheme="majorEastAsia" w:hAnsiTheme="majorEastAsia"/>
          <w:szCs w:val="21"/>
          <w:lang w:val="en-US" w:eastAsia="zh-CN"/>
        </w:rPr>
        <w:t>6</w:t>
      </w:r>
      <w:r>
        <w:rPr>
          <w:rFonts w:hint="eastAsia" w:asciiTheme="majorEastAsia" w:hAnsiTheme="majorEastAsia"/>
          <w:szCs w:val="21"/>
        </w:rPr>
        <w:t>. 确认</w:t>
      </w:r>
      <w:r>
        <w:tab/>
      </w:r>
      <w:r>
        <w:fldChar w:fldCharType="begin"/>
      </w:r>
      <w:r>
        <w:instrText xml:space="preserve"> PAGEREF _Toc27293 \h </w:instrText>
      </w:r>
      <w:r>
        <w:fldChar w:fldCharType="separate"/>
      </w:r>
      <w:r>
        <w:t>6</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_Toc23442 </w:instrText>
      </w:r>
      <w:r>
        <w:rPr>
          <w:rFonts w:asciiTheme="minorEastAsia" w:hAnsiTheme="minorEastAsia" w:cstheme="minorHAnsi"/>
          <w:i w:val="0"/>
          <w:iCs w:val="0"/>
          <w:szCs w:val="21"/>
        </w:rPr>
        <w:fldChar w:fldCharType="separate"/>
      </w:r>
      <w:r>
        <w:rPr>
          <w:rFonts w:hint="eastAsia" w:asciiTheme="majorEastAsia" w:hAnsiTheme="majorEastAsia"/>
          <w:szCs w:val="21"/>
          <w:lang w:val="en-US" w:eastAsia="zh-CN"/>
        </w:rPr>
        <w:t>7</w:t>
      </w:r>
      <w:r>
        <w:rPr>
          <w:rFonts w:hint="eastAsia" w:asciiTheme="majorEastAsia" w:hAnsiTheme="majorEastAsia"/>
          <w:szCs w:val="21"/>
        </w:rPr>
        <w:t>.投标保证金的提交</w:t>
      </w:r>
      <w:r>
        <w:tab/>
      </w:r>
      <w:r>
        <w:fldChar w:fldCharType="begin"/>
      </w:r>
      <w:r>
        <w:instrText xml:space="preserve"> PAGEREF _Toc23442 \h </w:instrText>
      </w:r>
      <w:r>
        <w:fldChar w:fldCharType="separate"/>
      </w:r>
      <w:r>
        <w:t>6</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_Toc26999 </w:instrText>
      </w:r>
      <w:r>
        <w:rPr>
          <w:rFonts w:asciiTheme="minorEastAsia" w:hAnsiTheme="minorEastAsia" w:cstheme="minorHAnsi"/>
          <w:i w:val="0"/>
          <w:iCs w:val="0"/>
          <w:szCs w:val="21"/>
        </w:rPr>
        <w:fldChar w:fldCharType="separate"/>
      </w:r>
      <w:r>
        <w:rPr>
          <w:rFonts w:hint="eastAsia" w:asciiTheme="majorEastAsia" w:hAnsiTheme="majorEastAsia"/>
          <w:szCs w:val="21"/>
          <w:lang w:val="en-US" w:eastAsia="zh-CN"/>
        </w:rPr>
        <w:t>8</w:t>
      </w:r>
      <w:r>
        <w:rPr>
          <w:rFonts w:hint="eastAsia" w:asciiTheme="majorEastAsia" w:hAnsiTheme="majorEastAsia"/>
          <w:szCs w:val="21"/>
        </w:rPr>
        <w:t>. 联系方式</w:t>
      </w:r>
      <w:r>
        <w:tab/>
      </w:r>
      <w:r>
        <w:fldChar w:fldCharType="begin"/>
      </w:r>
      <w:r>
        <w:instrText xml:space="preserve"> PAGEREF _Toc26999 \h </w:instrText>
      </w:r>
      <w:r>
        <w:fldChar w:fldCharType="separate"/>
      </w:r>
      <w:r>
        <w:t>6</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_Toc18988 </w:instrText>
      </w:r>
      <w:r>
        <w:rPr>
          <w:rFonts w:asciiTheme="minorEastAsia" w:hAnsiTheme="minorEastAsia" w:cstheme="minorHAnsi"/>
          <w:i w:val="0"/>
          <w:iCs w:val="0"/>
          <w:szCs w:val="21"/>
        </w:rPr>
        <w:fldChar w:fldCharType="separate"/>
      </w:r>
      <w:r>
        <w:rPr>
          <w:rFonts w:hint="eastAsia" w:asciiTheme="majorEastAsia" w:hAnsiTheme="majorEastAsia"/>
          <w:szCs w:val="21"/>
        </w:rPr>
        <w:t>9. 异议提出的渠道</w:t>
      </w:r>
      <w:r>
        <w:tab/>
      </w:r>
      <w:r>
        <w:fldChar w:fldCharType="begin"/>
      </w:r>
      <w:r>
        <w:instrText xml:space="preserve"> PAGEREF _Toc18988 \h </w:instrText>
      </w:r>
      <w:r>
        <w:fldChar w:fldCharType="separate"/>
      </w:r>
      <w:r>
        <w:t>7</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_Toc17100 </w:instrText>
      </w:r>
      <w:r>
        <w:rPr>
          <w:rFonts w:asciiTheme="minorEastAsia" w:hAnsiTheme="minorEastAsia" w:cstheme="minorHAnsi"/>
          <w:i w:val="0"/>
          <w:iCs w:val="0"/>
          <w:szCs w:val="21"/>
        </w:rPr>
        <w:fldChar w:fldCharType="separate"/>
      </w:r>
      <w:r>
        <w:rPr>
          <w:rFonts w:hint="eastAsia" w:asciiTheme="majorEastAsia" w:hAnsiTheme="majorEastAsia"/>
          <w:szCs w:val="28"/>
        </w:rPr>
        <w:t>附件：确认</w:t>
      </w:r>
      <w:r>
        <w:rPr>
          <w:rFonts w:hint="eastAsia" w:asciiTheme="majorEastAsia" w:hAnsiTheme="majorEastAsia"/>
          <w:szCs w:val="28"/>
          <w:lang w:val="en-US" w:eastAsia="zh-Hans"/>
        </w:rPr>
        <w:t>函</w:t>
      </w:r>
      <w:r>
        <w:rPr>
          <w:rFonts w:hint="eastAsia" w:asciiTheme="majorEastAsia" w:hAnsiTheme="majorEastAsia"/>
          <w:szCs w:val="28"/>
        </w:rPr>
        <w:t>（格式）</w:t>
      </w:r>
      <w:r>
        <w:tab/>
      </w:r>
      <w:r>
        <w:fldChar w:fldCharType="begin"/>
      </w:r>
      <w:r>
        <w:instrText xml:space="preserve"> PAGEREF _Toc17100 \h </w:instrText>
      </w:r>
      <w:r>
        <w:fldChar w:fldCharType="separate"/>
      </w:r>
      <w:r>
        <w:t>8</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_Toc6881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36"/>
        </w:rPr>
        <w:t>第二章 投标人须知</w:t>
      </w:r>
      <w:r>
        <w:tab/>
      </w:r>
      <w:r>
        <w:fldChar w:fldCharType="begin"/>
      </w:r>
      <w:r>
        <w:instrText xml:space="preserve"> PAGEREF _Toc6881 \h </w:instrText>
      </w:r>
      <w:r>
        <w:fldChar w:fldCharType="separate"/>
      </w:r>
      <w:r>
        <w:t>9</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_Toc22070 </w:instrText>
      </w:r>
      <w:r>
        <w:rPr>
          <w:rFonts w:asciiTheme="minorEastAsia" w:hAnsiTheme="minorEastAsia" w:cstheme="minorHAnsi"/>
          <w:i w:val="0"/>
          <w:iCs w:val="0"/>
          <w:szCs w:val="21"/>
        </w:rPr>
        <w:fldChar w:fldCharType="separate"/>
      </w:r>
      <w:r>
        <w:rPr>
          <w:rFonts w:hint="eastAsia" w:asciiTheme="majorEastAsia" w:hAnsiTheme="majorEastAsia"/>
          <w:szCs w:val="24"/>
        </w:rPr>
        <w:t>投标人须知前附表</w:t>
      </w:r>
      <w:r>
        <w:tab/>
      </w:r>
      <w:r>
        <w:fldChar w:fldCharType="begin"/>
      </w:r>
      <w:r>
        <w:instrText xml:space="preserve"> PAGEREF _Toc22070 \h </w:instrText>
      </w:r>
      <w:r>
        <w:fldChar w:fldCharType="separate"/>
      </w:r>
      <w:r>
        <w:t>9</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_Toc32042 </w:instrText>
      </w:r>
      <w:r>
        <w:rPr>
          <w:rFonts w:asciiTheme="minorEastAsia" w:hAnsiTheme="minorEastAsia" w:cstheme="minorHAnsi"/>
          <w:i w:val="0"/>
          <w:iCs w:val="0"/>
          <w:szCs w:val="21"/>
        </w:rPr>
        <w:fldChar w:fldCharType="separate"/>
      </w:r>
      <w:r>
        <w:rPr>
          <w:rFonts w:hint="eastAsia" w:asciiTheme="majorEastAsia" w:hAnsiTheme="majorEastAsia"/>
          <w:szCs w:val="21"/>
        </w:rPr>
        <w:t>1. 总则</w:t>
      </w:r>
      <w:r>
        <w:tab/>
      </w:r>
      <w:r>
        <w:fldChar w:fldCharType="begin"/>
      </w:r>
      <w:r>
        <w:instrText xml:space="preserve"> PAGEREF _Toc32042 \h </w:instrText>
      </w:r>
      <w:r>
        <w:fldChar w:fldCharType="separate"/>
      </w:r>
      <w:r>
        <w:t>19</w:t>
      </w:r>
      <w: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_Toc21100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1.1 招标项目概况</w:t>
      </w:r>
      <w:r>
        <w:rPr>
          <w:i w:val="0"/>
          <w:iCs w:val="0"/>
        </w:rPr>
        <w:tab/>
      </w:r>
      <w:r>
        <w:rPr>
          <w:i w:val="0"/>
          <w:iCs w:val="0"/>
        </w:rPr>
        <w:fldChar w:fldCharType="begin"/>
      </w:r>
      <w:r>
        <w:rPr>
          <w:i w:val="0"/>
          <w:iCs w:val="0"/>
        </w:rPr>
        <w:instrText xml:space="preserve"> PAGEREF _Toc21100 \h </w:instrText>
      </w:r>
      <w:r>
        <w:rPr>
          <w:i w:val="0"/>
          <w:iCs w:val="0"/>
        </w:rPr>
        <w:fldChar w:fldCharType="separate"/>
      </w:r>
      <w:r>
        <w:rPr>
          <w:i w:val="0"/>
          <w:iCs w:val="0"/>
        </w:rPr>
        <w:t>19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_Toc13689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1.2 招标项目的资金来源和落实情况</w:t>
      </w:r>
      <w:r>
        <w:rPr>
          <w:i w:val="0"/>
          <w:iCs w:val="0"/>
        </w:rPr>
        <w:tab/>
      </w:r>
      <w:r>
        <w:rPr>
          <w:i w:val="0"/>
          <w:iCs w:val="0"/>
        </w:rPr>
        <w:fldChar w:fldCharType="begin"/>
      </w:r>
      <w:r>
        <w:rPr>
          <w:i w:val="0"/>
          <w:iCs w:val="0"/>
        </w:rPr>
        <w:instrText xml:space="preserve"> PAGEREF _Toc13689 \h </w:instrText>
      </w:r>
      <w:r>
        <w:rPr>
          <w:i w:val="0"/>
          <w:iCs w:val="0"/>
        </w:rPr>
        <w:fldChar w:fldCharType="separate"/>
      </w:r>
      <w:r>
        <w:rPr>
          <w:i w:val="0"/>
          <w:iCs w:val="0"/>
        </w:rPr>
        <w:t>19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_Toc24646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1.3 招标范围、服务期限和质量标准</w:t>
      </w:r>
      <w:r>
        <w:rPr>
          <w:i w:val="0"/>
          <w:iCs w:val="0"/>
        </w:rPr>
        <w:tab/>
      </w:r>
      <w:r>
        <w:rPr>
          <w:i w:val="0"/>
          <w:iCs w:val="0"/>
        </w:rPr>
        <w:fldChar w:fldCharType="begin"/>
      </w:r>
      <w:r>
        <w:rPr>
          <w:i w:val="0"/>
          <w:iCs w:val="0"/>
        </w:rPr>
        <w:instrText xml:space="preserve"> PAGEREF _Toc24646 \h </w:instrText>
      </w:r>
      <w:r>
        <w:rPr>
          <w:i w:val="0"/>
          <w:iCs w:val="0"/>
        </w:rPr>
        <w:fldChar w:fldCharType="separate"/>
      </w:r>
      <w:r>
        <w:rPr>
          <w:i w:val="0"/>
          <w:iCs w:val="0"/>
        </w:rPr>
        <w:t>19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_Toc11958 </w:instrText>
      </w:r>
      <w:r>
        <w:rPr>
          <w:rFonts w:asciiTheme="minorEastAsia" w:hAnsiTheme="minorEastAsia" w:cstheme="minorHAnsi"/>
          <w:i w:val="0"/>
          <w:iCs w:val="0"/>
          <w:szCs w:val="21"/>
        </w:rPr>
        <w:fldChar w:fldCharType="separate"/>
      </w:r>
      <w:r>
        <w:rPr>
          <w:rFonts w:asciiTheme="majorEastAsia" w:hAnsiTheme="majorEastAsia" w:eastAsiaTheme="majorEastAsia"/>
          <w:i w:val="0"/>
          <w:iCs w:val="0"/>
          <w:szCs w:val="21"/>
        </w:rPr>
        <w:t>1.4</w:t>
      </w:r>
      <w:r>
        <w:rPr>
          <w:rFonts w:hint="eastAsia" w:asciiTheme="majorEastAsia" w:hAnsiTheme="majorEastAsia" w:eastAsiaTheme="majorEastAsia"/>
          <w:i w:val="0"/>
          <w:iCs w:val="0"/>
          <w:szCs w:val="21"/>
        </w:rPr>
        <w:t>投标人资格要求（适用于已进行资格预审的）</w:t>
      </w:r>
      <w:r>
        <w:rPr>
          <w:i w:val="0"/>
          <w:iCs w:val="0"/>
        </w:rPr>
        <w:tab/>
      </w:r>
      <w:r>
        <w:rPr>
          <w:i w:val="0"/>
          <w:iCs w:val="0"/>
        </w:rPr>
        <w:fldChar w:fldCharType="begin"/>
      </w:r>
      <w:r>
        <w:rPr>
          <w:i w:val="0"/>
          <w:iCs w:val="0"/>
        </w:rPr>
        <w:instrText xml:space="preserve"> PAGEREF _Toc11958 \h </w:instrText>
      </w:r>
      <w:r>
        <w:rPr>
          <w:i w:val="0"/>
          <w:iCs w:val="0"/>
        </w:rPr>
        <w:fldChar w:fldCharType="separate"/>
      </w:r>
      <w:r>
        <w:rPr>
          <w:i w:val="0"/>
          <w:iCs w:val="0"/>
        </w:rPr>
        <w:t>19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_Toc14031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1.4 投标人资格要求（适用于未进行资格预审的）</w:t>
      </w:r>
      <w:r>
        <w:rPr>
          <w:i w:val="0"/>
          <w:iCs w:val="0"/>
        </w:rPr>
        <w:tab/>
      </w:r>
      <w:r>
        <w:rPr>
          <w:i w:val="0"/>
          <w:iCs w:val="0"/>
        </w:rPr>
        <w:fldChar w:fldCharType="begin"/>
      </w:r>
      <w:r>
        <w:rPr>
          <w:i w:val="0"/>
          <w:iCs w:val="0"/>
        </w:rPr>
        <w:instrText xml:space="preserve"> PAGEREF _Toc14031 \h </w:instrText>
      </w:r>
      <w:r>
        <w:rPr>
          <w:i w:val="0"/>
          <w:iCs w:val="0"/>
        </w:rPr>
        <w:fldChar w:fldCharType="separate"/>
      </w:r>
      <w:r>
        <w:rPr>
          <w:i w:val="0"/>
          <w:iCs w:val="0"/>
        </w:rPr>
        <w:t>19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_Toc25717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1.5 费用承担</w:t>
      </w:r>
      <w:r>
        <w:rPr>
          <w:i w:val="0"/>
          <w:iCs w:val="0"/>
        </w:rPr>
        <w:tab/>
      </w:r>
      <w:r>
        <w:rPr>
          <w:i w:val="0"/>
          <w:iCs w:val="0"/>
        </w:rPr>
        <w:fldChar w:fldCharType="begin"/>
      </w:r>
      <w:r>
        <w:rPr>
          <w:i w:val="0"/>
          <w:iCs w:val="0"/>
        </w:rPr>
        <w:instrText xml:space="preserve"> PAGEREF _Toc25717 \h </w:instrText>
      </w:r>
      <w:r>
        <w:rPr>
          <w:i w:val="0"/>
          <w:iCs w:val="0"/>
        </w:rPr>
        <w:fldChar w:fldCharType="separate"/>
      </w:r>
      <w:r>
        <w:rPr>
          <w:i w:val="0"/>
          <w:iCs w:val="0"/>
        </w:rPr>
        <w:t>20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_Toc26913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1.6 保密</w:t>
      </w:r>
      <w:r>
        <w:rPr>
          <w:i w:val="0"/>
          <w:iCs w:val="0"/>
        </w:rPr>
        <w:tab/>
      </w:r>
      <w:r>
        <w:rPr>
          <w:i w:val="0"/>
          <w:iCs w:val="0"/>
        </w:rPr>
        <w:fldChar w:fldCharType="begin"/>
      </w:r>
      <w:r>
        <w:rPr>
          <w:i w:val="0"/>
          <w:iCs w:val="0"/>
        </w:rPr>
        <w:instrText xml:space="preserve"> PAGEREF _Toc26913 \h </w:instrText>
      </w:r>
      <w:r>
        <w:rPr>
          <w:i w:val="0"/>
          <w:iCs w:val="0"/>
        </w:rPr>
        <w:fldChar w:fldCharType="separate"/>
      </w:r>
      <w:r>
        <w:rPr>
          <w:i w:val="0"/>
          <w:iCs w:val="0"/>
        </w:rPr>
        <w:t>20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_Toc21495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1.7 语言文字</w:t>
      </w:r>
      <w:r>
        <w:rPr>
          <w:i w:val="0"/>
          <w:iCs w:val="0"/>
        </w:rPr>
        <w:tab/>
      </w:r>
      <w:r>
        <w:rPr>
          <w:i w:val="0"/>
          <w:iCs w:val="0"/>
        </w:rPr>
        <w:fldChar w:fldCharType="begin"/>
      </w:r>
      <w:r>
        <w:rPr>
          <w:i w:val="0"/>
          <w:iCs w:val="0"/>
        </w:rPr>
        <w:instrText xml:space="preserve"> PAGEREF _Toc21495 \h </w:instrText>
      </w:r>
      <w:r>
        <w:rPr>
          <w:i w:val="0"/>
          <w:iCs w:val="0"/>
        </w:rPr>
        <w:fldChar w:fldCharType="separate"/>
      </w:r>
      <w:r>
        <w:rPr>
          <w:i w:val="0"/>
          <w:iCs w:val="0"/>
        </w:rPr>
        <w:t>20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_Toc983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1.8 计量单位</w:t>
      </w:r>
      <w:r>
        <w:rPr>
          <w:i w:val="0"/>
          <w:iCs w:val="0"/>
        </w:rPr>
        <w:tab/>
      </w:r>
      <w:r>
        <w:rPr>
          <w:i w:val="0"/>
          <w:iCs w:val="0"/>
        </w:rPr>
        <w:fldChar w:fldCharType="begin"/>
      </w:r>
      <w:r>
        <w:rPr>
          <w:i w:val="0"/>
          <w:iCs w:val="0"/>
        </w:rPr>
        <w:instrText xml:space="preserve"> PAGEREF _Toc983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_Toc21055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1.9 踏勘现场</w:t>
      </w:r>
      <w:r>
        <w:rPr>
          <w:i w:val="0"/>
          <w:iCs w:val="0"/>
        </w:rPr>
        <w:tab/>
      </w:r>
      <w:r>
        <w:rPr>
          <w:i w:val="0"/>
          <w:iCs w:val="0"/>
        </w:rPr>
        <w:fldChar w:fldCharType="begin"/>
      </w:r>
      <w:r>
        <w:rPr>
          <w:i w:val="0"/>
          <w:iCs w:val="0"/>
        </w:rPr>
        <w:instrText xml:space="preserve"> PAGEREF _Toc21055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_Toc32603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1.10 投标预备会</w:t>
      </w:r>
      <w:r>
        <w:rPr>
          <w:i w:val="0"/>
          <w:iCs w:val="0"/>
        </w:rPr>
        <w:tab/>
      </w:r>
      <w:r>
        <w:rPr>
          <w:i w:val="0"/>
          <w:iCs w:val="0"/>
        </w:rPr>
        <w:fldChar w:fldCharType="begin"/>
      </w:r>
      <w:r>
        <w:rPr>
          <w:i w:val="0"/>
          <w:iCs w:val="0"/>
        </w:rPr>
        <w:instrText xml:space="preserve"> PAGEREF _Toc32603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_Toc22462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1.11 分包</w:t>
      </w:r>
      <w:r>
        <w:rPr>
          <w:i w:val="0"/>
          <w:iCs w:val="0"/>
        </w:rPr>
        <w:tab/>
      </w:r>
      <w:r>
        <w:rPr>
          <w:i w:val="0"/>
          <w:iCs w:val="0"/>
        </w:rPr>
        <w:fldChar w:fldCharType="begin"/>
      </w:r>
      <w:r>
        <w:rPr>
          <w:i w:val="0"/>
          <w:iCs w:val="0"/>
        </w:rPr>
        <w:instrText xml:space="preserve"> PAGEREF _Toc22462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_Toc30044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1.12 响应和偏</w:t>
      </w:r>
      <w:r>
        <w:rPr>
          <w:rFonts w:hint="eastAsia" w:asciiTheme="majorEastAsia" w:hAnsiTheme="majorEastAsia" w:eastAsiaTheme="majorEastAsia"/>
          <w:i w:val="0"/>
          <w:iCs w:val="0"/>
          <w:szCs w:val="21"/>
          <w:lang w:val="en-US"/>
        </w:rPr>
        <w:t>差</w:t>
      </w:r>
      <w:r>
        <w:rPr>
          <w:i w:val="0"/>
          <w:iCs w:val="0"/>
        </w:rPr>
        <w:tab/>
      </w:r>
      <w:r>
        <w:rPr>
          <w:i w:val="0"/>
          <w:iCs w:val="0"/>
        </w:rPr>
        <w:fldChar w:fldCharType="begin"/>
      </w:r>
      <w:r>
        <w:rPr>
          <w:i w:val="0"/>
          <w:iCs w:val="0"/>
        </w:rPr>
        <w:instrText xml:space="preserve"> PAGEREF _Toc30044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_Toc5728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2. 招标文件</w:t>
      </w:r>
      <w:r>
        <w:rPr>
          <w:i w:val="0"/>
          <w:iCs w:val="0"/>
        </w:rPr>
        <w:tab/>
      </w:r>
      <w:r>
        <w:rPr>
          <w:i w:val="0"/>
          <w:iCs w:val="0"/>
        </w:rPr>
        <w:fldChar w:fldCharType="begin"/>
      </w:r>
      <w:r>
        <w:rPr>
          <w:i w:val="0"/>
          <w:iCs w:val="0"/>
        </w:rPr>
        <w:instrText xml:space="preserve"> PAGEREF _Toc5728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_Toc15145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2.1 招标文件的组成</w:t>
      </w:r>
      <w:r>
        <w:rPr>
          <w:i w:val="0"/>
          <w:iCs w:val="0"/>
        </w:rPr>
        <w:tab/>
      </w:r>
      <w:r>
        <w:rPr>
          <w:i w:val="0"/>
          <w:iCs w:val="0"/>
        </w:rPr>
        <w:fldChar w:fldCharType="begin"/>
      </w:r>
      <w:r>
        <w:rPr>
          <w:i w:val="0"/>
          <w:iCs w:val="0"/>
        </w:rPr>
        <w:instrText xml:space="preserve"> PAGEREF _Toc15145 \h </w:instrText>
      </w:r>
      <w:r>
        <w:rPr>
          <w:i w:val="0"/>
          <w:iCs w:val="0"/>
        </w:rPr>
        <w:fldChar w:fldCharType="separate"/>
      </w:r>
      <w:r>
        <w:rPr>
          <w:i w:val="0"/>
          <w:iCs w:val="0"/>
        </w:rPr>
        <w:t>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_Toc5377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2.2 招标文件的澄清</w:t>
      </w:r>
      <w:r>
        <w:rPr>
          <w:i w:val="0"/>
          <w:iCs w:val="0"/>
        </w:rPr>
        <w:tab/>
      </w:r>
      <w:r>
        <w:rPr>
          <w:i w:val="0"/>
          <w:iCs w:val="0"/>
        </w:rPr>
        <w:fldChar w:fldCharType="begin"/>
      </w:r>
      <w:r>
        <w:rPr>
          <w:i w:val="0"/>
          <w:iCs w:val="0"/>
        </w:rPr>
        <w:instrText xml:space="preserve"> PAGEREF _Toc5377 \h </w:instrText>
      </w:r>
      <w:r>
        <w:rPr>
          <w:i w:val="0"/>
          <w:iCs w:val="0"/>
        </w:rPr>
        <w:fldChar w:fldCharType="separate"/>
      </w:r>
      <w:r>
        <w:rPr>
          <w:i w:val="0"/>
          <w:iCs w:val="0"/>
        </w:rPr>
        <w:t>22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_Toc20430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2.3 招标文件的修改</w:t>
      </w:r>
      <w:r>
        <w:rPr>
          <w:i w:val="0"/>
          <w:iCs w:val="0"/>
        </w:rPr>
        <w:tab/>
      </w:r>
      <w:r>
        <w:rPr>
          <w:i w:val="0"/>
          <w:iCs w:val="0"/>
        </w:rPr>
        <w:fldChar w:fldCharType="begin"/>
      </w:r>
      <w:r>
        <w:rPr>
          <w:i w:val="0"/>
          <w:iCs w:val="0"/>
        </w:rPr>
        <w:instrText xml:space="preserve"> PAGEREF _Toc20430 \h </w:instrText>
      </w:r>
      <w:r>
        <w:rPr>
          <w:i w:val="0"/>
          <w:iCs w:val="0"/>
        </w:rPr>
        <w:fldChar w:fldCharType="separate"/>
      </w:r>
      <w:r>
        <w:rPr>
          <w:i w:val="0"/>
          <w:iCs w:val="0"/>
        </w:rPr>
        <w:t>22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_Toc9110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highlight w:val="none"/>
        </w:rPr>
        <w:t>2.4 招标文件的异议</w:t>
      </w:r>
      <w:r>
        <w:rPr>
          <w:i w:val="0"/>
          <w:iCs w:val="0"/>
        </w:rPr>
        <w:tab/>
      </w:r>
      <w:r>
        <w:rPr>
          <w:i w:val="0"/>
          <w:iCs w:val="0"/>
        </w:rPr>
        <w:fldChar w:fldCharType="begin"/>
      </w:r>
      <w:r>
        <w:rPr>
          <w:i w:val="0"/>
          <w:iCs w:val="0"/>
        </w:rPr>
        <w:instrText xml:space="preserve"> PAGEREF _Toc9110 \h </w:instrText>
      </w:r>
      <w:r>
        <w:rPr>
          <w:i w:val="0"/>
          <w:iCs w:val="0"/>
        </w:rPr>
        <w:fldChar w:fldCharType="separate"/>
      </w:r>
      <w:r>
        <w:rPr>
          <w:i w:val="0"/>
          <w:iCs w:val="0"/>
        </w:rPr>
        <w:t>22</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_Toc17441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3. 投标文件</w:t>
      </w:r>
      <w:r>
        <w:rPr>
          <w:i w:val="0"/>
          <w:iCs w:val="0"/>
        </w:rPr>
        <w:tab/>
      </w:r>
      <w:r>
        <w:rPr>
          <w:i w:val="0"/>
          <w:iCs w:val="0"/>
        </w:rPr>
        <w:fldChar w:fldCharType="begin"/>
      </w:r>
      <w:r>
        <w:rPr>
          <w:i w:val="0"/>
          <w:iCs w:val="0"/>
        </w:rPr>
        <w:instrText xml:space="preserve"> PAGEREF _Toc17441 \h </w:instrText>
      </w:r>
      <w:r>
        <w:rPr>
          <w:i w:val="0"/>
          <w:iCs w:val="0"/>
        </w:rPr>
        <w:fldChar w:fldCharType="separate"/>
      </w:r>
      <w:r>
        <w:rPr>
          <w:i w:val="0"/>
          <w:iCs w:val="0"/>
        </w:rPr>
        <w:t>22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_Toc21900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3.1 投标文件的组成</w:t>
      </w:r>
      <w:r>
        <w:rPr>
          <w:i w:val="0"/>
          <w:iCs w:val="0"/>
        </w:rPr>
        <w:tab/>
      </w:r>
      <w:r>
        <w:rPr>
          <w:i w:val="0"/>
          <w:iCs w:val="0"/>
        </w:rPr>
        <w:fldChar w:fldCharType="begin"/>
      </w:r>
      <w:r>
        <w:rPr>
          <w:i w:val="0"/>
          <w:iCs w:val="0"/>
        </w:rPr>
        <w:instrText xml:space="preserve"> PAGEREF _Toc21900 \h </w:instrText>
      </w:r>
      <w:r>
        <w:rPr>
          <w:i w:val="0"/>
          <w:iCs w:val="0"/>
        </w:rPr>
        <w:fldChar w:fldCharType="separate"/>
      </w:r>
      <w:r>
        <w:rPr>
          <w:i w:val="0"/>
          <w:iCs w:val="0"/>
        </w:rPr>
        <w:t>22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_Toc13340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3.2 投标报价</w:t>
      </w:r>
      <w:r>
        <w:rPr>
          <w:i w:val="0"/>
          <w:iCs w:val="0"/>
        </w:rPr>
        <w:tab/>
      </w:r>
      <w:r>
        <w:rPr>
          <w:i w:val="0"/>
          <w:iCs w:val="0"/>
        </w:rPr>
        <w:fldChar w:fldCharType="begin"/>
      </w:r>
      <w:r>
        <w:rPr>
          <w:i w:val="0"/>
          <w:iCs w:val="0"/>
        </w:rPr>
        <w:instrText xml:space="preserve"> PAGEREF _Toc13340 \h </w:instrText>
      </w:r>
      <w:r>
        <w:rPr>
          <w:i w:val="0"/>
          <w:iCs w:val="0"/>
        </w:rPr>
        <w:fldChar w:fldCharType="separate"/>
      </w:r>
      <w:r>
        <w:rPr>
          <w:i w:val="0"/>
          <w:iCs w:val="0"/>
        </w:rPr>
        <w:t>23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_Toc23591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3.3 投标有效期</w:t>
      </w:r>
      <w:r>
        <w:rPr>
          <w:i w:val="0"/>
          <w:iCs w:val="0"/>
        </w:rPr>
        <w:tab/>
      </w:r>
      <w:r>
        <w:rPr>
          <w:i w:val="0"/>
          <w:iCs w:val="0"/>
        </w:rPr>
        <w:fldChar w:fldCharType="begin"/>
      </w:r>
      <w:r>
        <w:rPr>
          <w:i w:val="0"/>
          <w:iCs w:val="0"/>
        </w:rPr>
        <w:instrText xml:space="preserve"> PAGEREF _Toc23591 \h </w:instrText>
      </w:r>
      <w:r>
        <w:rPr>
          <w:i w:val="0"/>
          <w:iCs w:val="0"/>
        </w:rPr>
        <w:fldChar w:fldCharType="separate"/>
      </w:r>
      <w:r>
        <w:rPr>
          <w:i w:val="0"/>
          <w:iCs w:val="0"/>
        </w:rPr>
        <w:t>24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_Toc25664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3.4 投标保证金</w:t>
      </w:r>
      <w:r>
        <w:rPr>
          <w:i w:val="0"/>
          <w:iCs w:val="0"/>
        </w:rPr>
        <w:tab/>
      </w:r>
      <w:r>
        <w:rPr>
          <w:i w:val="0"/>
          <w:iCs w:val="0"/>
        </w:rPr>
        <w:fldChar w:fldCharType="begin"/>
      </w:r>
      <w:r>
        <w:rPr>
          <w:i w:val="0"/>
          <w:iCs w:val="0"/>
        </w:rPr>
        <w:instrText xml:space="preserve"> PAGEREF _Toc25664 \h </w:instrText>
      </w:r>
      <w:r>
        <w:rPr>
          <w:i w:val="0"/>
          <w:iCs w:val="0"/>
        </w:rPr>
        <w:fldChar w:fldCharType="separate"/>
      </w:r>
      <w:r>
        <w:rPr>
          <w:i w:val="0"/>
          <w:iCs w:val="0"/>
        </w:rPr>
        <w:t>24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_Toc10483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3.5 资格审查资料（适用于已进行资格预审的）</w:t>
      </w:r>
      <w:r>
        <w:rPr>
          <w:i w:val="0"/>
          <w:iCs w:val="0"/>
        </w:rPr>
        <w:tab/>
      </w:r>
      <w:r>
        <w:rPr>
          <w:i w:val="0"/>
          <w:iCs w:val="0"/>
        </w:rPr>
        <w:fldChar w:fldCharType="begin"/>
      </w:r>
      <w:r>
        <w:rPr>
          <w:i w:val="0"/>
          <w:iCs w:val="0"/>
        </w:rPr>
        <w:instrText xml:space="preserve"> PAGEREF _Toc10483 \h </w:instrText>
      </w:r>
      <w:r>
        <w:rPr>
          <w:i w:val="0"/>
          <w:iCs w:val="0"/>
        </w:rPr>
        <w:fldChar w:fldCharType="separate"/>
      </w:r>
      <w:r>
        <w:rPr>
          <w:i w:val="0"/>
          <w:iCs w:val="0"/>
        </w:rPr>
        <w:t>24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_Toc27348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cstheme="minorBidi"/>
          <w:bCs/>
          <w:i w:val="0"/>
          <w:iCs w:val="0"/>
          <w:szCs w:val="21"/>
        </w:rPr>
        <w:t>3.5 资格审查资料（适用于未进行资格预审的）</w:t>
      </w:r>
      <w:r>
        <w:rPr>
          <w:i w:val="0"/>
          <w:iCs w:val="0"/>
        </w:rPr>
        <w:tab/>
      </w:r>
      <w:r>
        <w:rPr>
          <w:i w:val="0"/>
          <w:iCs w:val="0"/>
        </w:rPr>
        <w:fldChar w:fldCharType="begin"/>
      </w:r>
      <w:r>
        <w:rPr>
          <w:i w:val="0"/>
          <w:iCs w:val="0"/>
        </w:rPr>
        <w:instrText xml:space="preserve"> PAGEREF _Toc27348 \h </w:instrText>
      </w:r>
      <w:r>
        <w:rPr>
          <w:i w:val="0"/>
          <w:iCs w:val="0"/>
        </w:rPr>
        <w:fldChar w:fldCharType="separate"/>
      </w:r>
      <w:r>
        <w:rPr>
          <w:i w:val="0"/>
          <w:iCs w:val="0"/>
        </w:rPr>
        <w:t>24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_Toc16502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3.6 备选投标方案</w:t>
      </w:r>
      <w:r>
        <w:rPr>
          <w:i w:val="0"/>
          <w:iCs w:val="0"/>
        </w:rPr>
        <w:tab/>
      </w:r>
      <w:r>
        <w:rPr>
          <w:i w:val="0"/>
          <w:iCs w:val="0"/>
        </w:rPr>
        <w:fldChar w:fldCharType="begin"/>
      </w:r>
      <w:r>
        <w:rPr>
          <w:i w:val="0"/>
          <w:iCs w:val="0"/>
        </w:rPr>
        <w:instrText xml:space="preserve"> PAGEREF _Toc16502 \h </w:instrText>
      </w:r>
      <w:r>
        <w:rPr>
          <w:i w:val="0"/>
          <w:iCs w:val="0"/>
        </w:rPr>
        <w:fldChar w:fldCharType="separate"/>
      </w:r>
      <w:r>
        <w:rPr>
          <w:i w:val="0"/>
          <w:iCs w:val="0"/>
        </w:rPr>
        <w:t>25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_Toc19505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3.7 投标文件的编制</w:t>
      </w:r>
      <w:r>
        <w:rPr>
          <w:i w:val="0"/>
          <w:iCs w:val="0"/>
        </w:rPr>
        <w:tab/>
      </w:r>
      <w:r>
        <w:rPr>
          <w:i w:val="0"/>
          <w:iCs w:val="0"/>
        </w:rPr>
        <w:fldChar w:fldCharType="begin"/>
      </w:r>
      <w:r>
        <w:rPr>
          <w:i w:val="0"/>
          <w:iCs w:val="0"/>
        </w:rPr>
        <w:instrText xml:space="preserve"> PAGEREF _Toc19505 \h </w:instrText>
      </w:r>
      <w:r>
        <w:rPr>
          <w:i w:val="0"/>
          <w:iCs w:val="0"/>
        </w:rPr>
        <w:fldChar w:fldCharType="separate"/>
      </w:r>
      <w:r>
        <w:rPr>
          <w:i w:val="0"/>
          <w:iCs w:val="0"/>
        </w:rPr>
        <w:t>25</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_Toc10187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4. 投标</w:t>
      </w:r>
      <w:r>
        <w:rPr>
          <w:i w:val="0"/>
          <w:iCs w:val="0"/>
        </w:rPr>
        <w:tab/>
      </w:r>
      <w:r>
        <w:rPr>
          <w:i w:val="0"/>
          <w:iCs w:val="0"/>
        </w:rPr>
        <w:fldChar w:fldCharType="begin"/>
      </w:r>
      <w:r>
        <w:rPr>
          <w:i w:val="0"/>
          <w:iCs w:val="0"/>
        </w:rPr>
        <w:instrText xml:space="preserve"> PAGEREF _Toc10187 \h </w:instrText>
      </w:r>
      <w:r>
        <w:rPr>
          <w:i w:val="0"/>
          <w:iCs w:val="0"/>
        </w:rPr>
        <w:fldChar w:fldCharType="separate"/>
      </w:r>
      <w:r>
        <w:rPr>
          <w:i w:val="0"/>
          <w:iCs w:val="0"/>
        </w:rPr>
        <w:t>26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_Toc27275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4.1 投标文件的加密</w:t>
      </w:r>
      <w:r>
        <w:rPr>
          <w:i w:val="0"/>
          <w:iCs w:val="0"/>
        </w:rPr>
        <w:tab/>
      </w:r>
      <w:r>
        <w:rPr>
          <w:i w:val="0"/>
          <w:iCs w:val="0"/>
        </w:rPr>
        <w:fldChar w:fldCharType="begin"/>
      </w:r>
      <w:r>
        <w:rPr>
          <w:i w:val="0"/>
          <w:iCs w:val="0"/>
        </w:rPr>
        <w:instrText xml:space="preserve"> PAGEREF _Toc27275 \h </w:instrText>
      </w:r>
      <w:r>
        <w:rPr>
          <w:i w:val="0"/>
          <w:iCs w:val="0"/>
        </w:rPr>
        <w:fldChar w:fldCharType="separate"/>
      </w:r>
      <w:r>
        <w:rPr>
          <w:i w:val="0"/>
          <w:iCs w:val="0"/>
        </w:rPr>
        <w:t>26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_Toc27604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4.2 投标文件的递交</w:t>
      </w:r>
      <w:r>
        <w:rPr>
          <w:i w:val="0"/>
          <w:iCs w:val="0"/>
        </w:rPr>
        <w:tab/>
      </w:r>
      <w:r>
        <w:rPr>
          <w:i w:val="0"/>
          <w:iCs w:val="0"/>
        </w:rPr>
        <w:fldChar w:fldCharType="begin"/>
      </w:r>
      <w:r>
        <w:rPr>
          <w:i w:val="0"/>
          <w:iCs w:val="0"/>
        </w:rPr>
        <w:instrText xml:space="preserve"> PAGEREF _Toc27604 \h </w:instrText>
      </w:r>
      <w:r>
        <w:rPr>
          <w:i w:val="0"/>
          <w:iCs w:val="0"/>
        </w:rPr>
        <w:fldChar w:fldCharType="separate"/>
      </w:r>
      <w:r>
        <w:rPr>
          <w:i w:val="0"/>
          <w:iCs w:val="0"/>
        </w:rPr>
        <w:t>26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_Toc27852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4.3 投标文件的修改与撤回</w:t>
      </w:r>
      <w:r>
        <w:rPr>
          <w:i w:val="0"/>
          <w:iCs w:val="0"/>
        </w:rPr>
        <w:tab/>
      </w:r>
      <w:r>
        <w:rPr>
          <w:i w:val="0"/>
          <w:iCs w:val="0"/>
        </w:rPr>
        <w:fldChar w:fldCharType="begin"/>
      </w:r>
      <w:r>
        <w:rPr>
          <w:i w:val="0"/>
          <w:iCs w:val="0"/>
        </w:rPr>
        <w:instrText xml:space="preserve"> PAGEREF _Toc27852 \h </w:instrText>
      </w:r>
      <w:r>
        <w:rPr>
          <w:i w:val="0"/>
          <w:iCs w:val="0"/>
        </w:rPr>
        <w:fldChar w:fldCharType="separate"/>
      </w:r>
      <w:r>
        <w:rPr>
          <w:i w:val="0"/>
          <w:iCs w:val="0"/>
        </w:rPr>
        <w:t>26</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_Toc7551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5. 开标</w:t>
      </w:r>
      <w:r>
        <w:rPr>
          <w:i w:val="0"/>
          <w:iCs w:val="0"/>
        </w:rPr>
        <w:tab/>
      </w:r>
      <w:r>
        <w:rPr>
          <w:i w:val="0"/>
          <w:iCs w:val="0"/>
        </w:rPr>
        <w:fldChar w:fldCharType="begin"/>
      </w:r>
      <w:r>
        <w:rPr>
          <w:i w:val="0"/>
          <w:iCs w:val="0"/>
        </w:rPr>
        <w:instrText xml:space="preserve"> PAGEREF _Toc7551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_Toc21400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5.1 开标时间和地点</w:t>
      </w:r>
      <w:r>
        <w:rPr>
          <w:i w:val="0"/>
          <w:iCs w:val="0"/>
        </w:rPr>
        <w:tab/>
      </w:r>
      <w:r>
        <w:rPr>
          <w:i w:val="0"/>
          <w:iCs w:val="0"/>
        </w:rPr>
        <w:fldChar w:fldCharType="begin"/>
      </w:r>
      <w:r>
        <w:rPr>
          <w:i w:val="0"/>
          <w:iCs w:val="0"/>
        </w:rPr>
        <w:instrText xml:space="preserve"> PAGEREF _Toc21400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_Toc2526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5.2 开标程序</w:t>
      </w:r>
      <w:r>
        <w:rPr>
          <w:i w:val="0"/>
          <w:iCs w:val="0"/>
        </w:rPr>
        <w:tab/>
      </w:r>
      <w:r>
        <w:rPr>
          <w:i w:val="0"/>
          <w:iCs w:val="0"/>
        </w:rPr>
        <w:fldChar w:fldCharType="begin"/>
      </w:r>
      <w:r>
        <w:rPr>
          <w:i w:val="0"/>
          <w:iCs w:val="0"/>
        </w:rPr>
        <w:instrText xml:space="preserve"> PAGEREF _Toc2526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_Toc8203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5.3 开标异议</w:t>
      </w:r>
      <w:r>
        <w:rPr>
          <w:i w:val="0"/>
          <w:iCs w:val="0"/>
        </w:rPr>
        <w:tab/>
      </w:r>
      <w:r>
        <w:rPr>
          <w:i w:val="0"/>
          <w:iCs w:val="0"/>
        </w:rPr>
        <w:fldChar w:fldCharType="begin"/>
      </w:r>
      <w:r>
        <w:rPr>
          <w:i w:val="0"/>
          <w:iCs w:val="0"/>
        </w:rPr>
        <w:instrText xml:space="preserve"> PAGEREF _Toc8203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_Toc10875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6. 评标</w:t>
      </w:r>
      <w:r>
        <w:rPr>
          <w:i w:val="0"/>
          <w:iCs w:val="0"/>
        </w:rPr>
        <w:tab/>
      </w:r>
      <w:r>
        <w:rPr>
          <w:i w:val="0"/>
          <w:iCs w:val="0"/>
        </w:rPr>
        <w:fldChar w:fldCharType="begin"/>
      </w:r>
      <w:r>
        <w:rPr>
          <w:i w:val="0"/>
          <w:iCs w:val="0"/>
        </w:rPr>
        <w:instrText xml:space="preserve"> PAGEREF _Toc10875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_Toc31858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6.1 评标委员会</w:t>
      </w:r>
      <w:r>
        <w:rPr>
          <w:i w:val="0"/>
          <w:iCs w:val="0"/>
        </w:rPr>
        <w:tab/>
      </w:r>
      <w:r>
        <w:rPr>
          <w:i w:val="0"/>
          <w:iCs w:val="0"/>
        </w:rPr>
        <w:fldChar w:fldCharType="begin"/>
      </w:r>
      <w:r>
        <w:rPr>
          <w:i w:val="0"/>
          <w:iCs w:val="0"/>
        </w:rPr>
        <w:instrText xml:space="preserve"> PAGEREF _Toc31858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_Toc27176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6.2 评标原则</w:t>
      </w:r>
      <w:r>
        <w:rPr>
          <w:i w:val="0"/>
          <w:iCs w:val="0"/>
        </w:rPr>
        <w:tab/>
      </w:r>
      <w:r>
        <w:rPr>
          <w:i w:val="0"/>
          <w:iCs w:val="0"/>
        </w:rPr>
        <w:fldChar w:fldCharType="begin"/>
      </w:r>
      <w:r>
        <w:rPr>
          <w:i w:val="0"/>
          <w:iCs w:val="0"/>
        </w:rPr>
        <w:instrText xml:space="preserve"> PAGEREF _Toc27176 \h </w:instrText>
      </w:r>
      <w:r>
        <w:rPr>
          <w:i w:val="0"/>
          <w:iCs w:val="0"/>
        </w:rPr>
        <w:fldChar w:fldCharType="separate"/>
      </w:r>
      <w:r>
        <w:rPr>
          <w:i w:val="0"/>
          <w:iCs w:val="0"/>
        </w:rPr>
        <w:t>27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_Toc4070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6.3 评标</w:t>
      </w:r>
      <w:r>
        <w:rPr>
          <w:i w:val="0"/>
          <w:iCs w:val="0"/>
        </w:rPr>
        <w:tab/>
      </w:r>
      <w:r>
        <w:rPr>
          <w:i w:val="0"/>
          <w:iCs w:val="0"/>
        </w:rPr>
        <w:fldChar w:fldCharType="begin"/>
      </w:r>
      <w:r>
        <w:rPr>
          <w:i w:val="0"/>
          <w:iCs w:val="0"/>
        </w:rPr>
        <w:instrText xml:space="preserve"> PAGEREF _Toc4070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_Toc17659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7. 合同授予</w:t>
      </w:r>
      <w:r>
        <w:rPr>
          <w:i w:val="0"/>
          <w:iCs w:val="0"/>
        </w:rPr>
        <w:tab/>
      </w:r>
      <w:r>
        <w:rPr>
          <w:i w:val="0"/>
          <w:iCs w:val="0"/>
        </w:rPr>
        <w:fldChar w:fldCharType="begin"/>
      </w:r>
      <w:r>
        <w:rPr>
          <w:i w:val="0"/>
          <w:iCs w:val="0"/>
        </w:rPr>
        <w:instrText xml:space="preserve"> PAGEREF _Toc17659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_Toc6652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7.1 中标候选人公示</w:t>
      </w:r>
      <w:r>
        <w:rPr>
          <w:i w:val="0"/>
          <w:iCs w:val="0"/>
        </w:rPr>
        <w:tab/>
      </w:r>
      <w:r>
        <w:rPr>
          <w:i w:val="0"/>
          <w:iCs w:val="0"/>
        </w:rPr>
        <w:fldChar w:fldCharType="begin"/>
      </w:r>
      <w:r>
        <w:rPr>
          <w:i w:val="0"/>
          <w:iCs w:val="0"/>
        </w:rPr>
        <w:instrText xml:space="preserve"> PAGEREF _Toc6652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_Toc18602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7.2 评标结果异议</w:t>
      </w:r>
      <w:r>
        <w:rPr>
          <w:i w:val="0"/>
          <w:iCs w:val="0"/>
        </w:rPr>
        <w:tab/>
      </w:r>
      <w:r>
        <w:rPr>
          <w:i w:val="0"/>
          <w:iCs w:val="0"/>
        </w:rPr>
        <w:fldChar w:fldCharType="begin"/>
      </w:r>
      <w:r>
        <w:rPr>
          <w:i w:val="0"/>
          <w:iCs w:val="0"/>
        </w:rPr>
        <w:instrText xml:space="preserve"> PAGEREF _Toc18602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_Toc21568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7.3 中标候选人履约能力审查</w:t>
      </w:r>
      <w:r>
        <w:rPr>
          <w:i w:val="0"/>
          <w:iCs w:val="0"/>
        </w:rPr>
        <w:tab/>
      </w:r>
      <w:r>
        <w:rPr>
          <w:i w:val="0"/>
          <w:iCs w:val="0"/>
        </w:rPr>
        <w:fldChar w:fldCharType="begin"/>
      </w:r>
      <w:r>
        <w:rPr>
          <w:i w:val="0"/>
          <w:iCs w:val="0"/>
        </w:rPr>
        <w:instrText xml:space="preserve"> PAGEREF _Toc21568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_Toc18577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7.4 定标</w:t>
      </w:r>
      <w:r>
        <w:rPr>
          <w:i w:val="0"/>
          <w:iCs w:val="0"/>
        </w:rPr>
        <w:tab/>
      </w:r>
      <w:r>
        <w:rPr>
          <w:i w:val="0"/>
          <w:iCs w:val="0"/>
        </w:rPr>
        <w:fldChar w:fldCharType="begin"/>
      </w:r>
      <w:r>
        <w:rPr>
          <w:i w:val="0"/>
          <w:iCs w:val="0"/>
        </w:rPr>
        <w:instrText xml:space="preserve"> PAGEREF _Toc18577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_Toc19602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7.5 中标通知</w:t>
      </w:r>
      <w:r>
        <w:rPr>
          <w:i w:val="0"/>
          <w:iCs w:val="0"/>
        </w:rPr>
        <w:tab/>
      </w:r>
      <w:r>
        <w:rPr>
          <w:i w:val="0"/>
          <w:iCs w:val="0"/>
        </w:rPr>
        <w:fldChar w:fldCharType="begin"/>
      </w:r>
      <w:r>
        <w:rPr>
          <w:i w:val="0"/>
          <w:iCs w:val="0"/>
        </w:rPr>
        <w:instrText xml:space="preserve"> PAGEREF _Toc19602 \h </w:instrText>
      </w:r>
      <w:r>
        <w:rPr>
          <w:i w:val="0"/>
          <w:iCs w:val="0"/>
        </w:rPr>
        <w:fldChar w:fldCharType="separate"/>
      </w:r>
      <w:r>
        <w:rPr>
          <w:i w:val="0"/>
          <w:iCs w:val="0"/>
        </w:rPr>
        <w:t>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_Toc27425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highlight w:val="none"/>
        </w:rPr>
        <w:t>7.6 技术成果经济补偿</w:t>
      </w:r>
      <w:r>
        <w:rPr>
          <w:i w:val="0"/>
          <w:iCs w:val="0"/>
        </w:rPr>
        <w:tab/>
      </w:r>
      <w:r>
        <w:rPr>
          <w:i w:val="0"/>
          <w:iCs w:val="0"/>
        </w:rPr>
        <w:fldChar w:fldCharType="begin"/>
      </w:r>
      <w:r>
        <w:rPr>
          <w:i w:val="0"/>
          <w:iCs w:val="0"/>
        </w:rPr>
        <w:instrText xml:space="preserve"> PAGEREF _Toc27425 \h </w:instrText>
      </w:r>
      <w:r>
        <w:rPr>
          <w:i w:val="0"/>
          <w:iCs w:val="0"/>
        </w:rPr>
        <w:fldChar w:fldCharType="separate"/>
      </w:r>
      <w:r>
        <w:rPr>
          <w:i w:val="0"/>
          <w:iCs w:val="0"/>
        </w:rPr>
        <w:t>29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_Toc26479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7.7 履约保证金</w:t>
      </w:r>
      <w:r>
        <w:rPr>
          <w:i w:val="0"/>
          <w:iCs w:val="0"/>
        </w:rPr>
        <w:tab/>
      </w:r>
      <w:r>
        <w:rPr>
          <w:i w:val="0"/>
          <w:iCs w:val="0"/>
        </w:rPr>
        <w:fldChar w:fldCharType="begin"/>
      </w:r>
      <w:r>
        <w:rPr>
          <w:i w:val="0"/>
          <w:iCs w:val="0"/>
        </w:rPr>
        <w:instrText xml:space="preserve"> PAGEREF _Toc26479 \h </w:instrText>
      </w:r>
      <w:r>
        <w:rPr>
          <w:i w:val="0"/>
          <w:iCs w:val="0"/>
        </w:rPr>
        <w:fldChar w:fldCharType="separate"/>
      </w:r>
      <w:r>
        <w:rPr>
          <w:i w:val="0"/>
          <w:iCs w:val="0"/>
        </w:rPr>
        <w:t>29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_Toc9095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7.8 签订合同</w:t>
      </w:r>
      <w:r>
        <w:rPr>
          <w:i w:val="0"/>
          <w:iCs w:val="0"/>
        </w:rPr>
        <w:tab/>
      </w:r>
      <w:r>
        <w:rPr>
          <w:i w:val="0"/>
          <w:iCs w:val="0"/>
        </w:rPr>
        <w:fldChar w:fldCharType="begin"/>
      </w:r>
      <w:r>
        <w:rPr>
          <w:i w:val="0"/>
          <w:iCs w:val="0"/>
        </w:rPr>
        <w:instrText xml:space="preserve"> PAGEREF _Toc9095 \h </w:instrText>
      </w:r>
      <w:r>
        <w:rPr>
          <w:i w:val="0"/>
          <w:iCs w:val="0"/>
        </w:rPr>
        <w:fldChar w:fldCharType="separate"/>
      </w:r>
      <w:r>
        <w:rPr>
          <w:i w:val="0"/>
          <w:iCs w:val="0"/>
        </w:rPr>
        <w:t>29</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_Toc29028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8. 重新招标和终止招标</w:t>
      </w:r>
      <w:r>
        <w:rPr>
          <w:i w:val="0"/>
          <w:iCs w:val="0"/>
        </w:rPr>
        <w:tab/>
      </w:r>
      <w:r>
        <w:rPr>
          <w:i w:val="0"/>
          <w:iCs w:val="0"/>
        </w:rPr>
        <w:fldChar w:fldCharType="begin"/>
      </w:r>
      <w:r>
        <w:rPr>
          <w:i w:val="0"/>
          <w:iCs w:val="0"/>
        </w:rPr>
        <w:instrText xml:space="preserve"> PAGEREF _Toc29028 \h </w:instrText>
      </w:r>
      <w:r>
        <w:rPr>
          <w:i w:val="0"/>
          <w:iCs w:val="0"/>
        </w:rPr>
        <w:fldChar w:fldCharType="separate"/>
      </w:r>
      <w:r>
        <w:rPr>
          <w:i w:val="0"/>
          <w:iCs w:val="0"/>
        </w:rPr>
        <w:t>29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_Toc462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8.1 重新招标</w:t>
      </w:r>
      <w:r>
        <w:rPr>
          <w:i w:val="0"/>
          <w:iCs w:val="0"/>
        </w:rPr>
        <w:tab/>
      </w:r>
      <w:r>
        <w:rPr>
          <w:i w:val="0"/>
          <w:iCs w:val="0"/>
        </w:rPr>
        <w:fldChar w:fldCharType="begin"/>
      </w:r>
      <w:r>
        <w:rPr>
          <w:i w:val="0"/>
          <w:iCs w:val="0"/>
        </w:rPr>
        <w:instrText xml:space="preserve"> PAGEREF _Toc462 \h </w:instrText>
      </w:r>
      <w:r>
        <w:rPr>
          <w:i w:val="0"/>
          <w:iCs w:val="0"/>
        </w:rPr>
        <w:fldChar w:fldCharType="separate"/>
      </w:r>
      <w:r>
        <w:rPr>
          <w:i w:val="0"/>
          <w:iCs w:val="0"/>
        </w:rPr>
        <w:t>29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_Toc8513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8.2 终止招标</w:t>
      </w:r>
      <w:r>
        <w:rPr>
          <w:i w:val="0"/>
          <w:iCs w:val="0"/>
        </w:rPr>
        <w:tab/>
      </w:r>
      <w:r>
        <w:rPr>
          <w:i w:val="0"/>
          <w:iCs w:val="0"/>
        </w:rPr>
        <w:fldChar w:fldCharType="begin"/>
      </w:r>
      <w:r>
        <w:rPr>
          <w:i w:val="0"/>
          <w:iCs w:val="0"/>
        </w:rPr>
        <w:instrText xml:space="preserve"> PAGEREF _Toc8513 \h </w:instrText>
      </w:r>
      <w:r>
        <w:rPr>
          <w:i w:val="0"/>
          <w:iCs w:val="0"/>
        </w:rPr>
        <w:fldChar w:fldCharType="separate"/>
      </w:r>
      <w:r>
        <w:rPr>
          <w:i w:val="0"/>
          <w:iCs w:val="0"/>
        </w:rPr>
        <w:t>30</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_Toc21702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lang w:val="en-US" w:eastAsia="zh-CN"/>
        </w:rPr>
        <w:t>9</w:t>
      </w:r>
      <w:r>
        <w:rPr>
          <w:rFonts w:hint="eastAsia" w:asciiTheme="majorEastAsia" w:hAnsiTheme="majorEastAsia"/>
          <w:i w:val="0"/>
          <w:iCs w:val="0"/>
          <w:szCs w:val="21"/>
        </w:rPr>
        <w:t>. 纪律和监督</w:t>
      </w:r>
      <w:r>
        <w:rPr>
          <w:i w:val="0"/>
          <w:iCs w:val="0"/>
        </w:rPr>
        <w:tab/>
      </w:r>
      <w:r>
        <w:rPr>
          <w:i w:val="0"/>
          <w:iCs w:val="0"/>
        </w:rPr>
        <w:fldChar w:fldCharType="begin"/>
      </w:r>
      <w:r>
        <w:rPr>
          <w:i w:val="0"/>
          <w:iCs w:val="0"/>
        </w:rPr>
        <w:instrText xml:space="preserve"> PAGEREF _Toc21702 \h </w:instrText>
      </w:r>
      <w:r>
        <w:rPr>
          <w:i w:val="0"/>
          <w:iCs w:val="0"/>
        </w:rPr>
        <w:fldChar w:fldCharType="separate"/>
      </w:r>
      <w:r>
        <w:rPr>
          <w:i w:val="0"/>
          <w:iCs w:val="0"/>
        </w:rPr>
        <w:t>30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_Toc14537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lang w:val="en-US" w:eastAsia="zh-CN"/>
        </w:rPr>
        <w:t>9</w:t>
      </w:r>
      <w:r>
        <w:rPr>
          <w:rFonts w:hint="eastAsia" w:asciiTheme="majorEastAsia" w:hAnsiTheme="majorEastAsia" w:eastAsiaTheme="majorEastAsia"/>
          <w:i w:val="0"/>
          <w:iCs w:val="0"/>
          <w:szCs w:val="21"/>
        </w:rPr>
        <w:t>.1 对招标人的纪律要求</w:t>
      </w:r>
      <w:r>
        <w:rPr>
          <w:i w:val="0"/>
          <w:iCs w:val="0"/>
        </w:rPr>
        <w:tab/>
      </w:r>
      <w:r>
        <w:rPr>
          <w:i w:val="0"/>
          <w:iCs w:val="0"/>
        </w:rPr>
        <w:fldChar w:fldCharType="begin"/>
      </w:r>
      <w:r>
        <w:rPr>
          <w:i w:val="0"/>
          <w:iCs w:val="0"/>
        </w:rPr>
        <w:instrText xml:space="preserve"> PAGEREF _Toc14537 \h </w:instrText>
      </w:r>
      <w:r>
        <w:rPr>
          <w:i w:val="0"/>
          <w:iCs w:val="0"/>
        </w:rPr>
        <w:fldChar w:fldCharType="separate"/>
      </w:r>
      <w:r>
        <w:rPr>
          <w:i w:val="0"/>
          <w:iCs w:val="0"/>
        </w:rPr>
        <w:t>30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_Toc13433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lang w:val="en-US" w:eastAsia="zh-CN"/>
        </w:rPr>
        <w:t>9</w:t>
      </w:r>
      <w:r>
        <w:rPr>
          <w:rFonts w:hint="eastAsia" w:asciiTheme="majorEastAsia" w:hAnsiTheme="majorEastAsia" w:eastAsiaTheme="majorEastAsia"/>
          <w:i w:val="0"/>
          <w:iCs w:val="0"/>
          <w:szCs w:val="21"/>
        </w:rPr>
        <w:t>.2 对投标人的纪律要求</w:t>
      </w:r>
      <w:r>
        <w:rPr>
          <w:i w:val="0"/>
          <w:iCs w:val="0"/>
        </w:rPr>
        <w:tab/>
      </w:r>
      <w:r>
        <w:rPr>
          <w:i w:val="0"/>
          <w:iCs w:val="0"/>
        </w:rPr>
        <w:fldChar w:fldCharType="begin"/>
      </w:r>
      <w:r>
        <w:rPr>
          <w:i w:val="0"/>
          <w:iCs w:val="0"/>
        </w:rPr>
        <w:instrText xml:space="preserve"> PAGEREF _Toc13433 \h </w:instrText>
      </w:r>
      <w:r>
        <w:rPr>
          <w:i w:val="0"/>
          <w:iCs w:val="0"/>
        </w:rPr>
        <w:fldChar w:fldCharType="separate"/>
      </w:r>
      <w:r>
        <w:rPr>
          <w:i w:val="0"/>
          <w:iCs w:val="0"/>
        </w:rPr>
        <w:t>30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_Toc8174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lang w:val="en-US" w:eastAsia="zh-CN"/>
        </w:rPr>
        <w:t>9</w:t>
      </w:r>
      <w:r>
        <w:rPr>
          <w:rFonts w:hint="eastAsia" w:asciiTheme="majorEastAsia" w:hAnsiTheme="majorEastAsia" w:eastAsiaTheme="majorEastAsia"/>
          <w:i w:val="0"/>
          <w:iCs w:val="0"/>
          <w:szCs w:val="21"/>
        </w:rPr>
        <w:t>.3 对评标委员会成员的纪律要求</w:t>
      </w:r>
      <w:r>
        <w:rPr>
          <w:i w:val="0"/>
          <w:iCs w:val="0"/>
        </w:rPr>
        <w:tab/>
      </w:r>
      <w:r>
        <w:rPr>
          <w:i w:val="0"/>
          <w:iCs w:val="0"/>
        </w:rPr>
        <w:fldChar w:fldCharType="begin"/>
      </w:r>
      <w:r>
        <w:rPr>
          <w:i w:val="0"/>
          <w:iCs w:val="0"/>
        </w:rPr>
        <w:instrText xml:space="preserve"> PAGEREF _Toc8174 \h </w:instrText>
      </w:r>
      <w:r>
        <w:rPr>
          <w:i w:val="0"/>
          <w:iCs w:val="0"/>
        </w:rPr>
        <w:fldChar w:fldCharType="separate"/>
      </w:r>
      <w:r>
        <w:rPr>
          <w:i w:val="0"/>
          <w:iCs w:val="0"/>
        </w:rPr>
        <w:t>30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lang w:val="en-US" w:eastAsia="zh-CN"/>
        </w:rPr>
        <w:t>9</w:t>
      </w:r>
      <w:r>
        <w:rPr>
          <w:rFonts w:hint="eastAsia" w:asciiTheme="majorEastAsia" w:hAnsiTheme="majorEastAsia" w:eastAsiaTheme="majorEastAsia"/>
          <w:i w:val="0"/>
          <w:iCs w:val="0"/>
          <w:szCs w:val="21"/>
        </w:rPr>
        <w:t>.4 对与评标活动有关的工作人员的纪律要求</w:t>
      </w:r>
      <w:r>
        <w:rPr>
          <w:i w:val="0"/>
          <w:iCs w:val="0"/>
        </w:rPr>
        <w:tab/>
      </w:r>
      <w:r>
        <w:rPr>
          <w:i w:val="0"/>
          <w:iCs w:val="0"/>
        </w:rPr>
        <w:fldChar w:fldCharType="begin"/>
      </w:r>
      <w:r>
        <w:rPr>
          <w:i w:val="0"/>
          <w:iCs w:val="0"/>
        </w:rPr>
        <w:instrText xml:space="preserve"> PAGEREF _Toc246 \h </w:instrText>
      </w:r>
      <w:r>
        <w:rPr>
          <w:i w:val="0"/>
          <w:iCs w:val="0"/>
        </w:rPr>
        <w:fldChar w:fldCharType="separate"/>
      </w:r>
      <w:r>
        <w:rPr>
          <w:i w:val="0"/>
          <w:iCs w:val="0"/>
        </w:rPr>
        <w:t>31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_Toc30423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lang w:val="en-US" w:eastAsia="zh-CN"/>
        </w:rPr>
        <w:t>9</w:t>
      </w:r>
      <w:r>
        <w:rPr>
          <w:rFonts w:hint="eastAsia" w:asciiTheme="majorEastAsia" w:hAnsiTheme="majorEastAsia" w:eastAsiaTheme="majorEastAsia"/>
          <w:i w:val="0"/>
          <w:iCs w:val="0"/>
          <w:szCs w:val="21"/>
        </w:rPr>
        <w:t>.5 投诉</w:t>
      </w:r>
      <w:r>
        <w:rPr>
          <w:i w:val="0"/>
          <w:iCs w:val="0"/>
        </w:rPr>
        <w:tab/>
      </w:r>
      <w:r>
        <w:rPr>
          <w:i w:val="0"/>
          <w:iCs w:val="0"/>
        </w:rPr>
        <w:fldChar w:fldCharType="begin"/>
      </w:r>
      <w:r>
        <w:rPr>
          <w:i w:val="0"/>
          <w:iCs w:val="0"/>
        </w:rPr>
        <w:instrText xml:space="preserve"> PAGEREF _Toc30423 \h </w:instrText>
      </w:r>
      <w:r>
        <w:rPr>
          <w:i w:val="0"/>
          <w:iCs w:val="0"/>
        </w:rPr>
        <w:fldChar w:fldCharType="separate"/>
      </w:r>
      <w:r>
        <w:rPr>
          <w:i w:val="0"/>
          <w:iCs w:val="0"/>
        </w:rPr>
        <w:t>31</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_Toc182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lang w:val="en-US" w:eastAsia="zh-CN"/>
        </w:rPr>
        <w:t>10</w:t>
      </w:r>
      <w:r>
        <w:rPr>
          <w:rFonts w:hint="eastAsia" w:asciiTheme="majorEastAsia" w:hAnsiTheme="majorEastAsia"/>
          <w:i w:val="0"/>
          <w:iCs w:val="0"/>
          <w:szCs w:val="21"/>
        </w:rPr>
        <w:t>. 需要补充的其他内容</w:t>
      </w:r>
      <w:r>
        <w:rPr>
          <w:i w:val="0"/>
          <w:iCs w:val="0"/>
        </w:rPr>
        <w:tab/>
      </w:r>
      <w:r>
        <w:rPr>
          <w:i w:val="0"/>
          <w:iCs w:val="0"/>
        </w:rPr>
        <w:fldChar w:fldCharType="begin"/>
      </w:r>
      <w:r>
        <w:rPr>
          <w:i w:val="0"/>
          <w:iCs w:val="0"/>
        </w:rPr>
        <w:instrText xml:space="preserve"> PAGEREF _Toc182 \h </w:instrText>
      </w:r>
      <w:r>
        <w:rPr>
          <w:i w:val="0"/>
          <w:iCs w:val="0"/>
        </w:rPr>
        <w:fldChar w:fldCharType="separate"/>
      </w:r>
      <w:r>
        <w:rPr>
          <w:i w:val="0"/>
          <w:iCs w:val="0"/>
        </w:rPr>
        <w:t>31</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_Toc15690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附件</w:t>
      </w:r>
      <w:r>
        <w:rPr>
          <w:rFonts w:hint="eastAsia" w:asciiTheme="majorEastAsia" w:hAnsiTheme="majorEastAsia"/>
          <w:i w:val="0"/>
          <w:iCs w:val="0"/>
          <w:szCs w:val="28"/>
          <w:lang w:val="en-US" w:eastAsia="zh-CN"/>
        </w:rPr>
        <w:t>一</w:t>
      </w:r>
      <w:r>
        <w:rPr>
          <w:rFonts w:hint="eastAsia" w:asciiTheme="majorEastAsia" w:hAnsiTheme="majorEastAsia"/>
          <w:i w:val="0"/>
          <w:iCs w:val="0"/>
          <w:szCs w:val="28"/>
        </w:rPr>
        <w:t>：开标记录表（</w:t>
      </w:r>
      <w:r>
        <w:rPr>
          <w:rFonts w:hint="eastAsia" w:asciiTheme="majorEastAsia" w:hAnsiTheme="majorEastAsia"/>
          <w:i w:val="0"/>
          <w:iCs w:val="0"/>
          <w:szCs w:val="28"/>
          <w:lang w:val="en-US" w:eastAsia="zh-CN"/>
        </w:rPr>
        <w:t>参考</w:t>
      </w:r>
      <w:r>
        <w:rPr>
          <w:rFonts w:hint="eastAsia" w:asciiTheme="majorEastAsia" w:hAnsiTheme="majorEastAsia"/>
          <w:i w:val="0"/>
          <w:iCs w:val="0"/>
          <w:szCs w:val="28"/>
        </w:rPr>
        <w:t>格式）</w:t>
      </w:r>
      <w:r>
        <w:rPr>
          <w:i w:val="0"/>
          <w:iCs w:val="0"/>
        </w:rPr>
        <w:tab/>
      </w:r>
      <w:r>
        <w:rPr>
          <w:i w:val="0"/>
          <w:iCs w:val="0"/>
        </w:rPr>
        <w:fldChar w:fldCharType="begin"/>
      </w:r>
      <w:r>
        <w:rPr>
          <w:i w:val="0"/>
          <w:iCs w:val="0"/>
        </w:rPr>
        <w:instrText xml:space="preserve"> PAGEREF _Toc15690 \h </w:instrText>
      </w:r>
      <w:r>
        <w:rPr>
          <w:i w:val="0"/>
          <w:iCs w:val="0"/>
        </w:rPr>
        <w:fldChar w:fldCharType="separate"/>
      </w:r>
      <w:r>
        <w:rPr>
          <w:i w:val="0"/>
          <w:iCs w:val="0"/>
        </w:rPr>
        <w:t>32</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_Toc25319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lang w:val="en-US" w:eastAsia="zh-CN"/>
        </w:rPr>
        <w:t>附件二：软硬件信息记录表（参考格式）</w:t>
      </w:r>
      <w:r>
        <w:rPr>
          <w:i w:val="0"/>
          <w:iCs w:val="0"/>
        </w:rPr>
        <w:tab/>
      </w:r>
      <w:r>
        <w:rPr>
          <w:i w:val="0"/>
          <w:iCs w:val="0"/>
        </w:rPr>
        <w:fldChar w:fldCharType="begin"/>
      </w:r>
      <w:r>
        <w:rPr>
          <w:i w:val="0"/>
          <w:iCs w:val="0"/>
        </w:rPr>
        <w:instrText xml:space="preserve"> PAGEREF _Toc25319 \h </w:instrText>
      </w:r>
      <w:r>
        <w:rPr>
          <w:i w:val="0"/>
          <w:iCs w:val="0"/>
        </w:rPr>
        <w:fldChar w:fldCharType="separate"/>
      </w:r>
      <w:r>
        <w:rPr>
          <w:i w:val="0"/>
          <w:iCs w:val="0"/>
        </w:rPr>
        <w:t>34</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_Toc25136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附件</w:t>
      </w:r>
      <w:r>
        <w:rPr>
          <w:rFonts w:hint="eastAsia" w:asciiTheme="majorEastAsia" w:hAnsiTheme="majorEastAsia"/>
          <w:i w:val="0"/>
          <w:iCs w:val="0"/>
          <w:szCs w:val="28"/>
          <w:lang w:val="en-US" w:eastAsia="zh-CN"/>
        </w:rPr>
        <w:t>三</w:t>
      </w:r>
      <w:r>
        <w:rPr>
          <w:rFonts w:hint="eastAsia" w:asciiTheme="majorEastAsia" w:hAnsiTheme="majorEastAsia"/>
          <w:i w:val="0"/>
          <w:iCs w:val="0"/>
          <w:szCs w:val="28"/>
        </w:rPr>
        <w:t>：问题澄清通知（参考格式）</w:t>
      </w:r>
      <w:r>
        <w:rPr>
          <w:i w:val="0"/>
          <w:iCs w:val="0"/>
        </w:rPr>
        <w:tab/>
      </w:r>
      <w:r>
        <w:rPr>
          <w:i w:val="0"/>
          <w:iCs w:val="0"/>
        </w:rPr>
        <w:fldChar w:fldCharType="begin"/>
      </w:r>
      <w:r>
        <w:rPr>
          <w:i w:val="0"/>
          <w:iCs w:val="0"/>
        </w:rPr>
        <w:instrText xml:space="preserve"> PAGEREF _Toc25136 \h </w:instrText>
      </w:r>
      <w:r>
        <w:rPr>
          <w:i w:val="0"/>
          <w:iCs w:val="0"/>
        </w:rPr>
        <w:fldChar w:fldCharType="separate"/>
      </w:r>
      <w:r>
        <w:rPr>
          <w:i w:val="0"/>
          <w:iCs w:val="0"/>
        </w:rPr>
        <w:t>35</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_Toc19815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附件</w:t>
      </w:r>
      <w:r>
        <w:rPr>
          <w:rFonts w:hint="eastAsia" w:asciiTheme="majorEastAsia" w:hAnsiTheme="majorEastAsia"/>
          <w:i w:val="0"/>
          <w:iCs w:val="0"/>
          <w:szCs w:val="28"/>
          <w:lang w:val="en-US" w:eastAsia="zh-CN"/>
        </w:rPr>
        <w:t>四</w:t>
      </w:r>
      <w:r>
        <w:rPr>
          <w:rFonts w:hint="eastAsia" w:asciiTheme="majorEastAsia" w:hAnsiTheme="majorEastAsia"/>
          <w:i w:val="0"/>
          <w:iCs w:val="0"/>
          <w:szCs w:val="28"/>
        </w:rPr>
        <w:t>：问题的澄清（参考格式）</w:t>
      </w:r>
      <w:r>
        <w:rPr>
          <w:i w:val="0"/>
          <w:iCs w:val="0"/>
        </w:rPr>
        <w:tab/>
      </w:r>
      <w:r>
        <w:rPr>
          <w:i w:val="0"/>
          <w:iCs w:val="0"/>
        </w:rPr>
        <w:fldChar w:fldCharType="begin"/>
      </w:r>
      <w:r>
        <w:rPr>
          <w:i w:val="0"/>
          <w:iCs w:val="0"/>
        </w:rPr>
        <w:instrText xml:space="preserve"> PAGEREF _Toc19815 \h </w:instrText>
      </w:r>
      <w:r>
        <w:rPr>
          <w:i w:val="0"/>
          <w:iCs w:val="0"/>
        </w:rPr>
        <w:fldChar w:fldCharType="separate"/>
      </w:r>
      <w:r>
        <w:rPr>
          <w:i w:val="0"/>
          <w:iCs w:val="0"/>
        </w:rPr>
        <w:t>36</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_Toc25663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附件</w:t>
      </w:r>
      <w:r>
        <w:rPr>
          <w:rFonts w:hint="eastAsia" w:asciiTheme="majorEastAsia" w:hAnsiTheme="majorEastAsia"/>
          <w:i w:val="0"/>
          <w:iCs w:val="0"/>
          <w:szCs w:val="28"/>
          <w:lang w:val="en-US" w:eastAsia="zh-CN"/>
        </w:rPr>
        <w:t>五</w:t>
      </w:r>
      <w:r>
        <w:rPr>
          <w:rFonts w:hint="eastAsia" w:asciiTheme="majorEastAsia" w:hAnsiTheme="majorEastAsia"/>
          <w:i w:val="0"/>
          <w:iCs w:val="0"/>
          <w:szCs w:val="28"/>
        </w:rPr>
        <w:t>：中标通知书（参考格式）</w:t>
      </w:r>
      <w:r>
        <w:rPr>
          <w:i w:val="0"/>
          <w:iCs w:val="0"/>
        </w:rPr>
        <w:tab/>
      </w:r>
      <w:r>
        <w:rPr>
          <w:i w:val="0"/>
          <w:iCs w:val="0"/>
        </w:rPr>
        <w:fldChar w:fldCharType="begin"/>
      </w:r>
      <w:r>
        <w:rPr>
          <w:i w:val="0"/>
          <w:iCs w:val="0"/>
        </w:rPr>
        <w:instrText xml:space="preserve"> PAGEREF _Toc25663 \h </w:instrText>
      </w:r>
      <w:r>
        <w:rPr>
          <w:i w:val="0"/>
          <w:iCs w:val="0"/>
        </w:rPr>
        <w:fldChar w:fldCharType="separate"/>
      </w:r>
      <w:r>
        <w:rPr>
          <w:i w:val="0"/>
          <w:iCs w:val="0"/>
        </w:rPr>
        <w:t>37</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_Toc6960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附件</w:t>
      </w:r>
      <w:r>
        <w:rPr>
          <w:rFonts w:hint="eastAsia" w:asciiTheme="majorEastAsia" w:hAnsiTheme="majorEastAsia"/>
          <w:i w:val="0"/>
          <w:iCs w:val="0"/>
          <w:szCs w:val="28"/>
          <w:lang w:val="en-US" w:eastAsia="zh-CN"/>
        </w:rPr>
        <w:t>六</w:t>
      </w:r>
      <w:r>
        <w:rPr>
          <w:rFonts w:hint="eastAsia" w:asciiTheme="majorEastAsia" w:hAnsiTheme="majorEastAsia"/>
          <w:i w:val="0"/>
          <w:iCs w:val="0"/>
          <w:szCs w:val="28"/>
        </w:rPr>
        <w:t>：</w:t>
      </w:r>
      <w:r>
        <w:rPr>
          <w:rFonts w:hint="eastAsia" w:ascii="宋体" w:hAnsi="宋体" w:eastAsia="宋体" w:cs="宋体"/>
          <w:bCs/>
          <w:i w:val="0"/>
          <w:iCs w:val="0"/>
          <w:szCs w:val="28"/>
          <w:lang w:val="en-US" w:eastAsia="zh-CN"/>
        </w:rPr>
        <w:t>中标候选人公示（参考格式）</w:t>
      </w:r>
      <w:r>
        <w:rPr>
          <w:i w:val="0"/>
          <w:iCs w:val="0"/>
        </w:rPr>
        <w:tab/>
      </w:r>
      <w:r>
        <w:rPr>
          <w:i w:val="0"/>
          <w:iCs w:val="0"/>
        </w:rPr>
        <w:fldChar w:fldCharType="begin"/>
      </w:r>
      <w:r>
        <w:rPr>
          <w:i w:val="0"/>
          <w:iCs w:val="0"/>
        </w:rPr>
        <w:instrText xml:space="preserve"> PAGEREF _Toc6960 \h </w:instrText>
      </w:r>
      <w:r>
        <w:rPr>
          <w:i w:val="0"/>
          <w:iCs w:val="0"/>
        </w:rPr>
        <w:fldChar w:fldCharType="separate"/>
      </w:r>
      <w:r>
        <w:rPr>
          <w:i w:val="0"/>
          <w:iCs w:val="0"/>
        </w:rPr>
        <w:t>38</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_Toc13598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lang w:val="en-US" w:eastAsia="zh-CN"/>
        </w:rPr>
        <w:t>附件七：</w:t>
      </w:r>
      <w:r>
        <w:rPr>
          <w:rFonts w:hint="eastAsia" w:asciiTheme="majorEastAsia" w:hAnsiTheme="majorEastAsia"/>
          <w:i w:val="0"/>
          <w:iCs w:val="0"/>
          <w:szCs w:val="28"/>
        </w:rPr>
        <w:t>中标结果通知书（参考格式）</w:t>
      </w:r>
      <w:r>
        <w:rPr>
          <w:i w:val="0"/>
          <w:iCs w:val="0"/>
        </w:rPr>
        <w:tab/>
      </w:r>
      <w:r>
        <w:rPr>
          <w:i w:val="0"/>
          <w:iCs w:val="0"/>
        </w:rPr>
        <w:fldChar w:fldCharType="begin"/>
      </w:r>
      <w:r>
        <w:rPr>
          <w:i w:val="0"/>
          <w:iCs w:val="0"/>
        </w:rPr>
        <w:instrText xml:space="preserve"> PAGEREF _Toc13598 \h </w:instrText>
      </w:r>
      <w:r>
        <w:rPr>
          <w:i w:val="0"/>
          <w:iCs w:val="0"/>
        </w:rPr>
        <w:fldChar w:fldCharType="separate"/>
      </w:r>
      <w:r>
        <w:rPr>
          <w:i w:val="0"/>
          <w:iCs w:val="0"/>
        </w:rPr>
        <w:t>39</w:t>
      </w:r>
      <w:r>
        <w:rPr>
          <w:i w:val="0"/>
          <w:iCs w:val="0"/>
        </w:rPr>
        <w:fldChar w:fldCharType="end"/>
      </w:r>
      <w:r>
        <w:rPr>
          <w:rFonts w:asciiTheme="minorEastAsia" w:hAnsiTheme="minorEastAsia" w:cstheme="minorHAnsi"/>
          <w:i w:val="0"/>
          <w:iCs w:val="0"/>
          <w:szCs w:val="21"/>
        </w:rPr>
        <w:fldChar w:fldCharType="end"/>
      </w:r>
    </w:p>
    <w:p>
      <w:pPr>
        <w:pStyle w:val="19"/>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_Toc22402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36"/>
        </w:rPr>
        <w:t>第三章 评标办法（综合评估法</w:t>
      </w:r>
      <w:r>
        <w:rPr>
          <w:rFonts w:hint="eastAsia" w:asciiTheme="majorEastAsia" w:hAnsiTheme="majorEastAsia" w:eastAsiaTheme="majorEastAsia"/>
          <w:i w:val="0"/>
          <w:iCs w:val="0"/>
          <w:szCs w:val="36"/>
          <w:lang w:val="en-US" w:eastAsia="zh-CN"/>
        </w:rPr>
        <w:t>Ⅰ类</w:t>
      </w:r>
      <w:r>
        <w:rPr>
          <w:rFonts w:hint="eastAsia" w:asciiTheme="majorEastAsia" w:hAnsiTheme="majorEastAsia" w:eastAsiaTheme="majorEastAsia"/>
          <w:i w:val="0"/>
          <w:iCs w:val="0"/>
          <w:szCs w:val="36"/>
        </w:rPr>
        <w:t>）</w:t>
      </w:r>
      <w:r>
        <w:rPr>
          <w:i w:val="0"/>
          <w:iCs w:val="0"/>
        </w:rPr>
        <w:tab/>
      </w:r>
      <w:r>
        <w:rPr>
          <w:i w:val="0"/>
          <w:iCs w:val="0"/>
        </w:rPr>
        <w:fldChar w:fldCharType="begin"/>
      </w:r>
      <w:r>
        <w:rPr>
          <w:i w:val="0"/>
          <w:iCs w:val="0"/>
        </w:rPr>
        <w:instrText xml:space="preserve"> PAGEREF _Toc22402 \h </w:instrText>
      </w:r>
      <w:r>
        <w:rPr>
          <w:i w:val="0"/>
          <w:iCs w:val="0"/>
        </w:rPr>
        <w:fldChar w:fldCharType="separate"/>
      </w:r>
      <w:r>
        <w:rPr>
          <w:i w:val="0"/>
          <w:iCs w:val="0"/>
        </w:rPr>
        <w:t>40</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_Toc23163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评标办法前附表</w:t>
      </w:r>
      <w:r>
        <w:rPr>
          <w:i w:val="0"/>
          <w:iCs w:val="0"/>
        </w:rPr>
        <w:tab/>
      </w:r>
      <w:r>
        <w:rPr>
          <w:i w:val="0"/>
          <w:iCs w:val="0"/>
        </w:rPr>
        <w:fldChar w:fldCharType="begin"/>
      </w:r>
      <w:r>
        <w:rPr>
          <w:i w:val="0"/>
          <w:iCs w:val="0"/>
        </w:rPr>
        <w:instrText xml:space="preserve"> PAGEREF _Toc23163 \h </w:instrText>
      </w:r>
      <w:r>
        <w:rPr>
          <w:i w:val="0"/>
          <w:iCs w:val="0"/>
        </w:rPr>
        <w:fldChar w:fldCharType="separate"/>
      </w:r>
      <w:r>
        <w:rPr>
          <w:i w:val="0"/>
          <w:iCs w:val="0"/>
        </w:rPr>
        <w:t>40</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_Toc8982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1. 评标方法</w:t>
      </w:r>
      <w:r>
        <w:rPr>
          <w:i w:val="0"/>
          <w:iCs w:val="0"/>
        </w:rPr>
        <w:tab/>
      </w:r>
      <w:r>
        <w:rPr>
          <w:i w:val="0"/>
          <w:iCs w:val="0"/>
        </w:rPr>
        <w:fldChar w:fldCharType="begin"/>
      </w:r>
      <w:r>
        <w:rPr>
          <w:i w:val="0"/>
          <w:iCs w:val="0"/>
        </w:rPr>
        <w:instrText xml:space="preserve"> PAGEREF _Toc8982 \h </w:instrText>
      </w:r>
      <w:r>
        <w:rPr>
          <w:i w:val="0"/>
          <w:iCs w:val="0"/>
        </w:rPr>
        <w:fldChar w:fldCharType="separate"/>
      </w:r>
      <w:r>
        <w:rPr>
          <w:i w:val="0"/>
          <w:iCs w:val="0"/>
        </w:rPr>
        <w:t>49</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_Toc25827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2. 评审标准</w:t>
      </w:r>
      <w:r>
        <w:rPr>
          <w:i w:val="0"/>
          <w:iCs w:val="0"/>
        </w:rPr>
        <w:tab/>
      </w:r>
      <w:r>
        <w:rPr>
          <w:i w:val="0"/>
          <w:iCs w:val="0"/>
        </w:rPr>
        <w:fldChar w:fldCharType="begin"/>
      </w:r>
      <w:r>
        <w:rPr>
          <w:i w:val="0"/>
          <w:iCs w:val="0"/>
        </w:rPr>
        <w:instrText xml:space="preserve"> PAGEREF _Toc25827 \h </w:instrText>
      </w:r>
      <w:r>
        <w:rPr>
          <w:i w:val="0"/>
          <w:iCs w:val="0"/>
        </w:rPr>
        <w:fldChar w:fldCharType="separate"/>
      </w:r>
      <w:r>
        <w:rPr>
          <w:i w:val="0"/>
          <w:iCs w:val="0"/>
        </w:rPr>
        <w:t>49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_Toc23572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2.1 初步评审标准</w:t>
      </w:r>
      <w:r>
        <w:rPr>
          <w:i w:val="0"/>
          <w:iCs w:val="0"/>
        </w:rPr>
        <w:tab/>
      </w:r>
      <w:r>
        <w:rPr>
          <w:i w:val="0"/>
          <w:iCs w:val="0"/>
        </w:rPr>
        <w:fldChar w:fldCharType="begin"/>
      </w:r>
      <w:r>
        <w:rPr>
          <w:i w:val="0"/>
          <w:iCs w:val="0"/>
        </w:rPr>
        <w:instrText xml:space="preserve"> PAGEREF _Toc23572 \h </w:instrText>
      </w:r>
      <w:r>
        <w:rPr>
          <w:i w:val="0"/>
          <w:iCs w:val="0"/>
        </w:rPr>
        <w:fldChar w:fldCharType="separate"/>
      </w:r>
      <w:r>
        <w:rPr>
          <w:i w:val="0"/>
          <w:iCs w:val="0"/>
        </w:rPr>
        <w:t>49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_Toc26287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2.2 分值构成与评分标准</w:t>
      </w:r>
      <w:r>
        <w:rPr>
          <w:i w:val="0"/>
          <w:iCs w:val="0"/>
        </w:rPr>
        <w:tab/>
      </w:r>
      <w:r>
        <w:rPr>
          <w:i w:val="0"/>
          <w:iCs w:val="0"/>
        </w:rPr>
        <w:fldChar w:fldCharType="begin"/>
      </w:r>
      <w:r>
        <w:rPr>
          <w:i w:val="0"/>
          <w:iCs w:val="0"/>
        </w:rPr>
        <w:instrText xml:space="preserve"> PAGEREF _Toc26287 \h </w:instrText>
      </w:r>
      <w:r>
        <w:rPr>
          <w:i w:val="0"/>
          <w:iCs w:val="0"/>
        </w:rPr>
        <w:fldChar w:fldCharType="separate"/>
      </w:r>
      <w:r>
        <w:rPr>
          <w:i w:val="0"/>
          <w:iCs w:val="0"/>
        </w:rPr>
        <w:t>49</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_Toc25418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3. 评标程序</w:t>
      </w:r>
      <w:r>
        <w:rPr>
          <w:i w:val="0"/>
          <w:iCs w:val="0"/>
        </w:rPr>
        <w:tab/>
      </w:r>
      <w:r>
        <w:rPr>
          <w:i w:val="0"/>
          <w:iCs w:val="0"/>
        </w:rPr>
        <w:fldChar w:fldCharType="begin"/>
      </w:r>
      <w:r>
        <w:rPr>
          <w:i w:val="0"/>
          <w:iCs w:val="0"/>
        </w:rPr>
        <w:instrText xml:space="preserve"> PAGEREF _Toc25418 \h </w:instrText>
      </w:r>
      <w:r>
        <w:rPr>
          <w:i w:val="0"/>
          <w:iCs w:val="0"/>
        </w:rPr>
        <w:fldChar w:fldCharType="separate"/>
      </w:r>
      <w:r>
        <w:rPr>
          <w:i w:val="0"/>
          <w:iCs w:val="0"/>
        </w:rPr>
        <w:t>50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_Toc9094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3.1 初步评审</w:t>
      </w:r>
      <w:r>
        <w:rPr>
          <w:i w:val="0"/>
          <w:iCs w:val="0"/>
        </w:rPr>
        <w:tab/>
      </w:r>
      <w:r>
        <w:rPr>
          <w:i w:val="0"/>
          <w:iCs w:val="0"/>
        </w:rPr>
        <w:fldChar w:fldCharType="begin"/>
      </w:r>
      <w:r>
        <w:rPr>
          <w:i w:val="0"/>
          <w:iCs w:val="0"/>
        </w:rPr>
        <w:instrText xml:space="preserve"> PAGEREF _Toc9094 \h </w:instrText>
      </w:r>
      <w:r>
        <w:rPr>
          <w:i w:val="0"/>
          <w:iCs w:val="0"/>
        </w:rPr>
        <w:fldChar w:fldCharType="separate"/>
      </w:r>
      <w:r>
        <w:rPr>
          <w:i w:val="0"/>
          <w:iCs w:val="0"/>
        </w:rPr>
        <w:t>50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_Toc22871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3.2 详细评审</w:t>
      </w:r>
      <w:r>
        <w:rPr>
          <w:i w:val="0"/>
          <w:iCs w:val="0"/>
        </w:rPr>
        <w:tab/>
      </w:r>
      <w:r>
        <w:rPr>
          <w:i w:val="0"/>
          <w:iCs w:val="0"/>
        </w:rPr>
        <w:fldChar w:fldCharType="begin"/>
      </w:r>
      <w:r>
        <w:rPr>
          <w:i w:val="0"/>
          <w:iCs w:val="0"/>
        </w:rPr>
        <w:instrText xml:space="preserve"> PAGEREF _Toc22871 \h </w:instrText>
      </w:r>
      <w:r>
        <w:rPr>
          <w:i w:val="0"/>
          <w:iCs w:val="0"/>
        </w:rPr>
        <w:fldChar w:fldCharType="separate"/>
      </w:r>
      <w:r>
        <w:rPr>
          <w:i w:val="0"/>
          <w:iCs w:val="0"/>
        </w:rPr>
        <w:t>50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_Toc19015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3.3 投标文件的澄清</w:t>
      </w:r>
      <w:r>
        <w:rPr>
          <w:i w:val="0"/>
          <w:iCs w:val="0"/>
        </w:rPr>
        <w:tab/>
      </w:r>
      <w:r>
        <w:rPr>
          <w:i w:val="0"/>
          <w:iCs w:val="0"/>
        </w:rPr>
        <w:fldChar w:fldCharType="begin"/>
      </w:r>
      <w:r>
        <w:rPr>
          <w:i w:val="0"/>
          <w:iCs w:val="0"/>
        </w:rPr>
        <w:instrText xml:space="preserve"> PAGEREF _Toc19015 \h </w:instrText>
      </w:r>
      <w:r>
        <w:rPr>
          <w:i w:val="0"/>
          <w:iCs w:val="0"/>
        </w:rPr>
        <w:fldChar w:fldCharType="separate"/>
      </w:r>
      <w:r>
        <w:rPr>
          <w:i w:val="0"/>
          <w:iCs w:val="0"/>
        </w:rPr>
        <w:t>51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_Toc7810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3.4 评标结果</w:t>
      </w:r>
      <w:r>
        <w:rPr>
          <w:i w:val="0"/>
          <w:iCs w:val="0"/>
        </w:rPr>
        <w:tab/>
      </w:r>
      <w:r>
        <w:rPr>
          <w:i w:val="0"/>
          <w:iCs w:val="0"/>
        </w:rPr>
        <w:fldChar w:fldCharType="begin"/>
      </w:r>
      <w:r>
        <w:rPr>
          <w:i w:val="0"/>
          <w:iCs w:val="0"/>
        </w:rPr>
        <w:instrText xml:space="preserve"> PAGEREF _Toc7810 \h </w:instrText>
      </w:r>
      <w:r>
        <w:rPr>
          <w:i w:val="0"/>
          <w:iCs w:val="0"/>
        </w:rPr>
        <w:fldChar w:fldCharType="separate"/>
      </w:r>
      <w:r>
        <w:rPr>
          <w:i w:val="0"/>
          <w:iCs w:val="0"/>
        </w:rPr>
        <w:t>51</w:t>
      </w:r>
      <w:r>
        <w:rPr>
          <w:i w:val="0"/>
          <w:iCs w:val="0"/>
        </w:rPr>
        <w:fldChar w:fldCharType="end"/>
      </w:r>
      <w:r>
        <w:rPr>
          <w:rFonts w:asciiTheme="minorEastAsia" w:hAnsiTheme="minorEastAsia" w:cstheme="minorHAnsi"/>
          <w:i w:val="0"/>
          <w:iCs w:val="0"/>
          <w:szCs w:val="21"/>
        </w:rPr>
        <w:fldChar w:fldCharType="end"/>
      </w:r>
    </w:p>
    <w:p>
      <w:pPr>
        <w:pStyle w:val="19"/>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_Toc21023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36"/>
        </w:rPr>
        <w:t>第三章 评标办法（综合评估法</w:t>
      </w:r>
      <w:r>
        <w:rPr>
          <w:rFonts w:hint="eastAsia" w:asciiTheme="majorEastAsia" w:hAnsiTheme="majorEastAsia" w:eastAsiaTheme="majorEastAsia"/>
          <w:i w:val="0"/>
          <w:iCs w:val="0"/>
          <w:szCs w:val="36"/>
          <w:lang w:val="en-US" w:eastAsia="zh-CN"/>
        </w:rPr>
        <w:t>Ⅱ类</w:t>
      </w:r>
      <w:r>
        <w:rPr>
          <w:rFonts w:hint="eastAsia" w:asciiTheme="majorEastAsia" w:hAnsiTheme="majorEastAsia" w:eastAsiaTheme="majorEastAsia"/>
          <w:i w:val="0"/>
          <w:iCs w:val="0"/>
          <w:szCs w:val="36"/>
        </w:rPr>
        <w:t>）</w:t>
      </w:r>
      <w:r>
        <w:rPr>
          <w:i w:val="0"/>
          <w:iCs w:val="0"/>
        </w:rPr>
        <w:tab/>
      </w:r>
      <w:r>
        <w:rPr>
          <w:i w:val="0"/>
          <w:iCs w:val="0"/>
        </w:rPr>
        <w:fldChar w:fldCharType="begin"/>
      </w:r>
      <w:r>
        <w:rPr>
          <w:i w:val="0"/>
          <w:iCs w:val="0"/>
        </w:rPr>
        <w:instrText xml:space="preserve"> PAGEREF _Toc21023 \h </w:instrText>
      </w:r>
      <w:r>
        <w:rPr>
          <w:i w:val="0"/>
          <w:iCs w:val="0"/>
        </w:rPr>
        <w:fldChar w:fldCharType="separate"/>
      </w:r>
      <w:r>
        <w:rPr>
          <w:i w:val="0"/>
          <w:iCs w:val="0"/>
        </w:rPr>
        <w:t>52</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_Toc30215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8"/>
        </w:rPr>
        <w:t>评标办法前附表</w:t>
      </w:r>
      <w:r>
        <w:rPr>
          <w:i w:val="0"/>
          <w:iCs w:val="0"/>
        </w:rPr>
        <w:tab/>
      </w:r>
      <w:r>
        <w:rPr>
          <w:i w:val="0"/>
          <w:iCs w:val="0"/>
        </w:rPr>
        <w:fldChar w:fldCharType="begin"/>
      </w:r>
      <w:r>
        <w:rPr>
          <w:i w:val="0"/>
          <w:iCs w:val="0"/>
        </w:rPr>
        <w:instrText xml:space="preserve"> PAGEREF _Toc30215 \h </w:instrText>
      </w:r>
      <w:r>
        <w:rPr>
          <w:i w:val="0"/>
          <w:iCs w:val="0"/>
        </w:rPr>
        <w:fldChar w:fldCharType="separate"/>
      </w:r>
      <w:r>
        <w:rPr>
          <w:i w:val="0"/>
          <w:iCs w:val="0"/>
        </w:rPr>
        <w:t>52</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_Toc7938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1. 评标方法</w:t>
      </w:r>
      <w:r>
        <w:rPr>
          <w:i w:val="0"/>
          <w:iCs w:val="0"/>
        </w:rPr>
        <w:tab/>
      </w:r>
      <w:r>
        <w:rPr>
          <w:i w:val="0"/>
          <w:iCs w:val="0"/>
        </w:rPr>
        <w:fldChar w:fldCharType="begin"/>
      </w:r>
      <w:r>
        <w:rPr>
          <w:i w:val="0"/>
          <w:iCs w:val="0"/>
        </w:rPr>
        <w:instrText xml:space="preserve"> PAGEREF _Toc7938 \h </w:instrText>
      </w:r>
      <w:r>
        <w:rPr>
          <w:i w:val="0"/>
          <w:iCs w:val="0"/>
        </w:rPr>
        <w:fldChar w:fldCharType="separate"/>
      </w:r>
      <w:r>
        <w:rPr>
          <w:i w:val="0"/>
          <w:iCs w:val="0"/>
        </w:rPr>
        <w:t>59</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_Toc13100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2. 评审标准</w:t>
      </w:r>
      <w:r>
        <w:rPr>
          <w:i w:val="0"/>
          <w:iCs w:val="0"/>
        </w:rPr>
        <w:tab/>
      </w:r>
      <w:r>
        <w:rPr>
          <w:i w:val="0"/>
          <w:iCs w:val="0"/>
        </w:rPr>
        <w:fldChar w:fldCharType="begin"/>
      </w:r>
      <w:r>
        <w:rPr>
          <w:i w:val="0"/>
          <w:iCs w:val="0"/>
        </w:rPr>
        <w:instrText xml:space="preserve"> PAGEREF _Toc13100 \h </w:instrText>
      </w:r>
      <w:r>
        <w:rPr>
          <w:i w:val="0"/>
          <w:iCs w:val="0"/>
        </w:rPr>
        <w:fldChar w:fldCharType="separate"/>
      </w:r>
      <w:r>
        <w:rPr>
          <w:i w:val="0"/>
          <w:iCs w:val="0"/>
        </w:rPr>
        <w:t>60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_Toc8651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2.1 初步评审标准</w:t>
      </w:r>
      <w:r>
        <w:rPr>
          <w:i w:val="0"/>
          <w:iCs w:val="0"/>
        </w:rPr>
        <w:tab/>
      </w:r>
      <w:r>
        <w:rPr>
          <w:i w:val="0"/>
          <w:iCs w:val="0"/>
        </w:rPr>
        <w:fldChar w:fldCharType="begin"/>
      </w:r>
      <w:r>
        <w:rPr>
          <w:i w:val="0"/>
          <w:iCs w:val="0"/>
        </w:rPr>
        <w:instrText xml:space="preserve"> PAGEREF _Toc8651 \h </w:instrText>
      </w:r>
      <w:r>
        <w:rPr>
          <w:i w:val="0"/>
          <w:iCs w:val="0"/>
        </w:rPr>
        <w:fldChar w:fldCharType="separate"/>
      </w:r>
      <w:r>
        <w:rPr>
          <w:i w:val="0"/>
          <w:iCs w:val="0"/>
        </w:rPr>
        <w:t>60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_Toc2886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2.2 分值构成与评分标准</w:t>
      </w:r>
      <w:r>
        <w:rPr>
          <w:i w:val="0"/>
          <w:iCs w:val="0"/>
        </w:rPr>
        <w:tab/>
      </w:r>
      <w:r>
        <w:rPr>
          <w:i w:val="0"/>
          <w:iCs w:val="0"/>
        </w:rPr>
        <w:fldChar w:fldCharType="begin"/>
      </w:r>
      <w:r>
        <w:rPr>
          <w:i w:val="0"/>
          <w:iCs w:val="0"/>
        </w:rPr>
        <w:instrText xml:space="preserve"> PAGEREF _Toc2886 \h </w:instrText>
      </w:r>
      <w:r>
        <w:rPr>
          <w:i w:val="0"/>
          <w:iCs w:val="0"/>
        </w:rPr>
        <w:fldChar w:fldCharType="separate"/>
      </w:r>
      <w:r>
        <w:rPr>
          <w:i w:val="0"/>
          <w:iCs w:val="0"/>
        </w:rPr>
        <w:t>60</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_Toc19139 </w:instrText>
      </w:r>
      <w:r>
        <w:rPr>
          <w:rFonts w:asciiTheme="minorEastAsia" w:hAnsiTheme="minorEastAsia" w:cstheme="minorHAnsi"/>
          <w:i w:val="0"/>
          <w:iCs w:val="0"/>
          <w:szCs w:val="21"/>
        </w:rPr>
        <w:fldChar w:fldCharType="separate"/>
      </w:r>
      <w:r>
        <w:rPr>
          <w:rFonts w:hint="eastAsia" w:asciiTheme="majorEastAsia" w:hAnsiTheme="majorEastAsia"/>
          <w:i w:val="0"/>
          <w:iCs w:val="0"/>
          <w:szCs w:val="21"/>
        </w:rPr>
        <w:t>3. 评标程序</w:t>
      </w:r>
      <w:r>
        <w:rPr>
          <w:i w:val="0"/>
          <w:iCs w:val="0"/>
        </w:rPr>
        <w:tab/>
      </w:r>
      <w:r>
        <w:rPr>
          <w:i w:val="0"/>
          <w:iCs w:val="0"/>
        </w:rPr>
        <w:fldChar w:fldCharType="begin"/>
      </w:r>
      <w:r>
        <w:rPr>
          <w:i w:val="0"/>
          <w:iCs w:val="0"/>
        </w:rPr>
        <w:instrText xml:space="preserve"> PAGEREF _Toc19139 \h </w:instrText>
      </w:r>
      <w:r>
        <w:rPr>
          <w:i w:val="0"/>
          <w:iCs w:val="0"/>
        </w:rPr>
        <w:fldChar w:fldCharType="separate"/>
      </w:r>
      <w:r>
        <w:rPr>
          <w:i w:val="0"/>
          <w:iCs w:val="0"/>
        </w:rPr>
        <w:t>61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_Toc1203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3.1 初步评审</w:t>
      </w:r>
      <w:r>
        <w:rPr>
          <w:i w:val="0"/>
          <w:iCs w:val="0"/>
        </w:rPr>
        <w:tab/>
      </w:r>
      <w:r>
        <w:rPr>
          <w:i w:val="0"/>
          <w:iCs w:val="0"/>
        </w:rPr>
        <w:fldChar w:fldCharType="begin"/>
      </w:r>
      <w:r>
        <w:rPr>
          <w:i w:val="0"/>
          <w:iCs w:val="0"/>
        </w:rPr>
        <w:instrText xml:space="preserve"> PAGEREF _Toc1203 \h </w:instrText>
      </w:r>
      <w:r>
        <w:rPr>
          <w:i w:val="0"/>
          <w:iCs w:val="0"/>
        </w:rPr>
        <w:fldChar w:fldCharType="separate"/>
      </w:r>
      <w:r>
        <w:rPr>
          <w:i w:val="0"/>
          <w:iCs w:val="0"/>
        </w:rPr>
        <w:t>61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_Toc26907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3.2 详细评审</w:t>
      </w:r>
      <w:r>
        <w:rPr>
          <w:i w:val="0"/>
          <w:iCs w:val="0"/>
        </w:rPr>
        <w:tab/>
      </w:r>
      <w:r>
        <w:rPr>
          <w:i w:val="0"/>
          <w:iCs w:val="0"/>
        </w:rPr>
        <w:fldChar w:fldCharType="begin"/>
      </w:r>
      <w:r>
        <w:rPr>
          <w:i w:val="0"/>
          <w:iCs w:val="0"/>
        </w:rPr>
        <w:instrText xml:space="preserve"> PAGEREF _Toc26907 \h </w:instrText>
      </w:r>
      <w:r>
        <w:rPr>
          <w:i w:val="0"/>
          <w:iCs w:val="0"/>
        </w:rPr>
        <w:fldChar w:fldCharType="separate"/>
      </w:r>
      <w:r>
        <w:rPr>
          <w:i w:val="0"/>
          <w:iCs w:val="0"/>
        </w:rPr>
        <w:t>61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_Toc21228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3.3 投标文件的澄清</w:t>
      </w:r>
      <w:r>
        <w:rPr>
          <w:i w:val="0"/>
          <w:iCs w:val="0"/>
        </w:rPr>
        <w:tab/>
      </w:r>
      <w:r>
        <w:rPr>
          <w:i w:val="0"/>
          <w:iCs w:val="0"/>
        </w:rPr>
        <w:fldChar w:fldCharType="begin"/>
      </w:r>
      <w:r>
        <w:rPr>
          <w:i w:val="0"/>
          <w:iCs w:val="0"/>
        </w:rPr>
        <w:instrText xml:space="preserve"> PAGEREF _Toc21228 \h </w:instrText>
      </w:r>
      <w:r>
        <w:rPr>
          <w:i w:val="0"/>
          <w:iCs w:val="0"/>
        </w:rPr>
        <w:fldChar w:fldCharType="separate"/>
      </w:r>
      <w:r>
        <w:rPr>
          <w:i w:val="0"/>
          <w:iCs w:val="0"/>
        </w:rPr>
        <w:t>62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_Toc10061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1"/>
        </w:rPr>
        <w:t>3.4 评标结果</w:t>
      </w:r>
      <w:r>
        <w:rPr>
          <w:i w:val="0"/>
          <w:iCs w:val="0"/>
        </w:rPr>
        <w:tab/>
      </w:r>
      <w:r>
        <w:rPr>
          <w:i w:val="0"/>
          <w:iCs w:val="0"/>
        </w:rPr>
        <w:fldChar w:fldCharType="begin"/>
      </w:r>
      <w:r>
        <w:rPr>
          <w:i w:val="0"/>
          <w:iCs w:val="0"/>
        </w:rPr>
        <w:instrText xml:space="preserve"> PAGEREF _Toc10061 \h </w:instrText>
      </w:r>
      <w:r>
        <w:rPr>
          <w:i w:val="0"/>
          <w:iCs w:val="0"/>
        </w:rPr>
        <w:fldChar w:fldCharType="separate"/>
      </w:r>
      <w:r>
        <w:rPr>
          <w:i w:val="0"/>
          <w:iCs w:val="0"/>
        </w:rPr>
        <w:t>62</w:t>
      </w:r>
      <w:r>
        <w:rPr>
          <w:i w:val="0"/>
          <w:iCs w:val="0"/>
        </w:rPr>
        <w:fldChar w:fldCharType="end"/>
      </w:r>
      <w:r>
        <w:rPr>
          <w:rFonts w:asciiTheme="minorEastAsia" w:hAnsiTheme="minorEastAsia" w:cstheme="minorHAnsi"/>
          <w:i w:val="0"/>
          <w:iCs w:val="0"/>
          <w:szCs w:val="21"/>
        </w:rPr>
        <w:fldChar w:fldCharType="end"/>
      </w:r>
    </w:p>
    <w:p>
      <w:pPr>
        <w:pStyle w:val="19"/>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_Toc12252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36"/>
        </w:rPr>
        <w:t>第四章 合同条款及格式</w:t>
      </w:r>
      <w:r>
        <w:rPr>
          <w:i w:val="0"/>
          <w:iCs w:val="0"/>
        </w:rPr>
        <w:tab/>
      </w:r>
      <w:r>
        <w:rPr>
          <w:i w:val="0"/>
          <w:iCs w:val="0"/>
        </w:rPr>
        <w:fldChar w:fldCharType="begin"/>
      </w:r>
      <w:r>
        <w:rPr>
          <w:i w:val="0"/>
          <w:iCs w:val="0"/>
        </w:rPr>
        <w:instrText xml:space="preserve"> PAGEREF _Toc12252 \h </w:instrText>
      </w:r>
      <w:r>
        <w:rPr>
          <w:i w:val="0"/>
          <w:iCs w:val="0"/>
        </w:rPr>
        <w:fldChar w:fldCharType="separate"/>
      </w:r>
      <w:r>
        <w:rPr>
          <w:i w:val="0"/>
          <w:iCs w:val="0"/>
        </w:rPr>
        <w:t>63</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_Toc5004 </w:instrText>
      </w:r>
      <w:r>
        <w:rPr>
          <w:rFonts w:asciiTheme="minorEastAsia" w:hAnsiTheme="minorEastAsia" w:cstheme="minorHAnsi"/>
          <w:i w:val="0"/>
          <w:iCs w:val="0"/>
          <w:szCs w:val="21"/>
        </w:rPr>
        <w:fldChar w:fldCharType="separate"/>
      </w:r>
      <w:r>
        <w:rPr>
          <w:rFonts w:eastAsia="黑体"/>
          <w:i w:val="0"/>
          <w:iCs w:val="0"/>
          <w:szCs w:val="30"/>
        </w:rPr>
        <w:t>第一节 通用合同条款（适用于勘察项目）</w:t>
      </w:r>
      <w:r>
        <w:rPr>
          <w:i w:val="0"/>
          <w:iCs w:val="0"/>
        </w:rPr>
        <w:tab/>
      </w:r>
      <w:r>
        <w:rPr>
          <w:i w:val="0"/>
          <w:iCs w:val="0"/>
        </w:rPr>
        <w:fldChar w:fldCharType="begin"/>
      </w:r>
      <w:r>
        <w:rPr>
          <w:i w:val="0"/>
          <w:iCs w:val="0"/>
        </w:rPr>
        <w:instrText xml:space="preserve"> PAGEREF _Toc5004 \h </w:instrText>
      </w:r>
      <w:r>
        <w:rPr>
          <w:i w:val="0"/>
          <w:iCs w:val="0"/>
        </w:rPr>
        <w:fldChar w:fldCharType="separate"/>
      </w:r>
      <w:r>
        <w:rPr>
          <w:i w:val="0"/>
          <w:iCs w:val="0"/>
        </w:rPr>
        <w:t>64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_Toc1299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1．一般约定</w:t>
      </w:r>
      <w:r>
        <w:rPr>
          <w:i w:val="0"/>
          <w:iCs w:val="0"/>
        </w:rPr>
        <w:tab/>
      </w:r>
      <w:r>
        <w:rPr>
          <w:i w:val="0"/>
          <w:iCs w:val="0"/>
        </w:rPr>
        <w:fldChar w:fldCharType="begin"/>
      </w:r>
      <w:r>
        <w:rPr>
          <w:i w:val="0"/>
          <w:iCs w:val="0"/>
        </w:rPr>
        <w:instrText xml:space="preserve"> PAGEREF _Toc1299 \h </w:instrText>
      </w:r>
      <w:r>
        <w:rPr>
          <w:i w:val="0"/>
          <w:iCs w:val="0"/>
        </w:rPr>
        <w:fldChar w:fldCharType="separate"/>
      </w:r>
      <w:r>
        <w:rPr>
          <w:i w:val="0"/>
          <w:iCs w:val="0"/>
        </w:rPr>
        <w:t>64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_Toc23720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2．发包人义务</w:t>
      </w:r>
      <w:r>
        <w:rPr>
          <w:i w:val="0"/>
          <w:iCs w:val="0"/>
        </w:rPr>
        <w:tab/>
      </w:r>
      <w:r>
        <w:rPr>
          <w:i w:val="0"/>
          <w:iCs w:val="0"/>
        </w:rPr>
        <w:fldChar w:fldCharType="begin"/>
      </w:r>
      <w:r>
        <w:rPr>
          <w:i w:val="0"/>
          <w:iCs w:val="0"/>
        </w:rPr>
        <w:instrText xml:space="preserve"> PAGEREF _Toc23720 \h </w:instrText>
      </w:r>
      <w:r>
        <w:rPr>
          <w:i w:val="0"/>
          <w:iCs w:val="0"/>
        </w:rPr>
        <w:fldChar w:fldCharType="separate"/>
      </w:r>
      <w:r>
        <w:rPr>
          <w:i w:val="0"/>
          <w:iCs w:val="0"/>
        </w:rPr>
        <w:t>68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_Toc2974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3．发包人管理</w:t>
      </w:r>
      <w:r>
        <w:rPr>
          <w:i w:val="0"/>
          <w:iCs w:val="0"/>
        </w:rPr>
        <w:tab/>
      </w:r>
      <w:r>
        <w:rPr>
          <w:i w:val="0"/>
          <w:iCs w:val="0"/>
        </w:rPr>
        <w:fldChar w:fldCharType="begin"/>
      </w:r>
      <w:r>
        <w:rPr>
          <w:i w:val="0"/>
          <w:iCs w:val="0"/>
        </w:rPr>
        <w:instrText xml:space="preserve"> PAGEREF _Toc2974 \h </w:instrText>
      </w:r>
      <w:r>
        <w:rPr>
          <w:i w:val="0"/>
          <w:iCs w:val="0"/>
        </w:rPr>
        <w:fldChar w:fldCharType="separate"/>
      </w:r>
      <w:r>
        <w:rPr>
          <w:i w:val="0"/>
          <w:iCs w:val="0"/>
        </w:rPr>
        <w:t>68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_Toc28428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4．勘察人义务</w:t>
      </w:r>
      <w:r>
        <w:rPr>
          <w:i w:val="0"/>
          <w:iCs w:val="0"/>
        </w:rPr>
        <w:tab/>
      </w:r>
      <w:r>
        <w:rPr>
          <w:i w:val="0"/>
          <w:iCs w:val="0"/>
        </w:rPr>
        <w:fldChar w:fldCharType="begin"/>
      </w:r>
      <w:r>
        <w:rPr>
          <w:i w:val="0"/>
          <w:iCs w:val="0"/>
        </w:rPr>
        <w:instrText xml:space="preserve"> PAGEREF _Toc28428 \h </w:instrText>
      </w:r>
      <w:r>
        <w:rPr>
          <w:i w:val="0"/>
          <w:iCs w:val="0"/>
        </w:rPr>
        <w:fldChar w:fldCharType="separate"/>
      </w:r>
      <w:r>
        <w:rPr>
          <w:i w:val="0"/>
          <w:iCs w:val="0"/>
        </w:rPr>
        <w:t>70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_Toc32643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5．勘察要求</w:t>
      </w:r>
      <w:r>
        <w:rPr>
          <w:i w:val="0"/>
          <w:iCs w:val="0"/>
        </w:rPr>
        <w:tab/>
      </w:r>
      <w:r>
        <w:rPr>
          <w:i w:val="0"/>
          <w:iCs w:val="0"/>
        </w:rPr>
        <w:fldChar w:fldCharType="begin"/>
      </w:r>
      <w:r>
        <w:rPr>
          <w:i w:val="0"/>
          <w:iCs w:val="0"/>
        </w:rPr>
        <w:instrText xml:space="preserve"> PAGEREF _Toc32643 \h </w:instrText>
      </w:r>
      <w:r>
        <w:rPr>
          <w:i w:val="0"/>
          <w:iCs w:val="0"/>
        </w:rPr>
        <w:fldChar w:fldCharType="separate"/>
      </w:r>
      <w:r>
        <w:rPr>
          <w:i w:val="0"/>
          <w:iCs w:val="0"/>
        </w:rPr>
        <w:t>72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_Toc15047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6．开始勘察和完成勘察</w:t>
      </w:r>
      <w:r>
        <w:rPr>
          <w:i w:val="0"/>
          <w:iCs w:val="0"/>
        </w:rPr>
        <w:tab/>
      </w:r>
      <w:r>
        <w:rPr>
          <w:i w:val="0"/>
          <w:iCs w:val="0"/>
        </w:rPr>
        <w:fldChar w:fldCharType="begin"/>
      </w:r>
      <w:r>
        <w:rPr>
          <w:i w:val="0"/>
          <w:iCs w:val="0"/>
        </w:rPr>
        <w:instrText xml:space="preserve"> PAGEREF _Toc15047 \h </w:instrText>
      </w:r>
      <w:r>
        <w:rPr>
          <w:i w:val="0"/>
          <w:iCs w:val="0"/>
        </w:rPr>
        <w:fldChar w:fldCharType="separate"/>
      </w:r>
      <w:r>
        <w:rPr>
          <w:i w:val="0"/>
          <w:iCs w:val="0"/>
        </w:rPr>
        <w:t>77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_Toc29370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7．暂停勘察</w:t>
      </w:r>
      <w:r>
        <w:rPr>
          <w:i w:val="0"/>
          <w:iCs w:val="0"/>
        </w:rPr>
        <w:tab/>
      </w:r>
      <w:r>
        <w:rPr>
          <w:i w:val="0"/>
          <w:iCs w:val="0"/>
        </w:rPr>
        <w:fldChar w:fldCharType="begin"/>
      </w:r>
      <w:r>
        <w:rPr>
          <w:i w:val="0"/>
          <w:iCs w:val="0"/>
        </w:rPr>
        <w:instrText xml:space="preserve"> PAGEREF _Toc29370 \h </w:instrText>
      </w:r>
      <w:r>
        <w:rPr>
          <w:i w:val="0"/>
          <w:iCs w:val="0"/>
        </w:rPr>
        <w:fldChar w:fldCharType="separate"/>
      </w:r>
      <w:r>
        <w:rPr>
          <w:i w:val="0"/>
          <w:iCs w:val="0"/>
        </w:rPr>
        <w:t>79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_Toc366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8．勘察文件</w:t>
      </w:r>
      <w:r>
        <w:rPr>
          <w:i w:val="0"/>
          <w:iCs w:val="0"/>
        </w:rPr>
        <w:tab/>
      </w:r>
      <w:r>
        <w:rPr>
          <w:i w:val="0"/>
          <w:iCs w:val="0"/>
        </w:rPr>
        <w:fldChar w:fldCharType="begin"/>
      </w:r>
      <w:r>
        <w:rPr>
          <w:i w:val="0"/>
          <w:iCs w:val="0"/>
        </w:rPr>
        <w:instrText xml:space="preserve"> PAGEREF _Toc366 \h </w:instrText>
      </w:r>
      <w:r>
        <w:rPr>
          <w:i w:val="0"/>
          <w:iCs w:val="0"/>
        </w:rPr>
        <w:fldChar w:fldCharType="separate"/>
      </w:r>
      <w:r>
        <w:rPr>
          <w:i w:val="0"/>
          <w:iCs w:val="0"/>
        </w:rPr>
        <w:t>79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_Toc22119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9．勘察责任与保险</w:t>
      </w:r>
      <w:r>
        <w:rPr>
          <w:i w:val="0"/>
          <w:iCs w:val="0"/>
        </w:rPr>
        <w:tab/>
      </w:r>
      <w:r>
        <w:rPr>
          <w:i w:val="0"/>
          <w:iCs w:val="0"/>
        </w:rPr>
        <w:fldChar w:fldCharType="begin"/>
      </w:r>
      <w:r>
        <w:rPr>
          <w:i w:val="0"/>
          <w:iCs w:val="0"/>
        </w:rPr>
        <w:instrText xml:space="preserve"> PAGEREF _Toc22119 \h </w:instrText>
      </w:r>
      <w:r>
        <w:rPr>
          <w:i w:val="0"/>
          <w:iCs w:val="0"/>
        </w:rPr>
        <w:fldChar w:fldCharType="separate"/>
      </w:r>
      <w:r>
        <w:rPr>
          <w:i w:val="0"/>
          <w:iCs w:val="0"/>
        </w:rPr>
        <w:t>80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_Toc7279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10．设计和施工期间配合</w:t>
      </w:r>
      <w:r>
        <w:rPr>
          <w:i w:val="0"/>
          <w:iCs w:val="0"/>
        </w:rPr>
        <w:tab/>
      </w:r>
      <w:r>
        <w:rPr>
          <w:i w:val="0"/>
          <w:iCs w:val="0"/>
        </w:rPr>
        <w:fldChar w:fldCharType="begin"/>
      </w:r>
      <w:r>
        <w:rPr>
          <w:i w:val="0"/>
          <w:iCs w:val="0"/>
        </w:rPr>
        <w:instrText xml:space="preserve"> PAGEREF _Toc7279 \h </w:instrText>
      </w:r>
      <w:r>
        <w:rPr>
          <w:i w:val="0"/>
          <w:iCs w:val="0"/>
        </w:rPr>
        <w:fldChar w:fldCharType="separate"/>
      </w:r>
      <w:r>
        <w:rPr>
          <w:i w:val="0"/>
          <w:iCs w:val="0"/>
        </w:rPr>
        <w:t>81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_Toc25326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11．合同变更</w:t>
      </w:r>
      <w:r>
        <w:rPr>
          <w:i w:val="0"/>
          <w:iCs w:val="0"/>
        </w:rPr>
        <w:tab/>
      </w:r>
      <w:r>
        <w:rPr>
          <w:i w:val="0"/>
          <w:iCs w:val="0"/>
        </w:rPr>
        <w:fldChar w:fldCharType="begin"/>
      </w:r>
      <w:r>
        <w:rPr>
          <w:i w:val="0"/>
          <w:iCs w:val="0"/>
        </w:rPr>
        <w:instrText xml:space="preserve"> PAGEREF _Toc25326 \h </w:instrText>
      </w:r>
      <w:r>
        <w:rPr>
          <w:i w:val="0"/>
          <w:iCs w:val="0"/>
        </w:rPr>
        <w:fldChar w:fldCharType="separate"/>
      </w:r>
      <w:r>
        <w:rPr>
          <w:i w:val="0"/>
          <w:iCs w:val="0"/>
        </w:rPr>
        <w:t>82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_Toc20318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12．合同价格与支付</w:t>
      </w:r>
      <w:r>
        <w:rPr>
          <w:i w:val="0"/>
          <w:iCs w:val="0"/>
        </w:rPr>
        <w:tab/>
      </w:r>
      <w:r>
        <w:rPr>
          <w:i w:val="0"/>
          <w:iCs w:val="0"/>
        </w:rPr>
        <w:fldChar w:fldCharType="begin"/>
      </w:r>
      <w:r>
        <w:rPr>
          <w:i w:val="0"/>
          <w:iCs w:val="0"/>
        </w:rPr>
        <w:instrText xml:space="preserve"> PAGEREF _Toc20318 \h </w:instrText>
      </w:r>
      <w:r>
        <w:rPr>
          <w:i w:val="0"/>
          <w:iCs w:val="0"/>
        </w:rPr>
        <w:fldChar w:fldCharType="separate"/>
      </w:r>
      <w:r>
        <w:rPr>
          <w:i w:val="0"/>
          <w:iCs w:val="0"/>
        </w:rPr>
        <w:t>83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_Toc27962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13．不可抗力</w:t>
      </w:r>
      <w:r>
        <w:rPr>
          <w:i w:val="0"/>
          <w:iCs w:val="0"/>
        </w:rPr>
        <w:tab/>
      </w:r>
      <w:r>
        <w:rPr>
          <w:i w:val="0"/>
          <w:iCs w:val="0"/>
        </w:rPr>
        <w:fldChar w:fldCharType="begin"/>
      </w:r>
      <w:r>
        <w:rPr>
          <w:i w:val="0"/>
          <w:iCs w:val="0"/>
        </w:rPr>
        <w:instrText xml:space="preserve"> PAGEREF _Toc27962 \h </w:instrText>
      </w:r>
      <w:r>
        <w:rPr>
          <w:i w:val="0"/>
          <w:iCs w:val="0"/>
        </w:rPr>
        <w:fldChar w:fldCharType="separate"/>
      </w:r>
      <w:r>
        <w:rPr>
          <w:i w:val="0"/>
          <w:iCs w:val="0"/>
        </w:rPr>
        <w:t>84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_Toc16721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14．违约</w:t>
      </w:r>
      <w:r>
        <w:rPr>
          <w:i w:val="0"/>
          <w:iCs w:val="0"/>
        </w:rPr>
        <w:tab/>
      </w:r>
      <w:r>
        <w:rPr>
          <w:i w:val="0"/>
          <w:iCs w:val="0"/>
        </w:rPr>
        <w:fldChar w:fldCharType="begin"/>
      </w:r>
      <w:r>
        <w:rPr>
          <w:i w:val="0"/>
          <w:iCs w:val="0"/>
        </w:rPr>
        <w:instrText xml:space="preserve"> PAGEREF _Toc16721 \h </w:instrText>
      </w:r>
      <w:r>
        <w:rPr>
          <w:i w:val="0"/>
          <w:iCs w:val="0"/>
        </w:rPr>
        <w:fldChar w:fldCharType="separate"/>
      </w:r>
      <w:r>
        <w:rPr>
          <w:i w:val="0"/>
          <w:iCs w:val="0"/>
        </w:rPr>
        <w:t>85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_Toc30329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15．争议的解决</w:t>
      </w:r>
      <w:r>
        <w:rPr>
          <w:i w:val="0"/>
          <w:iCs w:val="0"/>
        </w:rPr>
        <w:tab/>
      </w:r>
      <w:r>
        <w:rPr>
          <w:i w:val="0"/>
          <w:iCs w:val="0"/>
        </w:rPr>
        <w:fldChar w:fldCharType="begin"/>
      </w:r>
      <w:r>
        <w:rPr>
          <w:i w:val="0"/>
          <w:iCs w:val="0"/>
        </w:rPr>
        <w:instrText xml:space="preserve"> PAGEREF _Toc30329 \h </w:instrText>
      </w:r>
      <w:r>
        <w:rPr>
          <w:i w:val="0"/>
          <w:iCs w:val="0"/>
        </w:rPr>
        <w:fldChar w:fldCharType="separate"/>
      </w:r>
      <w:r>
        <w:rPr>
          <w:i w:val="0"/>
          <w:iCs w:val="0"/>
        </w:rPr>
        <w:t>85</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_Toc21355 </w:instrText>
      </w:r>
      <w:r>
        <w:rPr>
          <w:rFonts w:asciiTheme="minorEastAsia" w:hAnsiTheme="minorEastAsia" w:cstheme="minorHAnsi"/>
          <w:i w:val="0"/>
          <w:iCs w:val="0"/>
          <w:szCs w:val="21"/>
        </w:rPr>
        <w:fldChar w:fldCharType="separate"/>
      </w:r>
      <w:r>
        <w:rPr>
          <w:rFonts w:eastAsia="黑体"/>
          <w:i w:val="0"/>
          <w:iCs w:val="0"/>
          <w:szCs w:val="30"/>
        </w:rPr>
        <w:t>第二节 通用合同条款（适用于设计项目）</w:t>
      </w:r>
      <w:r>
        <w:rPr>
          <w:i w:val="0"/>
          <w:iCs w:val="0"/>
        </w:rPr>
        <w:tab/>
      </w:r>
      <w:r>
        <w:rPr>
          <w:i w:val="0"/>
          <w:iCs w:val="0"/>
        </w:rPr>
        <w:fldChar w:fldCharType="begin"/>
      </w:r>
      <w:r>
        <w:rPr>
          <w:i w:val="0"/>
          <w:iCs w:val="0"/>
        </w:rPr>
        <w:instrText xml:space="preserve"> PAGEREF _Toc21355 \h </w:instrText>
      </w:r>
      <w:r>
        <w:rPr>
          <w:i w:val="0"/>
          <w:iCs w:val="0"/>
        </w:rPr>
        <w:fldChar w:fldCharType="separate"/>
      </w:r>
      <w:r>
        <w:rPr>
          <w:i w:val="0"/>
          <w:iCs w:val="0"/>
        </w:rPr>
        <w:t>86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_Toc21829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w:t>
      </w:r>
      <w:r>
        <w:rPr>
          <w:rFonts w:hint="eastAsia" w:ascii="宋体" w:hAnsi="宋体" w:eastAsia="宋体" w:cs="宋体"/>
          <w:i w:val="0"/>
          <w:iCs w:val="0"/>
          <w:szCs w:val="28"/>
        </w:rPr>
        <w:t>一般约定</w:t>
      </w:r>
      <w:r>
        <w:rPr>
          <w:i w:val="0"/>
          <w:iCs w:val="0"/>
        </w:rPr>
        <w:tab/>
      </w:r>
      <w:r>
        <w:rPr>
          <w:i w:val="0"/>
          <w:iCs w:val="0"/>
        </w:rPr>
        <w:fldChar w:fldCharType="begin"/>
      </w:r>
      <w:r>
        <w:rPr>
          <w:i w:val="0"/>
          <w:iCs w:val="0"/>
        </w:rPr>
        <w:instrText xml:space="preserve"> PAGEREF _Toc21829 \h </w:instrText>
      </w:r>
      <w:r>
        <w:rPr>
          <w:i w:val="0"/>
          <w:iCs w:val="0"/>
        </w:rPr>
        <w:fldChar w:fldCharType="separate"/>
      </w:r>
      <w:r>
        <w:rPr>
          <w:i w:val="0"/>
          <w:iCs w:val="0"/>
        </w:rPr>
        <w:t>86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_Toc7128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2．发包人义务</w:t>
      </w:r>
      <w:r>
        <w:rPr>
          <w:i w:val="0"/>
          <w:iCs w:val="0"/>
        </w:rPr>
        <w:tab/>
      </w:r>
      <w:r>
        <w:rPr>
          <w:i w:val="0"/>
          <w:iCs w:val="0"/>
        </w:rPr>
        <w:fldChar w:fldCharType="begin"/>
      </w:r>
      <w:r>
        <w:rPr>
          <w:i w:val="0"/>
          <w:iCs w:val="0"/>
        </w:rPr>
        <w:instrText xml:space="preserve"> PAGEREF _Toc7128 \h </w:instrText>
      </w:r>
      <w:r>
        <w:rPr>
          <w:i w:val="0"/>
          <w:iCs w:val="0"/>
        </w:rPr>
        <w:fldChar w:fldCharType="separate"/>
      </w:r>
      <w:r>
        <w:rPr>
          <w:i w:val="0"/>
          <w:iCs w:val="0"/>
        </w:rPr>
        <w:t>90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_Toc24878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3．发包人管理</w:t>
      </w:r>
      <w:r>
        <w:rPr>
          <w:i w:val="0"/>
          <w:iCs w:val="0"/>
        </w:rPr>
        <w:tab/>
      </w:r>
      <w:r>
        <w:rPr>
          <w:i w:val="0"/>
          <w:iCs w:val="0"/>
        </w:rPr>
        <w:fldChar w:fldCharType="begin"/>
      </w:r>
      <w:r>
        <w:rPr>
          <w:i w:val="0"/>
          <w:iCs w:val="0"/>
        </w:rPr>
        <w:instrText xml:space="preserve"> PAGEREF _Toc24878 \h </w:instrText>
      </w:r>
      <w:r>
        <w:rPr>
          <w:i w:val="0"/>
          <w:iCs w:val="0"/>
        </w:rPr>
        <w:fldChar w:fldCharType="separate"/>
      </w:r>
      <w:r>
        <w:rPr>
          <w:i w:val="0"/>
          <w:iCs w:val="0"/>
        </w:rPr>
        <w:t>90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_Toc3505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4．设计人义务</w:t>
      </w:r>
      <w:r>
        <w:rPr>
          <w:i w:val="0"/>
          <w:iCs w:val="0"/>
        </w:rPr>
        <w:tab/>
      </w:r>
      <w:r>
        <w:rPr>
          <w:i w:val="0"/>
          <w:iCs w:val="0"/>
        </w:rPr>
        <w:fldChar w:fldCharType="begin"/>
      </w:r>
      <w:r>
        <w:rPr>
          <w:i w:val="0"/>
          <w:iCs w:val="0"/>
        </w:rPr>
        <w:instrText xml:space="preserve"> PAGEREF _Toc3505 \h </w:instrText>
      </w:r>
      <w:r>
        <w:rPr>
          <w:i w:val="0"/>
          <w:iCs w:val="0"/>
        </w:rPr>
        <w:fldChar w:fldCharType="separate"/>
      </w:r>
      <w:r>
        <w:rPr>
          <w:i w:val="0"/>
          <w:iCs w:val="0"/>
        </w:rPr>
        <w:t>91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_Toc31622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5．设计要求</w:t>
      </w:r>
      <w:r>
        <w:rPr>
          <w:i w:val="0"/>
          <w:iCs w:val="0"/>
        </w:rPr>
        <w:tab/>
      </w:r>
      <w:r>
        <w:rPr>
          <w:i w:val="0"/>
          <w:iCs w:val="0"/>
        </w:rPr>
        <w:fldChar w:fldCharType="begin"/>
      </w:r>
      <w:r>
        <w:rPr>
          <w:i w:val="0"/>
          <w:iCs w:val="0"/>
        </w:rPr>
        <w:instrText xml:space="preserve"> PAGEREF _Toc31622 \h </w:instrText>
      </w:r>
      <w:r>
        <w:rPr>
          <w:i w:val="0"/>
          <w:iCs w:val="0"/>
        </w:rPr>
        <w:fldChar w:fldCharType="separate"/>
      </w:r>
      <w:r>
        <w:rPr>
          <w:i w:val="0"/>
          <w:iCs w:val="0"/>
        </w:rPr>
        <w:t>93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_Toc23831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6．开始设计和完成设计</w:t>
      </w:r>
      <w:r>
        <w:rPr>
          <w:i w:val="0"/>
          <w:iCs w:val="0"/>
        </w:rPr>
        <w:tab/>
      </w:r>
      <w:r>
        <w:rPr>
          <w:i w:val="0"/>
          <w:iCs w:val="0"/>
        </w:rPr>
        <w:fldChar w:fldCharType="begin"/>
      </w:r>
      <w:r>
        <w:rPr>
          <w:i w:val="0"/>
          <w:iCs w:val="0"/>
        </w:rPr>
        <w:instrText xml:space="preserve"> PAGEREF _Toc23831 \h </w:instrText>
      </w:r>
      <w:r>
        <w:rPr>
          <w:i w:val="0"/>
          <w:iCs w:val="0"/>
        </w:rPr>
        <w:fldChar w:fldCharType="separate"/>
      </w:r>
      <w:r>
        <w:rPr>
          <w:i w:val="0"/>
          <w:iCs w:val="0"/>
        </w:rPr>
        <w:t>95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_Toc26881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7．暂停设计</w:t>
      </w:r>
      <w:r>
        <w:rPr>
          <w:i w:val="0"/>
          <w:iCs w:val="0"/>
        </w:rPr>
        <w:tab/>
      </w:r>
      <w:r>
        <w:rPr>
          <w:i w:val="0"/>
          <w:iCs w:val="0"/>
        </w:rPr>
        <w:fldChar w:fldCharType="begin"/>
      </w:r>
      <w:r>
        <w:rPr>
          <w:i w:val="0"/>
          <w:iCs w:val="0"/>
        </w:rPr>
        <w:instrText xml:space="preserve"> PAGEREF _Toc26881 \h </w:instrText>
      </w:r>
      <w:r>
        <w:rPr>
          <w:i w:val="0"/>
          <w:iCs w:val="0"/>
        </w:rPr>
        <w:fldChar w:fldCharType="separate"/>
      </w:r>
      <w:r>
        <w:rPr>
          <w:i w:val="0"/>
          <w:iCs w:val="0"/>
        </w:rPr>
        <w:t>96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_Toc13787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8．设计文件</w:t>
      </w:r>
      <w:r>
        <w:rPr>
          <w:i w:val="0"/>
          <w:iCs w:val="0"/>
        </w:rPr>
        <w:tab/>
      </w:r>
      <w:r>
        <w:rPr>
          <w:i w:val="0"/>
          <w:iCs w:val="0"/>
        </w:rPr>
        <w:fldChar w:fldCharType="begin"/>
      </w:r>
      <w:r>
        <w:rPr>
          <w:i w:val="0"/>
          <w:iCs w:val="0"/>
        </w:rPr>
        <w:instrText xml:space="preserve"> PAGEREF _Toc13787 \h </w:instrText>
      </w:r>
      <w:r>
        <w:rPr>
          <w:i w:val="0"/>
          <w:iCs w:val="0"/>
        </w:rPr>
        <w:fldChar w:fldCharType="separate"/>
      </w:r>
      <w:r>
        <w:rPr>
          <w:i w:val="0"/>
          <w:iCs w:val="0"/>
        </w:rPr>
        <w:t>97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_Toc140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9．设计责任与保险</w:t>
      </w:r>
      <w:r>
        <w:rPr>
          <w:i w:val="0"/>
          <w:iCs w:val="0"/>
        </w:rPr>
        <w:tab/>
      </w:r>
      <w:r>
        <w:rPr>
          <w:i w:val="0"/>
          <w:iCs w:val="0"/>
        </w:rPr>
        <w:fldChar w:fldCharType="begin"/>
      </w:r>
      <w:r>
        <w:rPr>
          <w:i w:val="0"/>
          <w:iCs w:val="0"/>
        </w:rPr>
        <w:instrText xml:space="preserve"> PAGEREF _Toc140 \h </w:instrText>
      </w:r>
      <w:r>
        <w:rPr>
          <w:i w:val="0"/>
          <w:iCs w:val="0"/>
        </w:rPr>
        <w:fldChar w:fldCharType="separate"/>
      </w:r>
      <w:r>
        <w:rPr>
          <w:i w:val="0"/>
          <w:iCs w:val="0"/>
        </w:rPr>
        <w:t>98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_Toc24622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10．施工期间配合</w:t>
      </w:r>
      <w:r>
        <w:rPr>
          <w:i w:val="0"/>
          <w:iCs w:val="0"/>
        </w:rPr>
        <w:tab/>
      </w:r>
      <w:r>
        <w:rPr>
          <w:i w:val="0"/>
          <w:iCs w:val="0"/>
        </w:rPr>
        <w:fldChar w:fldCharType="begin"/>
      </w:r>
      <w:r>
        <w:rPr>
          <w:i w:val="0"/>
          <w:iCs w:val="0"/>
        </w:rPr>
        <w:instrText xml:space="preserve"> PAGEREF _Toc24622 \h </w:instrText>
      </w:r>
      <w:r>
        <w:rPr>
          <w:i w:val="0"/>
          <w:iCs w:val="0"/>
        </w:rPr>
        <w:fldChar w:fldCharType="separate"/>
      </w:r>
      <w:r>
        <w:rPr>
          <w:i w:val="0"/>
          <w:iCs w:val="0"/>
        </w:rPr>
        <w:t>99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_Toc18391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11．合同变更</w:t>
      </w:r>
      <w:r>
        <w:rPr>
          <w:i w:val="0"/>
          <w:iCs w:val="0"/>
        </w:rPr>
        <w:tab/>
      </w:r>
      <w:r>
        <w:rPr>
          <w:i w:val="0"/>
          <w:iCs w:val="0"/>
        </w:rPr>
        <w:fldChar w:fldCharType="begin"/>
      </w:r>
      <w:r>
        <w:rPr>
          <w:i w:val="0"/>
          <w:iCs w:val="0"/>
        </w:rPr>
        <w:instrText xml:space="preserve"> PAGEREF _Toc18391 \h </w:instrText>
      </w:r>
      <w:r>
        <w:rPr>
          <w:i w:val="0"/>
          <w:iCs w:val="0"/>
        </w:rPr>
        <w:fldChar w:fldCharType="separate"/>
      </w:r>
      <w:r>
        <w:rPr>
          <w:i w:val="0"/>
          <w:iCs w:val="0"/>
        </w:rPr>
        <w:t>100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_Toc27679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12．合同价格与支付</w:t>
      </w:r>
      <w:r>
        <w:rPr>
          <w:i w:val="0"/>
          <w:iCs w:val="0"/>
        </w:rPr>
        <w:tab/>
      </w:r>
      <w:r>
        <w:rPr>
          <w:i w:val="0"/>
          <w:iCs w:val="0"/>
        </w:rPr>
        <w:fldChar w:fldCharType="begin"/>
      </w:r>
      <w:r>
        <w:rPr>
          <w:i w:val="0"/>
          <w:iCs w:val="0"/>
        </w:rPr>
        <w:instrText xml:space="preserve"> PAGEREF _Toc27679 \h </w:instrText>
      </w:r>
      <w:r>
        <w:rPr>
          <w:i w:val="0"/>
          <w:iCs w:val="0"/>
        </w:rPr>
        <w:fldChar w:fldCharType="separate"/>
      </w:r>
      <w:r>
        <w:rPr>
          <w:i w:val="0"/>
          <w:iCs w:val="0"/>
        </w:rPr>
        <w:t>100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_Toc24750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13．不可抗力</w:t>
      </w:r>
      <w:r>
        <w:rPr>
          <w:i w:val="0"/>
          <w:iCs w:val="0"/>
        </w:rPr>
        <w:tab/>
      </w:r>
      <w:r>
        <w:rPr>
          <w:i w:val="0"/>
          <w:iCs w:val="0"/>
        </w:rPr>
        <w:fldChar w:fldCharType="begin"/>
      </w:r>
      <w:r>
        <w:rPr>
          <w:i w:val="0"/>
          <w:iCs w:val="0"/>
        </w:rPr>
        <w:instrText xml:space="preserve"> PAGEREF _Toc24750 \h </w:instrText>
      </w:r>
      <w:r>
        <w:rPr>
          <w:i w:val="0"/>
          <w:iCs w:val="0"/>
        </w:rPr>
        <w:fldChar w:fldCharType="separate"/>
      </w:r>
      <w:r>
        <w:rPr>
          <w:i w:val="0"/>
          <w:iCs w:val="0"/>
        </w:rPr>
        <w:t>101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_Toc17725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14．违约</w:t>
      </w:r>
      <w:r>
        <w:rPr>
          <w:i w:val="0"/>
          <w:iCs w:val="0"/>
        </w:rPr>
        <w:tab/>
      </w:r>
      <w:r>
        <w:rPr>
          <w:i w:val="0"/>
          <w:iCs w:val="0"/>
        </w:rPr>
        <w:fldChar w:fldCharType="begin"/>
      </w:r>
      <w:r>
        <w:rPr>
          <w:i w:val="0"/>
          <w:iCs w:val="0"/>
        </w:rPr>
        <w:instrText xml:space="preserve"> PAGEREF _Toc17725 \h </w:instrText>
      </w:r>
      <w:r>
        <w:rPr>
          <w:i w:val="0"/>
          <w:iCs w:val="0"/>
        </w:rPr>
        <w:fldChar w:fldCharType="separate"/>
      </w:r>
      <w:r>
        <w:rPr>
          <w:i w:val="0"/>
          <w:iCs w:val="0"/>
        </w:rPr>
        <w:t>102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_Toc23948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i w:val="0"/>
          <w:iCs w:val="0"/>
          <w:szCs w:val="28"/>
        </w:rPr>
        <w:t>15．争议的解决</w:t>
      </w:r>
      <w:r>
        <w:rPr>
          <w:i w:val="0"/>
          <w:iCs w:val="0"/>
        </w:rPr>
        <w:tab/>
      </w:r>
      <w:r>
        <w:rPr>
          <w:i w:val="0"/>
          <w:iCs w:val="0"/>
        </w:rPr>
        <w:fldChar w:fldCharType="begin"/>
      </w:r>
      <w:r>
        <w:rPr>
          <w:i w:val="0"/>
          <w:iCs w:val="0"/>
        </w:rPr>
        <w:instrText xml:space="preserve"> PAGEREF _Toc23948 \h </w:instrText>
      </w:r>
      <w:r>
        <w:rPr>
          <w:i w:val="0"/>
          <w:iCs w:val="0"/>
        </w:rPr>
        <w:fldChar w:fldCharType="separate"/>
      </w:r>
      <w:r>
        <w:rPr>
          <w:i w:val="0"/>
          <w:iCs w:val="0"/>
        </w:rPr>
        <w:t>103</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_Toc23702 </w:instrText>
      </w:r>
      <w:r>
        <w:rPr>
          <w:rFonts w:asciiTheme="minorEastAsia" w:hAnsiTheme="minorEastAsia" w:cstheme="minorHAnsi"/>
          <w:i w:val="0"/>
          <w:iCs w:val="0"/>
          <w:szCs w:val="21"/>
        </w:rPr>
        <w:fldChar w:fldCharType="separate"/>
      </w:r>
      <w:r>
        <w:rPr>
          <w:rFonts w:eastAsia="黑体"/>
          <w:i w:val="0"/>
          <w:iCs w:val="0"/>
          <w:szCs w:val="30"/>
        </w:rPr>
        <w:t>第三节 通用合同条款（适用于勘察设计项目）</w:t>
      </w:r>
      <w:r>
        <w:rPr>
          <w:i w:val="0"/>
          <w:iCs w:val="0"/>
        </w:rPr>
        <w:tab/>
      </w:r>
      <w:r>
        <w:rPr>
          <w:i w:val="0"/>
          <w:iCs w:val="0"/>
        </w:rPr>
        <w:fldChar w:fldCharType="begin"/>
      </w:r>
      <w:r>
        <w:rPr>
          <w:i w:val="0"/>
          <w:iCs w:val="0"/>
        </w:rPr>
        <w:instrText xml:space="preserve"> PAGEREF _Toc23702 \h </w:instrText>
      </w:r>
      <w:r>
        <w:rPr>
          <w:i w:val="0"/>
          <w:iCs w:val="0"/>
        </w:rPr>
        <w:fldChar w:fldCharType="separate"/>
      </w:r>
      <w:r>
        <w:rPr>
          <w:i w:val="0"/>
          <w:iCs w:val="0"/>
        </w:rPr>
        <w:t>104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_Toc31173 </w:instrText>
      </w:r>
      <w:r>
        <w:rPr>
          <w:rFonts w:asciiTheme="minorEastAsia" w:hAnsiTheme="minorEastAsia" w:cstheme="minorHAnsi"/>
          <w:i w:val="0"/>
          <w:iCs w:val="0"/>
          <w:szCs w:val="21"/>
        </w:rPr>
        <w:fldChar w:fldCharType="separate"/>
      </w:r>
      <w:r>
        <w:rPr>
          <w:rFonts w:eastAsia="黑体"/>
          <w:i w:val="0"/>
          <w:iCs w:val="0"/>
          <w:szCs w:val="28"/>
        </w:rPr>
        <w:t>1．一般约定</w:t>
      </w:r>
      <w:r>
        <w:rPr>
          <w:i w:val="0"/>
          <w:iCs w:val="0"/>
        </w:rPr>
        <w:tab/>
      </w:r>
      <w:r>
        <w:rPr>
          <w:i w:val="0"/>
          <w:iCs w:val="0"/>
        </w:rPr>
        <w:fldChar w:fldCharType="begin"/>
      </w:r>
      <w:r>
        <w:rPr>
          <w:i w:val="0"/>
          <w:iCs w:val="0"/>
        </w:rPr>
        <w:instrText xml:space="preserve"> PAGEREF _Toc31173 \h </w:instrText>
      </w:r>
      <w:r>
        <w:rPr>
          <w:i w:val="0"/>
          <w:iCs w:val="0"/>
        </w:rPr>
        <w:fldChar w:fldCharType="separate"/>
      </w:r>
      <w:r>
        <w:rPr>
          <w:i w:val="0"/>
          <w:iCs w:val="0"/>
        </w:rPr>
        <w:t>104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_Toc15557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2. 发包人义务</w:t>
      </w:r>
      <w:r>
        <w:rPr>
          <w:i w:val="0"/>
          <w:iCs w:val="0"/>
        </w:rPr>
        <w:tab/>
      </w:r>
      <w:r>
        <w:rPr>
          <w:i w:val="0"/>
          <w:iCs w:val="0"/>
        </w:rPr>
        <w:fldChar w:fldCharType="begin"/>
      </w:r>
      <w:r>
        <w:rPr>
          <w:i w:val="0"/>
          <w:iCs w:val="0"/>
        </w:rPr>
        <w:instrText xml:space="preserve"> PAGEREF _Toc15557 \h </w:instrText>
      </w:r>
      <w:r>
        <w:rPr>
          <w:i w:val="0"/>
          <w:iCs w:val="0"/>
        </w:rPr>
        <w:fldChar w:fldCharType="separate"/>
      </w:r>
      <w:r>
        <w:rPr>
          <w:i w:val="0"/>
          <w:iCs w:val="0"/>
        </w:rPr>
        <w:t>108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_Toc10189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3．发包人管理</w:t>
      </w:r>
      <w:r>
        <w:rPr>
          <w:i w:val="0"/>
          <w:iCs w:val="0"/>
        </w:rPr>
        <w:tab/>
      </w:r>
      <w:r>
        <w:rPr>
          <w:i w:val="0"/>
          <w:iCs w:val="0"/>
        </w:rPr>
        <w:fldChar w:fldCharType="begin"/>
      </w:r>
      <w:r>
        <w:rPr>
          <w:i w:val="0"/>
          <w:iCs w:val="0"/>
        </w:rPr>
        <w:instrText xml:space="preserve"> PAGEREF _Toc10189 \h </w:instrText>
      </w:r>
      <w:r>
        <w:rPr>
          <w:i w:val="0"/>
          <w:iCs w:val="0"/>
        </w:rPr>
        <w:fldChar w:fldCharType="separate"/>
      </w:r>
      <w:r>
        <w:rPr>
          <w:i w:val="0"/>
          <w:iCs w:val="0"/>
        </w:rPr>
        <w:t>109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_Toc32651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4．设计人义务</w:t>
      </w:r>
      <w:r>
        <w:rPr>
          <w:i w:val="0"/>
          <w:iCs w:val="0"/>
        </w:rPr>
        <w:tab/>
      </w:r>
      <w:r>
        <w:rPr>
          <w:i w:val="0"/>
          <w:iCs w:val="0"/>
        </w:rPr>
        <w:fldChar w:fldCharType="begin"/>
      </w:r>
      <w:r>
        <w:rPr>
          <w:i w:val="0"/>
          <w:iCs w:val="0"/>
        </w:rPr>
        <w:instrText xml:space="preserve"> PAGEREF _Toc32651 \h </w:instrText>
      </w:r>
      <w:r>
        <w:rPr>
          <w:i w:val="0"/>
          <w:iCs w:val="0"/>
        </w:rPr>
        <w:fldChar w:fldCharType="separate"/>
      </w:r>
      <w:r>
        <w:rPr>
          <w:i w:val="0"/>
          <w:iCs w:val="0"/>
        </w:rPr>
        <w:t>110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_Toc20222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5．勘察设计要求</w:t>
      </w:r>
      <w:r>
        <w:rPr>
          <w:i w:val="0"/>
          <w:iCs w:val="0"/>
        </w:rPr>
        <w:tab/>
      </w:r>
      <w:r>
        <w:rPr>
          <w:i w:val="0"/>
          <w:iCs w:val="0"/>
        </w:rPr>
        <w:fldChar w:fldCharType="begin"/>
      </w:r>
      <w:r>
        <w:rPr>
          <w:i w:val="0"/>
          <w:iCs w:val="0"/>
        </w:rPr>
        <w:instrText xml:space="preserve"> PAGEREF _Toc20222 \h </w:instrText>
      </w:r>
      <w:r>
        <w:rPr>
          <w:i w:val="0"/>
          <w:iCs w:val="0"/>
        </w:rPr>
        <w:fldChar w:fldCharType="separate"/>
      </w:r>
      <w:r>
        <w:rPr>
          <w:i w:val="0"/>
          <w:iCs w:val="0"/>
        </w:rPr>
        <w:t>113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_Toc14607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6．开始勘察设计和完成勘察设计</w:t>
      </w:r>
      <w:r>
        <w:rPr>
          <w:i w:val="0"/>
          <w:iCs w:val="0"/>
        </w:rPr>
        <w:tab/>
      </w:r>
      <w:r>
        <w:rPr>
          <w:i w:val="0"/>
          <w:iCs w:val="0"/>
        </w:rPr>
        <w:fldChar w:fldCharType="begin"/>
      </w:r>
      <w:r>
        <w:rPr>
          <w:i w:val="0"/>
          <w:iCs w:val="0"/>
        </w:rPr>
        <w:instrText xml:space="preserve"> PAGEREF _Toc14607 \h </w:instrText>
      </w:r>
      <w:r>
        <w:rPr>
          <w:i w:val="0"/>
          <w:iCs w:val="0"/>
        </w:rPr>
        <w:fldChar w:fldCharType="separate"/>
      </w:r>
      <w:r>
        <w:rPr>
          <w:i w:val="0"/>
          <w:iCs w:val="0"/>
        </w:rPr>
        <w:t>118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_Toc7244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7．暂停勘察设计</w:t>
      </w:r>
      <w:r>
        <w:rPr>
          <w:i w:val="0"/>
          <w:iCs w:val="0"/>
        </w:rPr>
        <w:tab/>
      </w:r>
      <w:r>
        <w:rPr>
          <w:i w:val="0"/>
          <w:iCs w:val="0"/>
        </w:rPr>
        <w:fldChar w:fldCharType="begin"/>
      </w:r>
      <w:r>
        <w:rPr>
          <w:i w:val="0"/>
          <w:iCs w:val="0"/>
        </w:rPr>
        <w:instrText xml:space="preserve"> PAGEREF _Toc7244 \h </w:instrText>
      </w:r>
      <w:r>
        <w:rPr>
          <w:i w:val="0"/>
          <w:iCs w:val="0"/>
        </w:rPr>
        <w:fldChar w:fldCharType="separate"/>
      </w:r>
      <w:r>
        <w:rPr>
          <w:i w:val="0"/>
          <w:iCs w:val="0"/>
        </w:rPr>
        <w:t>120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_Toc20023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8．勘察设计文件</w:t>
      </w:r>
      <w:r>
        <w:rPr>
          <w:i w:val="0"/>
          <w:iCs w:val="0"/>
        </w:rPr>
        <w:tab/>
      </w:r>
      <w:r>
        <w:rPr>
          <w:i w:val="0"/>
          <w:iCs w:val="0"/>
        </w:rPr>
        <w:fldChar w:fldCharType="begin"/>
      </w:r>
      <w:r>
        <w:rPr>
          <w:i w:val="0"/>
          <w:iCs w:val="0"/>
        </w:rPr>
        <w:instrText xml:space="preserve"> PAGEREF _Toc20023 \h </w:instrText>
      </w:r>
      <w:r>
        <w:rPr>
          <w:i w:val="0"/>
          <w:iCs w:val="0"/>
        </w:rPr>
        <w:fldChar w:fldCharType="separate"/>
      </w:r>
      <w:r>
        <w:rPr>
          <w:i w:val="0"/>
          <w:iCs w:val="0"/>
        </w:rPr>
        <w:t>120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_Toc9663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9．勘察设计责任与保险</w:t>
      </w:r>
      <w:r>
        <w:rPr>
          <w:i w:val="0"/>
          <w:iCs w:val="0"/>
        </w:rPr>
        <w:tab/>
      </w:r>
      <w:r>
        <w:rPr>
          <w:i w:val="0"/>
          <w:iCs w:val="0"/>
        </w:rPr>
        <w:fldChar w:fldCharType="begin"/>
      </w:r>
      <w:r>
        <w:rPr>
          <w:i w:val="0"/>
          <w:iCs w:val="0"/>
        </w:rPr>
        <w:instrText xml:space="preserve"> PAGEREF _Toc9663 \h </w:instrText>
      </w:r>
      <w:r>
        <w:rPr>
          <w:i w:val="0"/>
          <w:iCs w:val="0"/>
        </w:rPr>
        <w:fldChar w:fldCharType="separate"/>
      </w:r>
      <w:r>
        <w:rPr>
          <w:i w:val="0"/>
          <w:iCs w:val="0"/>
        </w:rPr>
        <w:t>121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_Toc5821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10．招标和施工期间配合</w:t>
      </w:r>
      <w:r>
        <w:rPr>
          <w:i w:val="0"/>
          <w:iCs w:val="0"/>
        </w:rPr>
        <w:tab/>
      </w:r>
      <w:r>
        <w:rPr>
          <w:i w:val="0"/>
          <w:iCs w:val="0"/>
        </w:rPr>
        <w:fldChar w:fldCharType="begin"/>
      </w:r>
      <w:r>
        <w:rPr>
          <w:i w:val="0"/>
          <w:iCs w:val="0"/>
        </w:rPr>
        <w:instrText xml:space="preserve"> PAGEREF _Toc5821 \h </w:instrText>
      </w:r>
      <w:r>
        <w:rPr>
          <w:i w:val="0"/>
          <w:iCs w:val="0"/>
        </w:rPr>
        <w:fldChar w:fldCharType="separate"/>
      </w:r>
      <w:r>
        <w:rPr>
          <w:i w:val="0"/>
          <w:iCs w:val="0"/>
        </w:rPr>
        <w:t>123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_Toc24245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11．合同变更</w:t>
      </w:r>
      <w:r>
        <w:rPr>
          <w:i w:val="0"/>
          <w:iCs w:val="0"/>
        </w:rPr>
        <w:tab/>
      </w:r>
      <w:r>
        <w:rPr>
          <w:i w:val="0"/>
          <w:iCs w:val="0"/>
        </w:rPr>
        <w:fldChar w:fldCharType="begin"/>
      </w:r>
      <w:r>
        <w:rPr>
          <w:i w:val="0"/>
          <w:iCs w:val="0"/>
        </w:rPr>
        <w:instrText xml:space="preserve"> PAGEREF _Toc24245 \h </w:instrText>
      </w:r>
      <w:r>
        <w:rPr>
          <w:i w:val="0"/>
          <w:iCs w:val="0"/>
        </w:rPr>
        <w:fldChar w:fldCharType="separate"/>
      </w:r>
      <w:r>
        <w:rPr>
          <w:i w:val="0"/>
          <w:iCs w:val="0"/>
        </w:rPr>
        <w:t>123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_Toc28901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12. 合同价格与支付</w:t>
      </w:r>
      <w:r>
        <w:rPr>
          <w:i w:val="0"/>
          <w:iCs w:val="0"/>
        </w:rPr>
        <w:tab/>
      </w:r>
      <w:r>
        <w:rPr>
          <w:i w:val="0"/>
          <w:iCs w:val="0"/>
        </w:rPr>
        <w:fldChar w:fldCharType="begin"/>
      </w:r>
      <w:r>
        <w:rPr>
          <w:i w:val="0"/>
          <w:iCs w:val="0"/>
        </w:rPr>
        <w:instrText xml:space="preserve"> PAGEREF _Toc28901 \h </w:instrText>
      </w:r>
      <w:r>
        <w:rPr>
          <w:i w:val="0"/>
          <w:iCs w:val="0"/>
        </w:rPr>
        <w:fldChar w:fldCharType="separate"/>
      </w:r>
      <w:r>
        <w:rPr>
          <w:i w:val="0"/>
          <w:iCs w:val="0"/>
        </w:rPr>
        <w:t>124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_Toc2872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13．不可抗力</w:t>
      </w:r>
      <w:r>
        <w:rPr>
          <w:i w:val="0"/>
          <w:iCs w:val="0"/>
        </w:rPr>
        <w:tab/>
      </w:r>
      <w:r>
        <w:rPr>
          <w:i w:val="0"/>
          <w:iCs w:val="0"/>
        </w:rPr>
        <w:fldChar w:fldCharType="begin"/>
      </w:r>
      <w:r>
        <w:rPr>
          <w:i w:val="0"/>
          <w:iCs w:val="0"/>
        </w:rPr>
        <w:instrText xml:space="preserve"> PAGEREF _Toc2872 \h </w:instrText>
      </w:r>
      <w:r>
        <w:rPr>
          <w:i w:val="0"/>
          <w:iCs w:val="0"/>
        </w:rPr>
        <w:fldChar w:fldCharType="separate"/>
      </w:r>
      <w:r>
        <w:rPr>
          <w:i w:val="0"/>
          <w:iCs w:val="0"/>
        </w:rPr>
        <w:t>125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_Toc23562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14．违约</w:t>
      </w:r>
      <w:r>
        <w:rPr>
          <w:i w:val="0"/>
          <w:iCs w:val="0"/>
        </w:rPr>
        <w:tab/>
      </w:r>
      <w:r>
        <w:rPr>
          <w:i w:val="0"/>
          <w:iCs w:val="0"/>
        </w:rPr>
        <w:fldChar w:fldCharType="begin"/>
      </w:r>
      <w:r>
        <w:rPr>
          <w:i w:val="0"/>
          <w:iCs w:val="0"/>
        </w:rPr>
        <w:instrText xml:space="preserve"> PAGEREF _Toc23562 \h </w:instrText>
      </w:r>
      <w:r>
        <w:rPr>
          <w:i w:val="0"/>
          <w:iCs w:val="0"/>
        </w:rPr>
        <w:fldChar w:fldCharType="separate"/>
      </w:r>
      <w:r>
        <w:rPr>
          <w:i w:val="0"/>
          <w:iCs w:val="0"/>
        </w:rPr>
        <w:t>126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_Toc4836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15．争议的解决</w:t>
      </w:r>
      <w:r>
        <w:rPr>
          <w:i w:val="0"/>
          <w:iCs w:val="0"/>
        </w:rPr>
        <w:tab/>
      </w:r>
      <w:r>
        <w:rPr>
          <w:i w:val="0"/>
          <w:iCs w:val="0"/>
        </w:rPr>
        <w:fldChar w:fldCharType="begin"/>
      </w:r>
      <w:r>
        <w:rPr>
          <w:i w:val="0"/>
          <w:iCs w:val="0"/>
        </w:rPr>
        <w:instrText xml:space="preserve"> PAGEREF _Toc4836 \h </w:instrText>
      </w:r>
      <w:r>
        <w:rPr>
          <w:i w:val="0"/>
          <w:iCs w:val="0"/>
        </w:rPr>
        <w:fldChar w:fldCharType="separate"/>
      </w:r>
      <w:r>
        <w:rPr>
          <w:i w:val="0"/>
          <w:iCs w:val="0"/>
        </w:rPr>
        <w:t>127</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_Toc6228 </w:instrText>
      </w:r>
      <w:r>
        <w:rPr>
          <w:rFonts w:asciiTheme="minorEastAsia" w:hAnsiTheme="minorEastAsia" w:cstheme="minorHAnsi"/>
          <w:i w:val="0"/>
          <w:iCs w:val="0"/>
          <w:szCs w:val="21"/>
        </w:rPr>
        <w:fldChar w:fldCharType="separate"/>
      </w:r>
      <w:r>
        <w:rPr>
          <w:rFonts w:eastAsia="黑体"/>
          <w:i w:val="0"/>
          <w:iCs w:val="0"/>
          <w:szCs w:val="30"/>
        </w:rPr>
        <w:t>第四节 专用合同条款（适用于勘察项目）</w:t>
      </w:r>
      <w:r>
        <w:rPr>
          <w:i w:val="0"/>
          <w:iCs w:val="0"/>
        </w:rPr>
        <w:tab/>
      </w:r>
      <w:r>
        <w:rPr>
          <w:i w:val="0"/>
          <w:iCs w:val="0"/>
        </w:rPr>
        <w:fldChar w:fldCharType="begin"/>
      </w:r>
      <w:r>
        <w:rPr>
          <w:i w:val="0"/>
          <w:iCs w:val="0"/>
        </w:rPr>
        <w:instrText xml:space="preserve"> PAGEREF _Toc6228 \h </w:instrText>
      </w:r>
      <w:r>
        <w:rPr>
          <w:i w:val="0"/>
          <w:iCs w:val="0"/>
        </w:rPr>
        <w:fldChar w:fldCharType="separate"/>
      </w:r>
      <w:r>
        <w:rPr>
          <w:i w:val="0"/>
          <w:iCs w:val="0"/>
        </w:rPr>
        <w:t>128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_Toc22587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1．一般约定</w:t>
      </w:r>
      <w:r>
        <w:rPr>
          <w:i w:val="0"/>
          <w:iCs w:val="0"/>
        </w:rPr>
        <w:tab/>
      </w:r>
      <w:r>
        <w:rPr>
          <w:i w:val="0"/>
          <w:iCs w:val="0"/>
        </w:rPr>
        <w:fldChar w:fldCharType="begin"/>
      </w:r>
      <w:r>
        <w:rPr>
          <w:i w:val="0"/>
          <w:iCs w:val="0"/>
        </w:rPr>
        <w:instrText xml:space="preserve"> PAGEREF _Toc22587 \h </w:instrText>
      </w:r>
      <w:r>
        <w:rPr>
          <w:i w:val="0"/>
          <w:iCs w:val="0"/>
        </w:rPr>
        <w:fldChar w:fldCharType="separate"/>
      </w:r>
      <w:r>
        <w:rPr>
          <w:i w:val="0"/>
          <w:iCs w:val="0"/>
        </w:rPr>
        <w:t>128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_Toc32083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3．发包人管理</w:t>
      </w:r>
      <w:r>
        <w:rPr>
          <w:i w:val="0"/>
          <w:iCs w:val="0"/>
        </w:rPr>
        <w:tab/>
      </w:r>
      <w:r>
        <w:rPr>
          <w:i w:val="0"/>
          <w:iCs w:val="0"/>
        </w:rPr>
        <w:fldChar w:fldCharType="begin"/>
      </w:r>
      <w:r>
        <w:rPr>
          <w:i w:val="0"/>
          <w:iCs w:val="0"/>
        </w:rPr>
        <w:instrText xml:space="preserve"> PAGEREF _Toc32083 \h </w:instrText>
      </w:r>
      <w:r>
        <w:rPr>
          <w:i w:val="0"/>
          <w:iCs w:val="0"/>
        </w:rPr>
        <w:fldChar w:fldCharType="separate"/>
      </w:r>
      <w:r>
        <w:rPr>
          <w:i w:val="0"/>
          <w:iCs w:val="0"/>
        </w:rPr>
        <w:t>130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_Toc8021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4．勘察人义务</w:t>
      </w:r>
      <w:r>
        <w:rPr>
          <w:i w:val="0"/>
          <w:iCs w:val="0"/>
        </w:rPr>
        <w:tab/>
      </w:r>
      <w:r>
        <w:rPr>
          <w:i w:val="0"/>
          <w:iCs w:val="0"/>
        </w:rPr>
        <w:fldChar w:fldCharType="begin"/>
      </w:r>
      <w:r>
        <w:rPr>
          <w:i w:val="0"/>
          <w:iCs w:val="0"/>
        </w:rPr>
        <w:instrText xml:space="preserve"> PAGEREF _Toc8021 \h </w:instrText>
      </w:r>
      <w:r>
        <w:rPr>
          <w:i w:val="0"/>
          <w:iCs w:val="0"/>
        </w:rPr>
        <w:fldChar w:fldCharType="separate"/>
      </w:r>
      <w:r>
        <w:rPr>
          <w:i w:val="0"/>
          <w:iCs w:val="0"/>
        </w:rPr>
        <w:t>131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_Toc1629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5．勘察要求</w:t>
      </w:r>
      <w:r>
        <w:rPr>
          <w:i w:val="0"/>
          <w:iCs w:val="0"/>
        </w:rPr>
        <w:tab/>
      </w:r>
      <w:r>
        <w:rPr>
          <w:i w:val="0"/>
          <w:iCs w:val="0"/>
        </w:rPr>
        <w:fldChar w:fldCharType="begin"/>
      </w:r>
      <w:r>
        <w:rPr>
          <w:i w:val="0"/>
          <w:iCs w:val="0"/>
        </w:rPr>
        <w:instrText xml:space="preserve"> PAGEREF _Toc1629 \h </w:instrText>
      </w:r>
      <w:r>
        <w:rPr>
          <w:i w:val="0"/>
          <w:iCs w:val="0"/>
        </w:rPr>
        <w:fldChar w:fldCharType="separate"/>
      </w:r>
      <w:r>
        <w:rPr>
          <w:i w:val="0"/>
          <w:iCs w:val="0"/>
        </w:rPr>
        <w:t>131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_Toc19159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6．开始勘察和完成勘察</w:t>
      </w:r>
      <w:r>
        <w:rPr>
          <w:i w:val="0"/>
          <w:iCs w:val="0"/>
        </w:rPr>
        <w:tab/>
      </w:r>
      <w:r>
        <w:rPr>
          <w:i w:val="0"/>
          <w:iCs w:val="0"/>
        </w:rPr>
        <w:fldChar w:fldCharType="begin"/>
      </w:r>
      <w:r>
        <w:rPr>
          <w:i w:val="0"/>
          <w:iCs w:val="0"/>
        </w:rPr>
        <w:instrText xml:space="preserve"> PAGEREF _Toc19159 \h </w:instrText>
      </w:r>
      <w:r>
        <w:rPr>
          <w:i w:val="0"/>
          <w:iCs w:val="0"/>
        </w:rPr>
        <w:fldChar w:fldCharType="separate"/>
      </w:r>
      <w:r>
        <w:rPr>
          <w:i w:val="0"/>
          <w:iCs w:val="0"/>
        </w:rPr>
        <w:t>132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_Toc29660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8．勘察文件</w:t>
      </w:r>
      <w:r>
        <w:rPr>
          <w:i w:val="0"/>
          <w:iCs w:val="0"/>
        </w:rPr>
        <w:tab/>
      </w:r>
      <w:r>
        <w:rPr>
          <w:i w:val="0"/>
          <w:iCs w:val="0"/>
        </w:rPr>
        <w:fldChar w:fldCharType="begin"/>
      </w:r>
      <w:r>
        <w:rPr>
          <w:i w:val="0"/>
          <w:iCs w:val="0"/>
        </w:rPr>
        <w:instrText xml:space="preserve"> PAGEREF _Toc29660 \h </w:instrText>
      </w:r>
      <w:r>
        <w:rPr>
          <w:i w:val="0"/>
          <w:iCs w:val="0"/>
        </w:rPr>
        <w:fldChar w:fldCharType="separate"/>
      </w:r>
      <w:r>
        <w:rPr>
          <w:i w:val="0"/>
          <w:iCs w:val="0"/>
        </w:rPr>
        <w:t>133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_Toc2517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9．勘察责任与保险</w:t>
      </w:r>
      <w:r>
        <w:rPr>
          <w:i w:val="0"/>
          <w:iCs w:val="0"/>
        </w:rPr>
        <w:tab/>
      </w:r>
      <w:r>
        <w:rPr>
          <w:i w:val="0"/>
          <w:iCs w:val="0"/>
        </w:rPr>
        <w:fldChar w:fldCharType="begin"/>
      </w:r>
      <w:r>
        <w:rPr>
          <w:i w:val="0"/>
          <w:iCs w:val="0"/>
        </w:rPr>
        <w:instrText xml:space="preserve"> PAGEREF _Toc2517 \h </w:instrText>
      </w:r>
      <w:r>
        <w:rPr>
          <w:i w:val="0"/>
          <w:iCs w:val="0"/>
        </w:rPr>
        <w:fldChar w:fldCharType="separate"/>
      </w:r>
      <w:r>
        <w:rPr>
          <w:i w:val="0"/>
          <w:iCs w:val="0"/>
        </w:rPr>
        <w:t>133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_Toc28925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10．设计和施工期间配合</w:t>
      </w:r>
      <w:r>
        <w:rPr>
          <w:i w:val="0"/>
          <w:iCs w:val="0"/>
        </w:rPr>
        <w:tab/>
      </w:r>
      <w:r>
        <w:rPr>
          <w:i w:val="0"/>
          <w:iCs w:val="0"/>
        </w:rPr>
        <w:fldChar w:fldCharType="begin"/>
      </w:r>
      <w:r>
        <w:rPr>
          <w:i w:val="0"/>
          <w:iCs w:val="0"/>
        </w:rPr>
        <w:instrText xml:space="preserve"> PAGEREF _Toc28925 \h </w:instrText>
      </w:r>
      <w:r>
        <w:rPr>
          <w:i w:val="0"/>
          <w:iCs w:val="0"/>
        </w:rPr>
        <w:fldChar w:fldCharType="separate"/>
      </w:r>
      <w:r>
        <w:rPr>
          <w:i w:val="0"/>
          <w:iCs w:val="0"/>
        </w:rPr>
        <w:t>133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_Toc27579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11．合同变更</w:t>
      </w:r>
      <w:r>
        <w:rPr>
          <w:i w:val="0"/>
          <w:iCs w:val="0"/>
        </w:rPr>
        <w:tab/>
      </w:r>
      <w:r>
        <w:rPr>
          <w:i w:val="0"/>
          <w:iCs w:val="0"/>
        </w:rPr>
        <w:fldChar w:fldCharType="begin"/>
      </w:r>
      <w:r>
        <w:rPr>
          <w:i w:val="0"/>
          <w:iCs w:val="0"/>
        </w:rPr>
        <w:instrText xml:space="preserve"> PAGEREF _Toc27579 \h </w:instrText>
      </w:r>
      <w:r>
        <w:rPr>
          <w:i w:val="0"/>
          <w:iCs w:val="0"/>
        </w:rPr>
        <w:fldChar w:fldCharType="separate"/>
      </w:r>
      <w:r>
        <w:rPr>
          <w:i w:val="0"/>
          <w:iCs w:val="0"/>
        </w:rPr>
        <w:t>134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_Toc10390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12．合同价格与支付</w:t>
      </w:r>
      <w:r>
        <w:rPr>
          <w:i w:val="0"/>
          <w:iCs w:val="0"/>
        </w:rPr>
        <w:tab/>
      </w:r>
      <w:r>
        <w:rPr>
          <w:i w:val="0"/>
          <w:iCs w:val="0"/>
        </w:rPr>
        <w:fldChar w:fldCharType="begin"/>
      </w:r>
      <w:r>
        <w:rPr>
          <w:i w:val="0"/>
          <w:iCs w:val="0"/>
        </w:rPr>
        <w:instrText xml:space="preserve"> PAGEREF _Toc10390 \h </w:instrText>
      </w:r>
      <w:r>
        <w:rPr>
          <w:i w:val="0"/>
          <w:iCs w:val="0"/>
        </w:rPr>
        <w:fldChar w:fldCharType="separate"/>
      </w:r>
      <w:r>
        <w:rPr>
          <w:i w:val="0"/>
          <w:iCs w:val="0"/>
        </w:rPr>
        <w:t>134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_Toc29109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13．不可抗力</w:t>
      </w:r>
      <w:r>
        <w:rPr>
          <w:i w:val="0"/>
          <w:iCs w:val="0"/>
        </w:rPr>
        <w:tab/>
      </w:r>
      <w:r>
        <w:rPr>
          <w:i w:val="0"/>
          <w:iCs w:val="0"/>
        </w:rPr>
        <w:fldChar w:fldCharType="begin"/>
      </w:r>
      <w:r>
        <w:rPr>
          <w:i w:val="0"/>
          <w:iCs w:val="0"/>
        </w:rPr>
        <w:instrText xml:space="preserve"> PAGEREF _Toc29109 \h </w:instrText>
      </w:r>
      <w:r>
        <w:rPr>
          <w:i w:val="0"/>
          <w:iCs w:val="0"/>
        </w:rPr>
        <w:fldChar w:fldCharType="separate"/>
      </w:r>
      <w:r>
        <w:rPr>
          <w:i w:val="0"/>
          <w:iCs w:val="0"/>
        </w:rPr>
        <w:t>134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_Toc17012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14．违约</w:t>
      </w:r>
      <w:r>
        <w:rPr>
          <w:i w:val="0"/>
          <w:iCs w:val="0"/>
        </w:rPr>
        <w:tab/>
      </w:r>
      <w:r>
        <w:rPr>
          <w:i w:val="0"/>
          <w:iCs w:val="0"/>
        </w:rPr>
        <w:fldChar w:fldCharType="begin"/>
      </w:r>
      <w:r>
        <w:rPr>
          <w:i w:val="0"/>
          <w:iCs w:val="0"/>
        </w:rPr>
        <w:instrText xml:space="preserve"> PAGEREF _Toc17012 \h </w:instrText>
      </w:r>
      <w:r>
        <w:rPr>
          <w:i w:val="0"/>
          <w:iCs w:val="0"/>
        </w:rPr>
        <w:fldChar w:fldCharType="separate"/>
      </w:r>
      <w:r>
        <w:rPr>
          <w:i w:val="0"/>
          <w:iCs w:val="0"/>
        </w:rPr>
        <w:t>134</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_Toc2641 </w:instrText>
      </w:r>
      <w:r>
        <w:rPr>
          <w:rFonts w:asciiTheme="minorEastAsia" w:hAnsiTheme="minorEastAsia" w:cstheme="minorHAnsi"/>
          <w:i w:val="0"/>
          <w:iCs w:val="0"/>
          <w:szCs w:val="21"/>
        </w:rPr>
        <w:fldChar w:fldCharType="separate"/>
      </w:r>
      <w:r>
        <w:rPr>
          <w:rFonts w:eastAsia="黑体"/>
          <w:i w:val="0"/>
          <w:iCs w:val="0"/>
          <w:szCs w:val="30"/>
        </w:rPr>
        <w:t>第五节 专用合同条款（适用于设计项目）</w:t>
      </w:r>
      <w:r>
        <w:rPr>
          <w:i w:val="0"/>
          <w:iCs w:val="0"/>
        </w:rPr>
        <w:tab/>
      </w:r>
      <w:r>
        <w:rPr>
          <w:i w:val="0"/>
          <w:iCs w:val="0"/>
        </w:rPr>
        <w:fldChar w:fldCharType="begin"/>
      </w:r>
      <w:r>
        <w:rPr>
          <w:i w:val="0"/>
          <w:iCs w:val="0"/>
        </w:rPr>
        <w:instrText xml:space="preserve"> PAGEREF _Toc2641 \h </w:instrText>
      </w:r>
      <w:r>
        <w:rPr>
          <w:i w:val="0"/>
          <w:iCs w:val="0"/>
        </w:rPr>
        <w:fldChar w:fldCharType="separate"/>
      </w:r>
      <w:r>
        <w:rPr>
          <w:i w:val="0"/>
          <w:iCs w:val="0"/>
        </w:rPr>
        <w:t>136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_Toc2335 </w:instrText>
      </w:r>
      <w:r>
        <w:rPr>
          <w:rFonts w:asciiTheme="minorEastAsia" w:hAnsiTheme="minorEastAsia" w:cstheme="minorHAnsi"/>
          <w:i w:val="0"/>
          <w:iCs w:val="0"/>
          <w:szCs w:val="21"/>
        </w:rPr>
        <w:fldChar w:fldCharType="separate"/>
      </w:r>
      <w:r>
        <w:rPr>
          <w:rFonts w:eastAsia="黑体"/>
          <w:i w:val="0"/>
          <w:iCs w:val="0"/>
          <w:szCs w:val="28"/>
        </w:rPr>
        <w:t>1．</w:t>
      </w:r>
      <w:r>
        <w:rPr>
          <w:rFonts w:hint="eastAsia" w:ascii="宋体" w:hAnsi="宋体" w:eastAsia="宋体" w:cs="宋体"/>
          <w:i w:val="0"/>
          <w:iCs w:val="0"/>
          <w:szCs w:val="28"/>
        </w:rPr>
        <w:t>一般约定</w:t>
      </w:r>
      <w:r>
        <w:rPr>
          <w:i w:val="0"/>
          <w:iCs w:val="0"/>
        </w:rPr>
        <w:tab/>
      </w:r>
      <w:r>
        <w:rPr>
          <w:i w:val="0"/>
          <w:iCs w:val="0"/>
        </w:rPr>
        <w:fldChar w:fldCharType="begin"/>
      </w:r>
      <w:r>
        <w:rPr>
          <w:i w:val="0"/>
          <w:iCs w:val="0"/>
        </w:rPr>
        <w:instrText xml:space="preserve"> PAGEREF _Toc2335 \h </w:instrText>
      </w:r>
      <w:r>
        <w:rPr>
          <w:i w:val="0"/>
          <w:iCs w:val="0"/>
        </w:rPr>
        <w:fldChar w:fldCharType="separate"/>
      </w:r>
      <w:r>
        <w:rPr>
          <w:i w:val="0"/>
          <w:iCs w:val="0"/>
        </w:rPr>
        <w:t>136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_Toc15224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3．发包人管理</w:t>
      </w:r>
      <w:r>
        <w:rPr>
          <w:i w:val="0"/>
          <w:iCs w:val="0"/>
        </w:rPr>
        <w:tab/>
      </w:r>
      <w:r>
        <w:rPr>
          <w:i w:val="0"/>
          <w:iCs w:val="0"/>
        </w:rPr>
        <w:fldChar w:fldCharType="begin"/>
      </w:r>
      <w:r>
        <w:rPr>
          <w:i w:val="0"/>
          <w:iCs w:val="0"/>
        </w:rPr>
        <w:instrText xml:space="preserve"> PAGEREF _Toc15224 \h </w:instrText>
      </w:r>
      <w:r>
        <w:rPr>
          <w:i w:val="0"/>
          <w:iCs w:val="0"/>
        </w:rPr>
        <w:fldChar w:fldCharType="separate"/>
      </w:r>
      <w:r>
        <w:rPr>
          <w:i w:val="0"/>
          <w:iCs w:val="0"/>
        </w:rPr>
        <w:t>138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_Toc16974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4.设计人义务</w:t>
      </w:r>
      <w:r>
        <w:rPr>
          <w:i w:val="0"/>
          <w:iCs w:val="0"/>
        </w:rPr>
        <w:tab/>
      </w:r>
      <w:r>
        <w:rPr>
          <w:i w:val="0"/>
          <w:iCs w:val="0"/>
        </w:rPr>
        <w:fldChar w:fldCharType="begin"/>
      </w:r>
      <w:r>
        <w:rPr>
          <w:i w:val="0"/>
          <w:iCs w:val="0"/>
        </w:rPr>
        <w:instrText xml:space="preserve"> PAGEREF _Toc16974 \h </w:instrText>
      </w:r>
      <w:r>
        <w:rPr>
          <w:i w:val="0"/>
          <w:iCs w:val="0"/>
        </w:rPr>
        <w:fldChar w:fldCharType="separate"/>
      </w:r>
      <w:r>
        <w:rPr>
          <w:i w:val="0"/>
          <w:iCs w:val="0"/>
        </w:rPr>
        <w:t>138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_Toc5529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5.设计要求</w:t>
      </w:r>
      <w:r>
        <w:rPr>
          <w:i w:val="0"/>
          <w:iCs w:val="0"/>
        </w:rPr>
        <w:tab/>
      </w:r>
      <w:r>
        <w:rPr>
          <w:i w:val="0"/>
          <w:iCs w:val="0"/>
        </w:rPr>
        <w:fldChar w:fldCharType="begin"/>
      </w:r>
      <w:r>
        <w:rPr>
          <w:i w:val="0"/>
          <w:iCs w:val="0"/>
        </w:rPr>
        <w:instrText xml:space="preserve"> PAGEREF _Toc5529 \h </w:instrText>
      </w:r>
      <w:r>
        <w:rPr>
          <w:i w:val="0"/>
          <w:iCs w:val="0"/>
        </w:rPr>
        <w:fldChar w:fldCharType="separate"/>
      </w:r>
      <w:r>
        <w:rPr>
          <w:i w:val="0"/>
          <w:iCs w:val="0"/>
        </w:rPr>
        <w:t>139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_Toc24581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6.开始设计和完成设计</w:t>
      </w:r>
      <w:r>
        <w:rPr>
          <w:i w:val="0"/>
          <w:iCs w:val="0"/>
        </w:rPr>
        <w:tab/>
      </w:r>
      <w:r>
        <w:rPr>
          <w:i w:val="0"/>
          <w:iCs w:val="0"/>
        </w:rPr>
        <w:fldChar w:fldCharType="begin"/>
      </w:r>
      <w:r>
        <w:rPr>
          <w:i w:val="0"/>
          <w:iCs w:val="0"/>
        </w:rPr>
        <w:instrText xml:space="preserve"> PAGEREF _Toc24581 \h </w:instrText>
      </w:r>
      <w:r>
        <w:rPr>
          <w:i w:val="0"/>
          <w:iCs w:val="0"/>
        </w:rPr>
        <w:fldChar w:fldCharType="separate"/>
      </w:r>
      <w:r>
        <w:rPr>
          <w:i w:val="0"/>
          <w:iCs w:val="0"/>
        </w:rPr>
        <w:t>140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8.设计文件</w:t>
      </w:r>
      <w:r>
        <w:rPr>
          <w:i w:val="0"/>
          <w:iCs w:val="0"/>
        </w:rPr>
        <w:tab/>
      </w:r>
      <w:r>
        <w:rPr>
          <w:i w:val="0"/>
          <w:iCs w:val="0"/>
        </w:rPr>
        <w:fldChar w:fldCharType="begin"/>
      </w:r>
      <w:r>
        <w:rPr>
          <w:i w:val="0"/>
          <w:iCs w:val="0"/>
        </w:rPr>
        <w:instrText xml:space="preserve"> PAGEREF _Toc197 \h </w:instrText>
      </w:r>
      <w:r>
        <w:rPr>
          <w:i w:val="0"/>
          <w:iCs w:val="0"/>
        </w:rPr>
        <w:fldChar w:fldCharType="separate"/>
      </w:r>
      <w:r>
        <w:rPr>
          <w:i w:val="0"/>
          <w:iCs w:val="0"/>
        </w:rPr>
        <w:t>140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_Toc30632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9．设计责任与保险</w:t>
      </w:r>
      <w:r>
        <w:rPr>
          <w:i w:val="0"/>
          <w:iCs w:val="0"/>
        </w:rPr>
        <w:tab/>
      </w:r>
      <w:r>
        <w:rPr>
          <w:i w:val="0"/>
          <w:iCs w:val="0"/>
        </w:rPr>
        <w:fldChar w:fldCharType="begin"/>
      </w:r>
      <w:r>
        <w:rPr>
          <w:i w:val="0"/>
          <w:iCs w:val="0"/>
        </w:rPr>
        <w:instrText xml:space="preserve"> PAGEREF _Toc30632 \h </w:instrText>
      </w:r>
      <w:r>
        <w:rPr>
          <w:i w:val="0"/>
          <w:iCs w:val="0"/>
        </w:rPr>
        <w:fldChar w:fldCharType="separate"/>
      </w:r>
      <w:r>
        <w:rPr>
          <w:i w:val="0"/>
          <w:iCs w:val="0"/>
        </w:rPr>
        <w:t>140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_Toc15368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10．施工期间配合</w:t>
      </w:r>
      <w:r>
        <w:rPr>
          <w:i w:val="0"/>
          <w:iCs w:val="0"/>
        </w:rPr>
        <w:tab/>
      </w:r>
      <w:r>
        <w:rPr>
          <w:i w:val="0"/>
          <w:iCs w:val="0"/>
        </w:rPr>
        <w:fldChar w:fldCharType="begin"/>
      </w:r>
      <w:r>
        <w:rPr>
          <w:i w:val="0"/>
          <w:iCs w:val="0"/>
        </w:rPr>
        <w:instrText xml:space="preserve"> PAGEREF _Toc15368 \h </w:instrText>
      </w:r>
      <w:r>
        <w:rPr>
          <w:i w:val="0"/>
          <w:iCs w:val="0"/>
        </w:rPr>
        <w:fldChar w:fldCharType="separate"/>
      </w:r>
      <w:r>
        <w:rPr>
          <w:i w:val="0"/>
          <w:iCs w:val="0"/>
        </w:rPr>
        <w:t>141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_Toc5757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11．合同变更</w:t>
      </w:r>
      <w:r>
        <w:rPr>
          <w:i w:val="0"/>
          <w:iCs w:val="0"/>
        </w:rPr>
        <w:tab/>
      </w:r>
      <w:r>
        <w:rPr>
          <w:i w:val="0"/>
          <w:iCs w:val="0"/>
        </w:rPr>
        <w:fldChar w:fldCharType="begin"/>
      </w:r>
      <w:r>
        <w:rPr>
          <w:i w:val="0"/>
          <w:iCs w:val="0"/>
        </w:rPr>
        <w:instrText xml:space="preserve"> PAGEREF _Toc5757 \h </w:instrText>
      </w:r>
      <w:r>
        <w:rPr>
          <w:i w:val="0"/>
          <w:iCs w:val="0"/>
        </w:rPr>
        <w:fldChar w:fldCharType="separate"/>
      </w:r>
      <w:r>
        <w:rPr>
          <w:i w:val="0"/>
          <w:iCs w:val="0"/>
        </w:rPr>
        <w:t>141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_Toc26702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12．合同价格与支付</w:t>
      </w:r>
      <w:r>
        <w:rPr>
          <w:i w:val="0"/>
          <w:iCs w:val="0"/>
        </w:rPr>
        <w:tab/>
      </w:r>
      <w:r>
        <w:rPr>
          <w:i w:val="0"/>
          <w:iCs w:val="0"/>
        </w:rPr>
        <w:fldChar w:fldCharType="begin"/>
      </w:r>
      <w:r>
        <w:rPr>
          <w:i w:val="0"/>
          <w:iCs w:val="0"/>
        </w:rPr>
        <w:instrText xml:space="preserve"> PAGEREF _Toc26702 \h </w:instrText>
      </w:r>
      <w:r>
        <w:rPr>
          <w:i w:val="0"/>
          <w:iCs w:val="0"/>
        </w:rPr>
        <w:fldChar w:fldCharType="separate"/>
      </w:r>
      <w:r>
        <w:rPr>
          <w:i w:val="0"/>
          <w:iCs w:val="0"/>
        </w:rPr>
        <w:t>141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_Toc1914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13.不可抗力</w:t>
      </w:r>
      <w:r>
        <w:rPr>
          <w:i w:val="0"/>
          <w:iCs w:val="0"/>
        </w:rPr>
        <w:tab/>
      </w:r>
      <w:r>
        <w:rPr>
          <w:i w:val="0"/>
          <w:iCs w:val="0"/>
        </w:rPr>
        <w:fldChar w:fldCharType="begin"/>
      </w:r>
      <w:r>
        <w:rPr>
          <w:i w:val="0"/>
          <w:iCs w:val="0"/>
        </w:rPr>
        <w:instrText xml:space="preserve"> PAGEREF _Toc1914 \h </w:instrText>
      </w:r>
      <w:r>
        <w:rPr>
          <w:i w:val="0"/>
          <w:iCs w:val="0"/>
        </w:rPr>
        <w:fldChar w:fldCharType="separate"/>
      </w:r>
      <w:r>
        <w:rPr>
          <w:i w:val="0"/>
          <w:iCs w:val="0"/>
        </w:rPr>
        <w:t>142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_Toc905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14．违约</w:t>
      </w:r>
      <w:r>
        <w:rPr>
          <w:i w:val="0"/>
          <w:iCs w:val="0"/>
        </w:rPr>
        <w:tab/>
      </w:r>
      <w:r>
        <w:rPr>
          <w:i w:val="0"/>
          <w:iCs w:val="0"/>
        </w:rPr>
        <w:fldChar w:fldCharType="begin"/>
      </w:r>
      <w:r>
        <w:rPr>
          <w:i w:val="0"/>
          <w:iCs w:val="0"/>
        </w:rPr>
        <w:instrText xml:space="preserve"> PAGEREF _Toc905 \h </w:instrText>
      </w:r>
      <w:r>
        <w:rPr>
          <w:i w:val="0"/>
          <w:iCs w:val="0"/>
        </w:rPr>
        <w:fldChar w:fldCharType="separate"/>
      </w:r>
      <w:r>
        <w:rPr>
          <w:i w:val="0"/>
          <w:iCs w:val="0"/>
        </w:rPr>
        <w:t>142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_Toc31829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8"/>
        </w:rPr>
        <w:t>15．争议的解决</w:t>
      </w:r>
      <w:r>
        <w:rPr>
          <w:i w:val="0"/>
          <w:iCs w:val="0"/>
        </w:rPr>
        <w:tab/>
      </w:r>
      <w:r>
        <w:rPr>
          <w:i w:val="0"/>
          <w:iCs w:val="0"/>
        </w:rPr>
        <w:fldChar w:fldCharType="begin"/>
      </w:r>
      <w:r>
        <w:rPr>
          <w:i w:val="0"/>
          <w:iCs w:val="0"/>
        </w:rPr>
        <w:instrText xml:space="preserve"> PAGEREF _Toc31829 \h </w:instrText>
      </w:r>
      <w:r>
        <w:rPr>
          <w:i w:val="0"/>
          <w:iCs w:val="0"/>
        </w:rPr>
        <w:fldChar w:fldCharType="separate"/>
      </w:r>
      <w:r>
        <w:rPr>
          <w:i w:val="0"/>
          <w:iCs w:val="0"/>
        </w:rPr>
        <w:t>142</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_Toc7672 </w:instrText>
      </w:r>
      <w:r>
        <w:rPr>
          <w:rFonts w:asciiTheme="minorEastAsia" w:hAnsiTheme="minorEastAsia" w:cstheme="minorHAnsi"/>
          <w:i w:val="0"/>
          <w:iCs w:val="0"/>
          <w:szCs w:val="21"/>
        </w:rPr>
        <w:fldChar w:fldCharType="separate"/>
      </w:r>
      <w:r>
        <w:rPr>
          <w:rFonts w:eastAsia="黑体"/>
          <w:i w:val="0"/>
          <w:iCs w:val="0"/>
          <w:szCs w:val="30"/>
        </w:rPr>
        <w:t>第六节 专用合同条款（适用于勘察设计项目）</w:t>
      </w:r>
      <w:r>
        <w:rPr>
          <w:i w:val="0"/>
          <w:iCs w:val="0"/>
        </w:rPr>
        <w:tab/>
      </w:r>
      <w:r>
        <w:rPr>
          <w:i w:val="0"/>
          <w:iCs w:val="0"/>
        </w:rPr>
        <w:fldChar w:fldCharType="begin"/>
      </w:r>
      <w:r>
        <w:rPr>
          <w:i w:val="0"/>
          <w:iCs w:val="0"/>
        </w:rPr>
        <w:instrText xml:space="preserve"> PAGEREF _Toc7672 \h </w:instrText>
      </w:r>
      <w:r>
        <w:rPr>
          <w:i w:val="0"/>
          <w:iCs w:val="0"/>
        </w:rPr>
        <w:fldChar w:fldCharType="separate"/>
      </w:r>
      <w:r>
        <w:rPr>
          <w:i w:val="0"/>
          <w:iCs w:val="0"/>
        </w:rPr>
        <w:t>143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_Toc23592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1．一般约定</w:t>
      </w:r>
      <w:r>
        <w:rPr>
          <w:i w:val="0"/>
          <w:iCs w:val="0"/>
        </w:rPr>
        <w:tab/>
      </w:r>
      <w:r>
        <w:rPr>
          <w:i w:val="0"/>
          <w:iCs w:val="0"/>
        </w:rPr>
        <w:fldChar w:fldCharType="begin"/>
      </w:r>
      <w:r>
        <w:rPr>
          <w:i w:val="0"/>
          <w:iCs w:val="0"/>
        </w:rPr>
        <w:instrText xml:space="preserve"> PAGEREF _Toc23592 \h </w:instrText>
      </w:r>
      <w:r>
        <w:rPr>
          <w:i w:val="0"/>
          <w:iCs w:val="0"/>
        </w:rPr>
        <w:fldChar w:fldCharType="separate"/>
      </w:r>
      <w:r>
        <w:rPr>
          <w:i w:val="0"/>
          <w:iCs w:val="0"/>
        </w:rPr>
        <w:t>143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_Toc8898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3．发包人管理</w:t>
      </w:r>
      <w:r>
        <w:rPr>
          <w:i w:val="0"/>
          <w:iCs w:val="0"/>
        </w:rPr>
        <w:tab/>
      </w:r>
      <w:r>
        <w:rPr>
          <w:i w:val="0"/>
          <w:iCs w:val="0"/>
        </w:rPr>
        <w:fldChar w:fldCharType="begin"/>
      </w:r>
      <w:r>
        <w:rPr>
          <w:i w:val="0"/>
          <w:iCs w:val="0"/>
        </w:rPr>
        <w:instrText xml:space="preserve"> PAGEREF _Toc8898 \h </w:instrText>
      </w:r>
      <w:r>
        <w:rPr>
          <w:i w:val="0"/>
          <w:iCs w:val="0"/>
        </w:rPr>
        <w:fldChar w:fldCharType="separate"/>
      </w:r>
      <w:r>
        <w:rPr>
          <w:i w:val="0"/>
          <w:iCs w:val="0"/>
        </w:rPr>
        <w:t>145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_Toc19498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4. 设计人义务</w:t>
      </w:r>
      <w:r>
        <w:rPr>
          <w:i w:val="0"/>
          <w:iCs w:val="0"/>
        </w:rPr>
        <w:tab/>
      </w:r>
      <w:r>
        <w:rPr>
          <w:i w:val="0"/>
          <w:iCs w:val="0"/>
        </w:rPr>
        <w:fldChar w:fldCharType="begin"/>
      </w:r>
      <w:r>
        <w:rPr>
          <w:i w:val="0"/>
          <w:iCs w:val="0"/>
        </w:rPr>
        <w:instrText xml:space="preserve"> PAGEREF _Toc19498 \h </w:instrText>
      </w:r>
      <w:r>
        <w:rPr>
          <w:i w:val="0"/>
          <w:iCs w:val="0"/>
        </w:rPr>
        <w:fldChar w:fldCharType="separate"/>
      </w:r>
      <w:r>
        <w:rPr>
          <w:i w:val="0"/>
          <w:iCs w:val="0"/>
        </w:rPr>
        <w:t>145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_Toc5692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5．勘察设计要求</w:t>
      </w:r>
      <w:r>
        <w:rPr>
          <w:i w:val="0"/>
          <w:iCs w:val="0"/>
        </w:rPr>
        <w:tab/>
      </w:r>
      <w:r>
        <w:rPr>
          <w:i w:val="0"/>
          <w:iCs w:val="0"/>
        </w:rPr>
        <w:fldChar w:fldCharType="begin"/>
      </w:r>
      <w:r>
        <w:rPr>
          <w:i w:val="0"/>
          <w:iCs w:val="0"/>
        </w:rPr>
        <w:instrText xml:space="preserve"> PAGEREF _Toc5692 \h </w:instrText>
      </w:r>
      <w:r>
        <w:rPr>
          <w:i w:val="0"/>
          <w:iCs w:val="0"/>
        </w:rPr>
        <w:fldChar w:fldCharType="separate"/>
      </w:r>
      <w:r>
        <w:rPr>
          <w:i w:val="0"/>
          <w:iCs w:val="0"/>
        </w:rPr>
        <w:t>147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_Toc27475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6．开始勘察设计和完成勘察设计</w:t>
      </w:r>
      <w:r>
        <w:rPr>
          <w:i w:val="0"/>
          <w:iCs w:val="0"/>
        </w:rPr>
        <w:tab/>
      </w:r>
      <w:r>
        <w:rPr>
          <w:i w:val="0"/>
          <w:iCs w:val="0"/>
        </w:rPr>
        <w:fldChar w:fldCharType="begin"/>
      </w:r>
      <w:r>
        <w:rPr>
          <w:i w:val="0"/>
          <w:iCs w:val="0"/>
        </w:rPr>
        <w:instrText xml:space="preserve"> PAGEREF _Toc27475 \h </w:instrText>
      </w:r>
      <w:r>
        <w:rPr>
          <w:i w:val="0"/>
          <w:iCs w:val="0"/>
        </w:rPr>
        <w:fldChar w:fldCharType="separate"/>
      </w:r>
      <w:r>
        <w:rPr>
          <w:i w:val="0"/>
          <w:iCs w:val="0"/>
        </w:rPr>
        <w:t>147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_Toc32664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8．勘察设计文件</w:t>
      </w:r>
      <w:r>
        <w:rPr>
          <w:i w:val="0"/>
          <w:iCs w:val="0"/>
        </w:rPr>
        <w:tab/>
      </w:r>
      <w:r>
        <w:rPr>
          <w:i w:val="0"/>
          <w:iCs w:val="0"/>
        </w:rPr>
        <w:fldChar w:fldCharType="begin"/>
      </w:r>
      <w:r>
        <w:rPr>
          <w:i w:val="0"/>
          <w:iCs w:val="0"/>
        </w:rPr>
        <w:instrText xml:space="preserve"> PAGEREF _Toc32664 \h </w:instrText>
      </w:r>
      <w:r>
        <w:rPr>
          <w:i w:val="0"/>
          <w:iCs w:val="0"/>
        </w:rPr>
        <w:fldChar w:fldCharType="separate"/>
      </w:r>
      <w:r>
        <w:rPr>
          <w:i w:val="0"/>
          <w:iCs w:val="0"/>
        </w:rPr>
        <w:t>148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_Toc16347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9．勘察设计责任与保险</w:t>
      </w:r>
      <w:r>
        <w:rPr>
          <w:i w:val="0"/>
          <w:iCs w:val="0"/>
        </w:rPr>
        <w:tab/>
      </w:r>
      <w:r>
        <w:rPr>
          <w:i w:val="0"/>
          <w:iCs w:val="0"/>
        </w:rPr>
        <w:fldChar w:fldCharType="begin"/>
      </w:r>
      <w:r>
        <w:rPr>
          <w:i w:val="0"/>
          <w:iCs w:val="0"/>
        </w:rPr>
        <w:instrText xml:space="preserve"> PAGEREF _Toc16347 \h </w:instrText>
      </w:r>
      <w:r>
        <w:rPr>
          <w:i w:val="0"/>
          <w:iCs w:val="0"/>
        </w:rPr>
        <w:fldChar w:fldCharType="separate"/>
      </w:r>
      <w:r>
        <w:rPr>
          <w:i w:val="0"/>
          <w:iCs w:val="0"/>
        </w:rPr>
        <w:t>148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_Toc8397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10．招标和施工期间配合</w:t>
      </w:r>
      <w:r>
        <w:rPr>
          <w:i w:val="0"/>
          <w:iCs w:val="0"/>
        </w:rPr>
        <w:tab/>
      </w:r>
      <w:r>
        <w:rPr>
          <w:i w:val="0"/>
          <w:iCs w:val="0"/>
        </w:rPr>
        <w:fldChar w:fldCharType="begin"/>
      </w:r>
      <w:r>
        <w:rPr>
          <w:i w:val="0"/>
          <w:iCs w:val="0"/>
        </w:rPr>
        <w:instrText xml:space="preserve"> PAGEREF _Toc8397 \h </w:instrText>
      </w:r>
      <w:r>
        <w:rPr>
          <w:i w:val="0"/>
          <w:iCs w:val="0"/>
        </w:rPr>
        <w:fldChar w:fldCharType="separate"/>
      </w:r>
      <w:r>
        <w:rPr>
          <w:i w:val="0"/>
          <w:iCs w:val="0"/>
        </w:rPr>
        <w:t>148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_Toc3573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11．合同变更</w:t>
      </w:r>
      <w:r>
        <w:rPr>
          <w:i w:val="0"/>
          <w:iCs w:val="0"/>
        </w:rPr>
        <w:tab/>
      </w:r>
      <w:r>
        <w:rPr>
          <w:i w:val="0"/>
          <w:iCs w:val="0"/>
        </w:rPr>
        <w:fldChar w:fldCharType="begin"/>
      </w:r>
      <w:r>
        <w:rPr>
          <w:i w:val="0"/>
          <w:iCs w:val="0"/>
        </w:rPr>
        <w:instrText xml:space="preserve"> PAGEREF _Toc3573 \h </w:instrText>
      </w:r>
      <w:r>
        <w:rPr>
          <w:i w:val="0"/>
          <w:iCs w:val="0"/>
        </w:rPr>
        <w:fldChar w:fldCharType="separate"/>
      </w:r>
      <w:r>
        <w:rPr>
          <w:i w:val="0"/>
          <w:iCs w:val="0"/>
        </w:rPr>
        <w:t>148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_Toc30453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12．合同价格与支付</w:t>
      </w:r>
      <w:r>
        <w:rPr>
          <w:i w:val="0"/>
          <w:iCs w:val="0"/>
        </w:rPr>
        <w:tab/>
      </w:r>
      <w:r>
        <w:rPr>
          <w:i w:val="0"/>
          <w:iCs w:val="0"/>
        </w:rPr>
        <w:fldChar w:fldCharType="begin"/>
      </w:r>
      <w:r>
        <w:rPr>
          <w:i w:val="0"/>
          <w:iCs w:val="0"/>
        </w:rPr>
        <w:instrText xml:space="preserve"> PAGEREF _Toc30453 \h </w:instrText>
      </w:r>
      <w:r>
        <w:rPr>
          <w:i w:val="0"/>
          <w:iCs w:val="0"/>
        </w:rPr>
        <w:fldChar w:fldCharType="separate"/>
      </w:r>
      <w:r>
        <w:rPr>
          <w:i w:val="0"/>
          <w:iCs w:val="0"/>
        </w:rPr>
        <w:t>149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_Toc18749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13．不可抗力</w:t>
      </w:r>
      <w:r>
        <w:rPr>
          <w:i w:val="0"/>
          <w:iCs w:val="0"/>
        </w:rPr>
        <w:tab/>
      </w:r>
      <w:r>
        <w:rPr>
          <w:i w:val="0"/>
          <w:iCs w:val="0"/>
        </w:rPr>
        <w:fldChar w:fldCharType="begin"/>
      </w:r>
      <w:r>
        <w:rPr>
          <w:i w:val="0"/>
          <w:iCs w:val="0"/>
        </w:rPr>
        <w:instrText xml:space="preserve"> PAGEREF _Toc18749 \h </w:instrText>
      </w:r>
      <w:r>
        <w:rPr>
          <w:i w:val="0"/>
          <w:iCs w:val="0"/>
        </w:rPr>
        <w:fldChar w:fldCharType="separate"/>
      </w:r>
      <w:r>
        <w:rPr>
          <w:i w:val="0"/>
          <w:iCs w:val="0"/>
        </w:rPr>
        <w:t>149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_Toc3707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14．违约</w:t>
      </w:r>
      <w:r>
        <w:rPr>
          <w:i w:val="0"/>
          <w:iCs w:val="0"/>
        </w:rPr>
        <w:tab/>
      </w:r>
      <w:r>
        <w:rPr>
          <w:i w:val="0"/>
          <w:iCs w:val="0"/>
        </w:rPr>
        <w:fldChar w:fldCharType="begin"/>
      </w:r>
      <w:r>
        <w:rPr>
          <w:i w:val="0"/>
          <w:iCs w:val="0"/>
        </w:rPr>
        <w:instrText xml:space="preserve"> PAGEREF _Toc3707 \h </w:instrText>
      </w:r>
      <w:r>
        <w:rPr>
          <w:i w:val="0"/>
          <w:iCs w:val="0"/>
        </w:rPr>
        <w:fldChar w:fldCharType="separate"/>
      </w:r>
      <w:r>
        <w:rPr>
          <w:i w:val="0"/>
          <w:iCs w:val="0"/>
        </w:rPr>
        <w:t>149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_Toc7853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1"/>
        </w:rPr>
        <w:t>15．争议的解决</w:t>
      </w:r>
      <w:r>
        <w:rPr>
          <w:i w:val="0"/>
          <w:iCs w:val="0"/>
        </w:rPr>
        <w:tab/>
      </w:r>
      <w:r>
        <w:rPr>
          <w:i w:val="0"/>
          <w:iCs w:val="0"/>
        </w:rPr>
        <w:fldChar w:fldCharType="begin"/>
      </w:r>
      <w:r>
        <w:rPr>
          <w:i w:val="0"/>
          <w:iCs w:val="0"/>
        </w:rPr>
        <w:instrText xml:space="preserve"> PAGEREF _Toc7853 \h </w:instrText>
      </w:r>
      <w:r>
        <w:rPr>
          <w:i w:val="0"/>
          <w:iCs w:val="0"/>
        </w:rPr>
        <w:fldChar w:fldCharType="separate"/>
      </w:r>
      <w:r>
        <w:rPr>
          <w:i w:val="0"/>
          <w:iCs w:val="0"/>
        </w:rPr>
        <w:t>150</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_Toc20936 </w:instrText>
      </w:r>
      <w:r>
        <w:rPr>
          <w:rFonts w:asciiTheme="minorEastAsia" w:hAnsiTheme="minorEastAsia" w:cstheme="minorHAnsi"/>
          <w:i w:val="0"/>
          <w:iCs w:val="0"/>
          <w:szCs w:val="21"/>
        </w:rPr>
        <w:fldChar w:fldCharType="separate"/>
      </w:r>
      <w:r>
        <w:rPr>
          <w:rFonts w:eastAsia="黑体"/>
          <w:i w:val="0"/>
          <w:iCs w:val="0"/>
          <w:szCs w:val="30"/>
        </w:rPr>
        <w:t>第七节 合同附件格式</w:t>
      </w:r>
      <w:r>
        <w:rPr>
          <w:i w:val="0"/>
          <w:iCs w:val="0"/>
        </w:rPr>
        <w:tab/>
      </w:r>
      <w:r>
        <w:rPr>
          <w:i w:val="0"/>
          <w:iCs w:val="0"/>
        </w:rPr>
        <w:fldChar w:fldCharType="begin"/>
      </w:r>
      <w:r>
        <w:rPr>
          <w:i w:val="0"/>
          <w:iCs w:val="0"/>
        </w:rPr>
        <w:instrText xml:space="preserve"> PAGEREF _Toc20936 \h </w:instrText>
      </w:r>
      <w:r>
        <w:rPr>
          <w:i w:val="0"/>
          <w:iCs w:val="0"/>
        </w:rPr>
        <w:fldChar w:fldCharType="separate"/>
      </w:r>
      <w:r>
        <w:rPr>
          <w:i w:val="0"/>
          <w:iCs w:val="0"/>
        </w:rPr>
        <w:t>151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_Toc17169 </w:instrText>
      </w:r>
      <w:r>
        <w:rPr>
          <w:rFonts w:asciiTheme="minorEastAsia" w:hAnsiTheme="minorEastAsia" w:cstheme="minorHAnsi"/>
          <w:i w:val="0"/>
          <w:iCs w:val="0"/>
          <w:szCs w:val="21"/>
        </w:rPr>
        <w:fldChar w:fldCharType="separate"/>
      </w:r>
      <w:r>
        <w:rPr>
          <w:rFonts w:eastAsia="黑体"/>
          <w:i w:val="0"/>
          <w:iCs w:val="0"/>
          <w:szCs w:val="22"/>
        </w:rPr>
        <w:t>附件一：合同协议书</w:t>
      </w:r>
      <w:r>
        <w:rPr>
          <w:i w:val="0"/>
          <w:iCs w:val="0"/>
        </w:rPr>
        <w:tab/>
      </w:r>
      <w:r>
        <w:rPr>
          <w:i w:val="0"/>
          <w:iCs w:val="0"/>
        </w:rPr>
        <w:fldChar w:fldCharType="begin"/>
      </w:r>
      <w:r>
        <w:rPr>
          <w:i w:val="0"/>
          <w:iCs w:val="0"/>
        </w:rPr>
        <w:instrText xml:space="preserve"> PAGEREF _Toc17169 \h </w:instrText>
      </w:r>
      <w:r>
        <w:rPr>
          <w:i w:val="0"/>
          <w:iCs w:val="0"/>
        </w:rPr>
        <w:fldChar w:fldCharType="separate"/>
      </w:r>
      <w:r>
        <w:rPr>
          <w:i w:val="0"/>
          <w:iCs w:val="0"/>
        </w:rPr>
        <w:t>151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_Toc28247 </w:instrText>
      </w:r>
      <w:r>
        <w:rPr>
          <w:rFonts w:asciiTheme="minorEastAsia" w:hAnsiTheme="minorEastAsia" w:cstheme="minorHAnsi"/>
          <w:i w:val="0"/>
          <w:iCs w:val="0"/>
          <w:szCs w:val="21"/>
        </w:rPr>
        <w:fldChar w:fldCharType="separate"/>
      </w:r>
      <w:r>
        <w:rPr>
          <w:rFonts w:eastAsia="黑体"/>
          <w:i w:val="0"/>
          <w:iCs w:val="0"/>
          <w:szCs w:val="22"/>
        </w:rPr>
        <w:t>附件二：履约担保格式</w:t>
      </w:r>
      <w:r>
        <w:rPr>
          <w:i w:val="0"/>
          <w:iCs w:val="0"/>
        </w:rPr>
        <w:tab/>
      </w:r>
      <w:r>
        <w:rPr>
          <w:i w:val="0"/>
          <w:iCs w:val="0"/>
        </w:rPr>
        <w:fldChar w:fldCharType="begin"/>
      </w:r>
      <w:r>
        <w:rPr>
          <w:i w:val="0"/>
          <w:iCs w:val="0"/>
        </w:rPr>
        <w:instrText xml:space="preserve"> PAGEREF _Toc28247 \h </w:instrText>
      </w:r>
      <w:r>
        <w:rPr>
          <w:i w:val="0"/>
          <w:iCs w:val="0"/>
        </w:rPr>
        <w:fldChar w:fldCharType="separate"/>
      </w:r>
      <w:r>
        <w:rPr>
          <w:i w:val="0"/>
          <w:iCs w:val="0"/>
        </w:rPr>
        <w:t>153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_Toc21079 </w:instrText>
      </w:r>
      <w:r>
        <w:rPr>
          <w:rFonts w:asciiTheme="minorEastAsia" w:hAnsiTheme="minorEastAsia" w:cstheme="minorHAnsi"/>
          <w:i w:val="0"/>
          <w:iCs w:val="0"/>
          <w:szCs w:val="21"/>
        </w:rPr>
        <w:fldChar w:fldCharType="separate"/>
      </w:r>
      <w:r>
        <w:rPr>
          <w:rFonts w:eastAsia="黑体"/>
          <w:i w:val="0"/>
          <w:iCs w:val="0"/>
          <w:szCs w:val="22"/>
        </w:rPr>
        <w:t>附件三：法定代表人授权书</w:t>
      </w:r>
      <w:r>
        <w:rPr>
          <w:i w:val="0"/>
          <w:iCs w:val="0"/>
        </w:rPr>
        <w:tab/>
      </w:r>
      <w:r>
        <w:rPr>
          <w:i w:val="0"/>
          <w:iCs w:val="0"/>
        </w:rPr>
        <w:fldChar w:fldCharType="begin"/>
      </w:r>
      <w:r>
        <w:rPr>
          <w:i w:val="0"/>
          <w:iCs w:val="0"/>
        </w:rPr>
        <w:instrText xml:space="preserve"> PAGEREF _Toc21079 \h </w:instrText>
      </w:r>
      <w:r>
        <w:rPr>
          <w:i w:val="0"/>
          <w:iCs w:val="0"/>
        </w:rPr>
        <w:fldChar w:fldCharType="separate"/>
      </w:r>
      <w:r>
        <w:rPr>
          <w:i w:val="0"/>
          <w:iCs w:val="0"/>
        </w:rPr>
        <w:t>154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_Toc2894 </w:instrText>
      </w:r>
      <w:r>
        <w:rPr>
          <w:rFonts w:asciiTheme="minorEastAsia" w:hAnsiTheme="minorEastAsia" w:cstheme="minorHAnsi"/>
          <w:i w:val="0"/>
          <w:iCs w:val="0"/>
          <w:szCs w:val="21"/>
        </w:rPr>
        <w:fldChar w:fldCharType="separate"/>
      </w:r>
      <w:r>
        <w:rPr>
          <w:rFonts w:eastAsia="黑体"/>
          <w:i w:val="0"/>
          <w:iCs w:val="0"/>
          <w:szCs w:val="22"/>
        </w:rPr>
        <w:t>附件四：项目负责人质量终身责任承诺书</w:t>
      </w:r>
      <w:r>
        <w:rPr>
          <w:i w:val="0"/>
          <w:iCs w:val="0"/>
        </w:rPr>
        <w:tab/>
      </w:r>
      <w:r>
        <w:rPr>
          <w:i w:val="0"/>
          <w:iCs w:val="0"/>
        </w:rPr>
        <w:fldChar w:fldCharType="begin"/>
      </w:r>
      <w:r>
        <w:rPr>
          <w:i w:val="0"/>
          <w:iCs w:val="0"/>
        </w:rPr>
        <w:instrText xml:space="preserve"> PAGEREF _Toc2894 \h </w:instrText>
      </w:r>
      <w:r>
        <w:rPr>
          <w:i w:val="0"/>
          <w:iCs w:val="0"/>
        </w:rPr>
        <w:fldChar w:fldCharType="separate"/>
      </w:r>
      <w:r>
        <w:rPr>
          <w:i w:val="0"/>
          <w:iCs w:val="0"/>
        </w:rPr>
        <w:t>155</w:t>
      </w:r>
      <w:r>
        <w:rPr>
          <w:i w:val="0"/>
          <w:iCs w:val="0"/>
        </w:rP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_Toc11827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52"/>
        </w:rPr>
        <w:t>第二卷</w:t>
      </w:r>
      <w:r>
        <w:tab/>
      </w:r>
      <w:r>
        <w:fldChar w:fldCharType="begin"/>
      </w:r>
      <w:r>
        <w:instrText xml:space="preserve"> PAGEREF _Toc11827 \h </w:instrText>
      </w:r>
      <w:r>
        <w:fldChar w:fldCharType="separate"/>
      </w:r>
      <w:r>
        <w:t>161</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_Toc9752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36"/>
        </w:rPr>
        <w:t>第五章 发包人要求</w:t>
      </w:r>
      <w:r>
        <w:tab/>
      </w:r>
      <w:r>
        <w:fldChar w:fldCharType="begin"/>
      </w:r>
      <w:r>
        <w:instrText xml:space="preserve"> PAGEREF _Toc9752 \h </w:instrText>
      </w:r>
      <w:r>
        <w:fldChar w:fldCharType="separate"/>
      </w:r>
      <w:r>
        <w:t>162</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_Toc32480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52"/>
        </w:rPr>
        <w:t>第三卷</w:t>
      </w:r>
      <w:r>
        <w:tab/>
      </w:r>
      <w:r>
        <w:fldChar w:fldCharType="begin"/>
      </w:r>
      <w:r>
        <w:instrText xml:space="preserve"> PAGEREF _Toc32480 \h </w:instrText>
      </w:r>
      <w:r>
        <w:fldChar w:fldCharType="separate"/>
      </w:r>
      <w:r>
        <w:t>165</w:t>
      </w:r>
      <w:r>
        <w:fldChar w:fldCharType="end"/>
      </w:r>
      <w:r>
        <w:rPr>
          <w:rFonts w:asciiTheme="minorEastAsia" w:hAnsiTheme="minorEastAsia" w:cstheme="minorHAnsi"/>
          <w:i w:val="0"/>
          <w:iCs w:val="0"/>
          <w:szCs w:val="21"/>
        </w:rPr>
        <w:fldChar w:fldCharType="end"/>
      </w:r>
    </w:p>
    <w:p>
      <w:pPr>
        <w:pStyle w:val="19"/>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_Toc20244 </w:instrText>
      </w:r>
      <w:r>
        <w:rPr>
          <w:rFonts w:asciiTheme="minorEastAsia" w:hAnsiTheme="minorEastAsia" w:cstheme="minorHAnsi"/>
          <w:i w:val="0"/>
          <w:iCs w:val="0"/>
          <w:szCs w:val="21"/>
        </w:rPr>
        <w:fldChar w:fldCharType="separate"/>
      </w:r>
      <w:r>
        <w:rPr>
          <w:rFonts w:hint="eastAsia" w:asciiTheme="majorEastAsia" w:hAnsiTheme="majorEastAsia" w:eastAsiaTheme="majorEastAsia"/>
          <w:szCs w:val="36"/>
        </w:rPr>
        <w:t>第六章</w:t>
      </w:r>
      <w:r>
        <w:rPr>
          <w:rFonts w:hint="eastAsia" w:asciiTheme="majorEastAsia" w:hAnsiTheme="majorEastAsia" w:eastAsiaTheme="majorEastAsia"/>
          <w:szCs w:val="36"/>
          <w:lang w:val="en-US" w:eastAsia="zh-CN"/>
        </w:rPr>
        <w:t xml:space="preserve"> </w:t>
      </w:r>
      <w:r>
        <w:rPr>
          <w:rFonts w:hint="eastAsia" w:asciiTheme="majorEastAsia" w:hAnsiTheme="majorEastAsia" w:eastAsiaTheme="majorEastAsia"/>
          <w:szCs w:val="36"/>
        </w:rPr>
        <w:t>投标文件格式</w:t>
      </w:r>
      <w:r>
        <w:tab/>
      </w:r>
      <w:r>
        <w:fldChar w:fldCharType="begin"/>
      </w:r>
      <w:r>
        <w:instrText xml:space="preserve"> PAGEREF _Toc20244 \h </w:instrText>
      </w:r>
      <w:r>
        <w:fldChar w:fldCharType="separate"/>
      </w:r>
      <w:r>
        <w:t>166</w:t>
      </w:r>
      <w:r>
        <w:fldChar w:fldCharType="end"/>
      </w:r>
      <w:r>
        <w:rPr>
          <w:rFonts w:asciiTheme="minorEastAsia" w:hAnsiTheme="minorEastAsia" w:cstheme="minorHAnsi"/>
          <w:i w:val="0"/>
          <w:iCs w:val="0"/>
          <w:szCs w:val="21"/>
        </w:rPr>
        <w:fldChar w:fldCharType="end"/>
      </w:r>
    </w:p>
    <w:p>
      <w:pPr>
        <w:pStyle w:val="22"/>
        <w:tabs>
          <w:tab w:val="right" w:leader="dot" w:pos="8844"/>
        </w:tabs>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_Toc27069 </w:instrText>
      </w:r>
      <w:r>
        <w:rPr>
          <w:rFonts w:asciiTheme="minorEastAsia" w:hAnsiTheme="minorEastAsia" w:cstheme="minorHAnsi"/>
          <w:i w:val="0"/>
          <w:iCs w:val="0"/>
          <w:szCs w:val="21"/>
        </w:rPr>
        <w:fldChar w:fldCharType="separate"/>
      </w:r>
      <w:r>
        <w:rPr>
          <w:rFonts w:hint="eastAsia"/>
          <w:szCs w:val="36"/>
        </w:rPr>
        <w:t>第一节 资格文件格式</w:t>
      </w:r>
      <w:r>
        <w:tab/>
      </w:r>
      <w:r>
        <w:fldChar w:fldCharType="begin"/>
      </w:r>
      <w:r>
        <w:instrText xml:space="preserve"> PAGEREF _Toc27069 \h </w:instrText>
      </w:r>
      <w:r>
        <w:fldChar w:fldCharType="separate"/>
      </w:r>
      <w:r>
        <w:t>167</w:t>
      </w:r>
      <w: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_Toc17496 </w:instrText>
      </w:r>
      <w:r>
        <w:rPr>
          <w:rFonts w:asciiTheme="minorEastAsia" w:hAnsiTheme="minorEastAsia" w:cstheme="minorHAnsi"/>
          <w:i w:val="0"/>
          <w:iCs w:val="0"/>
          <w:szCs w:val="21"/>
        </w:rPr>
        <w:fldChar w:fldCharType="separate"/>
      </w:r>
      <w:r>
        <w:rPr>
          <w:rFonts w:hint="eastAsia"/>
          <w:i w:val="0"/>
          <w:iCs w:val="0"/>
          <w:szCs w:val="28"/>
        </w:rPr>
        <w:t>投标文件（一）（格式）</w:t>
      </w:r>
      <w:r>
        <w:rPr>
          <w:i w:val="0"/>
          <w:iCs w:val="0"/>
        </w:rPr>
        <w:tab/>
      </w:r>
      <w:r>
        <w:rPr>
          <w:i w:val="0"/>
          <w:iCs w:val="0"/>
        </w:rPr>
        <w:fldChar w:fldCharType="begin"/>
      </w:r>
      <w:r>
        <w:rPr>
          <w:i w:val="0"/>
          <w:iCs w:val="0"/>
        </w:rPr>
        <w:instrText xml:space="preserve"> PAGEREF _Toc17496 \h </w:instrText>
      </w:r>
      <w:r>
        <w:rPr>
          <w:i w:val="0"/>
          <w:iCs w:val="0"/>
        </w:rPr>
        <w:fldChar w:fldCharType="separate"/>
      </w:r>
      <w:r>
        <w:rPr>
          <w:i w:val="0"/>
          <w:iCs w:val="0"/>
        </w:rPr>
        <w:t>168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_Toc16686 </w:instrText>
      </w:r>
      <w:r>
        <w:rPr>
          <w:rFonts w:asciiTheme="minorEastAsia" w:hAnsiTheme="minorEastAsia" w:cstheme="minorHAnsi"/>
          <w:i w:val="0"/>
          <w:iCs w:val="0"/>
          <w:szCs w:val="21"/>
        </w:rPr>
        <w:fldChar w:fldCharType="separate"/>
      </w:r>
      <w:r>
        <w:rPr>
          <w:rFonts w:hint="eastAsia"/>
          <w:i w:val="0"/>
          <w:iCs w:val="0"/>
          <w:szCs w:val="28"/>
        </w:rPr>
        <w:t>目录（格式）</w:t>
      </w:r>
      <w:r>
        <w:rPr>
          <w:i w:val="0"/>
          <w:iCs w:val="0"/>
        </w:rPr>
        <w:tab/>
      </w:r>
      <w:r>
        <w:rPr>
          <w:i w:val="0"/>
          <w:iCs w:val="0"/>
        </w:rPr>
        <w:fldChar w:fldCharType="begin"/>
      </w:r>
      <w:r>
        <w:rPr>
          <w:i w:val="0"/>
          <w:iCs w:val="0"/>
        </w:rPr>
        <w:instrText xml:space="preserve"> PAGEREF _Toc16686 \h </w:instrText>
      </w:r>
      <w:r>
        <w:rPr>
          <w:i w:val="0"/>
          <w:iCs w:val="0"/>
        </w:rPr>
        <w:fldChar w:fldCharType="separate"/>
      </w:r>
      <w:r>
        <w:rPr>
          <w:i w:val="0"/>
          <w:iCs w:val="0"/>
        </w:rPr>
        <w:t>169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_Toc16233 </w:instrText>
      </w:r>
      <w:r>
        <w:rPr>
          <w:rFonts w:asciiTheme="minorEastAsia" w:hAnsiTheme="minorEastAsia" w:cstheme="minorHAnsi"/>
          <w:i w:val="0"/>
          <w:iCs w:val="0"/>
          <w:szCs w:val="21"/>
        </w:rPr>
        <w:fldChar w:fldCharType="separate"/>
      </w:r>
      <w:r>
        <w:rPr>
          <w:rFonts w:hint="eastAsia"/>
          <w:i w:val="0"/>
          <w:iCs w:val="0"/>
          <w:szCs w:val="28"/>
        </w:rPr>
        <w:t>一、资格审查申请函（格式）</w:t>
      </w:r>
      <w:r>
        <w:rPr>
          <w:i w:val="0"/>
          <w:iCs w:val="0"/>
        </w:rPr>
        <w:tab/>
      </w:r>
      <w:r>
        <w:rPr>
          <w:i w:val="0"/>
          <w:iCs w:val="0"/>
        </w:rPr>
        <w:fldChar w:fldCharType="begin"/>
      </w:r>
      <w:r>
        <w:rPr>
          <w:i w:val="0"/>
          <w:iCs w:val="0"/>
        </w:rPr>
        <w:instrText xml:space="preserve"> PAGEREF _Toc16233 \h </w:instrText>
      </w:r>
      <w:r>
        <w:rPr>
          <w:i w:val="0"/>
          <w:iCs w:val="0"/>
        </w:rPr>
        <w:fldChar w:fldCharType="separate"/>
      </w:r>
      <w:r>
        <w:rPr>
          <w:i w:val="0"/>
          <w:iCs w:val="0"/>
        </w:rPr>
        <w:t>170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_Toc22132 </w:instrText>
      </w:r>
      <w:r>
        <w:rPr>
          <w:rFonts w:asciiTheme="minorEastAsia" w:hAnsiTheme="minorEastAsia" w:cstheme="minorHAnsi"/>
          <w:i w:val="0"/>
          <w:iCs w:val="0"/>
          <w:szCs w:val="21"/>
        </w:rPr>
        <w:fldChar w:fldCharType="separate"/>
      </w:r>
      <w:r>
        <w:rPr>
          <w:rFonts w:hint="eastAsia"/>
          <w:i w:val="0"/>
          <w:iCs w:val="0"/>
          <w:szCs w:val="28"/>
        </w:rPr>
        <w:t>二、投标人基本情况表（格式）</w:t>
      </w:r>
      <w:r>
        <w:rPr>
          <w:i w:val="0"/>
          <w:iCs w:val="0"/>
        </w:rPr>
        <w:tab/>
      </w:r>
      <w:r>
        <w:rPr>
          <w:i w:val="0"/>
          <w:iCs w:val="0"/>
        </w:rPr>
        <w:fldChar w:fldCharType="begin"/>
      </w:r>
      <w:r>
        <w:rPr>
          <w:i w:val="0"/>
          <w:iCs w:val="0"/>
        </w:rPr>
        <w:instrText xml:space="preserve"> PAGEREF _Toc22132 \h </w:instrText>
      </w:r>
      <w:r>
        <w:rPr>
          <w:i w:val="0"/>
          <w:iCs w:val="0"/>
        </w:rPr>
        <w:fldChar w:fldCharType="separate"/>
      </w:r>
      <w:r>
        <w:rPr>
          <w:i w:val="0"/>
          <w:iCs w:val="0"/>
        </w:rPr>
        <w:t>171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_Toc19529 </w:instrText>
      </w:r>
      <w:r>
        <w:rPr>
          <w:rFonts w:asciiTheme="minorEastAsia" w:hAnsiTheme="minorEastAsia" w:cstheme="minorHAnsi"/>
          <w:i w:val="0"/>
          <w:iCs w:val="0"/>
          <w:szCs w:val="21"/>
        </w:rPr>
        <w:fldChar w:fldCharType="separate"/>
      </w:r>
      <w:r>
        <w:rPr>
          <w:rFonts w:hint="eastAsia"/>
          <w:i w:val="0"/>
          <w:iCs w:val="0"/>
          <w:szCs w:val="28"/>
        </w:rPr>
        <w:t>三、法定代表人身份证明（适用于无委托代理人的情况）（格式）</w:t>
      </w:r>
      <w:r>
        <w:rPr>
          <w:i w:val="0"/>
          <w:iCs w:val="0"/>
        </w:rPr>
        <w:tab/>
      </w:r>
      <w:r>
        <w:rPr>
          <w:i w:val="0"/>
          <w:iCs w:val="0"/>
        </w:rPr>
        <w:fldChar w:fldCharType="begin"/>
      </w:r>
      <w:r>
        <w:rPr>
          <w:i w:val="0"/>
          <w:iCs w:val="0"/>
        </w:rPr>
        <w:instrText xml:space="preserve"> PAGEREF _Toc19529 \h </w:instrText>
      </w:r>
      <w:r>
        <w:rPr>
          <w:i w:val="0"/>
          <w:iCs w:val="0"/>
        </w:rPr>
        <w:fldChar w:fldCharType="separate"/>
      </w:r>
      <w:r>
        <w:rPr>
          <w:i w:val="0"/>
          <w:iCs w:val="0"/>
        </w:rPr>
        <w:t>172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_Toc10586 </w:instrText>
      </w:r>
      <w:r>
        <w:rPr>
          <w:rFonts w:asciiTheme="minorEastAsia" w:hAnsiTheme="minorEastAsia" w:cstheme="minorHAnsi"/>
          <w:i w:val="0"/>
          <w:iCs w:val="0"/>
          <w:szCs w:val="21"/>
        </w:rPr>
        <w:fldChar w:fldCharType="separate"/>
      </w:r>
      <w:r>
        <w:rPr>
          <w:rFonts w:hint="eastAsia"/>
          <w:i w:val="0"/>
          <w:iCs w:val="0"/>
          <w:szCs w:val="28"/>
        </w:rPr>
        <w:t>四、授权委托书（适用于有委托代理人的情况）（格式）</w:t>
      </w:r>
      <w:r>
        <w:rPr>
          <w:i w:val="0"/>
          <w:iCs w:val="0"/>
        </w:rPr>
        <w:tab/>
      </w:r>
      <w:r>
        <w:rPr>
          <w:i w:val="0"/>
          <w:iCs w:val="0"/>
        </w:rPr>
        <w:fldChar w:fldCharType="begin"/>
      </w:r>
      <w:r>
        <w:rPr>
          <w:i w:val="0"/>
          <w:iCs w:val="0"/>
        </w:rPr>
        <w:instrText xml:space="preserve"> PAGEREF _Toc10586 \h </w:instrText>
      </w:r>
      <w:r>
        <w:rPr>
          <w:i w:val="0"/>
          <w:iCs w:val="0"/>
        </w:rPr>
        <w:fldChar w:fldCharType="separate"/>
      </w:r>
      <w:r>
        <w:rPr>
          <w:i w:val="0"/>
          <w:iCs w:val="0"/>
        </w:rPr>
        <w:t>173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_Toc18469 </w:instrText>
      </w:r>
      <w:r>
        <w:rPr>
          <w:rFonts w:asciiTheme="minorEastAsia" w:hAnsiTheme="minorEastAsia" w:cstheme="minorHAnsi"/>
          <w:i w:val="0"/>
          <w:iCs w:val="0"/>
          <w:szCs w:val="21"/>
        </w:rPr>
        <w:fldChar w:fldCharType="separate"/>
      </w:r>
      <w:r>
        <w:rPr>
          <w:rFonts w:hint="eastAsia"/>
          <w:i w:val="0"/>
          <w:iCs w:val="0"/>
          <w:szCs w:val="28"/>
        </w:rPr>
        <w:t>五、联合体协议书（适用于联合体的情况）（格式）</w:t>
      </w:r>
      <w:r>
        <w:rPr>
          <w:i w:val="0"/>
          <w:iCs w:val="0"/>
        </w:rPr>
        <w:tab/>
      </w:r>
      <w:r>
        <w:rPr>
          <w:i w:val="0"/>
          <w:iCs w:val="0"/>
        </w:rPr>
        <w:fldChar w:fldCharType="begin"/>
      </w:r>
      <w:r>
        <w:rPr>
          <w:i w:val="0"/>
          <w:iCs w:val="0"/>
        </w:rPr>
        <w:instrText xml:space="preserve"> PAGEREF _Toc18469 \h </w:instrText>
      </w:r>
      <w:r>
        <w:rPr>
          <w:i w:val="0"/>
          <w:iCs w:val="0"/>
        </w:rPr>
        <w:fldChar w:fldCharType="separate"/>
      </w:r>
      <w:r>
        <w:rPr>
          <w:i w:val="0"/>
          <w:iCs w:val="0"/>
        </w:rPr>
        <w:t>174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_Toc13499 </w:instrText>
      </w:r>
      <w:r>
        <w:rPr>
          <w:rFonts w:asciiTheme="minorEastAsia" w:hAnsiTheme="minorEastAsia" w:cstheme="minorHAnsi"/>
          <w:i w:val="0"/>
          <w:iCs w:val="0"/>
          <w:szCs w:val="21"/>
        </w:rPr>
        <w:fldChar w:fldCharType="separate"/>
      </w:r>
      <w:r>
        <w:rPr>
          <w:rFonts w:hint="eastAsia"/>
          <w:i w:val="0"/>
          <w:iCs w:val="0"/>
          <w:szCs w:val="28"/>
        </w:rPr>
        <w:t>六、投标保证金（格式）</w:t>
      </w:r>
      <w:r>
        <w:rPr>
          <w:i w:val="0"/>
          <w:iCs w:val="0"/>
        </w:rPr>
        <w:tab/>
      </w:r>
      <w:r>
        <w:rPr>
          <w:i w:val="0"/>
          <w:iCs w:val="0"/>
        </w:rPr>
        <w:fldChar w:fldCharType="begin"/>
      </w:r>
      <w:r>
        <w:rPr>
          <w:i w:val="0"/>
          <w:iCs w:val="0"/>
        </w:rPr>
        <w:instrText xml:space="preserve"> PAGEREF _Toc13499 \h </w:instrText>
      </w:r>
      <w:r>
        <w:rPr>
          <w:i w:val="0"/>
          <w:iCs w:val="0"/>
        </w:rPr>
        <w:fldChar w:fldCharType="separate"/>
      </w:r>
      <w:r>
        <w:rPr>
          <w:i w:val="0"/>
          <w:iCs w:val="0"/>
        </w:rPr>
        <w:t>175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_Toc4936 </w:instrText>
      </w:r>
      <w:r>
        <w:rPr>
          <w:rFonts w:asciiTheme="minorEastAsia" w:hAnsiTheme="minorEastAsia" w:cstheme="minorHAnsi"/>
          <w:i w:val="0"/>
          <w:iCs w:val="0"/>
          <w:szCs w:val="21"/>
        </w:rPr>
        <w:fldChar w:fldCharType="separate"/>
      </w:r>
      <w:r>
        <w:rPr>
          <w:rFonts w:hint="eastAsia"/>
          <w:i w:val="0"/>
          <w:iCs w:val="0"/>
          <w:szCs w:val="28"/>
          <w:lang w:val="en-US" w:eastAsia="zh-Hans"/>
        </w:rPr>
        <w:t>七</w:t>
      </w:r>
      <w:r>
        <w:rPr>
          <w:rFonts w:hint="eastAsia"/>
          <w:i w:val="0"/>
          <w:iCs w:val="0"/>
          <w:szCs w:val="28"/>
        </w:rPr>
        <w:t>、</w:t>
      </w:r>
      <w:r>
        <w:rPr>
          <w:rFonts w:hint="eastAsia"/>
          <w:i w:val="0"/>
          <w:iCs w:val="0"/>
          <w:szCs w:val="28"/>
          <w:lang w:val="en-US" w:eastAsia="zh-Hans"/>
        </w:rPr>
        <w:t>保函开立人出具的到账证明</w:t>
      </w:r>
      <w:r>
        <w:rPr>
          <w:rFonts w:hint="eastAsia"/>
          <w:i w:val="0"/>
          <w:iCs w:val="0"/>
          <w:szCs w:val="28"/>
        </w:rPr>
        <w:t>（格式）</w:t>
      </w:r>
      <w:r>
        <w:rPr>
          <w:i w:val="0"/>
          <w:iCs w:val="0"/>
        </w:rPr>
        <w:tab/>
      </w:r>
      <w:r>
        <w:rPr>
          <w:i w:val="0"/>
          <w:iCs w:val="0"/>
        </w:rPr>
        <w:fldChar w:fldCharType="begin"/>
      </w:r>
      <w:r>
        <w:rPr>
          <w:i w:val="0"/>
          <w:iCs w:val="0"/>
        </w:rPr>
        <w:instrText xml:space="preserve"> PAGEREF _Toc4936 \h </w:instrText>
      </w:r>
      <w:r>
        <w:rPr>
          <w:i w:val="0"/>
          <w:iCs w:val="0"/>
        </w:rPr>
        <w:fldChar w:fldCharType="separate"/>
      </w:r>
      <w:r>
        <w:rPr>
          <w:i w:val="0"/>
          <w:iCs w:val="0"/>
        </w:rPr>
        <w:t>177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_Toc19751 </w:instrText>
      </w:r>
      <w:r>
        <w:rPr>
          <w:rFonts w:asciiTheme="minorEastAsia" w:hAnsiTheme="minorEastAsia" w:cstheme="minorHAnsi"/>
          <w:i w:val="0"/>
          <w:iCs w:val="0"/>
          <w:szCs w:val="21"/>
        </w:rPr>
        <w:fldChar w:fldCharType="separate"/>
      </w:r>
      <w:r>
        <w:rPr>
          <w:rFonts w:hint="eastAsia"/>
          <w:i w:val="0"/>
          <w:iCs w:val="0"/>
          <w:szCs w:val="28"/>
          <w:lang w:val="en-US" w:eastAsia="zh-Hans"/>
        </w:rPr>
        <w:t>八</w:t>
      </w:r>
      <w:r>
        <w:rPr>
          <w:rFonts w:hint="eastAsia"/>
          <w:i w:val="0"/>
          <w:iCs w:val="0"/>
          <w:szCs w:val="28"/>
        </w:rPr>
        <w:t>、近年财务状况表（格式）</w:t>
      </w:r>
      <w:r>
        <w:rPr>
          <w:i w:val="0"/>
          <w:iCs w:val="0"/>
        </w:rPr>
        <w:tab/>
      </w:r>
      <w:r>
        <w:rPr>
          <w:i w:val="0"/>
          <w:iCs w:val="0"/>
        </w:rPr>
        <w:fldChar w:fldCharType="begin"/>
      </w:r>
      <w:r>
        <w:rPr>
          <w:i w:val="0"/>
          <w:iCs w:val="0"/>
        </w:rPr>
        <w:instrText xml:space="preserve"> PAGEREF _Toc19751 \h </w:instrText>
      </w:r>
      <w:r>
        <w:rPr>
          <w:i w:val="0"/>
          <w:iCs w:val="0"/>
        </w:rPr>
        <w:fldChar w:fldCharType="separate"/>
      </w:r>
      <w:r>
        <w:rPr>
          <w:i w:val="0"/>
          <w:iCs w:val="0"/>
        </w:rPr>
        <w:t>178</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_Toc6053 </w:instrText>
      </w:r>
      <w:r>
        <w:rPr>
          <w:rFonts w:asciiTheme="minorEastAsia" w:hAnsiTheme="minorEastAsia" w:cstheme="minorHAnsi"/>
          <w:i w:val="0"/>
          <w:iCs w:val="0"/>
          <w:szCs w:val="21"/>
        </w:rPr>
        <w:fldChar w:fldCharType="separate"/>
      </w:r>
      <w:r>
        <w:rPr>
          <w:rFonts w:hint="eastAsia" w:eastAsia="宋体"/>
          <w:bCs/>
          <w:i w:val="0"/>
          <w:iCs w:val="0"/>
          <w:szCs w:val="28"/>
          <w:highlight w:val="none"/>
          <w:lang w:val="en-US" w:eastAsia="zh-CN"/>
        </w:rPr>
        <w:t>九</w:t>
      </w:r>
      <w:r>
        <w:rPr>
          <w:rFonts w:hint="eastAsia" w:eastAsia="宋体"/>
          <w:bCs/>
          <w:i w:val="0"/>
          <w:iCs w:val="0"/>
          <w:szCs w:val="28"/>
          <w:highlight w:val="none"/>
          <w:lang w:val="en-US" w:eastAsia="zh-Hans"/>
        </w:rPr>
        <w:t>、</w:t>
      </w:r>
      <w:r>
        <w:rPr>
          <w:rFonts w:hint="eastAsia" w:ascii="宋体" w:hAnsi="宋体" w:eastAsia="宋体"/>
          <w:bCs/>
          <w:i w:val="0"/>
          <w:iCs w:val="0"/>
          <w:szCs w:val="28"/>
          <w:highlight w:val="none"/>
          <w:lang w:eastAsia="zh-Hans"/>
        </w:rPr>
        <w:t>近年发生的诉讼及仲裁情况表</w:t>
      </w:r>
      <w:r>
        <w:rPr>
          <w:rFonts w:hint="eastAsia" w:eastAsia="宋体"/>
          <w:bCs/>
          <w:i w:val="0"/>
          <w:iCs w:val="0"/>
          <w:szCs w:val="28"/>
          <w:highlight w:val="none"/>
          <w:lang w:eastAsia="zh-Hans"/>
        </w:rPr>
        <w:t>（</w:t>
      </w:r>
      <w:r>
        <w:rPr>
          <w:rFonts w:hint="eastAsia" w:eastAsia="宋体"/>
          <w:bCs/>
          <w:i w:val="0"/>
          <w:iCs w:val="0"/>
          <w:szCs w:val="28"/>
          <w:highlight w:val="none"/>
          <w:lang w:val="en-US" w:eastAsia="zh-Hans"/>
        </w:rPr>
        <w:t>格式</w:t>
      </w:r>
      <w:r>
        <w:rPr>
          <w:rFonts w:hint="eastAsia" w:eastAsia="宋体"/>
          <w:bCs/>
          <w:i w:val="0"/>
          <w:iCs w:val="0"/>
          <w:szCs w:val="28"/>
          <w:highlight w:val="none"/>
          <w:lang w:eastAsia="zh-Hans"/>
        </w:rPr>
        <w:t>）</w:t>
      </w:r>
      <w:r>
        <w:rPr>
          <w:i w:val="0"/>
          <w:iCs w:val="0"/>
        </w:rPr>
        <w:tab/>
      </w:r>
      <w:r>
        <w:rPr>
          <w:i w:val="0"/>
          <w:iCs w:val="0"/>
        </w:rPr>
        <w:fldChar w:fldCharType="begin"/>
      </w:r>
      <w:r>
        <w:rPr>
          <w:i w:val="0"/>
          <w:iCs w:val="0"/>
        </w:rPr>
        <w:instrText xml:space="preserve"> PAGEREF _Toc6053 \h </w:instrText>
      </w:r>
      <w:r>
        <w:rPr>
          <w:i w:val="0"/>
          <w:iCs w:val="0"/>
        </w:rPr>
        <w:fldChar w:fldCharType="separate"/>
      </w:r>
      <w:r>
        <w:rPr>
          <w:i w:val="0"/>
          <w:iCs w:val="0"/>
        </w:rPr>
        <w:t>179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_Toc9669 </w:instrText>
      </w:r>
      <w:r>
        <w:rPr>
          <w:rFonts w:asciiTheme="minorEastAsia" w:hAnsiTheme="minorEastAsia" w:cstheme="minorHAnsi"/>
          <w:i w:val="0"/>
          <w:iCs w:val="0"/>
          <w:szCs w:val="21"/>
        </w:rPr>
        <w:fldChar w:fldCharType="separate"/>
      </w:r>
      <w:r>
        <w:rPr>
          <w:rFonts w:hint="eastAsia"/>
          <w:i w:val="0"/>
          <w:iCs w:val="0"/>
          <w:szCs w:val="28"/>
        </w:rPr>
        <w:t>十、投标人承诺书（格式）</w:t>
      </w:r>
      <w:r>
        <w:rPr>
          <w:i w:val="0"/>
          <w:iCs w:val="0"/>
        </w:rPr>
        <w:tab/>
      </w:r>
      <w:r>
        <w:rPr>
          <w:i w:val="0"/>
          <w:iCs w:val="0"/>
        </w:rPr>
        <w:fldChar w:fldCharType="begin"/>
      </w:r>
      <w:r>
        <w:rPr>
          <w:i w:val="0"/>
          <w:iCs w:val="0"/>
        </w:rPr>
        <w:instrText xml:space="preserve"> PAGEREF _Toc9669 \h </w:instrText>
      </w:r>
      <w:r>
        <w:rPr>
          <w:i w:val="0"/>
          <w:iCs w:val="0"/>
        </w:rPr>
        <w:fldChar w:fldCharType="separate"/>
      </w:r>
      <w:r>
        <w:rPr>
          <w:i w:val="0"/>
          <w:iCs w:val="0"/>
        </w:rPr>
        <w:t>180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_Toc28873 </w:instrText>
      </w:r>
      <w:r>
        <w:rPr>
          <w:rFonts w:asciiTheme="minorEastAsia" w:hAnsiTheme="minorEastAsia" w:cstheme="minorHAnsi"/>
          <w:i w:val="0"/>
          <w:iCs w:val="0"/>
          <w:szCs w:val="21"/>
        </w:rPr>
        <w:fldChar w:fldCharType="separate"/>
      </w:r>
      <w:r>
        <w:rPr>
          <w:rFonts w:hint="eastAsia" w:ascii="宋体" w:hAnsi="宋体" w:eastAsia="宋体" w:cs="宋体"/>
          <w:i w:val="0"/>
          <w:iCs w:val="0"/>
          <w:szCs w:val="24"/>
        </w:rPr>
        <w:t xml:space="preserve">十二、 </w:t>
      </w:r>
      <w:r>
        <w:rPr>
          <w:rFonts w:hint="eastAsia"/>
          <w:i w:val="0"/>
          <w:iCs w:val="0"/>
          <w:lang w:eastAsia="zh-Hans"/>
        </w:rPr>
        <w:t>项目负责人质量终身责任承诺书</w:t>
      </w:r>
      <w:r>
        <w:rPr>
          <w:rFonts w:hint="eastAsia"/>
          <w:i w:val="0"/>
          <w:iCs w:val="0"/>
          <w:lang w:eastAsia="zh-CN"/>
        </w:rPr>
        <w:t>（</w:t>
      </w:r>
      <w:r>
        <w:rPr>
          <w:rFonts w:hint="eastAsia"/>
          <w:i w:val="0"/>
          <w:iCs w:val="0"/>
          <w:lang w:val="en-US" w:eastAsia="zh-CN"/>
        </w:rPr>
        <w:t>格式</w:t>
      </w:r>
      <w:r>
        <w:rPr>
          <w:rFonts w:hint="eastAsia"/>
          <w:i w:val="0"/>
          <w:iCs w:val="0"/>
          <w:lang w:eastAsia="zh-CN"/>
        </w:rPr>
        <w:t>）</w:t>
      </w:r>
      <w:r>
        <w:rPr>
          <w:i w:val="0"/>
          <w:iCs w:val="0"/>
        </w:rPr>
        <w:tab/>
      </w:r>
      <w:r>
        <w:rPr>
          <w:i w:val="0"/>
          <w:iCs w:val="0"/>
        </w:rPr>
        <w:fldChar w:fldCharType="begin"/>
      </w:r>
      <w:r>
        <w:rPr>
          <w:i w:val="0"/>
          <w:iCs w:val="0"/>
        </w:rPr>
        <w:instrText xml:space="preserve"> PAGEREF _Toc28873 \h </w:instrText>
      </w:r>
      <w:r>
        <w:rPr>
          <w:i w:val="0"/>
          <w:iCs w:val="0"/>
        </w:rPr>
        <w:fldChar w:fldCharType="separate"/>
      </w:r>
      <w:r>
        <w:rPr>
          <w:i w:val="0"/>
          <w:iCs w:val="0"/>
        </w:rPr>
        <w:t>183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_Toc13572 </w:instrText>
      </w:r>
      <w:r>
        <w:rPr>
          <w:rFonts w:asciiTheme="minorEastAsia" w:hAnsiTheme="minorEastAsia" w:cstheme="minorHAnsi"/>
          <w:i w:val="0"/>
          <w:iCs w:val="0"/>
          <w:szCs w:val="21"/>
        </w:rPr>
        <w:fldChar w:fldCharType="separate"/>
      </w:r>
      <w:r>
        <w:rPr>
          <w:rFonts w:hint="eastAsia"/>
          <w:i w:val="0"/>
          <w:iCs w:val="0"/>
          <w:szCs w:val="28"/>
        </w:rPr>
        <w:t xml:space="preserve">十三、 </w:t>
      </w:r>
      <w:r>
        <w:rPr>
          <w:i w:val="0"/>
          <w:iCs w:val="0"/>
          <w:szCs w:val="28"/>
        </w:rPr>
        <w:t>其他资格材料</w:t>
      </w:r>
      <w:r>
        <w:rPr>
          <w:rFonts w:hint="eastAsia"/>
          <w:i w:val="0"/>
          <w:iCs w:val="0"/>
          <w:szCs w:val="28"/>
        </w:rPr>
        <w:t>（如有）（格式）</w:t>
      </w:r>
      <w:r>
        <w:rPr>
          <w:i w:val="0"/>
          <w:iCs w:val="0"/>
        </w:rPr>
        <w:tab/>
      </w:r>
      <w:r>
        <w:rPr>
          <w:i w:val="0"/>
          <w:iCs w:val="0"/>
        </w:rPr>
        <w:fldChar w:fldCharType="begin"/>
      </w:r>
      <w:r>
        <w:rPr>
          <w:i w:val="0"/>
          <w:iCs w:val="0"/>
        </w:rPr>
        <w:instrText xml:space="preserve"> PAGEREF _Toc13572 \h </w:instrText>
      </w:r>
      <w:r>
        <w:rPr>
          <w:i w:val="0"/>
          <w:iCs w:val="0"/>
        </w:rPr>
        <w:fldChar w:fldCharType="separate"/>
      </w:r>
      <w:r>
        <w:rPr>
          <w:i w:val="0"/>
          <w:iCs w:val="0"/>
        </w:rPr>
        <w:t>185</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_Toc10283 </w:instrText>
      </w:r>
      <w:r>
        <w:rPr>
          <w:rFonts w:asciiTheme="minorEastAsia" w:hAnsiTheme="minorEastAsia" w:cstheme="minorHAnsi"/>
          <w:i w:val="0"/>
          <w:iCs w:val="0"/>
          <w:szCs w:val="21"/>
        </w:rPr>
        <w:fldChar w:fldCharType="separate"/>
      </w:r>
      <w:r>
        <w:rPr>
          <w:rFonts w:hint="eastAsia"/>
          <w:i w:val="0"/>
          <w:iCs w:val="0"/>
          <w:szCs w:val="36"/>
        </w:rPr>
        <w:t>第二节 商务文件格式</w:t>
      </w:r>
      <w:r>
        <w:rPr>
          <w:i w:val="0"/>
          <w:iCs w:val="0"/>
        </w:rPr>
        <w:tab/>
      </w:r>
      <w:r>
        <w:rPr>
          <w:i w:val="0"/>
          <w:iCs w:val="0"/>
        </w:rPr>
        <w:fldChar w:fldCharType="begin"/>
      </w:r>
      <w:r>
        <w:rPr>
          <w:i w:val="0"/>
          <w:iCs w:val="0"/>
        </w:rPr>
        <w:instrText xml:space="preserve"> PAGEREF _Toc10283 \h </w:instrText>
      </w:r>
      <w:r>
        <w:rPr>
          <w:i w:val="0"/>
          <w:iCs w:val="0"/>
        </w:rPr>
        <w:fldChar w:fldCharType="separate"/>
      </w:r>
      <w:r>
        <w:rPr>
          <w:i w:val="0"/>
          <w:iCs w:val="0"/>
        </w:rPr>
        <w:t>186</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_Toc16415 </w:instrText>
      </w:r>
      <w:r>
        <w:rPr>
          <w:rFonts w:asciiTheme="minorEastAsia" w:hAnsiTheme="minorEastAsia" w:cstheme="minorHAnsi"/>
          <w:i w:val="0"/>
          <w:iCs w:val="0"/>
          <w:szCs w:val="21"/>
        </w:rPr>
        <w:fldChar w:fldCharType="separate"/>
      </w:r>
      <w:r>
        <w:rPr>
          <w:rFonts w:hint="eastAsia"/>
          <w:i w:val="0"/>
          <w:iCs w:val="0"/>
          <w:szCs w:val="28"/>
        </w:rPr>
        <w:t>投标文件（二）（格式）</w:t>
      </w:r>
      <w:r>
        <w:rPr>
          <w:i w:val="0"/>
          <w:iCs w:val="0"/>
        </w:rPr>
        <w:tab/>
      </w:r>
      <w:r>
        <w:rPr>
          <w:i w:val="0"/>
          <w:iCs w:val="0"/>
        </w:rPr>
        <w:fldChar w:fldCharType="begin"/>
      </w:r>
      <w:r>
        <w:rPr>
          <w:i w:val="0"/>
          <w:iCs w:val="0"/>
        </w:rPr>
        <w:instrText xml:space="preserve"> PAGEREF _Toc16415 \h </w:instrText>
      </w:r>
      <w:r>
        <w:rPr>
          <w:i w:val="0"/>
          <w:iCs w:val="0"/>
        </w:rPr>
        <w:fldChar w:fldCharType="separate"/>
      </w:r>
      <w:r>
        <w:rPr>
          <w:i w:val="0"/>
          <w:iCs w:val="0"/>
        </w:rPr>
        <w:t>187</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_Toc20792 </w:instrText>
      </w:r>
      <w:r>
        <w:rPr>
          <w:rFonts w:asciiTheme="minorEastAsia" w:hAnsiTheme="minorEastAsia" w:cstheme="minorHAnsi"/>
          <w:i w:val="0"/>
          <w:iCs w:val="0"/>
          <w:szCs w:val="21"/>
        </w:rPr>
        <w:fldChar w:fldCharType="separate"/>
      </w:r>
      <w:r>
        <w:rPr>
          <w:rFonts w:hint="eastAsia"/>
          <w:i w:val="0"/>
          <w:iCs w:val="0"/>
          <w:szCs w:val="28"/>
        </w:rPr>
        <w:t>一、投标函及投标函附录（格式）</w:t>
      </w:r>
      <w:r>
        <w:rPr>
          <w:i w:val="0"/>
          <w:iCs w:val="0"/>
        </w:rPr>
        <w:tab/>
      </w:r>
      <w:r>
        <w:rPr>
          <w:i w:val="0"/>
          <w:iCs w:val="0"/>
        </w:rPr>
        <w:fldChar w:fldCharType="begin"/>
      </w:r>
      <w:r>
        <w:rPr>
          <w:i w:val="0"/>
          <w:iCs w:val="0"/>
        </w:rPr>
        <w:instrText xml:space="preserve"> PAGEREF _Toc20792 \h </w:instrText>
      </w:r>
      <w:r>
        <w:rPr>
          <w:i w:val="0"/>
          <w:iCs w:val="0"/>
        </w:rPr>
        <w:fldChar w:fldCharType="separate"/>
      </w:r>
      <w:r>
        <w:rPr>
          <w:i w:val="0"/>
          <w:iCs w:val="0"/>
        </w:rPr>
        <w:t>189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_Toc19331 </w:instrText>
      </w:r>
      <w:r>
        <w:rPr>
          <w:rFonts w:asciiTheme="minorEastAsia" w:hAnsiTheme="minorEastAsia" w:cstheme="minorHAnsi"/>
          <w:i w:val="0"/>
          <w:iCs w:val="0"/>
          <w:szCs w:val="21"/>
        </w:rPr>
        <w:fldChar w:fldCharType="separate"/>
      </w:r>
      <w:r>
        <w:rPr>
          <w:rFonts w:hint="eastAsia"/>
          <w:i w:val="0"/>
          <w:iCs w:val="0"/>
          <w:szCs w:val="28"/>
        </w:rPr>
        <w:t>二、服务费用清单（格式）</w:t>
      </w:r>
      <w:r>
        <w:rPr>
          <w:i w:val="0"/>
          <w:iCs w:val="0"/>
        </w:rPr>
        <w:tab/>
      </w:r>
      <w:r>
        <w:rPr>
          <w:i w:val="0"/>
          <w:iCs w:val="0"/>
        </w:rPr>
        <w:fldChar w:fldCharType="begin"/>
      </w:r>
      <w:r>
        <w:rPr>
          <w:i w:val="0"/>
          <w:iCs w:val="0"/>
        </w:rPr>
        <w:instrText xml:space="preserve"> PAGEREF _Toc19331 \h </w:instrText>
      </w:r>
      <w:r>
        <w:rPr>
          <w:i w:val="0"/>
          <w:iCs w:val="0"/>
        </w:rPr>
        <w:fldChar w:fldCharType="separate"/>
      </w:r>
      <w:r>
        <w:rPr>
          <w:i w:val="0"/>
          <w:iCs w:val="0"/>
        </w:rPr>
        <w:t>192</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_Toc27278 </w:instrText>
      </w:r>
      <w:r>
        <w:rPr>
          <w:rFonts w:asciiTheme="minorEastAsia" w:hAnsiTheme="minorEastAsia" w:cstheme="minorHAnsi"/>
          <w:i w:val="0"/>
          <w:iCs w:val="0"/>
          <w:szCs w:val="21"/>
        </w:rPr>
        <w:fldChar w:fldCharType="separate"/>
      </w:r>
      <w:r>
        <w:rPr>
          <w:rFonts w:hint="eastAsia"/>
          <w:i w:val="0"/>
          <w:iCs w:val="0"/>
          <w:szCs w:val="28"/>
          <w:lang w:val="en-US" w:eastAsia="zh-CN"/>
        </w:rPr>
        <w:t>三</w:t>
      </w:r>
      <w:r>
        <w:rPr>
          <w:rFonts w:hint="eastAsia"/>
          <w:i w:val="0"/>
          <w:iCs w:val="0"/>
          <w:szCs w:val="28"/>
        </w:rPr>
        <w:t>、拟委任的主要人员汇总表（格式）</w:t>
      </w:r>
      <w:r>
        <w:rPr>
          <w:i w:val="0"/>
          <w:iCs w:val="0"/>
        </w:rPr>
        <w:tab/>
      </w:r>
      <w:r>
        <w:rPr>
          <w:i w:val="0"/>
          <w:iCs w:val="0"/>
        </w:rPr>
        <w:fldChar w:fldCharType="begin"/>
      </w:r>
      <w:r>
        <w:rPr>
          <w:i w:val="0"/>
          <w:iCs w:val="0"/>
        </w:rPr>
        <w:instrText xml:space="preserve"> PAGEREF _Toc27278 \h </w:instrText>
      </w:r>
      <w:r>
        <w:rPr>
          <w:i w:val="0"/>
          <w:iCs w:val="0"/>
        </w:rPr>
        <w:fldChar w:fldCharType="separate"/>
      </w:r>
      <w:r>
        <w:rPr>
          <w:i w:val="0"/>
          <w:iCs w:val="0"/>
        </w:rPr>
        <w:t>193</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_Toc24467 </w:instrText>
      </w:r>
      <w:r>
        <w:rPr>
          <w:rFonts w:asciiTheme="minorEastAsia" w:hAnsiTheme="minorEastAsia" w:cstheme="minorHAnsi"/>
          <w:i w:val="0"/>
          <w:iCs w:val="0"/>
          <w:szCs w:val="21"/>
        </w:rPr>
        <w:fldChar w:fldCharType="separate"/>
      </w:r>
      <w:r>
        <w:rPr>
          <w:rFonts w:hint="eastAsia"/>
          <w:i w:val="0"/>
          <w:iCs w:val="0"/>
          <w:szCs w:val="28"/>
          <w:lang w:val="en-US" w:eastAsia="zh-CN"/>
        </w:rPr>
        <w:t>四</w:t>
      </w:r>
      <w:r>
        <w:rPr>
          <w:rFonts w:hint="eastAsia"/>
          <w:i w:val="0"/>
          <w:iCs w:val="0"/>
          <w:szCs w:val="28"/>
        </w:rPr>
        <w:t>、主要人员简历表（格式）</w:t>
      </w:r>
      <w:r>
        <w:rPr>
          <w:i w:val="0"/>
          <w:iCs w:val="0"/>
        </w:rPr>
        <w:tab/>
      </w:r>
      <w:r>
        <w:rPr>
          <w:i w:val="0"/>
          <w:iCs w:val="0"/>
        </w:rPr>
        <w:fldChar w:fldCharType="begin"/>
      </w:r>
      <w:r>
        <w:rPr>
          <w:i w:val="0"/>
          <w:iCs w:val="0"/>
        </w:rPr>
        <w:instrText xml:space="preserve"> PAGEREF _Toc24467 \h </w:instrText>
      </w:r>
      <w:r>
        <w:rPr>
          <w:i w:val="0"/>
          <w:iCs w:val="0"/>
        </w:rPr>
        <w:fldChar w:fldCharType="separate"/>
      </w:r>
      <w:r>
        <w:rPr>
          <w:i w:val="0"/>
          <w:iCs w:val="0"/>
        </w:rPr>
        <w:t>194</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_Toc22085 </w:instrText>
      </w:r>
      <w:r>
        <w:rPr>
          <w:rFonts w:asciiTheme="minorEastAsia" w:hAnsiTheme="minorEastAsia" w:cstheme="minorHAnsi"/>
          <w:i w:val="0"/>
          <w:iCs w:val="0"/>
          <w:szCs w:val="21"/>
        </w:rPr>
        <w:fldChar w:fldCharType="separate"/>
      </w:r>
      <w:r>
        <w:rPr>
          <w:rFonts w:hint="eastAsia"/>
          <w:i w:val="0"/>
          <w:iCs w:val="0"/>
          <w:szCs w:val="28"/>
          <w:lang w:val="en-US" w:eastAsia="zh-CN"/>
        </w:rPr>
        <w:t>五</w:t>
      </w:r>
      <w:r>
        <w:rPr>
          <w:rFonts w:hint="eastAsia"/>
          <w:i w:val="0"/>
          <w:iCs w:val="0"/>
          <w:szCs w:val="28"/>
        </w:rPr>
        <w:t>、</w:t>
      </w:r>
      <w:r>
        <w:rPr>
          <w:rFonts w:hint="eastAsia"/>
          <w:i w:val="0"/>
          <w:iCs w:val="0"/>
          <w:szCs w:val="28"/>
          <w:lang w:val="en-US" w:eastAsia="zh-CN"/>
        </w:rPr>
        <w:t>业绩证明材料</w:t>
      </w:r>
      <w:r>
        <w:rPr>
          <w:rFonts w:hint="eastAsia"/>
          <w:i w:val="0"/>
          <w:iCs w:val="0"/>
          <w:szCs w:val="28"/>
        </w:rPr>
        <w:t>（格式）</w:t>
      </w:r>
      <w:r>
        <w:rPr>
          <w:i w:val="0"/>
          <w:iCs w:val="0"/>
        </w:rPr>
        <w:tab/>
      </w:r>
      <w:r>
        <w:rPr>
          <w:i w:val="0"/>
          <w:iCs w:val="0"/>
        </w:rPr>
        <w:fldChar w:fldCharType="begin"/>
      </w:r>
      <w:r>
        <w:rPr>
          <w:i w:val="0"/>
          <w:iCs w:val="0"/>
        </w:rPr>
        <w:instrText xml:space="preserve"> PAGEREF _Toc22085 \h </w:instrText>
      </w:r>
      <w:r>
        <w:rPr>
          <w:i w:val="0"/>
          <w:iCs w:val="0"/>
        </w:rPr>
        <w:fldChar w:fldCharType="separate"/>
      </w:r>
      <w:r>
        <w:rPr>
          <w:i w:val="0"/>
          <w:iCs w:val="0"/>
        </w:rPr>
        <w:t>195</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_Toc19552 </w:instrText>
      </w:r>
      <w:r>
        <w:rPr>
          <w:rFonts w:asciiTheme="minorEastAsia" w:hAnsiTheme="minorEastAsia" w:cstheme="minorHAnsi"/>
          <w:i w:val="0"/>
          <w:iCs w:val="0"/>
          <w:szCs w:val="21"/>
        </w:rPr>
        <w:fldChar w:fldCharType="separate"/>
      </w:r>
      <w:r>
        <w:rPr>
          <w:rFonts w:hint="eastAsia"/>
          <w:i w:val="0"/>
          <w:iCs w:val="0"/>
          <w:szCs w:val="28"/>
          <w:lang w:val="en-US" w:eastAsia="zh-CN"/>
        </w:rPr>
        <w:t>六、</w:t>
      </w:r>
      <w:r>
        <w:rPr>
          <w:i w:val="0"/>
          <w:iCs w:val="0"/>
          <w:szCs w:val="28"/>
        </w:rPr>
        <w:t>其他商务</w:t>
      </w:r>
      <w:r>
        <w:rPr>
          <w:rFonts w:hint="eastAsia"/>
          <w:i w:val="0"/>
          <w:iCs w:val="0"/>
          <w:szCs w:val="28"/>
        </w:rPr>
        <w:t>情况（如有）（格式）</w:t>
      </w:r>
      <w:r>
        <w:rPr>
          <w:i w:val="0"/>
          <w:iCs w:val="0"/>
        </w:rPr>
        <w:tab/>
      </w:r>
      <w:r>
        <w:rPr>
          <w:i w:val="0"/>
          <w:iCs w:val="0"/>
        </w:rPr>
        <w:fldChar w:fldCharType="begin"/>
      </w:r>
      <w:r>
        <w:rPr>
          <w:i w:val="0"/>
          <w:iCs w:val="0"/>
        </w:rPr>
        <w:instrText xml:space="preserve"> PAGEREF _Toc19552 \h </w:instrText>
      </w:r>
      <w:r>
        <w:rPr>
          <w:i w:val="0"/>
          <w:iCs w:val="0"/>
        </w:rPr>
        <w:fldChar w:fldCharType="separate"/>
      </w:r>
      <w:r>
        <w:rPr>
          <w:i w:val="0"/>
          <w:iCs w:val="0"/>
        </w:rPr>
        <w:t>198</w:t>
      </w:r>
      <w:r>
        <w:rPr>
          <w:i w:val="0"/>
          <w:iCs w:val="0"/>
        </w:rPr>
        <w:fldChar w:fldCharType="end"/>
      </w:r>
      <w:r>
        <w:rPr>
          <w:rFonts w:asciiTheme="minorEastAsia" w:hAnsiTheme="minorEastAsia" w:cstheme="minorHAnsi"/>
          <w:i w:val="0"/>
          <w:iCs w:val="0"/>
          <w:szCs w:val="21"/>
        </w:rPr>
        <w:fldChar w:fldCharType="end"/>
      </w:r>
    </w:p>
    <w:p>
      <w:pPr>
        <w:pStyle w:val="2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_Toc2352 </w:instrText>
      </w:r>
      <w:r>
        <w:rPr>
          <w:rFonts w:asciiTheme="minorEastAsia" w:hAnsiTheme="minorEastAsia" w:cstheme="minorHAnsi"/>
          <w:i w:val="0"/>
          <w:iCs w:val="0"/>
          <w:szCs w:val="21"/>
        </w:rPr>
        <w:fldChar w:fldCharType="separate"/>
      </w:r>
      <w:r>
        <w:rPr>
          <w:rFonts w:hint="eastAsia"/>
          <w:i w:val="0"/>
          <w:iCs w:val="0"/>
          <w:szCs w:val="36"/>
        </w:rPr>
        <w:t>第三节 技术</w:t>
      </w:r>
      <w:r>
        <w:rPr>
          <w:rFonts w:hint="eastAsia"/>
          <w:i w:val="0"/>
          <w:iCs w:val="0"/>
          <w:szCs w:val="36"/>
          <w:highlight w:val="none"/>
        </w:rPr>
        <w:t>方案</w:t>
      </w:r>
      <w:r>
        <w:rPr>
          <w:rFonts w:hint="eastAsia"/>
          <w:i w:val="0"/>
          <w:iCs w:val="0"/>
          <w:szCs w:val="36"/>
        </w:rPr>
        <w:t>格式</w:t>
      </w:r>
      <w:r>
        <w:rPr>
          <w:i w:val="0"/>
          <w:iCs w:val="0"/>
        </w:rPr>
        <w:tab/>
      </w:r>
      <w:r>
        <w:rPr>
          <w:i w:val="0"/>
          <w:iCs w:val="0"/>
        </w:rPr>
        <w:fldChar w:fldCharType="begin"/>
      </w:r>
      <w:r>
        <w:rPr>
          <w:i w:val="0"/>
          <w:iCs w:val="0"/>
        </w:rPr>
        <w:instrText xml:space="preserve"> PAGEREF _Toc2352 \h </w:instrText>
      </w:r>
      <w:r>
        <w:rPr>
          <w:i w:val="0"/>
          <w:iCs w:val="0"/>
        </w:rPr>
        <w:fldChar w:fldCharType="separate"/>
      </w:r>
      <w:r>
        <w:rPr>
          <w:i w:val="0"/>
          <w:iCs w:val="0"/>
        </w:rPr>
        <w:t>199</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_Toc11341 </w:instrText>
      </w:r>
      <w:r>
        <w:rPr>
          <w:rFonts w:asciiTheme="minorEastAsia" w:hAnsiTheme="minorEastAsia" w:cstheme="minorHAnsi"/>
          <w:i w:val="0"/>
          <w:iCs w:val="0"/>
          <w:szCs w:val="21"/>
        </w:rPr>
        <w:fldChar w:fldCharType="separate"/>
      </w:r>
      <w:r>
        <w:rPr>
          <w:rFonts w:hint="eastAsia"/>
          <w:i w:val="0"/>
          <w:iCs w:val="0"/>
          <w:szCs w:val="28"/>
        </w:rPr>
        <w:t>投标文件（三）（格式）</w:t>
      </w:r>
      <w:r>
        <w:rPr>
          <w:i w:val="0"/>
          <w:iCs w:val="0"/>
        </w:rPr>
        <w:tab/>
      </w:r>
      <w:r>
        <w:rPr>
          <w:i w:val="0"/>
          <w:iCs w:val="0"/>
        </w:rPr>
        <w:fldChar w:fldCharType="begin"/>
      </w:r>
      <w:r>
        <w:rPr>
          <w:i w:val="0"/>
          <w:iCs w:val="0"/>
        </w:rPr>
        <w:instrText xml:space="preserve"> PAGEREF _Toc11341 \h </w:instrText>
      </w:r>
      <w:r>
        <w:rPr>
          <w:i w:val="0"/>
          <w:iCs w:val="0"/>
        </w:rPr>
        <w:fldChar w:fldCharType="separate"/>
      </w:r>
      <w:r>
        <w:rPr>
          <w:i w:val="0"/>
          <w:iCs w:val="0"/>
        </w:rPr>
        <w:t>200</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_Toc20863 </w:instrText>
      </w:r>
      <w:r>
        <w:rPr>
          <w:rFonts w:asciiTheme="minorEastAsia" w:hAnsiTheme="minorEastAsia" w:cstheme="minorHAnsi"/>
          <w:i w:val="0"/>
          <w:iCs w:val="0"/>
          <w:szCs w:val="21"/>
        </w:rPr>
        <w:fldChar w:fldCharType="separate"/>
      </w:r>
      <w:r>
        <w:rPr>
          <w:rFonts w:hint="eastAsia"/>
          <w:i w:val="0"/>
          <w:iCs w:val="0"/>
          <w:szCs w:val="24"/>
        </w:rPr>
        <w:t>一</w:t>
      </w:r>
      <w:r>
        <w:rPr>
          <w:rFonts w:hint="eastAsia"/>
          <w:i w:val="0"/>
          <w:iCs w:val="0"/>
          <w:szCs w:val="24"/>
          <w:lang w:eastAsia="zh-CN"/>
        </w:rPr>
        <w:t>、</w:t>
      </w:r>
      <w:r>
        <w:rPr>
          <w:rFonts w:hint="eastAsia"/>
          <w:i w:val="0"/>
          <w:iCs w:val="0"/>
          <w:szCs w:val="24"/>
          <w:highlight w:val="none"/>
        </w:rPr>
        <w:t>设计方案</w:t>
      </w:r>
      <w:r>
        <w:rPr>
          <w:i w:val="0"/>
          <w:iCs w:val="0"/>
        </w:rPr>
        <w:tab/>
      </w:r>
      <w:r>
        <w:rPr>
          <w:i w:val="0"/>
          <w:iCs w:val="0"/>
        </w:rPr>
        <w:fldChar w:fldCharType="begin"/>
      </w:r>
      <w:r>
        <w:rPr>
          <w:i w:val="0"/>
          <w:iCs w:val="0"/>
        </w:rPr>
        <w:instrText xml:space="preserve"> PAGEREF _Toc20863 \h </w:instrText>
      </w:r>
      <w:r>
        <w:rPr>
          <w:i w:val="0"/>
          <w:iCs w:val="0"/>
        </w:rPr>
        <w:fldChar w:fldCharType="separate"/>
      </w:r>
      <w:r>
        <w:rPr>
          <w:i w:val="0"/>
          <w:iCs w:val="0"/>
        </w:rPr>
        <w:t>201</w:t>
      </w:r>
      <w:r>
        <w:rPr>
          <w:i w:val="0"/>
          <w:iCs w:val="0"/>
        </w:rPr>
        <w:fldChar w:fldCharType="end"/>
      </w:r>
      <w:r>
        <w:rPr>
          <w:rFonts w:asciiTheme="minorEastAsia" w:hAnsiTheme="minorEastAsia" w:cstheme="minorHAnsi"/>
          <w:i w:val="0"/>
          <w:iCs w:val="0"/>
          <w:szCs w:val="21"/>
        </w:rPr>
        <w:fldChar w:fldCharType="end"/>
      </w:r>
    </w:p>
    <w:p>
      <w:pPr>
        <w:pStyle w:val="12"/>
        <w:tabs>
          <w:tab w:val="right" w:leader="dot" w:pos="8844"/>
        </w:tabs>
        <w:rPr>
          <w:i w:val="0"/>
          <w:iCs w:val="0"/>
        </w:rPr>
      </w:pPr>
      <w:r>
        <w:rPr>
          <w:rFonts w:asciiTheme="minorEastAsia" w:hAnsiTheme="minorEastAsia" w:cstheme="minorHAnsi"/>
          <w:i w:val="0"/>
          <w:iCs w:val="0"/>
          <w:szCs w:val="21"/>
        </w:rPr>
        <w:fldChar w:fldCharType="begin"/>
      </w:r>
      <w:r>
        <w:rPr>
          <w:rFonts w:asciiTheme="minorEastAsia" w:hAnsiTheme="minorEastAsia" w:cstheme="minorHAnsi"/>
          <w:i w:val="0"/>
          <w:iCs w:val="0"/>
          <w:szCs w:val="21"/>
        </w:rPr>
        <w:instrText xml:space="preserve"> HYPERLINK \l _Toc9406 </w:instrText>
      </w:r>
      <w:r>
        <w:rPr>
          <w:rFonts w:asciiTheme="minorEastAsia" w:hAnsiTheme="minorEastAsia" w:cstheme="minorHAnsi"/>
          <w:i w:val="0"/>
          <w:iCs w:val="0"/>
          <w:szCs w:val="21"/>
        </w:rPr>
        <w:fldChar w:fldCharType="separate"/>
      </w:r>
      <w:r>
        <w:rPr>
          <w:rFonts w:hint="eastAsia"/>
          <w:i w:val="0"/>
          <w:iCs w:val="0"/>
          <w:szCs w:val="24"/>
          <w:highlight w:val="none"/>
        </w:rPr>
        <w:t>二</w:t>
      </w:r>
      <w:r>
        <w:rPr>
          <w:rFonts w:hint="eastAsia"/>
          <w:i w:val="0"/>
          <w:iCs w:val="0"/>
          <w:szCs w:val="24"/>
          <w:highlight w:val="none"/>
          <w:lang w:eastAsia="zh-CN"/>
        </w:rPr>
        <w:t>、</w:t>
      </w:r>
      <w:r>
        <w:rPr>
          <w:rFonts w:hint="eastAsia"/>
          <w:i w:val="0"/>
          <w:iCs w:val="0"/>
          <w:szCs w:val="24"/>
          <w:highlight w:val="none"/>
        </w:rPr>
        <w:t>资源配备及服务能力</w:t>
      </w:r>
      <w:r>
        <w:rPr>
          <w:i w:val="0"/>
          <w:iCs w:val="0"/>
        </w:rPr>
        <w:tab/>
      </w:r>
      <w:r>
        <w:rPr>
          <w:i w:val="0"/>
          <w:iCs w:val="0"/>
        </w:rPr>
        <w:fldChar w:fldCharType="begin"/>
      </w:r>
      <w:r>
        <w:rPr>
          <w:i w:val="0"/>
          <w:iCs w:val="0"/>
        </w:rPr>
        <w:instrText xml:space="preserve"> PAGEREF _Toc9406 \h </w:instrText>
      </w:r>
      <w:r>
        <w:rPr>
          <w:i w:val="0"/>
          <w:iCs w:val="0"/>
        </w:rPr>
        <w:fldChar w:fldCharType="separate"/>
      </w:r>
      <w:r>
        <w:rPr>
          <w:i w:val="0"/>
          <w:iCs w:val="0"/>
        </w:rPr>
        <w:t>201</w:t>
      </w:r>
      <w:r>
        <w:rPr>
          <w:i w:val="0"/>
          <w:iCs w:val="0"/>
        </w:rPr>
        <w:fldChar w:fldCharType="end"/>
      </w:r>
      <w:r>
        <w:rPr>
          <w:rFonts w:asciiTheme="minorEastAsia" w:hAnsiTheme="minorEastAsia" w:cstheme="minorHAnsi"/>
          <w:i w:val="0"/>
          <w:iCs w:val="0"/>
          <w:szCs w:val="21"/>
        </w:rPr>
        <w:fldChar w:fldCharType="end"/>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Theme="minorEastAsia" w:hAnsiTheme="minorEastAsia"/>
          <w:szCs w:val="21"/>
        </w:rPr>
      </w:pPr>
      <w:r>
        <w:rPr>
          <w:rFonts w:asciiTheme="minorEastAsia" w:hAnsiTheme="minorEastAsia" w:cstheme="minorHAnsi"/>
          <w:i w:val="0"/>
          <w:iCs w:val="0"/>
          <w:szCs w:val="21"/>
        </w:rPr>
        <w:fldChar w:fldCharType="end"/>
      </w:r>
    </w:p>
    <w:p>
      <w:pPr>
        <w:widowControl/>
        <w:shd w:val="clear" w:color="auto" w:fill="FFFFFF"/>
        <w:snapToGrid w:val="0"/>
        <w:ind w:firstLine="482" w:firstLineChars="200"/>
        <w:jc w:val="left"/>
        <w:rPr>
          <w:b/>
          <w:sz w:val="24"/>
          <w:szCs w:val="24"/>
        </w:rPr>
        <w:sectPr>
          <w:footerReference r:id="rId6" w:type="default"/>
          <w:pgSz w:w="11906" w:h="16838"/>
          <w:pgMar w:top="1440" w:right="1531" w:bottom="1118" w:left="1531" w:header="851" w:footer="992" w:gutter="0"/>
          <w:pgNumType w:fmt="upperRoman"/>
          <w:cols w:space="425" w:num="1"/>
          <w:docGrid w:type="lines" w:linePitch="312" w:charSpace="0"/>
        </w:sectPr>
      </w:pPr>
    </w:p>
    <w:p>
      <w:pPr>
        <w:bidi w:val="0"/>
        <w:rPr>
          <w:rFonts w:hint="eastAsia"/>
        </w:rPr>
      </w:pPr>
      <w:bookmarkStart w:id="7" w:name="_Toc10634"/>
      <w:bookmarkStart w:id="8" w:name="_Toc1534940407"/>
      <w:bookmarkStart w:id="9" w:name="_Toc1664732262"/>
      <w:bookmarkStart w:id="10" w:name="_Toc7186456"/>
      <w:bookmarkStart w:id="11" w:name="_Toc26140"/>
      <w:bookmarkStart w:id="12" w:name="_Toc2349"/>
      <w:bookmarkStart w:id="13" w:name="_Toc511396020"/>
      <w:bookmarkStart w:id="14" w:name="_Toc1412966722"/>
      <w:bookmarkStart w:id="15" w:name="_Toc506077633"/>
      <w:bookmarkStart w:id="16" w:name="_Toc15398"/>
      <w:bookmarkStart w:id="17" w:name="_Toc129478467"/>
      <w:bookmarkStart w:id="18" w:name="_Toc317812812"/>
      <w:bookmarkStart w:id="19" w:name="_Toc314965175"/>
      <w:bookmarkStart w:id="20" w:name="_Toc1484602901"/>
      <w:bookmarkStart w:id="21" w:name="_Toc500585434"/>
      <w:bookmarkStart w:id="22" w:name="_Toc194607893"/>
      <w:bookmarkStart w:id="23" w:name="_Toc598750584"/>
      <w:bookmarkStart w:id="24" w:name="_Toc1357989024"/>
      <w:bookmarkStart w:id="25" w:name="_Toc383294287"/>
      <w:bookmarkStart w:id="26" w:name="_Toc351374892"/>
      <w:bookmarkStart w:id="27" w:name="_Toc515440730"/>
      <w:bookmarkStart w:id="28" w:name="_Toc18292"/>
      <w:bookmarkStart w:id="29" w:name="_Toc6191"/>
      <w:bookmarkStart w:id="30" w:name="_Toc516822970"/>
      <w:bookmarkStart w:id="31" w:name="_Toc20467"/>
    </w:p>
    <w:p>
      <w:pPr>
        <w:bidi w:val="0"/>
        <w:rPr>
          <w:rFonts w:hint="eastAsia"/>
        </w:rPr>
      </w:pPr>
    </w:p>
    <w:p>
      <w:pPr>
        <w:bidi w:val="0"/>
        <w:rPr>
          <w:rFonts w:hint="eastAsia"/>
        </w:rPr>
      </w:pPr>
    </w:p>
    <w:p>
      <w:pPr>
        <w:pStyle w:val="25"/>
        <w:rPr>
          <w:rFonts w:asciiTheme="majorEastAsia" w:hAnsiTheme="majorEastAsia" w:eastAsiaTheme="majorEastAsia"/>
          <w:sz w:val="52"/>
          <w:szCs w:val="52"/>
        </w:rPr>
      </w:pPr>
      <w:bookmarkStart w:id="32" w:name="_Toc3759"/>
      <w:r>
        <w:rPr>
          <w:rFonts w:hint="eastAsia" w:asciiTheme="majorEastAsia" w:hAnsiTheme="majorEastAsia" w:eastAsiaTheme="majorEastAsia"/>
          <w:sz w:val="52"/>
          <w:szCs w:val="52"/>
        </w:rPr>
        <w:t>第一卷</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sectPr>
          <w:footerReference r:id="rId7" w:type="default"/>
          <w:pgSz w:w="11906" w:h="16838"/>
          <w:pgMar w:top="1474" w:right="1474" w:bottom="1474" w:left="1474" w:header="1021" w:footer="1021" w:gutter="0"/>
          <w:pgNumType w:fmt="decimal" w:start="1"/>
          <w:cols w:space="720" w:num="1"/>
          <w:docGrid w:linePitch="326" w:charSpace="0"/>
        </w:sect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widowControl/>
        <w:shd w:val="clear" w:color="auto" w:fill="FFFFFF"/>
        <w:snapToGrid w:val="0"/>
        <w:ind w:firstLine="482" w:firstLineChars="200"/>
        <w:jc w:val="left"/>
        <w:rPr>
          <w:b/>
          <w:sz w:val="24"/>
          <w:szCs w:val="24"/>
        </w:rPr>
      </w:pPr>
    </w:p>
    <w:p>
      <w:pPr>
        <w:rPr>
          <w:rFonts w:hint="eastAsia" w:asciiTheme="majorEastAsia" w:hAnsiTheme="majorEastAsia" w:eastAsiaTheme="majorEastAsia"/>
          <w:sz w:val="36"/>
          <w:szCs w:val="36"/>
        </w:rPr>
        <w:sectPr>
          <w:footerReference r:id="rId8" w:type="default"/>
          <w:pgSz w:w="11906" w:h="16838"/>
          <w:pgMar w:top="1474" w:right="1474" w:bottom="1474" w:left="1474" w:header="1021" w:footer="1021" w:gutter="0"/>
          <w:pgNumType w:fmt="decimal"/>
          <w:cols w:space="720" w:num="1"/>
          <w:docGrid w:linePitch="326" w:charSpace="0"/>
        </w:sectPr>
      </w:pPr>
      <w:bookmarkStart w:id="33" w:name="_Toc7186457"/>
      <w:bookmarkStart w:id="34" w:name="_Toc743660458"/>
      <w:bookmarkStart w:id="35" w:name="_Toc511396021"/>
      <w:bookmarkStart w:id="36" w:name="_Toc23509"/>
      <w:bookmarkStart w:id="37" w:name="_Toc1645943939"/>
      <w:bookmarkStart w:id="38" w:name="_Toc6381"/>
      <w:bookmarkStart w:id="39" w:name="_Toc2379"/>
      <w:bookmarkStart w:id="40" w:name="_Toc1611535711"/>
      <w:bookmarkStart w:id="41" w:name="_Toc265326052"/>
      <w:bookmarkStart w:id="42" w:name="_Toc29865"/>
      <w:bookmarkStart w:id="43" w:name="_Toc157263270"/>
      <w:bookmarkStart w:id="44" w:name="_Toc72506370"/>
      <w:bookmarkStart w:id="45" w:name="_Toc22369038"/>
      <w:bookmarkStart w:id="46" w:name="_Toc2454"/>
      <w:bookmarkStart w:id="47" w:name="_Toc516822971"/>
      <w:bookmarkStart w:id="48" w:name="_Toc108462614"/>
      <w:bookmarkStart w:id="49" w:name="_Toc857528128"/>
      <w:bookmarkStart w:id="50" w:name="_Toc92695446"/>
      <w:bookmarkStart w:id="51" w:name="_Toc515440731"/>
      <w:bookmarkStart w:id="52" w:name="_Toc2125264241"/>
      <w:bookmarkStart w:id="53" w:name="_Toc1738174318"/>
      <w:bookmarkStart w:id="54" w:name="_Toc22338"/>
      <w:bookmarkStart w:id="55" w:name="_Toc1723624256"/>
      <w:bookmarkStart w:id="56" w:name="_Toc938"/>
      <w:bookmarkStart w:id="57" w:name="_Toc688101195"/>
    </w:p>
    <w:p>
      <w:pPr>
        <w:rPr>
          <w:rFonts w:hint="eastAsia" w:asciiTheme="majorEastAsia" w:hAnsiTheme="majorEastAsia" w:eastAsiaTheme="majorEastAsia"/>
          <w:sz w:val="36"/>
          <w:szCs w:val="36"/>
        </w:rPr>
      </w:pPr>
    </w:p>
    <w:p>
      <w:pPr>
        <w:pStyle w:val="2"/>
        <w:adjustRightInd w:val="0"/>
        <w:snapToGrid w:val="0"/>
        <w:spacing w:before="0" w:after="0" w:line="520" w:lineRule="exact"/>
        <w:jc w:val="center"/>
        <w:rPr>
          <w:rFonts w:asciiTheme="majorEastAsia" w:hAnsiTheme="majorEastAsia" w:eastAsiaTheme="majorEastAsia"/>
          <w:sz w:val="36"/>
          <w:szCs w:val="36"/>
        </w:rPr>
      </w:pPr>
      <w:bookmarkStart w:id="58" w:name="_Toc13052"/>
      <w:r>
        <w:rPr>
          <w:rFonts w:hint="eastAsia" w:asciiTheme="majorEastAsia" w:hAnsiTheme="majorEastAsia" w:eastAsiaTheme="majorEastAsia"/>
          <w:sz w:val="36"/>
          <w:szCs w:val="36"/>
        </w:rPr>
        <w:t>第一章 招标公告（适用于公开招标）</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widowControl/>
        <w:shd w:val="clear" w:color="auto" w:fill="FFFFFF"/>
        <w:snapToGrid w:val="0"/>
        <w:jc w:val="center"/>
        <w:rPr>
          <w:rFonts w:hint="eastAsia" w:eastAsia="宋体" w:cs="Times New Roman"/>
          <w:color w:val="auto"/>
          <w:sz w:val="28"/>
          <w:szCs w:val="28"/>
          <w:u w:val="single" w:color="auto"/>
        </w:rPr>
      </w:pPr>
    </w:p>
    <w:p>
      <w:pPr>
        <w:widowControl/>
        <w:shd w:val="clear" w:color="auto" w:fill="FFFFFF"/>
        <w:snapToGrid w:val="0"/>
        <w:jc w:val="center"/>
        <w:rPr>
          <w:b/>
          <w:sz w:val="28"/>
          <w:szCs w:val="28"/>
        </w:rPr>
      </w:pPr>
      <w:r>
        <w:rPr>
          <w:rFonts w:hint="eastAsia" w:eastAsia="宋体" w:cs="Times New Roman"/>
          <w:color w:val="auto"/>
          <w:sz w:val="28"/>
          <w:szCs w:val="28"/>
          <w:u w:val="single" w:color="auto"/>
          <w:lang w:val="en-US" w:eastAsia="zh-CN"/>
        </w:rPr>
        <w:t xml:space="preserve">       </w:t>
      </w:r>
      <w:r>
        <w:rPr>
          <w:rFonts w:hint="eastAsia" w:eastAsia="宋体" w:cs="Times New Roman"/>
          <w:color w:val="auto"/>
          <w:sz w:val="28"/>
          <w:szCs w:val="28"/>
          <w:u w:val="single" w:color="auto"/>
        </w:rPr>
        <w:t>（项目名称）</w:t>
      </w:r>
      <w:r>
        <w:rPr>
          <w:rFonts w:hint="eastAsia" w:eastAsia="宋体" w:cs="Times New Roman"/>
          <w:color w:val="auto"/>
          <w:sz w:val="28"/>
          <w:szCs w:val="28"/>
          <w:u w:val="single" w:color="auto"/>
          <w:lang w:eastAsia="zh-CN"/>
        </w:rPr>
        <w:t>□</w:t>
      </w:r>
      <w:r>
        <w:rPr>
          <w:rFonts w:hint="eastAsia" w:eastAsia="宋体" w:cs="Times New Roman"/>
          <w:color w:val="auto"/>
          <w:sz w:val="28"/>
          <w:szCs w:val="28"/>
          <w:u w:val="single" w:color="auto"/>
        </w:rPr>
        <w:t>勘察□设计□勘察设计</w:t>
      </w:r>
      <w:r>
        <w:rPr>
          <w:rFonts w:hint="eastAsia"/>
          <w:b/>
          <w:sz w:val="28"/>
          <w:szCs w:val="28"/>
        </w:rPr>
        <w:t>招标公告</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lang w:val="en-US" w:eastAsia="zh-CN"/>
        </w:rPr>
      </w:pPr>
      <w:bookmarkStart w:id="59" w:name="_Toc1642925766"/>
      <w:bookmarkStart w:id="60" w:name="_Toc717345270"/>
      <w:bookmarkStart w:id="61" w:name="_Toc7186458"/>
      <w:bookmarkStart w:id="62" w:name="_Toc146783441"/>
      <w:bookmarkStart w:id="63" w:name="_Toc1006716847"/>
      <w:bookmarkStart w:id="64" w:name="_Toc14929"/>
      <w:bookmarkStart w:id="65" w:name="_Toc220597936"/>
      <w:bookmarkStart w:id="66" w:name="_Toc511396022"/>
      <w:bookmarkStart w:id="67" w:name="_Toc1158904792"/>
      <w:bookmarkStart w:id="68" w:name="_Toc31568"/>
      <w:bookmarkStart w:id="69" w:name="_Toc9006"/>
      <w:bookmarkStart w:id="70" w:name="_Toc346492066"/>
      <w:bookmarkStart w:id="71" w:name="_Toc516822972"/>
      <w:bookmarkStart w:id="72" w:name="_Toc991332741"/>
      <w:bookmarkStart w:id="73" w:name="_Toc15594"/>
      <w:bookmarkStart w:id="74" w:name="_Toc14986"/>
      <w:bookmarkStart w:id="75" w:name="_Toc15606"/>
      <w:bookmarkStart w:id="76" w:name="_Toc6391"/>
      <w:bookmarkStart w:id="77" w:name="_Toc515440732"/>
      <w:bookmarkStart w:id="78" w:name="_Toc1545956209"/>
      <w:bookmarkStart w:id="79" w:name="_Toc712492279"/>
      <w:bookmarkStart w:id="80" w:name="_Toc1865020842"/>
      <w:bookmarkStart w:id="81" w:name="_Toc1016938813"/>
      <w:bookmarkStart w:id="82" w:name="_Toc1275712485"/>
      <w:bookmarkStart w:id="83" w:name="_Toc1718893080"/>
      <w:bookmarkStart w:id="84" w:name="_Toc14688"/>
      <w:r>
        <w:rPr>
          <w:rFonts w:hint="eastAsia" w:asciiTheme="minorEastAsia" w:hAnsiTheme="minorEastAsia" w:eastAsiaTheme="minorEastAsia" w:cstheme="minorEastAsia"/>
          <w:sz w:val="21"/>
          <w:szCs w:val="21"/>
        </w:rPr>
        <w:t>1. 招标条件</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hint="eastAsia" w:asciiTheme="minorEastAsia" w:hAnsiTheme="minorEastAsia" w:eastAsiaTheme="minorEastAsia" w:cstheme="minorEastAsia"/>
          <w:sz w:val="21"/>
          <w:szCs w:val="21"/>
          <w:lang w:val="en-US" w:eastAsia="zh-CN"/>
        </w:rPr>
        <w:t xml:space="preserve">  </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本招标项目</w:t>
      </w:r>
      <w:r>
        <w:rPr>
          <w:rFonts w:hint="eastAsia" w:asciiTheme="minorEastAsia" w:hAnsiTheme="minorEastAsia" w:eastAsiaTheme="minorEastAsia" w:cstheme="minorEastAsia"/>
          <w:color w:val="auto"/>
          <w:sz w:val="21"/>
          <w:szCs w:val="21"/>
          <w:u w:val="single" w:color="auto"/>
          <w:lang w:val="en-US" w:eastAsia="zh-CN"/>
        </w:rPr>
        <w:t xml:space="preserve">    （项目名称）</w:t>
      </w:r>
      <w:r>
        <w:rPr>
          <w:rFonts w:hint="eastAsia" w:asciiTheme="minorEastAsia" w:hAnsiTheme="minorEastAsia" w:eastAsiaTheme="minorEastAsia" w:cstheme="minorEastAsia"/>
          <w:sz w:val="21"/>
          <w:szCs w:val="21"/>
        </w:rPr>
        <w:t>已由</w:t>
      </w:r>
      <w:r>
        <w:rPr>
          <w:rFonts w:hint="eastAsia" w:asciiTheme="minorEastAsia" w:hAnsiTheme="minorEastAsia" w:eastAsiaTheme="minorEastAsia" w:cstheme="minorEastAsia"/>
          <w:color w:val="auto"/>
          <w:sz w:val="21"/>
          <w:szCs w:val="21"/>
          <w:u w:val="single" w:color="auto"/>
        </w:rPr>
        <w:t xml:space="preserve">     （项目审批、核准或备案机关名称）</w:t>
      </w:r>
      <w:r>
        <w:rPr>
          <w:rFonts w:hint="eastAsia" w:asciiTheme="minorEastAsia" w:hAnsiTheme="minorEastAsia" w:eastAsiaTheme="minorEastAsia" w:cstheme="minorEastAsia"/>
          <w:sz w:val="21"/>
          <w:szCs w:val="21"/>
        </w:rPr>
        <w:t>以</w:t>
      </w:r>
      <w:r>
        <w:rPr>
          <w:rFonts w:hint="eastAsia" w:asciiTheme="minorEastAsia" w:hAnsiTheme="minorEastAsia" w:eastAsiaTheme="minorEastAsia" w:cstheme="minorEastAsia"/>
          <w:color w:val="auto"/>
          <w:sz w:val="21"/>
          <w:szCs w:val="21"/>
          <w:u w:val="single" w:color="auto"/>
        </w:rPr>
        <w:t xml:space="preserve">  </w:t>
      </w:r>
      <w:r>
        <w:rPr>
          <w:rFonts w:hint="eastAsia" w:asciiTheme="minorEastAsia" w:hAnsiTheme="minorEastAsia" w:eastAsiaTheme="minorEastAsia" w:cstheme="minorEastAsia"/>
          <w:color w:val="auto"/>
          <w:sz w:val="21"/>
          <w:szCs w:val="21"/>
          <w:u w:val="single" w:color="auto"/>
          <w:lang w:val="en-US" w:eastAsia="zh-CN"/>
        </w:rPr>
        <w:t xml:space="preserve">  </w:t>
      </w:r>
      <w:r>
        <w:rPr>
          <w:rFonts w:hint="eastAsia" w:asciiTheme="minorEastAsia" w:hAnsiTheme="minorEastAsia" w:eastAsiaTheme="minorEastAsia" w:cstheme="minorEastAsia"/>
          <w:color w:val="auto"/>
          <w:sz w:val="21"/>
          <w:szCs w:val="21"/>
          <w:u w:val="single" w:color="auto"/>
        </w:rPr>
        <w:t xml:space="preserve">  （批文名称及编号）</w:t>
      </w:r>
      <w:r>
        <w:rPr>
          <w:rFonts w:hint="eastAsia" w:asciiTheme="minorEastAsia" w:hAnsiTheme="minorEastAsia" w:eastAsiaTheme="minorEastAsia" w:cstheme="minorEastAsia"/>
          <w:sz w:val="21"/>
          <w:szCs w:val="21"/>
        </w:rPr>
        <w:t>批准建设，项目业主为</w:t>
      </w:r>
      <w:r>
        <w:rPr>
          <w:rFonts w:hint="eastAsia" w:asciiTheme="minorEastAsia" w:hAnsiTheme="minorEastAsia" w:eastAsiaTheme="minorEastAsia" w:cstheme="minorEastAsia"/>
          <w:color w:val="auto"/>
          <w:sz w:val="21"/>
          <w:szCs w:val="21"/>
          <w:u w:val="single" w:color="auto"/>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none"/>
          <w:lang w:val="en-US" w:eastAsia="zh-CN"/>
        </w:rPr>
        <w:t>，</w:t>
      </w:r>
      <w:r>
        <w:rPr>
          <w:rFonts w:hint="eastAsia" w:asciiTheme="minorEastAsia" w:hAnsiTheme="minorEastAsia" w:eastAsiaTheme="minorEastAsia" w:cstheme="minorEastAsia"/>
          <w:sz w:val="21"/>
          <w:szCs w:val="21"/>
        </w:rPr>
        <w:t>建设资金来自</w:t>
      </w:r>
      <w:r>
        <w:rPr>
          <w:rFonts w:hint="eastAsia" w:asciiTheme="minorEastAsia" w:hAnsiTheme="minorEastAsia" w:eastAsiaTheme="minorEastAsia" w:cstheme="minorEastAsia"/>
          <w:color w:val="auto"/>
          <w:sz w:val="21"/>
          <w:szCs w:val="21"/>
          <w:u w:val="single" w:color="auto"/>
        </w:rPr>
        <w:t xml:space="preserve">  （资金来源</w:t>
      </w:r>
      <w:r>
        <w:rPr>
          <w:rFonts w:hint="eastAsia" w:asciiTheme="minorEastAsia" w:hAnsiTheme="minorEastAsia" w:eastAsiaTheme="minorEastAsia" w:cstheme="minorEastAsia"/>
          <w:color w:val="auto"/>
          <w:sz w:val="21"/>
          <w:szCs w:val="21"/>
          <w:u w:val="single" w:color="auto"/>
          <w:lang w:val="en-US" w:eastAsia="zh-CN"/>
        </w:rPr>
        <w:t>以项目实际阶段的情况为准</w:t>
      </w:r>
      <w:r>
        <w:rPr>
          <w:rFonts w:hint="eastAsia" w:asciiTheme="minorEastAsia" w:hAnsiTheme="minorEastAsia" w:eastAsiaTheme="minorEastAsia" w:cstheme="minorEastAsia"/>
          <w:color w:val="auto"/>
          <w:sz w:val="21"/>
          <w:szCs w:val="21"/>
          <w:u w:val="single" w:color="auto"/>
        </w:rPr>
        <w:t>）</w:t>
      </w:r>
      <w:r>
        <w:rPr>
          <w:rFonts w:hint="eastAsia" w:asciiTheme="minorEastAsia" w:hAnsiTheme="minorEastAsia" w:eastAsiaTheme="minorEastAsia" w:cstheme="minorEastAsia"/>
          <w:sz w:val="21"/>
          <w:szCs w:val="21"/>
        </w:rPr>
        <w:t>，出资比例为</w:t>
      </w:r>
      <w:r>
        <w:rPr>
          <w:rFonts w:hint="eastAsia" w:asciiTheme="minorEastAsia" w:hAnsiTheme="minorEastAsia" w:eastAsiaTheme="minorEastAsia" w:cstheme="minorEastAsia"/>
          <w:color w:val="auto"/>
          <w:sz w:val="21"/>
          <w:szCs w:val="21"/>
          <w:u w:val="single" w:color="auto"/>
        </w:rPr>
        <w:t xml:space="preserve">        </w:t>
      </w:r>
      <w:r>
        <w:rPr>
          <w:rFonts w:hint="eastAsia" w:asciiTheme="minorEastAsia" w:hAnsiTheme="minorEastAsia" w:eastAsiaTheme="minorEastAsia" w:cstheme="minorEastAsia"/>
          <w:sz w:val="21"/>
          <w:szCs w:val="21"/>
        </w:rPr>
        <w:t>，招标人为</w:t>
      </w:r>
      <w:r>
        <w:rPr>
          <w:rFonts w:hint="eastAsia" w:asciiTheme="minorEastAsia" w:hAnsiTheme="minorEastAsia" w:eastAsiaTheme="minorEastAsia" w:cstheme="minorEastAsia"/>
          <w:color w:val="auto"/>
          <w:sz w:val="21"/>
          <w:szCs w:val="21"/>
          <w:u w:val="single" w:color="auto"/>
        </w:rPr>
        <w:t xml:space="preserve">        </w:t>
      </w:r>
      <w:r>
        <w:rPr>
          <w:rFonts w:hint="eastAsia" w:asciiTheme="minorEastAsia" w:hAnsiTheme="minorEastAsia" w:eastAsiaTheme="minorEastAsia" w:cstheme="minorEastAsia"/>
          <w:sz w:val="21"/>
          <w:szCs w:val="21"/>
        </w:rPr>
        <w:t>，招标代理</w:t>
      </w:r>
      <w:r>
        <w:rPr>
          <w:rFonts w:hint="eastAsia" w:asciiTheme="minorEastAsia" w:hAnsiTheme="minorEastAsia" w:eastAsiaTheme="minorEastAsia" w:cstheme="minorEastAsia"/>
          <w:sz w:val="21"/>
          <w:szCs w:val="21"/>
          <w:lang w:val="en-US" w:eastAsia="zh-CN"/>
        </w:rPr>
        <w:t>机构</w:t>
      </w:r>
      <w:r>
        <w:rPr>
          <w:rFonts w:hint="eastAsia" w:asciiTheme="minorEastAsia" w:hAnsiTheme="minorEastAsia" w:eastAsiaTheme="minorEastAsia" w:cstheme="minorEastAsia"/>
          <w:sz w:val="21"/>
          <w:szCs w:val="21"/>
        </w:rPr>
        <w:t>为</w:t>
      </w:r>
      <w:r>
        <w:rPr>
          <w:rFonts w:hint="eastAsia" w:asciiTheme="minorEastAsia" w:hAnsiTheme="minorEastAsia" w:eastAsiaTheme="minorEastAsia" w:cstheme="minorEastAsia"/>
          <w:color w:val="auto"/>
          <w:sz w:val="21"/>
          <w:szCs w:val="21"/>
          <w:u w:val="single" w:color="auto"/>
        </w:rPr>
        <w:t xml:space="preserve">        </w:t>
      </w:r>
      <w:r>
        <w:rPr>
          <w:rFonts w:hint="eastAsia" w:asciiTheme="minorEastAsia" w:hAnsiTheme="minorEastAsia" w:eastAsiaTheme="minorEastAsia" w:cstheme="minorEastAsia"/>
          <w:sz w:val="21"/>
          <w:szCs w:val="21"/>
        </w:rPr>
        <w:t>。项目已具备招标条件，现对本项目进行</w:t>
      </w:r>
      <w:r>
        <w:rPr>
          <w:rFonts w:hint="eastAsia" w:asciiTheme="minorEastAsia" w:hAnsiTheme="minorEastAsia" w:eastAsiaTheme="minorEastAsia" w:cstheme="minorEastAsia"/>
          <w:sz w:val="21"/>
          <w:szCs w:val="21"/>
          <w:lang w:val="en-US"/>
        </w:rPr>
        <w:t>公开</w:t>
      </w:r>
      <w:r>
        <w:rPr>
          <w:rFonts w:hint="eastAsia" w:asciiTheme="minorEastAsia" w:hAnsiTheme="minorEastAsia" w:eastAsiaTheme="minorEastAsia" w:cstheme="minorEastAsia"/>
          <w:sz w:val="21"/>
          <w:szCs w:val="21"/>
        </w:rPr>
        <w:t>招标。</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85" w:name="_Toc3360"/>
      <w:bookmarkStart w:id="86" w:name="_Toc26318"/>
      <w:bookmarkStart w:id="87" w:name="_Toc1485976116"/>
      <w:bookmarkStart w:id="88" w:name="_Toc5396"/>
      <w:bookmarkStart w:id="89" w:name="_Toc516822973"/>
      <w:bookmarkStart w:id="90" w:name="_Toc15093"/>
      <w:bookmarkStart w:id="91" w:name="_Toc7012"/>
      <w:bookmarkStart w:id="92" w:name="_Toc2013876463"/>
      <w:bookmarkStart w:id="93" w:name="_Toc423003747"/>
      <w:bookmarkStart w:id="94" w:name="_Toc29082"/>
      <w:bookmarkStart w:id="95" w:name="_Toc2015767265"/>
      <w:bookmarkStart w:id="96" w:name="_Toc308616036"/>
      <w:bookmarkStart w:id="97" w:name="_Toc36160854"/>
      <w:bookmarkStart w:id="98" w:name="_Toc515440733"/>
      <w:bookmarkStart w:id="99" w:name="_Toc733979882"/>
      <w:bookmarkStart w:id="100" w:name="_Toc488917481"/>
      <w:bookmarkStart w:id="101" w:name="_Toc7186459"/>
      <w:bookmarkStart w:id="102" w:name="_Toc1663986245"/>
      <w:bookmarkStart w:id="103" w:name="_Toc511396023"/>
      <w:bookmarkStart w:id="104" w:name="_Toc481359610"/>
      <w:bookmarkStart w:id="105" w:name="_Toc1151244561"/>
      <w:bookmarkStart w:id="106" w:name="_Toc1678066131"/>
      <w:bookmarkStart w:id="107" w:name="_Toc1032735630"/>
      <w:bookmarkStart w:id="108" w:name="_Toc23021"/>
      <w:bookmarkStart w:id="109" w:name="_Toc448758632"/>
      <w:bookmarkStart w:id="110" w:name="_Toc4188"/>
      <w:r>
        <w:rPr>
          <w:rFonts w:hint="eastAsia" w:asciiTheme="minorEastAsia" w:hAnsiTheme="minorEastAsia" w:eastAsiaTheme="minorEastAsia" w:cstheme="minorEastAsia"/>
          <w:sz w:val="21"/>
          <w:szCs w:val="21"/>
        </w:rPr>
        <w:t>2. 项目概况与招标范围</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 建设地点：</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 项目规模：</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u w:val="single" w:color="auto"/>
          <w:lang w:val="en-US" w:eastAsia="zh-CN"/>
        </w:rPr>
        <w:t xml:space="preserve">    </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rPr>
        <w:t xml:space="preserve">2.3 </w:t>
      </w:r>
      <w:r>
        <w:rPr>
          <w:rFonts w:hint="eastAsia" w:asciiTheme="minorEastAsia" w:hAnsiTheme="minorEastAsia" w:eastAsiaTheme="minorEastAsia" w:cstheme="minorEastAsia"/>
          <w:sz w:val="21"/>
          <w:szCs w:val="21"/>
          <w:highlight w:val="none"/>
        </w:rPr>
        <w:t>招标范围和内容：</w:t>
      </w:r>
      <w:r>
        <w:rPr>
          <w:rFonts w:hint="eastAsia" w:asciiTheme="minorEastAsia" w:hAnsiTheme="minorEastAsia" w:eastAsiaTheme="minorEastAsia" w:cstheme="minorEastAsia"/>
          <w:sz w:val="21"/>
          <w:szCs w:val="21"/>
          <w:highlight w:val="none"/>
          <w:u w:val="single" w:color="auto"/>
        </w:rPr>
        <w:t xml:space="preserve">                            </w:t>
      </w:r>
      <w:r>
        <w:rPr>
          <w:rFonts w:hint="eastAsia" w:asciiTheme="minorEastAsia" w:hAnsiTheme="minorEastAsia" w:eastAsiaTheme="minorEastAsia" w:cstheme="minorEastAsia"/>
          <w:sz w:val="21"/>
          <w:szCs w:val="21"/>
          <w:highlight w:val="none"/>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 最高控制价：</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 质量标准：</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 服务期限：</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日历天，其中各关键节点的工期要求：</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111" w:name="_Toc511396024"/>
      <w:bookmarkStart w:id="112" w:name="_Toc2084768481"/>
      <w:bookmarkStart w:id="113" w:name="_Toc8956"/>
      <w:bookmarkStart w:id="114" w:name="_Toc853808406"/>
      <w:bookmarkStart w:id="115" w:name="_Toc11437"/>
      <w:bookmarkStart w:id="116" w:name="_Toc516822974"/>
      <w:bookmarkStart w:id="117" w:name="_Toc139677257"/>
      <w:bookmarkStart w:id="118" w:name="_Toc515440734"/>
      <w:bookmarkStart w:id="119" w:name="_Toc7186460"/>
      <w:bookmarkStart w:id="120" w:name="_Toc17601077"/>
      <w:bookmarkStart w:id="121" w:name="_Toc23401"/>
      <w:bookmarkStart w:id="122" w:name="_Toc21165"/>
      <w:bookmarkStart w:id="123" w:name="_Toc963669745"/>
      <w:bookmarkStart w:id="124" w:name="_Toc731953274"/>
      <w:bookmarkStart w:id="125" w:name="_Toc354727666"/>
      <w:bookmarkStart w:id="126" w:name="_Toc323759760"/>
      <w:bookmarkStart w:id="127" w:name="_Toc736709547"/>
      <w:bookmarkStart w:id="128" w:name="_Toc640067021"/>
      <w:bookmarkStart w:id="129" w:name="_Toc1106"/>
      <w:bookmarkStart w:id="130" w:name="_Toc26529"/>
      <w:bookmarkStart w:id="131" w:name="_Toc28027"/>
      <w:bookmarkStart w:id="132" w:name="_Toc7756"/>
      <w:bookmarkStart w:id="133" w:name="_Toc298407783"/>
      <w:bookmarkStart w:id="134" w:name="_Toc1253104259"/>
      <w:bookmarkStart w:id="135" w:name="_Toc1224898356"/>
      <w:bookmarkStart w:id="136" w:name="_Toc1713250649"/>
      <w:r>
        <w:rPr>
          <w:rFonts w:hint="eastAsia" w:asciiTheme="minorEastAsia" w:hAnsiTheme="minorEastAsia" w:eastAsiaTheme="minorEastAsia" w:cstheme="minorEastAsia"/>
          <w:sz w:val="21"/>
          <w:szCs w:val="21"/>
        </w:rPr>
        <w:t>3. 投标人资格要求</w:t>
      </w:r>
      <w:bookmarkEnd w:id="111"/>
      <w:r>
        <w:rPr>
          <w:rFonts w:hint="eastAsia" w:asciiTheme="minorEastAsia" w:hAnsiTheme="minorEastAsia" w:eastAsiaTheme="minorEastAsia" w:cstheme="minorEastAsia"/>
          <w:sz w:val="21"/>
          <w:szCs w:val="21"/>
        </w:rPr>
        <w:t>及审查办法</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 本招标项目要求投标人须具备有效的不低于</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u w:val="single" w:color="auto"/>
          <w:lang w:val="en-US" w:eastAsia="zh-CN"/>
        </w:rPr>
        <w:t xml:space="preserve">    </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资质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并在人员、设备、资金等方面具有相应的服务能力。</w:t>
      </w:r>
    </w:p>
    <w:p>
      <w:pPr>
        <w:widowControl/>
        <w:shd w:val="clear" w:color="auto" w:fill="FFFFFF"/>
        <w:snapToGrid w:val="0"/>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highlight w:val="none"/>
        </w:rPr>
        <w:t>3.2 本</w:t>
      </w:r>
      <w:r>
        <w:rPr>
          <w:rFonts w:hint="eastAsia" w:asciiTheme="minorEastAsia" w:hAnsiTheme="minorEastAsia" w:eastAsiaTheme="minorEastAsia" w:cstheme="minorEastAsia"/>
          <w:sz w:val="21"/>
          <w:szCs w:val="21"/>
        </w:rPr>
        <w:t>招标项目</w:t>
      </w:r>
      <w:r>
        <w:rPr>
          <w:rFonts w:hint="eastAsia" w:asciiTheme="minorEastAsia" w:hAnsiTheme="minorEastAsia" w:eastAsiaTheme="minorEastAsia" w:cstheme="minorEastAsia"/>
          <w:sz w:val="21"/>
          <w:szCs w:val="21"/>
          <w:u w:val="single" w:color="auto"/>
          <w:lang w:eastAsia="zh-Hans"/>
        </w:rPr>
        <w:t xml:space="preserve">  </w:t>
      </w:r>
      <w:r>
        <w:rPr>
          <w:rFonts w:hint="eastAsia" w:asciiTheme="minorEastAsia" w:hAnsiTheme="minorEastAsia" w:eastAsiaTheme="minorEastAsia" w:cstheme="minorEastAsia"/>
          <w:sz w:val="21"/>
          <w:szCs w:val="21"/>
          <w:u w:val="single" w:color="auto"/>
          <w:lang w:val="en-US" w:eastAsia="zh-CN"/>
        </w:rPr>
        <w:t xml:space="preserve">         </w:t>
      </w:r>
      <w:r>
        <w:rPr>
          <w:rFonts w:hint="eastAsia" w:asciiTheme="minorEastAsia" w:hAnsiTheme="minorEastAsia" w:eastAsiaTheme="minorEastAsia" w:cstheme="minorEastAsia"/>
          <w:sz w:val="21"/>
          <w:szCs w:val="21"/>
          <w:u w:val="single" w:color="auto"/>
          <w:lang w:eastAsia="zh-Hans"/>
        </w:rPr>
        <w:t xml:space="preserve"> （</w:t>
      </w:r>
      <w:r>
        <w:rPr>
          <w:rFonts w:hint="eastAsia" w:asciiTheme="minorEastAsia" w:hAnsiTheme="minorEastAsia" w:eastAsiaTheme="minorEastAsia" w:cstheme="minorEastAsia"/>
          <w:sz w:val="21"/>
          <w:szCs w:val="21"/>
          <w:u w:val="single" w:color="auto"/>
          <w:lang w:val="en-US" w:eastAsia="zh-Hans"/>
        </w:rPr>
        <w:t>接受或不接受）</w:t>
      </w:r>
      <w:r>
        <w:rPr>
          <w:rFonts w:hint="eastAsia" w:asciiTheme="minorEastAsia" w:hAnsiTheme="minorEastAsia" w:eastAsiaTheme="minorEastAsia" w:cstheme="minorEastAsia"/>
          <w:sz w:val="21"/>
          <w:szCs w:val="21"/>
        </w:rPr>
        <w:t>联合体投标。联合体投标的，应满足下列要求：</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u w:val="single" w:color="auto"/>
          <w:lang w:val="en-US" w:eastAsia="zh-CN"/>
        </w:rPr>
        <w:t xml:space="preserve">         </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 本招标项目评标办法采用</w:t>
      </w:r>
      <w:r>
        <w:rPr>
          <w:rFonts w:hint="eastAsia" w:asciiTheme="minorEastAsia" w:hAnsiTheme="minorEastAsia" w:eastAsiaTheme="minorEastAsia" w:cstheme="minorEastAsia"/>
          <w:sz w:val="21"/>
          <w:szCs w:val="21"/>
          <w:u w:val="single"/>
          <w:lang w:val="en-US" w:eastAsia="zh-CN"/>
        </w:rPr>
        <w:t xml:space="preserve">             （综合评估法Ⅰ类/综合评估法Ⅱ类）</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3.4本招标项目采用</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u w:val="single"/>
          <w:lang w:val="en-US" w:eastAsia="zh-Hans"/>
        </w:rPr>
        <w:t>资格预审</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u w:val="single"/>
        </w:rPr>
        <w:t>资格后审</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rPr>
        <w:t>方式对投标人的资格进行审查。</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137" w:name="_Toc1163165877"/>
      <w:bookmarkStart w:id="138" w:name="_Toc516822976"/>
      <w:bookmarkStart w:id="139" w:name="_Toc18788"/>
      <w:bookmarkStart w:id="140" w:name="_Toc4414"/>
      <w:bookmarkStart w:id="141" w:name="_Toc679322035"/>
      <w:bookmarkStart w:id="142" w:name="_Toc15026"/>
      <w:bookmarkStart w:id="143" w:name="_Toc1473407668"/>
      <w:bookmarkStart w:id="144" w:name="_Toc15610"/>
      <w:bookmarkStart w:id="145" w:name="_Toc1941978201"/>
      <w:bookmarkStart w:id="146" w:name="_Toc515440736"/>
      <w:bookmarkStart w:id="147" w:name="_Toc7186462"/>
      <w:bookmarkStart w:id="148" w:name="_Toc963018904"/>
      <w:bookmarkStart w:id="149" w:name="_Toc28439"/>
      <w:bookmarkStart w:id="150" w:name="_Toc13009"/>
      <w:bookmarkStart w:id="151" w:name="_Toc1677890171"/>
      <w:bookmarkStart w:id="152" w:name="_Toc479495451"/>
      <w:bookmarkStart w:id="153" w:name="_Toc1243023310"/>
      <w:bookmarkStart w:id="154" w:name="_Toc1627339563"/>
      <w:bookmarkStart w:id="155" w:name="_Toc511396026"/>
      <w:bookmarkStart w:id="156" w:name="_Toc18912"/>
      <w:bookmarkStart w:id="157" w:name="_Toc371"/>
      <w:bookmarkStart w:id="158" w:name="_Toc1590267314"/>
      <w:bookmarkStart w:id="159" w:name="_Toc1583806891"/>
      <w:bookmarkStart w:id="160" w:name="_Toc441792229"/>
      <w:bookmarkStart w:id="161" w:name="_Toc944215454"/>
      <w:bookmarkStart w:id="162" w:name="_Toc1546536866"/>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 招标文件的获取</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widowControl/>
        <w:shd w:val="clear" w:color="auto" w:fill="FFFFFF"/>
        <w:snapToGrid w:val="0"/>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.1 凡有意参加投标者，请于</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时至</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时</w:t>
      </w:r>
      <w:r>
        <w:rPr>
          <w:rFonts w:hint="eastAsia" w:asciiTheme="minorEastAsia" w:hAnsiTheme="minorEastAsia" w:eastAsiaTheme="minorEastAsia" w:cstheme="minorEastAsia"/>
          <w:sz w:val="21"/>
          <w:szCs w:val="21"/>
          <w:lang w:eastAsia="zh-Hans"/>
        </w:rPr>
        <w:t>（</w:t>
      </w:r>
      <w:r>
        <w:rPr>
          <w:rFonts w:hint="eastAsia" w:asciiTheme="minorEastAsia" w:hAnsiTheme="minorEastAsia" w:eastAsiaTheme="minorEastAsia" w:cstheme="minorEastAsia"/>
          <w:sz w:val="21"/>
          <w:szCs w:val="21"/>
        </w:rPr>
        <w:t>北京时间，下同</w:t>
      </w:r>
      <w:r>
        <w:rPr>
          <w:rFonts w:hint="eastAsia" w:asciiTheme="minorEastAsia" w:hAnsiTheme="minorEastAsia" w:eastAsiaTheme="minorEastAsia" w:cstheme="minorEastAsia"/>
          <w:sz w:val="21"/>
          <w:szCs w:val="21"/>
          <w:lang w:eastAsia="zh-Hans"/>
        </w:rPr>
        <w:t>）</w:t>
      </w:r>
      <w:r>
        <w:rPr>
          <w:rFonts w:hint="eastAsia" w:asciiTheme="minorEastAsia" w:hAnsiTheme="minorEastAsia" w:eastAsiaTheme="minorEastAsia" w:cstheme="minorEastAsia"/>
          <w:sz w:val="21"/>
          <w:szCs w:val="21"/>
        </w:rPr>
        <w:t>，登录</w:t>
      </w:r>
      <w:r>
        <w:rPr>
          <w:rFonts w:hint="eastAsia" w:asciiTheme="minorEastAsia" w:hAnsiTheme="minorEastAsia" w:eastAsiaTheme="minorEastAsia" w:cstheme="minorEastAsia"/>
          <w:sz w:val="21"/>
          <w:szCs w:val="21"/>
          <w:u w:val="single"/>
        </w:rPr>
        <w:t xml:space="preserve">    （电子招标投标交易平台名称</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u w:val="single"/>
          <w:lang w:val="en-US" w:eastAsia="zh-Hans"/>
        </w:rPr>
        <w:t>网址</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rPr>
        <w:t>下载电子招标文件。</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163" w:name="_Toc928742519"/>
      <w:bookmarkStart w:id="164" w:name="_Toc2021955736"/>
      <w:bookmarkStart w:id="165" w:name="_Toc344307149"/>
      <w:bookmarkStart w:id="166" w:name="_Toc785256098"/>
      <w:bookmarkStart w:id="167" w:name="_Toc1342374793"/>
      <w:bookmarkStart w:id="168" w:name="_Toc1650527221"/>
      <w:bookmarkStart w:id="169" w:name="_Toc771853154"/>
      <w:bookmarkStart w:id="170" w:name="_Toc19892"/>
      <w:bookmarkStart w:id="171" w:name="_Toc982612472"/>
      <w:bookmarkStart w:id="172" w:name="_Toc20667"/>
      <w:bookmarkStart w:id="173" w:name="_Toc1371157101"/>
      <w:bookmarkStart w:id="174" w:name="_Toc1692335240"/>
      <w:bookmarkStart w:id="175" w:name="_Toc41275836"/>
      <w:bookmarkStart w:id="176" w:name="_Toc28807"/>
      <w:bookmarkStart w:id="177" w:name="_Toc5582"/>
      <w:bookmarkStart w:id="178" w:name="_Toc515440737"/>
      <w:bookmarkStart w:id="179" w:name="_Toc21094"/>
      <w:bookmarkStart w:id="180" w:name="_Toc511396027"/>
      <w:bookmarkStart w:id="181" w:name="_Toc4362"/>
      <w:bookmarkStart w:id="182" w:name="_Toc516822977"/>
      <w:bookmarkStart w:id="183" w:name="_Toc28752"/>
      <w:bookmarkStart w:id="184" w:name="_Toc1672467695"/>
      <w:bookmarkStart w:id="185" w:name="_Toc7186463"/>
      <w:bookmarkStart w:id="186" w:name="_Toc1351025124"/>
      <w:bookmarkStart w:id="187" w:name="_Toc28739"/>
      <w:bookmarkStart w:id="188" w:name="_Toc1521401413"/>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投标文件的递交</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.1 投标文件递交的截止时间（投标截止时间，下同）为</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时</w:t>
      </w:r>
      <w:r>
        <w:rPr>
          <w:rFonts w:hint="eastAsia" w:asciiTheme="minorEastAsia" w:hAnsiTheme="minorEastAsia" w:eastAsiaTheme="minorEastAsia" w:cstheme="minorEastAsia"/>
          <w:sz w:val="21"/>
          <w:szCs w:val="21"/>
          <w:u w:val="single" w:color="auto"/>
        </w:rPr>
        <w:t xml:space="preserve">   </w:t>
      </w:r>
      <w:r>
        <w:rPr>
          <w:rFonts w:hint="eastAsia" w:asciiTheme="minorEastAsia" w:hAnsiTheme="minorEastAsia" w:eastAsiaTheme="minorEastAsia" w:cstheme="minorEastAsia"/>
          <w:sz w:val="21"/>
          <w:szCs w:val="21"/>
        </w:rPr>
        <w:t>分，投标人应在截止时间前通过</w:t>
      </w:r>
      <w:r>
        <w:rPr>
          <w:rFonts w:hint="eastAsia" w:asciiTheme="minorEastAsia" w:hAnsiTheme="minorEastAsia" w:eastAsiaTheme="minorEastAsia" w:cstheme="minorEastAsia"/>
          <w:sz w:val="21"/>
          <w:szCs w:val="21"/>
          <w:u w:val="single"/>
        </w:rPr>
        <w:t xml:space="preserve">   （电子招标投标交易平台名称</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u w:val="single"/>
          <w:lang w:val="en-US" w:eastAsia="zh-Hans"/>
        </w:rPr>
        <w:t>网址</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rPr>
        <w:t>递交电子投标文件。</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.2 逾期送达的投标文件，电子招标投标交易平台将予以拒收。</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189" w:name="_Toc1512228271"/>
      <w:bookmarkStart w:id="190" w:name="_Toc1334659337"/>
      <w:bookmarkStart w:id="191" w:name="_Toc511396028"/>
      <w:bookmarkStart w:id="192" w:name="_Toc1734731398"/>
      <w:bookmarkStart w:id="193" w:name="_Toc515440738"/>
      <w:bookmarkStart w:id="194" w:name="_Toc9797"/>
      <w:bookmarkStart w:id="195" w:name="_Toc4500"/>
      <w:bookmarkStart w:id="196" w:name="_Toc9308"/>
      <w:bookmarkStart w:id="197" w:name="_Toc17713"/>
      <w:bookmarkStart w:id="198" w:name="_Toc105763462"/>
      <w:bookmarkStart w:id="199" w:name="_Toc7186464"/>
      <w:bookmarkStart w:id="200" w:name="_Toc390380550"/>
      <w:bookmarkStart w:id="201" w:name="_Toc1977434216"/>
      <w:bookmarkStart w:id="202" w:name="_Toc85757671"/>
      <w:bookmarkStart w:id="203" w:name="_Toc1449308225"/>
      <w:bookmarkStart w:id="204" w:name="_Toc1364735048"/>
      <w:bookmarkStart w:id="205" w:name="_Toc751094282"/>
      <w:bookmarkStart w:id="206" w:name="_Toc1464370437"/>
      <w:bookmarkStart w:id="207" w:name="_Toc516822978"/>
      <w:bookmarkStart w:id="208" w:name="_Toc22536"/>
      <w:bookmarkStart w:id="209" w:name="_Toc8209"/>
      <w:bookmarkStart w:id="210" w:name="_Toc1228824824"/>
      <w:bookmarkStart w:id="211" w:name="_Toc26419"/>
      <w:bookmarkStart w:id="212" w:name="_Toc1804957812"/>
      <w:bookmarkStart w:id="213" w:name="_Toc14859"/>
      <w:bookmarkStart w:id="214" w:name="_Toc618571474"/>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 发布公告的媒介</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本次招标公告同时在</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（发布公告的媒介名称</w:t>
      </w:r>
      <w:r>
        <w:rPr>
          <w:rFonts w:hint="eastAsia" w:asciiTheme="minorEastAsia" w:hAnsiTheme="minorEastAsia" w:eastAsiaTheme="minorEastAsia" w:cstheme="minorEastAsia"/>
          <w:sz w:val="21"/>
          <w:szCs w:val="21"/>
          <w:u w:val="single"/>
          <w:lang w:eastAsia="zh-Hans"/>
        </w:rPr>
        <w:t>、</w:t>
      </w:r>
      <w:r>
        <w:rPr>
          <w:rFonts w:hint="eastAsia" w:asciiTheme="minorEastAsia" w:hAnsiTheme="minorEastAsia" w:eastAsiaTheme="minorEastAsia" w:cstheme="minorEastAsia"/>
          <w:sz w:val="21"/>
          <w:szCs w:val="21"/>
          <w:u w:val="single"/>
          <w:lang w:val="en-US" w:eastAsia="zh-Hans"/>
        </w:rPr>
        <w:t>网址</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rPr>
        <w:t>上发布。</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215" w:name="_Toc21973"/>
      <w:bookmarkStart w:id="216" w:name="_Toc571948762"/>
      <w:bookmarkStart w:id="217" w:name="_Toc32475"/>
      <w:bookmarkStart w:id="218" w:name="_Toc19274"/>
      <w:bookmarkStart w:id="219" w:name="_Toc5718"/>
      <w:bookmarkStart w:id="220" w:name="_Toc279947340"/>
      <w:bookmarkStart w:id="221" w:name="_Toc1152784044"/>
      <w:bookmarkStart w:id="222" w:name="_Toc508583769"/>
      <w:bookmarkStart w:id="223" w:name="_Toc367649360"/>
      <w:bookmarkStart w:id="224" w:name="_Toc580911788"/>
      <w:bookmarkStart w:id="225" w:name="_Toc18783"/>
      <w:bookmarkStart w:id="226" w:name="_Toc1511340039"/>
      <w:bookmarkStart w:id="227" w:name="_Toc551588452"/>
      <w:bookmarkStart w:id="228" w:name="_Toc11662"/>
      <w:bookmarkStart w:id="229" w:name="_Toc28211"/>
      <w:bookmarkStart w:id="230" w:name="_Toc1976601776"/>
      <w:bookmarkStart w:id="231" w:name="_Toc732720508"/>
      <w:bookmarkStart w:id="232" w:name="_Toc362428391"/>
      <w:bookmarkStart w:id="233" w:name="_Toc1392614514"/>
      <w:bookmarkStart w:id="234" w:name="_Toc1763813301"/>
      <w:bookmarkStart w:id="235" w:name="_Toc1597529765"/>
      <w:bookmarkStart w:id="236" w:name="_Toc13504"/>
      <w:bookmarkStart w:id="237" w:name="_Toc563362265"/>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.投标保证金的提交</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.1.投标保证金提交截止时间：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.2.投标保证金提交的金额：</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w:t>
      </w:r>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.3.投标保证金提交的方式：</w:t>
      </w:r>
      <w:r>
        <w:rPr>
          <w:rFonts w:hint="eastAsia" w:asciiTheme="minorEastAsia" w:hAnsiTheme="minorEastAsia" w:eastAsiaTheme="minorEastAsia" w:cstheme="minorEastAsia"/>
          <w:sz w:val="21"/>
          <w:szCs w:val="21"/>
        </w:rPr>
        <w:sym w:font="Wingdings 2" w:char="00A3"/>
      </w:r>
      <w:r>
        <w:rPr>
          <w:rFonts w:hint="eastAsia" w:asciiTheme="minorEastAsia" w:hAnsiTheme="minorEastAsia" w:eastAsiaTheme="minorEastAsia" w:cstheme="minorEastAsia"/>
          <w:sz w:val="21"/>
          <w:szCs w:val="21"/>
        </w:rPr>
        <w:t xml:space="preserve">无要求 □现金 </w:t>
      </w:r>
      <w:r>
        <w:rPr>
          <w:rFonts w:hint="eastAsia" w:asciiTheme="minorEastAsia" w:hAnsiTheme="minorEastAsia" w:eastAsiaTheme="minorEastAsia" w:cstheme="minorEastAsia"/>
          <w:sz w:val="21"/>
          <w:szCs w:val="21"/>
        </w:rPr>
        <w:sym w:font="Wingdings 2" w:char="00A3"/>
      </w:r>
      <w:r>
        <w:rPr>
          <w:rFonts w:hint="eastAsia" w:asciiTheme="minorEastAsia" w:hAnsiTheme="minorEastAsia" w:eastAsiaTheme="minorEastAsia" w:cstheme="minorEastAsia"/>
          <w:sz w:val="21"/>
          <w:szCs w:val="21"/>
        </w:rPr>
        <w:t>电子保函 □其他</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238" w:name="_Toc1321513789"/>
      <w:bookmarkStart w:id="239" w:name="_Toc15742"/>
      <w:bookmarkStart w:id="240" w:name="_Toc6263"/>
      <w:bookmarkStart w:id="241" w:name="_Toc31839"/>
      <w:bookmarkStart w:id="242" w:name="_Toc32399"/>
      <w:bookmarkStart w:id="243" w:name="_Toc545886719"/>
      <w:bookmarkStart w:id="244" w:name="_Toc1842205561"/>
      <w:bookmarkStart w:id="245" w:name="_Toc2085756450"/>
      <w:bookmarkStart w:id="246" w:name="_Toc1162346058"/>
      <w:bookmarkStart w:id="247" w:name="_Toc1070344645"/>
      <w:bookmarkStart w:id="248" w:name="_Toc243964274"/>
      <w:bookmarkStart w:id="249" w:name="_Toc2007692312"/>
      <w:bookmarkStart w:id="250" w:name="_Toc4151"/>
      <w:bookmarkStart w:id="251" w:name="_Toc511396029"/>
      <w:bookmarkStart w:id="252" w:name="_Toc515440739"/>
      <w:bookmarkStart w:id="253" w:name="_Toc782490523"/>
      <w:bookmarkStart w:id="254" w:name="_Toc31211"/>
      <w:bookmarkStart w:id="255" w:name="_Toc772341101"/>
      <w:bookmarkStart w:id="256" w:name="_Toc606038962"/>
      <w:bookmarkStart w:id="257" w:name="_Toc7687"/>
      <w:bookmarkStart w:id="258" w:name="_Toc655458757"/>
      <w:bookmarkStart w:id="259" w:name="_Toc4835"/>
      <w:bookmarkStart w:id="260" w:name="_Toc7186465"/>
      <w:bookmarkStart w:id="261" w:name="_Toc516822979"/>
      <w:bookmarkStart w:id="262" w:name="_Toc174188232"/>
      <w:bookmarkStart w:id="263" w:name="_Toc247868145"/>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 联系方式</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招标人：</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地  址：</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rPr>
        <w:t>，邮    编：</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联系人：</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u w:val="single"/>
          <w:lang w:eastAsia="zh-CN"/>
        </w:rPr>
        <w:t xml:space="preserve"> </w:t>
      </w:r>
      <w:r>
        <w:rPr>
          <w:rFonts w:hint="eastAsia" w:asciiTheme="minorEastAsia" w:hAnsiTheme="minorEastAsia" w:eastAsiaTheme="minorEastAsia" w:cstheme="minorEastAsia"/>
          <w:kern w:val="2"/>
          <w:sz w:val="21"/>
          <w:szCs w:val="21"/>
          <w:u w:val="none"/>
          <w:lang w:eastAsia="zh-CN"/>
        </w:rPr>
        <w:t>，</w:t>
      </w:r>
      <w:r>
        <w:rPr>
          <w:rFonts w:hint="eastAsia" w:asciiTheme="minorEastAsia" w:hAnsiTheme="minorEastAsia" w:eastAsiaTheme="minorEastAsia" w:cstheme="minorEastAsia"/>
          <w:kern w:val="2"/>
          <w:sz w:val="21"/>
          <w:szCs w:val="21"/>
        </w:rPr>
        <w:t>电子邮箱</w:t>
      </w:r>
      <w:r>
        <w:rPr>
          <w:rFonts w:hint="eastAsia" w:asciiTheme="minorEastAsia" w:hAnsiTheme="minorEastAsia" w:eastAsiaTheme="minorEastAsia" w:cstheme="minorEastAsia"/>
          <w:kern w:val="2"/>
          <w:sz w:val="21"/>
          <w:szCs w:val="21"/>
          <w:lang w:eastAsia="zh-CN"/>
        </w:rPr>
        <w:t>：</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电  话：</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rPr>
        <w:t>，传    真：</w:t>
      </w:r>
      <w:r>
        <w:rPr>
          <w:rFonts w:hint="eastAsia" w:asciiTheme="minorEastAsia" w:hAnsiTheme="minorEastAsia" w:eastAsiaTheme="minorEastAsia" w:cstheme="minorEastAsia"/>
          <w:kern w:val="2"/>
          <w:sz w:val="21"/>
          <w:szCs w:val="21"/>
          <w:u w:val="single"/>
        </w:rPr>
        <w:t xml:space="preserve">                </w:t>
      </w:r>
    </w:p>
    <w:p>
      <w:pPr>
        <w:pStyle w:val="7"/>
        <w:snapToGrid w:val="0"/>
        <w:spacing w:before="240"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招标代理机构：</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地  址：</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rPr>
        <w:t>，邮    编：</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none"/>
        </w:rPr>
      </w:pPr>
      <w:r>
        <w:rPr>
          <w:rFonts w:hint="eastAsia" w:asciiTheme="minorEastAsia" w:hAnsiTheme="minorEastAsia" w:eastAsiaTheme="minorEastAsia" w:cstheme="minorEastAsia"/>
          <w:kern w:val="2"/>
          <w:sz w:val="21"/>
          <w:szCs w:val="21"/>
        </w:rPr>
        <w:t>联系人：</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u w:val="none"/>
          <w:lang w:eastAsia="zh-CN"/>
        </w:rPr>
        <w:t>，</w:t>
      </w:r>
      <w:r>
        <w:rPr>
          <w:rFonts w:hint="eastAsia" w:asciiTheme="minorEastAsia" w:hAnsiTheme="minorEastAsia" w:eastAsiaTheme="minorEastAsia" w:cstheme="minorEastAsia"/>
          <w:kern w:val="2"/>
          <w:sz w:val="21"/>
          <w:szCs w:val="21"/>
        </w:rPr>
        <w:t>电子邮箱</w:t>
      </w:r>
      <w:r>
        <w:rPr>
          <w:rFonts w:hint="eastAsia" w:asciiTheme="minorEastAsia" w:hAnsiTheme="minorEastAsia" w:eastAsiaTheme="minorEastAsia" w:cstheme="minorEastAsia"/>
          <w:kern w:val="2"/>
          <w:sz w:val="21"/>
          <w:szCs w:val="21"/>
          <w:lang w:eastAsia="zh-CN"/>
        </w:rPr>
        <w:t>：</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firstLine="420" w:firstLineChars="200"/>
        <w:rPr>
          <w:rFonts w:hint="eastAsia" w:asciiTheme="minorEastAsia" w:hAnsiTheme="minorEastAsia" w:eastAsiaTheme="minorEastAsia" w:cstheme="minorEastAsia"/>
          <w:kern w:val="2"/>
          <w:sz w:val="21"/>
          <w:szCs w:val="21"/>
          <w:u w:val="single"/>
        </w:rPr>
      </w:pPr>
      <w:r>
        <w:rPr>
          <w:rFonts w:hint="eastAsia" w:asciiTheme="minorEastAsia" w:hAnsiTheme="minorEastAsia" w:eastAsiaTheme="minorEastAsia" w:cstheme="minorEastAsia"/>
          <w:kern w:val="2"/>
          <w:sz w:val="21"/>
          <w:szCs w:val="21"/>
        </w:rPr>
        <w:t>电  话：</w:t>
      </w:r>
      <w:r>
        <w:rPr>
          <w:rFonts w:hint="eastAsia" w:asciiTheme="minorEastAsia" w:hAnsiTheme="minorEastAsia" w:eastAsiaTheme="minorEastAsia" w:cstheme="minorEastAsia"/>
          <w:kern w:val="2"/>
          <w:sz w:val="21"/>
          <w:szCs w:val="21"/>
          <w:u w:val="single"/>
        </w:rPr>
        <w:t xml:space="preserve">                            </w:t>
      </w:r>
      <w:r>
        <w:rPr>
          <w:rFonts w:hint="eastAsia" w:asciiTheme="minorEastAsia" w:hAnsiTheme="minorEastAsia" w:eastAsiaTheme="minorEastAsia" w:cstheme="minorEastAsia"/>
          <w:kern w:val="2"/>
          <w:sz w:val="21"/>
          <w:szCs w:val="21"/>
        </w:rPr>
        <w:t>，传    真：</w:t>
      </w:r>
      <w:r>
        <w:rPr>
          <w:rFonts w:hint="eastAsia" w:asciiTheme="minorEastAsia" w:hAnsiTheme="minorEastAsia" w:eastAsiaTheme="minorEastAsia" w:cstheme="minorEastAsia"/>
          <w:kern w:val="2"/>
          <w:sz w:val="21"/>
          <w:szCs w:val="21"/>
          <w:u w:val="single"/>
        </w:rPr>
        <w:t xml:space="preserve">                </w:t>
      </w:r>
    </w:p>
    <w:p>
      <w:pPr>
        <w:pStyle w:val="7"/>
        <w:snapToGrid w:val="0"/>
        <w:spacing w:line="420" w:lineRule="exact"/>
        <w:ind w:left="0" w:leftChars="0" w:firstLine="420" w:firstLineChars="200"/>
        <w:rPr>
          <w:rFonts w:hint="eastAsia" w:asciiTheme="minorEastAsia" w:hAnsiTheme="minorEastAsia" w:eastAsiaTheme="minorEastAsia" w:cstheme="minorEastAsia"/>
          <w:kern w:val="2"/>
          <w:sz w:val="21"/>
          <w:szCs w:val="21"/>
        </w:rPr>
      </w:pPr>
    </w:p>
    <w:p>
      <w:pPr>
        <w:pStyle w:val="7"/>
        <w:snapToGrid w:val="0"/>
        <w:spacing w:line="420" w:lineRule="exact"/>
        <w:rPr>
          <w:rFonts w:hint="eastAsia" w:asciiTheme="minorEastAsia" w:hAnsiTheme="minorEastAsia" w:eastAsiaTheme="minorEastAsia" w:cstheme="minorEastAsia"/>
          <w:kern w:val="2"/>
          <w:sz w:val="21"/>
          <w:szCs w:val="21"/>
          <w:highlight w:val="none"/>
          <w:u w:val="single"/>
        </w:rPr>
      </w:pPr>
      <w:r>
        <w:rPr>
          <w:rFonts w:hint="eastAsia" w:asciiTheme="minorEastAsia" w:hAnsiTheme="minorEastAsia" w:eastAsiaTheme="minorEastAsia" w:cstheme="minorEastAsia"/>
          <w:kern w:val="2"/>
          <w:sz w:val="21"/>
          <w:szCs w:val="21"/>
          <w:highlight w:val="none"/>
        </w:rPr>
        <w:t>招</w:t>
      </w:r>
      <w:r>
        <w:rPr>
          <w:rFonts w:hint="eastAsia" w:asciiTheme="minorEastAsia" w:hAnsiTheme="minorEastAsia" w:eastAsiaTheme="minorEastAsia" w:cstheme="minorEastAsia"/>
          <w:kern w:val="2"/>
          <w:sz w:val="21"/>
          <w:szCs w:val="21"/>
          <w:highlight w:val="none"/>
          <w:lang w:val="en-US" w:eastAsia="zh-Hans"/>
        </w:rPr>
        <w:t>标</w:t>
      </w:r>
      <w:r>
        <w:rPr>
          <w:rFonts w:hint="eastAsia" w:asciiTheme="minorEastAsia" w:hAnsiTheme="minorEastAsia" w:eastAsiaTheme="minorEastAsia" w:cstheme="minorEastAsia"/>
          <w:kern w:val="2"/>
          <w:sz w:val="21"/>
          <w:szCs w:val="21"/>
          <w:highlight w:val="none"/>
        </w:rPr>
        <w:t>投标监督机构名称：</w:t>
      </w:r>
      <w:r>
        <w:rPr>
          <w:rFonts w:hint="eastAsia" w:asciiTheme="minorEastAsia" w:hAnsiTheme="minorEastAsia" w:eastAsiaTheme="minorEastAsia" w:cstheme="minorEastAsia"/>
          <w:kern w:val="2"/>
          <w:sz w:val="21"/>
          <w:szCs w:val="21"/>
          <w:highlight w:val="none"/>
          <w:u w:val="single"/>
        </w:rPr>
        <w:t xml:space="preserve">                               </w:t>
      </w:r>
    </w:p>
    <w:p>
      <w:pPr>
        <w:pStyle w:val="7"/>
        <w:snapToGrid w:val="0"/>
        <w:spacing w:line="420" w:lineRule="exact"/>
        <w:rPr>
          <w:rFonts w:hint="eastAsia" w:asciiTheme="minorEastAsia" w:hAnsiTheme="minorEastAsia" w:eastAsiaTheme="minorEastAsia" w:cstheme="minorEastAsia"/>
          <w:kern w:val="2"/>
          <w:sz w:val="21"/>
          <w:szCs w:val="21"/>
          <w:highlight w:val="none"/>
          <w:u w:val="single"/>
        </w:rPr>
      </w:pPr>
      <w:r>
        <w:rPr>
          <w:rFonts w:hint="eastAsia" w:asciiTheme="minorEastAsia" w:hAnsiTheme="minorEastAsia" w:eastAsiaTheme="minorEastAsia" w:cstheme="minorEastAsia"/>
          <w:kern w:val="2"/>
          <w:sz w:val="21"/>
          <w:szCs w:val="21"/>
          <w:highlight w:val="none"/>
        </w:rPr>
        <w:t>地    址：</w:t>
      </w:r>
      <w:r>
        <w:rPr>
          <w:rFonts w:hint="eastAsia" w:asciiTheme="minorEastAsia" w:hAnsiTheme="minorEastAsia" w:eastAsiaTheme="minorEastAsia" w:cstheme="minorEastAsia"/>
          <w:kern w:val="2"/>
          <w:sz w:val="21"/>
          <w:szCs w:val="21"/>
          <w:highlight w:val="none"/>
          <w:u w:val="single"/>
        </w:rPr>
        <w:t xml:space="preserve">                                           </w:t>
      </w:r>
    </w:p>
    <w:p>
      <w:pPr>
        <w:pStyle w:val="7"/>
        <w:snapToGrid w:val="0"/>
        <w:spacing w:line="420" w:lineRule="exact"/>
        <w:rPr>
          <w:rFonts w:hint="eastAsia" w:asciiTheme="minorEastAsia" w:hAnsiTheme="minorEastAsia" w:eastAsiaTheme="minorEastAsia" w:cstheme="minorEastAsia"/>
          <w:kern w:val="2"/>
          <w:sz w:val="21"/>
          <w:szCs w:val="21"/>
          <w:highlight w:val="none"/>
          <w:u w:val="single"/>
        </w:rPr>
      </w:pPr>
      <w:r>
        <w:rPr>
          <w:rFonts w:hint="eastAsia" w:asciiTheme="minorEastAsia" w:hAnsiTheme="minorEastAsia" w:eastAsiaTheme="minorEastAsia" w:cstheme="minorEastAsia"/>
          <w:kern w:val="2"/>
          <w:sz w:val="21"/>
          <w:szCs w:val="21"/>
          <w:highlight w:val="none"/>
        </w:rPr>
        <w:t>联系电话：</w:t>
      </w:r>
      <w:r>
        <w:rPr>
          <w:rFonts w:hint="eastAsia" w:asciiTheme="minorEastAsia" w:hAnsiTheme="minorEastAsia" w:eastAsiaTheme="minorEastAsia" w:cstheme="minorEastAsia"/>
          <w:kern w:val="2"/>
          <w:sz w:val="21"/>
          <w:szCs w:val="21"/>
          <w:highlight w:val="none"/>
          <w:u w:val="single"/>
        </w:rPr>
        <w:t xml:space="preserve">                                           </w:t>
      </w:r>
    </w:p>
    <w:p>
      <w:pPr>
        <w:pStyle w:val="3"/>
        <w:adjustRightInd w:val="0"/>
        <w:snapToGrid w:val="0"/>
        <w:spacing w:before="0" w:after="0" w:line="520" w:lineRule="exact"/>
        <w:ind w:firstLine="422" w:firstLineChars="200"/>
        <w:rPr>
          <w:rFonts w:hint="eastAsia" w:asciiTheme="minorEastAsia" w:hAnsiTheme="minorEastAsia" w:eastAsiaTheme="minorEastAsia" w:cstheme="minorEastAsia"/>
          <w:sz w:val="21"/>
          <w:szCs w:val="21"/>
        </w:rPr>
      </w:pPr>
      <w:bookmarkStart w:id="264" w:name="_Toc6555"/>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、异议提出的渠道</w:t>
      </w:r>
      <w:bookmarkEnd w:id="264"/>
    </w:p>
    <w:p>
      <w:pPr>
        <w:widowControl/>
        <w:shd w:val="clear" w:color="auto" w:fill="FFFFFF"/>
        <w:snapToGrid w:val="0"/>
        <w:ind w:firstLine="420" w:firstLineChars="20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受理部门：</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受理电话：</w:t>
      </w:r>
      <w:r>
        <w:rPr>
          <w:rFonts w:hint="eastAsia" w:asciiTheme="minorEastAsia" w:hAnsiTheme="minorEastAsia" w:eastAsiaTheme="minorEastAsia" w:cstheme="minorEastAsia"/>
          <w:sz w:val="21"/>
          <w:szCs w:val="21"/>
          <w:u w:val="single"/>
          <w:lang w:val="en-US" w:eastAsia="zh-CN"/>
        </w:rPr>
        <w:t xml:space="preserve">              </w:t>
      </w:r>
    </w:p>
    <w:p>
      <w:pPr>
        <w:widowControl/>
        <w:shd w:val="clear" w:color="auto" w:fill="FFFFFF"/>
        <w:snapToGrid w:val="0"/>
        <w:ind w:firstLine="420" w:firstLineChars="200"/>
        <w:jc w:val="right"/>
        <w:rPr>
          <w:rFonts w:hint="default" w:eastAsia="宋体" w:cs="Times New Roman"/>
          <w:szCs w:val="21"/>
          <w:u w:val="single"/>
        </w:rPr>
      </w:pPr>
    </w:p>
    <w:p>
      <w:pPr>
        <w:widowControl/>
        <w:shd w:val="clear" w:color="auto" w:fill="FFFFFF"/>
        <w:snapToGrid w:val="0"/>
        <w:ind w:firstLine="420" w:firstLineChars="200"/>
        <w:jc w:val="right"/>
        <w:rPr>
          <w:rFonts w:hint="eastAsia" w:eastAsia="宋体" w:cs="Times New Roman"/>
          <w:szCs w:val="21"/>
        </w:rPr>
      </w:pPr>
      <w:r>
        <w:rPr>
          <w:rFonts w:hint="default" w:eastAsia="宋体" w:cs="Times New Roman"/>
          <w:szCs w:val="21"/>
          <w:u w:val="single"/>
        </w:rPr>
        <w:t xml:space="preserve">     </w:t>
      </w:r>
      <w:r>
        <w:rPr>
          <w:rFonts w:hint="eastAsia" w:eastAsia="宋体" w:cs="Times New Roman"/>
          <w:szCs w:val="21"/>
        </w:rPr>
        <w:t>年</w:t>
      </w:r>
      <w:r>
        <w:rPr>
          <w:rFonts w:hint="default" w:eastAsia="宋体" w:cs="Times New Roman"/>
          <w:szCs w:val="21"/>
          <w:u w:val="single"/>
        </w:rPr>
        <w:t xml:space="preserve">    </w:t>
      </w:r>
      <w:r>
        <w:rPr>
          <w:rFonts w:hint="eastAsia" w:eastAsia="宋体" w:cs="Times New Roman"/>
          <w:szCs w:val="21"/>
        </w:rPr>
        <w:t>月</w:t>
      </w:r>
      <w:r>
        <w:rPr>
          <w:rFonts w:hint="default" w:eastAsia="宋体" w:cs="Times New Roman"/>
          <w:szCs w:val="21"/>
          <w:u w:val="single"/>
        </w:rPr>
        <w:t xml:space="preserve">   </w:t>
      </w:r>
      <w:r>
        <w:rPr>
          <w:rFonts w:hint="eastAsia" w:eastAsia="宋体" w:cs="Times New Roman"/>
          <w:szCs w:val="21"/>
        </w:rPr>
        <w:t>日</w:t>
      </w:r>
    </w:p>
    <w:p>
      <w:pPr>
        <w:rPr>
          <w:rFonts w:hint="eastAsia" w:asciiTheme="majorEastAsia" w:hAnsiTheme="majorEastAsia" w:eastAsiaTheme="majorEastAsia"/>
          <w:sz w:val="36"/>
          <w:szCs w:val="36"/>
        </w:rPr>
      </w:pPr>
      <w:bookmarkStart w:id="265" w:name="_Toc667946249"/>
      <w:bookmarkStart w:id="266" w:name="_Toc128365833"/>
      <w:bookmarkStart w:id="267" w:name="_Toc561404363"/>
      <w:bookmarkStart w:id="268" w:name="_Toc2021626120"/>
      <w:bookmarkStart w:id="269" w:name="_Toc1959421243"/>
      <w:bookmarkStart w:id="270" w:name="_Toc1851703436"/>
      <w:bookmarkStart w:id="271" w:name="_Toc516822980"/>
      <w:bookmarkStart w:id="272" w:name="_Toc181896613"/>
      <w:bookmarkStart w:id="273" w:name="_Toc1345722039"/>
      <w:bookmarkStart w:id="274" w:name="_Toc1933085169"/>
      <w:bookmarkStart w:id="275" w:name="_Toc2038943694"/>
      <w:bookmarkStart w:id="276" w:name="_Toc7186466"/>
      <w:bookmarkStart w:id="277" w:name="_Toc515440740"/>
      <w:bookmarkStart w:id="278" w:name="_Toc511396030"/>
      <w:bookmarkStart w:id="279" w:name="_Toc1949121482"/>
      <w:bookmarkStart w:id="280" w:name="_Toc761270995"/>
      <w:r>
        <w:rPr>
          <w:rFonts w:hint="eastAsia" w:asciiTheme="majorEastAsia" w:hAnsiTheme="majorEastAsia" w:eastAsiaTheme="majorEastAsia"/>
          <w:sz w:val="36"/>
          <w:szCs w:val="36"/>
        </w:rPr>
        <w:br w:type="page"/>
      </w:r>
    </w:p>
    <w:p>
      <w:pPr>
        <w:pStyle w:val="2"/>
        <w:adjustRightInd w:val="0"/>
        <w:snapToGrid w:val="0"/>
        <w:spacing w:before="0" w:after="0" w:line="520" w:lineRule="exact"/>
        <w:jc w:val="center"/>
        <w:rPr>
          <w:rFonts w:asciiTheme="majorEastAsia" w:hAnsiTheme="majorEastAsia" w:eastAsiaTheme="majorEastAsia"/>
          <w:sz w:val="36"/>
          <w:szCs w:val="36"/>
        </w:rPr>
      </w:pPr>
      <w:bookmarkStart w:id="281" w:name="_Toc1406374449"/>
      <w:bookmarkStart w:id="282" w:name="_Toc15050"/>
      <w:bookmarkStart w:id="283" w:name="_Toc22994"/>
      <w:bookmarkStart w:id="284" w:name="_Toc19625"/>
      <w:bookmarkStart w:id="285" w:name="_Toc13509"/>
      <w:bookmarkStart w:id="286" w:name="_Toc14013"/>
      <w:bookmarkStart w:id="287" w:name="_Toc1387"/>
      <w:bookmarkStart w:id="288" w:name="_Toc10685"/>
      <w:bookmarkStart w:id="289" w:name="_Toc1677124928"/>
      <w:bookmarkStart w:id="290" w:name="_Toc16669"/>
      <w:r>
        <w:rPr>
          <w:rFonts w:hint="eastAsia" w:asciiTheme="majorEastAsia" w:hAnsiTheme="majorEastAsia" w:eastAsiaTheme="majorEastAsia"/>
          <w:sz w:val="36"/>
          <w:szCs w:val="36"/>
        </w:rPr>
        <w:t>第一章 投标邀请书（适用于邀请招标）</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widowControl/>
        <w:shd w:val="clear" w:color="auto" w:fill="FFFFFF"/>
        <w:snapToGrid w:val="0"/>
        <w:jc w:val="center"/>
        <w:rPr>
          <w:rFonts w:hint="default"/>
          <w:color w:val="auto"/>
          <w:sz w:val="28"/>
          <w:szCs w:val="28"/>
          <w:u w:val="single"/>
        </w:rPr>
      </w:pPr>
    </w:p>
    <w:p>
      <w:pPr>
        <w:widowControl/>
        <w:shd w:val="clear" w:color="auto" w:fill="FFFFFF"/>
        <w:snapToGrid w:val="0"/>
        <w:jc w:val="center"/>
        <w:rPr>
          <w:b/>
          <w:sz w:val="28"/>
          <w:szCs w:val="28"/>
        </w:rPr>
      </w:pPr>
      <w:r>
        <w:rPr>
          <w:rFonts w:hint="default"/>
          <w:color w:val="auto"/>
          <w:sz w:val="28"/>
          <w:szCs w:val="28"/>
          <w:u w:val="single"/>
        </w:rPr>
        <w:t xml:space="preserve">   </w:t>
      </w:r>
      <w:r>
        <w:rPr>
          <w:rFonts w:hint="eastAsia" w:eastAsia="宋体" w:cs="Times New Roman"/>
          <w:color w:val="auto"/>
          <w:sz w:val="28"/>
          <w:szCs w:val="28"/>
          <w:u w:val="single" w:color="auto"/>
        </w:rPr>
        <w:t>（项目名称）□勘察□设计□勘察设计</w:t>
      </w:r>
      <w:r>
        <w:rPr>
          <w:rFonts w:hint="eastAsia"/>
          <w:b/>
          <w:sz w:val="28"/>
          <w:szCs w:val="28"/>
        </w:rPr>
        <w:t>投标邀请书</w:t>
      </w:r>
    </w:p>
    <w:p>
      <w:pPr>
        <w:widowControl/>
        <w:shd w:val="clear" w:color="auto" w:fill="FFFFFF"/>
        <w:snapToGrid w:val="0"/>
        <w:ind w:firstLine="562" w:firstLineChars="200"/>
        <w:jc w:val="center"/>
        <w:rPr>
          <w:b/>
          <w:sz w:val="28"/>
          <w:szCs w:val="28"/>
        </w:rPr>
      </w:pPr>
    </w:p>
    <w:p>
      <w:pPr>
        <w:widowControl/>
        <w:shd w:val="clear" w:color="auto" w:fill="FFFFFF"/>
        <w:snapToGrid w:val="0"/>
        <w:jc w:val="left"/>
        <w:rPr>
          <w:sz w:val="24"/>
          <w:szCs w:val="24"/>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val="en-US" w:eastAsia="zh-CN"/>
        </w:rPr>
        <w:t xml:space="preserve">  </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被邀请单位名称</w:t>
      </w:r>
      <w:r>
        <w:rPr>
          <w:rFonts w:hint="eastAsia" w:eastAsia="宋体" w:cs="Times New Roman"/>
          <w:color w:val="auto"/>
          <w:szCs w:val="21"/>
          <w:u w:val="single" w:color="auto"/>
          <w:lang w:eastAsia="zh-Hans"/>
        </w:rPr>
        <w:t>）</w:t>
      </w:r>
      <w:r>
        <w:rPr>
          <w:rFonts w:hint="eastAsia"/>
          <w:sz w:val="24"/>
          <w:szCs w:val="24"/>
        </w:rPr>
        <w:t>：</w:t>
      </w:r>
    </w:p>
    <w:p>
      <w:pPr>
        <w:pStyle w:val="3"/>
        <w:numPr>
          <w:ilvl w:val="0"/>
          <w:numId w:val="6"/>
        </w:numPr>
        <w:adjustRightInd w:val="0"/>
        <w:snapToGrid w:val="0"/>
        <w:spacing w:before="0" w:after="0" w:line="520" w:lineRule="exact"/>
        <w:ind w:firstLine="422" w:firstLineChars="200"/>
        <w:rPr>
          <w:rFonts w:hint="eastAsia" w:asciiTheme="majorEastAsia" w:hAnsiTheme="majorEastAsia"/>
          <w:sz w:val="21"/>
          <w:szCs w:val="21"/>
        </w:rPr>
      </w:pPr>
      <w:bookmarkStart w:id="291" w:name="_Toc2121527786"/>
      <w:bookmarkStart w:id="292" w:name="_Toc1217"/>
      <w:bookmarkStart w:id="293" w:name="_Toc511396031"/>
      <w:bookmarkStart w:id="294" w:name="_Toc82339920"/>
      <w:bookmarkStart w:id="295" w:name="_Toc1370973643"/>
      <w:bookmarkStart w:id="296" w:name="_Toc516822981"/>
      <w:bookmarkStart w:id="297" w:name="_Toc2131419653"/>
      <w:bookmarkStart w:id="298" w:name="_Toc20982"/>
      <w:bookmarkStart w:id="299" w:name="_Toc1627467670"/>
      <w:bookmarkStart w:id="300" w:name="_Toc1130109879"/>
      <w:bookmarkStart w:id="301" w:name="_Toc1730345461"/>
      <w:bookmarkStart w:id="302" w:name="_Toc515440741"/>
      <w:bookmarkStart w:id="303" w:name="_Toc20518"/>
      <w:bookmarkStart w:id="304" w:name="_Toc20256"/>
      <w:bookmarkStart w:id="305" w:name="_Toc1267145010"/>
      <w:bookmarkStart w:id="306" w:name="_Toc1169196636"/>
      <w:bookmarkStart w:id="307" w:name="_Toc246636528"/>
      <w:bookmarkStart w:id="308" w:name="_Toc252539269"/>
      <w:bookmarkStart w:id="309" w:name="_Toc7186467"/>
      <w:bookmarkStart w:id="310" w:name="_Toc1715798021"/>
      <w:bookmarkStart w:id="311" w:name="_Toc19931"/>
      <w:bookmarkStart w:id="312" w:name="_Toc7420"/>
      <w:bookmarkStart w:id="313" w:name="_Toc16090"/>
      <w:bookmarkStart w:id="314" w:name="_Toc1275584074"/>
      <w:bookmarkStart w:id="315" w:name="_Toc32751"/>
      <w:bookmarkStart w:id="316" w:name="_Toc331104356"/>
      <w:r>
        <w:rPr>
          <w:rFonts w:hint="eastAsia" w:asciiTheme="majorEastAsia" w:hAnsiTheme="majorEastAsia"/>
          <w:sz w:val="21"/>
          <w:szCs w:val="21"/>
        </w:rPr>
        <w:t>招标条件</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widowControl/>
        <w:shd w:val="clear" w:color="auto" w:fill="FFFFFF"/>
        <w:snapToGrid w:val="0"/>
        <w:ind w:firstLine="420" w:firstLineChars="200"/>
        <w:jc w:val="left"/>
        <w:rPr>
          <w:sz w:val="21"/>
          <w:szCs w:val="21"/>
        </w:rPr>
      </w:pPr>
      <w:r>
        <w:rPr>
          <w:rFonts w:hint="eastAsia"/>
          <w:sz w:val="21"/>
          <w:szCs w:val="21"/>
        </w:rPr>
        <w:t>本招标项目</w:t>
      </w:r>
      <w:r>
        <w:rPr>
          <w:rFonts w:hint="default"/>
          <w:color w:val="auto"/>
          <w:sz w:val="21"/>
          <w:szCs w:val="21"/>
          <w:u w:val="single"/>
        </w:rPr>
        <w:t xml:space="preserve">     </w:t>
      </w:r>
      <w:r>
        <w:rPr>
          <w:rFonts w:hint="eastAsia" w:eastAsia="宋体" w:cs="Times New Roman"/>
          <w:color w:val="auto"/>
          <w:sz w:val="21"/>
          <w:szCs w:val="21"/>
          <w:u w:val="single" w:color="auto"/>
        </w:rPr>
        <w:t>（项目名称）</w:t>
      </w:r>
      <w:r>
        <w:rPr>
          <w:rFonts w:hint="eastAsia"/>
          <w:sz w:val="21"/>
          <w:szCs w:val="21"/>
        </w:rPr>
        <w:t>已由</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rPr>
        <w:t>（项目审批、核准或备案机关名称）</w:t>
      </w:r>
      <w:r>
        <w:rPr>
          <w:rFonts w:hint="eastAsia"/>
          <w:sz w:val="21"/>
          <w:szCs w:val="21"/>
        </w:rPr>
        <w:t>以</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rPr>
        <w:t>（批文名称及编号）</w:t>
      </w:r>
      <w:r>
        <w:rPr>
          <w:rFonts w:hint="eastAsia"/>
          <w:sz w:val="21"/>
          <w:szCs w:val="21"/>
        </w:rPr>
        <w:t>批准建设，项目业主为</w:t>
      </w:r>
      <w:r>
        <w:rPr>
          <w:rFonts w:hint="default" w:eastAsia="宋体" w:cs="Times New Roman"/>
          <w:color w:val="auto"/>
          <w:sz w:val="21"/>
          <w:szCs w:val="21"/>
          <w:u w:val="single" w:color="auto"/>
        </w:rPr>
        <w:t xml:space="preserve">              </w:t>
      </w:r>
      <w:r>
        <w:rPr>
          <w:rFonts w:hint="eastAsia"/>
          <w:sz w:val="21"/>
          <w:szCs w:val="21"/>
        </w:rPr>
        <w:t>，建设资金来自</w:t>
      </w:r>
      <w:r>
        <w:rPr>
          <w:rFonts w:hint="default"/>
          <w:color w:val="auto"/>
          <w:sz w:val="21"/>
          <w:szCs w:val="21"/>
          <w:u w:val="single" w:color="auto"/>
        </w:rPr>
        <w:t xml:space="preserve">       </w:t>
      </w:r>
      <w:r>
        <w:rPr>
          <w:rFonts w:hint="eastAsia"/>
          <w:color w:val="auto"/>
          <w:sz w:val="21"/>
          <w:szCs w:val="21"/>
          <w:u w:val="single" w:color="auto"/>
        </w:rPr>
        <w:t>（资金来源）</w:t>
      </w:r>
      <w:r>
        <w:rPr>
          <w:rFonts w:hint="eastAsia"/>
          <w:sz w:val="21"/>
          <w:szCs w:val="21"/>
        </w:rPr>
        <w:t>，出资比例为</w:t>
      </w:r>
      <w:r>
        <w:rPr>
          <w:rFonts w:hint="default" w:eastAsia="宋体" w:cs="Times New Roman"/>
          <w:color w:val="auto"/>
          <w:sz w:val="21"/>
          <w:szCs w:val="21"/>
          <w:u w:val="single" w:color="auto"/>
        </w:rPr>
        <w:t xml:space="preserve">        </w:t>
      </w:r>
      <w:r>
        <w:rPr>
          <w:rFonts w:hint="eastAsia"/>
          <w:sz w:val="21"/>
          <w:szCs w:val="21"/>
        </w:rPr>
        <w:t>，招标人为</w:t>
      </w:r>
      <w:r>
        <w:rPr>
          <w:rFonts w:hint="default" w:eastAsia="宋体" w:cs="Times New Roman"/>
          <w:color w:val="auto"/>
          <w:sz w:val="21"/>
          <w:szCs w:val="21"/>
          <w:u w:val="single" w:color="auto"/>
        </w:rPr>
        <w:t xml:space="preserve">            </w:t>
      </w:r>
      <w:r>
        <w:rPr>
          <w:rFonts w:hint="eastAsia"/>
          <w:sz w:val="21"/>
          <w:szCs w:val="21"/>
        </w:rPr>
        <w:t>，招标代理单位为</w:t>
      </w:r>
      <w:r>
        <w:rPr>
          <w:rFonts w:hint="default" w:eastAsia="宋体" w:cs="Times New Roman"/>
          <w:color w:val="auto"/>
          <w:sz w:val="21"/>
          <w:szCs w:val="21"/>
          <w:u w:val="single" w:color="auto"/>
        </w:rPr>
        <w:t xml:space="preserve">           </w:t>
      </w:r>
      <w:r>
        <w:rPr>
          <w:rFonts w:hint="eastAsia"/>
          <w:sz w:val="21"/>
          <w:szCs w:val="21"/>
        </w:rPr>
        <w:t>。项目已具备招标条件，现对本项目进行</w:t>
      </w:r>
      <w:r>
        <w:rPr>
          <w:rFonts w:hint="eastAsia"/>
          <w:sz w:val="21"/>
          <w:szCs w:val="21"/>
          <w:lang w:val="en-US" w:eastAsia="zh-CN"/>
        </w:rPr>
        <w:t>邀请</w:t>
      </w:r>
      <w:r>
        <w:rPr>
          <w:rFonts w:hint="eastAsia"/>
          <w:sz w:val="21"/>
          <w:szCs w:val="21"/>
        </w:rPr>
        <w:t>招标。</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317" w:name="_Toc1006927031"/>
      <w:bookmarkStart w:id="318" w:name="_Toc310855771"/>
      <w:bookmarkStart w:id="319" w:name="_Toc740781915"/>
      <w:bookmarkStart w:id="320" w:name="_Toc1846508161"/>
      <w:bookmarkStart w:id="321" w:name="_Toc999807611"/>
      <w:bookmarkStart w:id="322" w:name="_Toc12837"/>
      <w:bookmarkStart w:id="323" w:name="_Toc13604"/>
      <w:bookmarkStart w:id="324" w:name="_Toc11430"/>
      <w:bookmarkStart w:id="325" w:name="_Toc1411362285"/>
      <w:bookmarkStart w:id="326" w:name="_Toc412283717"/>
      <w:bookmarkStart w:id="327" w:name="_Toc11646"/>
      <w:bookmarkStart w:id="328" w:name="_Toc16905"/>
      <w:bookmarkStart w:id="329" w:name="_Toc576687386"/>
      <w:bookmarkStart w:id="330" w:name="_Toc692615353"/>
      <w:bookmarkStart w:id="331" w:name="_Toc349917851"/>
      <w:bookmarkStart w:id="332" w:name="_Toc907566772"/>
      <w:bookmarkStart w:id="333" w:name="_Toc1601969238"/>
      <w:bookmarkStart w:id="334" w:name="_Toc595392364"/>
      <w:bookmarkStart w:id="335" w:name="_Toc10346"/>
      <w:bookmarkStart w:id="336" w:name="_Toc4386"/>
      <w:bookmarkStart w:id="337" w:name="_Toc5706"/>
      <w:bookmarkStart w:id="338" w:name="_Toc1212491202"/>
      <w:r>
        <w:rPr>
          <w:rFonts w:hint="eastAsia" w:asciiTheme="majorEastAsia" w:hAnsiTheme="majorEastAsia"/>
          <w:sz w:val="21"/>
          <w:szCs w:val="21"/>
        </w:rPr>
        <w:t>2. 项目概况与招标范围</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widowControl/>
        <w:shd w:val="clear" w:color="auto" w:fill="FFFFFF"/>
        <w:snapToGrid w:val="0"/>
        <w:ind w:firstLine="420" w:firstLineChars="200"/>
        <w:jc w:val="left"/>
        <w:rPr>
          <w:sz w:val="21"/>
          <w:szCs w:val="21"/>
        </w:rPr>
      </w:pPr>
      <w:r>
        <w:rPr>
          <w:rFonts w:hint="eastAsia"/>
          <w:sz w:val="21"/>
          <w:szCs w:val="21"/>
        </w:rPr>
        <w:t>2.1 建设地点：</w:t>
      </w:r>
      <w:r>
        <w:rPr>
          <w:rFonts w:hint="default" w:eastAsia="宋体" w:cs="Times New Roman"/>
          <w:sz w:val="21"/>
          <w:szCs w:val="21"/>
          <w:u w:val="single" w:color="auto"/>
        </w:rPr>
        <w:t xml:space="preserve">                                  </w:t>
      </w:r>
      <w:r>
        <w:rPr>
          <w:rFonts w:hint="eastAsia"/>
          <w:sz w:val="21"/>
          <w:szCs w:val="21"/>
        </w:rPr>
        <w:t>；</w:t>
      </w:r>
    </w:p>
    <w:p>
      <w:pPr>
        <w:widowControl/>
        <w:shd w:val="clear" w:color="auto" w:fill="FFFFFF"/>
        <w:snapToGrid w:val="0"/>
        <w:ind w:firstLine="420" w:firstLineChars="200"/>
        <w:jc w:val="left"/>
        <w:rPr>
          <w:sz w:val="21"/>
          <w:szCs w:val="21"/>
        </w:rPr>
      </w:pPr>
      <w:r>
        <w:rPr>
          <w:rFonts w:hint="eastAsia"/>
          <w:sz w:val="21"/>
          <w:szCs w:val="21"/>
        </w:rPr>
        <w:t>2.2 项目建设规模：</w:t>
      </w:r>
      <w:r>
        <w:rPr>
          <w:rFonts w:hint="default" w:eastAsia="宋体" w:cs="Times New Roman"/>
          <w:sz w:val="21"/>
          <w:szCs w:val="21"/>
          <w:u w:val="single" w:color="auto"/>
        </w:rPr>
        <w:t xml:space="preserve">                              </w:t>
      </w:r>
      <w:r>
        <w:rPr>
          <w:rFonts w:hint="eastAsia"/>
          <w:sz w:val="21"/>
          <w:szCs w:val="21"/>
        </w:rPr>
        <w:t>；</w:t>
      </w:r>
    </w:p>
    <w:p>
      <w:pPr>
        <w:widowControl/>
        <w:shd w:val="clear" w:color="auto" w:fill="FFFFFF"/>
        <w:snapToGrid w:val="0"/>
        <w:ind w:firstLine="420" w:firstLineChars="200"/>
        <w:jc w:val="left"/>
        <w:rPr>
          <w:color w:val="auto"/>
          <w:sz w:val="21"/>
          <w:szCs w:val="21"/>
          <w:u w:val="single"/>
        </w:rPr>
      </w:pPr>
      <w:r>
        <w:rPr>
          <w:rFonts w:hint="eastAsia"/>
          <w:color w:val="auto"/>
          <w:sz w:val="21"/>
          <w:szCs w:val="21"/>
        </w:rPr>
        <w:t xml:space="preserve">2.3 </w:t>
      </w:r>
      <w:r>
        <w:rPr>
          <w:rFonts w:hint="eastAsia"/>
          <w:sz w:val="21"/>
          <w:szCs w:val="21"/>
        </w:rPr>
        <w:t>招标范围和内容：</w:t>
      </w:r>
      <w:r>
        <w:rPr>
          <w:rFonts w:hint="default" w:eastAsia="宋体" w:cs="Times New Roman"/>
          <w:sz w:val="21"/>
          <w:szCs w:val="21"/>
          <w:u w:val="single" w:color="auto"/>
        </w:rPr>
        <w:t xml:space="preserve">                            </w:t>
      </w:r>
      <w:r>
        <w:rPr>
          <w:rFonts w:hint="eastAsia"/>
          <w:sz w:val="21"/>
          <w:szCs w:val="21"/>
        </w:rPr>
        <w:t>；</w:t>
      </w:r>
    </w:p>
    <w:p>
      <w:pPr>
        <w:widowControl/>
        <w:shd w:val="clear" w:color="auto" w:fill="FFFFFF"/>
        <w:snapToGrid w:val="0"/>
        <w:ind w:firstLine="420" w:firstLineChars="200"/>
        <w:jc w:val="left"/>
        <w:rPr>
          <w:sz w:val="21"/>
          <w:szCs w:val="21"/>
        </w:rPr>
      </w:pPr>
      <w:r>
        <w:rPr>
          <w:rFonts w:hint="eastAsia"/>
          <w:sz w:val="21"/>
          <w:szCs w:val="21"/>
        </w:rPr>
        <w:t>2.4 最高控制价：</w:t>
      </w:r>
      <w:r>
        <w:rPr>
          <w:rFonts w:hint="default" w:eastAsia="宋体" w:cs="Times New Roman"/>
          <w:sz w:val="21"/>
          <w:szCs w:val="21"/>
          <w:u w:val="single" w:color="auto"/>
        </w:rPr>
        <w:t xml:space="preserve">                                </w:t>
      </w:r>
      <w:r>
        <w:rPr>
          <w:rFonts w:hint="eastAsia"/>
          <w:sz w:val="21"/>
          <w:szCs w:val="21"/>
        </w:rPr>
        <w:t>；</w:t>
      </w:r>
    </w:p>
    <w:p>
      <w:pPr>
        <w:widowControl/>
        <w:shd w:val="clear" w:color="auto" w:fill="FFFFFF"/>
        <w:snapToGrid w:val="0"/>
        <w:ind w:firstLine="420" w:firstLineChars="200"/>
        <w:jc w:val="left"/>
        <w:rPr>
          <w:sz w:val="21"/>
          <w:szCs w:val="21"/>
        </w:rPr>
      </w:pPr>
      <w:r>
        <w:rPr>
          <w:rFonts w:hint="eastAsia"/>
          <w:sz w:val="21"/>
          <w:szCs w:val="21"/>
        </w:rPr>
        <w:t>2.5 质量标准：</w:t>
      </w:r>
      <w:r>
        <w:rPr>
          <w:rFonts w:hint="default" w:eastAsia="宋体" w:cs="Times New Roman"/>
          <w:sz w:val="21"/>
          <w:szCs w:val="21"/>
          <w:u w:val="single" w:color="auto"/>
        </w:rPr>
        <w:t xml:space="preserve">                                  </w:t>
      </w:r>
      <w:r>
        <w:rPr>
          <w:rFonts w:hint="eastAsia"/>
          <w:sz w:val="21"/>
          <w:szCs w:val="21"/>
        </w:rPr>
        <w:t>；</w:t>
      </w:r>
    </w:p>
    <w:p>
      <w:pPr>
        <w:widowControl/>
        <w:shd w:val="clear" w:color="auto" w:fill="FFFFFF"/>
        <w:snapToGrid w:val="0"/>
        <w:ind w:firstLine="420" w:firstLineChars="200"/>
        <w:jc w:val="left"/>
        <w:rPr>
          <w:sz w:val="21"/>
          <w:szCs w:val="21"/>
        </w:rPr>
      </w:pPr>
      <w:r>
        <w:rPr>
          <w:rFonts w:hint="eastAsia"/>
          <w:sz w:val="21"/>
          <w:szCs w:val="21"/>
        </w:rPr>
        <w:t>2.6 服务期限：</w:t>
      </w:r>
      <w:r>
        <w:rPr>
          <w:rFonts w:hint="default" w:eastAsia="宋体" w:cs="Times New Roman"/>
          <w:sz w:val="21"/>
          <w:szCs w:val="21"/>
          <w:u w:val="single" w:color="auto"/>
        </w:rPr>
        <w:t xml:space="preserve">      </w:t>
      </w:r>
      <w:r>
        <w:rPr>
          <w:rFonts w:hint="eastAsia"/>
          <w:sz w:val="21"/>
          <w:szCs w:val="21"/>
        </w:rPr>
        <w:t>日历天，</w:t>
      </w:r>
      <w:r>
        <w:rPr>
          <w:rFonts w:hint="eastAsia"/>
          <w:sz w:val="21"/>
          <w:szCs w:val="21"/>
          <w:highlight w:val="none"/>
        </w:rPr>
        <w:t>其中各关键节点的工期要求：</w:t>
      </w:r>
      <w:r>
        <w:rPr>
          <w:rFonts w:hint="default" w:eastAsia="宋体" w:cs="Times New Roman"/>
          <w:sz w:val="21"/>
          <w:szCs w:val="21"/>
          <w:highlight w:val="none"/>
          <w:u w:val="single" w:color="auto"/>
        </w:rPr>
        <w:t xml:space="preserve">                            </w:t>
      </w:r>
      <w:r>
        <w:rPr>
          <w:rFonts w:hint="eastAsia"/>
          <w:sz w:val="21"/>
          <w:szCs w:val="21"/>
          <w:highlight w:val="none"/>
        </w:rPr>
        <w:t>。</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339" w:name="_Toc511396033"/>
      <w:bookmarkStart w:id="340" w:name="_Toc1809042880"/>
      <w:bookmarkStart w:id="341" w:name="_Toc3105"/>
      <w:bookmarkStart w:id="342" w:name="_Toc11963"/>
      <w:bookmarkStart w:id="343" w:name="_Toc1633150375"/>
      <w:bookmarkStart w:id="344" w:name="_Toc30196"/>
      <w:bookmarkStart w:id="345" w:name="_Toc791197591"/>
      <w:bookmarkStart w:id="346" w:name="_Toc11998"/>
      <w:bookmarkStart w:id="347" w:name="_Toc15478"/>
      <w:bookmarkStart w:id="348" w:name="_Toc3689"/>
      <w:bookmarkStart w:id="349" w:name="_Toc1259096271"/>
      <w:bookmarkStart w:id="350" w:name="_Toc7186469"/>
      <w:bookmarkStart w:id="351" w:name="_Toc7856"/>
      <w:bookmarkStart w:id="352" w:name="_Toc1872713693"/>
      <w:bookmarkStart w:id="353" w:name="_Toc13786"/>
      <w:bookmarkStart w:id="354" w:name="_Toc1251471657"/>
      <w:bookmarkStart w:id="355" w:name="_Toc1424871131"/>
      <w:bookmarkStart w:id="356" w:name="_Toc976479130"/>
      <w:bookmarkStart w:id="357" w:name="_Toc515440743"/>
      <w:bookmarkStart w:id="358" w:name="_Toc1470186397"/>
      <w:bookmarkStart w:id="359" w:name="_Toc2045876010"/>
      <w:bookmarkStart w:id="360" w:name="_Toc1294500627"/>
      <w:bookmarkStart w:id="361" w:name="_Toc516822983"/>
      <w:bookmarkStart w:id="362" w:name="_Toc1854463949"/>
      <w:bookmarkStart w:id="363" w:name="_Toc867305631"/>
      <w:bookmarkStart w:id="364" w:name="_Toc1358943746"/>
      <w:r>
        <w:rPr>
          <w:rFonts w:hint="eastAsia" w:asciiTheme="majorEastAsia" w:hAnsiTheme="majorEastAsia"/>
          <w:sz w:val="21"/>
          <w:szCs w:val="21"/>
        </w:rPr>
        <w:t>3. 投标人资格要求</w:t>
      </w:r>
      <w:bookmarkEnd w:id="339"/>
      <w:r>
        <w:rPr>
          <w:rFonts w:hint="eastAsia" w:asciiTheme="majorEastAsia" w:hAnsiTheme="majorEastAsia"/>
          <w:sz w:val="21"/>
          <w:szCs w:val="21"/>
        </w:rPr>
        <w:t>及审查办法</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widowControl/>
        <w:shd w:val="clear" w:color="auto" w:fill="FFFFFF"/>
        <w:snapToGrid w:val="0"/>
        <w:ind w:firstLine="420" w:firstLineChars="200"/>
        <w:jc w:val="left"/>
        <w:rPr>
          <w:sz w:val="21"/>
          <w:szCs w:val="21"/>
        </w:rPr>
      </w:pPr>
      <w:bookmarkStart w:id="365" w:name="_Toc511396034"/>
      <w:r>
        <w:rPr>
          <w:rFonts w:hint="eastAsia"/>
          <w:sz w:val="21"/>
          <w:szCs w:val="21"/>
        </w:rPr>
        <w:t>3.1 本招标项目要求投标人须有独立的法人资格，具备有效的不低于</w:t>
      </w:r>
      <w:r>
        <w:rPr>
          <w:rFonts w:hint="eastAsia" w:ascii="Calibri" w:hAnsi="Calibri" w:eastAsia="宋体" w:cs="Times New Roman"/>
          <w:kern w:val="2"/>
          <w:sz w:val="21"/>
          <w:szCs w:val="21"/>
          <w:u w:val="single"/>
        </w:rPr>
        <w:t xml:space="preserve">       </w:t>
      </w:r>
      <w:r>
        <w:rPr>
          <w:rFonts w:hint="eastAsia" w:ascii="Calibri" w:hAnsi="Calibri" w:eastAsia="宋体" w:cs="Times New Roman"/>
          <w:kern w:val="2"/>
          <w:sz w:val="21"/>
          <w:szCs w:val="21"/>
          <w:u w:val="single"/>
          <w:lang w:val="en-US" w:eastAsia="zh-CN"/>
        </w:rPr>
        <w:t xml:space="preserve"> </w:t>
      </w:r>
      <w:r>
        <w:rPr>
          <w:rFonts w:hint="eastAsia" w:ascii="Calibri" w:hAnsi="Calibri" w:eastAsia="宋体" w:cs="Times New Roman"/>
          <w:kern w:val="2"/>
          <w:sz w:val="21"/>
          <w:szCs w:val="21"/>
          <w:u w:val="single"/>
        </w:rPr>
        <w:t xml:space="preserve">  </w:t>
      </w:r>
      <w:r>
        <w:rPr>
          <w:rFonts w:hint="eastAsia"/>
          <w:sz w:val="21"/>
          <w:szCs w:val="21"/>
        </w:rPr>
        <w:t>资质</w:t>
      </w:r>
      <w:r>
        <w:rPr>
          <w:rFonts w:hint="eastAsia"/>
          <w:sz w:val="21"/>
          <w:szCs w:val="21"/>
          <w:lang w:eastAsia="zh-CN"/>
        </w:rPr>
        <w:t>，</w:t>
      </w:r>
      <w:r>
        <w:rPr>
          <w:rFonts w:hint="eastAsia"/>
          <w:sz w:val="21"/>
          <w:szCs w:val="21"/>
          <w:lang w:val="en-US" w:eastAsia="zh-CN"/>
        </w:rPr>
        <w:t>并在人员方面具有相应的服务能力。</w:t>
      </w:r>
    </w:p>
    <w:p>
      <w:pPr>
        <w:widowControl/>
        <w:shd w:val="clear" w:color="auto" w:fill="FFFFFF"/>
        <w:snapToGrid w:val="0"/>
        <w:ind w:firstLine="420" w:firstLineChars="200"/>
        <w:jc w:val="left"/>
        <w:rPr>
          <w:sz w:val="21"/>
          <w:szCs w:val="21"/>
        </w:rPr>
      </w:pPr>
      <w:r>
        <w:rPr>
          <w:rFonts w:hint="eastAsia"/>
          <w:sz w:val="21"/>
          <w:szCs w:val="21"/>
        </w:rPr>
        <w:t>3.</w:t>
      </w:r>
      <w:r>
        <w:rPr>
          <w:rFonts w:hint="eastAsia"/>
          <w:sz w:val="21"/>
          <w:szCs w:val="21"/>
          <w:lang w:val="en-US" w:eastAsia="zh-CN"/>
        </w:rPr>
        <w:t>2</w:t>
      </w:r>
      <w:r>
        <w:rPr>
          <w:rFonts w:hint="eastAsia"/>
          <w:sz w:val="21"/>
          <w:szCs w:val="21"/>
        </w:rPr>
        <w:t xml:space="preserve"> 本招标项目</w:t>
      </w:r>
      <w:r>
        <w:rPr>
          <w:rFonts w:hint="default" w:eastAsia="宋体" w:cs="Times New Roman"/>
          <w:sz w:val="21"/>
          <w:szCs w:val="21"/>
          <w:u w:val="single" w:color="auto"/>
          <w:lang w:eastAsia="zh-Hans"/>
        </w:rPr>
        <w:t xml:space="preserve">      </w:t>
      </w:r>
      <w:r>
        <w:rPr>
          <w:rFonts w:hint="eastAsia" w:eastAsia="宋体" w:cs="Times New Roman"/>
          <w:sz w:val="21"/>
          <w:szCs w:val="21"/>
          <w:u w:val="single" w:color="auto"/>
          <w:lang w:eastAsia="zh-Hans"/>
        </w:rPr>
        <w:t>（</w:t>
      </w:r>
      <w:r>
        <w:rPr>
          <w:rFonts w:hint="eastAsia" w:eastAsia="宋体" w:cs="Times New Roman"/>
          <w:sz w:val="21"/>
          <w:szCs w:val="21"/>
          <w:u w:val="single" w:color="auto"/>
          <w:lang w:val="en-US" w:eastAsia="zh-Hans"/>
        </w:rPr>
        <w:t>接受或不接受）</w:t>
      </w:r>
      <w:r>
        <w:rPr>
          <w:rFonts w:hint="eastAsia"/>
          <w:sz w:val="21"/>
          <w:szCs w:val="21"/>
        </w:rPr>
        <w:t>联合体投标。联合体投标的，应满足下列要求：</w:t>
      </w:r>
      <w:r>
        <w:rPr>
          <w:rFonts w:hint="eastAsia" w:ascii="Calibri" w:hAnsi="Calibri" w:eastAsia="宋体" w:cs="Times New Roman"/>
          <w:kern w:val="2"/>
          <w:sz w:val="21"/>
          <w:szCs w:val="21"/>
          <w:u w:val="single"/>
        </w:rPr>
        <w:t xml:space="preserve">                              </w:t>
      </w:r>
      <w:r>
        <w:rPr>
          <w:rFonts w:hint="eastAsia"/>
          <w:sz w:val="21"/>
          <w:szCs w:val="21"/>
        </w:rPr>
        <w:t>。</w:t>
      </w:r>
    </w:p>
    <w:p>
      <w:pPr>
        <w:widowControl/>
        <w:shd w:val="clear" w:color="auto" w:fill="FFFFFF"/>
        <w:snapToGrid w:val="0"/>
        <w:ind w:firstLine="420" w:firstLineChars="200"/>
        <w:jc w:val="left"/>
        <w:rPr>
          <w:rFonts w:hint="eastAsia"/>
          <w:sz w:val="21"/>
          <w:szCs w:val="21"/>
          <w:lang w:val="en-US" w:eastAsia="zh-CN"/>
        </w:rPr>
      </w:pPr>
      <w:r>
        <w:rPr>
          <w:rFonts w:hint="eastAsia"/>
          <w:sz w:val="21"/>
          <w:szCs w:val="21"/>
        </w:rPr>
        <w:t>3.</w:t>
      </w:r>
      <w:r>
        <w:rPr>
          <w:rFonts w:hint="eastAsia"/>
          <w:sz w:val="21"/>
          <w:szCs w:val="21"/>
          <w:lang w:val="en-US" w:eastAsia="zh-CN"/>
        </w:rPr>
        <w:t>3</w:t>
      </w:r>
      <w:r>
        <w:rPr>
          <w:rFonts w:hint="eastAsia"/>
          <w:sz w:val="21"/>
          <w:szCs w:val="21"/>
        </w:rPr>
        <w:t xml:space="preserve"> </w:t>
      </w:r>
      <w:r>
        <w:rPr>
          <w:rFonts w:hint="eastAsia"/>
          <w:sz w:val="21"/>
          <w:szCs w:val="21"/>
          <w:lang w:val="en-US" w:eastAsia="zh-CN"/>
        </w:rPr>
        <w:t>本招标项目评标办法采用</w:t>
      </w:r>
      <w:r>
        <w:rPr>
          <w:rFonts w:hint="eastAsia"/>
          <w:sz w:val="21"/>
          <w:szCs w:val="21"/>
          <w:u w:val="single"/>
          <w:lang w:val="en-US" w:eastAsia="zh-CN"/>
        </w:rPr>
        <w:t xml:space="preserve">               </w:t>
      </w:r>
      <w:r>
        <w:rPr>
          <w:rFonts w:hint="eastAsia"/>
          <w:sz w:val="21"/>
          <w:szCs w:val="21"/>
          <w:lang w:val="en-US" w:eastAsia="zh-CN"/>
        </w:rPr>
        <w:t>。</w:t>
      </w:r>
    </w:p>
    <w:p>
      <w:pPr>
        <w:ind w:firstLine="420" w:firstLineChars="200"/>
        <w:rPr>
          <w:rFonts w:hint="eastAsia"/>
          <w:sz w:val="21"/>
          <w:szCs w:val="21"/>
        </w:rPr>
      </w:pPr>
      <w:r>
        <w:rPr>
          <w:rFonts w:hint="eastAsia"/>
          <w:sz w:val="21"/>
          <w:szCs w:val="21"/>
          <w:lang w:val="en-US" w:eastAsia="zh-CN"/>
        </w:rPr>
        <w:t xml:space="preserve">3.4 </w:t>
      </w:r>
      <w:r>
        <w:rPr>
          <w:rFonts w:hint="eastAsia"/>
          <w:sz w:val="21"/>
          <w:szCs w:val="21"/>
        </w:rPr>
        <w:t>本招标项目采用</w:t>
      </w:r>
      <w:r>
        <w:rPr>
          <w:rFonts w:hint="default"/>
          <w:sz w:val="21"/>
          <w:szCs w:val="21"/>
          <w:u w:val="single"/>
        </w:rPr>
        <w:t xml:space="preserve">  </w:t>
      </w:r>
      <w:r>
        <w:rPr>
          <w:rFonts w:hint="eastAsia"/>
          <w:sz w:val="21"/>
          <w:szCs w:val="21"/>
          <w:u w:val="single"/>
          <w:lang w:val="en-US" w:eastAsia="zh-CN"/>
        </w:rPr>
        <w:t xml:space="preserve">    </w:t>
      </w:r>
      <w:r>
        <w:rPr>
          <w:rFonts w:hint="default"/>
          <w:sz w:val="21"/>
          <w:szCs w:val="21"/>
          <w:u w:val="single"/>
        </w:rPr>
        <w:t xml:space="preserve"> </w:t>
      </w:r>
      <w:r>
        <w:rPr>
          <w:rFonts w:hint="eastAsia"/>
          <w:sz w:val="21"/>
          <w:szCs w:val="21"/>
          <w:u w:val="single"/>
          <w:lang w:eastAsia="zh-Hans"/>
        </w:rPr>
        <w:t>（</w:t>
      </w:r>
      <w:r>
        <w:rPr>
          <w:rFonts w:hint="eastAsia"/>
          <w:sz w:val="21"/>
          <w:szCs w:val="21"/>
          <w:u w:val="single"/>
          <w:lang w:val="en-US" w:eastAsia="zh-Hans"/>
        </w:rPr>
        <w:t>资格预审</w:t>
      </w:r>
      <w:r>
        <w:rPr>
          <w:rFonts w:hint="eastAsia" w:ascii="宋体" w:hAnsi="宋体" w:eastAsia="宋体" w:cs="宋体"/>
          <w:sz w:val="21"/>
          <w:szCs w:val="21"/>
          <w:u w:val="single"/>
          <w:lang w:eastAsia="zh-Hans"/>
        </w:rPr>
        <w:t>/</w:t>
      </w:r>
      <w:r>
        <w:rPr>
          <w:rFonts w:hint="eastAsia"/>
          <w:sz w:val="21"/>
          <w:szCs w:val="21"/>
          <w:u w:val="single"/>
        </w:rPr>
        <w:t>资格后审</w:t>
      </w:r>
      <w:r>
        <w:rPr>
          <w:rFonts w:hint="eastAsia"/>
          <w:sz w:val="21"/>
          <w:szCs w:val="21"/>
          <w:u w:val="single"/>
          <w:lang w:eastAsia="zh-Hans"/>
        </w:rPr>
        <w:t>）</w:t>
      </w:r>
      <w:r>
        <w:rPr>
          <w:rFonts w:hint="eastAsia"/>
          <w:sz w:val="21"/>
          <w:szCs w:val="21"/>
        </w:rPr>
        <w:t>方式对投标人的资格进行审查。</w:t>
      </w:r>
    </w:p>
    <w:p>
      <w:pPr>
        <w:widowControl/>
        <w:shd w:val="clear" w:color="auto" w:fill="FFFFFF"/>
        <w:snapToGrid w:val="0"/>
        <w:ind w:firstLine="420" w:firstLineChars="200"/>
        <w:jc w:val="left"/>
        <w:rPr>
          <w:rFonts w:hint="eastAsia" w:asciiTheme="majorEastAsia" w:hAnsiTheme="majorEastAsia"/>
          <w:sz w:val="21"/>
          <w:szCs w:val="21"/>
        </w:rPr>
      </w:pPr>
      <w:bookmarkStart w:id="366" w:name="_Toc475931997"/>
      <w:bookmarkStart w:id="367" w:name="_Toc1369860318"/>
      <w:bookmarkStart w:id="368" w:name="_Toc515440744"/>
      <w:bookmarkStart w:id="369" w:name="_Toc1278953177"/>
      <w:bookmarkStart w:id="370" w:name="_Toc19078"/>
      <w:bookmarkStart w:id="371" w:name="_Toc516822984"/>
      <w:bookmarkStart w:id="372" w:name="_Toc327169159"/>
      <w:bookmarkStart w:id="373" w:name="_Toc515210232"/>
      <w:bookmarkStart w:id="374" w:name="_Toc1834228028"/>
      <w:bookmarkStart w:id="375" w:name="_Toc29135"/>
      <w:bookmarkStart w:id="376" w:name="_Toc19847"/>
      <w:bookmarkStart w:id="377" w:name="_Toc21268"/>
      <w:bookmarkStart w:id="378" w:name="_Toc7186470"/>
      <w:bookmarkStart w:id="379" w:name="_Toc510209934"/>
      <w:bookmarkStart w:id="380" w:name="_Toc2914"/>
      <w:bookmarkStart w:id="381" w:name="_Toc1218951020"/>
      <w:bookmarkStart w:id="382" w:name="_Toc439169713"/>
      <w:bookmarkStart w:id="383" w:name="_Toc614707536"/>
      <w:bookmarkStart w:id="384" w:name="_Toc4218"/>
      <w:bookmarkStart w:id="385" w:name="_Toc1029300481"/>
      <w:bookmarkStart w:id="386" w:name="_Toc1677427953"/>
      <w:bookmarkStart w:id="387" w:name="_Toc1178707819"/>
      <w:bookmarkStart w:id="388" w:name="_Toc5963"/>
      <w:bookmarkStart w:id="389" w:name="_Toc1545421932"/>
      <w:r>
        <w:rPr>
          <w:rFonts w:hint="eastAsia" w:asciiTheme="majorEastAsia" w:hAnsiTheme="majorEastAsia"/>
          <w:strike w:val="0"/>
          <w:dstrike w:val="0"/>
          <w:sz w:val="21"/>
          <w:szCs w:val="21"/>
          <w:highlight w:val="none"/>
        </w:rPr>
        <w:t xml:space="preserve">4. </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Start w:id="390" w:name="_Toc12165"/>
      <w:bookmarkStart w:id="391" w:name="_Toc366288255"/>
      <w:bookmarkStart w:id="392" w:name="_Toc6015"/>
      <w:bookmarkStart w:id="393" w:name="_Toc1759972151"/>
      <w:bookmarkStart w:id="394" w:name="_Toc1173918993"/>
      <w:bookmarkStart w:id="395" w:name="_Toc196158267"/>
      <w:bookmarkStart w:id="396" w:name="_Toc7186471"/>
      <w:bookmarkStart w:id="397" w:name="_Toc16236"/>
      <w:bookmarkStart w:id="398" w:name="_Toc1993215482"/>
      <w:bookmarkStart w:id="399" w:name="_Toc515440745"/>
      <w:bookmarkStart w:id="400" w:name="_Toc5670358"/>
      <w:bookmarkStart w:id="401" w:name="_Toc484304520"/>
      <w:bookmarkStart w:id="402" w:name="_Toc2063284407"/>
      <w:bookmarkStart w:id="403" w:name="_Toc6156"/>
      <w:bookmarkStart w:id="404" w:name="_Toc742713911"/>
      <w:bookmarkStart w:id="405" w:name="_Toc70185139"/>
      <w:bookmarkStart w:id="406" w:name="_Toc1202223016"/>
      <w:bookmarkStart w:id="407" w:name="_Toc516822985"/>
      <w:bookmarkStart w:id="408" w:name="_Toc224071652"/>
      <w:bookmarkStart w:id="409" w:name="_Toc511396035"/>
      <w:bookmarkStart w:id="410" w:name="_Toc32326"/>
      <w:bookmarkStart w:id="411" w:name="_Toc91700659"/>
      <w:bookmarkStart w:id="412" w:name="_Toc5758"/>
      <w:bookmarkStart w:id="413" w:name="_Toc26294"/>
      <w:bookmarkStart w:id="414" w:name="_Toc1472407582"/>
      <w:r>
        <w:rPr>
          <w:rFonts w:hint="eastAsia" w:asciiTheme="majorEastAsia" w:hAnsiTheme="majorEastAsia"/>
          <w:sz w:val="21"/>
          <w:szCs w:val="21"/>
        </w:rPr>
        <w:t>招标文件的获取</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widowControl/>
        <w:shd w:val="clear" w:color="auto" w:fill="FFFFFF"/>
        <w:snapToGrid w:val="0"/>
        <w:ind w:firstLine="420" w:firstLineChars="200"/>
        <w:rPr>
          <w:sz w:val="21"/>
          <w:szCs w:val="21"/>
        </w:rPr>
      </w:pPr>
      <w:r>
        <w:rPr>
          <w:rFonts w:hint="eastAsia"/>
          <w:sz w:val="21"/>
          <w:szCs w:val="21"/>
          <w:lang w:val="en-US" w:eastAsia="zh-CN"/>
        </w:rPr>
        <w:t>4</w:t>
      </w:r>
      <w:r>
        <w:rPr>
          <w:rFonts w:hint="eastAsia"/>
          <w:sz w:val="21"/>
          <w:szCs w:val="21"/>
        </w:rPr>
        <w:t>.1 凡有意参加投标者，请于</w:t>
      </w:r>
      <w:r>
        <w:rPr>
          <w:rFonts w:hint="default" w:eastAsia="宋体" w:cs="Times New Roman"/>
          <w:sz w:val="21"/>
          <w:szCs w:val="21"/>
          <w:u w:val="single" w:color="auto"/>
        </w:rPr>
        <w:t xml:space="preserve">   </w:t>
      </w:r>
      <w:r>
        <w:rPr>
          <w:rFonts w:hint="eastAsia"/>
          <w:sz w:val="21"/>
          <w:szCs w:val="21"/>
        </w:rPr>
        <w:t>年</w:t>
      </w:r>
      <w:r>
        <w:rPr>
          <w:rFonts w:hint="default" w:eastAsia="宋体" w:cs="Times New Roman"/>
          <w:sz w:val="21"/>
          <w:szCs w:val="21"/>
          <w:u w:val="single" w:color="auto"/>
        </w:rPr>
        <w:t xml:space="preserve">  </w:t>
      </w:r>
      <w:r>
        <w:rPr>
          <w:rFonts w:hint="eastAsia" w:eastAsia="宋体" w:cs="Times New Roman"/>
          <w:sz w:val="21"/>
          <w:szCs w:val="21"/>
          <w:u w:val="single" w:color="auto"/>
          <w:lang w:val="en-US" w:eastAsia="zh-CN"/>
        </w:rPr>
        <w:t xml:space="preserve"> </w:t>
      </w:r>
      <w:r>
        <w:rPr>
          <w:rFonts w:hint="eastAsia"/>
          <w:sz w:val="21"/>
          <w:szCs w:val="21"/>
        </w:rPr>
        <w:t>月</w:t>
      </w:r>
      <w:r>
        <w:rPr>
          <w:rFonts w:hint="default" w:eastAsia="宋体" w:cs="Times New Roman"/>
          <w:sz w:val="21"/>
          <w:szCs w:val="21"/>
          <w:u w:val="single" w:color="auto"/>
        </w:rPr>
        <w:t xml:space="preserve">   </w:t>
      </w:r>
      <w:r>
        <w:rPr>
          <w:rFonts w:hint="eastAsia"/>
          <w:sz w:val="21"/>
          <w:szCs w:val="21"/>
        </w:rPr>
        <w:t>日</w:t>
      </w:r>
      <w:r>
        <w:rPr>
          <w:rFonts w:hint="default" w:eastAsia="宋体" w:cs="Times New Roman"/>
          <w:sz w:val="21"/>
          <w:szCs w:val="21"/>
          <w:u w:val="single" w:color="auto"/>
        </w:rPr>
        <w:t xml:space="preserve">   </w:t>
      </w:r>
      <w:r>
        <w:rPr>
          <w:rFonts w:hint="eastAsia"/>
          <w:sz w:val="21"/>
          <w:szCs w:val="21"/>
        </w:rPr>
        <w:t>时至</w:t>
      </w:r>
      <w:r>
        <w:rPr>
          <w:rFonts w:hint="default" w:eastAsia="宋体" w:cs="Times New Roman"/>
          <w:sz w:val="21"/>
          <w:szCs w:val="21"/>
          <w:u w:val="single" w:color="auto"/>
        </w:rPr>
        <w:t xml:space="preserve">   </w:t>
      </w:r>
      <w:r>
        <w:rPr>
          <w:rFonts w:hint="eastAsia"/>
          <w:sz w:val="21"/>
          <w:szCs w:val="21"/>
        </w:rPr>
        <w:t>年</w:t>
      </w:r>
      <w:r>
        <w:rPr>
          <w:rFonts w:hint="default" w:eastAsia="宋体" w:cs="Times New Roman"/>
          <w:sz w:val="21"/>
          <w:szCs w:val="21"/>
          <w:u w:val="single" w:color="auto"/>
        </w:rPr>
        <w:t xml:space="preserve">   </w:t>
      </w:r>
      <w:r>
        <w:rPr>
          <w:rFonts w:hint="eastAsia"/>
          <w:sz w:val="21"/>
          <w:szCs w:val="21"/>
        </w:rPr>
        <w:t>月</w:t>
      </w:r>
      <w:r>
        <w:rPr>
          <w:rFonts w:hint="default" w:eastAsia="宋体" w:cs="Times New Roman"/>
          <w:sz w:val="21"/>
          <w:szCs w:val="21"/>
          <w:u w:val="single" w:color="auto"/>
        </w:rPr>
        <w:t xml:space="preserve">   </w:t>
      </w:r>
      <w:r>
        <w:rPr>
          <w:rFonts w:hint="eastAsia"/>
          <w:sz w:val="21"/>
          <w:szCs w:val="21"/>
        </w:rPr>
        <w:t>日</w:t>
      </w:r>
      <w:r>
        <w:rPr>
          <w:rFonts w:hint="default" w:eastAsia="宋体" w:cs="Times New Roman"/>
          <w:sz w:val="21"/>
          <w:szCs w:val="21"/>
          <w:u w:val="single" w:color="auto"/>
        </w:rPr>
        <w:t xml:space="preserve">   </w:t>
      </w:r>
      <w:r>
        <w:rPr>
          <w:rFonts w:hint="eastAsia"/>
          <w:sz w:val="21"/>
          <w:szCs w:val="21"/>
        </w:rPr>
        <w:t>时</w:t>
      </w:r>
      <w:r>
        <w:rPr>
          <w:rFonts w:hint="eastAsia"/>
          <w:sz w:val="21"/>
          <w:szCs w:val="21"/>
          <w:lang w:eastAsia="zh-Hans"/>
        </w:rPr>
        <w:t>（</w:t>
      </w:r>
      <w:r>
        <w:rPr>
          <w:rFonts w:hint="eastAsia"/>
          <w:sz w:val="21"/>
          <w:szCs w:val="21"/>
        </w:rPr>
        <w:t>北京时间，下同</w:t>
      </w:r>
      <w:r>
        <w:rPr>
          <w:rFonts w:hint="eastAsia"/>
          <w:sz w:val="21"/>
          <w:szCs w:val="21"/>
          <w:lang w:eastAsia="zh-Hans"/>
        </w:rPr>
        <w:t>）</w:t>
      </w:r>
      <w:r>
        <w:rPr>
          <w:rFonts w:hint="eastAsia"/>
          <w:sz w:val="21"/>
          <w:szCs w:val="21"/>
        </w:rPr>
        <w:t>，登录</w:t>
      </w:r>
      <w:r>
        <w:rPr>
          <w:rFonts w:hint="default"/>
          <w:sz w:val="21"/>
          <w:szCs w:val="21"/>
          <w:u w:val="single"/>
        </w:rPr>
        <w:t xml:space="preserve">   </w:t>
      </w:r>
      <w:r>
        <w:rPr>
          <w:rFonts w:hint="eastAsia"/>
          <w:sz w:val="21"/>
          <w:szCs w:val="21"/>
          <w:u w:val="single"/>
        </w:rPr>
        <w:t>（电子招标投标交易平台名称</w:t>
      </w:r>
      <w:r>
        <w:rPr>
          <w:rFonts w:hint="eastAsia"/>
          <w:sz w:val="21"/>
          <w:szCs w:val="21"/>
          <w:u w:val="single"/>
          <w:lang w:eastAsia="zh-Hans"/>
        </w:rPr>
        <w:t>、</w:t>
      </w:r>
      <w:r>
        <w:rPr>
          <w:rFonts w:hint="eastAsia"/>
          <w:sz w:val="21"/>
          <w:szCs w:val="21"/>
          <w:u w:val="single"/>
          <w:lang w:val="en-US" w:eastAsia="zh-Hans"/>
        </w:rPr>
        <w:t>网址</w:t>
      </w:r>
      <w:r>
        <w:rPr>
          <w:rFonts w:hint="eastAsia"/>
          <w:sz w:val="21"/>
          <w:szCs w:val="21"/>
          <w:u w:val="single"/>
        </w:rPr>
        <w:t>）</w:t>
      </w:r>
      <w:r>
        <w:rPr>
          <w:rFonts w:hint="eastAsia"/>
          <w:sz w:val="21"/>
          <w:szCs w:val="21"/>
        </w:rPr>
        <w:t>下载电子招标文件。</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415" w:name="_Toc1617745813"/>
      <w:bookmarkStart w:id="416" w:name="_Toc743045510"/>
      <w:bookmarkStart w:id="417" w:name="_Toc515440746"/>
      <w:bookmarkStart w:id="418" w:name="_Toc1375196421"/>
      <w:bookmarkStart w:id="419" w:name="_Toc1433421973"/>
      <w:bookmarkStart w:id="420" w:name="_Toc633108970"/>
      <w:bookmarkStart w:id="421" w:name="_Toc1518569483"/>
      <w:bookmarkStart w:id="422" w:name="_Toc412188079"/>
      <w:bookmarkStart w:id="423" w:name="_Toc88595289"/>
      <w:bookmarkStart w:id="424" w:name="_Toc1300166293"/>
      <w:bookmarkStart w:id="425" w:name="_Toc4557"/>
      <w:bookmarkStart w:id="426" w:name="_Toc9046"/>
      <w:bookmarkStart w:id="427" w:name="_Toc511396036"/>
      <w:bookmarkStart w:id="428" w:name="_Toc22604"/>
      <w:bookmarkStart w:id="429" w:name="_Toc444595324"/>
      <w:bookmarkStart w:id="430" w:name="_Toc516822986"/>
      <w:bookmarkStart w:id="431" w:name="_Toc7186472"/>
      <w:bookmarkStart w:id="432" w:name="_Toc2046"/>
      <w:bookmarkStart w:id="433" w:name="_Toc1124250362"/>
      <w:bookmarkStart w:id="434" w:name="_Toc11810"/>
      <w:bookmarkStart w:id="435" w:name="_Toc1516"/>
      <w:bookmarkStart w:id="436" w:name="_Toc1467200914"/>
      <w:bookmarkStart w:id="437" w:name="_Toc812426438"/>
      <w:bookmarkStart w:id="438" w:name="_Toc55096693"/>
      <w:bookmarkStart w:id="439" w:name="_Toc3092"/>
      <w:bookmarkStart w:id="440" w:name="_Toc1119"/>
      <w:r>
        <w:rPr>
          <w:rFonts w:hint="eastAsia" w:asciiTheme="majorEastAsia" w:hAnsiTheme="majorEastAsia"/>
          <w:sz w:val="21"/>
          <w:szCs w:val="21"/>
          <w:lang w:val="en-US" w:eastAsia="zh-CN"/>
        </w:rPr>
        <w:t>5</w:t>
      </w:r>
      <w:r>
        <w:rPr>
          <w:rFonts w:hint="eastAsia" w:asciiTheme="majorEastAsia" w:hAnsiTheme="majorEastAsia"/>
          <w:sz w:val="21"/>
          <w:szCs w:val="21"/>
        </w:rPr>
        <w:t>. 投标文件的递交</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widowControl/>
        <w:shd w:val="clear" w:color="auto" w:fill="FFFFFF"/>
        <w:snapToGrid w:val="0"/>
        <w:ind w:firstLine="420" w:firstLineChars="200"/>
        <w:jc w:val="left"/>
        <w:rPr>
          <w:sz w:val="21"/>
          <w:szCs w:val="21"/>
        </w:rPr>
      </w:pPr>
      <w:r>
        <w:rPr>
          <w:rFonts w:hint="eastAsia"/>
          <w:sz w:val="21"/>
          <w:szCs w:val="21"/>
          <w:lang w:val="en-US" w:eastAsia="zh-CN"/>
        </w:rPr>
        <w:t>5</w:t>
      </w:r>
      <w:r>
        <w:rPr>
          <w:rFonts w:hint="eastAsia"/>
          <w:sz w:val="21"/>
          <w:szCs w:val="21"/>
        </w:rPr>
        <w:t>.1 投标文件递交的截止时间（投标截止时间，下同）为</w:t>
      </w:r>
      <w:r>
        <w:rPr>
          <w:rFonts w:hint="default" w:eastAsia="宋体" w:cs="Times New Roman"/>
          <w:sz w:val="21"/>
          <w:szCs w:val="21"/>
          <w:u w:val="single" w:color="auto"/>
        </w:rPr>
        <w:t xml:space="preserve">   </w:t>
      </w:r>
      <w:r>
        <w:rPr>
          <w:rFonts w:hint="eastAsia"/>
          <w:sz w:val="21"/>
          <w:szCs w:val="21"/>
        </w:rPr>
        <w:t>年</w:t>
      </w:r>
      <w:r>
        <w:rPr>
          <w:rFonts w:hint="default" w:eastAsia="宋体" w:cs="Times New Roman"/>
          <w:sz w:val="21"/>
          <w:szCs w:val="21"/>
          <w:u w:val="single" w:color="auto"/>
        </w:rPr>
        <w:t xml:space="preserve">   </w:t>
      </w:r>
      <w:r>
        <w:rPr>
          <w:rFonts w:hint="eastAsia"/>
          <w:sz w:val="21"/>
          <w:szCs w:val="21"/>
        </w:rPr>
        <w:t>月</w:t>
      </w:r>
      <w:r>
        <w:rPr>
          <w:rFonts w:hint="default" w:eastAsia="宋体" w:cs="Times New Roman"/>
          <w:sz w:val="21"/>
          <w:szCs w:val="21"/>
          <w:u w:val="single" w:color="auto"/>
        </w:rPr>
        <w:t xml:space="preserve">   </w:t>
      </w:r>
      <w:r>
        <w:rPr>
          <w:rFonts w:hint="eastAsia"/>
          <w:sz w:val="21"/>
          <w:szCs w:val="21"/>
        </w:rPr>
        <w:t>日</w:t>
      </w:r>
      <w:r>
        <w:rPr>
          <w:rFonts w:hint="default" w:eastAsia="宋体" w:cs="Times New Roman"/>
          <w:sz w:val="21"/>
          <w:szCs w:val="21"/>
          <w:u w:val="single" w:color="auto"/>
        </w:rPr>
        <w:t xml:space="preserve">   </w:t>
      </w:r>
      <w:r>
        <w:rPr>
          <w:rFonts w:hint="eastAsia"/>
          <w:sz w:val="21"/>
          <w:szCs w:val="21"/>
        </w:rPr>
        <w:t>时</w:t>
      </w:r>
      <w:r>
        <w:rPr>
          <w:rFonts w:hint="default" w:eastAsia="宋体" w:cs="Times New Roman"/>
          <w:sz w:val="21"/>
          <w:szCs w:val="21"/>
          <w:u w:val="single" w:color="auto"/>
        </w:rPr>
        <w:t xml:space="preserve"> </w:t>
      </w:r>
      <w:r>
        <w:rPr>
          <w:rFonts w:hint="eastAsia" w:eastAsia="宋体" w:cs="Times New Roman"/>
          <w:sz w:val="21"/>
          <w:szCs w:val="21"/>
          <w:u w:val="single" w:color="auto"/>
          <w:lang w:val="en-US" w:eastAsia="zh-CN"/>
        </w:rPr>
        <w:t xml:space="preserve"> </w:t>
      </w:r>
      <w:r>
        <w:rPr>
          <w:rFonts w:hint="default" w:eastAsia="宋体" w:cs="Times New Roman"/>
          <w:sz w:val="21"/>
          <w:szCs w:val="21"/>
          <w:u w:val="single" w:color="auto"/>
        </w:rPr>
        <w:t xml:space="preserve"> </w:t>
      </w:r>
      <w:r>
        <w:rPr>
          <w:rFonts w:hint="eastAsia"/>
          <w:sz w:val="21"/>
          <w:szCs w:val="21"/>
        </w:rPr>
        <w:t>分，投标人应在截止时间前通过</w:t>
      </w:r>
      <w:r>
        <w:rPr>
          <w:rFonts w:hint="default"/>
          <w:sz w:val="21"/>
          <w:szCs w:val="21"/>
          <w:u w:val="single"/>
        </w:rPr>
        <w:t xml:space="preserve">      </w:t>
      </w:r>
      <w:r>
        <w:rPr>
          <w:rFonts w:hint="eastAsia"/>
          <w:sz w:val="21"/>
          <w:szCs w:val="21"/>
          <w:u w:val="single"/>
        </w:rPr>
        <w:t>（电子招标投标交易平台名称</w:t>
      </w:r>
      <w:r>
        <w:rPr>
          <w:rFonts w:hint="eastAsia"/>
          <w:sz w:val="21"/>
          <w:szCs w:val="21"/>
          <w:u w:val="single"/>
          <w:lang w:eastAsia="zh-Hans"/>
        </w:rPr>
        <w:t>、</w:t>
      </w:r>
      <w:r>
        <w:rPr>
          <w:rFonts w:hint="eastAsia"/>
          <w:sz w:val="21"/>
          <w:szCs w:val="21"/>
          <w:u w:val="single"/>
          <w:lang w:val="en-US" w:eastAsia="zh-Hans"/>
        </w:rPr>
        <w:t>网址</w:t>
      </w:r>
      <w:r>
        <w:rPr>
          <w:rFonts w:hint="eastAsia"/>
          <w:sz w:val="21"/>
          <w:szCs w:val="21"/>
          <w:u w:val="single"/>
        </w:rPr>
        <w:t>）</w:t>
      </w:r>
      <w:r>
        <w:rPr>
          <w:rFonts w:hint="eastAsia"/>
          <w:sz w:val="21"/>
          <w:szCs w:val="21"/>
        </w:rPr>
        <w:t>递交电子投标文件。</w:t>
      </w:r>
    </w:p>
    <w:p>
      <w:pPr>
        <w:widowControl/>
        <w:shd w:val="clear" w:color="auto" w:fill="FFFFFF"/>
        <w:snapToGrid w:val="0"/>
        <w:ind w:firstLine="420" w:firstLineChars="200"/>
        <w:jc w:val="left"/>
        <w:rPr>
          <w:sz w:val="21"/>
          <w:szCs w:val="21"/>
        </w:rPr>
      </w:pPr>
      <w:r>
        <w:rPr>
          <w:rFonts w:hint="eastAsia"/>
          <w:sz w:val="21"/>
          <w:szCs w:val="21"/>
          <w:lang w:val="en-US" w:eastAsia="zh-CN"/>
        </w:rPr>
        <w:t>5</w:t>
      </w:r>
      <w:r>
        <w:rPr>
          <w:rFonts w:hint="eastAsia"/>
          <w:sz w:val="21"/>
          <w:szCs w:val="21"/>
        </w:rPr>
        <w:t>.2 逾期送达的投标文件，电子招标投标交易平台将予以拒收。</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441" w:name="_Toc1218002555"/>
      <w:bookmarkStart w:id="442" w:name="_Toc1838526744"/>
      <w:bookmarkStart w:id="443" w:name="_Toc1714707828"/>
      <w:bookmarkStart w:id="444" w:name="_Toc19115"/>
      <w:bookmarkStart w:id="445" w:name="_Toc814854852"/>
      <w:bookmarkStart w:id="446" w:name="_Toc191"/>
      <w:bookmarkStart w:id="447" w:name="_Toc1248778226"/>
      <w:bookmarkStart w:id="448" w:name="_Toc515440747"/>
      <w:bookmarkStart w:id="449" w:name="_Toc516822987"/>
      <w:bookmarkStart w:id="450" w:name="_Toc1707238733"/>
      <w:bookmarkStart w:id="451" w:name="_Toc27293"/>
      <w:bookmarkStart w:id="452" w:name="_Toc13718"/>
      <w:bookmarkStart w:id="453" w:name="_Toc30885"/>
      <w:bookmarkStart w:id="454" w:name="_Toc2028471552"/>
      <w:bookmarkStart w:id="455" w:name="_Toc2010282178"/>
      <w:bookmarkStart w:id="456" w:name="_Toc27367"/>
      <w:bookmarkStart w:id="457" w:name="_Toc750115840"/>
      <w:bookmarkStart w:id="458" w:name="_Toc163424424"/>
      <w:bookmarkStart w:id="459" w:name="_Toc748479265"/>
      <w:bookmarkStart w:id="460" w:name="_Toc1901639833"/>
      <w:bookmarkStart w:id="461" w:name="_Toc25124"/>
      <w:bookmarkStart w:id="462" w:name="_Toc511396037"/>
      <w:bookmarkStart w:id="463" w:name="_Toc1051548165"/>
      <w:bookmarkStart w:id="464" w:name="_Toc6521"/>
      <w:bookmarkStart w:id="465" w:name="_Toc7186473"/>
      <w:bookmarkStart w:id="466" w:name="_Toc444667394"/>
      <w:r>
        <w:rPr>
          <w:rFonts w:hint="eastAsia" w:asciiTheme="majorEastAsia" w:hAnsiTheme="majorEastAsia"/>
          <w:sz w:val="21"/>
          <w:szCs w:val="21"/>
          <w:lang w:val="en-US" w:eastAsia="zh-CN"/>
        </w:rPr>
        <w:t>6</w:t>
      </w:r>
      <w:r>
        <w:rPr>
          <w:rFonts w:hint="eastAsia" w:asciiTheme="majorEastAsia" w:hAnsiTheme="majorEastAsia"/>
          <w:sz w:val="21"/>
          <w:szCs w:val="21"/>
        </w:rPr>
        <w:t>. 确认</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widowControl/>
        <w:shd w:val="clear" w:color="auto" w:fill="FFFFFF"/>
        <w:snapToGrid w:val="0"/>
        <w:ind w:firstLine="420" w:firstLineChars="200"/>
        <w:jc w:val="left"/>
        <w:rPr>
          <w:sz w:val="21"/>
          <w:szCs w:val="21"/>
        </w:rPr>
      </w:pPr>
      <w:r>
        <w:rPr>
          <w:rFonts w:hint="eastAsia"/>
          <w:sz w:val="21"/>
          <w:szCs w:val="21"/>
        </w:rPr>
        <w:t>你单位收到本邀请书后，请于</w:t>
      </w:r>
      <w:r>
        <w:rPr>
          <w:rFonts w:hint="default" w:eastAsia="宋体" w:cs="Times New Roman"/>
          <w:sz w:val="21"/>
          <w:szCs w:val="21"/>
          <w:u w:val="single" w:color="auto"/>
        </w:rPr>
        <w:t xml:space="preserve">         </w:t>
      </w:r>
      <w:r>
        <w:rPr>
          <w:rFonts w:hint="eastAsia"/>
          <w:sz w:val="21"/>
          <w:szCs w:val="21"/>
        </w:rPr>
        <w:t>年</w:t>
      </w:r>
      <w:r>
        <w:rPr>
          <w:rFonts w:hint="default" w:eastAsia="宋体" w:cs="Times New Roman"/>
          <w:sz w:val="21"/>
          <w:szCs w:val="21"/>
          <w:u w:val="single" w:color="auto"/>
        </w:rPr>
        <w:t xml:space="preserve">        </w:t>
      </w:r>
      <w:r>
        <w:rPr>
          <w:rFonts w:hint="eastAsia"/>
          <w:sz w:val="21"/>
          <w:szCs w:val="21"/>
        </w:rPr>
        <w:t>月</w:t>
      </w:r>
      <w:r>
        <w:rPr>
          <w:rFonts w:hint="default" w:eastAsia="宋体" w:cs="Times New Roman"/>
          <w:sz w:val="21"/>
          <w:szCs w:val="21"/>
          <w:u w:val="single" w:color="auto"/>
        </w:rPr>
        <w:t xml:space="preserve">        </w:t>
      </w:r>
      <w:r>
        <w:rPr>
          <w:rFonts w:hint="eastAsia"/>
          <w:sz w:val="21"/>
          <w:szCs w:val="21"/>
        </w:rPr>
        <w:t>日</w:t>
      </w:r>
      <w:r>
        <w:rPr>
          <w:rFonts w:hint="default" w:eastAsia="宋体" w:cs="Times New Roman"/>
          <w:sz w:val="21"/>
          <w:szCs w:val="21"/>
          <w:u w:val="single" w:color="auto"/>
        </w:rPr>
        <w:t xml:space="preserve">        </w:t>
      </w:r>
      <w:r>
        <w:rPr>
          <w:rFonts w:hint="eastAsia"/>
          <w:sz w:val="21"/>
          <w:szCs w:val="21"/>
        </w:rPr>
        <w:t>时前，使用本单位CA证书通过</w:t>
      </w:r>
      <w:r>
        <w:rPr>
          <w:rFonts w:hint="eastAsia"/>
          <w:sz w:val="21"/>
          <w:szCs w:val="21"/>
          <w:u w:val="single"/>
        </w:rPr>
        <w:t xml:space="preserve">     （电子</w:t>
      </w:r>
      <w:r>
        <w:rPr>
          <w:rFonts w:hint="eastAsia"/>
          <w:sz w:val="21"/>
          <w:szCs w:val="21"/>
          <w:u w:val="single"/>
          <w:lang w:val="en-US" w:eastAsia="zh-Hans"/>
        </w:rPr>
        <w:t>招标投标</w:t>
      </w:r>
      <w:r>
        <w:rPr>
          <w:rFonts w:hint="eastAsia"/>
          <w:sz w:val="21"/>
          <w:szCs w:val="21"/>
          <w:u w:val="single"/>
        </w:rPr>
        <w:t>交易平台名称</w:t>
      </w:r>
      <w:r>
        <w:rPr>
          <w:rFonts w:hint="eastAsia"/>
          <w:sz w:val="21"/>
          <w:szCs w:val="21"/>
          <w:u w:val="single"/>
          <w:lang w:eastAsia="zh-Hans"/>
        </w:rPr>
        <w:t>、</w:t>
      </w:r>
      <w:r>
        <w:rPr>
          <w:rFonts w:hint="eastAsia"/>
          <w:sz w:val="21"/>
          <w:szCs w:val="21"/>
          <w:u w:val="single"/>
          <w:lang w:val="en-US" w:eastAsia="zh-Hans"/>
        </w:rPr>
        <w:t>网址</w:t>
      </w:r>
      <w:r>
        <w:rPr>
          <w:rFonts w:hint="eastAsia"/>
          <w:sz w:val="21"/>
          <w:szCs w:val="21"/>
          <w:u w:val="single"/>
        </w:rPr>
        <w:t>）</w:t>
      </w:r>
      <w:r>
        <w:rPr>
          <w:rFonts w:hint="eastAsia"/>
          <w:sz w:val="21"/>
          <w:szCs w:val="21"/>
        </w:rPr>
        <w:t>予以确认是否参加投标。在本邀请书规定的时间内未表示是否参加投标或明确表示不参加投标的，不得再参加投标。</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467" w:name="_Toc2011406103"/>
      <w:bookmarkStart w:id="468" w:name="_Toc2124273372"/>
      <w:bookmarkStart w:id="469" w:name="_Toc1154818681"/>
      <w:bookmarkStart w:id="470" w:name="_Toc1879286376"/>
      <w:bookmarkStart w:id="471" w:name="_Toc1467914990"/>
      <w:bookmarkStart w:id="472" w:name="_Toc23442"/>
      <w:bookmarkStart w:id="473" w:name="_Toc281799398"/>
      <w:bookmarkStart w:id="474" w:name="_Toc31906"/>
      <w:bookmarkStart w:id="475" w:name="_Toc762280645"/>
      <w:bookmarkStart w:id="476" w:name="_Toc1634"/>
      <w:bookmarkStart w:id="477" w:name="_Toc24261"/>
      <w:bookmarkStart w:id="478" w:name="_Toc7164"/>
      <w:bookmarkStart w:id="479" w:name="_Toc28586"/>
      <w:bookmarkStart w:id="480" w:name="_Toc42709655"/>
      <w:bookmarkStart w:id="481" w:name="_Toc26912"/>
      <w:bookmarkStart w:id="482" w:name="_Toc8462"/>
      <w:bookmarkStart w:id="483" w:name="_Toc1218478339"/>
      <w:bookmarkStart w:id="484" w:name="_Toc2009038577"/>
      <w:bookmarkStart w:id="485" w:name="_Toc1727077992"/>
      <w:bookmarkStart w:id="486" w:name="_Toc1032377964"/>
      <w:bookmarkStart w:id="487" w:name="_Toc857962251"/>
      <w:bookmarkStart w:id="488" w:name="_Toc452347395"/>
      <w:bookmarkStart w:id="489" w:name="_Toc7186474"/>
      <w:bookmarkStart w:id="490" w:name="_Toc515440748"/>
      <w:bookmarkStart w:id="491" w:name="_Toc511396038"/>
      <w:bookmarkStart w:id="492" w:name="_Toc516822988"/>
      <w:r>
        <w:rPr>
          <w:rFonts w:hint="eastAsia" w:asciiTheme="majorEastAsia" w:hAnsiTheme="majorEastAsia"/>
          <w:sz w:val="21"/>
          <w:szCs w:val="21"/>
          <w:lang w:val="en-US" w:eastAsia="zh-CN"/>
        </w:rPr>
        <w:t>7</w:t>
      </w:r>
      <w:r>
        <w:rPr>
          <w:rFonts w:hint="eastAsia" w:asciiTheme="majorEastAsia" w:hAnsiTheme="majorEastAsia"/>
          <w:sz w:val="21"/>
          <w:szCs w:val="21"/>
        </w:rPr>
        <w:t>.投标保证金的提交</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widowControl/>
        <w:shd w:val="clear" w:color="auto" w:fill="FFFFFF"/>
        <w:snapToGrid w:val="0"/>
        <w:ind w:firstLine="420" w:firstLineChars="200"/>
        <w:jc w:val="left"/>
        <w:rPr>
          <w:rFonts w:hint="eastAsia" w:ascii="宋体" w:hAnsi="宋体"/>
          <w:sz w:val="21"/>
          <w:szCs w:val="21"/>
        </w:rPr>
      </w:pPr>
      <w:r>
        <w:rPr>
          <w:rFonts w:hint="eastAsia" w:ascii="宋体" w:hAnsi="宋体"/>
          <w:sz w:val="21"/>
          <w:szCs w:val="21"/>
          <w:lang w:val="en-US" w:eastAsia="zh-CN"/>
        </w:rPr>
        <w:t>7</w:t>
      </w:r>
      <w:r>
        <w:rPr>
          <w:rFonts w:hint="eastAsia" w:ascii="宋体" w:hAnsi="宋体"/>
          <w:sz w:val="21"/>
          <w:szCs w:val="21"/>
        </w:rPr>
        <w:t>.1.投标保证金提交截止时间：</w:t>
      </w:r>
      <w:r>
        <w:rPr>
          <w:rFonts w:hint="eastAsia" w:ascii="宋体" w:hAnsi="宋体"/>
          <w:sz w:val="21"/>
          <w:szCs w:val="21"/>
          <w:u w:val="single"/>
        </w:rPr>
        <w:t xml:space="preserve">  </w:t>
      </w:r>
      <w:r>
        <w:rPr>
          <w:rFonts w:hint="default" w:ascii="宋体" w:hAnsi="宋体"/>
          <w:sz w:val="21"/>
          <w:szCs w:val="21"/>
          <w:u w:val="single"/>
        </w:rPr>
        <w:t xml:space="preserve">     </w:t>
      </w:r>
      <w:r>
        <w:rPr>
          <w:rFonts w:hint="eastAsia" w:ascii="宋体" w:hAnsi="宋体"/>
          <w:sz w:val="21"/>
          <w:szCs w:val="21"/>
          <w:u w:val="single"/>
        </w:rPr>
        <w:t xml:space="preserve">   </w:t>
      </w:r>
      <w:r>
        <w:rPr>
          <w:rFonts w:hint="eastAsia" w:ascii="宋体" w:hAnsi="宋体"/>
          <w:sz w:val="21"/>
          <w:szCs w:val="21"/>
        </w:rPr>
        <w:t>。</w:t>
      </w:r>
    </w:p>
    <w:p>
      <w:pPr>
        <w:widowControl/>
        <w:shd w:val="clear" w:color="auto" w:fill="FFFFFF"/>
        <w:snapToGrid w:val="0"/>
        <w:ind w:firstLine="420" w:firstLineChars="200"/>
        <w:jc w:val="left"/>
        <w:rPr>
          <w:rFonts w:hint="eastAsia" w:ascii="宋体" w:hAnsi="宋体"/>
          <w:sz w:val="21"/>
          <w:szCs w:val="21"/>
        </w:rPr>
      </w:pPr>
      <w:r>
        <w:rPr>
          <w:rFonts w:hint="eastAsia" w:ascii="宋体" w:hAnsi="宋体"/>
          <w:sz w:val="21"/>
          <w:szCs w:val="21"/>
          <w:lang w:val="en-US" w:eastAsia="zh-CN"/>
        </w:rPr>
        <w:t>7</w:t>
      </w:r>
      <w:r>
        <w:rPr>
          <w:rFonts w:hint="eastAsia" w:ascii="宋体" w:hAnsi="宋体"/>
          <w:sz w:val="21"/>
          <w:szCs w:val="21"/>
        </w:rPr>
        <w:t>.2.投标保证金提交的金额：</w:t>
      </w:r>
      <w:r>
        <w:rPr>
          <w:rFonts w:hint="eastAsia" w:ascii="宋体" w:hAnsi="宋体"/>
          <w:sz w:val="21"/>
          <w:szCs w:val="21"/>
          <w:u w:val="single"/>
        </w:rPr>
        <w:t xml:space="preserve">   </w:t>
      </w:r>
      <w:r>
        <w:rPr>
          <w:rFonts w:hint="default" w:ascii="宋体" w:hAnsi="宋体"/>
          <w:sz w:val="21"/>
          <w:szCs w:val="21"/>
          <w:u w:val="single"/>
        </w:rPr>
        <w:t xml:space="preserve">     </w:t>
      </w:r>
      <w:r>
        <w:rPr>
          <w:rFonts w:hint="eastAsia" w:ascii="宋体" w:hAnsi="宋体"/>
          <w:sz w:val="21"/>
          <w:szCs w:val="21"/>
          <w:u w:val="single"/>
        </w:rPr>
        <w:t xml:space="preserve">  </w:t>
      </w:r>
      <w:r>
        <w:rPr>
          <w:rFonts w:hint="eastAsia" w:ascii="宋体" w:hAnsi="宋体"/>
          <w:sz w:val="21"/>
          <w:szCs w:val="21"/>
        </w:rPr>
        <w:t>元。</w:t>
      </w:r>
    </w:p>
    <w:p>
      <w:pPr>
        <w:widowControl/>
        <w:shd w:val="clear" w:color="auto" w:fill="FFFFFF"/>
        <w:ind w:firstLine="420" w:firstLineChars="200"/>
        <w:jc w:val="left"/>
        <w:rPr>
          <w:rFonts w:hint="eastAsia" w:asciiTheme="majorEastAsia" w:hAnsiTheme="majorEastAsia"/>
          <w:sz w:val="21"/>
          <w:szCs w:val="21"/>
        </w:rPr>
      </w:pPr>
      <w:r>
        <w:rPr>
          <w:rFonts w:hint="eastAsia" w:ascii="宋体" w:hAnsi="宋体"/>
          <w:sz w:val="21"/>
          <w:szCs w:val="21"/>
          <w:lang w:val="en-US" w:eastAsia="zh-CN"/>
        </w:rPr>
        <w:t>7</w:t>
      </w:r>
      <w:r>
        <w:rPr>
          <w:rFonts w:hint="eastAsia" w:ascii="宋体" w:hAnsi="宋体"/>
          <w:sz w:val="21"/>
          <w:szCs w:val="21"/>
        </w:rPr>
        <w:t>.3.投标保证金提交的方式：</w:t>
      </w:r>
      <w:r>
        <w:rPr>
          <w:rFonts w:hint="eastAsia" w:ascii="宋体" w:hAnsi="宋体"/>
          <w:sz w:val="21"/>
          <w:szCs w:val="21"/>
        </w:rPr>
        <w:sym w:font="Wingdings 2" w:char="00A3"/>
      </w:r>
      <w:r>
        <w:rPr>
          <w:rFonts w:hint="eastAsia" w:ascii="宋体" w:hAnsi="宋体"/>
          <w:sz w:val="21"/>
          <w:szCs w:val="21"/>
        </w:rPr>
        <w:t xml:space="preserve">无要求 □现金 </w:t>
      </w:r>
      <w:r>
        <w:rPr>
          <w:rFonts w:hint="eastAsia" w:ascii="宋体" w:hAnsi="宋体"/>
          <w:sz w:val="21"/>
          <w:szCs w:val="21"/>
        </w:rPr>
        <w:sym w:font="Wingdings 2" w:char="00A3"/>
      </w:r>
      <w:r>
        <w:rPr>
          <w:rFonts w:hint="eastAsia" w:ascii="宋体" w:hAnsi="宋体"/>
          <w:sz w:val="21"/>
          <w:szCs w:val="21"/>
        </w:rPr>
        <w:t>电子保函 □其他</w:t>
      </w:r>
      <w:r>
        <w:rPr>
          <w:rFonts w:hint="eastAsia" w:ascii="宋体" w:hAnsi="宋体"/>
          <w:sz w:val="21"/>
          <w:szCs w:val="21"/>
          <w:u w:val="single"/>
        </w:rPr>
        <w:t xml:space="preserve">       </w:t>
      </w:r>
      <w:r>
        <w:rPr>
          <w:rFonts w:hint="default" w:ascii="宋体" w:hAnsi="宋体"/>
          <w:sz w:val="21"/>
          <w:szCs w:val="21"/>
          <w:u w:val="single"/>
        </w:rPr>
        <w:t xml:space="preserve"> </w:t>
      </w:r>
      <w:r>
        <w:rPr>
          <w:rFonts w:hint="eastAsia" w:ascii="宋体" w:hAnsi="宋体"/>
          <w:sz w:val="21"/>
          <w:szCs w:val="21"/>
          <w:u w:val="single"/>
        </w:rPr>
        <w:t xml:space="preserve"> </w:t>
      </w:r>
      <w:r>
        <w:rPr>
          <w:rFonts w:hint="eastAsia" w:ascii="宋体" w:hAnsi="宋体"/>
          <w:sz w:val="21"/>
          <w:szCs w:val="21"/>
        </w:rPr>
        <w:t>。</w:t>
      </w:r>
    </w:p>
    <w:p>
      <w:pPr>
        <w:pStyle w:val="3"/>
        <w:adjustRightInd w:val="0"/>
        <w:snapToGrid w:val="0"/>
        <w:spacing w:before="0" w:after="0" w:line="520" w:lineRule="exact"/>
        <w:ind w:firstLine="422" w:firstLineChars="200"/>
        <w:rPr>
          <w:rFonts w:hint="eastAsia" w:asciiTheme="majorEastAsia" w:hAnsiTheme="majorEastAsia"/>
          <w:sz w:val="21"/>
          <w:szCs w:val="21"/>
        </w:rPr>
      </w:pPr>
      <w:bookmarkStart w:id="493" w:name="_Toc3408"/>
      <w:bookmarkStart w:id="494" w:name="_Toc20630"/>
      <w:bookmarkStart w:id="495" w:name="_Toc746931829"/>
      <w:bookmarkStart w:id="496" w:name="_Toc11320"/>
      <w:bookmarkStart w:id="497" w:name="_Toc561633487"/>
      <w:bookmarkStart w:id="498" w:name="_Toc3135"/>
      <w:bookmarkStart w:id="499" w:name="_Toc1001040551"/>
      <w:bookmarkStart w:id="500" w:name="_Toc9942"/>
      <w:bookmarkStart w:id="501" w:name="_Toc1025981858"/>
      <w:bookmarkStart w:id="502" w:name="_Toc23173"/>
      <w:bookmarkStart w:id="503" w:name="_Toc955100194"/>
      <w:bookmarkStart w:id="504" w:name="_Toc2124125003"/>
      <w:bookmarkStart w:id="505" w:name="_Toc14802047"/>
      <w:bookmarkStart w:id="506" w:name="_Toc1656056835"/>
      <w:bookmarkStart w:id="507" w:name="_Toc1566346599"/>
      <w:bookmarkStart w:id="508" w:name="_Toc1910846160"/>
      <w:bookmarkStart w:id="509" w:name="_Toc1610838692"/>
      <w:bookmarkStart w:id="510" w:name="_Toc25972"/>
      <w:bookmarkStart w:id="511" w:name="_Toc561385781"/>
      <w:bookmarkStart w:id="512" w:name="_Toc26999"/>
      <w:bookmarkStart w:id="513" w:name="_Toc510557385"/>
      <w:bookmarkStart w:id="514" w:name="_Toc80369981"/>
      <w:r>
        <w:rPr>
          <w:rFonts w:hint="eastAsia" w:asciiTheme="majorEastAsia" w:hAnsiTheme="majorEastAsia"/>
          <w:sz w:val="21"/>
          <w:szCs w:val="21"/>
          <w:lang w:val="en-US" w:eastAsia="zh-CN"/>
        </w:rPr>
        <w:t>8</w:t>
      </w:r>
      <w:r>
        <w:rPr>
          <w:rFonts w:hint="eastAsia" w:asciiTheme="majorEastAsia" w:hAnsiTheme="majorEastAsia"/>
          <w:sz w:val="21"/>
          <w:szCs w:val="21"/>
        </w:rPr>
        <w:t>. 联系方式</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7"/>
        <w:snapToGrid w:val="0"/>
        <w:spacing w:line="420" w:lineRule="exact"/>
        <w:ind w:firstLine="420" w:firstLineChars="200"/>
        <w:rPr>
          <w:rFonts w:hint="eastAsia" w:ascii="宋体" w:hAnsi="宋体" w:cs="宋体"/>
          <w:sz w:val="21"/>
          <w:szCs w:val="21"/>
        </w:rPr>
      </w:pPr>
      <w:r>
        <w:rPr>
          <w:rFonts w:hint="eastAsia" w:ascii="宋体" w:hAnsi="宋体" w:cs="宋体"/>
          <w:sz w:val="21"/>
          <w:szCs w:val="21"/>
        </w:rPr>
        <w:t>招标人：</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u w:val="single"/>
        </w:rPr>
      </w:pPr>
      <w:r>
        <w:rPr>
          <w:rFonts w:hint="eastAsia" w:ascii="宋体" w:hAnsi="宋体" w:cs="宋体"/>
          <w:sz w:val="21"/>
          <w:szCs w:val="21"/>
        </w:rPr>
        <w:t>地</w:t>
      </w:r>
      <w:r>
        <w:rPr>
          <w:rFonts w:hint="default" w:ascii="宋体" w:hAnsi="宋体" w:cs="宋体"/>
          <w:sz w:val="21"/>
          <w:szCs w:val="21"/>
        </w:rPr>
        <w:t xml:space="preserve">  </w:t>
      </w:r>
      <w:r>
        <w:rPr>
          <w:rFonts w:hint="eastAsia" w:ascii="宋体" w:hAnsi="宋体" w:cs="宋体"/>
          <w:sz w:val="21"/>
          <w:szCs w:val="21"/>
        </w:rPr>
        <w:t>址：</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eastAsia" w:ascii="宋体" w:hAnsi="宋体" w:cs="宋体"/>
          <w:sz w:val="21"/>
          <w:szCs w:val="21"/>
        </w:rPr>
        <w:t>，邮</w:t>
      </w:r>
      <w:r>
        <w:rPr>
          <w:rFonts w:hint="default" w:ascii="宋体" w:hAnsi="宋体" w:cs="宋体"/>
          <w:sz w:val="21"/>
          <w:szCs w:val="21"/>
        </w:rPr>
        <w:t xml:space="preserve">    </w:t>
      </w:r>
      <w:r>
        <w:rPr>
          <w:rFonts w:hint="eastAsia" w:ascii="宋体" w:hAnsi="宋体" w:cs="宋体"/>
          <w:sz w:val="21"/>
          <w:szCs w:val="21"/>
        </w:rPr>
        <w:t>编：</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rPr>
      </w:pPr>
      <w:r>
        <w:rPr>
          <w:rFonts w:hint="eastAsia" w:ascii="宋体" w:hAnsi="宋体" w:cs="宋体"/>
          <w:sz w:val="21"/>
          <w:szCs w:val="21"/>
        </w:rPr>
        <w:t xml:space="preserve">联系人： </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default" w:ascii="宋体" w:hAnsi="宋体" w:cs="宋体"/>
          <w:sz w:val="21"/>
          <w:szCs w:val="21"/>
          <w:u w:val="single"/>
          <w:lang w:eastAsia="zh-Hans"/>
        </w:rPr>
        <w:t xml:space="preserve"> </w:t>
      </w:r>
      <w:r>
        <w:rPr>
          <w:rFonts w:hint="eastAsia" w:ascii="宋体" w:hAnsi="宋体" w:cs="宋体"/>
          <w:sz w:val="21"/>
          <w:szCs w:val="21"/>
          <w:u w:val="none"/>
          <w:lang w:eastAsia="zh-Hans"/>
        </w:rPr>
        <w:t>，</w:t>
      </w:r>
      <w:r>
        <w:rPr>
          <w:rFonts w:hint="eastAsia" w:ascii="宋体" w:hAnsi="宋体" w:cs="宋体"/>
          <w:sz w:val="21"/>
          <w:szCs w:val="21"/>
        </w:rPr>
        <w:t>电子邮箱</w:t>
      </w:r>
      <w:r>
        <w:rPr>
          <w:rFonts w:hint="eastAsia" w:ascii="宋体" w:hAnsi="宋体" w:cs="宋体"/>
          <w:sz w:val="21"/>
          <w:szCs w:val="21"/>
          <w:lang w:eastAsia="zh-Hans"/>
        </w:rPr>
        <w:t>：</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u w:val="single"/>
        </w:rPr>
      </w:pPr>
      <w:r>
        <w:rPr>
          <w:rFonts w:hint="eastAsia" w:ascii="宋体" w:hAnsi="宋体" w:cs="宋体"/>
          <w:sz w:val="21"/>
          <w:szCs w:val="21"/>
        </w:rPr>
        <w:t>电</w:t>
      </w:r>
      <w:r>
        <w:rPr>
          <w:rFonts w:hint="default" w:ascii="宋体" w:hAnsi="宋体" w:cs="宋体"/>
          <w:sz w:val="21"/>
          <w:szCs w:val="21"/>
        </w:rPr>
        <w:t xml:space="preserve">  </w:t>
      </w:r>
      <w:r>
        <w:rPr>
          <w:rFonts w:hint="eastAsia" w:ascii="宋体" w:hAnsi="宋体" w:cs="宋体"/>
          <w:sz w:val="21"/>
          <w:szCs w:val="21"/>
        </w:rPr>
        <w:t>话：</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eastAsia" w:ascii="宋体" w:hAnsi="宋体" w:cs="宋体"/>
          <w:sz w:val="21"/>
          <w:szCs w:val="21"/>
        </w:rPr>
        <w:t>，传</w:t>
      </w:r>
      <w:r>
        <w:rPr>
          <w:rFonts w:hint="default" w:ascii="宋体" w:hAnsi="宋体" w:cs="宋体"/>
          <w:sz w:val="21"/>
          <w:szCs w:val="21"/>
        </w:rPr>
        <w:t xml:space="preserve">    </w:t>
      </w:r>
      <w:r>
        <w:rPr>
          <w:rFonts w:hint="eastAsia" w:ascii="宋体" w:hAnsi="宋体" w:cs="宋体"/>
          <w:sz w:val="21"/>
          <w:szCs w:val="21"/>
        </w:rPr>
        <w:t>真：</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u w:val="single"/>
        </w:rPr>
      </w:pPr>
    </w:p>
    <w:p>
      <w:pPr>
        <w:pStyle w:val="7"/>
        <w:snapToGrid w:val="0"/>
        <w:spacing w:before="240" w:line="420" w:lineRule="exact"/>
        <w:ind w:firstLine="420" w:firstLineChars="200"/>
        <w:rPr>
          <w:rFonts w:hint="eastAsia" w:ascii="宋体" w:hAnsi="宋体" w:cs="宋体"/>
          <w:sz w:val="21"/>
          <w:szCs w:val="21"/>
        </w:rPr>
      </w:pPr>
      <w:r>
        <w:rPr>
          <w:rFonts w:hint="eastAsia" w:ascii="宋体" w:hAnsi="宋体" w:cs="宋体"/>
          <w:sz w:val="21"/>
          <w:szCs w:val="21"/>
        </w:rPr>
        <w:t>招标代理机构：</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u w:val="single"/>
        </w:rPr>
      </w:pPr>
      <w:r>
        <w:rPr>
          <w:rFonts w:hint="eastAsia" w:ascii="宋体" w:hAnsi="宋体" w:cs="宋体"/>
          <w:sz w:val="21"/>
          <w:szCs w:val="21"/>
        </w:rPr>
        <w:t>地</w:t>
      </w:r>
      <w:r>
        <w:rPr>
          <w:rFonts w:hint="default" w:ascii="宋体" w:hAnsi="宋体" w:cs="宋体"/>
          <w:sz w:val="21"/>
          <w:szCs w:val="21"/>
        </w:rPr>
        <w:t xml:space="preserve">  </w:t>
      </w:r>
      <w:r>
        <w:rPr>
          <w:rFonts w:hint="eastAsia" w:ascii="宋体" w:hAnsi="宋体" w:cs="宋体"/>
          <w:sz w:val="21"/>
          <w:szCs w:val="21"/>
        </w:rPr>
        <w:t>址：</w:t>
      </w:r>
      <w:r>
        <w:rPr>
          <w:rFonts w:hint="eastAsia" w:ascii="宋体" w:hAnsi="宋体" w:cs="宋体"/>
          <w:sz w:val="21"/>
          <w:szCs w:val="21"/>
          <w:u w:val="single"/>
        </w:rPr>
        <w:t xml:space="preserve">                            </w:t>
      </w:r>
      <w:r>
        <w:rPr>
          <w:rFonts w:hint="eastAsia" w:ascii="宋体" w:hAnsi="宋体" w:cs="宋体"/>
          <w:sz w:val="21"/>
          <w:szCs w:val="21"/>
        </w:rPr>
        <w:t>，邮</w:t>
      </w:r>
      <w:r>
        <w:rPr>
          <w:rFonts w:hint="default" w:ascii="宋体" w:hAnsi="宋体" w:cs="宋体"/>
          <w:sz w:val="21"/>
          <w:szCs w:val="21"/>
        </w:rPr>
        <w:t xml:space="preserve">    </w:t>
      </w:r>
      <w:r>
        <w:rPr>
          <w:rFonts w:hint="eastAsia" w:ascii="宋体" w:hAnsi="宋体" w:cs="宋体"/>
          <w:sz w:val="21"/>
          <w:szCs w:val="21"/>
        </w:rPr>
        <w:t>编：</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p>
    <w:p>
      <w:pPr>
        <w:pStyle w:val="7"/>
        <w:snapToGrid w:val="0"/>
        <w:spacing w:line="420" w:lineRule="exact"/>
        <w:ind w:firstLine="420" w:firstLineChars="200"/>
        <w:rPr>
          <w:rFonts w:hint="eastAsia"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none"/>
          <w:lang w:eastAsia="zh-Hans"/>
        </w:rPr>
        <w:t>，</w:t>
      </w:r>
      <w:r>
        <w:rPr>
          <w:rFonts w:hint="eastAsia" w:ascii="宋体" w:hAnsi="宋体" w:cs="宋体"/>
          <w:sz w:val="21"/>
          <w:szCs w:val="21"/>
        </w:rPr>
        <w:t>电子邮箱</w:t>
      </w:r>
      <w:r>
        <w:rPr>
          <w:rFonts w:hint="eastAsia" w:ascii="宋体" w:hAnsi="宋体" w:cs="宋体"/>
          <w:sz w:val="21"/>
          <w:szCs w:val="21"/>
          <w:lang w:eastAsia="zh-Hans"/>
        </w:rPr>
        <w:t>：</w:t>
      </w:r>
      <w:r>
        <w:rPr>
          <w:rFonts w:hint="eastAsia" w:ascii="宋体" w:hAnsi="宋体" w:cs="宋体"/>
          <w:sz w:val="21"/>
          <w:szCs w:val="21"/>
          <w:u w:val="single"/>
        </w:rPr>
        <w:t xml:space="preserve">                </w:t>
      </w:r>
    </w:p>
    <w:p>
      <w:pPr>
        <w:pStyle w:val="7"/>
        <w:snapToGrid w:val="0"/>
        <w:spacing w:line="420" w:lineRule="exact"/>
        <w:ind w:left="0" w:leftChars="0" w:firstLine="420" w:firstLineChars="200"/>
        <w:rPr>
          <w:rFonts w:hint="eastAsia" w:ascii="宋体" w:hAnsi="宋体" w:cs="宋体"/>
          <w:sz w:val="21"/>
          <w:szCs w:val="21"/>
          <w:u w:val="single"/>
        </w:rPr>
      </w:pPr>
      <w:r>
        <w:rPr>
          <w:rFonts w:hint="eastAsia" w:ascii="宋体" w:hAnsi="宋体" w:cs="宋体"/>
          <w:sz w:val="21"/>
          <w:szCs w:val="21"/>
        </w:rPr>
        <w:t>电</w:t>
      </w:r>
      <w:r>
        <w:rPr>
          <w:rFonts w:hint="default" w:ascii="宋体" w:hAnsi="宋体" w:cs="宋体"/>
          <w:sz w:val="21"/>
          <w:szCs w:val="21"/>
        </w:rPr>
        <w:t xml:space="preserve">  </w:t>
      </w:r>
      <w:r>
        <w:rPr>
          <w:rFonts w:hint="eastAsia" w:ascii="宋体" w:hAnsi="宋体" w:cs="宋体"/>
          <w:sz w:val="21"/>
          <w:szCs w:val="21"/>
        </w:rPr>
        <w:t>话：</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eastAsia" w:ascii="宋体" w:hAnsi="宋体" w:cs="宋体"/>
          <w:sz w:val="21"/>
          <w:szCs w:val="21"/>
        </w:rPr>
        <w:t>，传</w:t>
      </w:r>
      <w:r>
        <w:rPr>
          <w:rFonts w:hint="default" w:ascii="宋体" w:hAnsi="宋体" w:cs="宋体"/>
          <w:sz w:val="21"/>
          <w:szCs w:val="21"/>
        </w:rPr>
        <w:t xml:space="preserve">    </w:t>
      </w:r>
      <w:r>
        <w:rPr>
          <w:rFonts w:hint="eastAsia" w:ascii="宋体" w:hAnsi="宋体" w:cs="宋体"/>
          <w:sz w:val="21"/>
          <w:szCs w:val="21"/>
        </w:rPr>
        <w:t>真：</w:t>
      </w:r>
      <w:r>
        <w:rPr>
          <w:rFonts w:hint="eastAsia" w:ascii="宋体" w:hAnsi="宋体" w:cs="宋体"/>
          <w:sz w:val="21"/>
          <w:szCs w:val="21"/>
          <w:u w:val="single"/>
        </w:rPr>
        <w:t xml:space="preserve">                </w:t>
      </w:r>
    </w:p>
    <w:p>
      <w:pPr>
        <w:pStyle w:val="7"/>
        <w:snapToGrid w:val="0"/>
        <w:spacing w:line="420" w:lineRule="exact"/>
        <w:ind w:left="0" w:leftChars="0" w:firstLine="420" w:firstLineChars="200"/>
        <w:rPr>
          <w:rFonts w:hint="eastAsia" w:ascii="宋体" w:hAnsi="宋体" w:cs="宋体"/>
          <w:sz w:val="21"/>
          <w:szCs w:val="21"/>
          <w:u w:val="single"/>
        </w:rPr>
      </w:pPr>
    </w:p>
    <w:p>
      <w:pPr>
        <w:pStyle w:val="7"/>
        <w:snapToGrid w:val="0"/>
        <w:spacing w:line="420" w:lineRule="exact"/>
        <w:rPr>
          <w:rFonts w:hint="eastAsia" w:ascii="Calibri" w:hAnsi="Calibri" w:eastAsia="宋体" w:cs="Times New Roman"/>
          <w:kern w:val="2"/>
          <w:sz w:val="21"/>
          <w:szCs w:val="21"/>
          <w:highlight w:val="none"/>
          <w:u w:val="single"/>
        </w:rPr>
      </w:pPr>
      <w:r>
        <w:rPr>
          <w:rFonts w:hint="eastAsia" w:ascii="Calibri" w:hAnsi="Calibri" w:eastAsia="宋体" w:cs="Times New Roman"/>
          <w:kern w:val="2"/>
          <w:sz w:val="21"/>
          <w:szCs w:val="21"/>
          <w:highlight w:val="none"/>
        </w:rPr>
        <w:t>招</w:t>
      </w:r>
      <w:r>
        <w:rPr>
          <w:rFonts w:hint="eastAsia" w:ascii="Calibri" w:hAnsi="Calibri" w:eastAsia="宋体" w:cs="Times New Roman"/>
          <w:kern w:val="2"/>
          <w:sz w:val="21"/>
          <w:szCs w:val="21"/>
          <w:highlight w:val="none"/>
          <w:lang w:val="en-US" w:eastAsia="zh-Hans"/>
        </w:rPr>
        <w:t>标</w:t>
      </w:r>
      <w:r>
        <w:rPr>
          <w:rFonts w:hint="eastAsia" w:ascii="Calibri" w:hAnsi="Calibri" w:eastAsia="宋体" w:cs="Times New Roman"/>
          <w:kern w:val="2"/>
          <w:sz w:val="21"/>
          <w:szCs w:val="21"/>
          <w:highlight w:val="none"/>
        </w:rPr>
        <w:t>投标监督机构名称：</w:t>
      </w:r>
      <w:r>
        <w:rPr>
          <w:rFonts w:hint="eastAsia" w:ascii="Calibri" w:hAnsi="Calibri" w:eastAsia="宋体" w:cs="Times New Roman"/>
          <w:kern w:val="2"/>
          <w:sz w:val="21"/>
          <w:szCs w:val="21"/>
          <w:highlight w:val="none"/>
          <w:u w:val="single"/>
        </w:rPr>
        <w:t xml:space="preserve">                               </w:t>
      </w:r>
    </w:p>
    <w:p>
      <w:pPr>
        <w:pStyle w:val="7"/>
        <w:snapToGrid w:val="0"/>
        <w:spacing w:line="420" w:lineRule="exact"/>
        <w:rPr>
          <w:rFonts w:hint="eastAsia" w:ascii="Calibri" w:hAnsi="Calibri" w:eastAsia="宋体" w:cs="Times New Roman"/>
          <w:kern w:val="2"/>
          <w:sz w:val="21"/>
          <w:szCs w:val="21"/>
          <w:highlight w:val="none"/>
          <w:u w:val="single"/>
        </w:rPr>
      </w:pPr>
      <w:r>
        <w:rPr>
          <w:rFonts w:hint="eastAsia" w:ascii="Calibri" w:hAnsi="Calibri" w:eastAsia="宋体" w:cs="Times New Roman"/>
          <w:kern w:val="2"/>
          <w:sz w:val="21"/>
          <w:szCs w:val="21"/>
          <w:highlight w:val="none"/>
        </w:rPr>
        <w:t>地    址：</w:t>
      </w:r>
      <w:r>
        <w:rPr>
          <w:rFonts w:hint="eastAsia" w:ascii="Calibri" w:hAnsi="Calibri" w:eastAsia="宋体" w:cs="Times New Roman"/>
          <w:kern w:val="2"/>
          <w:sz w:val="21"/>
          <w:szCs w:val="21"/>
          <w:highlight w:val="none"/>
          <w:u w:val="single"/>
        </w:rPr>
        <w:t xml:space="preserve">                                           </w:t>
      </w:r>
    </w:p>
    <w:p>
      <w:pPr>
        <w:pStyle w:val="7"/>
        <w:snapToGrid w:val="0"/>
        <w:spacing w:line="420" w:lineRule="exact"/>
        <w:rPr>
          <w:rFonts w:hint="eastAsia" w:ascii="Calibri" w:hAnsi="Calibri" w:eastAsia="宋体" w:cs="Times New Roman"/>
          <w:kern w:val="2"/>
          <w:sz w:val="21"/>
          <w:szCs w:val="21"/>
          <w:highlight w:val="none"/>
          <w:u w:val="single"/>
        </w:rPr>
      </w:pPr>
      <w:r>
        <w:rPr>
          <w:rFonts w:hint="eastAsia" w:ascii="Calibri" w:hAnsi="Calibri" w:eastAsia="宋体" w:cs="Times New Roman"/>
          <w:kern w:val="2"/>
          <w:sz w:val="21"/>
          <w:szCs w:val="21"/>
          <w:highlight w:val="none"/>
        </w:rPr>
        <w:t>联系电话：</w:t>
      </w:r>
      <w:r>
        <w:rPr>
          <w:rFonts w:hint="eastAsia" w:ascii="Calibri" w:hAnsi="Calibri" w:eastAsia="宋体" w:cs="Times New Roman"/>
          <w:kern w:val="2"/>
          <w:sz w:val="21"/>
          <w:szCs w:val="21"/>
          <w:highlight w:val="none"/>
          <w:u w:val="single"/>
        </w:rPr>
        <w:t xml:space="preserve">                                           </w:t>
      </w:r>
    </w:p>
    <w:p>
      <w:pPr>
        <w:pStyle w:val="3"/>
        <w:numPr>
          <w:ilvl w:val="0"/>
          <w:numId w:val="7"/>
        </w:numPr>
        <w:adjustRightInd w:val="0"/>
        <w:snapToGrid w:val="0"/>
        <w:spacing w:before="0" w:after="0" w:line="520" w:lineRule="exact"/>
        <w:ind w:firstLine="422" w:firstLineChars="200"/>
        <w:rPr>
          <w:rFonts w:hint="eastAsia" w:asciiTheme="majorEastAsia" w:hAnsiTheme="majorEastAsia"/>
          <w:sz w:val="21"/>
          <w:szCs w:val="21"/>
        </w:rPr>
      </w:pPr>
      <w:bookmarkStart w:id="515" w:name="_Toc18988"/>
      <w:r>
        <w:rPr>
          <w:rFonts w:hint="eastAsia" w:asciiTheme="majorEastAsia" w:hAnsiTheme="majorEastAsia"/>
          <w:sz w:val="21"/>
          <w:szCs w:val="21"/>
        </w:rPr>
        <w:t>异议提出的渠道</w:t>
      </w:r>
      <w:bookmarkEnd w:id="515"/>
    </w:p>
    <w:p>
      <w:pPr>
        <w:widowControl/>
        <w:shd w:val="clear" w:color="auto" w:fill="FFFFFF"/>
        <w:snapToGrid w:val="0"/>
        <w:ind w:firstLine="420" w:firstLineChars="200"/>
        <w:jc w:val="left"/>
        <w:rPr>
          <w:rFonts w:hint="default" w:ascii="宋体" w:hAnsi="宋体" w:eastAsiaTheme="minorEastAsia"/>
          <w:sz w:val="21"/>
          <w:szCs w:val="21"/>
          <w:lang w:val="en-US" w:eastAsia="zh-CN"/>
        </w:rPr>
      </w:pPr>
      <w:r>
        <w:rPr>
          <w:rFonts w:hint="eastAsia" w:ascii="宋体" w:hAnsi="宋体"/>
          <w:sz w:val="21"/>
          <w:szCs w:val="21"/>
        </w:rPr>
        <w:t>受理部门：</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lang w:eastAsia="zh-CN"/>
        </w:rPr>
        <w:t>，</w:t>
      </w:r>
      <w:r>
        <w:rPr>
          <w:rFonts w:hint="eastAsia" w:ascii="宋体" w:hAnsi="宋体"/>
          <w:sz w:val="21"/>
          <w:szCs w:val="21"/>
        </w:rPr>
        <w:t>受理电话：</w:t>
      </w:r>
      <w:r>
        <w:rPr>
          <w:rFonts w:hint="eastAsia" w:ascii="宋体" w:hAnsi="宋体"/>
          <w:sz w:val="21"/>
          <w:szCs w:val="21"/>
          <w:u w:val="single"/>
          <w:lang w:val="en-US" w:eastAsia="zh-CN"/>
        </w:rPr>
        <w:t xml:space="preserve">              </w:t>
      </w:r>
    </w:p>
    <w:p>
      <w:pPr>
        <w:widowControl/>
        <w:shd w:val="clear" w:color="auto" w:fill="FFFFFF"/>
        <w:snapToGrid w:val="0"/>
        <w:ind w:firstLine="420" w:firstLineChars="200"/>
        <w:jc w:val="right"/>
        <w:rPr>
          <w:szCs w:val="21"/>
        </w:rPr>
      </w:pPr>
      <w:r>
        <w:rPr>
          <w:rFonts w:hint="default" w:eastAsia="宋体" w:cs="Times New Roman"/>
          <w:szCs w:val="21"/>
          <w:u w:val="single"/>
        </w:rPr>
        <w:t xml:space="preserve">        </w:t>
      </w:r>
      <w:r>
        <w:rPr>
          <w:rFonts w:hint="eastAsia" w:eastAsia="宋体" w:cs="Times New Roman"/>
          <w:szCs w:val="21"/>
        </w:rPr>
        <w:t>年</w:t>
      </w:r>
      <w:r>
        <w:rPr>
          <w:rFonts w:hint="default" w:eastAsia="宋体" w:cs="Times New Roman"/>
          <w:szCs w:val="21"/>
          <w:u w:val="single"/>
        </w:rPr>
        <w:t xml:space="preserve">       </w:t>
      </w:r>
      <w:r>
        <w:rPr>
          <w:rFonts w:hint="eastAsia" w:eastAsia="宋体" w:cs="Times New Roman"/>
          <w:szCs w:val="21"/>
        </w:rPr>
        <w:t>月</w:t>
      </w:r>
      <w:r>
        <w:rPr>
          <w:rFonts w:hint="default" w:eastAsia="宋体" w:cs="Times New Roman"/>
          <w:szCs w:val="21"/>
          <w:u w:val="single"/>
        </w:rPr>
        <w:t xml:space="preserve">       </w:t>
      </w:r>
      <w:r>
        <w:rPr>
          <w:rFonts w:hint="eastAsia" w:eastAsia="宋体" w:cs="Times New Roman"/>
          <w:szCs w:val="21"/>
        </w:rPr>
        <w:t>日</w:t>
      </w:r>
    </w:p>
    <w:p>
      <w:pPr>
        <w:rPr>
          <w:rFonts w:hint="eastAsia" w:asciiTheme="majorEastAsia" w:hAnsiTheme="majorEastAsia"/>
          <w:sz w:val="28"/>
          <w:szCs w:val="28"/>
        </w:rPr>
      </w:pPr>
      <w:bookmarkStart w:id="516" w:name="_Toc511396039"/>
      <w:bookmarkStart w:id="517" w:name="_Toc39558715"/>
      <w:bookmarkStart w:id="518" w:name="_Toc516822989"/>
      <w:bookmarkStart w:id="519" w:name="_Toc1315159996"/>
      <w:bookmarkStart w:id="520" w:name="_Toc515440749"/>
      <w:bookmarkStart w:id="521" w:name="_Toc1959160725"/>
      <w:bookmarkStart w:id="522" w:name="_Toc1740799930"/>
      <w:bookmarkStart w:id="523" w:name="_Toc2120953882"/>
      <w:bookmarkStart w:id="524" w:name="_Toc1817384524"/>
      <w:bookmarkStart w:id="525" w:name="_Toc11056704"/>
      <w:bookmarkStart w:id="526" w:name="_Toc1530885643"/>
      <w:bookmarkStart w:id="527" w:name="_Toc7186475"/>
      <w:bookmarkStart w:id="528" w:name="_Toc1641333288"/>
      <w:bookmarkStart w:id="529" w:name="_Toc400777693"/>
      <w:bookmarkStart w:id="530" w:name="_Toc2076182880"/>
      <w:bookmarkStart w:id="531" w:name="_Toc1183387444"/>
      <w:r>
        <w:rPr>
          <w:rFonts w:hint="eastAsia" w:asciiTheme="majorEastAsia" w:hAnsiTheme="majorEastAsia"/>
          <w:sz w:val="28"/>
          <w:szCs w:val="28"/>
        </w:rPr>
        <w:br w:type="page"/>
      </w:r>
    </w:p>
    <w:p>
      <w:pPr>
        <w:pStyle w:val="3"/>
        <w:adjustRightInd w:val="0"/>
        <w:snapToGrid w:val="0"/>
        <w:spacing w:before="0" w:after="0" w:line="520" w:lineRule="exact"/>
        <w:rPr>
          <w:rFonts w:asciiTheme="majorEastAsia" w:hAnsiTheme="majorEastAsia"/>
          <w:sz w:val="28"/>
          <w:szCs w:val="28"/>
        </w:rPr>
      </w:pPr>
      <w:bookmarkStart w:id="532" w:name="_Toc6098"/>
      <w:bookmarkStart w:id="533" w:name="_Toc1732744467"/>
      <w:bookmarkStart w:id="534" w:name="_Toc30851"/>
      <w:bookmarkStart w:id="535" w:name="_Toc679"/>
      <w:bookmarkStart w:id="536" w:name="_Toc19450"/>
      <w:bookmarkStart w:id="537" w:name="_Toc29812"/>
      <w:bookmarkStart w:id="538" w:name="_Toc15906"/>
      <w:bookmarkStart w:id="539" w:name="_Toc17100"/>
      <w:bookmarkStart w:id="540" w:name="_Toc1101650059"/>
      <w:bookmarkStart w:id="541" w:name="_Toc4623"/>
      <w:r>
        <w:rPr>
          <w:rFonts w:hint="eastAsia" w:asciiTheme="majorEastAsia" w:hAnsiTheme="majorEastAsia"/>
          <w:sz w:val="28"/>
          <w:szCs w:val="28"/>
        </w:rPr>
        <w:t>附件：确认</w:t>
      </w:r>
      <w:bookmarkEnd w:id="516"/>
      <w:r>
        <w:rPr>
          <w:rFonts w:hint="eastAsia" w:asciiTheme="majorEastAsia" w:hAnsiTheme="majorEastAsia"/>
          <w:sz w:val="28"/>
          <w:szCs w:val="28"/>
          <w:lang w:val="en-US" w:eastAsia="zh-Hans"/>
        </w:rPr>
        <w:t>函</w:t>
      </w:r>
      <w:r>
        <w:rPr>
          <w:rFonts w:hint="eastAsia" w:asciiTheme="majorEastAsia" w:hAnsiTheme="majorEastAsia"/>
          <w:sz w:val="28"/>
          <w:szCs w:val="28"/>
        </w:rPr>
        <w:t>（格式）</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widowControl/>
        <w:shd w:val="clear" w:color="auto" w:fill="FFFFFF"/>
        <w:snapToGrid w:val="0"/>
        <w:ind w:firstLine="0" w:firstLineChars="0"/>
        <w:jc w:val="center"/>
        <w:rPr>
          <w:rFonts w:hint="eastAsia" w:eastAsiaTheme="minorEastAsia"/>
          <w:b/>
          <w:sz w:val="36"/>
          <w:szCs w:val="36"/>
          <w:lang w:eastAsia="zh-Hans"/>
        </w:rPr>
      </w:pPr>
      <w:r>
        <w:rPr>
          <w:rFonts w:hint="eastAsia"/>
          <w:b/>
          <w:sz w:val="36"/>
          <w:szCs w:val="36"/>
        </w:rPr>
        <w:t>确认</w:t>
      </w:r>
      <w:r>
        <w:rPr>
          <w:rFonts w:hint="eastAsia"/>
          <w:b/>
          <w:sz w:val="36"/>
          <w:szCs w:val="36"/>
          <w:lang w:val="en-US" w:eastAsia="zh-Hans"/>
        </w:rPr>
        <w:t>函</w:t>
      </w:r>
    </w:p>
    <w:p>
      <w:pPr>
        <w:widowControl/>
        <w:shd w:val="clear" w:color="auto" w:fill="FFFFFF"/>
        <w:snapToGrid w:val="0"/>
        <w:ind w:firstLine="420" w:firstLineChars="200"/>
        <w:jc w:val="left"/>
        <w:rPr>
          <w:szCs w:val="21"/>
        </w:rPr>
      </w:pPr>
    </w:p>
    <w:p>
      <w:pPr>
        <w:widowControl/>
        <w:shd w:val="clear" w:color="auto" w:fill="FFFFFF"/>
        <w:snapToGrid w:val="0"/>
        <w:rPr>
          <w:szCs w:val="21"/>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招标人名称</w:t>
      </w:r>
      <w:r>
        <w:rPr>
          <w:rFonts w:hint="eastAsia" w:eastAsia="宋体" w:cs="Times New Roman"/>
          <w:color w:val="auto"/>
          <w:szCs w:val="21"/>
          <w:u w:val="single" w:color="auto"/>
          <w:lang w:eastAsia="zh-Hans"/>
        </w:rPr>
        <w:t>）</w:t>
      </w:r>
      <w:r>
        <w:rPr>
          <w:rFonts w:hint="eastAsia"/>
          <w:szCs w:val="21"/>
        </w:rPr>
        <w:t>：</w:t>
      </w:r>
    </w:p>
    <w:p>
      <w:pPr>
        <w:widowControl/>
        <w:shd w:val="clear" w:color="auto" w:fill="FFFFFF"/>
        <w:snapToGrid w:val="0"/>
        <w:ind w:firstLine="420" w:firstLineChars="200"/>
        <w:jc w:val="left"/>
        <w:rPr>
          <w:szCs w:val="21"/>
        </w:rPr>
      </w:pPr>
      <w:r>
        <w:rPr>
          <w:rFonts w:hint="eastAsia"/>
          <w:szCs w:val="21"/>
        </w:rPr>
        <w:t>我方已于</w:t>
      </w:r>
      <w:r>
        <w:rPr>
          <w:rFonts w:hint="default" w:eastAsia="宋体" w:cs="Times New Roman"/>
          <w:szCs w:val="21"/>
          <w:u w:val="single" w:color="auto"/>
        </w:rPr>
        <w:t xml:space="preserve">   </w:t>
      </w:r>
      <w:r>
        <w:rPr>
          <w:rFonts w:hint="eastAsia"/>
          <w:szCs w:val="21"/>
        </w:rPr>
        <w:t>年</w:t>
      </w:r>
      <w:r>
        <w:rPr>
          <w:rFonts w:hint="default" w:eastAsia="宋体" w:cs="Times New Roman"/>
          <w:szCs w:val="21"/>
          <w:u w:val="single" w:color="auto"/>
        </w:rPr>
        <w:t xml:space="preserve">   </w:t>
      </w:r>
      <w:r>
        <w:rPr>
          <w:rFonts w:hint="eastAsia"/>
          <w:szCs w:val="21"/>
        </w:rPr>
        <w:t>月</w:t>
      </w:r>
      <w:r>
        <w:rPr>
          <w:rFonts w:hint="default" w:eastAsia="宋体" w:cs="Times New Roman"/>
          <w:szCs w:val="21"/>
          <w:u w:val="single" w:color="auto"/>
        </w:rPr>
        <w:t xml:space="preserve">   </w:t>
      </w:r>
      <w:r>
        <w:rPr>
          <w:rFonts w:hint="eastAsia"/>
          <w:szCs w:val="21"/>
        </w:rPr>
        <w:t>日收到你方</w:t>
      </w:r>
      <w:r>
        <w:rPr>
          <w:rFonts w:hint="default" w:eastAsia="宋体" w:cs="Times New Roman"/>
          <w:szCs w:val="21"/>
          <w:u w:val="single" w:color="auto"/>
        </w:rPr>
        <w:t xml:space="preserve">   </w:t>
      </w:r>
      <w:r>
        <w:rPr>
          <w:rFonts w:hint="eastAsia"/>
          <w:szCs w:val="21"/>
        </w:rPr>
        <w:t>年</w:t>
      </w:r>
      <w:r>
        <w:rPr>
          <w:rFonts w:hint="default" w:eastAsia="宋体" w:cs="Times New Roman"/>
          <w:szCs w:val="21"/>
          <w:u w:val="single" w:color="auto"/>
        </w:rPr>
        <w:t xml:space="preserve">   </w:t>
      </w:r>
      <w:r>
        <w:rPr>
          <w:rFonts w:hint="eastAsia"/>
          <w:szCs w:val="21"/>
        </w:rPr>
        <w:t>月</w:t>
      </w:r>
      <w:r>
        <w:rPr>
          <w:rFonts w:hint="default" w:eastAsia="宋体" w:cs="Times New Roman"/>
          <w:szCs w:val="21"/>
          <w:u w:val="single" w:color="auto"/>
        </w:rPr>
        <w:t xml:space="preserve">   </w:t>
      </w:r>
      <w:r>
        <w:rPr>
          <w:rFonts w:hint="eastAsia"/>
          <w:szCs w:val="21"/>
        </w:rPr>
        <w:t>日发出的</w:t>
      </w:r>
      <w:r>
        <w:rPr>
          <w:rFonts w:hint="eastAsia" w:ascii="Calibri" w:hAnsi="Calibri" w:eastAsia="宋体" w:cs="Times New Roman"/>
          <w:sz w:val="21"/>
          <w:szCs w:val="21"/>
          <w:highlight w:val="none"/>
        </w:rPr>
        <w:t>关于邀请我方参加</w:t>
      </w:r>
      <w:r>
        <w:rPr>
          <w:rFonts w:hint="default"/>
          <w:color w:val="auto"/>
          <w:szCs w:val="21"/>
          <w:u w:val="single"/>
        </w:rPr>
        <w:t xml:space="preserve">   </w:t>
      </w:r>
      <w:r>
        <w:rPr>
          <w:rFonts w:hint="eastAsia" w:eastAsia="宋体" w:cs="Times New Roman"/>
          <w:color w:val="auto"/>
          <w:szCs w:val="21"/>
          <w:u w:val="single" w:color="auto"/>
        </w:rPr>
        <w:t>（</w:t>
      </w:r>
      <w:r>
        <w:rPr>
          <w:rFonts w:hint="eastAsia" w:eastAsia="宋体" w:cs="Times New Roman"/>
          <w:color w:val="auto"/>
          <w:szCs w:val="21"/>
          <w:u w:val="single" w:color="auto"/>
          <w:lang w:val="en-US" w:eastAsia="zh-Hans"/>
        </w:rPr>
        <w:t>招标</w:t>
      </w:r>
      <w:r>
        <w:rPr>
          <w:rFonts w:hint="eastAsia" w:eastAsia="宋体" w:cs="Times New Roman"/>
          <w:color w:val="auto"/>
          <w:szCs w:val="21"/>
          <w:u w:val="single" w:color="auto"/>
        </w:rPr>
        <w:t>项目名称）</w:t>
      </w:r>
      <w:r>
        <w:rPr>
          <w:rFonts w:hint="eastAsia"/>
          <w:szCs w:val="21"/>
        </w:rPr>
        <w:t>招标的投标邀请书，并确认</w:t>
      </w:r>
      <w:r>
        <w:rPr>
          <w:rFonts w:hint="default" w:eastAsia="宋体" w:cs="Times New Roman"/>
          <w:szCs w:val="21"/>
          <w:u w:val="single" w:color="auto"/>
          <w:lang w:eastAsia="zh-Hans"/>
        </w:rPr>
        <w:t xml:space="preserve">    </w:t>
      </w:r>
      <w:r>
        <w:rPr>
          <w:rFonts w:hint="eastAsia" w:eastAsia="宋体" w:cs="Times New Roman"/>
          <w:szCs w:val="21"/>
          <w:u w:val="single" w:color="auto"/>
          <w:lang w:eastAsia="zh-Hans"/>
        </w:rPr>
        <w:t>（</w:t>
      </w:r>
      <w:r>
        <w:rPr>
          <w:rFonts w:hint="eastAsia" w:eastAsia="宋体" w:cs="Times New Roman"/>
          <w:szCs w:val="21"/>
          <w:u w:val="single" w:color="auto"/>
          <w:lang w:val="en-US" w:eastAsia="zh-Hans"/>
        </w:rPr>
        <w:t>参加或不参加）</w:t>
      </w:r>
      <w:r>
        <w:rPr>
          <w:rFonts w:hint="eastAsia"/>
          <w:szCs w:val="21"/>
        </w:rPr>
        <w:t>投标。</w:t>
      </w:r>
    </w:p>
    <w:p>
      <w:pPr>
        <w:widowControl/>
        <w:shd w:val="clear" w:color="auto" w:fill="FFFFFF"/>
        <w:snapToGrid w:val="0"/>
        <w:ind w:firstLine="420" w:firstLineChars="200"/>
        <w:jc w:val="left"/>
        <w:rPr>
          <w:szCs w:val="21"/>
        </w:rPr>
      </w:pPr>
      <w:r>
        <w:rPr>
          <w:rFonts w:hint="eastAsia"/>
          <w:szCs w:val="21"/>
        </w:rPr>
        <w:t>特此确认。</w:t>
      </w:r>
    </w:p>
    <w:p>
      <w:pPr>
        <w:widowControl/>
        <w:shd w:val="clear" w:color="auto" w:fill="FFFFFF"/>
        <w:snapToGrid w:val="0"/>
        <w:ind w:firstLine="420" w:firstLineChars="200"/>
        <w:jc w:val="left"/>
        <w:rPr>
          <w:szCs w:val="21"/>
        </w:rPr>
      </w:pPr>
    </w:p>
    <w:p>
      <w:pPr>
        <w:widowControl/>
        <w:shd w:val="clear" w:color="auto" w:fill="FFFFFF"/>
        <w:snapToGrid w:val="0"/>
        <w:ind w:firstLine="420" w:firstLineChars="200"/>
        <w:jc w:val="right"/>
        <w:rPr>
          <w:szCs w:val="21"/>
        </w:rPr>
      </w:pPr>
      <w:r>
        <w:rPr>
          <w:rFonts w:hint="eastAsia"/>
          <w:szCs w:val="21"/>
        </w:rPr>
        <w:t>被邀请单位名称：</w:t>
      </w:r>
      <w:r>
        <w:rPr>
          <w:rFonts w:hint="eastAsia" w:ascii="宋体" w:hAnsi="宋体" w:cs="宋体"/>
          <w:sz w:val="21"/>
          <w:szCs w:val="21"/>
          <w:u w:val="single"/>
        </w:rPr>
        <w:t xml:space="preserve">                      </w:t>
      </w:r>
      <w:r>
        <w:rPr>
          <w:rFonts w:hint="eastAsia"/>
          <w:szCs w:val="21"/>
        </w:rPr>
        <w:t>（盖单位</w:t>
      </w:r>
      <w:r>
        <w:rPr>
          <w:rFonts w:hint="eastAsia" w:ascii="宋体" w:hAnsi="宋体" w:cs="宋体"/>
          <w:color w:val="auto"/>
          <w:sz w:val="21"/>
          <w:szCs w:val="21"/>
          <w:highlight w:val="none"/>
        </w:rPr>
        <w:t>公</w:t>
      </w:r>
      <w:r>
        <w:rPr>
          <w:rFonts w:hint="eastAsia"/>
          <w:szCs w:val="21"/>
        </w:rPr>
        <w:t>章）</w:t>
      </w:r>
    </w:p>
    <w:p>
      <w:pPr>
        <w:widowControl/>
        <w:shd w:val="clear" w:color="auto" w:fill="FFFFFF"/>
        <w:snapToGrid w:val="0"/>
        <w:ind w:firstLine="420" w:firstLineChars="200"/>
        <w:jc w:val="right"/>
        <w:rPr>
          <w:szCs w:val="21"/>
        </w:rPr>
      </w:pPr>
      <w:r>
        <w:rPr>
          <w:rFonts w:hint="eastAsia"/>
          <w:szCs w:val="21"/>
        </w:rPr>
        <w:t>法定代表人：</w:t>
      </w:r>
      <w:r>
        <w:rPr>
          <w:rFonts w:hint="eastAsia" w:ascii="宋体" w:hAnsi="宋体" w:cs="宋体"/>
          <w:sz w:val="21"/>
          <w:szCs w:val="21"/>
          <w:u w:val="single"/>
        </w:rPr>
        <w:t xml:space="preserve">                        </w:t>
      </w:r>
      <w:r>
        <w:rPr>
          <w:rFonts w:hint="eastAsia"/>
          <w:szCs w:val="21"/>
        </w:rPr>
        <w:t>（</w:t>
      </w:r>
      <w:r>
        <w:rPr>
          <w:rFonts w:hint="default" w:ascii="宋体" w:hAnsi="宋体" w:cs="宋体"/>
          <w:color w:val="auto"/>
          <w:sz w:val="21"/>
          <w:szCs w:val="21"/>
          <w:highlight w:val="none"/>
          <w:lang w:val="en-US"/>
        </w:rPr>
        <w:t>盖电子姓名章</w:t>
      </w:r>
      <w:r>
        <w:rPr>
          <w:rFonts w:hint="eastAsia"/>
          <w:szCs w:val="21"/>
        </w:rPr>
        <w:t>）</w:t>
      </w:r>
    </w:p>
    <w:p>
      <w:pPr>
        <w:widowControl/>
        <w:shd w:val="clear" w:color="auto" w:fill="FFFFFF"/>
        <w:snapToGrid w:val="0"/>
        <w:ind w:firstLine="420" w:firstLineChars="200"/>
        <w:jc w:val="right"/>
        <w:rPr>
          <w:szCs w:val="21"/>
          <w:u w:val="single" w:color="auto"/>
        </w:rPr>
      </w:pPr>
      <w:r>
        <w:rPr>
          <w:rFonts w:hint="default" w:eastAsia="宋体" w:cs="Times New Roman"/>
          <w:szCs w:val="21"/>
          <w:u w:val="single" w:color="auto"/>
        </w:rPr>
        <w:t xml:space="preserve">    </w:t>
      </w:r>
      <w:r>
        <w:rPr>
          <w:rFonts w:hint="eastAsia"/>
          <w:szCs w:val="21"/>
          <w:u w:val="none" w:color="auto"/>
        </w:rPr>
        <w:t>年</w:t>
      </w:r>
      <w:r>
        <w:rPr>
          <w:rFonts w:hint="default" w:eastAsia="宋体" w:cs="Times New Roman"/>
          <w:szCs w:val="21"/>
          <w:u w:val="single" w:color="auto"/>
        </w:rPr>
        <w:t xml:space="preserve">    </w:t>
      </w:r>
      <w:r>
        <w:rPr>
          <w:rFonts w:hint="eastAsia"/>
          <w:szCs w:val="21"/>
          <w:u w:val="none" w:color="auto"/>
        </w:rPr>
        <w:t>月</w:t>
      </w:r>
      <w:r>
        <w:rPr>
          <w:rFonts w:hint="default" w:eastAsia="宋体" w:cs="Times New Roman"/>
          <w:szCs w:val="21"/>
          <w:u w:val="single" w:color="auto"/>
        </w:rPr>
        <w:t xml:space="preserve">   </w:t>
      </w:r>
      <w:r>
        <w:rPr>
          <w:rFonts w:hint="eastAsia"/>
          <w:szCs w:val="21"/>
          <w:u w:val="none" w:color="auto"/>
        </w:rPr>
        <w:t>日</w:t>
      </w:r>
    </w:p>
    <w:p>
      <w:pPr>
        <w:rPr>
          <w:rFonts w:hint="eastAsia" w:asciiTheme="majorEastAsia" w:hAnsiTheme="majorEastAsia" w:eastAsiaTheme="majorEastAsia"/>
          <w:sz w:val="36"/>
          <w:szCs w:val="36"/>
        </w:rPr>
      </w:pPr>
      <w:bookmarkStart w:id="542" w:name="_Toc9303"/>
      <w:bookmarkStart w:id="543" w:name="_Toc1146430486"/>
      <w:bookmarkStart w:id="544" w:name="_Toc7186476"/>
      <w:bookmarkStart w:id="545" w:name="_Toc515440750"/>
      <w:bookmarkStart w:id="546" w:name="_Toc516822990"/>
      <w:bookmarkStart w:id="547" w:name="_Toc511396040"/>
      <w:bookmarkStart w:id="548" w:name="_Toc14566"/>
      <w:bookmarkStart w:id="549" w:name="_Toc1992357848"/>
      <w:bookmarkStart w:id="550" w:name="_Toc210519902"/>
      <w:bookmarkStart w:id="551" w:name="_Toc1361969259"/>
      <w:bookmarkStart w:id="552" w:name="_Toc790838221"/>
      <w:bookmarkStart w:id="553" w:name="_Toc30978"/>
      <w:bookmarkStart w:id="554" w:name="_Toc8077"/>
      <w:bookmarkStart w:id="555" w:name="_Toc2091367704"/>
      <w:bookmarkStart w:id="556" w:name="_Toc1461125701"/>
      <w:bookmarkStart w:id="557" w:name="_Toc247545624"/>
      <w:bookmarkStart w:id="558" w:name="_Toc307216782"/>
      <w:bookmarkStart w:id="559" w:name="_Toc27400"/>
      <w:bookmarkStart w:id="560" w:name="_Toc593427194"/>
      <w:bookmarkStart w:id="561" w:name="_Toc17844"/>
      <w:bookmarkStart w:id="562" w:name="_Toc1346716441"/>
      <w:bookmarkStart w:id="563" w:name="_Toc1121783587"/>
      <w:bookmarkStart w:id="564" w:name="_Toc21520"/>
      <w:bookmarkStart w:id="565" w:name="_Toc1290876082"/>
      <w:bookmarkStart w:id="566" w:name="_Toc1976020826"/>
      <w:r>
        <w:rPr>
          <w:rFonts w:hint="eastAsia" w:asciiTheme="majorEastAsia" w:hAnsiTheme="majorEastAsia" w:eastAsiaTheme="majorEastAsia"/>
          <w:sz w:val="36"/>
          <w:szCs w:val="36"/>
        </w:rPr>
        <w:br w:type="page"/>
      </w:r>
    </w:p>
    <w:p>
      <w:pPr>
        <w:pStyle w:val="2"/>
        <w:adjustRightInd w:val="0"/>
        <w:snapToGrid w:val="0"/>
        <w:spacing w:before="0" w:after="0" w:line="520" w:lineRule="exact"/>
        <w:jc w:val="center"/>
        <w:rPr>
          <w:rFonts w:asciiTheme="majorEastAsia" w:hAnsiTheme="majorEastAsia" w:eastAsiaTheme="majorEastAsia"/>
          <w:sz w:val="36"/>
          <w:szCs w:val="36"/>
        </w:rPr>
      </w:pPr>
      <w:bookmarkStart w:id="567" w:name="_Toc6881"/>
      <w:r>
        <w:rPr>
          <w:rFonts w:hint="eastAsia" w:asciiTheme="majorEastAsia" w:hAnsiTheme="majorEastAsia" w:eastAsiaTheme="majorEastAsia"/>
          <w:sz w:val="36"/>
          <w:szCs w:val="36"/>
        </w:rPr>
        <w:t>第二章 投标人须知</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3"/>
        <w:adjustRightInd w:val="0"/>
        <w:snapToGrid w:val="0"/>
        <w:spacing w:before="0" w:after="0" w:line="520" w:lineRule="exact"/>
        <w:ind w:firstLine="482" w:firstLineChars="200"/>
        <w:rPr>
          <w:rFonts w:hint="eastAsia" w:asciiTheme="majorEastAsia" w:hAnsiTheme="majorEastAsia"/>
          <w:sz w:val="24"/>
          <w:szCs w:val="24"/>
        </w:rPr>
      </w:pPr>
      <w:bookmarkStart w:id="568" w:name="_Toc841767686"/>
      <w:bookmarkStart w:id="569" w:name="_Toc816792890"/>
      <w:bookmarkStart w:id="570" w:name="_Toc515440751"/>
      <w:bookmarkStart w:id="571" w:name="_Toc5559"/>
      <w:bookmarkStart w:id="572" w:name="_Toc147421727"/>
      <w:bookmarkStart w:id="573" w:name="_Toc664153262"/>
      <w:bookmarkStart w:id="574" w:name="_Toc24596"/>
      <w:bookmarkStart w:id="575" w:name="_Toc1057809696"/>
      <w:bookmarkStart w:id="576" w:name="_Toc516822991"/>
      <w:bookmarkStart w:id="577" w:name="_Toc1302426305"/>
      <w:bookmarkStart w:id="578" w:name="_Toc823478329"/>
      <w:bookmarkStart w:id="579" w:name="_Toc13908"/>
      <w:bookmarkStart w:id="580" w:name="_Toc12714"/>
      <w:bookmarkStart w:id="581" w:name="_Toc841689064"/>
      <w:bookmarkStart w:id="582" w:name="_Toc1874508180"/>
      <w:bookmarkStart w:id="583" w:name="_Toc29190"/>
      <w:bookmarkStart w:id="584" w:name="_Toc7186477"/>
      <w:bookmarkStart w:id="585" w:name="_Toc589142640"/>
      <w:bookmarkStart w:id="586" w:name="_Toc22070"/>
      <w:bookmarkStart w:id="587" w:name="_Toc10813"/>
      <w:bookmarkStart w:id="588" w:name="_Toc1752150679"/>
      <w:bookmarkStart w:id="589" w:name="_Toc833897318"/>
      <w:bookmarkStart w:id="590" w:name="_Toc1993327312"/>
      <w:bookmarkStart w:id="591" w:name="_Toc1933068154"/>
      <w:bookmarkStart w:id="592" w:name="_Toc3586"/>
      <w:r>
        <w:rPr>
          <w:rFonts w:hint="eastAsia" w:asciiTheme="majorEastAsia" w:hAnsiTheme="majorEastAsia"/>
          <w:sz w:val="24"/>
          <w:szCs w:val="24"/>
        </w:rPr>
        <w:t>投标人须知前附表</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tbl>
      <w:tblPr>
        <w:tblStyle w:val="30"/>
        <w:tblW w:w="9023"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4"/>
        <w:gridCol w:w="2127"/>
        <w:gridCol w:w="57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blHeader/>
        </w:trPr>
        <w:tc>
          <w:tcPr>
            <w:tcW w:w="1134" w:type="dxa"/>
            <w:vAlign w:val="center"/>
          </w:tcPr>
          <w:p>
            <w:pPr>
              <w:widowControl/>
              <w:spacing w:line="360" w:lineRule="auto"/>
              <w:jc w:val="center"/>
              <w:rPr>
                <w:b/>
                <w:szCs w:val="21"/>
              </w:rPr>
            </w:pPr>
            <w:r>
              <w:rPr>
                <w:rFonts w:hint="eastAsia"/>
                <w:b/>
                <w:szCs w:val="21"/>
              </w:rPr>
              <w:t>条款号</w:t>
            </w:r>
          </w:p>
        </w:tc>
        <w:tc>
          <w:tcPr>
            <w:tcW w:w="2127" w:type="dxa"/>
            <w:vAlign w:val="center"/>
          </w:tcPr>
          <w:p>
            <w:pPr>
              <w:widowControl/>
              <w:spacing w:line="360" w:lineRule="auto"/>
              <w:jc w:val="center"/>
              <w:rPr>
                <w:b/>
                <w:szCs w:val="21"/>
              </w:rPr>
            </w:pPr>
            <w:r>
              <w:rPr>
                <w:rFonts w:hint="eastAsia"/>
                <w:b/>
                <w:szCs w:val="21"/>
              </w:rPr>
              <w:t>条款名称</w:t>
            </w:r>
          </w:p>
        </w:tc>
        <w:tc>
          <w:tcPr>
            <w:tcW w:w="5762" w:type="dxa"/>
            <w:vAlign w:val="center"/>
          </w:tcPr>
          <w:p>
            <w:pPr>
              <w:widowControl/>
              <w:spacing w:line="360" w:lineRule="auto"/>
              <w:jc w:val="center"/>
              <w:rPr>
                <w:b/>
                <w:szCs w:val="21"/>
              </w:rPr>
            </w:pPr>
            <w:r>
              <w:rPr>
                <w:rFonts w:hint="eastAsia"/>
                <w:b/>
                <w:szCs w:val="21"/>
              </w:rPr>
              <w:t>编列内容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1.1.2</w:t>
            </w:r>
          </w:p>
        </w:tc>
        <w:tc>
          <w:tcPr>
            <w:tcW w:w="2127" w:type="dxa"/>
            <w:vAlign w:val="center"/>
          </w:tcPr>
          <w:p>
            <w:pPr>
              <w:widowControl/>
              <w:spacing w:line="360" w:lineRule="auto"/>
              <w:jc w:val="center"/>
              <w:rPr>
                <w:szCs w:val="21"/>
              </w:rPr>
            </w:pPr>
            <w:r>
              <w:rPr>
                <w:rFonts w:hint="eastAsia"/>
                <w:szCs w:val="21"/>
              </w:rPr>
              <w:t>招标人</w:t>
            </w:r>
          </w:p>
        </w:tc>
        <w:tc>
          <w:tcPr>
            <w:tcW w:w="5762" w:type="dxa"/>
            <w:vAlign w:val="center"/>
          </w:tcPr>
          <w:p>
            <w:pPr>
              <w:widowControl/>
              <w:spacing w:line="360" w:lineRule="auto"/>
              <w:rPr>
                <w:rFonts w:hint="default" w:eastAsiaTheme="minorEastAsia"/>
                <w:szCs w:val="21"/>
                <w:lang w:val="en-US" w:eastAsia="zh-CN"/>
              </w:rPr>
            </w:pPr>
            <w:r>
              <w:rPr>
                <w:rFonts w:hint="eastAsia"/>
                <w:szCs w:val="21"/>
              </w:rPr>
              <w:t>名称：</w:t>
            </w:r>
            <w:r>
              <w:rPr>
                <w:rFonts w:hint="eastAsia"/>
                <w:szCs w:val="21"/>
                <w:highlight w:val="none"/>
                <w:u w:val="single"/>
                <w:lang w:val="en-US" w:eastAsia="zh-CN"/>
              </w:rPr>
              <w:t xml:space="preserve">                                         </w:t>
            </w:r>
            <w:r>
              <w:rPr>
                <w:rFonts w:hint="eastAsia"/>
                <w:szCs w:val="21"/>
                <w:highlight w:val="none"/>
                <w:lang w:val="en-US" w:eastAsia="zh-CN"/>
              </w:rPr>
              <w:t>；</w:t>
            </w:r>
          </w:p>
          <w:p>
            <w:pPr>
              <w:widowControl/>
              <w:spacing w:line="360" w:lineRule="auto"/>
              <w:rPr>
                <w:rFonts w:hint="default" w:eastAsiaTheme="minorEastAsia"/>
                <w:szCs w:val="21"/>
                <w:lang w:val="en-US" w:eastAsia="zh-CN"/>
              </w:rPr>
            </w:pPr>
            <w:r>
              <w:rPr>
                <w:rFonts w:hint="eastAsia"/>
                <w:szCs w:val="21"/>
              </w:rPr>
              <w:t>地址：</w:t>
            </w:r>
            <w:r>
              <w:rPr>
                <w:rFonts w:hint="eastAsia"/>
                <w:szCs w:val="21"/>
                <w:lang w:val="en-US" w:eastAsia="zh-CN"/>
              </w:rPr>
              <w:t xml:space="preserve"> </w:t>
            </w:r>
            <w:r>
              <w:rPr>
                <w:rFonts w:hint="eastAsia"/>
                <w:szCs w:val="21"/>
                <w:u w:val="single"/>
                <w:lang w:val="en-US" w:eastAsia="zh-CN"/>
              </w:rPr>
              <w:t xml:space="preserve">                                        </w:t>
            </w:r>
            <w:r>
              <w:rPr>
                <w:rFonts w:hint="eastAsia"/>
                <w:szCs w:val="21"/>
                <w:lang w:val="en-US" w:eastAsia="zh-CN"/>
              </w:rPr>
              <w:t xml:space="preserve">；                                         </w:t>
            </w:r>
          </w:p>
          <w:p>
            <w:pPr>
              <w:widowControl/>
              <w:spacing w:line="360" w:lineRule="auto"/>
              <w:rPr>
                <w:szCs w:val="21"/>
              </w:rPr>
            </w:pPr>
            <w:r>
              <w:rPr>
                <w:rFonts w:hint="eastAsia"/>
                <w:szCs w:val="21"/>
              </w:rPr>
              <w:t>联系人：</w:t>
            </w:r>
            <w:r>
              <w:rPr>
                <w:rFonts w:hint="eastAsia"/>
                <w:szCs w:val="21"/>
                <w:u w:val="single"/>
                <w:lang w:val="en-US" w:eastAsia="zh-CN"/>
              </w:rPr>
              <w:t xml:space="preserve">                                       </w:t>
            </w:r>
            <w:r>
              <w:rPr>
                <w:rFonts w:hint="eastAsia"/>
                <w:szCs w:val="21"/>
                <w:lang w:val="en-US" w:eastAsia="zh-CN"/>
              </w:rPr>
              <w:t>；</w:t>
            </w:r>
          </w:p>
          <w:p>
            <w:pPr>
              <w:widowControl/>
              <w:spacing w:line="360" w:lineRule="auto"/>
              <w:rPr>
                <w:szCs w:val="21"/>
              </w:rPr>
            </w:pPr>
            <w:r>
              <w:rPr>
                <w:rFonts w:hint="eastAsia"/>
                <w:szCs w:val="21"/>
              </w:rPr>
              <w:t>电话：</w:t>
            </w:r>
            <w:r>
              <w:rPr>
                <w:rFonts w:hint="eastAsia"/>
                <w:szCs w:val="21"/>
                <w:u w:val="single"/>
                <w:lang w:val="en-US" w:eastAsia="zh-CN"/>
              </w:rPr>
              <w:t xml:space="preserve">                                         </w:t>
            </w:r>
            <w:r>
              <w:rPr>
                <w:rFonts w:hint="eastAsia"/>
                <w:szCs w:val="21"/>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1.1.3</w:t>
            </w:r>
          </w:p>
        </w:tc>
        <w:tc>
          <w:tcPr>
            <w:tcW w:w="2127" w:type="dxa"/>
            <w:vAlign w:val="center"/>
          </w:tcPr>
          <w:p>
            <w:pPr>
              <w:widowControl/>
              <w:spacing w:line="360" w:lineRule="auto"/>
              <w:jc w:val="center"/>
              <w:rPr>
                <w:szCs w:val="21"/>
              </w:rPr>
            </w:pPr>
            <w:r>
              <w:rPr>
                <w:rFonts w:hint="eastAsia"/>
                <w:szCs w:val="21"/>
              </w:rPr>
              <w:t>招标代理机构</w:t>
            </w:r>
          </w:p>
        </w:tc>
        <w:tc>
          <w:tcPr>
            <w:tcW w:w="5762" w:type="dxa"/>
            <w:vAlign w:val="center"/>
          </w:tcPr>
          <w:p>
            <w:pPr>
              <w:widowControl/>
              <w:spacing w:line="360" w:lineRule="auto"/>
              <w:rPr>
                <w:szCs w:val="21"/>
              </w:rPr>
            </w:pPr>
            <w:r>
              <w:rPr>
                <w:rFonts w:hint="eastAsia"/>
                <w:szCs w:val="21"/>
              </w:rPr>
              <w:t>名称：</w:t>
            </w:r>
            <w:r>
              <w:rPr>
                <w:rFonts w:hint="eastAsia"/>
                <w:szCs w:val="21"/>
                <w:u w:val="single"/>
                <w:lang w:val="en-US" w:eastAsia="zh-CN"/>
              </w:rPr>
              <w:t xml:space="preserve">                                         </w:t>
            </w:r>
            <w:r>
              <w:rPr>
                <w:rFonts w:hint="eastAsia"/>
                <w:szCs w:val="21"/>
                <w:lang w:val="en-US" w:eastAsia="zh-CN"/>
              </w:rPr>
              <w:t>；</w:t>
            </w:r>
          </w:p>
          <w:p>
            <w:pPr>
              <w:widowControl/>
              <w:spacing w:line="360" w:lineRule="auto"/>
              <w:rPr>
                <w:szCs w:val="21"/>
              </w:rPr>
            </w:pPr>
            <w:r>
              <w:rPr>
                <w:rFonts w:hint="eastAsia"/>
                <w:szCs w:val="21"/>
              </w:rPr>
              <w:t>地址：</w:t>
            </w:r>
            <w:r>
              <w:rPr>
                <w:rFonts w:hint="eastAsia"/>
                <w:szCs w:val="21"/>
                <w:u w:val="single"/>
                <w:lang w:val="en-US" w:eastAsia="zh-CN"/>
              </w:rPr>
              <w:t xml:space="preserve">                                         </w:t>
            </w:r>
            <w:r>
              <w:rPr>
                <w:rFonts w:hint="eastAsia"/>
                <w:szCs w:val="21"/>
                <w:lang w:val="en-US" w:eastAsia="zh-CN"/>
              </w:rPr>
              <w:t>；</w:t>
            </w:r>
          </w:p>
          <w:p>
            <w:pPr>
              <w:widowControl/>
              <w:spacing w:line="360" w:lineRule="auto"/>
              <w:rPr>
                <w:szCs w:val="21"/>
              </w:rPr>
            </w:pPr>
            <w:r>
              <w:rPr>
                <w:rFonts w:hint="eastAsia"/>
                <w:szCs w:val="21"/>
              </w:rPr>
              <w:t>联系人：</w:t>
            </w:r>
            <w:r>
              <w:rPr>
                <w:rFonts w:hint="eastAsia"/>
                <w:szCs w:val="21"/>
                <w:u w:val="single"/>
                <w:lang w:val="en-US" w:eastAsia="zh-CN"/>
              </w:rPr>
              <w:t xml:space="preserve">                                       </w:t>
            </w:r>
            <w:r>
              <w:rPr>
                <w:rFonts w:hint="eastAsia"/>
                <w:szCs w:val="21"/>
                <w:lang w:val="en-US" w:eastAsia="zh-CN"/>
              </w:rPr>
              <w:t>；</w:t>
            </w:r>
          </w:p>
          <w:p>
            <w:pPr>
              <w:widowControl/>
              <w:spacing w:line="360" w:lineRule="auto"/>
              <w:rPr>
                <w:szCs w:val="21"/>
              </w:rPr>
            </w:pPr>
            <w:r>
              <w:rPr>
                <w:rFonts w:hint="eastAsia"/>
                <w:szCs w:val="21"/>
              </w:rPr>
              <w:t>电话：</w:t>
            </w:r>
            <w:r>
              <w:rPr>
                <w:rFonts w:hint="eastAsia"/>
                <w:szCs w:val="21"/>
                <w:u w:val="single"/>
                <w:lang w:val="en-US" w:eastAsia="zh-CN"/>
              </w:rPr>
              <w:t xml:space="preserve">                                         </w:t>
            </w:r>
            <w:r>
              <w:rPr>
                <w:rFonts w:hint="eastAsia"/>
                <w:szCs w:val="21"/>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1.1.4</w:t>
            </w:r>
          </w:p>
        </w:tc>
        <w:tc>
          <w:tcPr>
            <w:tcW w:w="2127" w:type="dxa"/>
            <w:vAlign w:val="center"/>
          </w:tcPr>
          <w:p>
            <w:pPr>
              <w:widowControl/>
              <w:spacing w:line="360" w:lineRule="auto"/>
              <w:jc w:val="center"/>
              <w:rPr>
                <w:szCs w:val="21"/>
              </w:rPr>
            </w:pPr>
            <w:r>
              <w:rPr>
                <w:rFonts w:hint="eastAsia"/>
                <w:szCs w:val="21"/>
              </w:rPr>
              <w:t>招标项目名称</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1.1.5</w:t>
            </w:r>
          </w:p>
        </w:tc>
        <w:tc>
          <w:tcPr>
            <w:tcW w:w="2127" w:type="dxa"/>
            <w:vAlign w:val="center"/>
          </w:tcPr>
          <w:p>
            <w:pPr>
              <w:widowControl/>
              <w:spacing w:line="360" w:lineRule="auto"/>
              <w:jc w:val="center"/>
              <w:rPr>
                <w:szCs w:val="21"/>
              </w:rPr>
            </w:pPr>
            <w:r>
              <w:rPr>
                <w:rFonts w:hint="eastAsia"/>
                <w:szCs w:val="21"/>
              </w:rPr>
              <w:t>项目建设地点</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1.1.6</w:t>
            </w:r>
          </w:p>
        </w:tc>
        <w:tc>
          <w:tcPr>
            <w:tcW w:w="2127" w:type="dxa"/>
            <w:vAlign w:val="center"/>
          </w:tcPr>
          <w:p>
            <w:pPr>
              <w:widowControl/>
              <w:spacing w:line="360" w:lineRule="auto"/>
              <w:jc w:val="center"/>
              <w:rPr>
                <w:szCs w:val="21"/>
              </w:rPr>
            </w:pPr>
            <w:r>
              <w:rPr>
                <w:rFonts w:hint="eastAsia"/>
                <w:szCs w:val="21"/>
              </w:rPr>
              <w:t>项目建设规模</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1.1.7</w:t>
            </w:r>
          </w:p>
        </w:tc>
        <w:tc>
          <w:tcPr>
            <w:tcW w:w="2127" w:type="dxa"/>
            <w:vAlign w:val="center"/>
          </w:tcPr>
          <w:p>
            <w:pPr>
              <w:widowControl/>
              <w:spacing w:line="360" w:lineRule="auto"/>
              <w:jc w:val="center"/>
              <w:rPr>
                <w:szCs w:val="21"/>
              </w:rPr>
            </w:pPr>
            <w:r>
              <w:rPr>
                <w:rFonts w:hint="eastAsia"/>
                <w:szCs w:val="21"/>
              </w:rPr>
              <w:t>项目投资估算</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1.2.1</w:t>
            </w:r>
          </w:p>
        </w:tc>
        <w:tc>
          <w:tcPr>
            <w:tcW w:w="2127" w:type="dxa"/>
            <w:vAlign w:val="center"/>
          </w:tcPr>
          <w:p>
            <w:pPr>
              <w:widowControl/>
              <w:spacing w:line="360" w:lineRule="auto"/>
              <w:jc w:val="center"/>
              <w:rPr>
                <w:szCs w:val="21"/>
              </w:rPr>
            </w:pPr>
            <w:r>
              <w:rPr>
                <w:rFonts w:hint="eastAsia"/>
                <w:szCs w:val="21"/>
              </w:rPr>
              <w:t>资金来源及比例</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rFonts w:hint="eastAsia" w:eastAsiaTheme="minorEastAsia"/>
                <w:szCs w:val="21"/>
                <w:lang w:eastAsia="zh-CN"/>
              </w:rPr>
            </w:pPr>
            <w:r>
              <w:rPr>
                <w:szCs w:val="21"/>
              </w:rPr>
              <w:t>1.2.</w:t>
            </w:r>
            <w:r>
              <w:rPr>
                <w:rFonts w:hint="default"/>
                <w:szCs w:val="21"/>
                <w:lang w:val="en-US"/>
              </w:rPr>
              <w:t>2</w:t>
            </w:r>
          </w:p>
        </w:tc>
        <w:tc>
          <w:tcPr>
            <w:tcW w:w="2127" w:type="dxa"/>
            <w:vAlign w:val="center"/>
          </w:tcPr>
          <w:p>
            <w:pPr>
              <w:widowControl/>
              <w:spacing w:line="360" w:lineRule="auto"/>
              <w:jc w:val="center"/>
              <w:rPr>
                <w:szCs w:val="21"/>
              </w:rPr>
            </w:pPr>
            <w:r>
              <w:rPr>
                <w:rFonts w:hint="eastAsia"/>
                <w:szCs w:val="21"/>
              </w:rPr>
              <w:t>资金落实情况</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1.3.1</w:t>
            </w:r>
          </w:p>
        </w:tc>
        <w:tc>
          <w:tcPr>
            <w:tcW w:w="2127" w:type="dxa"/>
            <w:vAlign w:val="center"/>
          </w:tcPr>
          <w:p>
            <w:pPr>
              <w:widowControl/>
              <w:spacing w:line="360" w:lineRule="auto"/>
              <w:jc w:val="center"/>
              <w:rPr>
                <w:szCs w:val="21"/>
              </w:rPr>
            </w:pPr>
            <w:r>
              <w:rPr>
                <w:rFonts w:hint="eastAsia"/>
                <w:szCs w:val="21"/>
              </w:rPr>
              <w:t>招标范围</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1.3.2</w:t>
            </w:r>
          </w:p>
        </w:tc>
        <w:tc>
          <w:tcPr>
            <w:tcW w:w="2127" w:type="dxa"/>
            <w:vAlign w:val="center"/>
          </w:tcPr>
          <w:p>
            <w:pPr>
              <w:widowControl/>
              <w:spacing w:line="360" w:lineRule="auto"/>
              <w:jc w:val="center"/>
              <w:rPr>
                <w:szCs w:val="21"/>
              </w:rPr>
            </w:pPr>
            <w:r>
              <w:rPr>
                <w:rFonts w:hint="eastAsia"/>
                <w:szCs w:val="21"/>
              </w:rPr>
              <w:t>服务期限</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1.3.3</w:t>
            </w:r>
          </w:p>
        </w:tc>
        <w:tc>
          <w:tcPr>
            <w:tcW w:w="2127" w:type="dxa"/>
            <w:vAlign w:val="center"/>
          </w:tcPr>
          <w:p>
            <w:pPr>
              <w:widowControl/>
              <w:spacing w:line="360" w:lineRule="auto"/>
              <w:jc w:val="center"/>
              <w:rPr>
                <w:szCs w:val="21"/>
              </w:rPr>
            </w:pPr>
            <w:r>
              <w:rPr>
                <w:rFonts w:hint="eastAsia"/>
                <w:szCs w:val="21"/>
              </w:rPr>
              <w:t>质量标准</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1.4.1</w:t>
            </w:r>
          </w:p>
        </w:tc>
        <w:tc>
          <w:tcPr>
            <w:tcW w:w="2127" w:type="dxa"/>
            <w:vAlign w:val="center"/>
          </w:tcPr>
          <w:p>
            <w:pPr>
              <w:widowControl/>
              <w:spacing w:line="360" w:lineRule="auto"/>
              <w:jc w:val="center"/>
              <w:rPr>
                <w:szCs w:val="21"/>
              </w:rPr>
            </w:pPr>
            <w:r>
              <w:rPr>
                <w:rFonts w:hint="eastAsia"/>
                <w:szCs w:val="21"/>
              </w:rPr>
              <w:t>投标人资质条件、能力、信誉</w:t>
            </w:r>
          </w:p>
        </w:tc>
        <w:tc>
          <w:tcPr>
            <w:tcW w:w="5762" w:type="dxa"/>
            <w:vAlign w:val="center"/>
          </w:tcPr>
          <w:p>
            <w:pPr>
              <w:widowControl/>
              <w:spacing w:line="360" w:lineRule="auto"/>
              <w:rPr>
                <w:szCs w:val="21"/>
              </w:rPr>
            </w:pPr>
            <w:r>
              <w:rPr>
                <w:rFonts w:hint="eastAsia"/>
                <w:szCs w:val="21"/>
              </w:rPr>
              <w:t>（1）资质要求：本次招标要求投标人须有独立的法人资格，具有有效营业执照证书或其他登记证书。具备</w:t>
            </w:r>
            <w:r>
              <w:rPr>
                <w:rFonts w:hint="eastAsia"/>
                <w:szCs w:val="21"/>
                <w:u w:val="single"/>
              </w:rPr>
              <w:t xml:space="preserve">         </w:t>
            </w:r>
            <w:r>
              <w:rPr>
                <w:rFonts w:hint="eastAsia"/>
                <w:szCs w:val="21"/>
              </w:rPr>
              <w:t>资质，并在人员、设备、资金等方面具有相应的服务能力。</w:t>
            </w:r>
          </w:p>
          <w:p>
            <w:pPr>
              <w:widowControl/>
              <w:spacing w:line="360" w:lineRule="auto"/>
              <w:rPr>
                <w:szCs w:val="21"/>
              </w:rPr>
            </w:pPr>
            <w:r>
              <w:rPr>
                <w:rFonts w:hint="eastAsia"/>
                <w:szCs w:val="21"/>
              </w:rPr>
              <w:t>（2）财务要求：</w:t>
            </w:r>
          </w:p>
          <w:p>
            <w:pPr>
              <w:widowControl/>
              <w:spacing w:line="360" w:lineRule="auto"/>
              <w:rPr>
                <w:rFonts w:hint="eastAsia"/>
                <w:szCs w:val="21"/>
              </w:rPr>
            </w:pPr>
            <w:r>
              <w:rPr>
                <w:rFonts w:hint="eastAsia"/>
                <w:szCs w:val="21"/>
              </w:rPr>
              <w:t>（3）信誉要求：</w:t>
            </w:r>
          </w:p>
          <w:p>
            <w:pPr>
              <w:widowControl/>
              <w:spacing w:line="360" w:lineRule="auto"/>
              <w:rPr>
                <w:rFonts w:hint="default" w:eastAsiaTheme="minorEastAsia"/>
                <w:szCs w:val="21"/>
                <w:highlight w:val="none"/>
                <w:lang w:val="en-US" w:eastAsia="zh-CN"/>
              </w:rPr>
            </w:pPr>
            <w:r>
              <w:rPr>
                <w:rFonts w:hint="eastAsia"/>
                <w:szCs w:val="21"/>
                <w:highlight w:val="none"/>
                <w:lang w:val="en-US" w:eastAsia="zh-CN"/>
              </w:rPr>
              <w:t>（4）项目负责人要求</w:t>
            </w:r>
            <w:r>
              <w:rPr>
                <w:rFonts w:hint="eastAsia"/>
                <w:lang w:val="en-US" w:eastAsia="zh-CN"/>
              </w:rPr>
              <w:t>水利相关</w:t>
            </w:r>
            <w:r>
              <w:rPr>
                <w:rFonts w:hint="eastAsia"/>
                <w:szCs w:val="21"/>
                <w:highlight w:val="none"/>
                <w:lang w:val="en-US" w:eastAsia="zh-CN"/>
              </w:rPr>
              <w:t>专业</w:t>
            </w:r>
            <w:r>
              <w:rPr>
                <w:rFonts w:hint="eastAsia"/>
                <w:szCs w:val="21"/>
                <w:highlight w:val="none"/>
                <w:u w:val="single"/>
                <w:lang w:val="en-US" w:eastAsia="zh-CN"/>
              </w:rPr>
              <w:t xml:space="preserve">       </w:t>
            </w:r>
            <w:r>
              <w:rPr>
                <w:rFonts w:hint="eastAsia"/>
                <w:szCs w:val="21"/>
                <w:highlight w:val="none"/>
                <w:lang w:val="en-US" w:eastAsia="zh-CN"/>
              </w:rPr>
              <w:t>级职称及以上；</w:t>
            </w:r>
          </w:p>
          <w:p>
            <w:pPr>
              <w:widowControl/>
              <w:spacing w:line="360" w:lineRule="auto"/>
              <w:rPr>
                <w:szCs w:val="21"/>
                <w:highlight w:val="none"/>
              </w:rPr>
            </w:pPr>
            <w:r>
              <w:rPr>
                <w:rFonts w:hint="eastAsia"/>
                <w:szCs w:val="21"/>
                <w:highlight w:val="none"/>
                <w:lang w:eastAsia="zh-CN"/>
              </w:rPr>
              <w:t>（</w:t>
            </w:r>
            <w:r>
              <w:rPr>
                <w:rFonts w:hint="eastAsia"/>
                <w:szCs w:val="21"/>
                <w:highlight w:val="none"/>
                <w:lang w:val="en-US" w:eastAsia="zh-CN"/>
              </w:rPr>
              <w:t>5</w:t>
            </w:r>
            <w:r>
              <w:rPr>
                <w:rFonts w:hint="eastAsia"/>
                <w:szCs w:val="21"/>
                <w:highlight w:val="none"/>
                <w:lang w:eastAsia="zh-CN"/>
              </w:rPr>
              <w:t>）</w:t>
            </w:r>
            <w:r>
              <w:rPr>
                <w:rFonts w:hint="eastAsia"/>
                <w:szCs w:val="21"/>
                <w:highlight w:val="none"/>
              </w:rPr>
              <w:t>其他主要人员要求：</w:t>
            </w:r>
          </w:p>
          <w:tbl>
            <w:tblPr>
              <w:tblStyle w:val="30"/>
              <w:tblW w:w="541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37"/>
              <w:gridCol w:w="723"/>
              <w:gridCol w:w="740"/>
              <w:gridCol w:w="709"/>
              <w:gridCol w:w="1780"/>
              <w:gridCol w:w="73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37" w:type="dxa"/>
                  <w:tcBorders>
                    <w:right w:val="single" w:color="auto" w:sz="4" w:space="0"/>
                  </w:tcBorders>
                </w:tcPr>
                <w:p>
                  <w:pPr>
                    <w:widowControl/>
                    <w:spacing w:line="360" w:lineRule="auto"/>
                    <w:jc w:val="center"/>
                    <w:rPr>
                      <w:szCs w:val="21"/>
                      <w:highlight w:val="none"/>
                    </w:rPr>
                  </w:pPr>
                  <w:r>
                    <w:rPr>
                      <w:szCs w:val="21"/>
                      <w:highlight w:val="none"/>
                    </w:rPr>
                    <w:t>序号</w:t>
                  </w:r>
                </w:p>
              </w:tc>
              <w:tc>
                <w:tcPr>
                  <w:tcW w:w="723" w:type="dxa"/>
                  <w:tcBorders>
                    <w:left w:val="single" w:color="auto" w:sz="4" w:space="0"/>
                  </w:tcBorders>
                </w:tcPr>
                <w:p>
                  <w:pPr>
                    <w:spacing w:line="360" w:lineRule="auto"/>
                    <w:jc w:val="center"/>
                    <w:rPr>
                      <w:szCs w:val="21"/>
                      <w:highlight w:val="none"/>
                    </w:rPr>
                  </w:pPr>
                  <w:r>
                    <w:rPr>
                      <w:rFonts w:hint="eastAsia"/>
                      <w:szCs w:val="21"/>
                      <w:highlight w:val="none"/>
                    </w:rPr>
                    <w:t>专业</w:t>
                  </w:r>
                </w:p>
              </w:tc>
              <w:tc>
                <w:tcPr>
                  <w:tcW w:w="740" w:type="dxa"/>
                </w:tcPr>
                <w:p>
                  <w:pPr>
                    <w:widowControl/>
                    <w:spacing w:line="360" w:lineRule="auto"/>
                    <w:jc w:val="center"/>
                    <w:rPr>
                      <w:szCs w:val="21"/>
                      <w:highlight w:val="none"/>
                    </w:rPr>
                  </w:pPr>
                  <w:r>
                    <w:rPr>
                      <w:rFonts w:hint="eastAsia"/>
                      <w:szCs w:val="21"/>
                      <w:highlight w:val="none"/>
                    </w:rPr>
                    <w:t>岗位</w:t>
                  </w:r>
                </w:p>
              </w:tc>
              <w:tc>
                <w:tcPr>
                  <w:tcW w:w="709" w:type="dxa"/>
                </w:tcPr>
                <w:p>
                  <w:pPr>
                    <w:widowControl/>
                    <w:spacing w:line="360" w:lineRule="auto"/>
                    <w:jc w:val="center"/>
                    <w:rPr>
                      <w:szCs w:val="21"/>
                      <w:highlight w:val="none"/>
                    </w:rPr>
                  </w:pPr>
                  <w:r>
                    <w:rPr>
                      <w:rFonts w:hint="eastAsia"/>
                      <w:szCs w:val="21"/>
                      <w:highlight w:val="none"/>
                    </w:rPr>
                    <w:t>人数</w:t>
                  </w:r>
                </w:p>
              </w:tc>
              <w:tc>
                <w:tcPr>
                  <w:tcW w:w="1780" w:type="dxa"/>
                </w:tcPr>
                <w:p>
                  <w:pPr>
                    <w:widowControl/>
                    <w:spacing w:line="360" w:lineRule="auto"/>
                    <w:jc w:val="center"/>
                    <w:rPr>
                      <w:rFonts w:hint="eastAsia" w:eastAsiaTheme="minorEastAsia"/>
                      <w:szCs w:val="21"/>
                      <w:highlight w:val="none"/>
                      <w:lang w:val="en-US" w:eastAsia="zh-CN"/>
                    </w:rPr>
                  </w:pPr>
                  <w:r>
                    <w:rPr>
                      <w:rFonts w:hint="eastAsia"/>
                      <w:szCs w:val="21"/>
                      <w:highlight w:val="none"/>
                    </w:rPr>
                    <w:t>职称</w:t>
                  </w:r>
                  <w:r>
                    <w:rPr>
                      <w:rFonts w:hint="eastAsia"/>
                      <w:szCs w:val="21"/>
                      <w:highlight w:val="none"/>
                      <w:lang w:val="en-US" w:eastAsia="zh-CN"/>
                    </w:rPr>
                    <w:t>或执业资格</w:t>
                  </w:r>
                </w:p>
              </w:tc>
              <w:tc>
                <w:tcPr>
                  <w:tcW w:w="730" w:type="dxa"/>
                </w:tcPr>
                <w:p>
                  <w:pPr>
                    <w:widowControl/>
                    <w:spacing w:line="360" w:lineRule="auto"/>
                    <w:jc w:val="center"/>
                    <w:rPr>
                      <w:szCs w:val="21"/>
                      <w:highlight w:val="none"/>
                      <w:lang w:eastAsia="zh-Hans"/>
                    </w:rPr>
                  </w:pPr>
                  <w:r>
                    <w:rPr>
                      <w:rFonts w:hint="eastAsia"/>
                      <w:szCs w:val="21"/>
                      <w:highlight w:val="none"/>
                      <w:lang w:eastAsia="zh-Hans"/>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37" w:type="dxa"/>
                  <w:tcBorders>
                    <w:right w:val="single" w:color="auto" w:sz="4" w:space="0"/>
                  </w:tcBorders>
                </w:tcPr>
                <w:p>
                  <w:pPr>
                    <w:widowControl/>
                    <w:spacing w:line="360" w:lineRule="auto"/>
                    <w:jc w:val="center"/>
                    <w:rPr>
                      <w:szCs w:val="21"/>
                      <w:highlight w:val="none"/>
                    </w:rPr>
                  </w:pPr>
                  <w:r>
                    <w:rPr>
                      <w:rFonts w:hint="eastAsia"/>
                      <w:szCs w:val="21"/>
                      <w:highlight w:val="none"/>
                    </w:rPr>
                    <w:t>1</w:t>
                  </w:r>
                </w:p>
              </w:tc>
              <w:tc>
                <w:tcPr>
                  <w:tcW w:w="723" w:type="dxa"/>
                  <w:tcBorders>
                    <w:left w:val="single" w:color="auto" w:sz="4" w:space="0"/>
                  </w:tcBorders>
                </w:tcPr>
                <w:p>
                  <w:pPr>
                    <w:widowControl/>
                    <w:spacing w:line="360" w:lineRule="auto"/>
                    <w:rPr>
                      <w:szCs w:val="21"/>
                      <w:highlight w:val="none"/>
                    </w:rPr>
                  </w:pPr>
                </w:p>
              </w:tc>
              <w:tc>
                <w:tcPr>
                  <w:tcW w:w="740" w:type="dxa"/>
                </w:tcPr>
                <w:p>
                  <w:pPr>
                    <w:widowControl/>
                    <w:spacing w:line="360" w:lineRule="auto"/>
                    <w:rPr>
                      <w:szCs w:val="21"/>
                      <w:highlight w:val="none"/>
                    </w:rPr>
                  </w:pPr>
                </w:p>
              </w:tc>
              <w:tc>
                <w:tcPr>
                  <w:tcW w:w="709" w:type="dxa"/>
                </w:tcPr>
                <w:p>
                  <w:pPr>
                    <w:widowControl/>
                    <w:spacing w:line="360" w:lineRule="auto"/>
                    <w:rPr>
                      <w:szCs w:val="21"/>
                      <w:highlight w:val="none"/>
                    </w:rPr>
                  </w:pPr>
                </w:p>
              </w:tc>
              <w:tc>
                <w:tcPr>
                  <w:tcW w:w="1780" w:type="dxa"/>
                </w:tcPr>
                <w:p>
                  <w:pPr>
                    <w:widowControl/>
                    <w:spacing w:line="360" w:lineRule="auto"/>
                    <w:rPr>
                      <w:szCs w:val="21"/>
                      <w:highlight w:val="none"/>
                    </w:rPr>
                  </w:pPr>
                </w:p>
              </w:tc>
              <w:tc>
                <w:tcPr>
                  <w:tcW w:w="730" w:type="dxa"/>
                </w:tcPr>
                <w:p>
                  <w:pPr>
                    <w:widowControl/>
                    <w:spacing w:line="360" w:lineRule="auto"/>
                    <w:rPr>
                      <w:szCs w:val="21"/>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37" w:type="dxa"/>
                  <w:tcBorders>
                    <w:right w:val="single" w:color="auto" w:sz="4" w:space="0"/>
                  </w:tcBorders>
                </w:tcPr>
                <w:p>
                  <w:pPr>
                    <w:widowControl/>
                    <w:spacing w:line="360" w:lineRule="auto"/>
                    <w:jc w:val="center"/>
                    <w:rPr>
                      <w:szCs w:val="21"/>
                      <w:highlight w:val="none"/>
                    </w:rPr>
                  </w:pPr>
                  <w:r>
                    <w:rPr>
                      <w:rFonts w:hint="eastAsia"/>
                      <w:szCs w:val="21"/>
                      <w:highlight w:val="none"/>
                    </w:rPr>
                    <w:t>......</w:t>
                  </w:r>
                </w:p>
              </w:tc>
              <w:tc>
                <w:tcPr>
                  <w:tcW w:w="723" w:type="dxa"/>
                  <w:tcBorders>
                    <w:left w:val="single" w:color="auto" w:sz="4" w:space="0"/>
                  </w:tcBorders>
                </w:tcPr>
                <w:p>
                  <w:pPr>
                    <w:widowControl/>
                    <w:spacing w:line="360" w:lineRule="auto"/>
                    <w:rPr>
                      <w:szCs w:val="21"/>
                      <w:highlight w:val="none"/>
                    </w:rPr>
                  </w:pPr>
                </w:p>
              </w:tc>
              <w:tc>
                <w:tcPr>
                  <w:tcW w:w="740" w:type="dxa"/>
                </w:tcPr>
                <w:p>
                  <w:pPr>
                    <w:widowControl/>
                    <w:spacing w:line="360" w:lineRule="auto"/>
                    <w:rPr>
                      <w:szCs w:val="21"/>
                      <w:highlight w:val="none"/>
                    </w:rPr>
                  </w:pPr>
                </w:p>
              </w:tc>
              <w:tc>
                <w:tcPr>
                  <w:tcW w:w="709" w:type="dxa"/>
                </w:tcPr>
                <w:p>
                  <w:pPr>
                    <w:widowControl/>
                    <w:spacing w:line="360" w:lineRule="auto"/>
                    <w:rPr>
                      <w:szCs w:val="21"/>
                      <w:highlight w:val="none"/>
                    </w:rPr>
                  </w:pPr>
                </w:p>
              </w:tc>
              <w:tc>
                <w:tcPr>
                  <w:tcW w:w="1780" w:type="dxa"/>
                </w:tcPr>
                <w:p>
                  <w:pPr>
                    <w:widowControl/>
                    <w:spacing w:line="360" w:lineRule="auto"/>
                    <w:rPr>
                      <w:szCs w:val="21"/>
                      <w:highlight w:val="none"/>
                    </w:rPr>
                  </w:pPr>
                </w:p>
              </w:tc>
              <w:tc>
                <w:tcPr>
                  <w:tcW w:w="730" w:type="dxa"/>
                </w:tcPr>
                <w:p>
                  <w:pPr>
                    <w:widowControl/>
                    <w:spacing w:line="360" w:lineRule="auto"/>
                    <w:rPr>
                      <w:szCs w:val="21"/>
                      <w:highlight w:val="none"/>
                    </w:rPr>
                  </w:pPr>
                </w:p>
              </w:tc>
            </w:tr>
          </w:tbl>
          <w:p>
            <w:pPr>
              <w:widowControl/>
              <w:numPr>
                <w:ilvl w:val="0"/>
                <w:numId w:val="8"/>
              </w:numPr>
              <w:spacing w:line="360" w:lineRule="auto"/>
              <w:rPr>
                <w:rFonts w:hint="eastAsia"/>
                <w:szCs w:val="21"/>
                <w:highlight w:val="none"/>
              </w:rPr>
            </w:pPr>
            <w:r>
              <w:rPr>
                <w:rFonts w:hint="eastAsia"/>
                <w:szCs w:val="21"/>
                <w:highlight w:val="none"/>
              </w:rPr>
              <w:t>其他要求：</w:t>
            </w:r>
          </w:p>
          <w:p>
            <w:pPr>
              <w:widowControl/>
              <w:numPr>
                <w:ilvl w:val="0"/>
                <w:numId w:val="0"/>
              </w:numPr>
              <w:spacing w:line="360" w:lineRule="auto"/>
              <w:rPr>
                <w:rFonts w:hint="eastAsia"/>
                <w:szCs w:val="21"/>
                <w:highlight w:val="none"/>
              </w:rPr>
            </w:pPr>
            <w:r>
              <w:rPr>
                <w:rFonts w:hint="eastAsia"/>
                <w:szCs w:val="21"/>
                <w:highlight w:val="none"/>
              </w:rPr>
              <w:t>项目机构成员均应为本单位</w:t>
            </w:r>
            <w:r>
              <w:rPr>
                <w:rFonts w:hint="eastAsia"/>
                <w:szCs w:val="21"/>
                <w:highlight w:val="none"/>
                <w:lang w:val="en-US" w:eastAsia="zh-CN"/>
              </w:rPr>
              <w:t>正式员工</w:t>
            </w:r>
            <w:r>
              <w:rPr>
                <w:rFonts w:hint="eastAsia"/>
                <w:szCs w:val="21"/>
                <w:highlight w:val="none"/>
              </w:rPr>
              <w:t>，应提供自开标日起向前追溯不少于3个月:_____年___月___日至_____年____月___日</w:t>
            </w:r>
            <w:r>
              <w:rPr>
                <w:rFonts w:hint="eastAsia"/>
                <w:szCs w:val="21"/>
                <w:highlight w:val="none"/>
                <w:lang w:eastAsia="zh-CN"/>
              </w:rPr>
              <w:t>“</w:t>
            </w:r>
            <w:r>
              <w:rPr>
                <w:rFonts w:hint="eastAsia"/>
                <w:szCs w:val="21"/>
                <w:highlight w:val="none"/>
                <w:lang w:val="en-US" w:eastAsia="zh-CN"/>
              </w:rPr>
              <w:t>五险一金</w:t>
            </w:r>
            <w:r>
              <w:rPr>
                <w:rFonts w:hint="eastAsia"/>
                <w:szCs w:val="21"/>
                <w:highlight w:val="none"/>
                <w:lang w:eastAsia="zh-CN"/>
              </w:rPr>
              <w:t>”</w:t>
            </w:r>
            <w:r>
              <w:rPr>
                <w:rFonts w:hint="eastAsia"/>
                <w:szCs w:val="21"/>
                <w:highlight w:val="none"/>
              </w:rPr>
              <w:t>缴纳凭证。</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（7）资格预审项目自确定正式投标人之日起或资格后审项目自开标之日起至发出中标通知书前，投标项目负责人不得被更换。确需更换的，须经项目法人同意并公式，且仅限于以下情形：</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①死亡；</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②因重大疾病、辞职或调离原工作企业不能履行职责；</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③因违法违规被责令停止执业；</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④因犯罪或涉嫌犯罪被羁押或判刑；</w:t>
            </w:r>
          </w:p>
          <w:p>
            <w:pPr>
              <w:widowControl/>
              <w:spacing w:line="360" w:lineRule="auto"/>
              <w:ind w:firstLine="420" w:firstLineChars="200"/>
              <w:rPr>
                <w:rFonts w:hint="eastAsia"/>
                <w:szCs w:val="21"/>
                <w:highlight w:val="none"/>
                <w:lang w:val="en-US" w:eastAsia="zh-CN"/>
              </w:rPr>
            </w:pPr>
            <w:r>
              <w:rPr>
                <w:rFonts w:hint="eastAsia"/>
                <w:szCs w:val="21"/>
                <w:highlight w:val="none"/>
                <w:lang w:val="en-US" w:eastAsia="zh-CN"/>
              </w:rPr>
              <w:t>⑤因其它不可抗力等特殊情况必须更换的。</w:t>
            </w:r>
          </w:p>
          <w:p>
            <w:pPr>
              <w:widowControl/>
              <w:spacing w:line="360" w:lineRule="auto"/>
              <w:ind w:firstLine="420" w:firstLineChars="200"/>
              <w:rPr>
                <w:rFonts w:hint="default"/>
                <w:szCs w:val="21"/>
                <w:highlight w:val="yellow"/>
                <w:lang w:val="en-US" w:eastAsia="zh-CN"/>
              </w:rPr>
            </w:pPr>
            <w:r>
              <w:rPr>
                <w:rFonts w:hint="eastAsia"/>
                <w:szCs w:val="21"/>
                <w:highlight w:val="none"/>
                <w:lang w:val="en-US" w:eastAsia="zh-CN"/>
              </w:rPr>
              <w:t>更换后的项目负责人，其职称等级须与招标项目的要求相适应，且资格条件（包括职称等级、类似项目业绩等）不得低于原项目负责人在招标时量化评分的条件，并满足招标文件约定的最低资格要求。</w:t>
            </w:r>
          </w:p>
          <w:p>
            <w:pPr>
              <w:widowControl/>
              <w:spacing w:line="360" w:lineRule="auto"/>
              <w:rPr>
                <w:rFonts w:hint="eastAsia" w:ascii="宋体" w:hAnsi="宋体" w:eastAsiaTheme="minorEastAsia"/>
                <w:b/>
                <w:szCs w:val="21"/>
                <w:highlight w:val="none"/>
                <w:lang w:val="en-US" w:eastAsia="zh-CN"/>
              </w:rPr>
            </w:pPr>
            <w:r>
              <w:rPr>
                <w:rFonts w:hint="eastAsia"/>
                <w:b/>
                <w:szCs w:val="21"/>
                <w:highlight w:val="none"/>
              </w:rPr>
              <w:t>【注：</w:t>
            </w:r>
            <w:r>
              <w:rPr>
                <w:rFonts w:hint="eastAsia"/>
                <w:b/>
                <w:szCs w:val="21"/>
                <w:highlight w:val="none"/>
                <w:lang w:eastAsia="zh-CN"/>
              </w:rPr>
              <w:t>“</w:t>
            </w:r>
            <w:r>
              <w:rPr>
                <w:rFonts w:hint="eastAsia"/>
                <w:b/>
                <w:szCs w:val="21"/>
                <w:highlight w:val="none"/>
                <w:lang w:val="en-US" w:eastAsia="zh-CN"/>
              </w:rPr>
              <w:t>五险一金”须</w:t>
            </w:r>
            <w:r>
              <w:rPr>
                <w:rFonts w:hint="eastAsia"/>
                <w:b/>
                <w:szCs w:val="21"/>
                <w:highlight w:val="none"/>
              </w:rPr>
              <w:t>由</w:t>
            </w:r>
            <w:r>
              <w:rPr>
                <w:rFonts w:hint="eastAsia"/>
                <w:b/>
                <w:szCs w:val="21"/>
                <w:highlight w:val="none"/>
                <w:lang w:val="en-US" w:eastAsia="zh-CN"/>
              </w:rPr>
              <w:t>本</w:t>
            </w:r>
            <w:r>
              <w:rPr>
                <w:rFonts w:hint="eastAsia"/>
                <w:b/>
                <w:szCs w:val="21"/>
                <w:highlight w:val="none"/>
              </w:rPr>
              <w:t>单位缴纳</w:t>
            </w:r>
            <w:r>
              <w:rPr>
                <w:rFonts w:hint="eastAsia" w:ascii="宋体" w:hAnsi="宋体"/>
                <w:b/>
                <w:szCs w:val="21"/>
                <w:highlight w:val="none"/>
              </w:rPr>
              <w:t>；属于离（退）休人员的，应提供社保部门的离（退）休证明和本单位聘用合同。企业设立不足3个月的，提供自成立之日起至投标截止日前不少于1个月的社保缴费证明。投标人成立不足一个月的，须提供加盖投标人公章的情况说明或书面承诺函，并附拟委派人员与投标人签订的有效劳动合同（劳动合同签署时间须早于投标截止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1.4.2</w:t>
            </w:r>
          </w:p>
        </w:tc>
        <w:tc>
          <w:tcPr>
            <w:tcW w:w="2127" w:type="dxa"/>
            <w:vAlign w:val="center"/>
          </w:tcPr>
          <w:p>
            <w:pPr>
              <w:widowControl/>
              <w:spacing w:line="360" w:lineRule="auto"/>
              <w:jc w:val="center"/>
              <w:rPr>
                <w:szCs w:val="21"/>
              </w:rPr>
            </w:pPr>
            <w:r>
              <w:rPr>
                <w:rFonts w:hint="eastAsia"/>
                <w:szCs w:val="21"/>
              </w:rPr>
              <w:t>是否接受联合体投标</w:t>
            </w:r>
          </w:p>
        </w:tc>
        <w:tc>
          <w:tcPr>
            <w:tcW w:w="5762" w:type="dxa"/>
            <w:vAlign w:val="center"/>
          </w:tcPr>
          <w:p>
            <w:pPr>
              <w:widowControl/>
              <w:spacing w:line="360" w:lineRule="auto"/>
              <w:rPr>
                <w:szCs w:val="21"/>
              </w:rPr>
            </w:pPr>
            <w:r>
              <w:rPr>
                <w:rFonts w:hint="eastAsia"/>
                <w:szCs w:val="21"/>
                <w:lang w:eastAsia="zh-CN"/>
              </w:rPr>
              <w:t>□</w:t>
            </w:r>
            <w:r>
              <w:rPr>
                <w:rFonts w:hint="eastAsia"/>
                <w:szCs w:val="21"/>
              </w:rPr>
              <w:t>不接受</w:t>
            </w:r>
          </w:p>
          <w:p>
            <w:pPr>
              <w:widowControl/>
              <w:spacing w:line="360" w:lineRule="auto"/>
              <w:rPr>
                <w:rFonts w:hint="default" w:eastAsiaTheme="minorEastAsia"/>
                <w:szCs w:val="21"/>
                <w:lang w:val="en-US" w:eastAsia="zh-CN"/>
              </w:rPr>
            </w:pPr>
            <w:r>
              <w:rPr>
                <w:rFonts w:hint="eastAsia"/>
                <w:szCs w:val="21"/>
              </w:rPr>
              <w:t>□接受，应满足下列要求：</w:t>
            </w:r>
            <w:r>
              <w:rPr>
                <w:rFonts w:hint="eastAsia"/>
                <w:szCs w:val="21"/>
                <w:u w:val="single"/>
                <w:lang w:val="en-US" w:eastAsia="zh-CN"/>
              </w:rPr>
              <w:t xml:space="preserve">                       </w:t>
            </w:r>
            <w:r>
              <w:rPr>
                <w:rFonts w:hint="eastAsia"/>
                <w:szCs w:val="21"/>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1.4.3</w:t>
            </w:r>
          </w:p>
        </w:tc>
        <w:tc>
          <w:tcPr>
            <w:tcW w:w="2127" w:type="dxa"/>
            <w:vAlign w:val="center"/>
          </w:tcPr>
          <w:p>
            <w:pPr>
              <w:widowControl/>
              <w:spacing w:line="360" w:lineRule="auto"/>
              <w:jc w:val="center"/>
              <w:rPr>
                <w:rFonts w:hint="eastAsia"/>
                <w:szCs w:val="21"/>
              </w:rPr>
            </w:pPr>
            <w:r>
              <w:rPr>
                <w:rFonts w:hint="eastAsia"/>
                <w:szCs w:val="21"/>
              </w:rPr>
              <w:t>投标人不得存在</w:t>
            </w:r>
          </w:p>
          <w:p>
            <w:pPr>
              <w:widowControl/>
              <w:spacing w:line="360" w:lineRule="auto"/>
              <w:jc w:val="center"/>
              <w:rPr>
                <w:szCs w:val="21"/>
              </w:rPr>
            </w:pPr>
            <w:r>
              <w:rPr>
                <w:rFonts w:hint="eastAsia"/>
                <w:szCs w:val="21"/>
              </w:rPr>
              <w:t>的其他情形</w:t>
            </w:r>
          </w:p>
        </w:tc>
        <w:tc>
          <w:tcPr>
            <w:tcW w:w="5762" w:type="dxa"/>
            <w:vAlign w:val="center"/>
          </w:tcPr>
          <w:p>
            <w:pPr>
              <w:widowControl/>
              <w:spacing w:line="360" w:lineRule="auto"/>
              <w:rPr>
                <w:b/>
                <w:color w:val="auto"/>
                <w:szCs w:val="21"/>
              </w:rPr>
            </w:pPr>
            <w:r>
              <w:rPr>
                <w:rFonts w:hint="eastAsia"/>
                <w:b/>
                <w:color w:val="auto"/>
                <w:szCs w:val="21"/>
              </w:rPr>
              <w:t>（1）</w:t>
            </w:r>
            <w:r>
              <w:rPr>
                <w:rFonts w:hint="eastAsia"/>
                <w:b/>
                <w:color w:val="auto"/>
                <w:szCs w:val="21"/>
                <w:lang w:val="en-US" w:eastAsia="zh-CN"/>
              </w:rPr>
              <w:t>本章节的</w:t>
            </w:r>
            <w:r>
              <w:rPr>
                <w:rFonts w:hint="eastAsia"/>
                <w:b/>
                <w:color w:val="auto"/>
                <w:szCs w:val="21"/>
              </w:rPr>
              <w:t>投标人须知总则第1.4.3条”的规定；</w:t>
            </w:r>
          </w:p>
          <w:p>
            <w:pPr>
              <w:widowControl/>
              <w:spacing w:line="360" w:lineRule="auto"/>
              <w:rPr>
                <w:szCs w:val="21"/>
                <w:u w:val="single"/>
              </w:rPr>
            </w:pPr>
            <w:r>
              <w:rPr>
                <w:rFonts w:hint="eastAsia"/>
                <w:b/>
                <w:color w:val="auto"/>
                <w:szCs w:val="21"/>
              </w:rPr>
              <w:t>（</w:t>
            </w:r>
            <w:r>
              <w:rPr>
                <w:rFonts w:hint="default"/>
                <w:b/>
                <w:color w:val="auto"/>
                <w:szCs w:val="21"/>
              </w:rPr>
              <w:t>2</w:t>
            </w:r>
            <w:r>
              <w:rPr>
                <w:rFonts w:hint="eastAsia"/>
                <w:b/>
                <w:color w:val="auto"/>
                <w:szCs w:val="21"/>
              </w:rPr>
              <w:t>）其他情形：</w:t>
            </w:r>
            <w:r>
              <w:rPr>
                <w:rFonts w:hint="eastAsia"/>
                <w:b/>
                <w:color w:val="auto"/>
                <w:szCs w:val="21"/>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1.9.1</w:t>
            </w:r>
          </w:p>
        </w:tc>
        <w:tc>
          <w:tcPr>
            <w:tcW w:w="2127" w:type="dxa"/>
            <w:vAlign w:val="center"/>
          </w:tcPr>
          <w:p>
            <w:pPr>
              <w:widowControl/>
              <w:spacing w:line="360" w:lineRule="auto"/>
              <w:jc w:val="center"/>
              <w:rPr>
                <w:szCs w:val="21"/>
              </w:rPr>
            </w:pPr>
            <w:r>
              <w:rPr>
                <w:rFonts w:hint="eastAsia"/>
                <w:szCs w:val="21"/>
              </w:rPr>
              <w:t>踏勘现场</w:t>
            </w:r>
          </w:p>
        </w:tc>
        <w:tc>
          <w:tcPr>
            <w:tcW w:w="5762" w:type="dxa"/>
            <w:vAlign w:val="center"/>
          </w:tcPr>
          <w:p>
            <w:pPr>
              <w:widowControl/>
              <w:spacing w:line="360" w:lineRule="auto"/>
              <w:rPr>
                <w:szCs w:val="21"/>
              </w:rPr>
            </w:pPr>
            <w:r>
              <w:rPr>
                <w:rFonts w:hint="eastAsia"/>
                <w:szCs w:val="21"/>
              </w:rPr>
              <w:t>□不组织</w:t>
            </w:r>
          </w:p>
          <w:p>
            <w:pPr>
              <w:widowControl/>
              <w:spacing w:line="360" w:lineRule="auto"/>
              <w:rPr>
                <w:szCs w:val="21"/>
              </w:rPr>
            </w:pPr>
            <w:r>
              <w:rPr>
                <w:rFonts w:hint="eastAsia"/>
                <w:szCs w:val="21"/>
              </w:rPr>
              <w:t>□组织，踏勘时间：</w:t>
            </w:r>
            <w:r>
              <w:rPr>
                <w:rFonts w:hint="eastAsia"/>
                <w:b/>
                <w:color w:val="auto"/>
                <w:szCs w:val="21"/>
                <w:u w:val="single"/>
              </w:rPr>
              <w:t xml:space="preserve">              </w:t>
            </w:r>
          </w:p>
          <w:p>
            <w:pPr>
              <w:widowControl/>
              <w:spacing w:line="360" w:lineRule="auto"/>
              <w:ind w:firstLine="840" w:firstLineChars="400"/>
              <w:rPr>
                <w:szCs w:val="21"/>
              </w:rPr>
            </w:pPr>
            <w:r>
              <w:rPr>
                <w:rFonts w:hint="eastAsia"/>
                <w:szCs w:val="21"/>
              </w:rPr>
              <w:t>踏勘集中地点：</w:t>
            </w:r>
            <w:r>
              <w:rPr>
                <w:rFonts w:hint="eastAsia"/>
                <w:b/>
                <w:color w:val="auto"/>
                <w:szCs w:val="21"/>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w:t>
            </w:r>
            <w:r>
              <w:rPr>
                <w:rFonts w:hint="eastAsia"/>
                <w:szCs w:val="21"/>
              </w:rPr>
              <w:t>10</w:t>
            </w:r>
            <w:r>
              <w:rPr>
                <w:szCs w:val="21"/>
              </w:rPr>
              <w:t>.1</w:t>
            </w:r>
          </w:p>
        </w:tc>
        <w:tc>
          <w:tcPr>
            <w:tcW w:w="2127" w:type="dxa"/>
            <w:vAlign w:val="center"/>
          </w:tcPr>
          <w:p>
            <w:pPr>
              <w:widowControl/>
              <w:spacing w:line="360" w:lineRule="auto"/>
              <w:jc w:val="center"/>
              <w:rPr>
                <w:szCs w:val="21"/>
              </w:rPr>
            </w:pPr>
            <w:r>
              <w:rPr>
                <w:rFonts w:hint="eastAsia"/>
                <w:szCs w:val="21"/>
              </w:rPr>
              <w:t>投标预备会</w:t>
            </w:r>
          </w:p>
        </w:tc>
        <w:tc>
          <w:tcPr>
            <w:tcW w:w="5762" w:type="dxa"/>
            <w:vAlign w:val="center"/>
          </w:tcPr>
          <w:p>
            <w:pPr>
              <w:widowControl/>
              <w:spacing w:line="360" w:lineRule="auto"/>
              <w:rPr>
                <w:szCs w:val="21"/>
              </w:rPr>
            </w:pPr>
            <w:r>
              <w:rPr>
                <w:rFonts w:hint="eastAsia"/>
                <w:szCs w:val="21"/>
              </w:rPr>
              <w:t>□不召开</w:t>
            </w:r>
          </w:p>
          <w:p>
            <w:pPr>
              <w:widowControl/>
              <w:spacing w:line="360" w:lineRule="auto"/>
              <w:rPr>
                <w:szCs w:val="21"/>
              </w:rPr>
            </w:pPr>
            <w:r>
              <w:rPr>
                <w:rFonts w:hint="eastAsia"/>
                <w:szCs w:val="21"/>
              </w:rPr>
              <w:t>□召开，召开时间：</w:t>
            </w:r>
            <w:r>
              <w:rPr>
                <w:rFonts w:hint="eastAsia"/>
                <w:b/>
                <w:color w:val="auto"/>
                <w:szCs w:val="21"/>
                <w:u w:val="single"/>
              </w:rPr>
              <w:t xml:space="preserve">              </w:t>
            </w:r>
          </w:p>
          <w:p>
            <w:pPr>
              <w:widowControl/>
              <w:spacing w:line="360" w:lineRule="auto"/>
              <w:ind w:firstLine="840" w:firstLineChars="400"/>
              <w:rPr>
                <w:szCs w:val="21"/>
              </w:rPr>
            </w:pPr>
            <w:r>
              <w:rPr>
                <w:rFonts w:hint="eastAsia"/>
                <w:szCs w:val="21"/>
              </w:rPr>
              <w:t>召开地点：</w:t>
            </w:r>
            <w:r>
              <w:rPr>
                <w:rFonts w:hint="eastAsia"/>
                <w:b/>
                <w:color w:val="auto"/>
                <w:szCs w:val="21"/>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46" w:hRule="atLeast"/>
        </w:trPr>
        <w:tc>
          <w:tcPr>
            <w:tcW w:w="1134" w:type="dxa"/>
            <w:vMerge w:val="restart"/>
            <w:vAlign w:val="center"/>
          </w:tcPr>
          <w:p>
            <w:pPr>
              <w:widowControl/>
              <w:spacing w:line="360" w:lineRule="auto"/>
              <w:jc w:val="center"/>
              <w:rPr>
                <w:szCs w:val="21"/>
              </w:rPr>
            </w:pPr>
            <w:r>
              <w:rPr>
                <w:szCs w:val="21"/>
              </w:rPr>
              <w:t>1.</w:t>
            </w:r>
            <w:r>
              <w:rPr>
                <w:rFonts w:hint="eastAsia"/>
                <w:szCs w:val="21"/>
              </w:rPr>
              <w:t>10</w:t>
            </w:r>
            <w:r>
              <w:rPr>
                <w:szCs w:val="21"/>
              </w:rPr>
              <w:t>.2</w:t>
            </w:r>
          </w:p>
        </w:tc>
        <w:tc>
          <w:tcPr>
            <w:tcW w:w="2127" w:type="dxa"/>
            <w:vMerge w:val="restart"/>
            <w:vAlign w:val="center"/>
          </w:tcPr>
          <w:p>
            <w:pPr>
              <w:widowControl/>
              <w:spacing w:line="360" w:lineRule="auto"/>
              <w:jc w:val="center"/>
              <w:rPr>
                <w:rFonts w:hint="eastAsia"/>
                <w:szCs w:val="21"/>
              </w:rPr>
            </w:pPr>
            <w:r>
              <w:rPr>
                <w:rFonts w:hint="eastAsia"/>
                <w:szCs w:val="21"/>
              </w:rPr>
              <w:t>投标人在投标</w:t>
            </w:r>
          </w:p>
          <w:p>
            <w:pPr>
              <w:widowControl/>
              <w:spacing w:line="360" w:lineRule="auto"/>
              <w:jc w:val="center"/>
              <w:rPr>
                <w:szCs w:val="21"/>
              </w:rPr>
            </w:pPr>
            <w:r>
              <w:rPr>
                <w:rFonts w:hint="eastAsia"/>
                <w:szCs w:val="21"/>
              </w:rPr>
              <w:t>预备会前提出问题</w:t>
            </w:r>
          </w:p>
        </w:tc>
        <w:tc>
          <w:tcPr>
            <w:tcW w:w="5762" w:type="dxa"/>
            <w:tcBorders>
              <w:bottom w:val="single" w:color="auto" w:sz="4" w:space="0"/>
            </w:tcBorders>
            <w:vAlign w:val="center"/>
          </w:tcPr>
          <w:p>
            <w:pPr>
              <w:widowControl/>
              <w:spacing w:line="360" w:lineRule="auto"/>
              <w:rPr>
                <w:szCs w:val="21"/>
              </w:rPr>
            </w:pPr>
            <w:r>
              <w:rPr>
                <w:rFonts w:hint="eastAsia"/>
                <w:szCs w:val="21"/>
              </w:rPr>
              <w:t>时间：</w:t>
            </w:r>
            <w:r>
              <w:rPr>
                <w:rFonts w:hint="eastAsia"/>
                <w:b/>
                <w:color w:val="auto"/>
                <w:szCs w:val="21"/>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14" w:hRule="atLeast"/>
        </w:trPr>
        <w:tc>
          <w:tcPr>
            <w:tcW w:w="1134" w:type="dxa"/>
            <w:vMerge w:val="continue"/>
            <w:vAlign w:val="center"/>
          </w:tcPr>
          <w:p>
            <w:pPr>
              <w:widowControl/>
              <w:spacing w:line="360" w:lineRule="auto"/>
              <w:jc w:val="center"/>
              <w:rPr>
                <w:szCs w:val="21"/>
              </w:rPr>
            </w:pPr>
          </w:p>
        </w:tc>
        <w:tc>
          <w:tcPr>
            <w:tcW w:w="2127" w:type="dxa"/>
            <w:vMerge w:val="continue"/>
            <w:vAlign w:val="center"/>
          </w:tcPr>
          <w:p>
            <w:pPr>
              <w:widowControl/>
              <w:spacing w:line="360" w:lineRule="auto"/>
              <w:jc w:val="center"/>
              <w:rPr>
                <w:szCs w:val="21"/>
              </w:rPr>
            </w:pPr>
          </w:p>
        </w:tc>
        <w:tc>
          <w:tcPr>
            <w:tcW w:w="5762" w:type="dxa"/>
            <w:tcBorders>
              <w:top w:val="single" w:color="auto" w:sz="4" w:space="0"/>
            </w:tcBorders>
            <w:vAlign w:val="center"/>
          </w:tcPr>
          <w:p>
            <w:pPr>
              <w:widowControl/>
              <w:spacing w:line="360" w:lineRule="auto"/>
              <w:rPr>
                <w:szCs w:val="21"/>
              </w:rPr>
            </w:pPr>
            <w:r>
              <w:rPr>
                <w:rFonts w:hint="eastAsia"/>
                <w:szCs w:val="21"/>
              </w:rPr>
              <w:t>形式：</w:t>
            </w:r>
            <w:r>
              <w:rPr>
                <w:rFonts w:hint="eastAsia" w:asciiTheme="minorEastAsia" w:hAnsiTheme="minorEastAsia"/>
                <w:szCs w:val="21"/>
              </w:rPr>
              <w:t>通过下载招标文件的电子招标投标交易平台以书面形式提出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w:t>
            </w:r>
            <w:r>
              <w:rPr>
                <w:rFonts w:hint="eastAsia"/>
                <w:szCs w:val="21"/>
              </w:rPr>
              <w:t>10</w:t>
            </w:r>
            <w:r>
              <w:rPr>
                <w:szCs w:val="21"/>
              </w:rPr>
              <w:t>.3</w:t>
            </w:r>
          </w:p>
        </w:tc>
        <w:tc>
          <w:tcPr>
            <w:tcW w:w="2127" w:type="dxa"/>
            <w:vAlign w:val="center"/>
          </w:tcPr>
          <w:p>
            <w:pPr>
              <w:widowControl/>
              <w:spacing w:line="360" w:lineRule="auto"/>
              <w:jc w:val="center"/>
              <w:rPr>
                <w:rFonts w:hint="eastAsia"/>
                <w:szCs w:val="21"/>
              </w:rPr>
            </w:pPr>
            <w:r>
              <w:rPr>
                <w:rFonts w:hint="eastAsia"/>
                <w:szCs w:val="21"/>
              </w:rPr>
              <w:t>招标文件澄清</w:t>
            </w:r>
          </w:p>
          <w:p>
            <w:pPr>
              <w:widowControl/>
              <w:spacing w:line="360" w:lineRule="auto"/>
              <w:jc w:val="center"/>
              <w:rPr>
                <w:szCs w:val="21"/>
              </w:rPr>
            </w:pPr>
            <w:r>
              <w:rPr>
                <w:rFonts w:hint="eastAsia"/>
                <w:szCs w:val="21"/>
              </w:rPr>
              <w:t>发出的形式</w:t>
            </w:r>
          </w:p>
        </w:tc>
        <w:tc>
          <w:tcPr>
            <w:tcW w:w="5762" w:type="dxa"/>
            <w:vAlign w:val="center"/>
          </w:tcPr>
          <w:p>
            <w:pPr>
              <w:widowControl/>
              <w:spacing w:line="360" w:lineRule="auto"/>
              <w:rPr>
                <w:szCs w:val="21"/>
              </w:rPr>
            </w:pPr>
            <w:r>
              <w:rPr>
                <w:rFonts w:hint="eastAsia" w:asciiTheme="minorEastAsia" w:hAnsiTheme="minorEastAsia"/>
                <w:szCs w:val="21"/>
              </w:rPr>
              <w:t>通过下载招标文件的电子招标投标交易平台以书面形式发出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1.11.1</w:t>
            </w:r>
          </w:p>
        </w:tc>
        <w:tc>
          <w:tcPr>
            <w:tcW w:w="2127" w:type="dxa"/>
            <w:vAlign w:val="center"/>
          </w:tcPr>
          <w:p>
            <w:pPr>
              <w:widowControl/>
              <w:spacing w:line="360" w:lineRule="auto"/>
              <w:jc w:val="center"/>
              <w:rPr>
                <w:szCs w:val="21"/>
              </w:rPr>
            </w:pPr>
            <w:r>
              <w:rPr>
                <w:rFonts w:hint="eastAsia"/>
                <w:szCs w:val="21"/>
              </w:rPr>
              <w:t>分包</w:t>
            </w:r>
          </w:p>
        </w:tc>
        <w:tc>
          <w:tcPr>
            <w:tcW w:w="5762" w:type="dxa"/>
            <w:vAlign w:val="center"/>
          </w:tcPr>
          <w:p>
            <w:pPr>
              <w:widowControl/>
              <w:spacing w:line="360" w:lineRule="auto"/>
              <w:rPr>
                <w:rFonts w:asciiTheme="minorEastAsia" w:hAnsiTheme="minorEastAsia"/>
                <w:szCs w:val="21"/>
              </w:rPr>
            </w:pPr>
            <w:r>
              <w:rPr>
                <w:rFonts w:hint="eastAsia" w:asciiTheme="minorEastAsia" w:hAnsiTheme="minorEastAsia"/>
                <w:szCs w:val="21"/>
              </w:rPr>
              <w:t>□不允许</w:t>
            </w:r>
          </w:p>
          <w:p>
            <w:pPr>
              <w:widowControl/>
              <w:spacing w:line="360" w:lineRule="auto"/>
              <w:rPr>
                <w:rFonts w:asciiTheme="minorEastAsia" w:hAnsiTheme="minorEastAsia"/>
                <w:szCs w:val="21"/>
              </w:rPr>
            </w:pPr>
            <w:r>
              <w:rPr>
                <w:rFonts w:hint="eastAsia" w:asciiTheme="minorEastAsia" w:hAnsiTheme="minorEastAsia"/>
                <w:szCs w:val="21"/>
              </w:rPr>
              <w:t>□允许，分包内容要求：</w:t>
            </w:r>
            <w:r>
              <w:rPr>
                <w:rFonts w:hint="eastAsia"/>
                <w:b/>
                <w:color w:val="auto"/>
                <w:szCs w:val="21"/>
                <w:u w:val="single"/>
              </w:rPr>
              <w:t xml:space="preserve">              </w:t>
            </w:r>
          </w:p>
          <w:p>
            <w:pPr>
              <w:widowControl/>
              <w:spacing w:line="360" w:lineRule="auto"/>
              <w:ind w:firstLine="840" w:firstLineChars="400"/>
              <w:rPr>
                <w:rFonts w:asciiTheme="minorEastAsia" w:hAnsiTheme="minorEastAsia"/>
                <w:szCs w:val="21"/>
              </w:rPr>
            </w:pPr>
            <w:r>
              <w:rPr>
                <w:rFonts w:hint="eastAsia" w:asciiTheme="minorEastAsia" w:hAnsiTheme="minorEastAsia"/>
                <w:szCs w:val="21"/>
              </w:rPr>
              <w:t>分包金额要求：</w:t>
            </w:r>
            <w:r>
              <w:rPr>
                <w:rFonts w:hint="eastAsia"/>
                <w:b/>
                <w:color w:val="auto"/>
                <w:szCs w:val="21"/>
                <w:u w:val="single"/>
              </w:rPr>
              <w:t xml:space="preserve">              </w:t>
            </w:r>
          </w:p>
          <w:p>
            <w:pPr>
              <w:widowControl/>
              <w:spacing w:line="360" w:lineRule="auto"/>
              <w:ind w:firstLine="840" w:firstLineChars="400"/>
              <w:rPr>
                <w:rFonts w:asciiTheme="minorEastAsia" w:hAnsiTheme="minorEastAsia"/>
                <w:szCs w:val="21"/>
              </w:rPr>
            </w:pPr>
            <w:r>
              <w:rPr>
                <w:rFonts w:hint="eastAsia" w:asciiTheme="minorEastAsia" w:hAnsiTheme="minorEastAsia"/>
                <w:szCs w:val="21"/>
                <w:lang w:val="en-US" w:eastAsia="zh-Hans"/>
              </w:rPr>
              <w:t>接受</w:t>
            </w:r>
            <w:r>
              <w:rPr>
                <w:rFonts w:hint="eastAsia" w:asciiTheme="minorEastAsia" w:hAnsiTheme="minorEastAsia"/>
                <w:szCs w:val="21"/>
              </w:rPr>
              <w:t>分包</w:t>
            </w:r>
            <w:r>
              <w:rPr>
                <w:rFonts w:hint="eastAsia" w:asciiTheme="minorEastAsia" w:hAnsiTheme="minorEastAsia"/>
                <w:szCs w:val="21"/>
                <w:lang w:val="en-US" w:eastAsia="zh-Hans"/>
              </w:rPr>
              <w:t>的第三</w:t>
            </w:r>
            <w:r>
              <w:rPr>
                <w:rFonts w:hint="eastAsia" w:asciiTheme="minorEastAsia" w:hAnsiTheme="minorEastAsia"/>
                <w:szCs w:val="21"/>
              </w:rPr>
              <w:t>人资质要求：</w:t>
            </w:r>
            <w:r>
              <w:rPr>
                <w:rFonts w:hint="eastAsia"/>
                <w:b/>
                <w:color w:val="auto"/>
                <w:szCs w:val="21"/>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w:t>
            </w:r>
            <w:r>
              <w:rPr>
                <w:rFonts w:hint="eastAsia"/>
                <w:szCs w:val="21"/>
              </w:rPr>
              <w:t>2</w:t>
            </w:r>
            <w:r>
              <w:rPr>
                <w:szCs w:val="21"/>
              </w:rPr>
              <w:t>.1</w:t>
            </w:r>
          </w:p>
        </w:tc>
        <w:tc>
          <w:tcPr>
            <w:tcW w:w="2127" w:type="dxa"/>
            <w:vAlign w:val="center"/>
          </w:tcPr>
          <w:p>
            <w:pPr>
              <w:widowControl/>
              <w:spacing w:line="360" w:lineRule="auto"/>
              <w:jc w:val="center"/>
              <w:rPr>
                <w:szCs w:val="21"/>
              </w:rPr>
            </w:pPr>
            <w:r>
              <w:rPr>
                <w:rFonts w:hint="eastAsia"/>
                <w:szCs w:val="21"/>
              </w:rPr>
              <w:t>实质性要求和条件</w:t>
            </w:r>
          </w:p>
        </w:tc>
        <w:tc>
          <w:tcPr>
            <w:tcW w:w="5762" w:type="dxa"/>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（1）投标内容符合“</w:t>
            </w:r>
            <w:r>
              <w:rPr>
                <w:rFonts w:hint="eastAsia" w:ascii="宋体" w:hAnsi="宋体"/>
                <w:b/>
                <w:szCs w:val="21"/>
                <w:highlight w:val="none"/>
              </w:rPr>
              <w:t>投标人须知前附表</w:t>
            </w:r>
            <w:r>
              <w:rPr>
                <w:rFonts w:hint="eastAsia" w:asciiTheme="minorEastAsia" w:hAnsiTheme="minorEastAsia"/>
                <w:b/>
                <w:szCs w:val="21"/>
                <w:highlight w:val="none"/>
              </w:rPr>
              <w:t>”第1.3.1项规定；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szCs w:val="21"/>
                <w:highlight w:val="none"/>
              </w:rPr>
              <w:t>（</w:t>
            </w:r>
            <w:r>
              <w:rPr>
                <w:rFonts w:hint="eastAsia" w:asciiTheme="minorEastAsia" w:hAnsiTheme="minorEastAsia"/>
                <w:b/>
                <w:szCs w:val="21"/>
                <w:highlight w:val="none"/>
              </w:rPr>
              <w:t>2）服务期限符合“</w:t>
            </w:r>
            <w:r>
              <w:rPr>
                <w:rFonts w:hint="eastAsia" w:ascii="宋体" w:hAnsi="宋体"/>
                <w:b/>
                <w:szCs w:val="21"/>
                <w:highlight w:val="none"/>
              </w:rPr>
              <w:t>投标人须知前附表</w:t>
            </w:r>
            <w:r>
              <w:rPr>
                <w:rFonts w:hint="eastAsia" w:asciiTheme="minorEastAsia" w:hAnsiTheme="minorEastAsia"/>
                <w:b/>
                <w:szCs w:val="21"/>
                <w:highlight w:val="none"/>
              </w:rPr>
              <w:t>”第1.3.2项规定；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（3）质量标准符合“</w:t>
            </w:r>
            <w:r>
              <w:rPr>
                <w:rFonts w:hint="eastAsia" w:ascii="宋体" w:hAnsi="宋体"/>
                <w:b/>
                <w:szCs w:val="21"/>
                <w:highlight w:val="none"/>
              </w:rPr>
              <w:t>投标人须知前附表</w:t>
            </w:r>
            <w:r>
              <w:rPr>
                <w:rFonts w:hint="eastAsia" w:asciiTheme="minorEastAsia" w:hAnsiTheme="minorEastAsia"/>
                <w:b/>
                <w:szCs w:val="21"/>
                <w:highlight w:val="none"/>
              </w:rPr>
              <w:t>”第1.3.3项规定；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（4）资格条件符合“</w:t>
            </w:r>
            <w:r>
              <w:rPr>
                <w:rFonts w:hint="eastAsia" w:ascii="宋体" w:hAnsi="宋体"/>
                <w:b/>
                <w:szCs w:val="21"/>
                <w:highlight w:val="none"/>
              </w:rPr>
              <w:t>投标人须知前附表</w:t>
            </w:r>
            <w:r>
              <w:rPr>
                <w:rFonts w:hint="eastAsia" w:asciiTheme="minorEastAsia" w:hAnsiTheme="minorEastAsia"/>
                <w:b/>
                <w:szCs w:val="21"/>
                <w:highlight w:val="none"/>
              </w:rPr>
              <w:t>”第1.4.1项规定；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（5）是否接受联合体投标符合“</w:t>
            </w:r>
            <w:r>
              <w:rPr>
                <w:rFonts w:hint="eastAsia" w:ascii="宋体" w:hAnsi="宋体"/>
                <w:b/>
                <w:szCs w:val="21"/>
                <w:highlight w:val="none"/>
              </w:rPr>
              <w:t>投标人须知前附表</w:t>
            </w:r>
            <w:r>
              <w:rPr>
                <w:rFonts w:hint="eastAsia" w:asciiTheme="minorEastAsia" w:hAnsiTheme="minorEastAsia"/>
                <w:b/>
                <w:szCs w:val="21"/>
                <w:highlight w:val="none"/>
              </w:rPr>
              <w:t>”第1.4.2项规定；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b/>
                <w:szCs w:val="21"/>
                <w:highlight w:val="none"/>
              </w:rPr>
              <w:t>（</w:t>
            </w:r>
            <w:r>
              <w:rPr>
                <w:rFonts w:hint="eastAsia" w:asciiTheme="minorEastAsia" w:hAnsiTheme="minorEastAsia"/>
                <w:b/>
                <w:szCs w:val="21"/>
                <w:highlight w:val="none"/>
              </w:rPr>
              <w:t>6）</w:t>
            </w:r>
            <w:r>
              <w:rPr>
                <w:rFonts w:hint="eastAsia"/>
                <w:b/>
                <w:szCs w:val="21"/>
                <w:highlight w:val="none"/>
              </w:rPr>
              <w:t>投标文件对招标文件的偏差符合</w:t>
            </w:r>
            <w:r>
              <w:rPr>
                <w:rFonts w:hint="eastAsia" w:asciiTheme="minorEastAsia" w:hAnsiTheme="minorEastAsia"/>
                <w:b/>
                <w:szCs w:val="21"/>
                <w:highlight w:val="none"/>
              </w:rPr>
              <w:t>“</w:t>
            </w:r>
            <w:r>
              <w:rPr>
                <w:rFonts w:hint="eastAsia" w:ascii="宋体" w:hAnsi="宋体"/>
                <w:b/>
                <w:szCs w:val="21"/>
                <w:highlight w:val="none"/>
              </w:rPr>
              <w:t>投标人须知前附表</w:t>
            </w:r>
            <w:r>
              <w:rPr>
                <w:rFonts w:hint="eastAsia" w:asciiTheme="minorEastAsia" w:hAnsiTheme="minorEastAsia"/>
                <w:b/>
                <w:szCs w:val="21"/>
                <w:highlight w:val="none"/>
              </w:rPr>
              <w:t>”第1.12.3项规定；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（7）“服务费用清单”项目与数量按招标文件提供的“服务费用清单”逐项列项</w:t>
            </w:r>
            <w:r>
              <w:rPr>
                <w:rFonts w:hint="eastAsia" w:ascii="宋体" w:hAnsi="宋体"/>
                <w:b/>
                <w:szCs w:val="21"/>
                <w:highlight w:val="none"/>
                <w:lang w:eastAsia="zh-Hans"/>
              </w:rPr>
              <w:t>，</w:t>
            </w:r>
            <w:r>
              <w:rPr>
                <w:rFonts w:hint="eastAsia" w:ascii="宋体" w:hAnsi="宋体"/>
                <w:b/>
                <w:szCs w:val="21"/>
                <w:highlight w:val="none"/>
                <w:lang w:val="en-US" w:eastAsia="zh-Hans"/>
              </w:rPr>
              <w:t>不得</w:t>
            </w:r>
            <w:r>
              <w:rPr>
                <w:rFonts w:hint="eastAsia" w:asciiTheme="minorEastAsia" w:hAnsiTheme="minorEastAsia"/>
                <w:b/>
                <w:szCs w:val="21"/>
                <w:highlight w:val="none"/>
              </w:rPr>
              <w:t>增减或修改；</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（8）投标总报价不高于“</w:t>
            </w:r>
            <w:r>
              <w:rPr>
                <w:rFonts w:hint="eastAsia" w:ascii="宋体" w:hAnsi="宋体"/>
                <w:b/>
                <w:szCs w:val="21"/>
                <w:highlight w:val="none"/>
              </w:rPr>
              <w:t>投标人须知前附表</w:t>
            </w:r>
            <w:r>
              <w:rPr>
                <w:rFonts w:hint="eastAsia" w:asciiTheme="minorEastAsia" w:hAnsiTheme="minorEastAsia"/>
                <w:b/>
                <w:szCs w:val="21"/>
                <w:highlight w:val="none"/>
              </w:rPr>
              <w:t>”第3.2.4项最高控制价；</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（9）</w:t>
            </w:r>
            <w:r>
              <w:rPr>
                <w:rFonts w:hint="eastAsia" w:asciiTheme="minorEastAsia" w:hAnsiTheme="minorEastAsia"/>
                <w:b/>
                <w:szCs w:val="21"/>
                <w:highlight w:val="none"/>
                <w:lang w:val="en-US" w:eastAsia="zh-CN"/>
              </w:rPr>
              <w:t>投标文件</w:t>
            </w:r>
            <w:r>
              <w:rPr>
                <w:rFonts w:hint="eastAsia" w:asciiTheme="minorEastAsia" w:hAnsiTheme="minorEastAsia"/>
                <w:b/>
                <w:szCs w:val="21"/>
                <w:highlight w:val="none"/>
              </w:rPr>
              <w:t>技术</w:t>
            </w:r>
            <w:r>
              <w:rPr>
                <w:rFonts w:hint="eastAsia" w:asciiTheme="minorEastAsia" w:hAnsiTheme="minorEastAsia"/>
                <w:b/>
                <w:szCs w:val="21"/>
                <w:highlight w:val="none"/>
                <w:lang w:val="en-US" w:eastAsia="zh-CN"/>
              </w:rPr>
              <w:t>部分的</w:t>
            </w:r>
            <w:r>
              <w:rPr>
                <w:rFonts w:hint="eastAsia" w:asciiTheme="minorEastAsia" w:hAnsiTheme="minorEastAsia"/>
                <w:b/>
                <w:szCs w:val="21"/>
                <w:highlight w:val="none"/>
              </w:rPr>
              <w:t>编制符合</w:t>
            </w:r>
            <w:r>
              <w:rPr>
                <w:rFonts w:hint="eastAsia"/>
                <w:b/>
                <w:szCs w:val="21"/>
                <w:highlight w:val="none"/>
              </w:rPr>
              <w:t>第三章“评标方法（</w:t>
            </w:r>
            <w:r>
              <w:rPr>
                <w:rFonts w:hint="eastAsia"/>
                <w:b/>
                <w:szCs w:val="21"/>
                <w:highlight w:val="none"/>
                <w:u w:val="none"/>
              </w:rPr>
              <w:t>综合评估法</w:t>
            </w:r>
            <w:r>
              <w:rPr>
                <w:rFonts w:hint="eastAsia"/>
                <w:b/>
                <w:szCs w:val="21"/>
                <w:highlight w:val="none"/>
                <w:u w:val="none"/>
                <w:lang w:val="en-US" w:eastAsia="zh-CN"/>
              </w:rPr>
              <w:t>Ⅰ类/Ⅱ类</w:t>
            </w:r>
            <w:r>
              <w:rPr>
                <w:rFonts w:hint="eastAsia"/>
                <w:b/>
                <w:szCs w:val="21"/>
                <w:highlight w:val="none"/>
              </w:rPr>
              <w:t>）”第</w:t>
            </w:r>
            <w:r>
              <w:rPr>
                <w:rFonts w:asciiTheme="minorEastAsia" w:hAnsiTheme="minorEastAsia"/>
                <w:b/>
                <w:szCs w:val="21"/>
                <w:highlight w:val="none"/>
              </w:rPr>
              <w:t>2.2.4</w:t>
            </w:r>
            <w:r>
              <w:rPr>
                <w:rFonts w:hint="eastAsia" w:asciiTheme="minorEastAsia" w:hAnsiTheme="minorEastAsia"/>
                <w:b/>
                <w:szCs w:val="21"/>
                <w:highlight w:val="none"/>
              </w:rPr>
              <w:t>（2）</w:t>
            </w:r>
            <w:r>
              <w:rPr>
                <w:rFonts w:hint="eastAsia"/>
                <w:b/>
                <w:szCs w:val="21"/>
                <w:highlight w:val="none"/>
              </w:rPr>
              <w:t>目的章节和</w:t>
            </w:r>
            <w:r>
              <w:rPr>
                <w:rFonts w:hint="eastAsia" w:asciiTheme="minorEastAsia" w:hAnsiTheme="minorEastAsia"/>
                <w:b/>
                <w:szCs w:val="21"/>
                <w:highlight w:val="none"/>
              </w:rPr>
              <w:t>暗标评审规定；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（10）投标有效期符合“</w:t>
            </w:r>
            <w:r>
              <w:rPr>
                <w:rFonts w:hint="eastAsia" w:ascii="宋体" w:hAnsi="宋体"/>
                <w:b/>
                <w:szCs w:val="21"/>
                <w:highlight w:val="none"/>
              </w:rPr>
              <w:t>投标人须知前附表</w:t>
            </w:r>
            <w:r>
              <w:rPr>
                <w:rFonts w:hint="eastAsia" w:asciiTheme="minorEastAsia" w:hAnsiTheme="minorEastAsia"/>
                <w:b/>
                <w:szCs w:val="21"/>
                <w:highlight w:val="none"/>
              </w:rPr>
              <w:t>”第3.3.1项规定；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（11）投标保证金提交符合“</w:t>
            </w:r>
            <w:r>
              <w:rPr>
                <w:rFonts w:hint="eastAsia" w:ascii="宋体" w:hAnsi="宋体"/>
                <w:b/>
                <w:szCs w:val="21"/>
                <w:highlight w:val="none"/>
              </w:rPr>
              <w:t>投标人须知前附表</w:t>
            </w:r>
            <w:r>
              <w:rPr>
                <w:rFonts w:hint="eastAsia" w:asciiTheme="minorEastAsia" w:hAnsiTheme="minorEastAsia"/>
                <w:b/>
                <w:szCs w:val="21"/>
                <w:highlight w:val="none"/>
              </w:rPr>
              <w:t>”第3.4.1项规定；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（12）资格审查资料符合“</w:t>
            </w:r>
            <w:r>
              <w:rPr>
                <w:rFonts w:hint="eastAsia" w:ascii="宋体" w:hAnsi="宋体"/>
                <w:b/>
                <w:szCs w:val="21"/>
                <w:highlight w:val="none"/>
              </w:rPr>
              <w:t>投标人须知前附表</w:t>
            </w:r>
            <w:r>
              <w:rPr>
                <w:rFonts w:hint="eastAsia" w:asciiTheme="minorEastAsia" w:hAnsiTheme="minorEastAsia"/>
                <w:b/>
                <w:szCs w:val="21"/>
                <w:highlight w:val="none"/>
              </w:rPr>
              <w:t>”第3.5款规定；</w:t>
            </w:r>
          </w:p>
          <w:p>
            <w:pPr>
              <w:keepNext w:val="0"/>
              <w:keepLines w:val="0"/>
              <w:pageBreakBefore w:val="0"/>
              <w:widowControl/>
              <w:kinsoku/>
              <w:wordWrap/>
              <w:overflowPunct/>
              <w:topLinePunct w:val="0"/>
              <w:autoSpaceDE/>
              <w:autoSpaceDN/>
              <w:bidi w:val="0"/>
              <w:adjustRightInd/>
              <w:snapToGrid/>
              <w:spacing w:line="360" w:lineRule="auto"/>
              <w:textAlignment w:val="auto"/>
              <w:rPr>
                <w:b/>
                <w:szCs w:val="21"/>
                <w:highlight w:val="none"/>
              </w:rPr>
            </w:pPr>
            <w:r>
              <w:rPr>
                <w:rFonts w:hint="eastAsia" w:asciiTheme="minorEastAsia" w:hAnsiTheme="minorEastAsia"/>
                <w:b/>
                <w:szCs w:val="21"/>
                <w:highlight w:val="none"/>
              </w:rPr>
              <w:t>（13）</w:t>
            </w:r>
            <w:r>
              <w:rPr>
                <w:rFonts w:hint="eastAsia"/>
                <w:b/>
                <w:szCs w:val="21"/>
                <w:highlight w:val="none"/>
              </w:rPr>
              <w:t>递交备选投标方案</w:t>
            </w:r>
            <w:r>
              <w:rPr>
                <w:rFonts w:hint="eastAsia" w:asciiTheme="minorEastAsia" w:hAnsiTheme="minorEastAsia"/>
                <w:b/>
                <w:szCs w:val="21"/>
                <w:highlight w:val="none"/>
              </w:rPr>
              <w:t>符合“</w:t>
            </w:r>
            <w:r>
              <w:rPr>
                <w:rFonts w:hint="eastAsia" w:ascii="宋体" w:hAnsi="宋体"/>
                <w:b/>
                <w:szCs w:val="21"/>
                <w:highlight w:val="none"/>
              </w:rPr>
              <w:t>投标人须知前附表</w:t>
            </w:r>
            <w:r>
              <w:rPr>
                <w:rFonts w:hint="eastAsia" w:asciiTheme="minorEastAsia" w:hAnsiTheme="minorEastAsia"/>
                <w:b/>
                <w:szCs w:val="21"/>
                <w:highlight w:val="none"/>
              </w:rPr>
              <w:t>”第3.6.1项规定</w:t>
            </w:r>
            <w:r>
              <w:rPr>
                <w:rFonts w:hint="eastAsia"/>
                <w:b/>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（14）投标文件编制符合“</w:t>
            </w:r>
            <w:r>
              <w:rPr>
                <w:rFonts w:hint="eastAsia" w:ascii="宋体" w:hAnsi="宋体"/>
                <w:b/>
                <w:szCs w:val="21"/>
                <w:highlight w:val="none"/>
              </w:rPr>
              <w:t>投标人须知</w:t>
            </w:r>
            <w:r>
              <w:rPr>
                <w:rFonts w:hint="eastAsia" w:asciiTheme="minorEastAsia" w:hAnsiTheme="minorEastAsia"/>
                <w:b/>
                <w:szCs w:val="21"/>
                <w:highlight w:val="none"/>
              </w:rPr>
              <w:t>”第3.7.1</w:t>
            </w:r>
            <w:r>
              <w:rPr>
                <w:rFonts w:hint="default" w:asciiTheme="minorEastAsia" w:hAnsiTheme="minorEastAsia"/>
                <w:b/>
                <w:szCs w:val="21"/>
                <w:highlight w:val="none"/>
              </w:rPr>
              <w:t>-</w:t>
            </w:r>
            <w:r>
              <w:rPr>
                <w:rFonts w:hint="eastAsia" w:asciiTheme="minorEastAsia" w:hAnsiTheme="minorEastAsia"/>
                <w:b/>
                <w:szCs w:val="21"/>
                <w:highlight w:val="none"/>
              </w:rPr>
              <w:t>3.7.3项规定；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szCs w:val="21"/>
                <w:highlight w:val="none"/>
              </w:rPr>
            </w:pPr>
            <w:r>
              <w:rPr>
                <w:rFonts w:hint="eastAsia" w:asciiTheme="minorEastAsia" w:hAnsiTheme="minorEastAsia"/>
                <w:b/>
                <w:szCs w:val="21"/>
                <w:highlight w:val="none"/>
              </w:rPr>
              <w:t>（15）投标文件加密符合“</w:t>
            </w:r>
            <w:r>
              <w:rPr>
                <w:rFonts w:hint="eastAsia" w:ascii="宋体" w:hAnsi="宋体"/>
                <w:b/>
                <w:szCs w:val="21"/>
                <w:highlight w:val="none"/>
              </w:rPr>
              <w:t>投标人须知前附表</w:t>
            </w:r>
            <w:r>
              <w:rPr>
                <w:rFonts w:hint="eastAsia" w:asciiTheme="minorEastAsia" w:hAnsiTheme="minorEastAsia"/>
                <w:b/>
                <w:szCs w:val="21"/>
                <w:highlight w:val="none"/>
              </w:rPr>
              <w:t>”第4.1.1项规定；</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b/>
                <w:kern w:val="0"/>
                <w:szCs w:val="21"/>
                <w:highlight w:val="none"/>
              </w:rPr>
            </w:pPr>
            <w:r>
              <w:rPr>
                <w:rFonts w:hint="eastAsia" w:asciiTheme="minorEastAsia" w:hAnsiTheme="minorEastAsia"/>
                <w:b/>
                <w:kern w:val="0"/>
                <w:szCs w:val="21"/>
                <w:highlight w:val="none"/>
              </w:rPr>
              <w:t>（16）投标文件的解密时间符合</w:t>
            </w:r>
            <w:r>
              <w:rPr>
                <w:rFonts w:hint="eastAsia" w:asciiTheme="minorEastAsia" w:hAnsiTheme="minorEastAsia"/>
                <w:b/>
                <w:szCs w:val="21"/>
                <w:highlight w:val="none"/>
              </w:rPr>
              <w:t>“</w:t>
            </w:r>
            <w:r>
              <w:rPr>
                <w:rFonts w:hint="eastAsia" w:ascii="宋体" w:hAnsi="宋体"/>
                <w:b/>
                <w:szCs w:val="21"/>
                <w:highlight w:val="none"/>
              </w:rPr>
              <w:t>投标人须知前附表</w:t>
            </w:r>
            <w:r>
              <w:rPr>
                <w:rFonts w:hint="eastAsia" w:asciiTheme="minorEastAsia" w:hAnsiTheme="minorEastAsia"/>
                <w:b/>
                <w:szCs w:val="21"/>
                <w:highlight w:val="none"/>
              </w:rPr>
              <w:t>”第</w:t>
            </w:r>
            <w:r>
              <w:rPr>
                <w:rFonts w:hint="eastAsia" w:asciiTheme="minorEastAsia" w:hAnsiTheme="minorEastAsia"/>
                <w:b/>
                <w:szCs w:val="21"/>
                <w:highlight w:val="none"/>
                <w:lang w:val="en-US" w:eastAsia="zh-CN"/>
              </w:rPr>
              <w:t>10.1</w:t>
            </w:r>
            <w:r>
              <w:rPr>
                <w:rFonts w:hint="eastAsia" w:asciiTheme="minorEastAsia" w:hAnsiTheme="minorEastAsia"/>
                <w:b/>
                <w:szCs w:val="21"/>
                <w:highlight w:val="none"/>
              </w:rPr>
              <w:t>款规定；</w:t>
            </w:r>
          </w:p>
          <w:p>
            <w:pPr>
              <w:keepNext w:val="0"/>
              <w:keepLines w:val="0"/>
              <w:pageBreakBefore w:val="0"/>
              <w:widowControl/>
              <w:kinsoku/>
              <w:wordWrap/>
              <w:overflowPunct/>
              <w:topLinePunct w:val="0"/>
              <w:autoSpaceDE/>
              <w:autoSpaceDN/>
              <w:bidi w:val="0"/>
              <w:adjustRightInd/>
              <w:snapToGrid/>
              <w:spacing w:line="360" w:lineRule="auto"/>
              <w:textAlignment w:val="auto"/>
              <w:rPr>
                <w:szCs w:val="21"/>
                <w:highlight w:val="none"/>
                <w:u w:val="single"/>
              </w:rPr>
            </w:pPr>
            <w:r>
              <w:rPr>
                <w:rFonts w:hint="eastAsia" w:asciiTheme="minorEastAsia" w:hAnsiTheme="minorEastAsia"/>
                <w:b/>
                <w:szCs w:val="21"/>
                <w:highlight w:val="none"/>
              </w:rPr>
              <w:t>（17）其他实质性要求和条件：</w:t>
            </w:r>
            <w:r>
              <w:rPr>
                <w:rFonts w:hint="eastAsia" w:asciiTheme="minorEastAsia" w:hAnsiTheme="minorEastAsia"/>
                <w:b/>
                <w:szCs w:val="21"/>
                <w:highlight w:val="none"/>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1.1</w:t>
            </w:r>
            <w:r>
              <w:rPr>
                <w:rFonts w:hint="eastAsia"/>
                <w:szCs w:val="21"/>
              </w:rPr>
              <w:t>2</w:t>
            </w:r>
            <w:r>
              <w:rPr>
                <w:szCs w:val="21"/>
              </w:rPr>
              <w:t>.</w:t>
            </w:r>
            <w:r>
              <w:rPr>
                <w:rFonts w:hint="eastAsia"/>
                <w:szCs w:val="21"/>
              </w:rPr>
              <w:t>3</w:t>
            </w:r>
          </w:p>
        </w:tc>
        <w:tc>
          <w:tcPr>
            <w:tcW w:w="2127" w:type="dxa"/>
            <w:vAlign w:val="center"/>
          </w:tcPr>
          <w:p>
            <w:pPr>
              <w:widowControl/>
              <w:spacing w:line="360" w:lineRule="auto"/>
              <w:jc w:val="center"/>
              <w:rPr>
                <w:rFonts w:hint="eastAsia" w:eastAsiaTheme="minorEastAsia"/>
                <w:szCs w:val="21"/>
                <w:lang w:val="en-US" w:eastAsia="zh-CN"/>
              </w:rPr>
            </w:pPr>
            <w:r>
              <w:rPr>
                <w:rFonts w:hint="eastAsia"/>
                <w:szCs w:val="21"/>
              </w:rPr>
              <w:t>偏</w:t>
            </w:r>
            <w:r>
              <w:rPr>
                <w:rFonts w:hint="eastAsia"/>
                <w:szCs w:val="21"/>
                <w:lang w:val="en-US" w:eastAsia="zh-CN"/>
              </w:rPr>
              <w:t>离</w:t>
            </w:r>
          </w:p>
        </w:tc>
        <w:tc>
          <w:tcPr>
            <w:tcW w:w="5762" w:type="dxa"/>
            <w:vAlign w:val="center"/>
          </w:tcPr>
          <w:p>
            <w:pPr>
              <w:widowControl/>
              <w:spacing w:line="360" w:lineRule="auto"/>
              <w:rPr>
                <w:rFonts w:asciiTheme="minorEastAsia" w:hAnsiTheme="minorEastAsia"/>
                <w:szCs w:val="21"/>
              </w:rPr>
            </w:pPr>
            <w:r>
              <w:rPr>
                <w:rFonts w:hint="eastAsia" w:asciiTheme="minorEastAsia" w:hAnsiTheme="minorEastAsia"/>
                <w:szCs w:val="21"/>
                <w:lang w:eastAsia="zh-CN"/>
              </w:rPr>
              <w:t>□</w:t>
            </w:r>
            <w:r>
              <w:rPr>
                <w:rFonts w:hint="eastAsia" w:asciiTheme="minorEastAsia" w:hAnsiTheme="minorEastAsia"/>
                <w:szCs w:val="21"/>
              </w:rPr>
              <w:t>不允许</w:t>
            </w:r>
          </w:p>
          <w:p>
            <w:pPr>
              <w:widowControl/>
              <w:spacing w:line="360" w:lineRule="auto"/>
              <w:rPr>
                <w:szCs w:val="21"/>
              </w:rPr>
            </w:pPr>
            <w:r>
              <w:rPr>
                <w:rFonts w:hint="eastAsia" w:asciiTheme="minorEastAsia" w:hAnsiTheme="minorEastAsia"/>
                <w:szCs w:val="21"/>
              </w:rPr>
              <w:t>□允许，投标文件对招标文件的非实质性要求和条件的偏离允许范围和幅度及其处理方法：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2.1</w:t>
            </w:r>
          </w:p>
        </w:tc>
        <w:tc>
          <w:tcPr>
            <w:tcW w:w="2127" w:type="dxa"/>
            <w:vAlign w:val="center"/>
          </w:tcPr>
          <w:p>
            <w:pPr>
              <w:widowControl/>
              <w:spacing w:line="360" w:lineRule="auto"/>
              <w:jc w:val="center"/>
              <w:rPr>
                <w:rFonts w:hint="eastAsia"/>
                <w:szCs w:val="21"/>
              </w:rPr>
            </w:pPr>
            <w:r>
              <w:rPr>
                <w:rFonts w:hint="eastAsia"/>
                <w:szCs w:val="21"/>
              </w:rPr>
              <w:t>构成招标文件</w:t>
            </w:r>
          </w:p>
          <w:p>
            <w:pPr>
              <w:widowControl/>
              <w:spacing w:line="360" w:lineRule="auto"/>
              <w:jc w:val="center"/>
              <w:rPr>
                <w:szCs w:val="21"/>
              </w:rPr>
            </w:pPr>
            <w:r>
              <w:rPr>
                <w:rFonts w:hint="eastAsia"/>
                <w:szCs w:val="21"/>
              </w:rPr>
              <w:t>的其他资料</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4" w:hRule="atLeast"/>
        </w:trPr>
        <w:tc>
          <w:tcPr>
            <w:tcW w:w="1134" w:type="dxa"/>
            <w:vMerge w:val="restart"/>
            <w:vAlign w:val="center"/>
          </w:tcPr>
          <w:p>
            <w:pPr>
              <w:widowControl/>
              <w:spacing w:line="360" w:lineRule="auto"/>
              <w:jc w:val="center"/>
              <w:rPr>
                <w:szCs w:val="21"/>
              </w:rPr>
            </w:pPr>
            <w:r>
              <w:rPr>
                <w:szCs w:val="21"/>
              </w:rPr>
              <w:t>2.2.1</w:t>
            </w:r>
          </w:p>
        </w:tc>
        <w:tc>
          <w:tcPr>
            <w:tcW w:w="2127" w:type="dxa"/>
            <w:vMerge w:val="restart"/>
            <w:vAlign w:val="center"/>
          </w:tcPr>
          <w:p>
            <w:pPr>
              <w:widowControl/>
              <w:spacing w:line="360" w:lineRule="auto"/>
              <w:jc w:val="center"/>
              <w:rPr>
                <w:rFonts w:hint="eastAsia"/>
                <w:szCs w:val="21"/>
              </w:rPr>
            </w:pPr>
            <w:r>
              <w:rPr>
                <w:rFonts w:hint="eastAsia"/>
                <w:szCs w:val="21"/>
              </w:rPr>
              <w:t>投标人要求</w:t>
            </w:r>
          </w:p>
          <w:p>
            <w:pPr>
              <w:widowControl/>
              <w:spacing w:line="360" w:lineRule="auto"/>
              <w:jc w:val="center"/>
              <w:rPr>
                <w:szCs w:val="21"/>
              </w:rPr>
            </w:pPr>
            <w:r>
              <w:rPr>
                <w:rFonts w:hint="eastAsia"/>
                <w:szCs w:val="21"/>
              </w:rPr>
              <w:t>澄清招标文件</w:t>
            </w:r>
          </w:p>
        </w:tc>
        <w:tc>
          <w:tcPr>
            <w:tcW w:w="5762" w:type="dxa"/>
            <w:tcBorders>
              <w:bottom w:val="single" w:color="auto" w:sz="4" w:space="0"/>
            </w:tcBorders>
            <w:vAlign w:val="center"/>
          </w:tcPr>
          <w:p>
            <w:pPr>
              <w:widowControl/>
              <w:spacing w:line="360" w:lineRule="auto"/>
              <w:rPr>
                <w:szCs w:val="21"/>
              </w:rPr>
            </w:pPr>
            <w:r>
              <w:rPr>
                <w:rFonts w:hint="eastAsia"/>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Merge w:val="continue"/>
            <w:vAlign w:val="center"/>
          </w:tcPr>
          <w:p>
            <w:pPr>
              <w:widowControl/>
              <w:spacing w:line="360" w:lineRule="auto"/>
              <w:jc w:val="center"/>
              <w:rPr>
                <w:szCs w:val="21"/>
              </w:rPr>
            </w:pPr>
          </w:p>
        </w:tc>
        <w:tc>
          <w:tcPr>
            <w:tcW w:w="2127" w:type="dxa"/>
            <w:vMerge w:val="continue"/>
            <w:vAlign w:val="center"/>
          </w:tcPr>
          <w:p>
            <w:pPr>
              <w:widowControl/>
              <w:spacing w:line="360" w:lineRule="auto"/>
              <w:jc w:val="center"/>
              <w:rPr>
                <w:szCs w:val="21"/>
              </w:rPr>
            </w:pPr>
          </w:p>
        </w:tc>
        <w:tc>
          <w:tcPr>
            <w:tcW w:w="5762" w:type="dxa"/>
            <w:tcBorders>
              <w:top w:val="single" w:color="auto" w:sz="4" w:space="0"/>
              <w:bottom w:val="single" w:color="auto" w:sz="4" w:space="0"/>
            </w:tcBorders>
            <w:vAlign w:val="center"/>
          </w:tcPr>
          <w:p>
            <w:pPr>
              <w:widowControl/>
              <w:spacing w:line="360" w:lineRule="auto"/>
              <w:rPr>
                <w:szCs w:val="21"/>
              </w:rPr>
            </w:pPr>
            <w:r>
              <w:rPr>
                <w:rFonts w:hint="eastAsia"/>
                <w:szCs w:val="21"/>
              </w:rPr>
              <w:t>形式：</w:t>
            </w:r>
            <w:r>
              <w:rPr>
                <w:rFonts w:hint="eastAsia" w:asciiTheme="minorEastAsia" w:hAnsiTheme="minorEastAsia"/>
                <w:szCs w:val="21"/>
              </w:rPr>
              <w:t>通过下载招标文件的电子招标投标交易平台以书面形式提出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2.2.2</w:t>
            </w:r>
          </w:p>
        </w:tc>
        <w:tc>
          <w:tcPr>
            <w:tcW w:w="2127" w:type="dxa"/>
            <w:vAlign w:val="center"/>
          </w:tcPr>
          <w:p>
            <w:pPr>
              <w:widowControl/>
              <w:spacing w:line="360" w:lineRule="auto"/>
              <w:jc w:val="center"/>
              <w:rPr>
                <w:rFonts w:hint="eastAsia"/>
                <w:szCs w:val="21"/>
              </w:rPr>
            </w:pPr>
            <w:r>
              <w:rPr>
                <w:rFonts w:hint="eastAsia"/>
                <w:szCs w:val="21"/>
              </w:rPr>
              <w:t>招标文件澄清</w:t>
            </w:r>
          </w:p>
          <w:p>
            <w:pPr>
              <w:widowControl/>
              <w:spacing w:line="360" w:lineRule="auto"/>
              <w:jc w:val="center"/>
              <w:rPr>
                <w:szCs w:val="21"/>
              </w:rPr>
            </w:pPr>
            <w:r>
              <w:rPr>
                <w:rFonts w:hint="eastAsia"/>
                <w:szCs w:val="21"/>
              </w:rPr>
              <w:t>发出的形式</w:t>
            </w:r>
          </w:p>
        </w:tc>
        <w:tc>
          <w:tcPr>
            <w:tcW w:w="5762" w:type="dxa"/>
            <w:tcBorders>
              <w:top w:val="single" w:color="auto" w:sz="4" w:space="0"/>
              <w:bottom w:val="single" w:color="auto" w:sz="4" w:space="0"/>
            </w:tcBorders>
            <w:vAlign w:val="center"/>
          </w:tcPr>
          <w:p>
            <w:pPr>
              <w:widowControl/>
              <w:spacing w:line="360" w:lineRule="auto"/>
              <w:rPr>
                <w:szCs w:val="21"/>
              </w:rPr>
            </w:pPr>
            <w:r>
              <w:rPr>
                <w:rFonts w:hint="eastAsia" w:asciiTheme="minorEastAsia" w:hAnsiTheme="minorEastAsia"/>
                <w:szCs w:val="21"/>
              </w:rPr>
              <w:t>通过下载招标文件的电子招标投标交易平台以书面形式发出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2.3.1</w:t>
            </w:r>
          </w:p>
        </w:tc>
        <w:tc>
          <w:tcPr>
            <w:tcW w:w="2127" w:type="dxa"/>
            <w:vAlign w:val="center"/>
          </w:tcPr>
          <w:p>
            <w:pPr>
              <w:widowControl/>
              <w:spacing w:line="360" w:lineRule="auto"/>
              <w:jc w:val="center"/>
              <w:rPr>
                <w:rFonts w:hint="eastAsia"/>
                <w:szCs w:val="21"/>
              </w:rPr>
            </w:pPr>
            <w:r>
              <w:rPr>
                <w:rFonts w:hint="eastAsia"/>
                <w:szCs w:val="21"/>
              </w:rPr>
              <w:t>招标文件修改</w:t>
            </w:r>
          </w:p>
          <w:p>
            <w:pPr>
              <w:widowControl/>
              <w:spacing w:line="360" w:lineRule="auto"/>
              <w:jc w:val="center"/>
              <w:rPr>
                <w:szCs w:val="21"/>
              </w:rPr>
            </w:pPr>
            <w:r>
              <w:rPr>
                <w:rFonts w:hint="eastAsia"/>
                <w:szCs w:val="21"/>
              </w:rPr>
              <w:t>发出的形式</w:t>
            </w:r>
          </w:p>
        </w:tc>
        <w:tc>
          <w:tcPr>
            <w:tcW w:w="5762" w:type="dxa"/>
            <w:tcBorders>
              <w:top w:val="single" w:color="auto" w:sz="4" w:space="0"/>
            </w:tcBorders>
            <w:vAlign w:val="center"/>
          </w:tcPr>
          <w:p>
            <w:pPr>
              <w:widowControl/>
              <w:spacing w:line="360" w:lineRule="auto"/>
              <w:rPr>
                <w:szCs w:val="21"/>
              </w:rPr>
            </w:pPr>
            <w:r>
              <w:rPr>
                <w:rFonts w:hint="eastAsia" w:asciiTheme="minorEastAsia" w:hAnsiTheme="minorEastAsia"/>
                <w:szCs w:val="21"/>
              </w:rPr>
              <w:t>通过下载招标文件的电子招标投标交易平台以书面形式发出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3.1.1</w:t>
            </w:r>
          </w:p>
        </w:tc>
        <w:tc>
          <w:tcPr>
            <w:tcW w:w="2127" w:type="dxa"/>
            <w:vAlign w:val="center"/>
          </w:tcPr>
          <w:p>
            <w:pPr>
              <w:widowControl/>
              <w:spacing w:line="360" w:lineRule="auto"/>
              <w:jc w:val="center"/>
              <w:rPr>
                <w:rFonts w:hint="eastAsia"/>
                <w:szCs w:val="21"/>
              </w:rPr>
            </w:pPr>
            <w:r>
              <w:rPr>
                <w:rFonts w:hint="eastAsia"/>
                <w:szCs w:val="21"/>
              </w:rPr>
              <w:t>构成投标文件</w:t>
            </w:r>
          </w:p>
          <w:p>
            <w:pPr>
              <w:widowControl/>
              <w:spacing w:line="360" w:lineRule="auto"/>
              <w:jc w:val="center"/>
              <w:rPr>
                <w:szCs w:val="21"/>
              </w:rPr>
            </w:pPr>
            <w:r>
              <w:rPr>
                <w:rFonts w:hint="eastAsia"/>
                <w:szCs w:val="21"/>
              </w:rPr>
              <w:t>的其他资料</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3.2.1</w:t>
            </w:r>
          </w:p>
        </w:tc>
        <w:tc>
          <w:tcPr>
            <w:tcW w:w="2127" w:type="dxa"/>
            <w:vAlign w:val="center"/>
          </w:tcPr>
          <w:p>
            <w:pPr>
              <w:widowControl/>
              <w:spacing w:line="360" w:lineRule="auto"/>
              <w:jc w:val="center"/>
              <w:rPr>
                <w:rFonts w:hint="eastAsia"/>
                <w:szCs w:val="21"/>
              </w:rPr>
            </w:pPr>
            <w:r>
              <w:rPr>
                <w:rFonts w:hint="eastAsia"/>
                <w:szCs w:val="21"/>
              </w:rPr>
              <w:t>增值税税金</w:t>
            </w:r>
          </w:p>
          <w:p>
            <w:pPr>
              <w:widowControl/>
              <w:spacing w:line="360" w:lineRule="auto"/>
              <w:jc w:val="center"/>
              <w:rPr>
                <w:szCs w:val="21"/>
              </w:rPr>
            </w:pPr>
            <w:r>
              <w:rPr>
                <w:rFonts w:hint="eastAsia"/>
                <w:szCs w:val="21"/>
              </w:rPr>
              <w:t>的计算方法</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highlight w:val="none"/>
              </w:rPr>
            </w:pPr>
            <w:r>
              <w:rPr>
                <w:szCs w:val="21"/>
                <w:highlight w:val="none"/>
              </w:rPr>
              <w:t>3.2.3</w:t>
            </w:r>
          </w:p>
        </w:tc>
        <w:tc>
          <w:tcPr>
            <w:tcW w:w="2127" w:type="dxa"/>
            <w:vAlign w:val="center"/>
          </w:tcPr>
          <w:p>
            <w:pPr>
              <w:widowControl/>
              <w:spacing w:line="360" w:lineRule="auto"/>
              <w:jc w:val="center"/>
              <w:rPr>
                <w:szCs w:val="21"/>
                <w:highlight w:val="none"/>
              </w:rPr>
            </w:pPr>
            <w:r>
              <w:rPr>
                <w:rFonts w:hint="eastAsia"/>
                <w:szCs w:val="21"/>
                <w:highlight w:val="none"/>
              </w:rPr>
              <w:t>报价方式</w:t>
            </w:r>
          </w:p>
        </w:tc>
        <w:tc>
          <w:tcPr>
            <w:tcW w:w="5762" w:type="dxa"/>
            <w:vAlign w:val="center"/>
          </w:tcPr>
          <w:p>
            <w:pPr>
              <w:widowControl/>
              <w:spacing w:line="360" w:lineRule="auto"/>
              <w:rPr>
                <w:rFonts w:hint="eastAsia" w:eastAsiaTheme="minorEastAsia"/>
                <w:szCs w:val="21"/>
                <w:highlight w:val="none"/>
                <w:lang w:eastAsia="zh-CN"/>
              </w:rPr>
            </w:pPr>
            <w:r>
              <w:rPr>
                <w:rFonts w:hint="eastAsia"/>
                <w:szCs w:val="21"/>
                <w:highlight w:val="none"/>
              </w:rPr>
              <w:t>投标报价采用</w:t>
            </w:r>
            <w:r>
              <w:rPr>
                <w:rFonts w:hint="eastAsia"/>
                <w:szCs w:val="21"/>
                <w:highlight w:val="none"/>
                <w:lang w:val="en-US" w:eastAsia="zh-CN"/>
              </w:rPr>
              <w:t>以下</w:t>
            </w:r>
            <w:r>
              <w:rPr>
                <w:rFonts w:hint="eastAsia"/>
                <w:szCs w:val="21"/>
                <w:highlight w:val="none"/>
              </w:rPr>
              <w:t>报价方式</w:t>
            </w:r>
            <w:r>
              <w:rPr>
                <w:rFonts w:hint="eastAsia"/>
                <w:szCs w:val="21"/>
                <w:highlight w:val="none"/>
                <w:lang w:eastAsia="zh-CN"/>
              </w:rPr>
              <w:t>：</w:t>
            </w:r>
          </w:p>
          <w:p>
            <w:pPr>
              <w:widowControl/>
              <w:spacing w:line="360" w:lineRule="auto"/>
              <w:rPr>
                <w:rFonts w:hint="eastAsia" w:eastAsiaTheme="minorEastAsia"/>
                <w:szCs w:val="21"/>
                <w:highlight w:val="none"/>
                <w:lang w:val="en-US" w:eastAsia="zh-CN"/>
              </w:rPr>
            </w:pPr>
            <w:r>
              <w:rPr>
                <w:rFonts w:hint="eastAsia" w:asciiTheme="minorEastAsia" w:hAnsiTheme="minorEastAsia"/>
                <w:szCs w:val="21"/>
                <w:lang w:eastAsia="zh-CN"/>
              </w:rPr>
              <w:t>□</w:t>
            </w:r>
            <w:r>
              <w:rPr>
                <w:rFonts w:hint="eastAsia" w:asciiTheme="minorEastAsia" w:hAnsiTheme="minorEastAsia"/>
                <w:szCs w:val="21"/>
                <w:lang w:val="en-US" w:eastAsia="zh-CN"/>
              </w:rPr>
              <w:t xml:space="preserve">金额 </w:t>
            </w:r>
            <w:r>
              <w:rPr>
                <w:rFonts w:hint="eastAsia" w:asciiTheme="minorEastAsia" w:hAnsiTheme="minorEastAsia"/>
                <w:szCs w:val="21"/>
              </w:rPr>
              <w:t>□</w:t>
            </w:r>
            <w:r>
              <w:rPr>
                <w:rFonts w:hint="eastAsia" w:asciiTheme="minorEastAsia" w:hAnsiTheme="minorEastAsia"/>
                <w:szCs w:val="21"/>
                <w:lang w:val="en-US" w:eastAsia="zh-CN"/>
              </w:rPr>
              <w:t>费率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3.2.4</w:t>
            </w:r>
          </w:p>
        </w:tc>
        <w:tc>
          <w:tcPr>
            <w:tcW w:w="2127" w:type="dxa"/>
            <w:vAlign w:val="center"/>
          </w:tcPr>
          <w:p>
            <w:pPr>
              <w:widowControl/>
              <w:spacing w:line="360" w:lineRule="auto"/>
              <w:jc w:val="center"/>
              <w:rPr>
                <w:szCs w:val="21"/>
              </w:rPr>
            </w:pPr>
            <w:r>
              <w:rPr>
                <w:rFonts w:hint="eastAsia"/>
                <w:szCs w:val="21"/>
              </w:rPr>
              <w:t>最高投标限价</w:t>
            </w:r>
          </w:p>
        </w:tc>
        <w:tc>
          <w:tcPr>
            <w:tcW w:w="5762" w:type="dxa"/>
            <w:vAlign w:val="center"/>
          </w:tcPr>
          <w:p>
            <w:pPr>
              <w:widowControl/>
              <w:spacing w:line="360" w:lineRule="auto"/>
              <w:rPr>
                <w:rFonts w:hint="eastAsia" w:asciiTheme="minorEastAsia" w:hAnsiTheme="minorEastAsia"/>
                <w:szCs w:val="21"/>
                <w:lang w:val="en-US" w:eastAsia="zh-CN"/>
              </w:rPr>
            </w:pPr>
            <w:r>
              <w:rPr>
                <w:rFonts w:hint="eastAsia" w:asciiTheme="minorEastAsia" w:hAnsiTheme="minorEastAsia"/>
                <w:szCs w:val="21"/>
                <w:lang w:eastAsia="zh-CN"/>
              </w:rPr>
              <w:t>□</w:t>
            </w:r>
            <w:r>
              <w:rPr>
                <w:rFonts w:hint="eastAsia" w:asciiTheme="minorEastAsia" w:hAnsiTheme="minorEastAsia"/>
                <w:szCs w:val="21"/>
                <w:lang w:val="en-US" w:eastAsia="zh-CN"/>
              </w:rPr>
              <w:t xml:space="preserve">无 </w:t>
            </w:r>
          </w:p>
          <w:p>
            <w:pPr>
              <w:widowControl/>
              <w:spacing w:line="360" w:lineRule="auto"/>
              <w:rPr>
                <w:rFonts w:hint="default" w:eastAsiaTheme="minorEastAsia"/>
                <w:szCs w:val="21"/>
                <w:lang w:val="en-US" w:eastAsia="zh-CN"/>
              </w:rPr>
            </w:pPr>
            <w:r>
              <w:rPr>
                <w:rFonts w:hint="eastAsia" w:asciiTheme="minorEastAsia" w:hAnsiTheme="minorEastAsia"/>
                <w:szCs w:val="21"/>
              </w:rPr>
              <w:t>□</w:t>
            </w:r>
            <w:r>
              <w:rPr>
                <w:rFonts w:hint="eastAsia" w:asciiTheme="minorEastAsia" w:hAnsiTheme="minorEastAsia"/>
                <w:szCs w:val="21"/>
                <w:lang w:val="en-US" w:eastAsia="zh-CN"/>
              </w:rPr>
              <w:t>有，</w:t>
            </w:r>
            <w:r>
              <w:rPr>
                <w:rFonts w:hint="eastAsia"/>
                <w:szCs w:val="21"/>
                <w:lang w:val="en-US" w:eastAsia="zh-CN"/>
              </w:rPr>
              <w:t>最高投标限价：</w:t>
            </w:r>
            <w:r>
              <w:rPr>
                <w:rFonts w:hint="eastAsia"/>
                <w:szCs w:val="21"/>
                <w:u w:val="single"/>
                <w:lang w:val="en-US" w:eastAsia="zh-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77" w:hRule="atLeast"/>
        </w:trPr>
        <w:tc>
          <w:tcPr>
            <w:tcW w:w="1134" w:type="dxa"/>
            <w:vAlign w:val="center"/>
          </w:tcPr>
          <w:p>
            <w:pPr>
              <w:widowControl/>
              <w:spacing w:line="360" w:lineRule="auto"/>
              <w:jc w:val="center"/>
              <w:rPr>
                <w:szCs w:val="21"/>
              </w:rPr>
            </w:pPr>
            <w:r>
              <w:rPr>
                <w:szCs w:val="21"/>
              </w:rPr>
              <w:t>3.2.5</w:t>
            </w:r>
          </w:p>
        </w:tc>
        <w:tc>
          <w:tcPr>
            <w:tcW w:w="2127" w:type="dxa"/>
            <w:vAlign w:val="center"/>
          </w:tcPr>
          <w:p>
            <w:pPr>
              <w:widowControl/>
              <w:spacing w:line="360" w:lineRule="auto"/>
              <w:jc w:val="center"/>
              <w:rPr>
                <w:szCs w:val="21"/>
              </w:rPr>
            </w:pPr>
            <w:r>
              <w:rPr>
                <w:rFonts w:hint="eastAsia"/>
                <w:szCs w:val="21"/>
              </w:rPr>
              <w:t>投标报价的其他要求</w:t>
            </w:r>
          </w:p>
        </w:tc>
        <w:tc>
          <w:tcPr>
            <w:tcW w:w="5762" w:type="dxa"/>
            <w:vAlign w:val="center"/>
          </w:tcPr>
          <w:p>
            <w:pPr>
              <w:widowControl/>
              <w:spacing w:line="360" w:lineRule="auto"/>
              <w:jc w:val="left"/>
              <w:rPr>
                <w:rFonts w:hint="default" w:eastAsiaTheme="minorEastAsia"/>
                <w:szCs w:val="21"/>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3.3.1</w:t>
            </w:r>
          </w:p>
        </w:tc>
        <w:tc>
          <w:tcPr>
            <w:tcW w:w="2127" w:type="dxa"/>
            <w:vAlign w:val="center"/>
          </w:tcPr>
          <w:p>
            <w:pPr>
              <w:widowControl/>
              <w:spacing w:line="360" w:lineRule="auto"/>
              <w:jc w:val="center"/>
              <w:rPr>
                <w:szCs w:val="21"/>
              </w:rPr>
            </w:pPr>
            <w:r>
              <w:rPr>
                <w:rFonts w:hint="eastAsia"/>
                <w:szCs w:val="21"/>
              </w:rPr>
              <w:t>投标有效期</w:t>
            </w:r>
          </w:p>
        </w:tc>
        <w:tc>
          <w:tcPr>
            <w:tcW w:w="5762" w:type="dxa"/>
            <w:vAlign w:val="center"/>
          </w:tcPr>
          <w:p>
            <w:pPr>
              <w:widowControl/>
              <w:spacing w:line="360" w:lineRule="auto"/>
              <w:rPr>
                <w:szCs w:val="21"/>
              </w:rPr>
            </w:pPr>
            <w:r>
              <w:rPr>
                <w:rFonts w:hint="eastAsia" w:ascii="宋体" w:hAnsi="宋体" w:eastAsia="宋体" w:cs="宋体"/>
                <w:sz w:val="22"/>
                <w:szCs w:val="22"/>
                <w:highlight w:val="none"/>
              </w:rPr>
              <w:t>自投标截止日起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3.4.1</w:t>
            </w:r>
          </w:p>
        </w:tc>
        <w:tc>
          <w:tcPr>
            <w:tcW w:w="2127" w:type="dxa"/>
            <w:vAlign w:val="center"/>
          </w:tcPr>
          <w:p>
            <w:pPr>
              <w:widowControl/>
              <w:spacing w:line="360" w:lineRule="auto"/>
              <w:jc w:val="center"/>
              <w:rPr>
                <w:szCs w:val="21"/>
              </w:rPr>
            </w:pPr>
            <w:r>
              <w:rPr>
                <w:rFonts w:hint="eastAsia"/>
                <w:szCs w:val="21"/>
              </w:rPr>
              <w:t>投标保证金</w:t>
            </w:r>
          </w:p>
        </w:tc>
        <w:tc>
          <w:tcPr>
            <w:tcW w:w="5762" w:type="dxa"/>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szCs w:val="21"/>
              </w:rPr>
            </w:pPr>
            <w:r>
              <w:rPr>
                <w:rFonts w:hint="eastAsia"/>
                <w:szCs w:val="21"/>
              </w:rPr>
              <w:t>是否要求投标人递交投标保证金：</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sym w:font="Wingdings 2" w:char="00A3"/>
            </w:r>
            <w:r>
              <w:rPr>
                <w:rFonts w:hint="eastAsia"/>
              </w:rPr>
              <w:t>不要求</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t>□要求，投标保证金金额：</w:t>
            </w:r>
            <w:r>
              <w:rPr>
                <w:rFonts w:hint="eastAsia" w:ascii="宋体" w:hAnsi="宋体" w:cs="宋体"/>
                <w:sz w:val="24"/>
                <w:szCs w:val="24"/>
                <w:u w:val="single"/>
              </w:rPr>
              <w:t xml:space="preserve">        </w:t>
            </w:r>
            <w:r>
              <w:rPr>
                <w:rFonts w:hint="eastAsia"/>
              </w:rPr>
              <w:t>元人民币。</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default"/>
              </w:rPr>
              <w:t>1.</w:t>
            </w:r>
            <w:r>
              <w:rPr>
                <w:rFonts w:hint="eastAsia"/>
              </w:rPr>
              <w:t>投标人可以使用下列第</w:t>
            </w:r>
            <w:r>
              <w:rPr>
                <w:rFonts w:hint="eastAsia" w:ascii="宋体" w:hAnsi="宋体" w:cs="宋体"/>
                <w:sz w:val="24"/>
                <w:szCs w:val="24"/>
                <w:u w:val="single"/>
              </w:rPr>
              <w:t xml:space="preserve">        </w:t>
            </w:r>
            <w:r>
              <w:rPr>
                <w:rFonts w:hint="eastAsia"/>
              </w:rPr>
              <w:t>种形式提交：</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ascii="宋体" w:hAnsi="宋体" w:eastAsia="宋体" w:cs="宋体"/>
                <w:highlight w:val="none"/>
                <w:lang w:eastAsia="zh-Hans"/>
              </w:rPr>
              <w:t>（</w:t>
            </w:r>
            <w:r>
              <w:rPr>
                <w:rFonts w:hint="eastAsia" w:ascii="宋体" w:hAnsi="宋体" w:eastAsia="宋体" w:cs="宋体"/>
                <w:highlight w:val="none"/>
              </w:rPr>
              <w:t>1</w:t>
            </w:r>
            <w:r>
              <w:rPr>
                <w:rFonts w:hint="eastAsia" w:ascii="宋体" w:hAnsi="宋体" w:eastAsia="宋体" w:cs="宋体"/>
                <w:highlight w:val="none"/>
                <w:lang w:eastAsia="zh-Hans"/>
              </w:rPr>
              <w:t>）</w:t>
            </w:r>
            <w:r>
              <w:rPr>
                <w:rFonts w:hint="eastAsia"/>
                <w:highlight w:val="none"/>
              </w:rPr>
              <w:t>现金形式</w:t>
            </w:r>
            <w:r>
              <w:rPr>
                <w:rFonts w:hint="eastAsia"/>
                <w:highlight w:val="none"/>
                <w:lang w:eastAsia="zh-CN"/>
              </w:rPr>
              <w:t>：</w:t>
            </w:r>
            <w:r>
              <w:rPr>
                <w:rFonts w:hint="eastAsia"/>
                <w:highlight w:val="none"/>
              </w:rPr>
              <w:t>应在投标截止时间之前从投标人所在地银行的投标人企业基本账户以电汇或银行转账的形式，汇到招标文件指定的投标保证金账户，并应在电汇或银行转账单上注明</w:t>
            </w:r>
            <w:r>
              <w:rPr>
                <w:rFonts w:hint="eastAsia"/>
                <w:highlight w:val="none"/>
                <w:u w:val="none"/>
              </w:rPr>
              <w:t>招标项目编号</w:t>
            </w:r>
            <w:r>
              <w:rPr>
                <w:rFonts w:hint="eastAsia"/>
                <w:highlight w:val="none"/>
              </w:rPr>
              <w:t>，如因投标人汇款凭证未注明招标项目编号造成银行无法识别投标保证金到账情况或识别错误的，其责任由投标人自行承担。招标人在投标截止前到银行查询投标保证金到</w:t>
            </w:r>
            <w:r>
              <w:rPr>
                <w:rFonts w:hint="eastAsia"/>
                <w:highlight w:val="none"/>
                <w:lang w:eastAsia="zh-CN"/>
              </w:rPr>
              <w:t>账</w:t>
            </w:r>
            <w:r>
              <w:rPr>
                <w:rFonts w:hint="eastAsia"/>
                <w:highlight w:val="none"/>
              </w:rPr>
              <w:t>情况，并以银行出具</w:t>
            </w:r>
            <w:r>
              <w:rPr>
                <w:rFonts w:hint="eastAsia"/>
              </w:rPr>
              <w:t>的加盖公章的投标保证金到</w:t>
            </w:r>
            <w:r>
              <w:rPr>
                <w:rFonts w:hint="eastAsia"/>
                <w:lang w:eastAsia="zh-CN"/>
              </w:rPr>
              <w:t>账</w:t>
            </w:r>
            <w:r>
              <w:rPr>
                <w:rFonts w:hint="eastAsia"/>
              </w:rPr>
              <w:t>证明作为投标人是否按招标文件规定递交投标保证金的依据。投标人企业基本账户开户许可证或基本存款</w:t>
            </w:r>
            <w:r>
              <w:rPr>
                <w:rFonts w:hint="eastAsia"/>
                <w:lang w:eastAsia="zh-CN"/>
              </w:rPr>
              <w:t>账</w:t>
            </w:r>
            <w:r>
              <w:rPr>
                <w:rFonts w:hint="eastAsia"/>
              </w:rPr>
              <w:t>户开户银行开具的《基本存款</w:t>
            </w:r>
            <w:r>
              <w:rPr>
                <w:rFonts w:hint="eastAsia"/>
                <w:lang w:eastAsia="zh-CN"/>
              </w:rPr>
              <w:t>账</w:t>
            </w:r>
            <w:r>
              <w:rPr>
                <w:rFonts w:hint="eastAsia"/>
              </w:rPr>
              <w:t>户信息》上账号应与投标保证金转账回单上账号一致，否则视为未按规定提交投标保证金，资格审查不合格。</w:t>
            </w:r>
          </w:p>
          <w:p>
            <w:pPr>
              <w:keepNext w:val="0"/>
              <w:keepLines w:val="0"/>
              <w:pageBreakBefore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rPr>
              <w:t>投标保证金银行</w:t>
            </w:r>
            <w:r>
              <w:rPr>
                <w:rFonts w:hint="eastAsia"/>
                <w:highlight w:val="none"/>
                <w:lang w:eastAsia="zh-CN"/>
              </w:rPr>
              <w:t>账</w:t>
            </w:r>
            <w:r>
              <w:rPr>
                <w:rFonts w:hint="eastAsia"/>
                <w:highlight w:val="none"/>
              </w:rPr>
              <w:t>号：</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highlight w:val="none"/>
                <w:u w:val="single"/>
                <w:lang w:eastAsia="zh-Hans"/>
              </w:rPr>
            </w:pPr>
            <w:r>
              <w:rPr>
                <w:rFonts w:hint="eastAsia"/>
                <w:highlight w:val="none"/>
              </w:rPr>
              <w:t>开户银行：</w:t>
            </w:r>
            <w:r>
              <w:rPr>
                <w:rFonts w:hint="eastAsia"/>
                <w:highlight w:val="none"/>
                <w:u w:val="single"/>
              </w:rPr>
              <w:t xml:space="preserve">                           </w:t>
            </w:r>
            <w:r>
              <w:rPr>
                <w:rFonts w:hint="eastAsia"/>
                <w:highlight w:val="none"/>
                <w:u w:val="none"/>
                <w:lang w:eastAsia="zh-Hans"/>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lang w:eastAsia="zh-CN"/>
              </w:rPr>
              <w:t>账</w:t>
            </w:r>
            <w:r>
              <w:rPr>
                <w:rFonts w:hint="eastAsia"/>
                <w:highlight w:val="none"/>
              </w:rPr>
              <w:t>户名称：</w:t>
            </w:r>
            <w:r>
              <w:rPr>
                <w:rFonts w:hint="eastAsia"/>
                <w:highlight w:val="none"/>
                <w:u w:val="single"/>
              </w:rPr>
              <w:t xml:space="preserve">                           </w:t>
            </w:r>
            <w:r>
              <w:rPr>
                <w:rFonts w:hint="eastAsia"/>
                <w:highlight w:val="none"/>
                <w:u w:val="none"/>
                <w:lang w:eastAsia="zh-Hans"/>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ighlight w:val="none"/>
              </w:rPr>
            </w:pPr>
            <w:r>
              <w:rPr>
                <w:rFonts w:hint="eastAsia"/>
                <w:highlight w:val="none"/>
                <w:lang w:eastAsia="zh-CN"/>
              </w:rPr>
              <w:t>账</w:t>
            </w:r>
            <w:r>
              <w:rPr>
                <w:rFonts w:hint="eastAsia"/>
                <w:highlight w:val="none"/>
              </w:rPr>
              <w:t xml:space="preserve">    号：</w:t>
            </w:r>
            <w:r>
              <w:rPr>
                <w:rFonts w:hint="eastAsia"/>
                <w:highlight w:val="none"/>
                <w:u w:val="single"/>
              </w:rPr>
              <w:t xml:space="preserve">                           </w:t>
            </w:r>
            <w:r>
              <w:rPr>
                <w:rFonts w:hint="eastAsia"/>
                <w:highlight w:val="none"/>
                <w:u w:val="none"/>
                <w:lang w:eastAsia="zh-Hans"/>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t>银行存款利率类型为：银行存款同期活期利率，并从投标截止当日开始计息。</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rPr>
              <w:t>利息部分应出具发票的类型为：税务发票</w:t>
            </w:r>
            <w:r>
              <w:rPr>
                <w:rFonts w:hint="eastAsia"/>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ascii="宋体" w:hAnsi="宋体" w:eastAsia="宋体" w:cs="宋体"/>
                <w:lang w:eastAsia="zh-Hans"/>
              </w:rPr>
              <w:t>（</w:t>
            </w:r>
            <w:r>
              <w:rPr>
                <w:rFonts w:hint="eastAsia" w:ascii="宋体" w:hAnsi="宋体" w:eastAsia="宋体" w:cs="宋体"/>
              </w:rPr>
              <w:t>2</w:t>
            </w:r>
            <w:r>
              <w:rPr>
                <w:rFonts w:hint="eastAsia" w:ascii="宋体" w:hAnsi="宋体" w:eastAsia="宋体" w:cs="宋体"/>
                <w:lang w:eastAsia="zh-Hans"/>
              </w:rPr>
              <w:t>）</w:t>
            </w:r>
            <w:r>
              <w:rPr>
                <w:rFonts w:hint="eastAsia"/>
              </w:rPr>
              <w:t>银行保函形式：</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t>采用银行电子保函</w:t>
            </w:r>
            <w:r>
              <w:rPr>
                <w:rFonts w:hint="eastAsia"/>
                <w:lang w:val="en-US" w:eastAsia="zh-CN"/>
              </w:rPr>
              <w:t>的</w:t>
            </w:r>
            <w:r>
              <w:rPr>
                <w:rFonts w:hint="eastAsia"/>
              </w:rPr>
              <w:t>，银行电子保函</w:t>
            </w:r>
            <w:r>
              <w:rPr>
                <w:rFonts w:hint="eastAsia"/>
                <w:lang w:val="en-US" w:eastAsia="zh-Hans"/>
              </w:rPr>
              <w:t>文件</w:t>
            </w:r>
            <w:r>
              <w:rPr>
                <w:rFonts w:hint="eastAsia"/>
                <w:lang w:val="en-US" w:eastAsia="zh-CN"/>
              </w:rPr>
              <w:t>应能够通过互联网无需任何授权即可在相应官方网站验证真伪，并在保函上写明网址，</w:t>
            </w:r>
            <w:r>
              <w:rPr>
                <w:rFonts w:hint="eastAsia"/>
              </w:rPr>
              <w:t>否则视为未按规定提交投标保证金，资格审查不合格。开具银行保函的费用由投标人自理。</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t>投标人向商业银行缴交的保函费用，应在投标截止时间之前从投标人所在地银行的投标人企业基本户以电汇或银行转账的形式汇到商业银行账户，并应在电汇或银行转账单上注明</w:t>
            </w:r>
            <w:r>
              <w:rPr>
                <w:rFonts w:hint="eastAsia"/>
                <w:u w:val="none"/>
              </w:rPr>
              <w:t>招标项目编号</w:t>
            </w:r>
            <w:r>
              <w:rPr>
                <w:rFonts w:hint="eastAsia"/>
              </w:rPr>
              <w:t>。</w:t>
            </w:r>
          </w:p>
          <w:p>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rPr>
            </w:pPr>
            <w:r>
              <w:rPr>
                <w:rFonts w:hint="eastAsia" w:ascii="宋体" w:hAnsi="宋体" w:eastAsia="宋体" w:cs="宋体"/>
                <w:lang w:eastAsia="zh-Hans"/>
              </w:rPr>
              <w:t>（3）</w:t>
            </w:r>
            <w:r>
              <w:rPr>
                <w:rFonts w:hint="eastAsia"/>
              </w:rPr>
              <w:t>担保公司出具的担保保函形式（适用于已推行工程担保的地区）：</w:t>
            </w:r>
          </w:p>
          <w:p>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lang w:val="en-US" w:eastAsia="zh-CN"/>
              </w:rPr>
            </w:pPr>
            <w:r>
              <w:rPr>
                <w:rFonts w:hint="eastAsia"/>
                <w:lang w:val="en-US" w:eastAsia="zh-Hans"/>
              </w:rPr>
              <w:t>采用工程担保电子保函的，</w:t>
            </w:r>
            <w:r>
              <w:rPr>
                <w:rFonts w:hint="eastAsia"/>
                <w:lang w:val="en-US" w:eastAsia="zh-CN"/>
              </w:rPr>
              <w:t>担保保函</w:t>
            </w:r>
            <w:r>
              <w:rPr>
                <w:rFonts w:hint="eastAsia"/>
                <w:lang w:val="en-US" w:eastAsia="zh-Hans"/>
              </w:rPr>
              <w:t>文件</w:t>
            </w:r>
            <w:r>
              <w:rPr>
                <w:rFonts w:hint="eastAsia"/>
              </w:rPr>
              <w:t>应</w:t>
            </w:r>
            <w:r>
              <w:rPr>
                <w:rFonts w:hint="eastAsia"/>
                <w:lang w:val="en-US" w:eastAsia="zh-CN"/>
              </w:rPr>
              <w:t>能够通过互联网无需任何授权即可在相应工程担保公司的官方网站验证真伪，并在保函上写明网址，否则视为未按规定提交投标保证金，资格审查不合格。</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rPr>
              <w:t>投标人向担保公司缴交的保函费用，应在投标截止时间之前从投标人所在地银行的投标人企业基本账户以电汇或银行转账的形式汇到担保公司账户，并应在电汇或银行转账单上注明</w:t>
            </w:r>
            <w:r>
              <w:rPr>
                <w:rFonts w:hint="eastAsia"/>
                <w:u w:val="none"/>
              </w:rPr>
              <w:t>招标项目编号</w:t>
            </w:r>
            <w:r>
              <w:rPr>
                <w:rFonts w:hint="eastAsia"/>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ascii="宋体" w:hAnsi="宋体" w:eastAsia="宋体" w:cs="宋体"/>
                <w:lang w:eastAsia="zh-Hans"/>
              </w:rPr>
              <w:t>（4）</w:t>
            </w:r>
            <w:r>
              <w:rPr>
                <w:rFonts w:hint="eastAsia"/>
              </w:rPr>
              <w:t>保险公司出具的投标保证保险形式</w:t>
            </w:r>
            <w:r>
              <w:rPr>
                <w:rFonts w:hint="eastAsia"/>
                <w:u w:val="none"/>
              </w:rPr>
              <w:t>：</w:t>
            </w:r>
            <w:r>
              <w:rPr>
                <w:rFonts w:hint="eastAsia"/>
                <w:u w:val="single"/>
              </w:rPr>
              <w:t xml:space="preserve">     （投标保证保险的保险条款须经中国银保监会或原中国保监会批准或备案</w:t>
            </w:r>
            <w:r>
              <w:rPr>
                <w:rFonts w:hint="eastAsia"/>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投标人向保险公司缴交的保费，应在投标截止时间之前从投标人所在地银行的投标人企业基本账户以电汇或银行转账的形式汇到保险公司账户，并应在电汇或银行转账单上注明招标项目编号。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2.投标保证金证明材料提交形式：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lang w:eastAsia="zh-Hans"/>
              </w:rPr>
              <w:t>（</w:t>
            </w:r>
            <w:r>
              <w:rPr>
                <w:rFonts w:hint="eastAsia"/>
              </w:rPr>
              <w:t>1</w:t>
            </w:r>
            <w:r>
              <w:rPr>
                <w:rFonts w:hint="eastAsia"/>
                <w:lang w:eastAsia="zh-Hans"/>
              </w:rPr>
              <w:t>）</w:t>
            </w:r>
            <w:r>
              <w:rPr>
                <w:rFonts w:hint="eastAsia"/>
              </w:rPr>
              <w:t>将电汇或银行转账单凭证的扫描件（加盖投标人单位电子</w:t>
            </w:r>
            <w:r>
              <w:rPr>
                <w:rFonts w:hint="eastAsia"/>
                <w:lang w:val="en-US" w:eastAsia="zh-Hans"/>
              </w:rPr>
              <w:t>公章</w:t>
            </w:r>
            <w:r>
              <w:rPr>
                <w:rFonts w:hint="eastAsia"/>
              </w:rPr>
              <w:t>）作为资格文件的组成部分。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lang w:eastAsia="zh-Hans"/>
              </w:rPr>
              <w:t>（</w:t>
            </w:r>
            <w:r>
              <w:rPr>
                <w:rFonts w:hint="eastAsia"/>
              </w:rPr>
              <w:t>2</w:t>
            </w:r>
            <w:r>
              <w:rPr>
                <w:rFonts w:hint="eastAsia"/>
                <w:lang w:eastAsia="zh-Hans"/>
              </w:rPr>
              <w:t>）</w:t>
            </w:r>
            <w:r>
              <w:rPr>
                <w:rFonts w:hint="eastAsia"/>
              </w:rPr>
              <w:t>投标人以投标保函（银行保函、担保保函、保证保险）形式提交投标保证金的，投标人缴纳的保函手续费应当从投标人企业基本账户以电汇或银行转账的形式转出到商业银行、保险公司、工程担保公司等保函开立人公司账户，并在电汇(或银行转账单)上注明招标项目编号。电汇</w:t>
            </w:r>
            <w:r>
              <w:rPr>
                <w:rFonts w:hint="eastAsia"/>
                <w:lang w:eastAsia="zh-Hans"/>
              </w:rPr>
              <w:t>（</w:t>
            </w:r>
            <w:r>
              <w:rPr>
                <w:rFonts w:hint="eastAsia"/>
              </w:rPr>
              <w:t>或银行转账单</w:t>
            </w:r>
            <w:r>
              <w:rPr>
                <w:rFonts w:hint="eastAsia"/>
                <w:lang w:eastAsia="zh-Hans"/>
              </w:rPr>
              <w:t>）</w:t>
            </w:r>
            <w:r>
              <w:rPr>
                <w:rFonts w:hint="eastAsia"/>
              </w:rPr>
              <w:t>以及保函开立人出具的加盖单位公章（或保函开立人依法刻制并授权用于投标保函业务的专用章）的到账证明扫描件，作为投标文件的组成部分。否则视为未提交投标保证金，资格审查不合格。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eastAsia="zh-Hans"/>
              </w:rPr>
              <w:t>（</w:t>
            </w:r>
            <w:r>
              <w:rPr>
                <w:rFonts w:hint="eastAsia" w:ascii="宋体" w:hAnsi="宋体" w:eastAsia="宋体" w:cs="宋体"/>
              </w:rPr>
              <w:t>3</w:t>
            </w:r>
            <w:r>
              <w:rPr>
                <w:rFonts w:hint="eastAsia" w:ascii="宋体" w:hAnsi="宋体" w:eastAsia="宋体" w:cs="宋体"/>
                <w:lang w:eastAsia="zh-Hans"/>
              </w:rPr>
              <w:t>）</w:t>
            </w:r>
            <w:r>
              <w:rPr>
                <w:rFonts w:hint="eastAsia"/>
              </w:rPr>
              <w:t>投标保函采用电子保函</w:t>
            </w:r>
            <w:r>
              <w:rPr>
                <w:rFonts w:hint="eastAsia"/>
                <w:lang w:val="en-US" w:eastAsia="zh-Hans"/>
              </w:rPr>
              <w:t>的</w:t>
            </w:r>
            <w:r>
              <w:rPr>
                <w:rFonts w:hint="eastAsia"/>
              </w:rPr>
              <w:t>，</w:t>
            </w:r>
            <w:r>
              <w:rPr>
                <w:rFonts w:hint="eastAsia"/>
                <w:lang w:val="en-US" w:eastAsia="zh-CN"/>
              </w:rPr>
              <w:t>应</w:t>
            </w:r>
            <w:r>
              <w:rPr>
                <w:rFonts w:hint="eastAsia"/>
              </w:rPr>
              <w:t>在投标截止时间之前按照招标文件约定的时间将电子保函文件放入投标文件中</w:t>
            </w:r>
            <w:r>
              <w:rPr>
                <w:rFonts w:hint="eastAsia"/>
                <w:lang w:eastAsia="zh-Hans"/>
              </w:rPr>
              <w:t>，</w:t>
            </w:r>
            <w:r>
              <w:rPr>
                <w:rFonts w:hint="eastAsia"/>
              </w:rPr>
              <w:t>作为投标文件的组成部分</w:t>
            </w:r>
            <w:r>
              <w:rPr>
                <w:rFonts w:hint="eastAsia"/>
                <w:lang w:val="en-US" w:eastAsia="zh-CN"/>
              </w:rPr>
              <w:t>一并提交给招标人，否则视为未提交投标保证金。</w:t>
            </w:r>
          </w:p>
          <w:p>
            <w:pPr>
              <w:keepNext w:val="0"/>
              <w:keepLines w:val="0"/>
              <w:pageBreakBefore w:val="0"/>
              <w:widowControl w:val="0"/>
              <w:kinsoku/>
              <w:wordWrap/>
              <w:overflowPunct/>
              <w:topLinePunct w:val="0"/>
              <w:autoSpaceDE/>
              <w:autoSpaceDN/>
              <w:bidi w:val="0"/>
              <w:adjustRightInd/>
              <w:snapToGrid/>
              <w:spacing w:line="360" w:lineRule="auto"/>
              <w:textAlignment w:val="auto"/>
              <w:rPr>
                <w:szCs w:val="21"/>
              </w:rPr>
            </w:pPr>
            <w:r>
              <w:rPr>
                <w:rFonts w:hint="eastAsia"/>
              </w:rPr>
              <w:t>3.投标保证金有效期：投标保证金的有效期与投标有效期保持一致。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3.4.4</w:t>
            </w:r>
          </w:p>
        </w:tc>
        <w:tc>
          <w:tcPr>
            <w:tcW w:w="2127" w:type="dxa"/>
            <w:vAlign w:val="center"/>
          </w:tcPr>
          <w:p>
            <w:pPr>
              <w:widowControl/>
              <w:spacing w:line="360" w:lineRule="auto"/>
              <w:jc w:val="center"/>
              <w:rPr>
                <w:szCs w:val="21"/>
              </w:rPr>
            </w:pPr>
            <w:r>
              <w:rPr>
                <w:rFonts w:hint="eastAsia"/>
                <w:szCs w:val="21"/>
              </w:rPr>
              <w:t>其他可以不予退还投标保证金的情形</w:t>
            </w:r>
          </w:p>
        </w:tc>
        <w:tc>
          <w:tcPr>
            <w:tcW w:w="5762" w:type="dxa"/>
            <w:vAlign w:val="center"/>
          </w:tcPr>
          <w:p>
            <w:pPr>
              <w:widowControl/>
              <w:spacing w:line="360" w:lineRule="auto"/>
              <w:rPr>
                <w:rFonts w:hint="eastAsia"/>
                <w:szCs w:val="21"/>
              </w:rPr>
            </w:pPr>
            <w:r>
              <w:rPr>
                <w:rFonts w:hint="eastAsia"/>
                <w:szCs w:val="21"/>
              </w:rPr>
              <w:t>（1）弄虚作假；</w:t>
            </w:r>
          </w:p>
          <w:p>
            <w:pPr>
              <w:spacing w:line="360" w:lineRule="auto"/>
              <w:rPr>
                <w:rFonts w:hint="eastAsia" w:eastAsia="宋体" w:cs="Times New Roman"/>
                <w:szCs w:val="21"/>
                <w:lang w:eastAsia="zh-Hans"/>
              </w:rPr>
            </w:pPr>
            <w:r>
              <w:rPr>
                <w:rFonts w:hint="eastAsia" w:eastAsia="宋体" w:cs="Times New Roman"/>
                <w:szCs w:val="21"/>
                <w:lang w:eastAsia="zh-Hans"/>
              </w:rPr>
              <w:t>（</w:t>
            </w:r>
            <w:r>
              <w:rPr>
                <w:rFonts w:hint="default" w:eastAsia="宋体" w:cs="Times New Roman"/>
                <w:szCs w:val="21"/>
                <w:lang w:eastAsia="zh-Hans"/>
              </w:rPr>
              <w:t>2</w:t>
            </w:r>
            <w:r>
              <w:rPr>
                <w:rFonts w:hint="eastAsia" w:eastAsia="宋体" w:cs="Times New Roman"/>
                <w:szCs w:val="21"/>
                <w:lang w:eastAsia="zh-Hans"/>
              </w:rPr>
              <w:t>）</w:t>
            </w:r>
            <w:r>
              <w:rPr>
                <w:rFonts w:hint="eastAsia" w:hAnsi="Calibri" w:eastAsia="宋体" w:cs="Times New Roman"/>
                <w:szCs w:val="21"/>
              </w:rPr>
              <w:t>投标文件存在投标</w:t>
            </w:r>
            <w:r>
              <w:rPr>
                <w:rFonts w:hint="eastAsia" w:hAnsi="Calibri" w:eastAsia="宋体" w:cs="Times New Roman"/>
                <w:szCs w:val="21"/>
                <w:lang w:val="en-US" w:eastAsia="zh-Hans"/>
              </w:rPr>
              <w:t>人</w:t>
            </w:r>
            <w:r>
              <w:rPr>
                <w:rFonts w:hint="eastAsia" w:hAnsi="Calibri" w:eastAsia="宋体" w:cs="Times New Roman"/>
                <w:szCs w:val="21"/>
              </w:rPr>
              <w:t>须知第</w:t>
            </w:r>
            <w:r>
              <w:rPr>
                <w:rFonts w:hint="default" w:eastAsia="宋体" w:cs="Times New Roman"/>
                <w:szCs w:val="21"/>
              </w:rPr>
              <w:t>3</w:t>
            </w:r>
            <w:r>
              <w:rPr>
                <w:rFonts w:hint="eastAsia" w:hAnsi="Calibri" w:eastAsia="宋体" w:cs="Times New Roman"/>
                <w:szCs w:val="21"/>
              </w:rPr>
              <w:t>.</w:t>
            </w:r>
            <w:r>
              <w:rPr>
                <w:rFonts w:hint="default" w:eastAsia="宋体" w:cs="Times New Roman"/>
                <w:szCs w:val="21"/>
              </w:rPr>
              <w:t>7.</w:t>
            </w:r>
            <w:r>
              <w:rPr>
                <w:rFonts w:hint="default" w:eastAsia="宋体" w:cs="Times New Roman"/>
                <w:szCs w:val="21"/>
                <w:lang w:eastAsia="zh-Hans"/>
              </w:rPr>
              <w:t>4</w:t>
            </w:r>
            <w:r>
              <w:rPr>
                <w:rFonts w:hint="eastAsia" w:hAnsi="Calibri" w:eastAsia="宋体" w:cs="Times New Roman"/>
                <w:szCs w:val="21"/>
              </w:rPr>
              <w:t>款规定的雷同情形之一。</w:t>
            </w:r>
          </w:p>
          <w:p>
            <w:pPr>
              <w:widowControl/>
              <w:spacing w:line="360" w:lineRule="auto"/>
              <w:rPr>
                <w:rFonts w:hint="default" w:eastAsiaTheme="minorEastAsia"/>
                <w:szCs w:val="21"/>
                <w:lang w:val="en-US" w:eastAsia="zh-CN"/>
              </w:rPr>
            </w:pPr>
            <w:r>
              <w:rPr>
                <w:rFonts w:hint="eastAsia"/>
                <w:szCs w:val="21"/>
              </w:rPr>
              <w:t>（</w:t>
            </w:r>
            <w:r>
              <w:rPr>
                <w:rFonts w:hint="default"/>
                <w:szCs w:val="21"/>
              </w:rPr>
              <w:t>3</w:t>
            </w:r>
            <w:r>
              <w:rPr>
                <w:rFonts w:hint="eastAsia"/>
                <w:szCs w:val="21"/>
              </w:rPr>
              <w:t>）其他：</w:t>
            </w:r>
            <w:r>
              <w:rPr>
                <w:rFonts w:hint="eastAsia"/>
                <w:szCs w:val="21"/>
                <w:u w:val="single"/>
                <w:lang w:val="en-US" w:eastAsia="zh-CN"/>
              </w:rPr>
              <w:t xml:space="preserve">              </w:t>
            </w:r>
            <w:r>
              <w:rPr>
                <w:rFonts w:hint="eastAsia"/>
                <w:szCs w:val="21"/>
                <w:u w:val="none"/>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3.5</w:t>
            </w:r>
          </w:p>
        </w:tc>
        <w:tc>
          <w:tcPr>
            <w:tcW w:w="2127" w:type="dxa"/>
            <w:vAlign w:val="center"/>
          </w:tcPr>
          <w:p>
            <w:pPr>
              <w:widowControl/>
              <w:spacing w:line="360" w:lineRule="auto"/>
              <w:jc w:val="center"/>
              <w:rPr>
                <w:rFonts w:hint="eastAsia"/>
                <w:szCs w:val="21"/>
              </w:rPr>
            </w:pPr>
            <w:r>
              <w:rPr>
                <w:rFonts w:hint="eastAsia"/>
                <w:szCs w:val="21"/>
              </w:rPr>
              <w:t>资格审查资料</w:t>
            </w:r>
          </w:p>
          <w:p>
            <w:pPr>
              <w:widowControl/>
              <w:spacing w:line="360" w:lineRule="auto"/>
              <w:jc w:val="center"/>
              <w:rPr>
                <w:szCs w:val="21"/>
              </w:rPr>
            </w:pPr>
            <w:r>
              <w:rPr>
                <w:rFonts w:hint="eastAsia"/>
                <w:szCs w:val="21"/>
              </w:rPr>
              <w:t>的特殊要求</w:t>
            </w:r>
          </w:p>
        </w:tc>
        <w:tc>
          <w:tcPr>
            <w:tcW w:w="5762" w:type="dxa"/>
            <w:vAlign w:val="center"/>
          </w:tcPr>
          <w:p>
            <w:pPr>
              <w:widowControl/>
              <w:spacing w:line="360" w:lineRule="auto"/>
              <w:rPr>
                <w:szCs w:val="21"/>
              </w:rPr>
            </w:pPr>
            <w:r>
              <w:rPr>
                <w:rFonts w:hint="eastAsia"/>
                <w:szCs w:val="21"/>
              </w:rPr>
              <w:t>有关证明材料按第六章“投标文件格式”要求在相应处附扫描件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szCs w:val="21"/>
              </w:rPr>
            </w:pPr>
            <w:r>
              <w:rPr>
                <w:szCs w:val="21"/>
              </w:rPr>
              <w:t>3.5.2</w:t>
            </w:r>
          </w:p>
        </w:tc>
        <w:tc>
          <w:tcPr>
            <w:tcW w:w="2127" w:type="dxa"/>
            <w:vAlign w:val="center"/>
          </w:tcPr>
          <w:p>
            <w:pPr>
              <w:widowControl/>
              <w:spacing w:line="360" w:lineRule="auto"/>
              <w:jc w:val="center"/>
              <w:rPr>
                <w:rFonts w:hint="eastAsia"/>
                <w:szCs w:val="21"/>
              </w:rPr>
            </w:pPr>
            <w:r>
              <w:rPr>
                <w:rFonts w:hint="eastAsia"/>
                <w:szCs w:val="21"/>
              </w:rPr>
              <w:t>近年财务状况</w:t>
            </w:r>
          </w:p>
          <w:p>
            <w:pPr>
              <w:widowControl/>
              <w:spacing w:line="360" w:lineRule="auto"/>
              <w:jc w:val="center"/>
              <w:rPr>
                <w:szCs w:val="21"/>
              </w:rPr>
            </w:pPr>
            <w:r>
              <w:rPr>
                <w:rFonts w:hint="eastAsia"/>
                <w:szCs w:val="21"/>
              </w:rPr>
              <w:t>的年份要求</w:t>
            </w:r>
          </w:p>
        </w:tc>
        <w:tc>
          <w:tcPr>
            <w:tcW w:w="5762" w:type="dxa"/>
            <w:vAlign w:val="center"/>
          </w:tcPr>
          <w:p>
            <w:pPr>
              <w:widowControl/>
              <w:spacing w:line="360" w:lineRule="auto"/>
              <w:rPr>
                <w:rFonts w:hint="eastAsia"/>
                <w:szCs w:val="21"/>
                <w:highlight w:val="none"/>
                <w:lang w:eastAsia="zh-CN"/>
              </w:rPr>
            </w:pPr>
            <w:r>
              <w:rPr>
                <w:rFonts w:hint="eastAsia"/>
                <w:szCs w:val="21"/>
                <w:highlight w:val="none"/>
                <w:lang w:val="en-US" w:eastAsia="zh-CN"/>
              </w:rPr>
              <w:t>年份要求：近三年（指</w:t>
            </w:r>
            <w:r>
              <w:rPr>
                <w:rFonts w:hint="eastAsia"/>
                <w:szCs w:val="21"/>
                <w:highlight w:val="none"/>
              </w:rPr>
              <w:t>______年</w:t>
            </w:r>
            <w:r>
              <w:rPr>
                <w:rFonts w:hint="eastAsia"/>
                <w:szCs w:val="21"/>
                <w:highlight w:val="none"/>
                <w:lang w:eastAsia="zh-CN"/>
              </w:rPr>
              <w:t>、</w:t>
            </w:r>
            <w:r>
              <w:rPr>
                <w:rFonts w:hint="eastAsia"/>
                <w:szCs w:val="21"/>
                <w:highlight w:val="none"/>
              </w:rPr>
              <w:t>______年</w:t>
            </w:r>
            <w:r>
              <w:rPr>
                <w:rFonts w:hint="eastAsia"/>
                <w:highlight w:val="none"/>
                <w:lang w:eastAsia="zh-CN"/>
              </w:rPr>
              <w:t>、</w:t>
            </w:r>
            <w:r>
              <w:rPr>
                <w:rFonts w:hint="eastAsia"/>
                <w:szCs w:val="21"/>
                <w:highlight w:val="none"/>
              </w:rPr>
              <w:t>______年</w:t>
            </w:r>
            <w:r>
              <w:rPr>
                <w:rFonts w:hint="eastAsia"/>
                <w:szCs w:val="21"/>
                <w:highlight w:val="none"/>
                <w:lang w:eastAsia="zh-CN"/>
              </w:rPr>
              <w:t>）</w:t>
            </w:r>
          </w:p>
          <w:p>
            <w:pPr>
              <w:widowControl/>
              <w:spacing w:line="360" w:lineRule="auto"/>
              <w:rPr>
                <w:rFonts w:hint="eastAsia"/>
                <w:szCs w:val="21"/>
                <w:highlight w:val="none"/>
                <w:lang w:eastAsia="zh-CN"/>
              </w:rPr>
            </w:pPr>
            <w:r>
              <w:rPr>
                <w:rFonts w:hint="default" w:ascii="Segoe UI" w:hAnsi="Segoe UI" w:eastAsia="Segoe UI" w:cs="Segoe UI"/>
                <w:b/>
                <w:bCs/>
                <w:i w:val="0"/>
                <w:iCs w:val="0"/>
                <w:caps w:val="0"/>
                <w:color w:val="0F1115"/>
                <w:spacing w:val="0"/>
                <w:sz w:val="19"/>
                <w:szCs w:val="19"/>
                <w:highlight w:val="none"/>
                <w:shd w:val="clear" w:fill="FFFFFF"/>
              </w:rPr>
              <w:t>注：投标人成立时间不足上述年份的，应提供自成立以来经会计师事务所或审计机构审计的财务会计报表；成立不满一年的，可提供自成立以来的财务报表或基本账户银行出具的资信证明</w:t>
            </w:r>
            <w:r>
              <w:rPr>
                <w:rFonts w:hint="eastAsia" w:ascii="Segoe UI" w:hAnsi="Segoe UI" w:eastAsia="宋体" w:cs="Segoe UI"/>
                <w:b/>
                <w:bCs/>
                <w:i w:val="0"/>
                <w:iCs w:val="0"/>
                <w:caps w:val="0"/>
                <w:color w:val="0F1115"/>
                <w:spacing w:val="0"/>
                <w:sz w:val="19"/>
                <w:szCs w:val="19"/>
                <w:highlight w:val="none"/>
                <w:shd w:val="clear" w:fill="FFFFFF"/>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74" w:hRule="atLeast"/>
        </w:trPr>
        <w:tc>
          <w:tcPr>
            <w:tcW w:w="1134" w:type="dxa"/>
            <w:tcBorders>
              <w:bottom w:val="single" w:color="auto" w:sz="4" w:space="0"/>
            </w:tcBorders>
            <w:vAlign w:val="center"/>
          </w:tcPr>
          <w:p>
            <w:pPr>
              <w:widowControl/>
              <w:spacing w:line="360" w:lineRule="auto"/>
              <w:jc w:val="center"/>
              <w:rPr>
                <w:strike/>
                <w:szCs w:val="21"/>
              </w:rPr>
            </w:pPr>
            <w:r>
              <w:rPr>
                <w:szCs w:val="21"/>
              </w:rPr>
              <w:t>3.5.3</w:t>
            </w:r>
          </w:p>
        </w:tc>
        <w:tc>
          <w:tcPr>
            <w:tcW w:w="2127" w:type="dxa"/>
            <w:tcBorders>
              <w:bottom w:val="single" w:color="auto" w:sz="4" w:space="0"/>
            </w:tcBorders>
            <w:vAlign w:val="center"/>
          </w:tcPr>
          <w:p>
            <w:pPr>
              <w:widowControl/>
              <w:spacing w:line="360" w:lineRule="auto"/>
              <w:jc w:val="center"/>
              <w:rPr>
                <w:szCs w:val="21"/>
              </w:rPr>
            </w:pPr>
            <w:r>
              <w:rPr>
                <w:rFonts w:hint="eastAsia"/>
                <w:szCs w:val="21"/>
              </w:rPr>
              <w:t>近年完成的类似项目情况的时间要求</w:t>
            </w:r>
          </w:p>
        </w:tc>
        <w:tc>
          <w:tcPr>
            <w:tcW w:w="5762" w:type="dxa"/>
            <w:tcBorders>
              <w:bottom w:val="single" w:color="auto" w:sz="4" w:space="0"/>
            </w:tcBorders>
            <w:vAlign w:val="center"/>
          </w:tcPr>
          <w:p>
            <w:pPr>
              <w:widowControl/>
              <w:spacing w:line="360" w:lineRule="auto"/>
              <w:rPr>
                <w:szCs w:val="21"/>
                <w:highlight w:val="none"/>
              </w:rPr>
            </w:pPr>
            <w:r>
              <w:rPr>
                <w:rFonts w:hint="eastAsia"/>
                <w:szCs w:val="21"/>
                <w:highlight w:val="none"/>
              </w:rPr>
              <w:t>_______年___月___日至_______年___月___日</w:t>
            </w:r>
          </w:p>
          <w:p>
            <w:pPr>
              <w:spacing w:line="360" w:lineRule="auto"/>
              <w:rPr>
                <w:rFonts w:hint="default" w:eastAsiaTheme="minorEastAsia"/>
                <w:szCs w:val="21"/>
                <w:lang w:val="en-US" w:eastAsia="zh-CN"/>
              </w:rPr>
            </w:pPr>
            <w:r>
              <w:rPr>
                <w:rFonts w:hint="eastAsia" w:asciiTheme="minorEastAsia" w:hAnsiTheme="minorEastAsia"/>
                <w:b/>
                <w:szCs w:val="21"/>
                <w:highlight w:val="none"/>
              </w:rPr>
              <w:t>【注：综合评估法Ⅰ类</w:t>
            </w:r>
            <w:r>
              <w:rPr>
                <w:rFonts w:hint="eastAsia" w:asciiTheme="minorEastAsia" w:hAnsiTheme="minorEastAsia"/>
                <w:b/>
                <w:szCs w:val="21"/>
                <w:highlight w:val="none"/>
                <w:lang w:val="en-US" w:eastAsia="zh-CN"/>
              </w:rPr>
              <w:t>/</w:t>
            </w:r>
            <w:r>
              <w:rPr>
                <w:rFonts w:hint="eastAsia" w:asciiTheme="minorEastAsia" w:hAnsiTheme="minorEastAsia"/>
                <w:b/>
                <w:szCs w:val="21"/>
                <w:highlight w:val="none"/>
              </w:rPr>
              <w:t>Ⅱ类：指自本招标项目在法定媒介发布招标公告之日（含）的前</w:t>
            </w:r>
            <w:r>
              <w:rPr>
                <w:rFonts w:hint="eastAsia" w:asciiTheme="minorEastAsia" w:hAnsiTheme="minorEastAsia"/>
                <w:b/>
                <w:szCs w:val="21"/>
                <w:highlight w:val="none"/>
                <w:lang w:val="en-US" w:eastAsia="zh-CN"/>
              </w:rPr>
              <w:t>十</w:t>
            </w:r>
            <w:r>
              <w:rPr>
                <w:rFonts w:hint="eastAsia" w:asciiTheme="minorEastAsia" w:hAnsiTheme="minorEastAsia"/>
                <w:b/>
                <w:szCs w:val="21"/>
                <w:highlight w:val="none"/>
              </w:rPr>
              <w:t>年内。</w:t>
            </w:r>
            <w:r>
              <w:rPr>
                <w:rFonts w:hint="eastAsia" w:asciiTheme="minorEastAsia" w:hAnsiTheme="minorEastAsia"/>
                <w:b/>
                <w:szCs w:val="21"/>
                <w:highlight w:val="none"/>
                <w:lang w:val="en-US" w:eastAsia="zh-CN"/>
              </w:rPr>
              <w:t>具体见《第三章 评标办法》</w:t>
            </w:r>
            <w:r>
              <w:rPr>
                <w:rFonts w:hint="eastAsia" w:asciiTheme="minorEastAsia" w:hAnsiTheme="minorEastAsia"/>
                <w:b/>
                <w:szCs w:val="21"/>
                <w:highlight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46" w:hRule="atLeast"/>
        </w:trPr>
        <w:tc>
          <w:tcPr>
            <w:tcW w:w="1134" w:type="dxa"/>
            <w:vAlign w:val="center"/>
          </w:tcPr>
          <w:p>
            <w:pPr>
              <w:widowControl/>
              <w:spacing w:line="360" w:lineRule="auto"/>
              <w:jc w:val="center"/>
              <w:rPr>
                <w:szCs w:val="21"/>
              </w:rPr>
            </w:pPr>
            <w:r>
              <w:rPr>
                <w:szCs w:val="21"/>
              </w:rPr>
              <w:t>3.5.5</w:t>
            </w:r>
          </w:p>
        </w:tc>
        <w:tc>
          <w:tcPr>
            <w:tcW w:w="2127" w:type="dxa"/>
            <w:vAlign w:val="center"/>
          </w:tcPr>
          <w:p>
            <w:pPr>
              <w:widowControl/>
              <w:spacing w:line="360" w:lineRule="auto"/>
              <w:jc w:val="center"/>
              <w:rPr>
                <w:rFonts w:hint="eastAsia"/>
                <w:szCs w:val="21"/>
              </w:rPr>
            </w:pPr>
            <w:r>
              <w:rPr>
                <w:rFonts w:hint="eastAsia"/>
                <w:szCs w:val="21"/>
              </w:rPr>
              <w:t>近年发生的诉讼及</w:t>
            </w:r>
          </w:p>
          <w:p>
            <w:pPr>
              <w:widowControl/>
              <w:spacing w:line="360" w:lineRule="auto"/>
              <w:jc w:val="center"/>
              <w:rPr>
                <w:szCs w:val="21"/>
              </w:rPr>
            </w:pPr>
            <w:r>
              <w:rPr>
                <w:rFonts w:hint="eastAsia"/>
                <w:szCs w:val="21"/>
              </w:rPr>
              <w:t>仲裁情况的时间要求</w:t>
            </w:r>
          </w:p>
        </w:tc>
        <w:tc>
          <w:tcPr>
            <w:tcW w:w="5762" w:type="dxa"/>
            <w:vAlign w:val="center"/>
          </w:tcPr>
          <w:p>
            <w:pPr>
              <w:widowControl/>
              <w:spacing w:line="360" w:lineRule="auto"/>
              <w:rPr>
                <w:szCs w:val="21"/>
                <w:highlight w:val="none"/>
              </w:rPr>
            </w:pPr>
            <w:r>
              <w:rPr>
                <w:rFonts w:hint="eastAsia"/>
                <w:szCs w:val="21"/>
                <w:highlight w:val="none"/>
              </w:rPr>
              <w:t>_______年___月___日至_______年___月___日</w:t>
            </w:r>
          </w:p>
          <w:p>
            <w:pPr>
              <w:widowControl/>
              <w:spacing w:line="360" w:lineRule="auto"/>
              <w:rPr>
                <w:szCs w:val="21"/>
              </w:rPr>
            </w:pPr>
            <w:r>
              <w:rPr>
                <w:rFonts w:hint="eastAsia" w:asciiTheme="minorEastAsia" w:hAnsiTheme="minorEastAsia"/>
                <w:b/>
                <w:szCs w:val="21"/>
                <w:highlight w:val="none"/>
              </w:rPr>
              <w:t>【注：指近3年</w:t>
            </w:r>
            <w:r>
              <w:rPr>
                <w:rFonts w:hint="eastAsia"/>
                <w:b/>
                <w:szCs w:val="21"/>
                <w:highlight w:val="none"/>
              </w:rPr>
              <w:t>发生的诉讼及仲裁情况</w:t>
            </w:r>
            <w:r>
              <w:rPr>
                <w:rFonts w:hint="eastAsia" w:asciiTheme="minorEastAsia" w:hAnsiTheme="minorEastAsia"/>
                <w:b/>
                <w:szCs w:val="21"/>
                <w:highlight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3.6.1</w:t>
            </w:r>
          </w:p>
        </w:tc>
        <w:tc>
          <w:tcPr>
            <w:tcW w:w="2127" w:type="dxa"/>
            <w:vAlign w:val="center"/>
          </w:tcPr>
          <w:p>
            <w:pPr>
              <w:widowControl/>
              <w:spacing w:line="360" w:lineRule="auto"/>
              <w:jc w:val="center"/>
              <w:rPr>
                <w:rFonts w:hint="eastAsia"/>
                <w:szCs w:val="21"/>
              </w:rPr>
            </w:pPr>
            <w:r>
              <w:rPr>
                <w:rFonts w:hint="eastAsia"/>
                <w:szCs w:val="21"/>
              </w:rPr>
              <w:t>是否允许递交</w:t>
            </w:r>
          </w:p>
          <w:p>
            <w:pPr>
              <w:widowControl/>
              <w:spacing w:line="360" w:lineRule="auto"/>
              <w:jc w:val="center"/>
              <w:rPr>
                <w:szCs w:val="21"/>
              </w:rPr>
            </w:pPr>
            <w:r>
              <w:rPr>
                <w:rFonts w:hint="eastAsia"/>
                <w:szCs w:val="21"/>
              </w:rPr>
              <w:t>备选投标方案</w:t>
            </w:r>
          </w:p>
        </w:tc>
        <w:tc>
          <w:tcPr>
            <w:tcW w:w="5762" w:type="dxa"/>
            <w:vAlign w:val="center"/>
          </w:tcPr>
          <w:p>
            <w:pPr>
              <w:widowControl/>
              <w:spacing w:line="360" w:lineRule="auto"/>
              <w:rPr>
                <w:szCs w:val="21"/>
              </w:rPr>
            </w:pPr>
            <w:r>
              <w:rPr>
                <w:rFonts w:hint="eastAsia"/>
                <w:szCs w:val="21"/>
              </w:rPr>
              <w:t>□不允许</w:t>
            </w:r>
          </w:p>
          <w:p>
            <w:pPr>
              <w:widowControl/>
              <w:spacing w:line="360" w:lineRule="auto"/>
              <w:rPr>
                <w:szCs w:val="21"/>
              </w:rPr>
            </w:pPr>
            <w:r>
              <w:rPr>
                <w:rFonts w:hint="eastAsia"/>
                <w:szCs w:val="21"/>
              </w:rPr>
              <w:t>□允许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76" w:hRule="atLeast"/>
        </w:trPr>
        <w:tc>
          <w:tcPr>
            <w:tcW w:w="1134" w:type="dxa"/>
            <w:vAlign w:val="center"/>
          </w:tcPr>
          <w:p>
            <w:pPr>
              <w:widowControl/>
              <w:spacing w:line="360" w:lineRule="auto"/>
              <w:jc w:val="center"/>
              <w:rPr>
                <w:szCs w:val="21"/>
              </w:rPr>
            </w:pPr>
            <w:r>
              <w:rPr>
                <w:rFonts w:hint="eastAsia"/>
                <w:szCs w:val="21"/>
              </w:rPr>
              <w:t>3.7.3</w:t>
            </w:r>
          </w:p>
        </w:tc>
        <w:tc>
          <w:tcPr>
            <w:tcW w:w="2127" w:type="dxa"/>
            <w:vAlign w:val="center"/>
          </w:tcPr>
          <w:p>
            <w:pPr>
              <w:widowControl/>
              <w:spacing w:line="360" w:lineRule="auto"/>
              <w:jc w:val="center"/>
              <w:rPr>
                <w:rFonts w:hint="eastAsia"/>
                <w:szCs w:val="21"/>
              </w:rPr>
            </w:pPr>
            <w:r>
              <w:rPr>
                <w:rFonts w:hint="eastAsia"/>
                <w:szCs w:val="21"/>
              </w:rPr>
              <w:t>投标文件所附</w:t>
            </w:r>
          </w:p>
          <w:p>
            <w:pPr>
              <w:widowControl/>
              <w:spacing w:line="360" w:lineRule="auto"/>
              <w:jc w:val="center"/>
              <w:rPr>
                <w:szCs w:val="21"/>
              </w:rPr>
            </w:pPr>
            <w:r>
              <w:rPr>
                <w:rFonts w:hint="eastAsia"/>
                <w:szCs w:val="21"/>
              </w:rPr>
              <w:t>证书证件要求</w:t>
            </w:r>
          </w:p>
        </w:tc>
        <w:tc>
          <w:tcPr>
            <w:tcW w:w="5762" w:type="dxa"/>
            <w:vAlign w:val="center"/>
          </w:tcPr>
          <w:p>
            <w:pPr>
              <w:widowControl/>
              <w:spacing w:line="360" w:lineRule="auto"/>
              <w:rPr>
                <w:rFonts w:hint="eastAsia" w:eastAsiaTheme="minorEastAsia"/>
                <w:szCs w:val="21"/>
                <w:lang w:val="en-US" w:eastAsia="zh-CN"/>
              </w:rPr>
            </w:pPr>
            <w:r>
              <w:rPr>
                <w:rFonts w:hint="eastAsia"/>
                <w:szCs w:val="21"/>
              </w:rPr>
              <w:t>按招标文件规定形式及</w:t>
            </w:r>
            <w:r>
              <w:rPr>
                <w:rFonts w:hint="eastAsia"/>
                <w:szCs w:val="21"/>
                <w:lang w:val="en-US" w:eastAsia="zh-CN"/>
              </w:rPr>
              <w:t>位置</w:t>
            </w:r>
            <w:r>
              <w:rPr>
                <w:rFonts w:hint="eastAsia"/>
                <w:szCs w:val="21"/>
              </w:rPr>
              <w:t>要求</w:t>
            </w:r>
            <w:r>
              <w:rPr>
                <w:rFonts w:hint="eastAsia"/>
                <w:szCs w:val="21"/>
                <w:lang w:val="en-US" w:eastAsia="zh-CN"/>
              </w:rPr>
              <w:t>提供</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1134" w:type="dxa"/>
            <w:vAlign w:val="center"/>
          </w:tcPr>
          <w:p>
            <w:pPr>
              <w:widowControl/>
              <w:spacing w:line="360" w:lineRule="auto"/>
              <w:jc w:val="center"/>
              <w:rPr>
                <w:szCs w:val="21"/>
              </w:rPr>
            </w:pPr>
            <w:r>
              <w:rPr>
                <w:rFonts w:hint="eastAsia"/>
                <w:szCs w:val="21"/>
              </w:rPr>
              <w:t>3.7.3</w:t>
            </w:r>
          </w:p>
        </w:tc>
        <w:tc>
          <w:tcPr>
            <w:tcW w:w="2127" w:type="dxa"/>
            <w:vAlign w:val="center"/>
          </w:tcPr>
          <w:p>
            <w:pPr>
              <w:widowControl/>
              <w:spacing w:line="360" w:lineRule="auto"/>
              <w:jc w:val="center"/>
              <w:rPr>
                <w:rFonts w:hint="eastAsia"/>
                <w:szCs w:val="21"/>
              </w:rPr>
            </w:pPr>
            <w:r>
              <w:rPr>
                <w:rFonts w:hint="eastAsia"/>
                <w:szCs w:val="21"/>
              </w:rPr>
              <w:t>投标文件签字</w:t>
            </w:r>
          </w:p>
          <w:p>
            <w:pPr>
              <w:widowControl/>
              <w:spacing w:line="360" w:lineRule="auto"/>
              <w:jc w:val="center"/>
              <w:rPr>
                <w:szCs w:val="21"/>
              </w:rPr>
            </w:pPr>
            <w:r>
              <w:rPr>
                <w:rFonts w:hint="eastAsia"/>
                <w:szCs w:val="21"/>
              </w:rPr>
              <w:t>或盖章要求</w:t>
            </w:r>
          </w:p>
        </w:tc>
        <w:tc>
          <w:tcPr>
            <w:tcW w:w="5762" w:type="dxa"/>
            <w:vAlign w:val="center"/>
          </w:tcPr>
          <w:p>
            <w:pPr>
              <w:widowControl/>
              <w:spacing w:line="360" w:lineRule="auto"/>
              <w:rPr>
                <w:rFonts w:hint="eastAsia"/>
                <w:szCs w:val="21"/>
                <w:highlight w:val="none"/>
              </w:rPr>
            </w:pPr>
            <w:r>
              <w:rPr>
                <w:rFonts w:hint="eastAsia"/>
                <w:szCs w:val="21"/>
                <w:highlight w:val="none"/>
              </w:rPr>
              <w:t>按招标文件规定形式及格式要求签字、盖章</w:t>
            </w:r>
          </w:p>
          <w:p>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400" w:firstLineChars="200"/>
              <w:textAlignment w:val="auto"/>
              <w:rPr>
                <w:rFonts w:hint="eastAsia" w:ascii="宋体" w:hAnsi="宋体" w:eastAsia="宋体" w:cs="宋体"/>
                <w:sz w:val="20"/>
                <w:szCs w:val="22"/>
                <w:highlight w:val="none"/>
              </w:rPr>
            </w:pPr>
            <w:r>
              <w:rPr>
                <w:rFonts w:hint="eastAsia" w:ascii="宋体" w:hAnsi="宋体" w:eastAsia="宋体" w:cs="宋体"/>
                <w:sz w:val="20"/>
                <w:szCs w:val="22"/>
                <w:highlight w:val="none"/>
              </w:rPr>
              <w:t>单位公章必须与资质证书、营业执照、安全生产许可证名称一致；</w:t>
            </w:r>
          </w:p>
          <w:p>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400" w:firstLineChars="200"/>
              <w:textAlignment w:val="auto"/>
              <w:rPr>
                <w:rFonts w:hint="eastAsia" w:ascii="宋体" w:hAnsi="宋体" w:eastAsia="宋体" w:cs="宋体"/>
                <w:sz w:val="20"/>
                <w:szCs w:val="22"/>
                <w:highlight w:val="none"/>
              </w:rPr>
            </w:pPr>
            <w:r>
              <w:rPr>
                <w:rFonts w:hint="eastAsia" w:ascii="宋体" w:hAnsi="宋体" w:eastAsia="宋体" w:cs="宋体"/>
                <w:sz w:val="20"/>
                <w:szCs w:val="22"/>
                <w:highlight w:val="none"/>
              </w:rPr>
              <w:t>招标文件中所有要求投标人的法定代表人签名的地方，投标人法定代表人应</w:t>
            </w:r>
            <w:r>
              <w:rPr>
                <w:rFonts w:hint="eastAsia" w:ascii="宋体" w:hAnsi="宋体" w:eastAsia="宋体" w:cs="宋体"/>
                <w:sz w:val="20"/>
                <w:szCs w:val="22"/>
                <w:highlight w:val="none"/>
                <w:lang w:val="en-US" w:eastAsia="zh-CN"/>
              </w:rPr>
              <w:t>以电子姓名章进行</w:t>
            </w:r>
            <w:r>
              <w:rPr>
                <w:rFonts w:hint="eastAsia" w:ascii="宋体" w:hAnsi="宋体" w:eastAsia="宋体" w:cs="宋体"/>
                <w:sz w:val="20"/>
                <w:szCs w:val="22"/>
                <w:highlight w:val="none"/>
              </w:rPr>
              <w:t>电子签名；</w:t>
            </w:r>
          </w:p>
          <w:p>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400" w:firstLineChars="200"/>
              <w:textAlignment w:val="auto"/>
              <w:rPr>
                <w:rFonts w:hint="eastAsia" w:ascii="宋体" w:hAnsi="宋体" w:eastAsia="宋体" w:cs="宋体"/>
                <w:sz w:val="20"/>
                <w:szCs w:val="22"/>
                <w:highlight w:val="none"/>
              </w:rPr>
            </w:pPr>
            <w:r>
              <w:rPr>
                <w:rFonts w:hint="eastAsia" w:ascii="宋体" w:hAnsi="宋体" w:eastAsia="宋体" w:cs="宋体"/>
                <w:sz w:val="20"/>
                <w:szCs w:val="22"/>
                <w:highlight w:val="none"/>
              </w:rPr>
              <w:t>招标文件中所有要求盖章的地方都须加盖投标人单位电子公章（法定名称）；</w:t>
            </w:r>
          </w:p>
          <w:p>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400" w:firstLineChars="200"/>
              <w:textAlignment w:val="auto"/>
              <w:rPr>
                <w:rFonts w:hint="eastAsia" w:ascii="宋体" w:hAnsi="宋体" w:eastAsia="宋体" w:cs="宋体"/>
                <w:sz w:val="20"/>
                <w:szCs w:val="22"/>
                <w:highlight w:val="none"/>
              </w:rPr>
            </w:pPr>
            <w:r>
              <w:rPr>
                <w:rFonts w:hint="eastAsia" w:ascii="宋体" w:hAnsi="宋体" w:eastAsia="宋体" w:cs="宋体"/>
                <w:sz w:val="20"/>
                <w:szCs w:val="22"/>
                <w:highlight w:val="none"/>
              </w:rPr>
              <w:t>以联合体形式投标的，凡招标文件规定投标文件中投标人的法定代表人签字及加盖单位公章的地方，除招标文件有特别要求外，由联合体牵头人的法定代表人电子签名及加盖联合体牵头人单位电子公章（法定名称）即可。</w:t>
            </w:r>
          </w:p>
          <w:p>
            <w:pPr>
              <w:widowControl/>
              <w:spacing w:line="360" w:lineRule="auto"/>
              <w:rPr>
                <w:rFonts w:hint="eastAsia"/>
                <w:szCs w:val="21"/>
                <w:highlight w:val="none"/>
              </w:rPr>
            </w:pPr>
            <w:r>
              <w:rPr>
                <w:rFonts w:hint="eastAsia" w:ascii="宋体" w:hAnsi="宋体" w:eastAsia="宋体" w:cs="宋体"/>
                <w:sz w:val="20"/>
                <w:szCs w:val="22"/>
                <w:highlight w:val="none"/>
              </w:rPr>
              <w:t>其他要求见本文件有关条款。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rFonts w:hint="eastAsia"/>
                <w:szCs w:val="21"/>
              </w:rPr>
              <w:t>4.1.1</w:t>
            </w:r>
          </w:p>
        </w:tc>
        <w:tc>
          <w:tcPr>
            <w:tcW w:w="2127" w:type="dxa"/>
            <w:vAlign w:val="center"/>
          </w:tcPr>
          <w:p>
            <w:pPr>
              <w:widowControl/>
              <w:spacing w:line="360" w:lineRule="auto"/>
              <w:jc w:val="center"/>
              <w:rPr>
                <w:szCs w:val="21"/>
              </w:rPr>
            </w:pPr>
            <w:r>
              <w:rPr>
                <w:rFonts w:hint="eastAsia"/>
                <w:szCs w:val="21"/>
              </w:rPr>
              <w:t>投标文件加密要求</w:t>
            </w:r>
          </w:p>
        </w:tc>
        <w:tc>
          <w:tcPr>
            <w:tcW w:w="5762" w:type="dxa"/>
            <w:vAlign w:val="center"/>
          </w:tcPr>
          <w:p>
            <w:pPr>
              <w:widowControl/>
              <w:spacing w:line="360" w:lineRule="auto"/>
              <w:rPr>
                <w:rFonts w:asciiTheme="minorEastAsia" w:hAnsiTheme="minorEastAsia"/>
                <w:szCs w:val="21"/>
              </w:rPr>
            </w:pPr>
            <w:r>
              <w:rPr>
                <w:rFonts w:hint="eastAsia" w:asciiTheme="minorEastAsia" w:hAnsiTheme="minorEastAsia"/>
                <w:szCs w:val="21"/>
              </w:rPr>
              <w:t>投标人通过下载招标文件的电子招标投标交易平台递交电子投标文件前，按招标文件中规定的内容和格式编式，使用下载招标文件的电子招标投标交易平台编制投标文件，进行</w:t>
            </w:r>
            <w:r>
              <w:rPr>
                <w:rFonts w:hint="eastAsia"/>
                <w:szCs w:val="21"/>
              </w:rPr>
              <w:t>签字、盖章、文件</w:t>
            </w:r>
            <w:r>
              <w:rPr>
                <w:rFonts w:hint="eastAsia" w:asciiTheme="minorEastAsia" w:hAnsiTheme="minorEastAsia"/>
                <w:szCs w:val="21"/>
              </w:rPr>
              <w:t>加密。</w:t>
            </w:r>
          </w:p>
          <w:p>
            <w:pPr>
              <w:widowControl/>
              <w:spacing w:line="360" w:lineRule="auto"/>
              <w:rPr>
                <w:szCs w:val="21"/>
              </w:rPr>
            </w:pPr>
            <w:r>
              <w:rPr>
                <w:rFonts w:hint="eastAsia" w:asciiTheme="minorEastAsia" w:hAnsiTheme="minorEastAsia"/>
                <w:szCs w:val="21"/>
              </w:rPr>
              <w:t>有关电子投标文件编制等软件的使用详见电子招标投标交易平台的相关使用说明或电话咨询（联系电话：</w:t>
            </w:r>
            <w:r>
              <w:rPr>
                <w:rFonts w:hint="eastAsia"/>
                <w:szCs w:val="21"/>
              </w:rPr>
              <w:t>_______</w:t>
            </w:r>
            <w:r>
              <w:rPr>
                <w:rFonts w:hint="eastAsia" w:asciiTheme="minorEastAsia" w:hAnsiTheme="minorEastAsia"/>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4.2.1</w:t>
            </w:r>
          </w:p>
        </w:tc>
        <w:tc>
          <w:tcPr>
            <w:tcW w:w="2127" w:type="dxa"/>
            <w:vAlign w:val="center"/>
          </w:tcPr>
          <w:p>
            <w:pPr>
              <w:widowControl/>
              <w:spacing w:line="360" w:lineRule="auto"/>
              <w:jc w:val="center"/>
              <w:rPr>
                <w:szCs w:val="21"/>
              </w:rPr>
            </w:pPr>
            <w:r>
              <w:rPr>
                <w:rFonts w:hint="eastAsia"/>
                <w:szCs w:val="21"/>
              </w:rPr>
              <w:t>投标截止时间</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4.2.3</w:t>
            </w:r>
          </w:p>
        </w:tc>
        <w:tc>
          <w:tcPr>
            <w:tcW w:w="2127" w:type="dxa"/>
            <w:vAlign w:val="center"/>
          </w:tcPr>
          <w:p>
            <w:pPr>
              <w:widowControl/>
              <w:spacing w:line="360" w:lineRule="auto"/>
              <w:jc w:val="center"/>
              <w:rPr>
                <w:szCs w:val="21"/>
              </w:rPr>
            </w:pPr>
            <w:r>
              <w:rPr>
                <w:rFonts w:hint="eastAsia"/>
                <w:szCs w:val="21"/>
              </w:rPr>
              <w:t>投标文件是否退还</w:t>
            </w:r>
          </w:p>
        </w:tc>
        <w:tc>
          <w:tcPr>
            <w:tcW w:w="5762" w:type="dxa"/>
            <w:vAlign w:val="center"/>
          </w:tcPr>
          <w:p>
            <w:pPr>
              <w:widowControl/>
              <w:spacing w:line="360" w:lineRule="auto"/>
              <w:rPr>
                <w:szCs w:val="21"/>
              </w:rPr>
            </w:pPr>
            <w:r>
              <w:rPr>
                <w:rFonts w:hint="eastAsia"/>
                <w:szCs w:val="21"/>
              </w:rPr>
              <w:t>□否</w:t>
            </w:r>
          </w:p>
          <w:p>
            <w:pPr>
              <w:widowControl/>
              <w:spacing w:line="360" w:lineRule="auto"/>
              <w:rPr>
                <w:szCs w:val="21"/>
              </w:rPr>
            </w:pPr>
            <w:r>
              <w:rPr>
                <w:rFonts w:hint="eastAsia"/>
                <w:szCs w:val="21"/>
              </w:rPr>
              <w:t>□是，退还时间：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6.1.1</w:t>
            </w:r>
          </w:p>
        </w:tc>
        <w:tc>
          <w:tcPr>
            <w:tcW w:w="2127" w:type="dxa"/>
            <w:vAlign w:val="center"/>
          </w:tcPr>
          <w:p>
            <w:pPr>
              <w:widowControl/>
              <w:spacing w:line="360" w:lineRule="auto"/>
              <w:jc w:val="center"/>
              <w:rPr>
                <w:szCs w:val="21"/>
              </w:rPr>
            </w:pPr>
            <w:r>
              <w:rPr>
                <w:rFonts w:hint="eastAsia"/>
                <w:szCs w:val="21"/>
              </w:rPr>
              <w:t>评标委员会的组建</w:t>
            </w:r>
          </w:p>
        </w:tc>
        <w:tc>
          <w:tcPr>
            <w:tcW w:w="5762" w:type="dxa"/>
            <w:vAlign w:val="center"/>
          </w:tcPr>
          <w:p>
            <w:pPr>
              <w:widowControl/>
              <w:spacing w:line="360" w:lineRule="auto"/>
              <w:rPr>
                <w:szCs w:val="21"/>
              </w:rPr>
            </w:pPr>
            <w:r>
              <w:rPr>
                <w:rFonts w:hint="eastAsia"/>
                <w:szCs w:val="21"/>
              </w:rPr>
              <w:t>评标委员会构成：_______人</w:t>
            </w:r>
            <w:r>
              <w:rPr>
                <w:rFonts w:hint="eastAsia"/>
                <w:szCs w:val="21"/>
                <w:lang w:eastAsia="zh-CN"/>
              </w:rPr>
              <w:t>，</w:t>
            </w:r>
            <w:r>
              <w:rPr>
                <w:rFonts w:hint="eastAsia"/>
                <w:szCs w:val="21"/>
              </w:rPr>
              <w:t>其中招标人代表_____人，专家_____人；</w:t>
            </w:r>
          </w:p>
          <w:p>
            <w:pPr>
              <w:widowControl/>
              <w:spacing w:line="360" w:lineRule="auto"/>
              <w:rPr>
                <w:rFonts w:hint="eastAsia"/>
                <w:szCs w:val="21"/>
                <w:highlight w:val="none"/>
              </w:rPr>
            </w:pPr>
            <w:r>
              <w:rPr>
                <w:rFonts w:hint="eastAsia"/>
                <w:szCs w:val="21"/>
                <w:highlight w:val="none"/>
              </w:rPr>
              <w:t>评标专家确定方式：</w:t>
            </w:r>
          </w:p>
          <w:p>
            <w:pPr>
              <w:widowControl/>
              <w:spacing w:line="360" w:lineRule="auto"/>
              <w:rPr>
                <w:rFonts w:hint="eastAsia"/>
                <w:szCs w:val="21"/>
                <w:highlight w:val="none"/>
                <w:lang w:val="en-US" w:eastAsia="zh-CN"/>
              </w:rPr>
            </w:pPr>
            <w:r>
              <w:rPr>
                <w:rFonts w:hint="eastAsia"/>
                <w:szCs w:val="21"/>
                <w:highlight w:val="none"/>
                <w:lang w:val="en-US" w:eastAsia="zh-CN"/>
              </w:rPr>
              <w:t>1.除招标人代表外，其他专家从公共资源交易场所相应评标专家分库中随机抽取产生。</w:t>
            </w:r>
          </w:p>
          <w:p>
            <w:pPr>
              <w:widowControl/>
              <w:spacing w:line="360" w:lineRule="auto"/>
              <w:rPr>
                <w:rFonts w:hint="eastAsia" w:eastAsiaTheme="minorEastAsia"/>
                <w:szCs w:val="21"/>
                <w:lang w:val="en-US" w:eastAsia="zh-CN"/>
              </w:rPr>
            </w:pPr>
            <w:r>
              <w:rPr>
                <w:rFonts w:hint="eastAsia"/>
                <w:szCs w:val="21"/>
                <w:highlight w:val="none"/>
                <w:lang w:val="en-US" w:eastAsia="zh-CN"/>
              </w:rPr>
              <w:t>2.评标由招标人依法组建的评标委员会负责。评标委员会由招标人或其委托的招标代理机构熟悉相关业务的代表，以及有关技术、经济等方面的专家组成，其中技术、经济等方面的专家不得少于成员总数的三分之二。大型水利工程、中型水闸、中小型水库等枢纽工程(包括除险加固)水电站、泵站及其它技术复杂的水利工程，成员人数为七人及以上单数，其他水利工程成员人数为五人及以上单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6.3.2</w:t>
            </w:r>
          </w:p>
        </w:tc>
        <w:tc>
          <w:tcPr>
            <w:tcW w:w="2127" w:type="dxa"/>
            <w:vAlign w:val="center"/>
          </w:tcPr>
          <w:p>
            <w:pPr>
              <w:widowControl/>
              <w:spacing w:line="360" w:lineRule="auto"/>
              <w:jc w:val="center"/>
              <w:rPr>
                <w:szCs w:val="21"/>
              </w:rPr>
            </w:pPr>
            <w:r>
              <w:rPr>
                <w:rFonts w:hint="eastAsia"/>
                <w:szCs w:val="21"/>
              </w:rPr>
              <w:t>评标委员会推荐中标候选人的人数</w:t>
            </w:r>
          </w:p>
        </w:tc>
        <w:tc>
          <w:tcPr>
            <w:tcW w:w="5762" w:type="dxa"/>
            <w:vAlign w:val="center"/>
          </w:tcPr>
          <w:p>
            <w:pPr>
              <w:widowControl/>
              <w:spacing w:line="360" w:lineRule="auto"/>
              <w:rPr>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7.1</w:t>
            </w:r>
          </w:p>
        </w:tc>
        <w:tc>
          <w:tcPr>
            <w:tcW w:w="2127" w:type="dxa"/>
            <w:vAlign w:val="center"/>
          </w:tcPr>
          <w:p>
            <w:pPr>
              <w:widowControl/>
              <w:spacing w:line="360" w:lineRule="auto"/>
              <w:jc w:val="center"/>
              <w:rPr>
                <w:szCs w:val="21"/>
              </w:rPr>
            </w:pPr>
            <w:r>
              <w:rPr>
                <w:rFonts w:hint="eastAsia"/>
                <w:szCs w:val="21"/>
              </w:rPr>
              <w:t>中标候选人公示媒介及期限</w:t>
            </w:r>
          </w:p>
        </w:tc>
        <w:tc>
          <w:tcPr>
            <w:tcW w:w="5762" w:type="dxa"/>
            <w:vAlign w:val="center"/>
          </w:tcPr>
          <w:p>
            <w:pPr>
              <w:widowControl/>
              <w:spacing w:line="360" w:lineRule="auto"/>
              <w:rPr>
                <w:szCs w:val="21"/>
              </w:rPr>
            </w:pPr>
            <w:r>
              <w:rPr>
                <w:rFonts w:hint="eastAsia"/>
                <w:szCs w:val="21"/>
              </w:rPr>
              <w:t>公示媒介：</w:t>
            </w:r>
            <w:r>
              <w:rPr>
                <w:rFonts w:hint="eastAsia"/>
                <w:szCs w:val="21"/>
                <w:u w:val="single"/>
              </w:rPr>
              <w:t>（发布公示的媒介名称、网址）</w:t>
            </w:r>
            <w:r>
              <w:rPr>
                <w:rFonts w:hint="eastAsia"/>
                <w:szCs w:val="21"/>
              </w:rPr>
              <w:t>。</w:t>
            </w:r>
          </w:p>
          <w:p>
            <w:pPr>
              <w:widowControl/>
              <w:spacing w:line="360" w:lineRule="auto"/>
              <w:rPr>
                <w:szCs w:val="21"/>
              </w:rPr>
            </w:pPr>
            <w:r>
              <w:rPr>
                <w:rFonts w:hint="eastAsia"/>
                <w:szCs w:val="21"/>
              </w:rPr>
              <w:t>公示期限：_____日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7.4</w:t>
            </w:r>
          </w:p>
        </w:tc>
        <w:tc>
          <w:tcPr>
            <w:tcW w:w="2127" w:type="dxa"/>
            <w:vAlign w:val="center"/>
          </w:tcPr>
          <w:p>
            <w:pPr>
              <w:widowControl/>
              <w:spacing w:line="360" w:lineRule="auto"/>
              <w:jc w:val="center"/>
              <w:rPr>
                <w:szCs w:val="21"/>
              </w:rPr>
            </w:pPr>
            <w:r>
              <w:rPr>
                <w:rFonts w:hint="eastAsia"/>
                <w:szCs w:val="21"/>
              </w:rPr>
              <w:t>是否授权评标委员会确定中标人</w:t>
            </w:r>
          </w:p>
        </w:tc>
        <w:tc>
          <w:tcPr>
            <w:tcW w:w="5762" w:type="dxa"/>
            <w:vAlign w:val="center"/>
          </w:tcPr>
          <w:p>
            <w:pPr>
              <w:widowControl/>
              <w:spacing w:line="360" w:lineRule="auto"/>
              <w:rPr>
                <w:szCs w:val="21"/>
              </w:rPr>
            </w:pPr>
            <w:r>
              <w:rPr>
                <w:rFonts w:hint="eastAsia"/>
                <w:szCs w:val="21"/>
              </w:rPr>
              <w:t>□是</w:t>
            </w:r>
          </w:p>
          <w:p>
            <w:pPr>
              <w:widowControl/>
              <w:spacing w:line="360" w:lineRule="auto"/>
              <w:rPr>
                <w:szCs w:val="21"/>
              </w:rPr>
            </w:pPr>
            <w:r>
              <w:rPr>
                <w:rFonts w:hint="eastAsia"/>
                <w:szCs w:val="21"/>
              </w:rPr>
              <w:t>□否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highlight w:val="none"/>
              </w:rPr>
            </w:pPr>
            <w:r>
              <w:rPr>
                <w:szCs w:val="21"/>
                <w:highlight w:val="none"/>
              </w:rPr>
              <w:t xml:space="preserve">7.6 </w:t>
            </w:r>
          </w:p>
        </w:tc>
        <w:tc>
          <w:tcPr>
            <w:tcW w:w="2127" w:type="dxa"/>
            <w:vAlign w:val="center"/>
          </w:tcPr>
          <w:p>
            <w:pPr>
              <w:widowControl/>
              <w:spacing w:line="360" w:lineRule="auto"/>
              <w:jc w:val="center"/>
              <w:rPr>
                <w:szCs w:val="21"/>
                <w:highlight w:val="none"/>
              </w:rPr>
            </w:pPr>
            <w:r>
              <w:rPr>
                <w:rFonts w:hint="eastAsia"/>
                <w:szCs w:val="21"/>
                <w:highlight w:val="none"/>
              </w:rPr>
              <w:t>技术成果经济补偿</w:t>
            </w:r>
          </w:p>
        </w:tc>
        <w:tc>
          <w:tcPr>
            <w:tcW w:w="5762" w:type="dxa"/>
            <w:vAlign w:val="center"/>
          </w:tcPr>
          <w:p>
            <w:pPr>
              <w:widowControl/>
              <w:spacing w:line="360" w:lineRule="auto"/>
              <w:rPr>
                <w:szCs w:val="21"/>
                <w:highlight w:val="none"/>
              </w:rPr>
            </w:pPr>
            <w:r>
              <w:rPr>
                <w:rFonts w:hint="eastAsia"/>
                <w:szCs w:val="21"/>
                <w:highlight w:val="none"/>
              </w:rPr>
              <w:t>□不补偿</w:t>
            </w:r>
          </w:p>
          <w:p>
            <w:pPr>
              <w:widowControl/>
              <w:spacing w:line="360" w:lineRule="auto"/>
              <w:rPr>
                <w:szCs w:val="21"/>
                <w:highlight w:val="none"/>
              </w:rPr>
            </w:pPr>
            <w:r>
              <w:rPr>
                <w:rFonts w:hint="eastAsia"/>
                <w:szCs w:val="21"/>
                <w:highlight w:val="none"/>
              </w:rPr>
              <w:t>□补偿，补偿标准__________：</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szCs w:val="21"/>
              </w:rPr>
            </w:pPr>
            <w:r>
              <w:rPr>
                <w:szCs w:val="21"/>
              </w:rPr>
              <w:t>7.</w:t>
            </w:r>
            <w:r>
              <w:rPr>
                <w:rFonts w:hint="eastAsia"/>
                <w:szCs w:val="21"/>
              </w:rPr>
              <w:t>7</w:t>
            </w:r>
            <w:r>
              <w:rPr>
                <w:szCs w:val="21"/>
              </w:rPr>
              <w:t>.1</w:t>
            </w:r>
          </w:p>
        </w:tc>
        <w:tc>
          <w:tcPr>
            <w:tcW w:w="2127" w:type="dxa"/>
            <w:vAlign w:val="center"/>
          </w:tcPr>
          <w:p>
            <w:pPr>
              <w:widowControl/>
              <w:spacing w:line="360" w:lineRule="auto"/>
              <w:jc w:val="center"/>
              <w:rPr>
                <w:szCs w:val="21"/>
              </w:rPr>
            </w:pPr>
            <w:r>
              <w:rPr>
                <w:rFonts w:hint="eastAsia"/>
                <w:szCs w:val="21"/>
              </w:rPr>
              <w:t>履约保证金</w:t>
            </w:r>
          </w:p>
        </w:tc>
        <w:tc>
          <w:tcPr>
            <w:tcW w:w="5762" w:type="dxa"/>
            <w:vAlign w:val="center"/>
          </w:tcPr>
          <w:p>
            <w:pPr>
              <w:widowControl/>
              <w:spacing w:line="360" w:lineRule="auto"/>
              <w:rPr>
                <w:szCs w:val="21"/>
              </w:rPr>
            </w:pPr>
            <w:r>
              <w:rPr>
                <w:rFonts w:hint="eastAsia"/>
                <w:szCs w:val="21"/>
              </w:rPr>
              <w:t>是否要求中标人提交履约保证金：</w:t>
            </w:r>
          </w:p>
          <w:p>
            <w:pPr>
              <w:widowControl/>
              <w:spacing w:line="360" w:lineRule="auto"/>
              <w:rPr>
                <w:szCs w:val="21"/>
              </w:rPr>
            </w:pPr>
            <w:r>
              <w:rPr>
                <w:rFonts w:hint="eastAsia"/>
                <w:szCs w:val="21"/>
              </w:rPr>
              <w:t>□要求，履约保证金的形式：_____</w:t>
            </w:r>
          </w:p>
          <w:p>
            <w:pPr>
              <w:widowControl/>
              <w:spacing w:line="360" w:lineRule="auto"/>
              <w:ind w:firstLine="840" w:firstLineChars="400"/>
              <w:rPr>
                <w:szCs w:val="21"/>
              </w:rPr>
            </w:pPr>
            <w:r>
              <w:rPr>
                <w:rFonts w:hint="eastAsia"/>
                <w:szCs w:val="21"/>
              </w:rPr>
              <w:t>履约保证金的金额：_____</w:t>
            </w:r>
          </w:p>
          <w:p>
            <w:pPr>
              <w:widowControl/>
              <w:spacing w:line="360" w:lineRule="auto"/>
              <w:rPr>
                <w:szCs w:val="21"/>
              </w:rPr>
            </w:pPr>
            <w:r>
              <w:rPr>
                <w:rFonts w:hint="eastAsia"/>
                <w:szCs w:val="21"/>
              </w:rPr>
              <w:t>□不要求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rFonts w:hint="default" w:eastAsiaTheme="minorEastAsia"/>
                <w:szCs w:val="21"/>
                <w:lang w:val="en-US" w:eastAsia="zh-CN"/>
              </w:rPr>
            </w:pPr>
            <w:r>
              <w:rPr>
                <w:rFonts w:hint="eastAsia"/>
                <w:szCs w:val="21"/>
                <w:lang w:val="en-US" w:eastAsia="zh-CN"/>
              </w:rPr>
              <w:t>10</w:t>
            </w:r>
          </w:p>
        </w:tc>
        <w:tc>
          <w:tcPr>
            <w:tcW w:w="7889" w:type="dxa"/>
            <w:gridSpan w:val="2"/>
            <w:vAlign w:val="center"/>
          </w:tcPr>
          <w:p>
            <w:pPr>
              <w:widowControl/>
              <w:spacing w:line="360" w:lineRule="auto"/>
              <w:rPr>
                <w:rFonts w:hint="eastAsia"/>
                <w:szCs w:val="21"/>
              </w:rPr>
            </w:pPr>
            <w:r>
              <w:rPr>
                <w:rFonts w:hint="eastAsia"/>
                <w:szCs w:val="21"/>
              </w:rPr>
              <w:t>需要补充的其他内容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1134" w:type="dxa"/>
            <w:vAlign w:val="center"/>
          </w:tcPr>
          <w:p>
            <w:pPr>
              <w:widowControl/>
              <w:spacing w:line="360" w:lineRule="auto"/>
              <w:jc w:val="center"/>
              <w:rPr>
                <w:rFonts w:hint="default" w:eastAsiaTheme="minorEastAsia"/>
                <w:szCs w:val="21"/>
                <w:lang w:val="en-US" w:eastAsia="zh-CN"/>
              </w:rPr>
            </w:pPr>
            <w:r>
              <w:rPr>
                <w:rFonts w:hint="eastAsia"/>
                <w:szCs w:val="21"/>
                <w:lang w:val="en-US" w:eastAsia="zh-CN"/>
              </w:rPr>
              <w:t>10.1</w:t>
            </w:r>
          </w:p>
        </w:tc>
        <w:tc>
          <w:tcPr>
            <w:tcW w:w="2127" w:type="dxa"/>
            <w:vAlign w:val="center"/>
          </w:tcPr>
          <w:p>
            <w:pPr>
              <w:widowControl/>
              <w:spacing w:line="360" w:lineRule="auto"/>
              <w:jc w:val="center"/>
              <w:rPr>
                <w:szCs w:val="21"/>
              </w:rPr>
            </w:pPr>
            <w:r>
              <w:rPr>
                <w:rFonts w:hint="eastAsia"/>
                <w:color w:val="000000" w:themeColor="text1"/>
                <w:szCs w:val="21"/>
                <w14:textFill>
                  <w14:solidFill>
                    <w14:schemeClr w14:val="tx1"/>
                  </w14:solidFill>
                </w14:textFill>
              </w:rPr>
              <w:t>需要补充的其他内容</w:t>
            </w:r>
          </w:p>
        </w:tc>
        <w:tc>
          <w:tcPr>
            <w:tcW w:w="5762" w:type="dxa"/>
            <w:vAlign w:val="center"/>
          </w:tcPr>
          <w:p>
            <w:pPr>
              <w:widowControl/>
              <w:numPr>
                <w:ilvl w:val="0"/>
                <w:numId w:val="10"/>
              </w:numPr>
              <w:spacing w:line="360" w:lineRule="auto"/>
              <w:rPr>
                <w:rFonts w:hint="eastAsia"/>
                <w:szCs w:val="21"/>
              </w:rPr>
            </w:pPr>
            <w:r>
              <w:rPr>
                <w:rFonts w:hint="eastAsia"/>
                <w:b/>
                <w:szCs w:val="21"/>
              </w:rPr>
              <w:t>类似项目指</w:t>
            </w:r>
            <w:r>
              <w:rPr>
                <w:rFonts w:hint="eastAsia"/>
                <w:b/>
                <w:bCs w:val="0"/>
                <w:szCs w:val="21"/>
              </w:rPr>
              <w:t>：</w:t>
            </w:r>
            <w:r>
              <w:rPr>
                <w:rFonts w:hint="eastAsia"/>
                <w:b/>
                <w:bCs w:val="0"/>
                <w:szCs w:val="21"/>
                <w:lang w:val="en-US" w:eastAsia="zh-CN"/>
              </w:rPr>
              <w:t>工作内容</w:t>
            </w:r>
            <w:r>
              <w:rPr>
                <w:rFonts w:hint="eastAsia"/>
                <w:b/>
                <w:bCs w:val="0"/>
                <w:szCs w:val="21"/>
                <w:u w:val="none"/>
                <w:lang w:val="en-US" w:eastAsia="zh-CN"/>
              </w:rPr>
              <w:t>含□规划、□项目建议书、</w:t>
            </w:r>
            <w:r>
              <w:rPr>
                <w:rFonts w:hint="eastAsia"/>
                <w:b/>
                <w:bCs w:val="0"/>
                <w:szCs w:val="21"/>
                <w:u w:val="none"/>
                <w:lang w:val="en-US" w:eastAsia="zh-CN"/>
              </w:rPr>
              <w:sym w:font="Wingdings 2" w:char="00A3"/>
            </w:r>
            <w:r>
              <w:rPr>
                <w:rFonts w:hint="eastAsia"/>
                <w:b/>
                <w:bCs w:val="0"/>
                <w:szCs w:val="21"/>
                <w:u w:val="none"/>
                <w:lang w:val="en-US" w:eastAsia="zh-CN"/>
              </w:rPr>
              <w:t>可研、□初设、□招标、□施工图阶段、□其他</w:t>
            </w:r>
            <w:r>
              <w:rPr>
                <w:rFonts w:hint="eastAsia"/>
                <w:b/>
                <w:bCs w:val="0"/>
                <w:szCs w:val="21"/>
                <w:u w:val="single"/>
                <w:lang w:val="en-US" w:eastAsia="zh-CN"/>
              </w:rPr>
              <w:t xml:space="preserve">     </w:t>
            </w:r>
            <w:r>
              <w:rPr>
                <w:rFonts w:hint="eastAsia"/>
                <w:b/>
                <w:bCs w:val="0"/>
                <w:szCs w:val="21"/>
                <w:u w:val="none"/>
                <w:lang w:val="en-US" w:eastAsia="zh-CN"/>
              </w:rPr>
              <w:t>，规模等别为：</w:t>
            </w:r>
            <w:r>
              <w:rPr>
                <w:rFonts w:hint="eastAsia"/>
                <w:b/>
                <w:bCs w:val="0"/>
                <w:szCs w:val="21"/>
                <w:u w:val="single"/>
                <w:lang w:val="en-US" w:eastAsia="zh-CN"/>
              </w:rPr>
              <w:t xml:space="preserve">      </w:t>
            </w:r>
            <w:r>
              <w:rPr>
                <w:rFonts w:hint="eastAsia"/>
                <w:b/>
                <w:bCs w:val="0"/>
                <w:szCs w:val="21"/>
                <w:u w:val="none"/>
                <w:lang w:val="en-US" w:eastAsia="zh-CN"/>
              </w:rPr>
              <w:t>，类型为：</w:t>
            </w:r>
            <w:r>
              <w:rPr>
                <w:rFonts w:hint="eastAsia"/>
                <w:b/>
                <w:bCs w:val="0"/>
                <w:szCs w:val="21"/>
                <w:u w:val="single"/>
                <w:lang w:val="en-US" w:eastAsia="zh-CN"/>
              </w:rPr>
              <w:t xml:space="preserve">       </w:t>
            </w:r>
            <w:r>
              <w:rPr>
                <w:rFonts w:hint="eastAsia"/>
                <w:b/>
                <w:bCs w:val="0"/>
                <w:szCs w:val="21"/>
                <w:u w:val="none"/>
                <w:lang w:val="en-US" w:eastAsia="zh-CN"/>
              </w:rPr>
              <w:t>的勘察设计项目。（注：招标人结合附</w:t>
            </w:r>
            <w:r>
              <w:rPr>
                <w:rFonts w:hint="eastAsia"/>
                <w:b/>
                <w:bCs w:val="0"/>
                <w:szCs w:val="21"/>
                <w:highlight w:val="none"/>
                <w:u w:val="none"/>
                <w:lang w:val="en-US" w:eastAsia="zh-CN"/>
              </w:rPr>
              <w:t>表1及招标项目类型确定）</w:t>
            </w:r>
            <w:r>
              <w:rPr>
                <w:rFonts w:hint="eastAsia"/>
                <w:b/>
                <w:bCs w:val="0"/>
                <w:szCs w:val="21"/>
                <w:highlight w:val="none"/>
              </w:rPr>
              <w:t>。</w:t>
            </w:r>
          </w:p>
          <w:p>
            <w:pPr>
              <w:widowControl/>
              <w:numPr>
                <w:ilvl w:val="0"/>
                <w:numId w:val="10"/>
              </w:numPr>
              <w:spacing w:line="360" w:lineRule="auto"/>
              <w:rPr>
                <w:rFonts w:hint="eastAsia"/>
                <w:b/>
                <w:bCs/>
                <w:szCs w:val="21"/>
                <w:u w:val="none"/>
              </w:rPr>
            </w:pPr>
            <w:r>
              <w:rPr>
                <w:rFonts w:hint="eastAsia"/>
                <w:b/>
                <w:bCs/>
                <w:szCs w:val="21"/>
                <w:u w:val="none"/>
              </w:rPr>
              <w:t>招标</w:t>
            </w:r>
            <w:r>
              <w:rPr>
                <w:rFonts w:hint="eastAsia"/>
                <w:b/>
                <w:szCs w:val="21"/>
              </w:rPr>
              <w:t>控制</w:t>
            </w:r>
            <w:r>
              <w:rPr>
                <w:rFonts w:hint="eastAsia"/>
                <w:b/>
                <w:bCs/>
                <w:szCs w:val="21"/>
                <w:u w:val="none"/>
              </w:rPr>
              <w:t>价的下浮率K值的取值范围规定为___%（含本数）～___%（含本数）。K值为取值范围内的任意一个百分数，随机抽取确定。K值的取值范围由招标人在0～8%之间选定，其范围幅度不少于连续3个百分点</w:t>
            </w:r>
          </w:p>
          <w:p>
            <w:pPr>
              <w:widowControl/>
              <w:numPr>
                <w:ilvl w:val="0"/>
                <w:numId w:val="10"/>
              </w:numPr>
              <w:spacing w:line="360" w:lineRule="auto"/>
              <w:rPr>
                <w:b/>
                <w:szCs w:val="21"/>
              </w:rPr>
            </w:pPr>
            <w:r>
              <w:rPr>
                <w:rFonts w:hint="eastAsia"/>
                <w:b/>
                <w:szCs w:val="21"/>
              </w:rPr>
              <w:t>本招标项目开评标程序：</w:t>
            </w:r>
            <w:r>
              <w:rPr>
                <w:rFonts w:hint="eastAsia" w:asciiTheme="minorEastAsia" w:hAnsiTheme="minorEastAsia"/>
                <w:b/>
                <w:szCs w:val="21"/>
              </w:rPr>
              <w:t>①</w:t>
            </w:r>
            <w:r>
              <w:rPr>
                <w:rFonts w:hint="eastAsia"/>
                <w:b/>
                <w:szCs w:val="21"/>
              </w:rPr>
              <w:t>截标、</w:t>
            </w:r>
            <w:r>
              <w:rPr>
                <w:rFonts w:hint="eastAsia" w:asciiTheme="minorEastAsia" w:hAnsiTheme="minorEastAsia"/>
                <w:b/>
                <w:szCs w:val="21"/>
              </w:rPr>
              <w:t>②开标</w:t>
            </w:r>
            <w:r>
              <w:rPr>
                <w:rFonts w:hint="eastAsia"/>
                <w:b/>
                <w:szCs w:val="21"/>
              </w:rPr>
              <w:t>、</w:t>
            </w:r>
            <w:r>
              <w:rPr>
                <w:rFonts w:hint="eastAsia" w:asciiTheme="minorEastAsia" w:hAnsiTheme="minorEastAsia"/>
                <w:b/>
                <w:szCs w:val="21"/>
              </w:rPr>
              <w:t>③</w:t>
            </w:r>
            <w:r>
              <w:rPr>
                <w:rFonts w:hint="eastAsia"/>
                <w:b/>
                <w:szCs w:val="21"/>
              </w:rPr>
              <w:t>确定评标基准价、</w:t>
            </w:r>
            <w:r>
              <w:rPr>
                <w:rFonts w:hint="eastAsia" w:asciiTheme="minorEastAsia" w:hAnsiTheme="minorEastAsia"/>
                <w:b/>
                <w:szCs w:val="21"/>
              </w:rPr>
              <w:t>④</w:t>
            </w:r>
            <w:r>
              <w:rPr>
                <w:rFonts w:hint="eastAsia"/>
                <w:b/>
                <w:szCs w:val="21"/>
              </w:rPr>
              <w:t>初步评审、</w:t>
            </w:r>
            <w:r>
              <w:rPr>
                <w:rFonts w:hint="eastAsia" w:asciiTheme="minorEastAsia" w:hAnsiTheme="minorEastAsia"/>
                <w:b/>
                <w:szCs w:val="21"/>
              </w:rPr>
              <w:t>⑤</w:t>
            </w:r>
            <w:r>
              <w:rPr>
                <w:rFonts w:hint="eastAsia"/>
                <w:b/>
                <w:szCs w:val="21"/>
              </w:rPr>
              <w:t>详细评审、</w:t>
            </w:r>
            <w:r>
              <w:rPr>
                <w:rFonts w:hint="eastAsia" w:asciiTheme="minorEastAsia" w:hAnsiTheme="minorEastAsia"/>
                <w:b/>
                <w:szCs w:val="21"/>
              </w:rPr>
              <w:t>⑥</w:t>
            </w:r>
            <w:r>
              <w:rPr>
                <w:rFonts w:hint="eastAsia"/>
                <w:b/>
                <w:szCs w:val="21"/>
              </w:rPr>
              <w:t>投标文件的澄清、</w:t>
            </w:r>
            <w:r>
              <w:rPr>
                <w:rFonts w:hint="eastAsia" w:asciiTheme="minorEastAsia" w:hAnsiTheme="minorEastAsia"/>
                <w:b/>
                <w:szCs w:val="21"/>
              </w:rPr>
              <w:t>⑦</w:t>
            </w:r>
            <w:r>
              <w:rPr>
                <w:rFonts w:hint="eastAsia"/>
                <w:b/>
                <w:szCs w:val="21"/>
              </w:rPr>
              <w:t>评标结果。</w:t>
            </w:r>
          </w:p>
          <w:p>
            <w:pPr>
              <w:widowControl/>
              <w:numPr>
                <w:ilvl w:val="0"/>
                <w:numId w:val="10"/>
              </w:numPr>
              <w:spacing w:line="360" w:lineRule="auto"/>
              <w:rPr>
                <w:b/>
                <w:color w:val="auto"/>
                <w:szCs w:val="21"/>
              </w:rPr>
            </w:pPr>
            <w:r>
              <w:rPr>
                <w:rFonts w:hint="eastAsia" w:asciiTheme="minorEastAsia" w:hAnsiTheme="minorEastAsia"/>
                <w:b/>
                <w:color w:val="auto"/>
                <w:szCs w:val="21"/>
              </w:rPr>
              <w:t>电子</w:t>
            </w:r>
            <w:r>
              <w:rPr>
                <w:rFonts w:hint="eastAsia"/>
                <w:b/>
                <w:szCs w:val="21"/>
              </w:rPr>
              <w:t>招标</w:t>
            </w:r>
            <w:r>
              <w:rPr>
                <w:rFonts w:hint="eastAsia" w:asciiTheme="minorEastAsia" w:hAnsiTheme="minorEastAsia"/>
                <w:b/>
                <w:color w:val="auto"/>
                <w:szCs w:val="21"/>
              </w:rPr>
              <w:t>投标交易平台应满</w:t>
            </w:r>
            <w:r>
              <w:rPr>
                <w:rFonts w:hint="eastAsia" w:asciiTheme="minorEastAsia" w:hAnsiTheme="minorEastAsia"/>
                <w:b/>
                <w:color w:val="auto"/>
                <w:szCs w:val="21"/>
                <w:lang w:val="en-US" w:eastAsia="zh-CN"/>
              </w:rPr>
              <w:t>具备CA签章</w:t>
            </w:r>
            <w:r>
              <w:rPr>
                <w:rFonts w:hint="eastAsia" w:asciiTheme="minorEastAsia" w:hAnsiTheme="minorEastAsia"/>
                <w:b/>
                <w:color w:val="auto"/>
                <w:szCs w:val="21"/>
              </w:rPr>
              <w:t>功能，若为电子招标投标交易平台原因导致投标人无法正常使用CA，则由电子招标投标交易平台及时提出解决方案；若为投标人原因导致无法正常使用CA，投标人自行承担损失。</w:t>
            </w:r>
          </w:p>
          <w:p>
            <w:pPr>
              <w:widowControl/>
              <w:numPr>
                <w:ilvl w:val="0"/>
                <w:numId w:val="10"/>
              </w:numPr>
              <w:spacing w:line="360" w:lineRule="auto"/>
              <w:rPr>
                <w:rFonts w:asciiTheme="minorEastAsia" w:hAnsiTheme="minorEastAsia"/>
                <w:b/>
                <w:szCs w:val="21"/>
              </w:rPr>
            </w:pPr>
            <w:r>
              <w:rPr>
                <w:rFonts w:hint="eastAsia" w:asciiTheme="minorEastAsia" w:hAnsiTheme="minorEastAsia"/>
                <w:b/>
                <w:szCs w:val="21"/>
              </w:rPr>
              <w:t>开标时，电子招标投标交易平台自动提取所有投标文件，通过现场和远程视频同步提示投标人在线开始解密，并向投标人等直播开标全过程。在解密过程中，当所有投标截止时间前递交的投标文件完成解密后（因投标人原因未在规定时间内解密，视为</w:t>
            </w:r>
            <w:r>
              <w:rPr>
                <w:rFonts w:hint="eastAsia" w:asciiTheme="minorEastAsia" w:hAnsiTheme="minorEastAsia"/>
                <w:b/>
                <w:szCs w:val="21"/>
                <w:lang w:val="en-US" w:eastAsia="zh-Hans"/>
              </w:rPr>
              <w:t>撤销</w:t>
            </w:r>
            <w:r>
              <w:rPr>
                <w:rFonts w:hint="eastAsia" w:asciiTheme="minorEastAsia" w:hAnsiTheme="minorEastAsia"/>
                <w:b/>
                <w:szCs w:val="21"/>
              </w:rPr>
              <w:t>其投标</w:t>
            </w:r>
            <w:r>
              <w:rPr>
                <w:rFonts w:hint="eastAsia" w:asciiTheme="minorEastAsia" w:hAnsiTheme="minorEastAsia"/>
                <w:b/>
                <w:szCs w:val="21"/>
                <w:lang w:val="en-US" w:eastAsia="zh-Hans"/>
              </w:rPr>
              <w:t>文件</w:t>
            </w:r>
            <w:r>
              <w:rPr>
                <w:rFonts w:hint="eastAsia" w:asciiTheme="minorEastAsia" w:hAnsiTheme="minorEastAsia"/>
                <w:b/>
                <w:szCs w:val="21"/>
              </w:rPr>
              <w:t>的除外），且完成解密的投标人达到3家及以上的，方可公布除投标人名称以外的其他有关投标人的具体投标信息。</w:t>
            </w:r>
          </w:p>
          <w:p>
            <w:pPr>
              <w:widowControl/>
              <w:numPr>
                <w:ilvl w:val="0"/>
                <w:numId w:val="10"/>
              </w:numPr>
              <w:spacing w:line="360" w:lineRule="auto"/>
              <w:rPr>
                <w:rFonts w:asciiTheme="minorEastAsia" w:hAnsiTheme="minorEastAsia"/>
                <w:b/>
                <w:szCs w:val="21"/>
              </w:rPr>
            </w:pPr>
            <w:r>
              <w:rPr>
                <w:rFonts w:hint="eastAsia" w:asciiTheme="minorEastAsia" w:hAnsiTheme="minorEastAsia"/>
                <w:b/>
                <w:szCs w:val="21"/>
              </w:rPr>
              <w:t>投标人应在开始解密时间起半个小时内在线进行电子投标文件的解密操作，因投标人原因未在规定时间内解密</w:t>
            </w:r>
            <w:r>
              <w:rPr>
                <w:rFonts w:hint="eastAsia" w:asciiTheme="minorEastAsia" w:hAnsiTheme="minorEastAsia"/>
                <w:b/>
                <w:szCs w:val="21"/>
                <w:lang w:val="en-US" w:eastAsia="zh-Hans"/>
              </w:rPr>
              <w:t>的</w:t>
            </w:r>
            <w:r>
              <w:rPr>
                <w:rFonts w:hint="eastAsia" w:asciiTheme="minorEastAsia" w:hAnsiTheme="minorEastAsia"/>
                <w:b/>
                <w:szCs w:val="21"/>
              </w:rPr>
              <w:t>，视为</w:t>
            </w:r>
            <w:r>
              <w:rPr>
                <w:rFonts w:hint="eastAsia" w:asciiTheme="minorEastAsia" w:hAnsiTheme="minorEastAsia"/>
                <w:b/>
                <w:szCs w:val="21"/>
                <w:lang w:val="en-US" w:eastAsia="zh-Hans"/>
              </w:rPr>
              <w:t>撤销其投标文件</w:t>
            </w:r>
            <w:r>
              <w:rPr>
                <w:rFonts w:hint="eastAsia" w:asciiTheme="minorEastAsia" w:hAnsiTheme="minorEastAsia"/>
                <w:b/>
                <w:szCs w:val="21"/>
              </w:rPr>
              <w:t>。</w:t>
            </w:r>
          </w:p>
          <w:p>
            <w:pPr>
              <w:widowControl/>
              <w:numPr>
                <w:ilvl w:val="0"/>
                <w:numId w:val="10"/>
              </w:numPr>
              <w:spacing w:line="360" w:lineRule="auto"/>
              <w:rPr>
                <w:rFonts w:asciiTheme="minorEastAsia" w:hAnsiTheme="minorEastAsia"/>
                <w:szCs w:val="21"/>
              </w:rPr>
            </w:pPr>
            <w:r>
              <w:rPr>
                <w:rFonts w:hint="eastAsia" w:asciiTheme="minorEastAsia" w:hAnsiTheme="minorEastAsia"/>
                <w:szCs w:val="21"/>
              </w:rPr>
              <w:t>非投标人引起，在开标或评标工作开始后，因停电、网络故障、电子设备或者电子评标系统故障导致无法继续进行开标或评标时，故障可在短时间内解除的（不超过4小时），招标人可以暂停开标或评标工作，待故障解除后继续开标或评标；故障无法在短时间内解除的（超过4小时），招标人应当终止开标或评标，并配合公共资源交易场所、</w:t>
            </w:r>
            <w:r>
              <w:rPr>
                <w:rFonts w:hint="eastAsia" w:ascii="宋体" w:hAnsi="宋体"/>
                <w:szCs w:val="21"/>
                <w:lang w:val="en-US" w:eastAsia="zh-Hans"/>
              </w:rPr>
              <w:t>电子招标投标交易平台</w:t>
            </w:r>
            <w:r>
              <w:rPr>
                <w:rFonts w:hint="eastAsia" w:asciiTheme="minorEastAsia" w:hAnsiTheme="minorEastAsia"/>
                <w:szCs w:val="21"/>
              </w:rPr>
              <w:t>做好招</w:t>
            </w:r>
            <w:r>
              <w:rPr>
                <w:rFonts w:hint="eastAsia" w:asciiTheme="minorEastAsia" w:hAnsiTheme="minorEastAsia"/>
                <w:szCs w:val="21"/>
                <w:lang w:val="en-US" w:eastAsia="zh-Hans"/>
              </w:rPr>
              <w:t>标</w:t>
            </w:r>
            <w:r>
              <w:rPr>
                <w:rFonts w:hint="eastAsia" w:asciiTheme="minorEastAsia" w:hAnsiTheme="minorEastAsia"/>
                <w:szCs w:val="21"/>
              </w:rPr>
              <w:t>投标资料的封存和保密工作，待故障解除后再重新进行开标或重新组建评标委员会进行评标。</w:t>
            </w:r>
          </w:p>
          <w:p>
            <w:pPr>
              <w:widowControl/>
              <w:numPr>
                <w:ilvl w:val="0"/>
                <w:numId w:val="10"/>
              </w:numPr>
              <w:spacing w:line="360" w:lineRule="auto"/>
              <w:rPr>
                <w:rFonts w:asciiTheme="minorEastAsia" w:hAnsiTheme="minorEastAsia"/>
                <w:szCs w:val="21"/>
              </w:rPr>
            </w:pPr>
            <w:r>
              <w:rPr>
                <w:rFonts w:hint="eastAsia" w:asciiTheme="minorEastAsia" w:hAnsiTheme="minorEastAsia"/>
                <w:szCs w:val="21"/>
              </w:rPr>
              <w:t>投标文件解密失败的补救方案：</w:t>
            </w:r>
          </w:p>
          <w:p>
            <w:pPr>
              <w:widowControl/>
              <w:spacing w:line="360" w:lineRule="auto"/>
              <w:rPr>
                <w:rFonts w:asciiTheme="minorEastAsia" w:hAnsiTheme="minorEastAsia"/>
                <w:szCs w:val="21"/>
              </w:rPr>
            </w:pPr>
            <w:r>
              <w:rPr>
                <w:rFonts w:hint="eastAsia" w:asciiTheme="minorEastAsia" w:hAnsiTheme="minorEastAsia"/>
                <w:szCs w:val="21"/>
              </w:rPr>
              <w:t>①若为投标人设备故障或网络故障，则投标人自行更换设备或解决网络问题，投标文件解密失败经补救，仍不成功的，视为</w:t>
            </w:r>
            <w:r>
              <w:rPr>
                <w:rFonts w:hint="eastAsia" w:asciiTheme="minorEastAsia" w:hAnsiTheme="minorEastAsia"/>
                <w:szCs w:val="21"/>
                <w:lang w:val="en-US" w:eastAsia="zh-Hans"/>
              </w:rPr>
              <w:t>撤销</w:t>
            </w:r>
            <w:r>
              <w:rPr>
                <w:rFonts w:hint="eastAsia" w:asciiTheme="minorEastAsia" w:hAnsiTheme="minorEastAsia"/>
                <w:szCs w:val="21"/>
              </w:rPr>
              <w:t>其投标文件，开标继续进行；</w:t>
            </w:r>
          </w:p>
          <w:p>
            <w:pPr>
              <w:widowControl/>
              <w:spacing w:line="360" w:lineRule="auto"/>
              <w:rPr>
                <w:rFonts w:asciiTheme="minorEastAsia" w:hAnsiTheme="minorEastAsia"/>
                <w:szCs w:val="21"/>
              </w:rPr>
            </w:pPr>
            <w:r>
              <w:rPr>
                <w:rFonts w:hint="eastAsia" w:asciiTheme="minorEastAsia" w:hAnsiTheme="minorEastAsia"/>
                <w:szCs w:val="21"/>
              </w:rPr>
              <w:t>②若为招标人原因导致无法正常解密，则由招标人及时提出解决方案；</w:t>
            </w:r>
          </w:p>
          <w:p>
            <w:pPr>
              <w:widowControl/>
              <w:spacing w:line="360" w:lineRule="auto"/>
              <w:rPr>
                <w:rFonts w:asciiTheme="minorEastAsia" w:hAnsiTheme="minorEastAsia"/>
                <w:szCs w:val="21"/>
              </w:rPr>
            </w:pPr>
            <w:r>
              <w:rPr>
                <w:rFonts w:hint="eastAsia" w:asciiTheme="minorEastAsia" w:hAnsiTheme="minorEastAsia"/>
                <w:szCs w:val="21"/>
              </w:rPr>
              <w:t>③若为电子招标投标交易平台原因导致无法正常解密，则由电子招标投标交易平台及时提出解决方案。</w:t>
            </w:r>
          </w:p>
          <w:p>
            <w:pPr>
              <w:widowControl/>
              <w:spacing w:line="360" w:lineRule="auto"/>
              <w:rPr>
                <w:rFonts w:asciiTheme="minorEastAsia" w:hAnsiTheme="minorEastAsia"/>
                <w:b/>
                <w:szCs w:val="21"/>
              </w:rPr>
            </w:pPr>
            <w:r>
              <w:rPr>
                <w:rFonts w:hint="eastAsia" w:asciiTheme="minorEastAsia" w:hAnsiTheme="minorEastAsia"/>
                <w:b/>
                <w:szCs w:val="21"/>
              </w:rPr>
              <w:t>（7）通过评审合格的投标人少于3家（不含3家），评标委员会认为投标明显缺乏竞争的，可以否决全部投标。</w:t>
            </w:r>
          </w:p>
          <w:p>
            <w:pPr>
              <w:widowControl/>
              <w:spacing w:line="360" w:lineRule="auto"/>
              <w:rPr>
                <w:rFonts w:asciiTheme="minorEastAsia" w:hAnsiTheme="minorEastAsia"/>
                <w:szCs w:val="21"/>
              </w:rPr>
            </w:pPr>
            <w:r>
              <w:rPr>
                <w:rFonts w:hint="eastAsia" w:asciiTheme="minorEastAsia" w:hAnsiTheme="minorEastAsia"/>
                <w:szCs w:val="21"/>
              </w:rPr>
              <w:t>（8）中标候选人公示应严格按有关规定执行。涉及业绩的，应公示类似的工程业绩及其评审情况。</w:t>
            </w:r>
          </w:p>
          <w:p>
            <w:pPr>
              <w:widowControl/>
              <w:spacing w:line="360" w:lineRule="auto"/>
              <w:rPr>
                <w:rFonts w:asciiTheme="minorEastAsia" w:hAnsiTheme="minorEastAsia"/>
                <w:szCs w:val="21"/>
              </w:rPr>
            </w:pPr>
            <w:r>
              <w:rPr>
                <w:rFonts w:hint="eastAsia" w:asciiTheme="minorEastAsia" w:hAnsiTheme="minorEastAsia"/>
                <w:szCs w:val="21"/>
              </w:rPr>
              <w:t>（9）中标人应在收到中标通知书后3个工作日内向招标人提供加盖单位公章的投标文件纸质版</w:t>
            </w:r>
            <w:r>
              <w:rPr>
                <w:rFonts w:hint="eastAsia" w:asciiTheme="minorEastAsia" w:hAnsiTheme="minorEastAsia"/>
                <w:szCs w:val="21"/>
                <w:u w:val="single"/>
                <w:lang w:val="en-US" w:eastAsia="zh-CN"/>
              </w:rPr>
              <w:t xml:space="preserve">     </w:t>
            </w:r>
            <w:r>
              <w:rPr>
                <w:rFonts w:hint="eastAsia" w:asciiTheme="minorEastAsia" w:hAnsiTheme="minorEastAsia"/>
                <w:szCs w:val="21"/>
              </w:rPr>
              <w:t>份。当纸质版与电子招标投标交易平台的电子投标文件不一致时，以电子招标投标交易平台中的电子投标文件为准。</w:t>
            </w:r>
          </w:p>
          <w:p>
            <w:pPr>
              <w:widowControl/>
              <w:spacing w:line="360" w:lineRule="auto"/>
              <w:rPr>
                <w:rFonts w:hint="default" w:eastAsiaTheme="minorEastAsia"/>
                <w:szCs w:val="21"/>
                <w:lang w:val="en-US" w:eastAsia="zh-CN"/>
              </w:rPr>
            </w:pPr>
            <w:r>
              <w:rPr>
                <w:rFonts w:hint="eastAsia"/>
                <w:szCs w:val="21"/>
              </w:rPr>
              <w:t>（</w:t>
            </w:r>
            <w:r>
              <w:rPr>
                <w:rFonts w:hint="eastAsia" w:asciiTheme="minorEastAsia" w:hAnsiTheme="minorEastAsia"/>
                <w:szCs w:val="21"/>
              </w:rPr>
              <w:t>10）</w:t>
            </w:r>
            <w:r>
              <w:rPr>
                <w:rFonts w:hint="eastAsia"/>
                <w:szCs w:val="21"/>
              </w:rPr>
              <w:t>其他：</w:t>
            </w:r>
            <w:r>
              <w:rPr>
                <w:rFonts w:hint="eastAsia"/>
                <w:szCs w:val="21"/>
                <w:u w:val="single"/>
                <w:lang w:val="en-US" w:eastAsia="zh-CN"/>
              </w:rPr>
              <w:t xml:space="preserve">        </w:t>
            </w:r>
            <w:r>
              <w:rPr>
                <w:rFonts w:hint="eastAsia"/>
                <w:szCs w:val="21"/>
                <w:u w:val="none"/>
                <w:lang w:val="en-US" w:eastAsia="zh-CN"/>
              </w:rPr>
              <w:t>。</w:t>
            </w:r>
          </w:p>
        </w:tc>
      </w:tr>
    </w:tbl>
    <w:p>
      <w:pPr>
        <w:ind w:firstLine="422" w:firstLineChars="200"/>
        <w:rPr>
          <w:b/>
          <w:bCs/>
        </w:rPr>
      </w:pPr>
      <w:bookmarkStart w:id="593" w:name="_Toc516822992"/>
      <w:bookmarkStart w:id="594" w:name="_Toc511396041"/>
      <w:bookmarkStart w:id="595" w:name="_Toc515440752"/>
      <w:bookmarkStart w:id="596" w:name="_Toc7186478"/>
      <w:r>
        <w:rPr>
          <w:rFonts w:hint="eastAsia"/>
          <w:b/>
          <w:bCs/>
        </w:rPr>
        <w:t>注:招标文件正文文本中的内容与投标人须知前附表内容不一致时，以投标须知前附表内容为准。</w:t>
      </w:r>
    </w:p>
    <w:p>
      <w:pPr>
        <w:rPr>
          <w:rFonts w:eastAsiaTheme="majorEastAsia" w:cstheme="majorBidi"/>
        </w:rPr>
      </w:pPr>
      <w:r>
        <w:br w:type="page"/>
      </w:r>
    </w:p>
    <w:p>
      <w:pPr>
        <w:pStyle w:val="3"/>
        <w:pageBreakBefore w:val="0"/>
        <w:kinsoku/>
        <w:wordWrap/>
        <w:overflowPunct/>
        <w:topLinePunct w:val="0"/>
        <w:autoSpaceDE/>
        <w:autoSpaceDN/>
        <w:bidi w:val="0"/>
        <w:adjustRightInd w:val="0"/>
        <w:snapToGrid w:val="0"/>
        <w:spacing w:before="0" w:after="0" w:line="360" w:lineRule="auto"/>
        <w:ind w:firstLine="422" w:firstLineChars="200"/>
        <w:textAlignment w:val="auto"/>
        <w:rPr>
          <w:rFonts w:hint="eastAsia" w:asciiTheme="majorEastAsia" w:hAnsiTheme="majorEastAsia"/>
          <w:sz w:val="21"/>
          <w:szCs w:val="21"/>
        </w:rPr>
      </w:pPr>
      <w:bookmarkStart w:id="597" w:name="_Toc1943852462"/>
      <w:bookmarkStart w:id="598" w:name="_Toc19353"/>
      <w:bookmarkStart w:id="599" w:name="_Toc1107239584"/>
      <w:bookmarkStart w:id="600" w:name="_Toc15519"/>
      <w:bookmarkStart w:id="601" w:name="_Toc833943304"/>
      <w:bookmarkStart w:id="602" w:name="_Toc1737930806"/>
      <w:bookmarkStart w:id="603" w:name="_Toc1815654235"/>
      <w:bookmarkStart w:id="604" w:name="_Toc1122630606"/>
      <w:bookmarkStart w:id="605" w:name="_Toc1668320698"/>
      <w:bookmarkStart w:id="606" w:name="_Toc20150"/>
      <w:bookmarkStart w:id="607" w:name="_Toc2100694289"/>
      <w:bookmarkStart w:id="608" w:name="_Toc578094264"/>
      <w:bookmarkStart w:id="609" w:name="_Toc14487"/>
      <w:bookmarkStart w:id="610" w:name="_Toc1820737810"/>
      <w:bookmarkStart w:id="611" w:name="_Toc2114715813"/>
      <w:bookmarkStart w:id="612" w:name="_Toc1273879770"/>
      <w:bookmarkStart w:id="613" w:name="_Toc793315859"/>
      <w:bookmarkStart w:id="614" w:name="_Toc32042"/>
      <w:bookmarkStart w:id="615" w:name="_Toc22382"/>
      <w:bookmarkStart w:id="616" w:name="_Toc4889"/>
      <w:bookmarkStart w:id="617" w:name="_Toc1951360975"/>
      <w:bookmarkStart w:id="618" w:name="_Toc6762"/>
      <w:r>
        <w:rPr>
          <w:rFonts w:hint="eastAsia" w:asciiTheme="majorEastAsia" w:hAnsiTheme="majorEastAsia"/>
          <w:sz w:val="21"/>
          <w:szCs w:val="21"/>
        </w:rPr>
        <w:t>1. 总则</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4"/>
        <w:pageBreakBefore w:val="0"/>
        <w:kinsoku/>
        <w:wordWrap/>
        <w:overflowPunct/>
        <w:topLinePunct w:val="0"/>
        <w:autoSpaceDE/>
        <w:autoSpaceDN/>
        <w:bidi w:val="0"/>
        <w:adjustRightInd w:val="0"/>
        <w:snapToGrid w:val="0"/>
        <w:spacing w:before="0" w:after="0" w:line="360" w:lineRule="auto"/>
        <w:ind w:firstLine="422" w:firstLineChars="200"/>
        <w:textAlignment w:val="auto"/>
        <w:rPr>
          <w:rFonts w:asciiTheme="majorEastAsia" w:hAnsiTheme="majorEastAsia" w:eastAsiaTheme="majorEastAsia"/>
          <w:sz w:val="21"/>
          <w:szCs w:val="21"/>
        </w:rPr>
      </w:pPr>
      <w:bookmarkStart w:id="619" w:name="_Toc814276020"/>
      <w:bookmarkStart w:id="620" w:name="_Toc153649841"/>
      <w:bookmarkStart w:id="621" w:name="_Toc1429887033"/>
      <w:bookmarkStart w:id="622" w:name="_Toc516822993"/>
      <w:bookmarkStart w:id="623" w:name="_Toc17572"/>
      <w:bookmarkStart w:id="624" w:name="_Toc1645886567"/>
      <w:bookmarkStart w:id="625" w:name="_Toc32297"/>
      <w:bookmarkStart w:id="626" w:name="_Toc25132"/>
      <w:bookmarkStart w:id="627" w:name="_Toc515440753"/>
      <w:bookmarkStart w:id="628" w:name="_Toc1606830006"/>
      <w:bookmarkStart w:id="629" w:name="_Toc261272500"/>
      <w:bookmarkStart w:id="630" w:name="_Toc22053"/>
      <w:bookmarkStart w:id="631" w:name="_Toc1919476054"/>
      <w:bookmarkStart w:id="632" w:name="_Toc1681161637"/>
      <w:bookmarkStart w:id="633" w:name="_Toc15621"/>
      <w:bookmarkStart w:id="634" w:name="_Toc7186479"/>
      <w:bookmarkStart w:id="635" w:name="_Toc1832817447"/>
      <w:bookmarkStart w:id="636" w:name="_Toc31457"/>
      <w:bookmarkStart w:id="637" w:name="_Toc6559"/>
      <w:bookmarkStart w:id="638" w:name="_Toc659607023"/>
      <w:bookmarkStart w:id="639" w:name="_Toc1174311241"/>
      <w:bookmarkStart w:id="640" w:name="_Toc511396042"/>
      <w:bookmarkStart w:id="641" w:name="_Toc21100"/>
      <w:bookmarkStart w:id="642" w:name="_Toc2105587422"/>
      <w:bookmarkStart w:id="643" w:name="_Toc1737758543"/>
      <w:bookmarkStart w:id="644" w:name="_Toc1477973595"/>
      <w:r>
        <w:rPr>
          <w:rFonts w:hint="eastAsia" w:asciiTheme="majorEastAsia" w:hAnsiTheme="majorEastAsia" w:eastAsiaTheme="majorEastAsia"/>
          <w:sz w:val="21"/>
          <w:szCs w:val="21"/>
        </w:rPr>
        <w:t>1.1 招标项目概况</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1.1.1 根据《中华人民共和国招标投标法》、《中华人民共和国招标投标法实施条例》等有关法律、法规和规章的规定，本招标项目已具备招标条件，现对本项目进行招标。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1.1.2 招标人：见投标人须知前附表。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1.1.3 招标代理机构：见投标人须知前附表。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1.1.4 招标项目名称：见投标人须知前附表。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1.1.5 项目建设地点：见投标人须知前附表。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1.1.6 项目建设规模：见投标人须知前附表。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none"/>
        </w:rPr>
      </w:pPr>
      <w:r>
        <w:rPr>
          <w:rFonts w:hint="eastAsia" w:asciiTheme="minorEastAsia" w:hAnsiTheme="minorEastAsia"/>
          <w:sz w:val="21"/>
          <w:szCs w:val="21"/>
          <w:highlight w:val="none"/>
        </w:rPr>
        <w:t>1.1.7项目投资估算：见投标人须知前附表。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645" w:name="_Toc730233001"/>
      <w:bookmarkStart w:id="646" w:name="_Toc704649747"/>
      <w:bookmarkStart w:id="647" w:name="_Toc4380"/>
      <w:bookmarkStart w:id="648" w:name="_Toc1274311557"/>
      <w:bookmarkStart w:id="649" w:name="_Toc841289480"/>
      <w:bookmarkStart w:id="650" w:name="_Toc1134694344"/>
      <w:bookmarkStart w:id="651" w:name="_Toc29555"/>
      <w:bookmarkStart w:id="652" w:name="_Toc6870"/>
      <w:bookmarkStart w:id="653" w:name="_Toc13053"/>
      <w:bookmarkStart w:id="654" w:name="_Toc1385049817"/>
      <w:bookmarkStart w:id="655" w:name="_Toc1750333032"/>
      <w:bookmarkStart w:id="656" w:name="_Toc358866316"/>
      <w:bookmarkStart w:id="657" w:name="_Toc678674562"/>
      <w:bookmarkStart w:id="658" w:name="_Toc516822994"/>
      <w:bookmarkStart w:id="659" w:name="_Toc7186480"/>
      <w:bookmarkStart w:id="660" w:name="_Toc1771269456"/>
      <w:bookmarkStart w:id="661" w:name="_Toc15891"/>
      <w:bookmarkStart w:id="662" w:name="_Toc511396043"/>
      <w:bookmarkStart w:id="663" w:name="_Toc13689"/>
      <w:bookmarkStart w:id="664" w:name="_Toc9993"/>
      <w:bookmarkStart w:id="665" w:name="_Toc515440754"/>
      <w:bookmarkStart w:id="666" w:name="_Toc1117533993"/>
      <w:bookmarkStart w:id="667" w:name="_Toc8435"/>
      <w:bookmarkStart w:id="668" w:name="_Toc657399161"/>
      <w:bookmarkStart w:id="669" w:name="_Toc224782641"/>
      <w:bookmarkStart w:id="670" w:name="_Toc1769353701"/>
      <w:r>
        <w:rPr>
          <w:rFonts w:hint="eastAsia" w:asciiTheme="majorEastAsia" w:hAnsiTheme="majorEastAsia" w:eastAsiaTheme="majorEastAsia"/>
          <w:sz w:val="21"/>
          <w:szCs w:val="21"/>
        </w:rPr>
        <w:t>1.2 招标项目的资金来源和落实情况</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1.2.1 资金来源及比例：见投标人须知前附表。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1.2.2 资金落实情况：见投标人须知前附表。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671" w:name="_Toc516822995"/>
      <w:bookmarkStart w:id="672" w:name="_Toc16303"/>
      <w:bookmarkStart w:id="673" w:name="_Toc24646"/>
      <w:bookmarkStart w:id="674" w:name="_Toc1332092236"/>
      <w:bookmarkStart w:id="675" w:name="_Toc21170"/>
      <w:bookmarkStart w:id="676" w:name="_Toc30363"/>
      <w:bookmarkStart w:id="677" w:name="_Toc18334"/>
      <w:bookmarkStart w:id="678" w:name="_Toc1321592698"/>
      <w:bookmarkStart w:id="679" w:name="_Toc1957024486"/>
      <w:bookmarkStart w:id="680" w:name="_Toc519958512"/>
      <w:bookmarkStart w:id="681" w:name="_Toc20330"/>
      <w:bookmarkStart w:id="682" w:name="_Toc157005202"/>
      <w:bookmarkStart w:id="683" w:name="_Toc24455"/>
      <w:bookmarkStart w:id="684" w:name="_Toc104335112"/>
      <w:bookmarkStart w:id="685" w:name="_Toc1823468271"/>
      <w:bookmarkStart w:id="686" w:name="_Toc511396044"/>
      <w:bookmarkStart w:id="687" w:name="_Toc501843689"/>
      <w:bookmarkStart w:id="688" w:name="_Toc498112214"/>
      <w:bookmarkStart w:id="689" w:name="_Toc1307432278"/>
      <w:bookmarkStart w:id="690" w:name="_Toc1616272218"/>
      <w:bookmarkStart w:id="691" w:name="_Toc29397"/>
      <w:bookmarkStart w:id="692" w:name="_Toc499926968"/>
      <w:bookmarkStart w:id="693" w:name="_Toc7186481"/>
      <w:bookmarkStart w:id="694" w:name="_Toc1153054248"/>
      <w:bookmarkStart w:id="695" w:name="_Toc1197714317"/>
      <w:bookmarkStart w:id="696" w:name="_Toc515440755"/>
      <w:r>
        <w:rPr>
          <w:rFonts w:hint="eastAsia" w:asciiTheme="majorEastAsia" w:hAnsiTheme="majorEastAsia" w:eastAsiaTheme="majorEastAsia"/>
          <w:sz w:val="21"/>
          <w:szCs w:val="21"/>
        </w:rPr>
        <w:t>1.3 招标范围、服务期限和质量标准</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1.3.1 招标范围：见投标人须知前附表。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1.3.2 服务期限：见投标人须知前附表。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1.3.3 质量标准：见投标人须知前附表。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697" w:name="_Toc30971"/>
      <w:bookmarkStart w:id="698" w:name="_Toc129370969"/>
      <w:bookmarkStart w:id="699" w:name="_Toc11958"/>
      <w:bookmarkStart w:id="700" w:name="_Toc26223"/>
      <w:bookmarkStart w:id="701" w:name="_Toc11310"/>
      <w:bookmarkStart w:id="702" w:name="_Toc11322"/>
      <w:bookmarkStart w:id="703" w:name="_Toc850998750"/>
      <w:bookmarkStart w:id="704" w:name="_Toc585114365"/>
      <w:bookmarkStart w:id="705" w:name="_Toc1620302488"/>
      <w:bookmarkStart w:id="706" w:name="_Toc31494"/>
      <w:bookmarkStart w:id="707" w:name="_Toc1676511498"/>
      <w:bookmarkStart w:id="708" w:name="_Toc831751541"/>
      <w:bookmarkStart w:id="709" w:name="_Toc7186482"/>
      <w:bookmarkStart w:id="710" w:name="_Toc880724692"/>
      <w:bookmarkStart w:id="711" w:name="_Toc511396045"/>
      <w:bookmarkStart w:id="712" w:name="_Toc292104360"/>
      <w:bookmarkStart w:id="713" w:name="_Toc957190477"/>
      <w:bookmarkStart w:id="714" w:name="_Toc1166517023"/>
      <w:bookmarkStart w:id="715" w:name="_Toc961620242"/>
      <w:bookmarkStart w:id="716" w:name="_Toc490315608"/>
      <w:bookmarkStart w:id="717" w:name="_Toc32029"/>
      <w:bookmarkStart w:id="718" w:name="_Toc516822996"/>
      <w:bookmarkStart w:id="719" w:name="_Toc28065"/>
      <w:bookmarkStart w:id="720" w:name="_Toc1213571432"/>
      <w:bookmarkStart w:id="721" w:name="_Toc1316524112"/>
      <w:bookmarkStart w:id="722" w:name="_Toc1318599254"/>
      <w:bookmarkStart w:id="723" w:name="_Toc515440756"/>
      <w:r>
        <w:rPr>
          <w:rFonts w:asciiTheme="majorEastAsia" w:hAnsiTheme="majorEastAsia" w:eastAsiaTheme="majorEastAsia"/>
          <w:sz w:val="21"/>
          <w:szCs w:val="21"/>
        </w:rPr>
        <w:t>1.4</w:t>
      </w:r>
      <w:r>
        <w:rPr>
          <w:rFonts w:hint="eastAsia" w:asciiTheme="majorEastAsia" w:hAnsiTheme="majorEastAsia" w:eastAsiaTheme="majorEastAsia"/>
          <w:sz w:val="21"/>
          <w:szCs w:val="21"/>
        </w:rPr>
        <w:t>投标人资格要求（适用于已进行资格预审的）</w:t>
      </w:r>
      <w:bookmarkEnd w:id="697"/>
      <w:bookmarkEnd w:id="698"/>
      <w:bookmarkEnd w:id="699"/>
      <w:bookmarkEnd w:id="700"/>
      <w:bookmarkEnd w:id="701"/>
      <w:bookmarkEnd w:id="702"/>
    </w:p>
    <w:p>
      <w:pPr>
        <w:pageBreakBefore w:val="0"/>
        <w:widowControl w:val="0"/>
        <w:shd w:val="clear" w:color="auto" w:fill="FFFFFF"/>
        <w:kinsoku/>
        <w:wordWrap/>
        <w:overflowPunct/>
        <w:topLinePunct w:val="0"/>
        <w:autoSpaceDE/>
        <w:autoSpaceDN/>
        <w:bidi w:val="0"/>
        <w:snapToGrid/>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eastAsiaTheme="minorEastAsia" w:cstheme="minorBidi"/>
          <w:kern w:val="2"/>
          <w:sz w:val="21"/>
          <w:szCs w:val="21"/>
        </w:rPr>
        <w:t>投标人应是收到招标人发出投标邀请书的单位。</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724" w:name="_Toc615278674"/>
      <w:bookmarkStart w:id="725" w:name="_Toc608572004"/>
      <w:bookmarkStart w:id="726" w:name="_Toc371118585"/>
      <w:bookmarkStart w:id="727" w:name="_Toc319052104"/>
      <w:bookmarkStart w:id="728" w:name="_Toc482532983"/>
      <w:bookmarkStart w:id="729" w:name="_Toc893271270"/>
      <w:bookmarkStart w:id="730" w:name="_Toc1209605166"/>
      <w:bookmarkStart w:id="731" w:name="_Toc1643914656"/>
      <w:bookmarkStart w:id="732" w:name="_Toc419914252"/>
      <w:bookmarkStart w:id="733" w:name="_Toc1505291927"/>
      <w:bookmarkStart w:id="734" w:name="_Toc511399111"/>
      <w:bookmarkStart w:id="735" w:name="_Toc1944957114"/>
      <w:bookmarkStart w:id="736" w:name="_Toc600551027"/>
      <w:bookmarkStart w:id="737" w:name="_Toc1373476303"/>
      <w:bookmarkStart w:id="738" w:name="_Toc2006150814"/>
      <w:bookmarkStart w:id="739" w:name="_Toc7186231"/>
      <w:bookmarkStart w:id="740" w:name="_Toc117165853"/>
      <w:bookmarkStart w:id="741" w:name="_Toc1078813225"/>
      <w:bookmarkStart w:id="742" w:name="_Toc813935819"/>
      <w:bookmarkStart w:id="743" w:name="_Toc608579788"/>
      <w:bookmarkStart w:id="744" w:name="_Toc19197"/>
      <w:bookmarkStart w:id="745" w:name="_Toc16087"/>
      <w:bookmarkStart w:id="746" w:name="_Toc24077"/>
      <w:bookmarkStart w:id="747" w:name="_Toc14031"/>
      <w:bookmarkStart w:id="748" w:name="_Toc31489"/>
      <w:bookmarkStart w:id="749" w:name="_Toc129370970"/>
      <w:r>
        <w:rPr>
          <w:rFonts w:hint="eastAsia" w:asciiTheme="majorEastAsia" w:hAnsiTheme="majorEastAsia" w:eastAsiaTheme="majorEastAsia"/>
          <w:sz w:val="21"/>
          <w:szCs w:val="21"/>
        </w:rPr>
        <w:t>1.4 投标人资格要求</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Pr>
          <w:rFonts w:hint="eastAsia" w:asciiTheme="majorEastAsia" w:hAnsiTheme="majorEastAsia" w:eastAsiaTheme="majorEastAsia"/>
          <w:sz w:val="21"/>
          <w:szCs w:val="21"/>
        </w:rPr>
        <w:t>（适用于未进行资格预审的）</w:t>
      </w:r>
      <w:bookmarkEnd w:id="744"/>
      <w:bookmarkEnd w:id="745"/>
      <w:bookmarkEnd w:id="746"/>
      <w:bookmarkEnd w:id="747"/>
      <w:bookmarkEnd w:id="748"/>
      <w:bookmarkEnd w:id="749"/>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none"/>
        </w:rPr>
      </w:pPr>
      <w:r>
        <w:rPr>
          <w:rFonts w:hint="eastAsia" w:asciiTheme="minorEastAsia" w:hAnsiTheme="minorEastAsia"/>
          <w:sz w:val="21"/>
          <w:szCs w:val="21"/>
          <w:highlight w:val="none"/>
        </w:rPr>
        <w:t>1.4.1 投标人应具备承担本标段</w:t>
      </w:r>
      <w:r>
        <w:rPr>
          <w:rFonts w:hint="eastAsia" w:asciiTheme="minorEastAsia" w:hAnsiTheme="minorEastAsia"/>
          <w:sz w:val="21"/>
          <w:szCs w:val="21"/>
          <w:highlight w:val="none"/>
          <w:lang w:val="en-US" w:eastAsia="zh-CN"/>
        </w:rPr>
        <w:t>要求</w:t>
      </w:r>
      <w:r>
        <w:rPr>
          <w:rFonts w:hint="eastAsia" w:asciiTheme="minorEastAsia" w:hAnsiTheme="minorEastAsia"/>
          <w:sz w:val="21"/>
          <w:szCs w:val="21"/>
          <w:highlight w:val="none"/>
        </w:rPr>
        <w:t>的资质条件、能力和信誉：</w:t>
      </w:r>
    </w:p>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（1）资质要求：见投标人须知前附表；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（2）财务要求：见投标人须知前附表；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trike w:val="0"/>
          <w:dstrike w:val="0"/>
          <w:sz w:val="21"/>
          <w:szCs w:val="21"/>
          <w:highlight w:val="none"/>
        </w:rPr>
      </w:pPr>
      <w:r>
        <w:rPr>
          <w:rFonts w:hint="eastAsia" w:asciiTheme="minorEastAsia" w:hAnsiTheme="minorEastAsia"/>
          <w:strike w:val="0"/>
          <w:dstrike w:val="0"/>
          <w:sz w:val="21"/>
          <w:szCs w:val="21"/>
          <w:highlight w:val="none"/>
        </w:rPr>
        <w:t>（3）</w:t>
      </w:r>
      <w:r>
        <w:rPr>
          <w:rFonts w:hint="eastAsia" w:asciiTheme="minorEastAsia" w:hAnsiTheme="minorEastAsia"/>
          <w:strike w:val="0"/>
          <w:sz w:val="21"/>
          <w:szCs w:val="21"/>
          <w:highlight w:val="none"/>
        </w:rPr>
        <w:t>信誉要求：见投标人须知前附表；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trike w:val="0"/>
          <w:sz w:val="21"/>
          <w:szCs w:val="21"/>
          <w:highlight w:val="none"/>
        </w:rPr>
      </w:pPr>
      <w:r>
        <w:rPr>
          <w:rFonts w:hint="eastAsia" w:asciiTheme="minorEastAsia" w:hAnsiTheme="minorEastAsia"/>
          <w:strike w:val="0"/>
          <w:sz w:val="21"/>
          <w:szCs w:val="21"/>
          <w:highlight w:val="none"/>
        </w:rPr>
        <w:t>（4）其他主要人员要求：见投标人须知前附表；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trike w:val="0"/>
          <w:sz w:val="21"/>
          <w:szCs w:val="21"/>
        </w:rPr>
      </w:pPr>
      <w:r>
        <w:rPr>
          <w:rFonts w:hint="eastAsia" w:asciiTheme="minorEastAsia" w:hAnsiTheme="minorEastAsia"/>
          <w:strike w:val="0"/>
          <w:dstrike w:val="0"/>
          <w:sz w:val="21"/>
          <w:szCs w:val="21"/>
          <w:highlight w:val="none"/>
        </w:rPr>
        <w:t>（5）</w:t>
      </w:r>
      <w:r>
        <w:rPr>
          <w:rFonts w:hint="eastAsia" w:asciiTheme="minorEastAsia" w:hAnsiTheme="minorEastAsia"/>
          <w:strike w:val="0"/>
          <w:sz w:val="21"/>
          <w:szCs w:val="21"/>
          <w:highlight w:val="none"/>
        </w:rPr>
        <w:t>其他要求：见投标人须知前附</w:t>
      </w:r>
      <w:r>
        <w:rPr>
          <w:rFonts w:hint="eastAsia" w:asciiTheme="minorEastAsia" w:hAnsiTheme="minorEastAsia"/>
          <w:strike w:val="0"/>
          <w:sz w:val="21"/>
          <w:szCs w:val="21"/>
        </w:rPr>
        <w:t>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需要提交的相关证明材料见本章第3.5款的规定。</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1.4.2 投标人须知前附表规定接受联合体投标的，联合体除应符合本章第1.4.1项和投标人须知前附表的要求外，还应遵守以下规定：</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（1）联合体各方应按招标文件提供的格式签订联合体协议书，明确联合体牵头人和各方权利义务，并承诺就中标项目向招标人承担连带责任；</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（2）由同一专业的单位组成的联合体，按照资质等级较低的单位确定资质等级；</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（3）联合体各方不得再以自己名义单独或参加其他联合体在本招标项目中投标，否则各相关投标均无效。</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asciiTheme="minorEastAsia" w:hAnsiTheme="minorEastAsia"/>
          <w:b/>
          <w:sz w:val="21"/>
          <w:szCs w:val="21"/>
        </w:rPr>
      </w:pPr>
      <w:r>
        <w:rPr>
          <w:rFonts w:hint="eastAsia" w:asciiTheme="minorEastAsia" w:hAnsiTheme="minorEastAsia"/>
          <w:b/>
          <w:sz w:val="21"/>
          <w:szCs w:val="21"/>
        </w:rPr>
        <w:t>1.4.3 投标人不得存在下列情形之一：</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bookmarkStart w:id="750" w:name="_Toc8335"/>
      <w:bookmarkStart w:id="751" w:name="_Toc1273392098"/>
      <w:bookmarkStart w:id="752" w:name="_Toc250361478"/>
      <w:bookmarkStart w:id="753" w:name="_Toc183788209"/>
      <w:bookmarkStart w:id="754" w:name="_Toc17580"/>
      <w:bookmarkStart w:id="755" w:name="_Toc515440757"/>
      <w:bookmarkStart w:id="756" w:name="_Toc13370"/>
      <w:bookmarkStart w:id="757" w:name="_Toc494902230"/>
      <w:bookmarkStart w:id="758" w:name="_Toc689512942"/>
      <w:bookmarkStart w:id="759" w:name="_Toc1882603320"/>
      <w:bookmarkStart w:id="760" w:name="_Toc1842862065"/>
      <w:bookmarkStart w:id="761" w:name="_Toc700347262"/>
      <w:bookmarkStart w:id="762" w:name="_Toc516822997"/>
      <w:bookmarkStart w:id="763" w:name="_Toc1296735343"/>
      <w:bookmarkStart w:id="764" w:name="_Toc2136963619"/>
      <w:bookmarkStart w:id="765" w:name="_Toc7186483"/>
      <w:bookmarkStart w:id="766" w:name="_Toc1813908585"/>
      <w:bookmarkStart w:id="767" w:name="_Toc9994"/>
      <w:bookmarkStart w:id="768" w:name="_Toc31855"/>
      <w:bookmarkStart w:id="769" w:name="_Toc10162"/>
      <w:bookmarkStart w:id="770" w:name="_Toc3868"/>
      <w:bookmarkStart w:id="771" w:name="_Toc511396046"/>
      <w:bookmarkStart w:id="772" w:name="_Toc2143298246"/>
      <w:bookmarkStart w:id="773" w:name="_Toc839670117"/>
      <w:bookmarkStart w:id="774" w:name="_Toc1277091264"/>
      <w:r>
        <w:rPr>
          <w:rFonts w:hint="eastAsia" w:asciiTheme="minorEastAsia" w:hAnsiTheme="minorEastAsia"/>
          <w:b/>
          <w:bCs/>
          <w:sz w:val="21"/>
          <w:szCs w:val="21"/>
        </w:rPr>
        <w:t>（1）为招标人不具有独立法人资格的附属机构（单位）；</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（2）与招标人存在利害关系且可能影响招标公正性；</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（3）为本招标项目（标段）的前期准备提供设计或咨询服务，但设计施工总承包的除外；</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（4）与本招标项目（标段）的其他投标人为同一个单位负责人；</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（5）与本招标项目（标段）的其他投标人存在控股、管理关系；</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（6）为本招标项目（标段）的监理人；</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（7）为本招标项目（标段）的代建人；</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（8）为本招标项目（标段）的招标代理机构；</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（9）与本招标项目（标段）的监理人或代建人或招标代理机构同为一个法定代表人；</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（10）与本招标项目（标段）的监理人或代建人或招标代理机构存在相互控股或参股关系；</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（11）被依法暂停或者取消投标资格；</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（12）被责令停产停业、暂扣或者吊销许可证、暂扣或者吊销执照；</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（13）财产被司法机关接管或冻结且导致中标后合同无法履行；</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（14）进入清算程序，或被宣告破产，或其他丧失履约能力的情形；</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（15）在最近三年内有骗取中标或严重违约或重大工程质量问题的（以相关行业主管部门的行政处罚决定或司法机关出具的有关法律文书为准）；</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（16）被市场监督管理机关在全国企业信用信息公示系统中列入“经营异常名录”和“严重违法失信名单”；</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（17）被最高人民法院在“信用中国”网站（www.creditchina.gov.cn）或各级信用信息共享平台中列入失信被执行人名单；</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（18）在近三年内投标人或其法定代表人、拟委任的项目负责人有行贿犯罪行为的（以“信用中国”、“裁判文书网”的查询结果为准）；</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（19）因拖欠工人工资或者发生质量安全事故被相关行业主管部门限制承接工程的（以相关行业主管部门的行政处罚决定或司法机关出具的有关法律文书为准）；</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hint="eastAsia" w:asciiTheme="minorEastAsia" w:hAnsiTheme="minorEastAsia"/>
          <w:b/>
          <w:bCs/>
          <w:sz w:val="21"/>
          <w:szCs w:val="21"/>
        </w:rPr>
      </w:pPr>
      <w:r>
        <w:rPr>
          <w:rFonts w:hint="eastAsia" w:asciiTheme="minorEastAsia" w:hAnsiTheme="minorEastAsia"/>
          <w:b/>
          <w:bCs/>
          <w:sz w:val="21"/>
          <w:szCs w:val="21"/>
        </w:rPr>
        <w:t>（20）法律法规或投标人须知前附表规定的其他情形。</w:t>
      </w:r>
    </w:p>
    <w:p>
      <w:pPr>
        <w:pStyle w:val="4"/>
        <w:pageBreakBefore w:val="0"/>
        <w:kinsoku/>
        <w:wordWrap/>
        <w:overflowPunct/>
        <w:topLinePunct w:val="0"/>
        <w:autoSpaceDE/>
        <w:autoSpaceDN/>
        <w:bidi w:val="0"/>
        <w:adjustRightInd w:val="0"/>
        <w:snapToGrid w:val="0"/>
        <w:spacing w:before="0" w:after="0" w:line="360" w:lineRule="auto"/>
        <w:textAlignment w:val="auto"/>
        <w:rPr>
          <w:rFonts w:hint="eastAsia" w:asciiTheme="majorEastAsia" w:hAnsiTheme="majorEastAsia" w:eastAsiaTheme="majorEastAsia"/>
          <w:sz w:val="21"/>
          <w:szCs w:val="21"/>
        </w:rPr>
      </w:pPr>
      <w:bookmarkStart w:id="775" w:name="_Toc25717"/>
      <w:r>
        <w:rPr>
          <w:rFonts w:hint="eastAsia" w:asciiTheme="majorEastAsia" w:hAnsiTheme="majorEastAsia" w:eastAsiaTheme="majorEastAsia"/>
          <w:sz w:val="21"/>
          <w:szCs w:val="21"/>
        </w:rPr>
        <w:t>1.5 费用承担</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投标人准备和参加投标活动发生的费用自理。</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776" w:name="_Toc822256982"/>
      <w:bookmarkStart w:id="777" w:name="_Toc32638"/>
      <w:bookmarkStart w:id="778" w:name="_Toc522925744"/>
      <w:bookmarkStart w:id="779" w:name="_Toc19784"/>
      <w:bookmarkStart w:id="780" w:name="_Toc1220611982"/>
      <w:bookmarkStart w:id="781" w:name="_Toc11896"/>
      <w:bookmarkStart w:id="782" w:name="_Toc904896273"/>
      <w:bookmarkStart w:id="783" w:name="_Toc1973569421"/>
      <w:bookmarkStart w:id="784" w:name="_Toc2037427989"/>
      <w:bookmarkStart w:id="785" w:name="_Toc683735283"/>
      <w:bookmarkStart w:id="786" w:name="_Toc617614779"/>
      <w:bookmarkStart w:id="787" w:name="_Toc6408"/>
      <w:bookmarkStart w:id="788" w:name="_Toc516822998"/>
      <w:bookmarkStart w:id="789" w:name="_Toc30604"/>
      <w:bookmarkStart w:id="790" w:name="_Toc1431032105"/>
      <w:bookmarkStart w:id="791" w:name="_Toc2121305930"/>
      <w:bookmarkStart w:id="792" w:name="_Toc511396047"/>
      <w:bookmarkStart w:id="793" w:name="_Toc5281"/>
      <w:bookmarkStart w:id="794" w:name="_Toc378563227"/>
      <w:bookmarkStart w:id="795" w:name="_Toc515440758"/>
      <w:bookmarkStart w:id="796" w:name="_Toc78965084"/>
      <w:bookmarkStart w:id="797" w:name="_Toc57"/>
      <w:bookmarkStart w:id="798" w:name="_Toc1566860045"/>
      <w:bookmarkStart w:id="799" w:name="_Toc7186484"/>
      <w:bookmarkStart w:id="800" w:name="_Toc846944277"/>
      <w:bookmarkStart w:id="801" w:name="_Toc26913"/>
      <w:r>
        <w:rPr>
          <w:rFonts w:hint="eastAsia" w:asciiTheme="majorEastAsia" w:hAnsiTheme="majorEastAsia" w:eastAsiaTheme="majorEastAsia"/>
          <w:sz w:val="21"/>
          <w:szCs w:val="21"/>
        </w:rPr>
        <w:t>1.6 保密</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参与招标投标活动的各方应对招标文件和投标文件中的商业和技术等秘密保密，否则应承担相应的法律责任。</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802" w:name="_Toc112472257"/>
      <w:bookmarkStart w:id="803" w:name="_Toc7186485"/>
      <w:bookmarkStart w:id="804" w:name="_Toc25066"/>
      <w:bookmarkStart w:id="805" w:name="_Toc265258016"/>
      <w:bookmarkStart w:id="806" w:name="_Toc1772296801"/>
      <w:bookmarkStart w:id="807" w:name="_Toc353906284"/>
      <w:bookmarkStart w:id="808" w:name="_Toc15562"/>
      <w:bookmarkStart w:id="809" w:name="_Toc515440759"/>
      <w:bookmarkStart w:id="810" w:name="_Toc21272942"/>
      <w:bookmarkStart w:id="811" w:name="_Toc25520"/>
      <w:bookmarkStart w:id="812" w:name="_Toc615828029"/>
      <w:bookmarkStart w:id="813" w:name="_Toc1425459708"/>
      <w:bookmarkStart w:id="814" w:name="_Toc1665593775"/>
      <w:bookmarkStart w:id="815" w:name="_Toc12645"/>
      <w:bookmarkStart w:id="816" w:name="_Toc1309895884"/>
      <w:bookmarkStart w:id="817" w:name="_Toc516822999"/>
      <w:bookmarkStart w:id="818" w:name="_Toc1070851223"/>
      <w:bookmarkStart w:id="819" w:name="_Toc2061785330"/>
      <w:bookmarkStart w:id="820" w:name="_Toc31483"/>
      <w:bookmarkStart w:id="821" w:name="_Toc1463124702"/>
      <w:bookmarkStart w:id="822" w:name="_Toc1896330832"/>
      <w:bookmarkStart w:id="823" w:name="_Toc1687225982"/>
      <w:bookmarkStart w:id="824" w:name="_Toc27779"/>
      <w:bookmarkStart w:id="825" w:name="_Toc11345"/>
      <w:bookmarkStart w:id="826" w:name="_Toc511396048"/>
      <w:bookmarkStart w:id="827" w:name="_Toc21495"/>
      <w:r>
        <w:rPr>
          <w:rFonts w:hint="eastAsia" w:asciiTheme="majorEastAsia" w:hAnsiTheme="majorEastAsia" w:eastAsiaTheme="majorEastAsia"/>
          <w:sz w:val="21"/>
          <w:szCs w:val="21"/>
        </w:rPr>
        <w:t>1.7 语言文字</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招标投标文件使用的语言文字为中文。专用术语使用外文的，应附有中文注释。</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828" w:name="_Toc827488297"/>
      <w:bookmarkStart w:id="829" w:name="_Toc29405"/>
      <w:bookmarkStart w:id="830" w:name="_Toc516823000"/>
      <w:bookmarkStart w:id="831" w:name="_Toc1497988510"/>
      <w:bookmarkStart w:id="832" w:name="_Toc1185237780"/>
      <w:bookmarkStart w:id="833" w:name="_Toc1565256991"/>
      <w:bookmarkStart w:id="834" w:name="_Toc1883543101"/>
      <w:bookmarkStart w:id="835" w:name="_Toc629913318"/>
      <w:bookmarkStart w:id="836" w:name="_Toc7884"/>
      <w:bookmarkStart w:id="837" w:name="_Toc1052050792"/>
      <w:bookmarkStart w:id="838" w:name="_Toc7186486"/>
      <w:bookmarkStart w:id="839" w:name="_Toc2049108364"/>
      <w:bookmarkStart w:id="840" w:name="_Toc535614039"/>
      <w:bookmarkStart w:id="841" w:name="_Toc27008"/>
      <w:bookmarkStart w:id="842" w:name="_Toc511396049"/>
      <w:bookmarkStart w:id="843" w:name="_Toc22451"/>
      <w:bookmarkStart w:id="844" w:name="_Toc20864"/>
      <w:bookmarkStart w:id="845" w:name="_Toc515440760"/>
      <w:bookmarkStart w:id="846" w:name="_Toc373746424"/>
      <w:bookmarkStart w:id="847" w:name="_Toc1833004486"/>
      <w:bookmarkStart w:id="848" w:name="_Toc983"/>
      <w:bookmarkStart w:id="849" w:name="_Toc15423740"/>
      <w:bookmarkStart w:id="850" w:name="_Toc438"/>
      <w:bookmarkStart w:id="851" w:name="_Toc1394150517"/>
      <w:bookmarkStart w:id="852" w:name="_Toc15010"/>
      <w:bookmarkStart w:id="853" w:name="_Toc1720696645"/>
      <w:r>
        <w:rPr>
          <w:rFonts w:hint="eastAsia" w:asciiTheme="majorEastAsia" w:hAnsiTheme="majorEastAsia" w:eastAsiaTheme="majorEastAsia"/>
          <w:sz w:val="21"/>
          <w:szCs w:val="21"/>
        </w:rPr>
        <w:t>1.8 计量单位</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所有计量均采用中华人民共和国法定计量单位。</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854" w:name="_Toc293666802"/>
      <w:bookmarkStart w:id="855" w:name="_Toc1653479987"/>
      <w:bookmarkStart w:id="856" w:name="_Toc26352"/>
      <w:bookmarkStart w:id="857" w:name="_Toc2006239563"/>
      <w:bookmarkStart w:id="858" w:name="_Toc21055"/>
      <w:bookmarkStart w:id="859" w:name="_Toc515440761"/>
      <w:bookmarkStart w:id="860" w:name="_Toc166480693"/>
      <w:bookmarkStart w:id="861" w:name="_Toc233058888"/>
      <w:bookmarkStart w:id="862" w:name="_Toc1961188896"/>
      <w:bookmarkStart w:id="863" w:name="_Toc652458080"/>
      <w:bookmarkStart w:id="864" w:name="_Toc1584795393"/>
      <w:bookmarkStart w:id="865" w:name="_Toc7186487"/>
      <w:bookmarkStart w:id="866" w:name="_Toc27286"/>
      <w:bookmarkStart w:id="867" w:name="_Toc16731"/>
      <w:bookmarkStart w:id="868" w:name="_Toc599571987"/>
      <w:bookmarkStart w:id="869" w:name="_Toc491709707"/>
      <w:bookmarkStart w:id="870" w:name="_Toc20715"/>
      <w:bookmarkStart w:id="871" w:name="_Toc235"/>
      <w:bookmarkStart w:id="872" w:name="_Toc29696"/>
      <w:bookmarkStart w:id="873" w:name="_Toc511396050"/>
      <w:bookmarkStart w:id="874" w:name="_Toc1528760540"/>
      <w:bookmarkStart w:id="875" w:name="_Toc516823001"/>
      <w:bookmarkStart w:id="876" w:name="_Toc1742093789"/>
      <w:bookmarkStart w:id="877" w:name="_Toc169026809"/>
      <w:bookmarkStart w:id="878" w:name="_Toc1733722013"/>
      <w:bookmarkStart w:id="879" w:name="_Toc29892"/>
      <w:r>
        <w:rPr>
          <w:rFonts w:hint="eastAsia" w:asciiTheme="majorEastAsia" w:hAnsiTheme="majorEastAsia" w:eastAsiaTheme="majorEastAsia"/>
          <w:sz w:val="21"/>
          <w:szCs w:val="21"/>
        </w:rPr>
        <w:t>1.9 踏勘现场</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1.9.1 投标人须知前附表规定组织踏勘现场的，招标人按投标人须知前附表规定的时间、地点组织投标人踏勘项目现场。部分投标人未按时参加踏勘现场的，不影响踏勘现场的正常进行。</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1.9.2 投标人踏勘现场发生的费用自理。</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1.9.3 除招标人的原因外，投标人自行负责在踏勘现场中所发生的人员伤亡和财产损失。</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1.9.4 招标人在踏勘现场中介绍的工程场地和相关的周边环境情况，供投标人在编制投标文件时参考，招标人不对投标人据此作出的判断和决策负责。</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880" w:name="_Toc950"/>
      <w:bookmarkStart w:id="881" w:name="_Toc1384043072"/>
      <w:bookmarkStart w:id="882" w:name="_Toc1227593794"/>
      <w:bookmarkStart w:id="883" w:name="_Toc2122760916"/>
      <w:bookmarkStart w:id="884" w:name="_Toc511396051"/>
      <w:bookmarkStart w:id="885" w:name="_Toc21996"/>
      <w:bookmarkStart w:id="886" w:name="_Toc32603"/>
      <w:bookmarkStart w:id="887" w:name="_Toc10558488"/>
      <w:bookmarkStart w:id="888" w:name="_Toc1607749995"/>
      <w:bookmarkStart w:id="889" w:name="_Toc2017298857"/>
      <w:bookmarkStart w:id="890" w:name="_Toc515440762"/>
      <w:bookmarkStart w:id="891" w:name="_Toc1013113785"/>
      <w:bookmarkStart w:id="892" w:name="_Toc1599749329"/>
      <w:bookmarkStart w:id="893" w:name="_Toc19506"/>
      <w:bookmarkStart w:id="894" w:name="_Toc1225"/>
      <w:bookmarkStart w:id="895" w:name="_Toc811448978"/>
      <w:bookmarkStart w:id="896" w:name="_Toc740520408"/>
      <w:bookmarkStart w:id="897" w:name="_Toc516823002"/>
      <w:bookmarkStart w:id="898" w:name="_Toc1860197529"/>
      <w:bookmarkStart w:id="899" w:name="_Toc4884"/>
      <w:bookmarkStart w:id="900" w:name="_Toc5986"/>
      <w:bookmarkStart w:id="901" w:name="_Toc647971893"/>
      <w:bookmarkStart w:id="902" w:name="_Toc7186488"/>
      <w:bookmarkStart w:id="903" w:name="_Toc578268525"/>
      <w:bookmarkStart w:id="904" w:name="_Toc11673"/>
      <w:bookmarkStart w:id="905" w:name="_Toc416496410"/>
      <w:r>
        <w:rPr>
          <w:rFonts w:hint="eastAsia" w:asciiTheme="majorEastAsia" w:hAnsiTheme="majorEastAsia" w:eastAsiaTheme="majorEastAsia"/>
          <w:sz w:val="21"/>
          <w:szCs w:val="21"/>
        </w:rPr>
        <w:t>1.10 投标预备会</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1.10.1 投标人须知前附表规定召开投标预备会的，招标人按投标人须知前附表规定的时间和</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地点召开投标预备会，澄清投标人提出的问题。</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1.10.2 投标人应按投标人须知前附表规定的时间和形式将提出的问题送达招标人，以便招标人在会议期间澄清。</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1.10.3 投标预备会后，招标人将对投标人所提问题的澄清，以投标人须知前附表规定的形式通知所有购买招标文件的投标人。该澄清内容为招标文件的组成部分。</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906" w:name="_Toc25506"/>
      <w:bookmarkStart w:id="907" w:name="_Toc22462"/>
      <w:bookmarkStart w:id="908" w:name="_Toc574031714"/>
      <w:bookmarkStart w:id="909" w:name="_Toc1501814796"/>
      <w:bookmarkStart w:id="910" w:name="_Toc24670"/>
      <w:bookmarkStart w:id="911" w:name="_Toc24015"/>
      <w:bookmarkStart w:id="912" w:name="_Toc1096887601"/>
      <w:bookmarkStart w:id="913" w:name="_Toc21761"/>
      <w:bookmarkStart w:id="914" w:name="_Toc16457"/>
      <w:bookmarkStart w:id="915" w:name="_Toc1293499029"/>
      <w:bookmarkStart w:id="916" w:name="_Toc516823003"/>
      <w:bookmarkStart w:id="917" w:name="_Toc1814919411"/>
      <w:bookmarkStart w:id="918" w:name="_Toc1258762891"/>
      <w:bookmarkStart w:id="919" w:name="_Toc1405957297"/>
      <w:bookmarkStart w:id="920" w:name="_Toc1272936877"/>
      <w:bookmarkStart w:id="921" w:name="_Toc27149"/>
      <w:bookmarkStart w:id="922" w:name="_Toc1362848762"/>
      <w:bookmarkStart w:id="923" w:name="_Toc511396052"/>
      <w:bookmarkStart w:id="924" w:name="_Toc1595597000"/>
      <w:bookmarkStart w:id="925" w:name="_Toc491712063"/>
      <w:bookmarkStart w:id="926" w:name="_Toc270070763"/>
      <w:bookmarkStart w:id="927" w:name="_Toc7186489"/>
      <w:bookmarkStart w:id="928" w:name="_Toc5547432"/>
      <w:bookmarkStart w:id="929" w:name="_Toc515440763"/>
      <w:bookmarkStart w:id="930" w:name="_Toc69046800"/>
      <w:bookmarkStart w:id="931" w:name="_Toc24806"/>
      <w:r>
        <w:rPr>
          <w:rFonts w:hint="eastAsia" w:asciiTheme="majorEastAsia" w:hAnsiTheme="majorEastAsia" w:eastAsiaTheme="majorEastAsia"/>
          <w:sz w:val="21"/>
          <w:szCs w:val="21"/>
        </w:rPr>
        <w:t>1.11 分包</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1.11.1 投标人拟在中标后将中标项目的非主体、非关键性</w:t>
      </w:r>
      <w:r>
        <w:rPr>
          <w:rFonts w:hint="eastAsia" w:asciiTheme="minorEastAsia" w:hAnsiTheme="minorEastAsia"/>
          <w:sz w:val="21"/>
          <w:szCs w:val="21"/>
          <w:lang w:val="en-US" w:eastAsia="zh-Hans"/>
        </w:rPr>
        <w:t>勘察、</w:t>
      </w:r>
      <w:r>
        <w:rPr>
          <w:rFonts w:hint="eastAsia" w:asciiTheme="minorEastAsia" w:hAnsiTheme="minorEastAsia"/>
          <w:sz w:val="21"/>
          <w:szCs w:val="21"/>
        </w:rPr>
        <w:t>设计工作进行分包的，应符合投标人须知前附表规定的分包内容、分包金额和资质要求等限制性条件，除投标人须知前附表规定的非主体、非关键性</w:t>
      </w:r>
      <w:r>
        <w:rPr>
          <w:rFonts w:hint="eastAsia" w:asciiTheme="minorEastAsia" w:hAnsiTheme="minorEastAsia"/>
          <w:sz w:val="21"/>
          <w:szCs w:val="21"/>
          <w:lang w:val="en-US" w:eastAsia="zh-Hans"/>
        </w:rPr>
        <w:t>勘察、</w:t>
      </w:r>
      <w:r>
        <w:rPr>
          <w:rFonts w:hint="eastAsia" w:asciiTheme="minorEastAsia" w:hAnsiTheme="minorEastAsia"/>
          <w:sz w:val="21"/>
          <w:szCs w:val="21"/>
        </w:rPr>
        <w:t>设计工作外，其他工作不得分包。</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1.11.2 中标人不得向他人转让中标项目，接受分包的人不得再次分包。中标人应当就分包项目向招标人负责，接受分包的人就分包项目承担连带责任。</w:t>
      </w:r>
    </w:p>
    <w:p>
      <w:pPr>
        <w:pStyle w:val="4"/>
        <w:pageBreakBefore w:val="0"/>
        <w:kinsoku/>
        <w:wordWrap/>
        <w:overflowPunct/>
        <w:topLinePunct w:val="0"/>
        <w:autoSpaceDE/>
        <w:autoSpaceDN/>
        <w:bidi w:val="0"/>
        <w:adjustRightInd w:val="0"/>
        <w:snapToGrid w:val="0"/>
        <w:spacing w:before="0" w:after="0" w:line="360" w:lineRule="auto"/>
        <w:textAlignment w:val="auto"/>
        <w:rPr>
          <w:rFonts w:hint="eastAsia" w:asciiTheme="majorEastAsia" w:hAnsiTheme="majorEastAsia" w:eastAsiaTheme="majorEastAsia"/>
          <w:sz w:val="21"/>
          <w:szCs w:val="21"/>
          <w:lang w:eastAsia="zh-CN"/>
        </w:rPr>
      </w:pPr>
      <w:bookmarkStart w:id="932" w:name="_Toc18943"/>
      <w:bookmarkStart w:id="933" w:name="_Toc1161722738"/>
      <w:bookmarkStart w:id="934" w:name="_Toc1018000325"/>
      <w:bookmarkStart w:id="935" w:name="_Toc7186490"/>
      <w:bookmarkStart w:id="936" w:name="_Toc828398220"/>
      <w:bookmarkStart w:id="937" w:name="_Toc9840"/>
      <w:bookmarkStart w:id="938" w:name="_Toc1446367630"/>
      <w:bookmarkStart w:id="939" w:name="_Toc338564032"/>
      <w:bookmarkStart w:id="940" w:name="_Toc515440764"/>
      <w:bookmarkStart w:id="941" w:name="_Toc1390284159"/>
      <w:bookmarkStart w:id="942" w:name="_Toc8467"/>
      <w:bookmarkStart w:id="943" w:name="_Toc1625973181"/>
      <w:bookmarkStart w:id="944" w:name="_Toc13093"/>
      <w:bookmarkStart w:id="945" w:name="_Toc687569185"/>
      <w:bookmarkStart w:id="946" w:name="_Toc30044"/>
      <w:bookmarkStart w:id="947" w:name="_Toc1254474874"/>
      <w:bookmarkStart w:id="948" w:name="_Toc893892803"/>
      <w:bookmarkStart w:id="949" w:name="_Toc22549"/>
      <w:bookmarkStart w:id="950" w:name="_Toc5641"/>
      <w:bookmarkStart w:id="951" w:name="_Toc492818689"/>
      <w:bookmarkStart w:id="952" w:name="_Toc30890"/>
      <w:bookmarkStart w:id="953" w:name="_Toc516823004"/>
      <w:bookmarkStart w:id="954" w:name="_Toc1166502440"/>
      <w:bookmarkStart w:id="955" w:name="_Toc861221822"/>
      <w:bookmarkStart w:id="956" w:name="_Toc511396053"/>
      <w:bookmarkStart w:id="957" w:name="_Toc1570478911"/>
      <w:r>
        <w:rPr>
          <w:rFonts w:hint="eastAsia" w:asciiTheme="majorEastAsia" w:hAnsiTheme="majorEastAsia" w:eastAsiaTheme="majorEastAsia"/>
          <w:sz w:val="21"/>
          <w:szCs w:val="21"/>
        </w:rPr>
        <w:t>1.12 响应和偏</w:t>
      </w:r>
      <w:r>
        <w:rPr>
          <w:rFonts w:hint="eastAsia" w:asciiTheme="majorEastAsia" w:hAnsiTheme="majorEastAsia" w:eastAsiaTheme="majorEastAsia"/>
          <w:sz w:val="21"/>
          <w:szCs w:val="21"/>
          <w:lang w:val="en-US"/>
        </w:rPr>
        <w:t>差</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1.12.1投标文件应当对招标文件的实质性要求和条件作出满足性或更有利于招标人的响应，否则，投标人的投标将被否决。实质性要求和条件见投标人须知前附表。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1.12.2 投标人应根据招标文件的要求提供投标</w:t>
      </w:r>
      <w:r>
        <w:rPr>
          <w:rFonts w:hint="default" w:asciiTheme="minorEastAsia" w:hAnsiTheme="minorEastAsia"/>
          <w:sz w:val="21"/>
          <w:szCs w:val="21"/>
          <w:lang w:val="en-US" w:eastAsia="zh-Hans"/>
        </w:rPr>
        <w:t>技术</w:t>
      </w:r>
      <w:r>
        <w:rPr>
          <w:rFonts w:hint="eastAsia" w:asciiTheme="minorEastAsia" w:hAnsiTheme="minorEastAsia"/>
          <w:sz w:val="21"/>
          <w:szCs w:val="21"/>
        </w:rPr>
        <w:t>方案</w:t>
      </w:r>
      <w:r>
        <w:rPr>
          <w:rFonts w:hint="eastAsia" w:asciiTheme="minorEastAsia" w:hAnsiTheme="minorEastAsia"/>
          <w:sz w:val="21"/>
          <w:szCs w:val="21"/>
          <w:lang w:eastAsia="zh-Hans"/>
        </w:rPr>
        <w:t>（</w:t>
      </w:r>
      <w:r>
        <w:rPr>
          <w:rFonts w:hint="eastAsia" w:asciiTheme="minorEastAsia" w:hAnsiTheme="minorEastAsia"/>
          <w:sz w:val="21"/>
          <w:szCs w:val="21"/>
          <w:lang w:val="en-US" w:eastAsia="zh-CN"/>
        </w:rPr>
        <w:t>如</w:t>
      </w:r>
      <w:r>
        <w:rPr>
          <w:rFonts w:hint="eastAsia" w:asciiTheme="minorEastAsia" w:hAnsiTheme="minorEastAsia"/>
          <w:sz w:val="21"/>
          <w:szCs w:val="21"/>
          <w:lang w:val="en-US" w:eastAsia="zh-Hans"/>
        </w:rPr>
        <w:t>勘察纲要</w:t>
      </w:r>
      <w:r>
        <w:rPr>
          <w:rFonts w:hint="default" w:asciiTheme="minorEastAsia" w:hAnsiTheme="minorEastAsia"/>
          <w:sz w:val="21"/>
          <w:szCs w:val="21"/>
          <w:lang w:eastAsia="zh-Hans"/>
        </w:rPr>
        <w:t>/</w:t>
      </w:r>
      <w:r>
        <w:rPr>
          <w:rFonts w:hint="eastAsia" w:asciiTheme="minorEastAsia" w:hAnsiTheme="minorEastAsia"/>
          <w:sz w:val="21"/>
          <w:szCs w:val="21"/>
          <w:lang w:val="en-US" w:eastAsia="zh-Hans"/>
        </w:rPr>
        <w:t>设计方案</w:t>
      </w:r>
      <w:r>
        <w:rPr>
          <w:rFonts w:hint="eastAsia" w:asciiTheme="minorEastAsia" w:hAnsiTheme="minorEastAsia"/>
          <w:sz w:val="21"/>
          <w:szCs w:val="21"/>
          <w:lang w:eastAsia="zh-Hans"/>
        </w:rPr>
        <w:t>）</w:t>
      </w:r>
      <w:r>
        <w:rPr>
          <w:rFonts w:hint="eastAsia" w:asciiTheme="minorEastAsia" w:hAnsiTheme="minorEastAsia"/>
          <w:sz w:val="21"/>
          <w:szCs w:val="21"/>
        </w:rPr>
        <w:t>等内容以对招标文件作出响应。</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rPr>
        <w:t>1.12.3 投标人须知前附表允许投标文件偏离招标文件某些要求的，偏差应当符合招标文件规定的偏差范围和幅度。</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958" w:name="_Toc516823005"/>
      <w:bookmarkStart w:id="959" w:name="_Toc515381574"/>
      <w:bookmarkStart w:id="960" w:name="_Toc752400039"/>
      <w:bookmarkStart w:id="961" w:name="_Toc2112244719"/>
      <w:bookmarkStart w:id="962" w:name="_Toc1733357017"/>
      <w:bookmarkStart w:id="963" w:name="_Toc18548"/>
      <w:bookmarkStart w:id="964" w:name="_Toc152739042"/>
      <w:bookmarkStart w:id="965" w:name="_Toc8508"/>
      <w:bookmarkStart w:id="966" w:name="_Toc540"/>
      <w:bookmarkStart w:id="967" w:name="_Toc2008229256"/>
      <w:bookmarkStart w:id="968" w:name="_Toc4770"/>
      <w:bookmarkStart w:id="969" w:name="_Toc2106763191"/>
      <w:bookmarkStart w:id="970" w:name="_Toc7186491"/>
      <w:bookmarkStart w:id="971" w:name="_Toc1883780953"/>
      <w:bookmarkStart w:id="972" w:name="_Toc1561504921"/>
      <w:bookmarkStart w:id="973" w:name="_Toc1028295617"/>
      <w:bookmarkStart w:id="974" w:name="_Toc31821"/>
      <w:bookmarkStart w:id="975" w:name="_Toc28726"/>
      <w:bookmarkStart w:id="976" w:name="_Toc23322"/>
      <w:bookmarkStart w:id="977" w:name="_Toc1001844992"/>
      <w:bookmarkStart w:id="978" w:name="_Toc511396054"/>
      <w:bookmarkStart w:id="979" w:name="_Toc5728"/>
      <w:bookmarkStart w:id="980" w:name="_Toc317551900"/>
      <w:bookmarkStart w:id="981" w:name="_Toc515440765"/>
      <w:bookmarkStart w:id="982" w:name="_Toc365787788"/>
      <w:bookmarkStart w:id="983" w:name="_Toc529246626"/>
      <w:r>
        <w:rPr>
          <w:rFonts w:hint="eastAsia" w:asciiTheme="majorEastAsia" w:hAnsiTheme="majorEastAsia"/>
          <w:sz w:val="21"/>
          <w:szCs w:val="21"/>
        </w:rPr>
        <w:t>2. 招标文件</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984" w:name="_Toc431"/>
      <w:bookmarkStart w:id="985" w:name="_Toc14561"/>
      <w:bookmarkStart w:id="986" w:name="_Toc1763527510"/>
      <w:bookmarkStart w:id="987" w:name="_Toc1915713164"/>
      <w:bookmarkStart w:id="988" w:name="_Toc597920505"/>
      <w:bookmarkStart w:id="989" w:name="_Toc4992"/>
      <w:bookmarkStart w:id="990" w:name="_Toc32673"/>
      <w:bookmarkStart w:id="991" w:name="_Toc15145"/>
      <w:bookmarkStart w:id="992" w:name="_Toc170777308"/>
      <w:bookmarkStart w:id="993" w:name="_Toc5978"/>
      <w:bookmarkStart w:id="994" w:name="_Toc7186492"/>
      <w:bookmarkStart w:id="995" w:name="_Toc842120729"/>
      <w:bookmarkStart w:id="996" w:name="_Toc515440766"/>
      <w:bookmarkStart w:id="997" w:name="_Toc1963040907"/>
      <w:bookmarkStart w:id="998" w:name="_Toc1736988064"/>
      <w:bookmarkStart w:id="999" w:name="_Toc355069350"/>
      <w:bookmarkStart w:id="1000" w:name="_Toc308625693"/>
      <w:bookmarkStart w:id="1001" w:name="_Toc1697155202"/>
      <w:bookmarkStart w:id="1002" w:name="_Toc896"/>
      <w:bookmarkStart w:id="1003" w:name="_Toc658579401"/>
      <w:bookmarkStart w:id="1004" w:name="_Toc444823676"/>
      <w:bookmarkStart w:id="1005" w:name="_Toc24938"/>
      <w:bookmarkStart w:id="1006" w:name="_Toc511396055"/>
      <w:bookmarkStart w:id="1007" w:name="_Toc1216565867"/>
      <w:bookmarkStart w:id="1008" w:name="_Toc1203741937"/>
      <w:bookmarkStart w:id="1009" w:name="_Toc516823006"/>
      <w:r>
        <w:rPr>
          <w:rFonts w:hint="eastAsia" w:asciiTheme="majorEastAsia" w:hAnsiTheme="majorEastAsia" w:eastAsiaTheme="majorEastAsia"/>
          <w:sz w:val="21"/>
          <w:szCs w:val="21"/>
        </w:rPr>
        <w:t>2.1 招标文件的组成</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本招标文件包括：</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（1）招标公告（或投标邀请书）；</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（2）投标人须知；</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（3）评标办法；</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（4）合同条款及格式；</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（5）发包人要求；</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（6）投标文件格式；</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（7）投标人须知前附表规定的其他资料。</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none"/>
        </w:rPr>
      </w:pPr>
      <w:r>
        <w:rPr>
          <w:rFonts w:hint="eastAsia" w:asciiTheme="minorEastAsia" w:hAnsiTheme="minorEastAsia"/>
          <w:sz w:val="21"/>
          <w:szCs w:val="21"/>
          <w:highlight w:val="none"/>
        </w:rPr>
        <w:t>根据本章第1.10款、第2.2款和第2.3款对招标文件所作的澄清、修改，构成招标文件的组成部分。</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010" w:name="_Toc7186493"/>
      <w:bookmarkStart w:id="1011" w:name="_Toc1173943222"/>
      <w:bookmarkStart w:id="1012" w:name="_Toc5377"/>
      <w:bookmarkStart w:id="1013" w:name="_Toc37564676"/>
      <w:bookmarkStart w:id="1014" w:name="_Toc1037255088"/>
      <w:bookmarkStart w:id="1015" w:name="_Toc1216063164"/>
      <w:bookmarkStart w:id="1016" w:name="_Toc613275969"/>
      <w:bookmarkStart w:id="1017" w:name="_Toc24913"/>
      <w:bookmarkStart w:id="1018" w:name="_Toc7559"/>
      <w:bookmarkStart w:id="1019" w:name="_Toc13213"/>
      <w:bookmarkStart w:id="1020" w:name="_Toc1209680560"/>
      <w:bookmarkStart w:id="1021" w:name="_Toc760947325"/>
      <w:bookmarkStart w:id="1022" w:name="_Toc1994780419"/>
      <w:bookmarkStart w:id="1023" w:name="_Toc516823007"/>
      <w:bookmarkStart w:id="1024" w:name="_Toc630723582"/>
      <w:bookmarkStart w:id="1025" w:name="_Toc899014746"/>
      <w:bookmarkStart w:id="1026" w:name="_Toc511396056"/>
      <w:bookmarkStart w:id="1027" w:name="_Toc1940994084"/>
      <w:bookmarkStart w:id="1028" w:name="_Toc168827877"/>
      <w:bookmarkStart w:id="1029" w:name="_Toc29313"/>
      <w:bookmarkStart w:id="1030" w:name="_Toc515440767"/>
      <w:bookmarkStart w:id="1031" w:name="_Toc30637"/>
      <w:bookmarkStart w:id="1032" w:name="_Toc1605858573"/>
      <w:bookmarkStart w:id="1033" w:name="_Toc665694330"/>
      <w:bookmarkStart w:id="1034" w:name="_Toc16504"/>
      <w:bookmarkStart w:id="1035" w:name="_Toc23991"/>
      <w:r>
        <w:rPr>
          <w:rFonts w:hint="eastAsia" w:asciiTheme="majorEastAsia" w:hAnsiTheme="majorEastAsia" w:eastAsiaTheme="majorEastAsia"/>
          <w:sz w:val="21"/>
          <w:szCs w:val="21"/>
        </w:rPr>
        <w:t>2.2 招标文件的澄清</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2.2.2 招标文件的澄清以投标人须知前附表规定的形式发给所有购买招标文件的投标人，但不指明澄清问题的来源。澄清发出的时间</w:t>
      </w:r>
      <w:r>
        <w:rPr>
          <w:rFonts w:hint="eastAsia" w:asciiTheme="minorEastAsia" w:hAnsiTheme="minorEastAsia"/>
          <w:sz w:val="21"/>
          <w:szCs w:val="21"/>
          <w:highlight w:val="none"/>
        </w:rPr>
        <w:t>距本章第4.2.1项规定</w:t>
      </w:r>
      <w:r>
        <w:rPr>
          <w:rFonts w:hint="eastAsia" w:asciiTheme="minorEastAsia" w:hAnsiTheme="minorEastAsia"/>
          <w:sz w:val="21"/>
          <w:szCs w:val="21"/>
        </w:rPr>
        <w:t>的投标截止时间不足15日的，并且澄清内容可能影响投标文件编制的，将相应延长投标截止时间。</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宋体" w:hAnsi="宋体"/>
          <w:sz w:val="21"/>
          <w:szCs w:val="21"/>
        </w:rPr>
      </w:pPr>
      <w:r>
        <w:rPr>
          <w:rFonts w:hint="eastAsia" w:asciiTheme="minorEastAsia" w:hAnsiTheme="minorEastAsia"/>
          <w:sz w:val="21"/>
          <w:szCs w:val="21"/>
        </w:rPr>
        <w:t>2.2.3</w:t>
      </w:r>
      <w:r>
        <w:rPr>
          <w:rFonts w:hint="eastAsia" w:ascii="宋体" w:hAnsi="宋体"/>
          <w:sz w:val="21"/>
          <w:szCs w:val="21"/>
          <w:lang w:val="en-US" w:eastAsia="zh-Hans"/>
        </w:rPr>
        <w:t>招</w:t>
      </w:r>
      <w:r>
        <w:rPr>
          <w:rFonts w:hint="eastAsia"/>
          <w:sz w:val="21"/>
          <w:szCs w:val="21"/>
        </w:rPr>
        <w:t>标人对招标文件进行澄清的，应当</w:t>
      </w:r>
      <w:r>
        <w:rPr>
          <w:rFonts w:hint="eastAsia" w:ascii="宋体" w:hAnsi="宋体"/>
          <w:sz w:val="21"/>
          <w:szCs w:val="21"/>
        </w:rPr>
        <w:t>通过下载招标文件的电子招标投标交易平台以</w:t>
      </w:r>
      <w:r>
        <w:rPr>
          <w:rFonts w:hint="eastAsia"/>
          <w:sz w:val="21"/>
          <w:szCs w:val="21"/>
        </w:rPr>
        <w:t>醒目的方式公告澄清的内容，并以有效方式通知所有已下载招标文件的潜在投标人</w:t>
      </w:r>
      <w:r>
        <w:rPr>
          <w:rFonts w:hint="eastAsia" w:ascii="宋体" w:hAnsi="宋体"/>
          <w:sz w:val="21"/>
          <w:szCs w:val="21"/>
        </w:rPr>
        <w:t>。</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2.2.4 除非招标人认为确有必要答复，否则，招标人有权拒绝回复投标人在本章第2.2.1项规定的时间后的任何澄清要求。</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036" w:name="_Toc2082287087"/>
      <w:bookmarkStart w:id="1037" w:name="_Toc1555189030"/>
      <w:bookmarkStart w:id="1038" w:name="_Toc515440768"/>
      <w:bookmarkStart w:id="1039" w:name="_Toc20844"/>
      <w:bookmarkStart w:id="1040" w:name="_Toc2021501317"/>
      <w:bookmarkStart w:id="1041" w:name="_Toc19207"/>
      <w:bookmarkStart w:id="1042" w:name="_Toc2136800961"/>
      <w:bookmarkStart w:id="1043" w:name="_Toc1695"/>
      <w:bookmarkStart w:id="1044" w:name="_Toc1907288816"/>
      <w:bookmarkStart w:id="1045" w:name="_Toc1433"/>
      <w:bookmarkStart w:id="1046" w:name="_Toc45895730"/>
      <w:bookmarkStart w:id="1047" w:name="_Toc516823008"/>
      <w:bookmarkStart w:id="1048" w:name="_Toc771728849"/>
      <w:bookmarkStart w:id="1049" w:name="_Toc24385"/>
      <w:bookmarkStart w:id="1050" w:name="_Toc1531467165"/>
      <w:bookmarkStart w:id="1051" w:name="_Toc511396057"/>
      <w:bookmarkStart w:id="1052" w:name="_Toc2010971858"/>
      <w:bookmarkStart w:id="1053" w:name="_Toc7186494"/>
      <w:bookmarkStart w:id="1054" w:name="_Toc17082"/>
      <w:bookmarkStart w:id="1055" w:name="_Toc20430"/>
      <w:bookmarkStart w:id="1056" w:name="_Toc90560915"/>
      <w:bookmarkStart w:id="1057" w:name="_Toc21174"/>
      <w:bookmarkStart w:id="1058" w:name="_Toc591961082"/>
      <w:bookmarkStart w:id="1059" w:name="_Toc664231052"/>
      <w:bookmarkStart w:id="1060" w:name="_Toc976573390"/>
      <w:bookmarkStart w:id="1061" w:name="_Toc873485771"/>
      <w:r>
        <w:rPr>
          <w:rFonts w:hint="eastAsia" w:asciiTheme="majorEastAsia" w:hAnsiTheme="majorEastAsia" w:eastAsiaTheme="majorEastAsia"/>
          <w:sz w:val="21"/>
          <w:szCs w:val="21"/>
        </w:rPr>
        <w:t>2.3 招标文件的修改</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2.3.1 招标人以投标人须</w:t>
      </w:r>
      <w:r>
        <w:rPr>
          <w:rFonts w:hint="eastAsia" w:asciiTheme="minorEastAsia" w:hAnsiTheme="minorEastAsia"/>
          <w:sz w:val="21"/>
          <w:szCs w:val="21"/>
          <w:highlight w:val="none"/>
        </w:rPr>
        <w:t>知前附表规定的形式修改招标文件，并通知所有已购买招标文件的投标人。修改招标文件的时间距本章第4.2.1项规定的投标截止时间不足15日的，并且修改内</w:t>
      </w:r>
      <w:r>
        <w:rPr>
          <w:rFonts w:hint="eastAsia" w:asciiTheme="minorEastAsia" w:hAnsiTheme="minorEastAsia"/>
          <w:sz w:val="21"/>
          <w:szCs w:val="21"/>
        </w:rPr>
        <w:t>容可能影响投标文件编制的，将相应延长投标截止时间。</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宋体" w:hAnsi="宋体"/>
          <w:sz w:val="21"/>
          <w:szCs w:val="21"/>
        </w:rPr>
      </w:pPr>
      <w:r>
        <w:rPr>
          <w:rFonts w:hint="eastAsia" w:ascii="宋体" w:hAnsi="宋体"/>
          <w:sz w:val="21"/>
          <w:szCs w:val="21"/>
        </w:rPr>
        <w:t>2.</w:t>
      </w:r>
      <w:r>
        <w:rPr>
          <w:rFonts w:hint="default" w:ascii="宋体" w:hAnsi="宋体"/>
          <w:sz w:val="21"/>
          <w:szCs w:val="21"/>
        </w:rPr>
        <w:t>3</w:t>
      </w:r>
      <w:r>
        <w:rPr>
          <w:rFonts w:hint="eastAsia" w:ascii="宋体" w:hAnsi="宋体"/>
          <w:sz w:val="21"/>
          <w:szCs w:val="21"/>
        </w:rPr>
        <w:t>.</w:t>
      </w:r>
      <w:r>
        <w:rPr>
          <w:rFonts w:hint="default" w:ascii="宋体" w:hAnsi="宋体"/>
          <w:sz w:val="21"/>
          <w:szCs w:val="21"/>
        </w:rPr>
        <w:t>2</w:t>
      </w:r>
      <w:r>
        <w:rPr>
          <w:rFonts w:hint="eastAsia" w:ascii="宋体" w:hAnsi="宋体"/>
          <w:sz w:val="21"/>
          <w:szCs w:val="21"/>
        </w:rPr>
        <w:t xml:space="preserve"> </w:t>
      </w:r>
      <w:r>
        <w:rPr>
          <w:rFonts w:hint="eastAsia" w:ascii="宋体" w:hAnsi="宋体"/>
          <w:sz w:val="21"/>
          <w:szCs w:val="21"/>
          <w:lang w:val="en-US" w:eastAsia="zh-Hans"/>
        </w:rPr>
        <w:t>招</w:t>
      </w:r>
      <w:r>
        <w:rPr>
          <w:rFonts w:hint="eastAsia"/>
          <w:sz w:val="21"/>
          <w:szCs w:val="21"/>
        </w:rPr>
        <w:t>标人对招标文件进行</w:t>
      </w:r>
      <w:r>
        <w:rPr>
          <w:rFonts w:hint="eastAsia"/>
          <w:sz w:val="21"/>
          <w:szCs w:val="21"/>
          <w:lang w:val="en-US" w:eastAsia="zh-Hans"/>
        </w:rPr>
        <w:t>修改</w:t>
      </w:r>
      <w:r>
        <w:rPr>
          <w:rFonts w:hint="eastAsia"/>
          <w:sz w:val="21"/>
          <w:szCs w:val="21"/>
        </w:rPr>
        <w:t>的，应当</w:t>
      </w:r>
      <w:r>
        <w:rPr>
          <w:rFonts w:hint="eastAsia" w:ascii="宋体" w:hAnsi="宋体"/>
          <w:sz w:val="21"/>
          <w:szCs w:val="21"/>
        </w:rPr>
        <w:t>通过下载招标文件的电子招标投标交易平台以</w:t>
      </w:r>
      <w:r>
        <w:rPr>
          <w:rFonts w:hint="eastAsia"/>
          <w:sz w:val="21"/>
          <w:szCs w:val="21"/>
        </w:rPr>
        <w:t>醒目的方式公告</w:t>
      </w:r>
      <w:r>
        <w:rPr>
          <w:rFonts w:hint="eastAsia"/>
          <w:sz w:val="21"/>
          <w:szCs w:val="21"/>
          <w:lang w:val="en-US" w:eastAsia="zh-Hans"/>
        </w:rPr>
        <w:t>修改</w:t>
      </w:r>
      <w:r>
        <w:rPr>
          <w:rFonts w:hint="eastAsia"/>
          <w:sz w:val="21"/>
          <w:szCs w:val="21"/>
        </w:rPr>
        <w:t>的内容，并以有效方式通知所有已下载招标文件的潜在投标人</w:t>
      </w:r>
      <w:r>
        <w:rPr>
          <w:rFonts w:hint="eastAsia" w:ascii="宋体" w:hAnsi="宋体"/>
          <w:sz w:val="21"/>
          <w:szCs w:val="21"/>
        </w:rPr>
        <w:t>。</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highlight w:val="none"/>
        </w:rPr>
      </w:pPr>
      <w:bookmarkStart w:id="1062" w:name="_Toc10642"/>
      <w:bookmarkStart w:id="1063" w:name="_Toc9110"/>
      <w:bookmarkStart w:id="1064" w:name="_Toc1945652270"/>
      <w:bookmarkStart w:id="1065" w:name="_Toc1111293858"/>
      <w:bookmarkStart w:id="1066" w:name="_Toc1638876329"/>
      <w:bookmarkStart w:id="1067" w:name="_Toc7768"/>
      <w:bookmarkStart w:id="1068" w:name="_Toc1038559573"/>
      <w:bookmarkStart w:id="1069" w:name="_Toc511396058"/>
      <w:bookmarkStart w:id="1070" w:name="_Toc1306380920"/>
      <w:bookmarkStart w:id="1071" w:name="_Toc51451709"/>
      <w:bookmarkStart w:id="1072" w:name="_Toc33855632"/>
      <w:bookmarkStart w:id="1073" w:name="_Toc477142305"/>
      <w:bookmarkStart w:id="1074" w:name="_Toc422904837"/>
      <w:bookmarkStart w:id="1075" w:name="_Toc1777132860"/>
      <w:bookmarkStart w:id="1076" w:name="_Toc515440769"/>
      <w:bookmarkStart w:id="1077" w:name="_Toc21264"/>
      <w:bookmarkStart w:id="1078" w:name="_Toc1605559697"/>
      <w:bookmarkStart w:id="1079" w:name="_Toc516823009"/>
      <w:bookmarkStart w:id="1080" w:name="_Toc1793020910"/>
      <w:bookmarkStart w:id="1081" w:name="_Toc314731743"/>
      <w:bookmarkStart w:id="1082" w:name="_Toc844722746"/>
      <w:bookmarkStart w:id="1083" w:name="_Toc18691"/>
      <w:bookmarkStart w:id="1084" w:name="_Toc24302"/>
      <w:bookmarkStart w:id="1085" w:name="_Toc7186495"/>
      <w:bookmarkStart w:id="1086" w:name="_Toc10845"/>
      <w:bookmarkStart w:id="1087" w:name="_Toc19401"/>
      <w:r>
        <w:rPr>
          <w:rFonts w:hint="eastAsia" w:asciiTheme="majorEastAsia" w:hAnsiTheme="majorEastAsia" w:eastAsiaTheme="majorEastAsia"/>
          <w:sz w:val="21"/>
          <w:szCs w:val="21"/>
          <w:highlight w:val="none"/>
        </w:rPr>
        <w:t>2.4 招标文件的异议</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highlight w:val="none"/>
        </w:rPr>
      </w:pPr>
      <w:r>
        <w:rPr>
          <w:rFonts w:hint="eastAsia" w:asciiTheme="minorEastAsia" w:hAnsiTheme="minorEastAsia"/>
          <w:sz w:val="21"/>
          <w:szCs w:val="21"/>
          <w:highlight w:val="none"/>
        </w:rPr>
        <w:t>投标人或者其他利害关系人对招标文件有异议的，应当在投标截止时间10日前</w:t>
      </w:r>
      <w:r>
        <w:rPr>
          <w:rFonts w:hint="eastAsia" w:ascii="宋体" w:hAnsi="宋体"/>
          <w:sz w:val="21"/>
          <w:szCs w:val="21"/>
          <w:highlight w:val="none"/>
        </w:rPr>
        <w:t>以不署名、不盖章的形式通过电子交易平台提出</w:t>
      </w:r>
      <w:r>
        <w:rPr>
          <w:rFonts w:hint="eastAsia" w:asciiTheme="minorEastAsia" w:hAnsiTheme="minorEastAsia"/>
          <w:sz w:val="21"/>
          <w:szCs w:val="21"/>
          <w:highlight w:val="none"/>
        </w:rPr>
        <w:t>。招标人将在收到异议之日起3日内作出答复；作出答复前，将暂停招标投标活动。</w:t>
      </w:r>
    </w:p>
    <w:p>
      <w:pPr>
        <w:pStyle w:val="3"/>
        <w:pageBreakBefore w:val="0"/>
        <w:kinsoku/>
        <w:wordWrap/>
        <w:overflowPunct/>
        <w:topLinePunct w:val="0"/>
        <w:autoSpaceDE/>
        <w:autoSpaceDN/>
        <w:bidi w:val="0"/>
        <w:adjustRightInd w:val="0"/>
        <w:snapToGrid w:val="0"/>
        <w:spacing w:before="0" w:after="0" w:line="360" w:lineRule="auto"/>
        <w:textAlignment w:val="auto"/>
        <w:rPr>
          <w:sz w:val="21"/>
          <w:szCs w:val="21"/>
        </w:rPr>
      </w:pPr>
      <w:bookmarkStart w:id="1088" w:name="_Toc323660595"/>
      <w:bookmarkStart w:id="1089" w:name="_Toc240801705"/>
      <w:bookmarkStart w:id="1090" w:name="_Toc32347"/>
      <w:bookmarkStart w:id="1091" w:name="_Toc516823010"/>
      <w:bookmarkStart w:id="1092" w:name="_Toc471315512"/>
      <w:bookmarkStart w:id="1093" w:name="_Toc969205081"/>
      <w:bookmarkStart w:id="1094" w:name="_Toc9516"/>
      <w:bookmarkStart w:id="1095" w:name="_Toc1738207536"/>
      <w:bookmarkStart w:id="1096" w:name="_Toc7186496"/>
      <w:bookmarkStart w:id="1097" w:name="_Toc515440770"/>
      <w:bookmarkStart w:id="1098" w:name="_Toc850593447"/>
      <w:bookmarkStart w:id="1099" w:name="_Toc2075924216"/>
      <w:bookmarkStart w:id="1100" w:name="_Toc1069415544"/>
      <w:bookmarkStart w:id="1101" w:name="_Toc511396059"/>
      <w:bookmarkStart w:id="1102" w:name="_Toc626782237"/>
      <w:bookmarkStart w:id="1103" w:name="_Toc844209021"/>
      <w:bookmarkStart w:id="1104" w:name="_Toc1811"/>
      <w:bookmarkStart w:id="1105" w:name="_Toc1460447069"/>
      <w:bookmarkStart w:id="1106" w:name="_Toc21971"/>
      <w:bookmarkStart w:id="1107" w:name="_Toc444182040"/>
      <w:bookmarkStart w:id="1108" w:name="_Toc17441"/>
      <w:bookmarkStart w:id="1109" w:name="_Toc10217"/>
      <w:bookmarkStart w:id="1110" w:name="_Toc1811899666"/>
      <w:bookmarkStart w:id="1111" w:name="_Toc1688"/>
      <w:bookmarkStart w:id="1112" w:name="_Toc22720"/>
      <w:bookmarkStart w:id="1113" w:name="_Toc1509802924"/>
      <w:r>
        <w:rPr>
          <w:rFonts w:hint="eastAsia" w:asciiTheme="majorEastAsia" w:hAnsiTheme="majorEastAsia"/>
          <w:sz w:val="21"/>
          <w:szCs w:val="21"/>
        </w:rPr>
        <w:t>3. 投标文件</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114" w:name="_Toc14430"/>
      <w:bookmarkStart w:id="1115" w:name="_Toc125425650"/>
      <w:bookmarkStart w:id="1116" w:name="_Toc1279572002"/>
      <w:bookmarkStart w:id="1117" w:name="_Toc1480120048"/>
      <w:bookmarkStart w:id="1118" w:name="_Toc921768724"/>
      <w:bookmarkStart w:id="1119" w:name="_Toc590970716"/>
      <w:bookmarkStart w:id="1120" w:name="_Toc187542314"/>
      <w:bookmarkStart w:id="1121" w:name="_Toc511396060"/>
      <w:bookmarkStart w:id="1122" w:name="_Toc26161"/>
      <w:bookmarkStart w:id="1123" w:name="_Toc8730"/>
      <w:bookmarkStart w:id="1124" w:name="_Toc196560218"/>
      <w:bookmarkStart w:id="1125" w:name="_Toc766333872"/>
      <w:bookmarkStart w:id="1126" w:name="_Toc1376406265"/>
      <w:bookmarkStart w:id="1127" w:name="_Toc2038969150"/>
      <w:bookmarkStart w:id="1128" w:name="_Toc22120"/>
      <w:bookmarkStart w:id="1129" w:name="_Toc515440771"/>
      <w:bookmarkStart w:id="1130" w:name="_Toc21900"/>
      <w:bookmarkStart w:id="1131" w:name="_Toc2143287120"/>
      <w:bookmarkStart w:id="1132" w:name="_Toc15324"/>
      <w:bookmarkStart w:id="1133" w:name="_Toc7186497"/>
      <w:bookmarkStart w:id="1134" w:name="_Toc1834007411"/>
      <w:bookmarkStart w:id="1135" w:name="_Toc1295064987"/>
      <w:bookmarkStart w:id="1136" w:name="_Toc714389308"/>
      <w:bookmarkStart w:id="1137" w:name="_Toc23407"/>
      <w:bookmarkStart w:id="1138" w:name="_Toc516823011"/>
      <w:bookmarkStart w:id="1139" w:name="_Toc12758"/>
      <w:r>
        <w:rPr>
          <w:rFonts w:hint="eastAsia" w:asciiTheme="majorEastAsia" w:hAnsiTheme="majorEastAsia" w:eastAsiaTheme="majorEastAsia"/>
          <w:sz w:val="21"/>
          <w:szCs w:val="21"/>
        </w:rPr>
        <w:t>3.1 投标文件的组成</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3.1.1 投标文件应包括下列内容：</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(1)资格审查申请函</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(2)投标人基本情况表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(3)法定代表人身份证明（适用于无委托代理人的情况）</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(4)授权委托书（适用于有委托代理人的情况）</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(5)联合体协议书（适用于联合体的情况）</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(6)投标保证金</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(7)保函开立人出具的到账证明</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(8)近年财务状况表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(9)近年发生的诉讼及仲裁情况表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(10)投标人承诺书</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(11)项目负责人质量终身责任承诺书</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(12)其他资格材料（如有）</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(13)投标函及投标函附录</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(14)服务费用清单</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(15)拟委任的主要人员汇总表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(16)主要人员简历表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(17)近年完成的类似项目情况表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(18)其他商务情况（如有）</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(19)设计方案</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(20)资源配备及服务能力</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lang w:val="en-US" w:eastAsia="zh-CN"/>
        </w:rPr>
        <w:t>(21)</w:t>
      </w:r>
      <w:r>
        <w:rPr>
          <w:rFonts w:hint="eastAsia" w:asciiTheme="minorEastAsia" w:hAnsiTheme="minorEastAsia"/>
          <w:sz w:val="21"/>
          <w:szCs w:val="21"/>
        </w:rPr>
        <w:t>投标人须知前附表规定的其他资料。</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投标人在评标过程中作出的符合法律法规和招标文件规定的澄清确认，构成投标文件的组成部分。</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3.1.2 投标人须知前附表规定不接受联合体投标的，或投标人没有组成联合体的，投标文件不包括本章第3.1.1（3）目所指的联合体协议书。</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3.1.3 投标人须知前附表未要求提交投标保证金的，投标文件不包括本章第3.1.1（4）目所指的投标保证金。</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140" w:name="_Toc515440772"/>
      <w:bookmarkStart w:id="1141" w:name="_Toc1313955645"/>
      <w:bookmarkStart w:id="1142" w:name="_Toc1329771286"/>
      <w:bookmarkStart w:id="1143" w:name="_Toc18673"/>
      <w:bookmarkStart w:id="1144" w:name="_Toc11379"/>
      <w:bookmarkStart w:id="1145" w:name="_Toc13340"/>
      <w:bookmarkStart w:id="1146" w:name="_Toc757734840"/>
      <w:bookmarkStart w:id="1147" w:name="_Toc2074563535"/>
      <w:bookmarkStart w:id="1148" w:name="_Toc1410474164"/>
      <w:bookmarkStart w:id="1149" w:name="_Toc162"/>
      <w:bookmarkStart w:id="1150" w:name="_Toc516823012"/>
      <w:bookmarkStart w:id="1151" w:name="_Toc865396556"/>
      <w:bookmarkStart w:id="1152" w:name="_Toc17202"/>
      <w:bookmarkStart w:id="1153" w:name="_Toc7186498"/>
      <w:bookmarkStart w:id="1154" w:name="_Toc1557948871"/>
      <w:bookmarkStart w:id="1155" w:name="_Toc511396061"/>
      <w:bookmarkStart w:id="1156" w:name="_Toc160029179"/>
      <w:bookmarkStart w:id="1157" w:name="_Toc2436"/>
      <w:bookmarkStart w:id="1158" w:name="_Toc19086"/>
      <w:bookmarkStart w:id="1159" w:name="_Toc335931062"/>
      <w:bookmarkStart w:id="1160" w:name="_Toc332956437"/>
      <w:bookmarkStart w:id="1161" w:name="_Toc1665161249"/>
      <w:bookmarkStart w:id="1162" w:name="_Toc566250371"/>
      <w:bookmarkStart w:id="1163" w:name="_Toc2820"/>
      <w:bookmarkStart w:id="1164" w:name="_Toc219914810"/>
      <w:bookmarkStart w:id="1165" w:name="_Toc1347441843"/>
      <w:r>
        <w:rPr>
          <w:rFonts w:hint="eastAsia" w:asciiTheme="majorEastAsia" w:hAnsiTheme="majorEastAsia" w:eastAsiaTheme="majorEastAsia"/>
          <w:sz w:val="21"/>
          <w:szCs w:val="21"/>
        </w:rPr>
        <w:t>3.2 投标报价</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3.2.1 投标报价应包括国家规定的增值税税金，除投标人须知前附表另有规定外，增值税税金按一般计税方法计算。投标人应按第六章“投标文件格式”的要求在投标函中进行报价并填写</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服务费用清单。</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3.2.2 投标人应充分了解该项目的总体情况以及影响投标报价的其他要素。</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none"/>
        </w:rPr>
      </w:pPr>
      <w:r>
        <w:rPr>
          <w:rFonts w:hint="eastAsia" w:asciiTheme="minorEastAsia" w:hAnsiTheme="minorEastAsia"/>
          <w:sz w:val="21"/>
          <w:szCs w:val="21"/>
          <w:highlight w:val="none"/>
        </w:rPr>
        <w:t>3.2.3 本项目的报价方式见投标人须知前附表。投标人在投标截止时间前修改投标函中的投标报价总额，应同时修改投标文件“服务费用清单”中的相应报价。此修改须符合本章第4.3款的有关要求。</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3.2.4 招标人设有最高投标限价的，投标人的投标报价不得超过最高投标限价，最高投标限</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价在投标人须知前附表中载明。</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3.2.5 投标报价的其他要求见投标人须知前附表。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166" w:name="_Toc1239997686"/>
      <w:bookmarkStart w:id="1167" w:name="_Toc515440773"/>
      <w:bookmarkStart w:id="1168" w:name="_Toc288855183"/>
      <w:bookmarkStart w:id="1169" w:name="_Toc24495"/>
      <w:bookmarkStart w:id="1170" w:name="_Toc178567026"/>
      <w:bookmarkStart w:id="1171" w:name="_Toc28376"/>
      <w:bookmarkStart w:id="1172" w:name="_Toc26036"/>
      <w:bookmarkStart w:id="1173" w:name="_Toc1960659208"/>
      <w:bookmarkStart w:id="1174" w:name="_Toc1803936224"/>
      <w:bookmarkStart w:id="1175" w:name="_Toc23591"/>
      <w:bookmarkStart w:id="1176" w:name="_Toc644840053"/>
      <w:bookmarkStart w:id="1177" w:name="_Toc258851071"/>
      <w:bookmarkStart w:id="1178" w:name="_Toc1914778762"/>
      <w:bookmarkStart w:id="1179" w:name="_Toc603689473"/>
      <w:bookmarkStart w:id="1180" w:name="_Toc7186499"/>
      <w:bookmarkStart w:id="1181" w:name="_Toc1469945540"/>
      <w:bookmarkStart w:id="1182" w:name="_Toc358224239"/>
      <w:bookmarkStart w:id="1183" w:name="_Toc21438"/>
      <w:bookmarkStart w:id="1184" w:name="_Toc1078183414"/>
      <w:bookmarkStart w:id="1185" w:name="_Toc960885409"/>
      <w:bookmarkStart w:id="1186" w:name="_Toc20548"/>
      <w:bookmarkStart w:id="1187" w:name="_Toc511396062"/>
      <w:bookmarkStart w:id="1188" w:name="_Toc18253"/>
      <w:bookmarkStart w:id="1189" w:name="_Toc14605"/>
      <w:bookmarkStart w:id="1190" w:name="_Toc671429170"/>
      <w:bookmarkStart w:id="1191" w:name="_Toc516823013"/>
      <w:r>
        <w:rPr>
          <w:rFonts w:hint="eastAsia" w:asciiTheme="majorEastAsia" w:hAnsiTheme="majorEastAsia" w:eastAsiaTheme="majorEastAsia"/>
          <w:sz w:val="21"/>
          <w:szCs w:val="21"/>
        </w:rPr>
        <w:t>3.3 投标有效期</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3.3.1 除投标人须知前附表另有规定外，投标有效期为90天。</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3.3.2 在投标有效期内，投标人撤销投标文件的，应承担招标文件和法律规定的责任。</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形式递交的投标保证金的银行同期存款利息。</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192" w:name="_Toc722815692"/>
      <w:bookmarkStart w:id="1193" w:name="_Toc524043623"/>
      <w:bookmarkStart w:id="1194" w:name="_Toc25434"/>
      <w:bookmarkStart w:id="1195" w:name="_Toc1830978852"/>
      <w:bookmarkStart w:id="1196" w:name="_Toc516823014"/>
      <w:bookmarkStart w:id="1197" w:name="_Toc515440774"/>
      <w:bookmarkStart w:id="1198" w:name="_Toc1141351123"/>
      <w:bookmarkStart w:id="1199" w:name="_Toc1624288009"/>
      <w:bookmarkStart w:id="1200" w:name="_Toc6017"/>
      <w:bookmarkStart w:id="1201" w:name="_Toc7186500"/>
      <w:bookmarkStart w:id="1202" w:name="_Toc511396063"/>
      <w:bookmarkStart w:id="1203" w:name="_Toc22088"/>
      <w:bookmarkStart w:id="1204" w:name="_Toc1810229288"/>
      <w:bookmarkStart w:id="1205" w:name="_Toc7708"/>
      <w:bookmarkStart w:id="1206" w:name="_Toc1496224283"/>
      <w:bookmarkStart w:id="1207" w:name="_Toc1476018461"/>
      <w:bookmarkStart w:id="1208" w:name="_Toc561625712"/>
      <w:bookmarkStart w:id="1209" w:name="_Toc22873"/>
      <w:bookmarkStart w:id="1210" w:name="_Toc1459798114"/>
      <w:bookmarkStart w:id="1211" w:name="_Toc1278122332"/>
      <w:bookmarkStart w:id="1212" w:name="_Toc581988422"/>
      <w:bookmarkStart w:id="1213" w:name="_Toc425"/>
      <w:bookmarkStart w:id="1214" w:name="_Toc1644202639"/>
      <w:bookmarkStart w:id="1215" w:name="_Toc25664"/>
      <w:bookmarkStart w:id="1216" w:name="_Toc28457"/>
      <w:bookmarkStart w:id="1217" w:name="_Toc1855565122"/>
      <w:r>
        <w:rPr>
          <w:rFonts w:hint="eastAsia" w:asciiTheme="majorEastAsia" w:hAnsiTheme="majorEastAsia" w:eastAsiaTheme="majorEastAsia"/>
          <w:sz w:val="21"/>
          <w:szCs w:val="21"/>
        </w:rPr>
        <w:t>3.4 投标保证金</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3.4.1 投标人在递交投标文件的同时，应按投标人须知前附表规定的金额、形式和第六章“投标文件格式”规定的投标保证金格式递交投标保证金，并作为其投标文件的组成部分。境内投标人以现金形式提交的投标保证金，应当从其基本账户转出并在投标文件中附上基本账户开户证明。联合体投标的，其投标保证金可以由牵头人递交，并应符合投标人须知前附表的规定。</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3.4.2 投标人不按本</w:t>
      </w:r>
      <w:r>
        <w:rPr>
          <w:rFonts w:hint="eastAsia" w:asciiTheme="minorEastAsia" w:hAnsiTheme="minorEastAsia"/>
          <w:sz w:val="21"/>
          <w:szCs w:val="21"/>
          <w:highlight w:val="none"/>
        </w:rPr>
        <w:t>章第3.4.1项要求</w:t>
      </w:r>
      <w:r>
        <w:rPr>
          <w:rFonts w:hint="eastAsia" w:asciiTheme="minorEastAsia" w:hAnsiTheme="minorEastAsia"/>
          <w:sz w:val="21"/>
          <w:szCs w:val="21"/>
        </w:rPr>
        <w:t>提交投标保证金的，评标委员会将否决其投标。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yellow"/>
        </w:rPr>
      </w:pPr>
      <w:r>
        <w:rPr>
          <w:rFonts w:hint="eastAsia" w:asciiTheme="minorEastAsia" w:hAnsiTheme="minorEastAsia"/>
          <w:sz w:val="21"/>
          <w:szCs w:val="21"/>
        </w:rPr>
        <w:t>3.4.3 招标人最迟将在与中标人签订合同后5日内，向未中标的投标人和中标人退还投标保证金。投标保证金以现金形式递交的，</w:t>
      </w:r>
      <w:r>
        <w:rPr>
          <w:rFonts w:hint="eastAsia" w:asciiTheme="minorEastAsia" w:hAnsiTheme="minorEastAsia"/>
          <w:sz w:val="21"/>
          <w:szCs w:val="21"/>
          <w:highlight w:val="none"/>
        </w:rPr>
        <w:t>还应退还银行同期存款利息。</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3.4.4 有下列情形之一的，投标保证金将不予退还：</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（1）投标人在投标有效期内撤销投标文件；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（2）中标人在收到中标通知书后，无正当理由不与招标人订立合同，在签订合同时向招标人</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hint="eastAsia" w:asciiTheme="minorEastAsia" w:hAnsiTheme="minorEastAsia"/>
          <w:sz w:val="21"/>
          <w:szCs w:val="21"/>
        </w:rPr>
      </w:pPr>
      <w:r>
        <w:rPr>
          <w:rFonts w:hint="eastAsia" w:asciiTheme="minorEastAsia" w:hAnsiTheme="minorEastAsia"/>
          <w:sz w:val="21"/>
          <w:szCs w:val="21"/>
        </w:rPr>
        <w:t>提出附加条件，或者不按照招标文件要求提交履约保证金；</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（3）发生投标人须知前附表规定的其他可以不予退还投标保证金的情形。</w:t>
      </w:r>
    </w:p>
    <w:p>
      <w:pPr>
        <w:pStyle w:val="4"/>
        <w:pageBreakBefore w:val="0"/>
        <w:kinsoku/>
        <w:wordWrap/>
        <w:overflowPunct/>
        <w:topLinePunct w:val="0"/>
        <w:autoSpaceDE/>
        <w:autoSpaceDN/>
        <w:bidi w:val="0"/>
        <w:adjustRightInd w:val="0"/>
        <w:snapToGrid w:val="0"/>
        <w:spacing w:before="0" w:after="0" w:line="360" w:lineRule="auto"/>
        <w:textAlignment w:val="auto"/>
        <w:rPr>
          <w:rFonts w:hint="eastAsia" w:asciiTheme="majorEastAsia" w:hAnsiTheme="majorEastAsia" w:eastAsiaTheme="majorEastAsia"/>
          <w:sz w:val="21"/>
          <w:szCs w:val="21"/>
        </w:rPr>
      </w:pPr>
      <w:bookmarkStart w:id="1218" w:name="_Toc1052713019"/>
      <w:bookmarkStart w:id="1219" w:name="_Toc515440776"/>
      <w:bookmarkStart w:id="1220" w:name="_Toc516823015"/>
      <w:bookmarkStart w:id="1221" w:name="_Toc7186501"/>
      <w:bookmarkStart w:id="1222" w:name="_Toc48344365"/>
      <w:bookmarkStart w:id="1223" w:name="_Toc511396065"/>
      <w:bookmarkStart w:id="1224" w:name="_Toc1973718670"/>
      <w:bookmarkStart w:id="1225" w:name="_Toc8485"/>
      <w:bookmarkStart w:id="1226" w:name="_Toc596446599"/>
      <w:bookmarkStart w:id="1227" w:name="_Toc1364389257"/>
      <w:bookmarkStart w:id="1228" w:name="_Toc123112983"/>
      <w:bookmarkStart w:id="1229" w:name="_Toc8018011"/>
      <w:bookmarkStart w:id="1230" w:name="_Toc23671"/>
      <w:bookmarkStart w:id="1231" w:name="_Toc4328"/>
      <w:bookmarkStart w:id="1232" w:name="_Toc7569"/>
      <w:bookmarkStart w:id="1233" w:name="_Toc17760"/>
      <w:bookmarkStart w:id="1234" w:name="_Toc1968387701"/>
      <w:bookmarkStart w:id="1235" w:name="_Toc7870"/>
      <w:bookmarkStart w:id="1236" w:name="_Toc1858667530"/>
      <w:bookmarkStart w:id="1237" w:name="_Toc1122816367"/>
      <w:bookmarkStart w:id="1238" w:name="_Toc725483720"/>
      <w:bookmarkStart w:id="1239" w:name="_Toc770735414"/>
      <w:bookmarkStart w:id="1240" w:name="_Toc294184077"/>
      <w:bookmarkStart w:id="1241" w:name="_Toc1838880116"/>
      <w:bookmarkStart w:id="1242" w:name="_Toc20237"/>
      <w:bookmarkStart w:id="1243" w:name="_Toc10483"/>
      <w:r>
        <w:rPr>
          <w:rFonts w:hint="eastAsia" w:asciiTheme="majorEastAsia" w:hAnsiTheme="majorEastAsia" w:eastAsiaTheme="majorEastAsia"/>
          <w:sz w:val="21"/>
          <w:szCs w:val="21"/>
        </w:rPr>
        <w:t>3.5 资格审查资料</w:t>
      </w:r>
      <w:bookmarkEnd w:id="1218"/>
      <w:bookmarkEnd w:id="1219"/>
      <w:bookmarkEnd w:id="1220"/>
      <w:bookmarkEnd w:id="1221"/>
      <w:bookmarkEnd w:id="1222"/>
      <w:bookmarkEnd w:id="1223"/>
      <w:bookmarkEnd w:id="1224"/>
      <w:r>
        <w:rPr>
          <w:rFonts w:hint="eastAsia" w:asciiTheme="majorEastAsia" w:hAnsiTheme="majorEastAsia" w:eastAsiaTheme="majorEastAsia"/>
          <w:sz w:val="21"/>
          <w:szCs w:val="21"/>
        </w:rPr>
        <w:t>（适用于已进行资格预审的）</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eastAsiaTheme="minorEastAsia" w:cstheme="minorBidi"/>
          <w:sz w:val="21"/>
          <w:szCs w:val="21"/>
          <w:shd w:val="clear"/>
        </w:rPr>
      </w:pPr>
      <w:r>
        <w:rPr>
          <w:rFonts w:hint="eastAsia" w:asciiTheme="minorEastAsia" w:hAnsiTheme="minorEastAsia" w:eastAsiaTheme="minorEastAsia" w:cstheme="minorBidi"/>
          <w:sz w:val="21"/>
          <w:szCs w:val="21"/>
          <w:shd w:val="clear"/>
        </w:rPr>
        <w:t>投标人在递交投标文件前，发生可能影响其投标资格的新情况的，应更新或补充其在申请资</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hint="eastAsia" w:asciiTheme="minorEastAsia" w:hAnsiTheme="minorEastAsia" w:eastAsiaTheme="minorEastAsia" w:cstheme="minorBidi"/>
          <w:sz w:val="21"/>
          <w:szCs w:val="21"/>
          <w:shd w:val="clear"/>
        </w:rPr>
      </w:pPr>
      <w:r>
        <w:rPr>
          <w:rFonts w:hint="eastAsia" w:asciiTheme="minorEastAsia" w:hAnsiTheme="minorEastAsia" w:eastAsiaTheme="minorEastAsia" w:cstheme="minorBidi"/>
          <w:sz w:val="21"/>
          <w:szCs w:val="21"/>
          <w:shd w:val="clear"/>
        </w:rPr>
        <w:t>格预审时提供的资料，以证实其各项资格条件仍能继续满足资格预审文件的要求，且没有实质性</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hint="eastAsia" w:asciiTheme="minorEastAsia" w:hAnsiTheme="minorEastAsia"/>
          <w:sz w:val="21"/>
          <w:szCs w:val="21"/>
        </w:rPr>
      </w:pPr>
      <w:r>
        <w:rPr>
          <w:rFonts w:hint="eastAsia" w:asciiTheme="minorEastAsia" w:hAnsiTheme="minorEastAsia" w:eastAsiaTheme="minorEastAsia" w:cstheme="minorBidi"/>
          <w:sz w:val="21"/>
          <w:szCs w:val="21"/>
          <w:shd w:val="clear"/>
        </w:rPr>
        <w:t xml:space="preserve">降低。 </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244" w:name="_Toc152045552"/>
      <w:bookmarkStart w:id="1245" w:name="_Toc1328047448"/>
      <w:bookmarkStart w:id="1246" w:name="_Toc179632570"/>
      <w:bookmarkStart w:id="1247" w:name="_Toc1235873980"/>
      <w:bookmarkStart w:id="1248" w:name="_Toc128744394"/>
      <w:bookmarkStart w:id="1249" w:name="_Toc20670"/>
      <w:bookmarkStart w:id="1250" w:name="_Toc706508672"/>
      <w:bookmarkStart w:id="1251" w:name="_Toc799761612"/>
      <w:bookmarkStart w:id="1252" w:name="_Toc15034"/>
      <w:bookmarkStart w:id="1253" w:name="_Toc1940218021"/>
      <w:bookmarkStart w:id="1254" w:name="_Toc144974520"/>
      <w:bookmarkStart w:id="1255" w:name="_Toc1614724763"/>
      <w:bookmarkStart w:id="1256" w:name="_Toc1620945635"/>
      <w:bookmarkStart w:id="1257" w:name="_Toc27348"/>
      <w:bookmarkStart w:id="1258" w:name="_Toc19549"/>
      <w:bookmarkStart w:id="1259" w:name="_Toc844426745"/>
      <w:bookmarkStart w:id="1260" w:name="_Toc152042328"/>
      <w:bookmarkStart w:id="1261" w:name="_Toc24325197"/>
      <w:bookmarkStart w:id="1262" w:name="_Toc23693"/>
      <w:bookmarkStart w:id="1263" w:name="_Toc459859733"/>
      <w:bookmarkStart w:id="1264" w:name="_Toc1247"/>
      <w:bookmarkStart w:id="1265" w:name="_Toc11075"/>
      <w:bookmarkStart w:id="1266" w:name="_Toc1404753915"/>
      <w:bookmarkStart w:id="1267" w:name="_Toc1133153220"/>
      <w:bookmarkStart w:id="1268" w:name="_Toc26715"/>
      <w:r>
        <w:rPr>
          <w:rFonts w:hint="eastAsia" w:asciiTheme="majorEastAsia" w:hAnsiTheme="majorEastAsia" w:eastAsiaTheme="majorEastAsia" w:cstheme="minorBidi"/>
          <w:b/>
          <w:bCs/>
          <w:sz w:val="21"/>
          <w:szCs w:val="21"/>
        </w:rPr>
        <w:t>3.5 资格审查资料（适用于未进行资格预审的）</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除投标人须知前附表另有规定外，投标人应按下列规定提供资格审查资料，以证明其满足本章</w:t>
      </w:r>
      <w:r>
        <w:rPr>
          <w:rFonts w:hint="eastAsia" w:asciiTheme="minorEastAsia" w:hAnsiTheme="minorEastAsia"/>
          <w:sz w:val="21"/>
          <w:szCs w:val="21"/>
          <w:highlight w:val="none"/>
        </w:rPr>
        <w:t>第1.4款规定的</w:t>
      </w:r>
      <w:r>
        <w:rPr>
          <w:rFonts w:hint="eastAsia" w:asciiTheme="minorEastAsia" w:hAnsiTheme="minorEastAsia"/>
          <w:sz w:val="21"/>
          <w:szCs w:val="21"/>
        </w:rPr>
        <w:t>资质、财务、业绩、信誉等要求。</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3.5.1 “投标人基本情况表”应附投标人营业执照、投标人资质证书副本等材料的扫描件。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3.5.2 “近年财务状况表”应附经会计师事务所或审计机构审计的财务会计报表，包括资产负债表、现金流量表、利润表和财务情况说明书的扫描</w:t>
      </w:r>
      <w:r>
        <w:rPr>
          <w:rFonts w:hint="eastAsia" w:asciiTheme="minorEastAsia" w:hAnsiTheme="minorEastAsia"/>
          <w:sz w:val="21"/>
          <w:szCs w:val="21"/>
          <w:highlight w:val="none"/>
        </w:rPr>
        <w:t>件，具体年份要求见投标人须知前附表。投标</w:t>
      </w:r>
      <w:r>
        <w:rPr>
          <w:rFonts w:hint="eastAsia" w:asciiTheme="minorEastAsia" w:hAnsiTheme="minorEastAsia"/>
          <w:sz w:val="21"/>
          <w:szCs w:val="21"/>
        </w:rPr>
        <w:t>人的成立时间少于投标人须知前附表规定年份的，应提供成立以来的财务状况表。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highlight w:val="none"/>
        </w:rPr>
      </w:pPr>
      <w:r>
        <w:rPr>
          <w:rFonts w:hint="eastAsia" w:asciiTheme="minorEastAsia" w:hAnsiTheme="minorEastAsia"/>
          <w:sz w:val="21"/>
          <w:szCs w:val="21"/>
        </w:rPr>
        <w:t>3.5.3 “近年完成的类似项目情况表”应附中标（成交）通知书、合同文件、批复文件（可研批复或初设批复或实施方案批复）、验收鉴定书（完工验收鉴定书或竣工验收鉴定书或发包人证明材料）</w:t>
      </w:r>
      <w:r>
        <w:rPr>
          <w:rFonts w:hint="eastAsia" w:asciiTheme="minorEastAsia" w:hAnsiTheme="minorEastAsia"/>
          <w:sz w:val="21"/>
          <w:szCs w:val="21"/>
          <w:lang w:eastAsia="zh-CN"/>
        </w:rPr>
        <w:t>，</w:t>
      </w:r>
      <w:r>
        <w:rPr>
          <w:rFonts w:hint="default" w:asciiTheme="minorEastAsia" w:hAnsiTheme="minorEastAsia"/>
          <w:sz w:val="21"/>
          <w:szCs w:val="21"/>
        </w:rPr>
        <w:t>证明材料必须与全国水利建设市场监管平台</w:t>
      </w:r>
      <w:r>
        <w:rPr>
          <w:rFonts w:hint="default" w:asciiTheme="minorEastAsia" w:hAnsiTheme="minorEastAsia"/>
          <w:sz w:val="21"/>
          <w:szCs w:val="21"/>
          <w:highlight w:val="none"/>
        </w:rPr>
        <w:t>填报公示信息一致</w:t>
      </w:r>
      <w:r>
        <w:rPr>
          <w:rFonts w:hint="eastAsia" w:asciiTheme="minorEastAsia" w:hAnsiTheme="minorEastAsia"/>
          <w:sz w:val="21"/>
          <w:szCs w:val="21"/>
          <w:highlight w:val="none"/>
          <w:lang w:eastAsia="zh-CN"/>
        </w:rPr>
        <w:t>；上述发包人证明须经发包人加盖公章；</w:t>
      </w:r>
      <w:r>
        <w:rPr>
          <w:rFonts w:hint="eastAsia" w:asciiTheme="minorEastAsia" w:hAnsiTheme="minorEastAsia"/>
          <w:sz w:val="21"/>
          <w:szCs w:val="21"/>
          <w:highlight w:val="none"/>
        </w:rPr>
        <w:t>具体时间要求见投标人须知前附表，每张表格只填写一个项目，并标明序号。</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sz w:val="21"/>
          <w:szCs w:val="21"/>
        </w:rPr>
      </w:pPr>
      <w:r>
        <w:rPr>
          <w:rFonts w:hint="eastAsia" w:asciiTheme="minorEastAsia" w:hAnsiTheme="minorEastAsia"/>
          <w:strike w:val="0"/>
          <w:dstrike w:val="0"/>
          <w:sz w:val="21"/>
          <w:szCs w:val="21"/>
          <w:highlight w:val="none"/>
        </w:rPr>
        <w:t xml:space="preserve">3.5.4 </w:t>
      </w:r>
      <w:r>
        <w:rPr>
          <w:rFonts w:hint="eastAsia" w:ascii="宋体" w:hAnsi="宋体" w:eastAsia="宋体" w:cs="Times New Roman"/>
          <w:sz w:val="21"/>
          <w:szCs w:val="21"/>
          <w:highlight w:val="none"/>
        </w:rPr>
        <w:t>“近</w:t>
      </w:r>
      <w:r>
        <w:rPr>
          <w:rFonts w:hint="eastAsia" w:ascii="宋体" w:hAnsi="宋体" w:eastAsia="宋体" w:cs="Times New Roman"/>
          <w:sz w:val="21"/>
          <w:szCs w:val="21"/>
        </w:rPr>
        <w:t>年发生的诉讼及仲裁情况”应说明相关情况，并附法院或仲裁机构作出的判决、裁决等有关法律文书</w:t>
      </w:r>
      <w:r>
        <w:rPr>
          <w:rFonts w:hint="eastAsia" w:ascii="宋体" w:hAnsi="宋体" w:eastAsia="宋体" w:cs="Times New Roman"/>
          <w:sz w:val="21"/>
          <w:szCs w:val="21"/>
          <w:lang w:val="en-US" w:eastAsia="zh-Hans"/>
        </w:rPr>
        <w:t>扫描件</w:t>
      </w:r>
      <w:r>
        <w:rPr>
          <w:rFonts w:hint="eastAsia" w:ascii="宋体" w:hAnsi="宋体" w:eastAsia="宋体" w:cs="Times New Roman"/>
          <w:sz w:val="21"/>
          <w:szCs w:val="21"/>
        </w:rPr>
        <w:t>，具体年份要求见投标人须知前附表。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default" w:asciiTheme="minorEastAsia" w:hAnsiTheme="minorEastAsia" w:eastAsiaTheme="minorEastAsia"/>
          <w:sz w:val="21"/>
          <w:szCs w:val="21"/>
          <w:highlight w:val="none"/>
          <w:lang w:val="en-US" w:eastAsia="zh-CN"/>
        </w:rPr>
      </w:pPr>
      <w:r>
        <w:rPr>
          <w:rFonts w:hint="eastAsia" w:ascii="宋体" w:hAnsi="宋体" w:eastAsia="宋体" w:cs="Times New Roman"/>
          <w:sz w:val="21"/>
          <w:szCs w:val="21"/>
          <w:highlight w:val="none"/>
        </w:rPr>
        <w:t xml:space="preserve">3.5.5 </w:t>
      </w:r>
      <w:r>
        <w:rPr>
          <w:rFonts w:hint="eastAsia" w:asciiTheme="minorEastAsia" w:hAnsiTheme="minorEastAsia"/>
          <w:sz w:val="21"/>
          <w:szCs w:val="21"/>
          <w:highlight w:val="none"/>
        </w:rPr>
        <w:t>“拟委任的主要人员汇总表”应填报满足本章第1.4.1项规定的项目负责人和其他主要人员的相关信息。“主要人员简历表”中项目负责人应附身份证、学历证、职称证、执业资格证书</w:t>
      </w:r>
      <w:r>
        <w:rPr>
          <w:rFonts w:hint="eastAsia"/>
          <w:sz w:val="21"/>
          <w:szCs w:val="21"/>
          <w:lang w:eastAsia="zh-CN"/>
        </w:rPr>
        <w:t>（</w:t>
      </w:r>
      <w:r>
        <w:rPr>
          <w:rFonts w:hint="eastAsia"/>
          <w:sz w:val="21"/>
          <w:szCs w:val="21"/>
          <w:lang w:val="en-US" w:eastAsia="zh-CN"/>
        </w:rPr>
        <w:t>如有</w:t>
      </w:r>
      <w:r>
        <w:rPr>
          <w:rFonts w:hint="eastAsia"/>
          <w:sz w:val="21"/>
          <w:szCs w:val="21"/>
          <w:lang w:eastAsia="zh-CN"/>
        </w:rPr>
        <w:t>）</w:t>
      </w:r>
      <w:r>
        <w:rPr>
          <w:rFonts w:hint="eastAsia" w:asciiTheme="minorEastAsia" w:hAnsiTheme="minorEastAsia"/>
          <w:sz w:val="21"/>
          <w:szCs w:val="21"/>
          <w:highlight w:val="none"/>
        </w:rPr>
        <w:t>和</w:t>
      </w:r>
      <w:r>
        <w:rPr>
          <w:rFonts w:hint="eastAsia" w:asciiTheme="minorEastAsia" w:hAnsiTheme="minorEastAsia"/>
          <w:sz w:val="21"/>
          <w:szCs w:val="21"/>
          <w:highlight w:val="none"/>
          <w:lang w:eastAsia="zh-CN"/>
        </w:rPr>
        <w:t>“</w:t>
      </w:r>
      <w:r>
        <w:rPr>
          <w:rFonts w:hint="eastAsia" w:asciiTheme="minorEastAsia" w:hAnsiTheme="minorEastAsia"/>
          <w:sz w:val="21"/>
          <w:szCs w:val="21"/>
          <w:highlight w:val="none"/>
          <w:lang w:val="en-US" w:eastAsia="zh-CN"/>
        </w:rPr>
        <w:t>五险一金</w:t>
      </w:r>
      <w:r>
        <w:rPr>
          <w:rFonts w:hint="eastAsia" w:asciiTheme="minorEastAsia" w:hAnsiTheme="minorEastAsia"/>
          <w:sz w:val="21"/>
          <w:szCs w:val="21"/>
          <w:highlight w:val="none"/>
          <w:lang w:eastAsia="zh-CN"/>
        </w:rPr>
        <w:t>”</w:t>
      </w:r>
      <w:r>
        <w:rPr>
          <w:rFonts w:hint="eastAsia" w:asciiTheme="minorEastAsia" w:hAnsiTheme="minorEastAsia"/>
          <w:sz w:val="21"/>
          <w:szCs w:val="21"/>
          <w:highlight w:val="none"/>
        </w:rPr>
        <w:t>缴费证明扫描件，管理过的项目业绩以中标（成交）通知书、合同文件、批复文件（可研批复或初设批复或实施方案批复）、验收鉴定书（完工验收鉴定书或竣工验收鉴定书或发包人证明材料）为准，证明材料必须载明项目负责人（项目总设计师）姓名，证明材料必须与全国水利建设市场监管平台填报公示信息一致，不一致的不予认定；其他主要人员应附身份证、学历证、职称证、有关证书</w:t>
      </w:r>
      <w:r>
        <w:rPr>
          <w:rFonts w:hint="eastAsia"/>
          <w:sz w:val="21"/>
          <w:szCs w:val="21"/>
          <w:lang w:eastAsia="zh-CN"/>
        </w:rPr>
        <w:t>（</w:t>
      </w:r>
      <w:r>
        <w:rPr>
          <w:rFonts w:hint="eastAsia"/>
          <w:sz w:val="21"/>
          <w:szCs w:val="21"/>
          <w:lang w:val="en-US" w:eastAsia="zh-CN"/>
        </w:rPr>
        <w:t>如有</w:t>
      </w:r>
      <w:r>
        <w:rPr>
          <w:rFonts w:hint="eastAsia"/>
          <w:sz w:val="21"/>
          <w:szCs w:val="21"/>
          <w:lang w:eastAsia="zh-CN"/>
        </w:rPr>
        <w:t>）</w:t>
      </w:r>
      <w:r>
        <w:rPr>
          <w:rFonts w:hint="eastAsia" w:asciiTheme="minorEastAsia" w:hAnsiTheme="minorEastAsia"/>
          <w:sz w:val="21"/>
          <w:szCs w:val="21"/>
          <w:highlight w:val="none"/>
        </w:rPr>
        <w:t>和</w:t>
      </w:r>
      <w:r>
        <w:rPr>
          <w:rFonts w:hint="eastAsia" w:asciiTheme="minorEastAsia" w:hAnsiTheme="minorEastAsia"/>
          <w:sz w:val="21"/>
          <w:szCs w:val="21"/>
          <w:highlight w:val="none"/>
          <w:lang w:eastAsia="zh-CN"/>
        </w:rPr>
        <w:t>“</w:t>
      </w:r>
      <w:r>
        <w:rPr>
          <w:rFonts w:hint="eastAsia" w:asciiTheme="minorEastAsia" w:hAnsiTheme="minorEastAsia"/>
          <w:sz w:val="21"/>
          <w:szCs w:val="21"/>
          <w:highlight w:val="none"/>
          <w:lang w:val="en-US" w:eastAsia="zh-CN"/>
        </w:rPr>
        <w:t>五险一金”</w:t>
      </w:r>
      <w:r>
        <w:rPr>
          <w:rFonts w:hint="eastAsia" w:asciiTheme="minorEastAsia" w:hAnsiTheme="minorEastAsia"/>
          <w:sz w:val="21"/>
          <w:szCs w:val="21"/>
          <w:highlight w:val="none"/>
        </w:rPr>
        <w:t>缴费证明扫描件。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cstheme="minorBidi"/>
          <w:sz w:val="21"/>
          <w:szCs w:val="21"/>
          <w:shd w:val="clear"/>
        </w:rPr>
        <w:t>3.5.</w:t>
      </w:r>
      <w:r>
        <w:rPr>
          <w:rFonts w:hint="eastAsia" w:asciiTheme="minorEastAsia" w:hAnsiTheme="minorEastAsia" w:cstheme="minorBidi"/>
          <w:sz w:val="21"/>
          <w:szCs w:val="21"/>
          <w:shd w:val="clear"/>
          <w:lang w:val="en-US" w:eastAsia="zh-CN"/>
        </w:rPr>
        <w:t>6</w:t>
      </w:r>
      <w:r>
        <w:rPr>
          <w:rFonts w:hint="eastAsia" w:asciiTheme="minorEastAsia" w:hAnsiTheme="minorEastAsia" w:cstheme="minorBidi"/>
          <w:sz w:val="21"/>
          <w:szCs w:val="21"/>
          <w:shd w:val="clear"/>
        </w:rPr>
        <w:t xml:space="preserve"> </w:t>
      </w:r>
      <w:r>
        <w:rPr>
          <w:rFonts w:hint="eastAsia" w:asciiTheme="minorEastAsia" w:hAnsiTheme="minorEastAsia"/>
          <w:sz w:val="21"/>
          <w:szCs w:val="21"/>
        </w:rPr>
        <w:t>投标人须知前附表规定接受联合体投标的，本章第3.5.1项至第3.5.</w:t>
      </w:r>
      <w:r>
        <w:rPr>
          <w:rFonts w:hint="eastAsia" w:asciiTheme="minorEastAsia" w:hAnsiTheme="minorEastAsia"/>
          <w:sz w:val="21"/>
          <w:szCs w:val="21"/>
          <w:lang w:val="en-US" w:eastAsia="zh-CN"/>
        </w:rPr>
        <w:t>5</w:t>
      </w:r>
      <w:r>
        <w:rPr>
          <w:rFonts w:hint="eastAsia" w:asciiTheme="minorEastAsia" w:hAnsiTheme="minorEastAsia"/>
          <w:sz w:val="21"/>
          <w:szCs w:val="21"/>
        </w:rPr>
        <w:t>项规定的表格和资料应包括联合体各方相关情况。</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269" w:name="_Toc7186502"/>
      <w:bookmarkStart w:id="1270" w:name="_Toc928244602"/>
      <w:bookmarkStart w:id="1271" w:name="_Toc16502"/>
      <w:bookmarkStart w:id="1272" w:name="_Toc515440777"/>
      <w:bookmarkStart w:id="1273" w:name="_Toc854166041"/>
      <w:bookmarkStart w:id="1274" w:name="_Toc1852582899"/>
      <w:bookmarkStart w:id="1275" w:name="_Toc811693049"/>
      <w:bookmarkStart w:id="1276" w:name="_Toc21093"/>
      <w:bookmarkStart w:id="1277" w:name="_Toc1977426347"/>
      <w:bookmarkStart w:id="1278" w:name="_Toc1290997429"/>
      <w:bookmarkStart w:id="1279" w:name="_Toc511396066"/>
      <w:bookmarkStart w:id="1280" w:name="_Toc516823016"/>
      <w:bookmarkStart w:id="1281" w:name="_Toc471"/>
      <w:bookmarkStart w:id="1282" w:name="_Toc774923989"/>
      <w:bookmarkStart w:id="1283" w:name="_Toc1708363839"/>
      <w:bookmarkStart w:id="1284" w:name="_Toc872148076"/>
      <w:bookmarkStart w:id="1285" w:name="_Toc1021186944"/>
      <w:bookmarkStart w:id="1286" w:name="_Toc311"/>
      <w:bookmarkStart w:id="1287" w:name="_Toc1695915265"/>
      <w:bookmarkStart w:id="1288" w:name="_Toc255741603"/>
      <w:bookmarkStart w:id="1289" w:name="_Toc68886978"/>
      <w:bookmarkStart w:id="1290" w:name="_Toc19584"/>
      <w:bookmarkStart w:id="1291" w:name="_Toc109791481"/>
      <w:bookmarkStart w:id="1292" w:name="_Toc30341"/>
      <w:bookmarkStart w:id="1293" w:name="_Toc20410"/>
      <w:bookmarkStart w:id="1294" w:name="_Toc5685"/>
      <w:r>
        <w:rPr>
          <w:rFonts w:hint="eastAsia" w:asciiTheme="majorEastAsia" w:hAnsiTheme="majorEastAsia" w:eastAsiaTheme="majorEastAsia"/>
          <w:sz w:val="21"/>
          <w:szCs w:val="21"/>
        </w:rPr>
        <w:t>3.6 备选投标方案</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3.6.1 除投标人须知前附表规定允许外，投标人不得递交备选投标方案，否则其投标将被否决。</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3.6.2 允许投标人递交备选投标方案的，只有中标人所递交的备选投标方案方可予以考虑。</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评标委员会认为中标人的备选投标方案优于其按照招标文件要求编制的投标方案的，招标人可以接受该备选投标方案。</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3.6.3 投标人提供两个或两个以上投标报价，或者在投标文件中提供一个报价，但同时提供两个或两个以上技术方案的，视为提供备选方案。</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295" w:name="_Toc23419"/>
      <w:bookmarkStart w:id="1296" w:name="_Toc614681683"/>
      <w:bookmarkStart w:id="1297" w:name="_Toc21664"/>
      <w:bookmarkStart w:id="1298" w:name="_Toc2142869287"/>
      <w:bookmarkStart w:id="1299" w:name="_Toc289753513"/>
      <w:bookmarkStart w:id="1300" w:name="_Toc1044"/>
      <w:bookmarkStart w:id="1301" w:name="_Toc515440778"/>
      <w:bookmarkStart w:id="1302" w:name="_Toc7186503"/>
      <w:bookmarkStart w:id="1303" w:name="_Toc1134343974"/>
      <w:bookmarkStart w:id="1304" w:name="_Toc1844895871"/>
      <w:bookmarkStart w:id="1305" w:name="_Toc399660984"/>
      <w:bookmarkStart w:id="1306" w:name="_Toc1806647715"/>
      <w:bookmarkStart w:id="1307" w:name="_Toc147693057"/>
      <w:bookmarkStart w:id="1308" w:name="_Toc511396067"/>
      <w:bookmarkStart w:id="1309" w:name="_Toc516823017"/>
      <w:bookmarkStart w:id="1310" w:name="_Toc1616822557"/>
      <w:bookmarkStart w:id="1311" w:name="_Toc6458"/>
      <w:bookmarkStart w:id="1312" w:name="_Toc32650"/>
      <w:bookmarkStart w:id="1313" w:name="_Toc576968394"/>
      <w:bookmarkStart w:id="1314" w:name="_Toc28028"/>
      <w:bookmarkStart w:id="1315" w:name="_Toc14529"/>
      <w:bookmarkStart w:id="1316" w:name="_Toc19505"/>
      <w:bookmarkStart w:id="1317" w:name="_Toc1308948799"/>
      <w:bookmarkStart w:id="1318" w:name="_Toc1766503562"/>
      <w:bookmarkStart w:id="1319" w:name="_Toc1685814006"/>
      <w:bookmarkStart w:id="1320" w:name="_Toc40470892"/>
      <w:r>
        <w:rPr>
          <w:rFonts w:hint="eastAsia" w:asciiTheme="majorEastAsia" w:hAnsiTheme="majorEastAsia" w:eastAsiaTheme="majorEastAsia"/>
          <w:sz w:val="21"/>
          <w:szCs w:val="21"/>
        </w:rPr>
        <w:t>3.7 投标文件的编制</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3.7.1 投标文件应按第六章“投标文件格式”进行编写，如有必要，可以增加附页，作为投标文件的组成部分。</w:t>
      </w:r>
      <w:r>
        <w:rPr>
          <w:rFonts w:hint="eastAsia" w:asciiTheme="minorEastAsia" w:hAnsiTheme="minorEastAsia"/>
          <w:sz w:val="21"/>
          <w:szCs w:val="21"/>
          <w:highlight w:val="none"/>
        </w:rPr>
        <w:t>其中，投标函附录在满</w:t>
      </w:r>
      <w:r>
        <w:rPr>
          <w:rFonts w:hint="eastAsia" w:asciiTheme="minorEastAsia" w:hAnsiTheme="minorEastAsia"/>
          <w:sz w:val="21"/>
          <w:szCs w:val="21"/>
        </w:rPr>
        <w:t>足招标文件实质性要求的基础上，可以提出比招标文件要求更有利于招标人的承诺。</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3.7.2 投标文件应当对招标文件有关服务期限、投标有效期、发包人要求、招标范围等实质性内容作出响应。</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3.7.3 投标文件全部采用电子文档，除投标人须知前附表另有规定外，投标文件所附证书证件均为原件扫描件，并采用单位和个人数字证书，按招标文件要求在相应位置加盖电子印章。由投标人的法定代表人签字或加盖电子印章的，应附法定代表人身份证明，由代理人签字或加盖电子印章的，应附由法定代表人签署的授权委托书。签字或盖章的具体要求见投标人须知前附表。</w:t>
      </w:r>
    </w:p>
    <w:p>
      <w:pPr>
        <w:pageBreakBefore w:val="0"/>
        <w:widowControl/>
        <w:shd w:val="clear" w:color="auto" w:fill="FFFFFF"/>
        <w:kinsoku/>
        <w:wordWrap/>
        <w:overflowPunct/>
        <w:topLinePunct w:val="0"/>
        <w:autoSpaceDE/>
        <w:autoSpaceDN/>
        <w:bidi w:val="0"/>
        <w:snapToGrid w:val="0"/>
        <w:spacing w:line="360" w:lineRule="auto"/>
        <w:ind w:firstLineChars="200"/>
        <w:jc w:val="left"/>
        <w:textAlignment w:val="auto"/>
        <w:rPr>
          <w:rFonts w:hint="eastAsia" w:ascii="宋体" w:hAnsi="宋体" w:eastAsia="宋体" w:cs="Times New Roman"/>
          <w:sz w:val="21"/>
          <w:szCs w:val="21"/>
          <w:lang w:eastAsia="zh-Hans"/>
        </w:rPr>
      </w:pPr>
      <w:r>
        <w:rPr>
          <w:rFonts w:hint="eastAsia" w:ascii="宋体" w:hAnsi="宋体" w:eastAsia="宋体" w:cs="Times New Roman"/>
          <w:sz w:val="21"/>
          <w:szCs w:val="21"/>
        </w:rPr>
        <w:t>3.7.4</w:t>
      </w:r>
      <w:r>
        <w:rPr>
          <w:rFonts w:hint="default" w:ascii="宋体" w:hAnsi="宋体" w:eastAsia="宋体" w:cs="Times New Roman"/>
          <w:sz w:val="21"/>
          <w:szCs w:val="21"/>
        </w:rPr>
        <w:t xml:space="preserve"> </w:t>
      </w:r>
      <w:r>
        <w:rPr>
          <w:rFonts w:hint="eastAsia" w:ascii="宋体" w:hAnsi="宋体" w:eastAsia="宋体" w:cs="Times New Roman"/>
          <w:b w:val="0"/>
          <w:bCs w:val="0"/>
          <w:sz w:val="21"/>
          <w:szCs w:val="21"/>
          <w:u w:val="none"/>
        </w:rPr>
        <w:t>投标人的投标文件存在下列情形，视为投标文件雷同</w:t>
      </w:r>
      <w:r>
        <w:rPr>
          <w:rFonts w:hint="eastAsia" w:ascii="宋体" w:hAnsi="宋体" w:eastAsia="宋体" w:cs="Times New Roman"/>
          <w:b w:val="0"/>
          <w:bCs w:val="0"/>
          <w:sz w:val="21"/>
          <w:szCs w:val="21"/>
          <w:u w:val="none"/>
          <w:lang w:eastAsia="zh-Hans"/>
        </w:rPr>
        <w:t>：</w:t>
      </w:r>
    </w:p>
    <w:p>
      <w:pPr>
        <w:pageBreakBefore w:val="0"/>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lang w:eastAsia="zh-Hans"/>
        </w:rPr>
        <w:t>（1）</w:t>
      </w:r>
      <w:r>
        <w:rPr>
          <w:rFonts w:hint="eastAsia" w:ascii="宋体" w:hAnsi="宋体" w:eastAsia="宋体" w:cs="Times New Roman"/>
          <w:sz w:val="21"/>
          <w:szCs w:val="21"/>
        </w:rPr>
        <w:t xml:space="preserve">不同投标人的电子投标文件使用同一台计算机编制。不同投标人编制电子投标文件的计算机硬件信息中存在一条及以上的计算机网卡 MAC 地址、CPU序列号和硬盘序列号均相同的。 </w:t>
      </w:r>
    </w:p>
    <w:p>
      <w:pPr>
        <w:pageBreakBefore w:val="0"/>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sz w:val="21"/>
          <w:szCs w:val="21"/>
          <w:lang w:eastAsia="zh-Hans"/>
        </w:rPr>
      </w:pPr>
      <w:r>
        <w:rPr>
          <w:rFonts w:hint="eastAsia" w:ascii="宋体" w:hAnsi="宋体" w:eastAsia="宋体" w:cs="Times New Roman"/>
          <w:sz w:val="21"/>
          <w:szCs w:val="21"/>
          <w:lang w:eastAsia="zh-Hans"/>
        </w:rPr>
        <w:t>（2）</w:t>
      </w:r>
      <w:r>
        <w:rPr>
          <w:rFonts w:hint="eastAsia" w:ascii="宋体" w:hAnsi="宋体" w:eastAsia="宋体" w:cs="Times New Roman"/>
          <w:sz w:val="21"/>
          <w:szCs w:val="21"/>
        </w:rPr>
        <w:t>不同投标人的电子投标文件在同一台计算机上传、解密。不同投标人的电子投标文件上传或解密的计算机网卡MAC地址、 CPU序列号和硬盘序列号等硬件信息均相同的</w:t>
      </w:r>
      <w:r>
        <w:rPr>
          <w:rFonts w:hint="eastAsia" w:ascii="宋体" w:hAnsi="宋体" w:eastAsia="宋体" w:cs="Times New Roman"/>
          <w:sz w:val="21"/>
          <w:szCs w:val="21"/>
          <w:lang w:eastAsia="zh-Hans"/>
        </w:rPr>
        <w:t>（</w:t>
      </w:r>
      <w:r>
        <w:rPr>
          <w:rFonts w:hint="eastAsia" w:ascii="宋体" w:hAnsi="宋体" w:eastAsia="宋体" w:cs="Times New Roman"/>
          <w:sz w:val="21"/>
          <w:szCs w:val="21"/>
        </w:rPr>
        <w:t>开标现场上传、 解密电子投标文件的除外</w:t>
      </w:r>
      <w:r>
        <w:rPr>
          <w:rFonts w:hint="eastAsia" w:ascii="宋体" w:hAnsi="宋体" w:eastAsia="宋体" w:cs="Times New Roman"/>
          <w:sz w:val="21"/>
          <w:szCs w:val="21"/>
          <w:lang w:eastAsia="zh-Hans"/>
        </w:rPr>
        <w:t>）。</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eastAsia="zh-Hans"/>
        </w:rPr>
      </w:pPr>
      <w:r>
        <w:rPr>
          <w:rFonts w:hint="eastAsia" w:ascii="宋体" w:hAnsi="宋体" w:eastAsia="宋体" w:cs="Times New Roman"/>
          <w:b w:val="0"/>
          <w:bCs w:val="0"/>
          <w:kern w:val="2"/>
          <w:sz w:val="21"/>
          <w:szCs w:val="21"/>
          <w:u w:val="none"/>
          <w:lang w:eastAsia="zh-Hans"/>
        </w:rPr>
        <w:t>（</w:t>
      </w:r>
      <w:r>
        <w:rPr>
          <w:rFonts w:hint="default" w:ascii="宋体" w:hAnsi="宋体" w:eastAsia="宋体" w:cs="Times New Roman"/>
          <w:b w:val="0"/>
          <w:bCs w:val="0"/>
          <w:kern w:val="2"/>
          <w:sz w:val="21"/>
          <w:szCs w:val="21"/>
          <w:u w:val="none"/>
          <w:lang w:eastAsia="zh-Hans"/>
        </w:rPr>
        <w:t>3</w:t>
      </w:r>
      <w:r>
        <w:rPr>
          <w:rFonts w:hint="eastAsia" w:ascii="宋体" w:hAnsi="宋体" w:eastAsia="宋体" w:cs="Times New Roman"/>
          <w:b w:val="0"/>
          <w:bCs w:val="0"/>
          <w:kern w:val="2"/>
          <w:sz w:val="21"/>
          <w:szCs w:val="21"/>
          <w:u w:val="none"/>
          <w:lang w:eastAsia="zh-Hans"/>
        </w:rPr>
        <w:t>）不同投标人的技术文件经电子交易平台查重分析，内容异常一致或者实质性相同的。</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highlight w:val="none"/>
          <w:u w:val="none"/>
          <w:lang w:val="en-US" w:eastAsia="zh-CN"/>
        </w:rPr>
      </w:pPr>
      <w:r>
        <w:rPr>
          <w:rFonts w:hint="eastAsia" w:ascii="宋体" w:hAnsi="宋体" w:eastAsia="宋体" w:cs="Times New Roman"/>
          <w:b w:val="0"/>
          <w:bCs w:val="0"/>
          <w:kern w:val="2"/>
          <w:sz w:val="21"/>
          <w:szCs w:val="21"/>
          <w:highlight w:val="none"/>
          <w:u w:val="none"/>
          <w:lang w:val="en-US" w:eastAsia="zh-CN"/>
        </w:rPr>
        <w:t>3.7.5 投标文件技术部分采用暗标评审，提交的设计方案、资源配备及服务能力不得有任何有关投标人的暗示，并应按以下方式进行编制：</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（1）技术文件格式统一按要求进行编制；技术文件内不得出现投标人名称或者任何能引起判断出投标人名称和其相关人员信息的内容；不得在技术投标文件内出现空白页、重复页情况；</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（2）A4幅面，全篇无色底纹；无页眉、页脚、页码；图表用纸幅面小于A4的用A4幅面，大于A4幅面的一律使用A3幅面；</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（3）字体与排版要求：小四号宋体；常规字形，字体颜色为黑色，不得有任何修饰；字间距为标准，字体位置为标准，行间距为1.5倍行距，段前及段后间距均为0行；上、下、左、右页边距均为2.5厘米；</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（4）相关附图（含图中表格）字体颜色为黑色，宋体字体，常规字形，不得有任何修饰，以清晰为准；</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（5）技术文件不做目录；</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（6）技术文件中不得出现任何有关投标人的资料及可以识别的记号。</w:t>
      </w:r>
    </w:p>
    <w:p>
      <w:pPr>
        <w:pageBreakBefore w:val="0"/>
        <w:numPr>
          <w:ilvl w:val="0"/>
          <w:numId w:val="0"/>
        </w:numPr>
        <w:shd w:val="clear" w:color="auto" w:fill="FFFFFF"/>
        <w:kinsoku/>
        <w:wordWrap/>
        <w:overflowPunct/>
        <w:topLinePunct w:val="0"/>
        <w:autoSpaceDE/>
        <w:autoSpaceDN/>
        <w:bidi w:val="0"/>
        <w:snapToGrid w:val="0"/>
        <w:spacing w:line="360" w:lineRule="auto"/>
        <w:ind w:firstLine="420" w:firstLineChars="200"/>
        <w:textAlignment w:val="auto"/>
        <w:rPr>
          <w:rFonts w:hint="eastAsia" w:ascii="宋体" w:hAnsi="宋体" w:eastAsia="宋体" w:cs="Times New Roman"/>
          <w:b w:val="0"/>
          <w:bCs w:val="0"/>
          <w:kern w:val="2"/>
          <w:sz w:val="21"/>
          <w:szCs w:val="21"/>
          <w:u w:val="none"/>
          <w:lang w:val="en-US" w:eastAsia="zh-CN"/>
        </w:rPr>
      </w:pPr>
      <w:r>
        <w:rPr>
          <w:rFonts w:hint="eastAsia" w:ascii="宋体" w:hAnsi="宋体" w:eastAsia="宋体" w:cs="Times New Roman"/>
          <w:b w:val="0"/>
          <w:bCs w:val="0"/>
          <w:kern w:val="2"/>
          <w:sz w:val="21"/>
          <w:szCs w:val="21"/>
          <w:u w:val="none"/>
          <w:lang w:val="en-US" w:eastAsia="zh-CN"/>
        </w:rPr>
        <w:t>（幅面大小、行距及页边距只是word或wps格式文本制作设置要求，评标委员会成员认为电子投标文件最终实际展示情况明显异常的，须经评标委员会讨论确定。）</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1321" w:name="_Toc1056861072"/>
      <w:bookmarkStart w:id="1322" w:name="_Toc1348"/>
      <w:bookmarkStart w:id="1323" w:name="_Toc1796008511"/>
      <w:bookmarkStart w:id="1324" w:name="_Toc1826130008"/>
      <w:bookmarkStart w:id="1325" w:name="_Toc7186504"/>
      <w:bookmarkStart w:id="1326" w:name="_Toc1558704111"/>
      <w:bookmarkStart w:id="1327" w:name="_Toc8412"/>
      <w:bookmarkStart w:id="1328" w:name="_Toc511396068"/>
      <w:bookmarkStart w:id="1329" w:name="_Toc679984925"/>
      <w:bookmarkStart w:id="1330" w:name="_Toc516823018"/>
      <w:bookmarkStart w:id="1331" w:name="_Toc1920793919"/>
      <w:bookmarkStart w:id="1332" w:name="_Toc1903346419"/>
      <w:bookmarkStart w:id="1333" w:name="_Toc10187"/>
      <w:bookmarkStart w:id="1334" w:name="_Toc21879"/>
      <w:bookmarkStart w:id="1335" w:name="_Toc1219131753"/>
      <w:bookmarkStart w:id="1336" w:name="_Toc1706836599"/>
      <w:bookmarkStart w:id="1337" w:name="_Toc1933596714"/>
      <w:bookmarkStart w:id="1338" w:name="_Toc22600"/>
      <w:bookmarkStart w:id="1339" w:name="_Toc27385"/>
      <w:bookmarkStart w:id="1340" w:name="_Toc663946759"/>
      <w:bookmarkStart w:id="1341" w:name="_Toc21337"/>
      <w:bookmarkStart w:id="1342" w:name="_Toc15568"/>
      <w:bookmarkStart w:id="1343" w:name="_Toc515440779"/>
      <w:bookmarkStart w:id="1344" w:name="_Toc1589449392"/>
      <w:bookmarkStart w:id="1345" w:name="_Toc1724243971"/>
      <w:bookmarkStart w:id="1346" w:name="_Toc1541865242"/>
      <w:r>
        <w:rPr>
          <w:rFonts w:hint="eastAsia" w:asciiTheme="majorEastAsia" w:hAnsiTheme="majorEastAsia"/>
          <w:sz w:val="21"/>
          <w:szCs w:val="21"/>
        </w:rPr>
        <w:t>4. 投标</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347" w:name="_Toc516823019"/>
      <w:bookmarkStart w:id="1348" w:name="_Toc515440780"/>
      <w:bookmarkStart w:id="1349" w:name="_Toc511396069"/>
      <w:bookmarkStart w:id="1350" w:name="_Toc14039"/>
      <w:bookmarkStart w:id="1351" w:name="_Toc20069"/>
      <w:bookmarkStart w:id="1352" w:name="_Toc2134467471"/>
      <w:bookmarkStart w:id="1353" w:name="_Toc1224087979"/>
      <w:bookmarkStart w:id="1354" w:name="_Toc626858421"/>
      <w:bookmarkStart w:id="1355" w:name="_Toc18923"/>
      <w:bookmarkStart w:id="1356" w:name="_Toc1809214929"/>
      <w:bookmarkStart w:id="1357" w:name="_Toc89942147"/>
      <w:bookmarkStart w:id="1358" w:name="_Toc484902145"/>
      <w:bookmarkStart w:id="1359" w:name="_Toc1746148788"/>
      <w:bookmarkStart w:id="1360" w:name="_Toc31233"/>
      <w:bookmarkStart w:id="1361" w:name="_Toc716162767"/>
      <w:bookmarkStart w:id="1362" w:name="_Toc27275"/>
      <w:bookmarkStart w:id="1363" w:name="_Toc19819"/>
      <w:bookmarkStart w:id="1364" w:name="_Toc29861"/>
      <w:bookmarkStart w:id="1365" w:name="_Toc7186505"/>
      <w:bookmarkStart w:id="1366" w:name="_Toc826792767"/>
      <w:bookmarkStart w:id="1367" w:name="_Toc628148701"/>
      <w:bookmarkStart w:id="1368" w:name="_Toc15006"/>
      <w:bookmarkStart w:id="1369" w:name="_Toc1326846311"/>
      <w:bookmarkStart w:id="1370" w:name="_Toc443953945"/>
      <w:bookmarkStart w:id="1371" w:name="_Toc2078245179"/>
      <w:bookmarkStart w:id="1372" w:name="_Toc805896644"/>
      <w:r>
        <w:rPr>
          <w:rFonts w:hint="eastAsia" w:asciiTheme="majorEastAsia" w:hAnsiTheme="majorEastAsia" w:eastAsiaTheme="majorEastAsia"/>
          <w:sz w:val="21"/>
          <w:szCs w:val="21"/>
        </w:rPr>
        <w:t>4.1 投标文件的</w:t>
      </w:r>
      <w:bookmarkEnd w:id="1347"/>
      <w:bookmarkEnd w:id="1348"/>
      <w:bookmarkEnd w:id="1349"/>
      <w:r>
        <w:rPr>
          <w:rFonts w:hint="eastAsia" w:asciiTheme="majorEastAsia" w:hAnsiTheme="majorEastAsia" w:eastAsiaTheme="majorEastAsia"/>
          <w:sz w:val="21"/>
          <w:szCs w:val="21"/>
        </w:rPr>
        <w:t>加密</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4.1.1 投标人应当按照招标文件和电子招标投标交易平台的要求加密投标文件，具体要求见</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4.1.2未按本章第4.1.1项要求加密的投标文件，招标人将予以拒收。</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373" w:name="_Toc1175763937"/>
      <w:bookmarkStart w:id="1374" w:name="_Toc54709565"/>
      <w:bookmarkStart w:id="1375" w:name="_Toc2049267181"/>
      <w:bookmarkStart w:id="1376" w:name="_Toc525534079"/>
      <w:bookmarkStart w:id="1377" w:name="_Toc11160014"/>
      <w:bookmarkStart w:id="1378" w:name="_Toc13065"/>
      <w:bookmarkStart w:id="1379" w:name="_Toc673"/>
      <w:bookmarkStart w:id="1380" w:name="_Toc17064"/>
      <w:bookmarkStart w:id="1381" w:name="_Toc515440781"/>
      <w:bookmarkStart w:id="1382" w:name="_Toc26214"/>
      <w:bookmarkStart w:id="1383" w:name="_Toc1254353830"/>
      <w:bookmarkStart w:id="1384" w:name="_Toc511396070"/>
      <w:bookmarkStart w:id="1385" w:name="_Toc245204998"/>
      <w:bookmarkStart w:id="1386" w:name="_Toc27692"/>
      <w:bookmarkStart w:id="1387" w:name="_Toc353324793"/>
      <w:bookmarkStart w:id="1388" w:name="_Toc49910650"/>
      <w:bookmarkStart w:id="1389" w:name="_Toc280461962"/>
      <w:bookmarkStart w:id="1390" w:name="_Toc835758529"/>
      <w:bookmarkStart w:id="1391" w:name="_Toc1976660788"/>
      <w:bookmarkStart w:id="1392" w:name="_Toc7186506"/>
      <w:bookmarkStart w:id="1393" w:name="_Toc265609055"/>
      <w:bookmarkStart w:id="1394" w:name="_Toc12579"/>
      <w:bookmarkStart w:id="1395" w:name="_Toc27604"/>
      <w:bookmarkStart w:id="1396" w:name="_Toc1686838879"/>
      <w:bookmarkStart w:id="1397" w:name="_Toc516823020"/>
      <w:bookmarkStart w:id="1398" w:name="_Toc17047"/>
      <w:r>
        <w:rPr>
          <w:rFonts w:hint="eastAsia" w:asciiTheme="majorEastAsia" w:hAnsiTheme="majorEastAsia" w:eastAsiaTheme="majorEastAsia"/>
          <w:sz w:val="21"/>
          <w:szCs w:val="21"/>
        </w:rPr>
        <w:t>4.2 投标文件的递交</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4.2.1 投标人应在投标人须知前附表规定的投标截止时间前递交投标文件。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4.2.2 投标人通过下载招标文件的电子招标投标交易平台递交电子投标文件。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4.2.3 除投标人须知前附表另有规定外，投标人所递交的投标文件不予退还。</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4.2.4 投标人完成电子投标文件上传后，电子招标投标交易平台即时向投标人发出递交回执</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通知。递交时间以递交回执通知载明的传输完成时间为准。</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4.2.5 逾期送达的投标文件，电子招标投标交易平台将予以拒收。</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399" w:name="_Toc7186507"/>
      <w:bookmarkStart w:id="1400" w:name="_Toc2067453112"/>
      <w:bookmarkStart w:id="1401" w:name="_Toc23480"/>
      <w:bookmarkStart w:id="1402" w:name="_Toc12869"/>
      <w:bookmarkStart w:id="1403" w:name="_Toc4803"/>
      <w:bookmarkStart w:id="1404" w:name="_Toc77858211"/>
      <w:bookmarkStart w:id="1405" w:name="_Toc21542"/>
      <w:bookmarkStart w:id="1406" w:name="_Toc515440782"/>
      <w:bookmarkStart w:id="1407" w:name="_Toc1769415306"/>
      <w:bookmarkStart w:id="1408" w:name="_Toc380658039"/>
      <w:bookmarkStart w:id="1409" w:name="_Toc1329672220"/>
      <w:bookmarkStart w:id="1410" w:name="_Toc735278009"/>
      <w:bookmarkStart w:id="1411" w:name="_Toc516823021"/>
      <w:bookmarkStart w:id="1412" w:name="_Toc24378"/>
      <w:bookmarkStart w:id="1413" w:name="_Toc27852"/>
      <w:bookmarkStart w:id="1414" w:name="_Toc690780481"/>
      <w:bookmarkStart w:id="1415" w:name="_Toc1620368919"/>
      <w:bookmarkStart w:id="1416" w:name="_Toc511396071"/>
      <w:bookmarkStart w:id="1417" w:name="_Toc2145073816"/>
      <w:bookmarkStart w:id="1418" w:name="_Toc51025642"/>
      <w:bookmarkStart w:id="1419" w:name="_Toc537511996"/>
      <w:bookmarkStart w:id="1420" w:name="_Toc165844826"/>
      <w:bookmarkStart w:id="1421" w:name="_Toc2050545523"/>
      <w:bookmarkStart w:id="1422" w:name="_Toc5050"/>
      <w:bookmarkStart w:id="1423" w:name="_Toc29983"/>
      <w:bookmarkStart w:id="1424" w:name="_Toc139282793"/>
      <w:r>
        <w:rPr>
          <w:rFonts w:hint="eastAsia" w:asciiTheme="majorEastAsia" w:hAnsiTheme="majorEastAsia" w:eastAsiaTheme="majorEastAsia"/>
          <w:sz w:val="21"/>
          <w:szCs w:val="21"/>
        </w:rPr>
        <w:t>4.3 投标文件的修改与撤回</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trike/>
          <w:color w:val="00B0F0"/>
          <w:sz w:val="21"/>
          <w:szCs w:val="21"/>
        </w:rPr>
      </w:pPr>
      <w:r>
        <w:rPr>
          <w:rFonts w:hint="eastAsia" w:asciiTheme="minorEastAsia" w:hAnsiTheme="minorEastAsia"/>
          <w:color w:val="auto"/>
          <w:sz w:val="21"/>
          <w:szCs w:val="21"/>
        </w:rPr>
        <w:t>在本章第4.2.1项规定的投标截止时间前，投标人可以修改或撤回已递交的投标文件。</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1425" w:name="_Toc515440783"/>
      <w:bookmarkStart w:id="1426" w:name="_Toc650948485"/>
      <w:bookmarkStart w:id="1427" w:name="_Toc14697"/>
      <w:bookmarkStart w:id="1428" w:name="_Toc2067700423"/>
      <w:bookmarkStart w:id="1429" w:name="_Toc7283"/>
      <w:bookmarkStart w:id="1430" w:name="_Toc31480"/>
      <w:bookmarkStart w:id="1431" w:name="_Toc1196592425"/>
      <w:bookmarkStart w:id="1432" w:name="_Toc745411254"/>
      <w:bookmarkStart w:id="1433" w:name="_Toc30355"/>
      <w:bookmarkStart w:id="1434" w:name="_Toc365877060"/>
      <w:bookmarkStart w:id="1435" w:name="_Toc1300294026"/>
      <w:bookmarkStart w:id="1436" w:name="_Toc26673"/>
      <w:bookmarkStart w:id="1437" w:name="_Toc1399044924"/>
      <w:bookmarkStart w:id="1438" w:name="_Toc701038005"/>
      <w:bookmarkStart w:id="1439" w:name="_Toc1086170858"/>
      <w:bookmarkStart w:id="1440" w:name="_Toc516823022"/>
      <w:bookmarkStart w:id="1441" w:name="_Toc7551"/>
      <w:bookmarkStart w:id="1442" w:name="_Toc300159676"/>
      <w:bookmarkStart w:id="1443" w:name="_Toc168726721"/>
      <w:bookmarkStart w:id="1444" w:name="_Toc2285"/>
      <w:bookmarkStart w:id="1445" w:name="_Toc1647897490"/>
      <w:bookmarkStart w:id="1446" w:name="_Toc7186508"/>
      <w:bookmarkStart w:id="1447" w:name="_Toc511396072"/>
      <w:bookmarkStart w:id="1448" w:name="_Toc5845"/>
      <w:bookmarkStart w:id="1449" w:name="_Toc741989941"/>
      <w:bookmarkStart w:id="1450" w:name="_Toc209504286"/>
      <w:r>
        <w:rPr>
          <w:rFonts w:hint="eastAsia" w:asciiTheme="majorEastAsia" w:hAnsiTheme="majorEastAsia"/>
          <w:sz w:val="21"/>
          <w:szCs w:val="21"/>
        </w:rPr>
        <w:t>5. 开标</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451" w:name="_Toc6913"/>
      <w:bookmarkStart w:id="1452" w:name="_Toc516823023"/>
      <w:bookmarkStart w:id="1453" w:name="_Toc344587729"/>
      <w:bookmarkStart w:id="1454" w:name="_Toc511396073"/>
      <w:bookmarkStart w:id="1455" w:name="_Toc2092016467"/>
      <w:bookmarkStart w:id="1456" w:name="_Toc6647"/>
      <w:bookmarkStart w:id="1457" w:name="_Toc1050066059"/>
      <w:bookmarkStart w:id="1458" w:name="_Toc515440784"/>
      <w:bookmarkStart w:id="1459" w:name="_Toc1412837369"/>
      <w:bookmarkStart w:id="1460" w:name="_Toc31824"/>
      <w:bookmarkStart w:id="1461" w:name="_Toc7186509"/>
      <w:bookmarkStart w:id="1462" w:name="_Toc1854833027"/>
      <w:bookmarkStart w:id="1463" w:name="_Toc1209489577"/>
      <w:bookmarkStart w:id="1464" w:name="_Toc1662610906"/>
      <w:bookmarkStart w:id="1465" w:name="_Toc187400258"/>
      <w:bookmarkStart w:id="1466" w:name="_Toc10876"/>
      <w:bookmarkStart w:id="1467" w:name="_Toc1260633607"/>
      <w:bookmarkStart w:id="1468" w:name="_Toc21400"/>
      <w:bookmarkStart w:id="1469" w:name="_Toc19184"/>
      <w:bookmarkStart w:id="1470" w:name="_Toc1111585807"/>
      <w:bookmarkStart w:id="1471" w:name="_Toc949586665"/>
      <w:bookmarkStart w:id="1472" w:name="_Toc272"/>
      <w:bookmarkStart w:id="1473" w:name="_Toc116519071"/>
      <w:bookmarkStart w:id="1474" w:name="_Toc12846"/>
      <w:bookmarkStart w:id="1475" w:name="_Toc1248103110"/>
      <w:bookmarkStart w:id="1476" w:name="_Toc1250462593"/>
      <w:r>
        <w:rPr>
          <w:rFonts w:hint="eastAsia" w:asciiTheme="majorEastAsia" w:hAnsiTheme="majorEastAsia" w:eastAsiaTheme="majorEastAsia"/>
          <w:sz w:val="21"/>
          <w:szCs w:val="21"/>
        </w:rPr>
        <w:t>5.1 开标时间和地点</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招标人在本章第4.2.1项规定的投标截止时间（开标时间）,通过电子招标投标交易平台公开开标，</w:t>
      </w:r>
      <w:r>
        <w:rPr>
          <w:rFonts w:hint="eastAsia" w:ascii="宋体" w:hAnsi="宋体"/>
          <w:sz w:val="21"/>
          <w:szCs w:val="21"/>
        </w:rPr>
        <w:t>所有投标人</w:t>
      </w:r>
      <w:r>
        <w:rPr>
          <w:rFonts w:hint="eastAsia" w:ascii="宋体" w:hAnsi="宋体"/>
          <w:sz w:val="21"/>
          <w:szCs w:val="21"/>
          <w:lang w:val="en-US" w:eastAsia="zh-Hans"/>
        </w:rPr>
        <w:t>的法定代表人或其委托代理人</w:t>
      </w:r>
      <w:r>
        <w:rPr>
          <w:rFonts w:hint="eastAsia" w:ascii="宋体" w:hAnsi="宋体"/>
          <w:sz w:val="21"/>
          <w:szCs w:val="21"/>
        </w:rPr>
        <w:t>应当准时参加</w:t>
      </w:r>
      <w:r>
        <w:rPr>
          <w:rFonts w:hint="eastAsia" w:asciiTheme="minorEastAsia" w:hAnsiTheme="minorEastAsia"/>
          <w:sz w:val="21"/>
          <w:szCs w:val="21"/>
        </w:rPr>
        <w:t>。</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477" w:name="_Toc1425109704"/>
      <w:bookmarkStart w:id="1478" w:name="_Toc11181"/>
      <w:bookmarkStart w:id="1479" w:name="_Toc395371547"/>
      <w:bookmarkStart w:id="1480" w:name="_Toc830975904"/>
      <w:bookmarkStart w:id="1481" w:name="_Toc1752097798"/>
      <w:bookmarkStart w:id="1482" w:name="_Toc32321"/>
      <w:bookmarkStart w:id="1483" w:name="_Toc515440785"/>
      <w:bookmarkStart w:id="1484" w:name="_Toc1249831009"/>
      <w:bookmarkStart w:id="1485" w:name="_Toc511396074"/>
      <w:bookmarkStart w:id="1486" w:name="_Toc248705874"/>
      <w:bookmarkStart w:id="1487" w:name="_Toc1918492185"/>
      <w:bookmarkStart w:id="1488" w:name="_Toc516823024"/>
      <w:bookmarkStart w:id="1489" w:name="_Toc2526"/>
      <w:bookmarkStart w:id="1490" w:name="_Toc18165"/>
      <w:bookmarkStart w:id="1491" w:name="_Toc6020"/>
      <w:bookmarkStart w:id="1492" w:name="_Toc444282378"/>
      <w:bookmarkStart w:id="1493" w:name="_Toc1958601784"/>
      <w:bookmarkStart w:id="1494" w:name="_Toc1462412996"/>
      <w:bookmarkStart w:id="1495" w:name="_Toc1306064937"/>
      <w:bookmarkStart w:id="1496" w:name="_Toc13858"/>
      <w:bookmarkStart w:id="1497" w:name="_Toc1870048991"/>
      <w:bookmarkStart w:id="1498" w:name="_Toc7186510"/>
      <w:bookmarkStart w:id="1499" w:name="_Toc24503"/>
      <w:bookmarkStart w:id="1500" w:name="_Toc1978423880"/>
      <w:bookmarkStart w:id="1501" w:name="_Toc439642567"/>
      <w:bookmarkStart w:id="1502" w:name="_Toc9343"/>
      <w:r>
        <w:rPr>
          <w:rFonts w:hint="eastAsia" w:asciiTheme="majorEastAsia" w:hAnsiTheme="majorEastAsia" w:eastAsiaTheme="majorEastAsia"/>
          <w:sz w:val="21"/>
          <w:szCs w:val="21"/>
        </w:rPr>
        <w:t>5.2 开标程序</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主持人按下列程序进行开标：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（1）宣布开标纪律；</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（2）公布在投标截止时间前递交投标文件的投标人名称；</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（3）宣布开标人、唱标人、记录人、监标人等有关人员姓名；</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（4）投标人通过电子招标投标交易平台对已递交的电子投标文件进行解密，公布招标项目名称、投标人名称、投标保证金的递交情况、投标报价、</w:t>
      </w:r>
      <w:r>
        <w:rPr>
          <w:rFonts w:hint="eastAsia" w:asciiTheme="minorEastAsia" w:hAnsiTheme="minorEastAsia"/>
          <w:sz w:val="21"/>
          <w:szCs w:val="21"/>
          <w:lang w:val="en-US" w:eastAsia="zh-Hans"/>
        </w:rPr>
        <w:t>勘察</w:t>
      </w:r>
      <w:r>
        <w:rPr>
          <w:rFonts w:hint="default" w:asciiTheme="minorEastAsia" w:hAnsiTheme="minorEastAsia"/>
          <w:sz w:val="21"/>
          <w:szCs w:val="21"/>
          <w:lang w:eastAsia="zh-Hans"/>
        </w:rPr>
        <w:t>/</w:t>
      </w:r>
      <w:r>
        <w:rPr>
          <w:rFonts w:hint="eastAsia" w:asciiTheme="minorEastAsia" w:hAnsiTheme="minorEastAsia"/>
          <w:sz w:val="21"/>
          <w:szCs w:val="21"/>
        </w:rPr>
        <w:t>设计服务期限及其他内容，并记录在案；</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（5）开标结束。</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503" w:name="_Toc1125862087"/>
      <w:bookmarkStart w:id="1504" w:name="_Toc1778677237"/>
      <w:bookmarkStart w:id="1505" w:name="_Toc695186611"/>
      <w:bookmarkStart w:id="1506" w:name="_Toc253286427"/>
      <w:bookmarkStart w:id="1507" w:name="_Toc516823025"/>
      <w:bookmarkStart w:id="1508" w:name="_Toc1728877889"/>
      <w:bookmarkStart w:id="1509" w:name="_Toc1880844659"/>
      <w:bookmarkStart w:id="1510" w:name="_Toc1372216956"/>
      <w:bookmarkStart w:id="1511" w:name="_Toc511396075"/>
      <w:bookmarkStart w:id="1512" w:name="_Toc22783"/>
      <w:bookmarkStart w:id="1513" w:name="_Toc1590842472"/>
      <w:bookmarkStart w:id="1514" w:name="_Toc1490217892"/>
      <w:bookmarkStart w:id="1515" w:name="_Toc30722"/>
      <w:bookmarkStart w:id="1516" w:name="_Toc515440786"/>
      <w:bookmarkStart w:id="1517" w:name="_Toc18398"/>
      <w:bookmarkStart w:id="1518" w:name="_Toc841"/>
      <w:bookmarkStart w:id="1519" w:name="_Toc1211923322"/>
      <w:bookmarkStart w:id="1520" w:name="_Toc824883857"/>
      <w:bookmarkStart w:id="1521" w:name="_Toc996447256"/>
      <w:bookmarkStart w:id="1522" w:name="_Toc1603040172"/>
      <w:bookmarkStart w:id="1523" w:name="_Toc13322"/>
      <w:bookmarkStart w:id="1524" w:name="_Toc8203"/>
      <w:bookmarkStart w:id="1525" w:name="_Toc32185"/>
      <w:bookmarkStart w:id="1526" w:name="_Toc7186511"/>
      <w:bookmarkStart w:id="1527" w:name="_Toc933680137"/>
      <w:bookmarkStart w:id="1528" w:name="_Toc20640"/>
      <w:r>
        <w:rPr>
          <w:rFonts w:hint="eastAsia" w:asciiTheme="majorEastAsia" w:hAnsiTheme="majorEastAsia" w:eastAsiaTheme="majorEastAsia"/>
          <w:sz w:val="21"/>
          <w:szCs w:val="21"/>
        </w:rPr>
        <w:t>5.3 开标异议</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投标人对开标有异议的，</w:t>
      </w:r>
      <w:r>
        <w:rPr>
          <w:rFonts w:hint="eastAsia" w:ascii="宋体" w:hAnsi="宋体"/>
          <w:sz w:val="21"/>
          <w:szCs w:val="21"/>
        </w:rPr>
        <w:t>应当使用本单位的CA证书当场通过电子招标投标交易平台在线提出；招标人应当通过电子招标投标交易平台当场作出答复，电子招标投标交易平台应当记录并保存异议的提出和答复情况</w:t>
      </w:r>
      <w:r>
        <w:rPr>
          <w:rFonts w:hint="eastAsia" w:asciiTheme="minorEastAsia" w:hAnsiTheme="minorEastAsia"/>
          <w:sz w:val="21"/>
          <w:szCs w:val="21"/>
        </w:rPr>
        <w:t>。</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1529" w:name="_Toc1211552286"/>
      <w:bookmarkStart w:id="1530" w:name="_Toc7186512"/>
      <w:bookmarkStart w:id="1531" w:name="_Toc2060364706"/>
      <w:bookmarkStart w:id="1532" w:name="_Toc515440787"/>
      <w:bookmarkStart w:id="1533" w:name="_Toc23079"/>
      <w:bookmarkStart w:id="1534" w:name="_Toc22771"/>
      <w:bookmarkStart w:id="1535" w:name="_Toc2137819530"/>
      <w:bookmarkStart w:id="1536" w:name="_Toc20859"/>
      <w:bookmarkStart w:id="1537" w:name="_Toc672390235"/>
      <w:bookmarkStart w:id="1538" w:name="_Toc1118021754"/>
      <w:bookmarkStart w:id="1539" w:name="_Toc1690331397"/>
      <w:bookmarkStart w:id="1540" w:name="_Toc14393"/>
      <w:bookmarkStart w:id="1541" w:name="_Toc1816043214"/>
      <w:bookmarkStart w:id="1542" w:name="_Toc516823026"/>
      <w:bookmarkStart w:id="1543" w:name="_Toc4489"/>
      <w:bookmarkStart w:id="1544" w:name="_Toc1023494359"/>
      <w:bookmarkStart w:id="1545" w:name="_Toc699053930"/>
      <w:bookmarkStart w:id="1546" w:name="_Toc511396076"/>
      <w:bookmarkStart w:id="1547" w:name="_Toc10875"/>
      <w:bookmarkStart w:id="1548" w:name="_Toc885682492"/>
      <w:bookmarkStart w:id="1549" w:name="_Toc2113819189"/>
      <w:bookmarkStart w:id="1550" w:name="_Toc20359"/>
      <w:bookmarkStart w:id="1551" w:name="_Toc32071"/>
      <w:bookmarkStart w:id="1552" w:name="_Toc1796936513"/>
      <w:bookmarkStart w:id="1553" w:name="_Toc1255956019"/>
      <w:bookmarkStart w:id="1554" w:name="_Toc396899973"/>
      <w:r>
        <w:rPr>
          <w:rFonts w:hint="eastAsia" w:asciiTheme="majorEastAsia" w:hAnsiTheme="majorEastAsia"/>
          <w:sz w:val="21"/>
          <w:szCs w:val="21"/>
        </w:rPr>
        <w:t>6. 评标</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555" w:name="_Toc3715"/>
      <w:bookmarkStart w:id="1556" w:name="_Toc109708228"/>
      <w:bookmarkStart w:id="1557" w:name="_Toc375805867"/>
      <w:bookmarkStart w:id="1558" w:name="_Toc7186513"/>
      <w:bookmarkStart w:id="1559" w:name="_Toc9631"/>
      <w:bookmarkStart w:id="1560" w:name="_Toc1456485687"/>
      <w:bookmarkStart w:id="1561" w:name="_Toc116368773"/>
      <w:bookmarkStart w:id="1562" w:name="_Toc1137137202"/>
      <w:bookmarkStart w:id="1563" w:name="_Toc803729131"/>
      <w:bookmarkStart w:id="1564" w:name="_Toc515440788"/>
      <w:bookmarkStart w:id="1565" w:name="_Toc53222887"/>
      <w:bookmarkStart w:id="1566" w:name="_Toc1236044970"/>
      <w:bookmarkStart w:id="1567" w:name="_Toc4918"/>
      <w:bookmarkStart w:id="1568" w:name="_Toc119329948"/>
      <w:bookmarkStart w:id="1569" w:name="_Toc516823027"/>
      <w:bookmarkStart w:id="1570" w:name="_Toc783942753"/>
      <w:bookmarkStart w:id="1571" w:name="_Toc1049446230"/>
      <w:bookmarkStart w:id="1572" w:name="_Toc25392"/>
      <w:bookmarkStart w:id="1573" w:name="_Toc22475"/>
      <w:bookmarkStart w:id="1574" w:name="_Toc7749"/>
      <w:bookmarkStart w:id="1575" w:name="_Toc511396077"/>
      <w:bookmarkStart w:id="1576" w:name="_Toc613638629"/>
      <w:bookmarkStart w:id="1577" w:name="_Toc31858"/>
      <w:bookmarkStart w:id="1578" w:name="_Toc22109"/>
      <w:bookmarkStart w:id="1579" w:name="_Toc525679243"/>
      <w:bookmarkStart w:id="1580" w:name="_Toc338623216"/>
      <w:r>
        <w:rPr>
          <w:rFonts w:hint="eastAsia" w:asciiTheme="majorEastAsia" w:hAnsiTheme="majorEastAsia" w:eastAsiaTheme="majorEastAsia"/>
          <w:sz w:val="21"/>
          <w:szCs w:val="21"/>
        </w:rPr>
        <w:t>6.1 评标委员会</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6.1.2 评标委员会成员有下列情形之一的，应当回避：</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（1）</w:t>
      </w:r>
      <w:r>
        <w:rPr>
          <w:rFonts w:hint="eastAsia" w:asciiTheme="minorEastAsia" w:hAnsiTheme="minorEastAsia"/>
          <w:sz w:val="21"/>
          <w:szCs w:val="21"/>
        </w:rPr>
        <w:t>投标人或者投标人主要负责人的近亲属</w:t>
      </w:r>
      <w:r>
        <w:rPr>
          <w:rFonts w:hint="eastAsia" w:asciiTheme="minorEastAsia" w:hAnsiTheme="minorEastAsia"/>
          <w:sz w:val="21"/>
          <w:szCs w:val="21"/>
          <w:lang w:eastAsia="zh-CN"/>
        </w:rPr>
        <w:t>；</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（2）</w:t>
      </w:r>
      <w:r>
        <w:rPr>
          <w:rFonts w:hint="eastAsia" w:asciiTheme="minorEastAsia" w:hAnsiTheme="minorEastAsia"/>
          <w:sz w:val="21"/>
          <w:szCs w:val="21"/>
        </w:rPr>
        <w:t>项目主管部门或者行政监督部门的人员</w:t>
      </w:r>
      <w:r>
        <w:rPr>
          <w:rFonts w:hint="eastAsia" w:asciiTheme="minorEastAsia" w:hAnsiTheme="minorEastAsia"/>
          <w:sz w:val="21"/>
          <w:szCs w:val="21"/>
          <w:lang w:eastAsia="zh-CN"/>
        </w:rPr>
        <w:t>；</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eastAsia="zh-CN"/>
        </w:rPr>
        <w:t>（</w:t>
      </w:r>
      <w:r>
        <w:rPr>
          <w:rFonts w:hint="eastAsia" w:asciiTheme="minorEastAsia" w:hAnsiTheme="minorEastAsia"/>
          <w:sz w:val="21"/>
          <w:szCs w:val="21"/>
          <w:lang w:val="en-US" w:eastAsia="zh-CN"/>
        </w:rPr>
        <w:t>3</w:t>
      </w:r>
      <w:r>
        <w:rPr>
          <w:rFonts w:hint="eastAsia" w:asciiTheme="minorEastAsia" w:hAnsiTheme="minorEastAsia"/>
          <w:sz w:val="21"/>
          <w:szCs w:val="21"/>
          <w:lang w:eastAsia="zh-CN"/>
        </w:rPr>
        <w:t>）</w:t>
      </w:r>
      <w:r>
        <w:rPr>
          <w:rFonts w:hint="eastAsia" w:asciiTheme="minorEastAsia" w:hAnsiTheme="minorEastAsia"/>
          <w:sz w:val="21"/>
          <w:szCs w:val="21"/>
        </w:rPr>
        <w:t>与投标人有经济利益关系，可能影响对投标公正评审的</w:t>
      </w:r>
      <w:r>
        <w:rPr>
          <w:rFonts w:hint="eastAsia" w:asciiTheme="minorEastAsia" w:hAnsiTheme="minorEastAsia"/>
          <w:sz w:val="21"/>
          <w:szCs w:val="21"/>
          <w:lang w:eastAsia="zh-CN"/>
        </w:rPr>
        <w:t>；</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lang w:val="en-US" w:eastAsia="zh-CN"/>
        </w:rPr>
        <w:t>（4）</w:t>
      </w:r>
      <w:r>
        <w:rPr>
          <w:rFonts w:hint="eastAsia" w:asciiTheme="minorEastAsia" w:hAnsiTheme="minorEastAsia"/>
          <w:sz w:val="21"/>
          <w:szCs w:val="21"/>
        </w:rPr>
        <w:t>曾因在招标、评标以及其他与招标投标有关活动中从事违法行为而受过行政处罚或刑事处罚的。</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581" w:name="_Toc4027"/>
      <w:bookmarkStart w:id="1582" w:name="_Toc1163864657"/>
      <w:bookmarkStart w:id="1583" w:name="_Toc27176"/>
      <w:bookmarkStart w:id="1584" w:name="_Toc1207964709"/>
      <w:bookmarkStart w:id="1585" w:name="_Toc15285"/>
      <w:bookmarkStart w:id="1586" w:name="_Toc515440789"/>
      <w:bookmarkStart w:id="1587" w:name="_Toc913675326"/>
      <w:bookmarkStart w:id="1588" w:name="_Toc516823028"/>
      <w:bookmarkStart w:id="1589" w:name="_Toc511396078"/>
      <w:bookmarkStart w:id="1590" w:name="_Toc408726762"/>
      <w:bookmarkStart w:id="1591" w:name="_Toc2136332903"/>
      <w:bookmarkStart w:id="1592" w:name="_Toc1325218870"/>
      <w:bookmarkStart w:id="1593" w:name="_Toc29494"/>
      <w:bookmarkStart w:id="1594" w:name="_Toc1407979361"/>
      <w:bookmarkStart w:id="1595" w:name="_Toc2054"/>
      <w:bookmarkStart w:id="1596" w:name="_Toc603365087"/>
      <w:bookmarkStart w:id="1597" w:name="_Toc23642"/>
      <w:bookmarkStart w:id="1598" w:name="_Toc7186514"/>
      <w:bookmarkStart w:id="1599" w:name="_Toc343313343"/>
      <w:bookmarkStart w:id="1600" w:name="_Toc419800842"/>
      <w:bookmarkStart w:id="1601" w:name="_Toc759594799"/>
      <w:bookmarkStart w:id="1602" w:name="_Toc15101"/>
      <w:bookmarkStart w:id="1603" w:name="_Toc9685"/>
      <w:bookmarkStart w:id="1604" w:name="_Toc1976193385"/>
      <w:bookmarkStart w:id="1605" w:name="_Toc1599849041"/>
      <w:bookmarkStart w:id="1606" w:name="_Toc1598493359"/>
      <w:r>
        <w:rPr>
          <w:rFonts w:hint="eastAsia" w:asciiTheme="majorEastAsia" w:hAnsiTheme="majorEastAsia" w:eastAsiaTheme="majorEastAsia"/>
          <w:sz w:val="21"/>
          <w:szCs w:val="21"/>
        </w:rPr>
        <w:t>6.2 评标原则</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评标活动遵循公平、公正、科学和择优的原则。</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607" w:name="_Toc515440790"/>
      <w:bookmarkStart w:id="1608" w:name="_Toc20088000"/>
      <w:bookmarkStart w:id="1609" w:name="_Toc857460743"/>
      <w:bookmarkStart w:id="1610" w:name="_Toc27210"/>
      <w:bookmarkStart w:id="1611" w:name="_Toc1792233323"/>
      <w:bookmarkStart w:id="1612" w:name="_Toc1926279959"/>
      <w:bookmarkStart w:id="1613" w:name="_Toc3394"/>
      <w:bookmarkStart w:id="1614" w:name="_Toc516823029"/>
      <w:bookmarkStart w:id="1615" w:name="_Toc1633128032"/>
      <w:bookmarkStart w:id="1616" w:name="_Toc1817985828"/>
      <w:bookmarkStart w:id="1617" w:name="_Toc25491"/>
      <w:bookmarkStart w:id="1618" w:name="_Toc786814034"/>
      <w:bookmarkStart w:id="1619" w:name="_Toc14545"/>
      <w:bookmarkStart w:id="1620" w:name="_Toc2099949072"/>
      <w:bookmarkStart w:id="1621" w:name="_Toc4070"/>
      <w:bookmarkStart w:id="1622" w:name="_Toc1108971099"/>
      <w:bookmarkStart w:id="1623" w:name="_Toc900137193"/>
      <w:bookmarkStart w:id="1624" w:name="_Toc1081"/>
      <w:bookmarkStart w:id="1625" w:name="_Toc27430"/>
      <w:bookmarkStart w:id="1626" w:name="_Toc1866989025"/>
      <w:bookmarkStart w:id="1627" w:name="_Toc7186515"/>
      <w:bookmarkStart w:id="1628" w:name="_Toc511396079"/>
      <w:bookmarkStart w:id="1629" w:name="_Toc339236075"/>
      <w:bookmarkStart w:id="1630" w:name="_Toc1568006528"/>
      <w:bookmarkStart w:id="1631" w:name="_Toc1400645053"/>
      <w:bookmarkStart w:id="1632" w:name="_Toc32107"/>
      <w:r>
        <w:rPr>
          <w:rFonts w:hint="eastAsia" w:asciiTheme="majorEastAsia" w:hAnsiTheme="majorEastAsia" w:eastAsiaTheme="majorEastAsia"/>
          <w:sz w:val="21"/>
          <w:szCs w:val="21"/>
        </w:rPr>
        <w:t>6.3 评标</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rFonts w:asciiTheme="minorEastAsia" w:hAnsiTheme="minorEastAsia"/>
          <w:b/>
          <w:sz w:val="21"/>
          <w:szCs w:val="21"/>
        </w:rPr>
      </w:pPr>
      <w:r>
        <w:rPr>
          <w:rFonts w:hint="eastAsia" w:asciiTheme="minorEastAsia" w:hAnsiTheme="minorEastAsia"/>
          <w:b/>
          <w:sz w:val="21"/>
          <w:szCs w:val="21"/>
        </w:rPr>
        <w:t>6.3.1 评标委员会按照第三章“评标办法”规定的方法、评审因素、标准和程序对投标文件进行评审。第三章“评标办法”没有规定的方法、评审因素和标准，不作为评标依据。</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6.3.2 评标完成</w:t>
      </w:r>
      <w:r>
        <w:rPr>
          <w:rFonts w:hint="eastAsia" w:asciiTheme="minorEastAsia" w:hAnsiTheme="minorEastAsia"/>
          <w:color w:val="auto"/>
          <w:sz w:val="21"/>
          <w:szCs w:val="21"/>
        </w:rPr>
        <w:t>后，评标委员会应当通过电子招标投标交易平台向招标人提交书面评标报告。评标</w:t>
      </w:r>
      <w:r>
        <w:rPr>
          <w:rFonts w:hint="eastAsia" w:asciiTheme="minorEastAsia" w:hAnsiTheme="minorEastAsia"/>
          <w:sz w:val="21"/>
          <w:szCs w:val="21"/>
        </w:rPr>
        <w:t>委员会推荐中标候选人的人数见投标人须知前附表。</w:t>
      </w:r>
    </w:p>
    <w:p>
      <w:pPr>
        <w:pageBreakBefore w:val="0"/>
        <w:widowControl/>
        <w:shd w:val="clear" w:color="auto" w:fill="FFFFFF"/>
        <w:kinsoku/>
        <w:wordWrap/>
        <w:overflowPunct/>
        <w:topLinePunct w:val="0"/>
        <w:autoSpaceDE/>
        <w:autoSpaceDN/>
        <w:bidi w:val="0"/>
        <w:snapToGrid w:val="0"/>
        <w:spacing w:line="360" w:lineRule="auto"/>
        <w:ind w:firstLine="422" w:firstLineChars="200"/>
        <w:jc w:val="left"/>
        <w:textAlignment w:val="auto"/>
        <w:rPr>
          <w:b/>
          <w:bCs/>
          <w:sz w:val="21"/>
          <w:szCs w:val="21"/>
        </w:rPr>
      </w:pPr>
      <w:r>
        <w:rPr>
          <w:rFonts w:hint="eastAsia" w:ascii="宋体" w:hAnsi="宋体" w:eastAsia="宋体" w:cs="Times New Roman"/>
          <w:b/>
          <w:bCs/>
          <w:sz w:val="21"/>
          <w:szCs w:val="21"/>
        </w:rPr>
        <w:t>6.3.3评标委员会应当在评标报告中列明投标文件雷同情况。</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1633" w:name="_Toc490481680"/>
      <w:bookmarkStart w:id="1634" w:name="_Toc1671292388"/>
      <w:bookmarkStart w:id="1635" w:name="_Toc1459826839"/>
      <w:bookmarkStart w:id="1636" w:name="_Toc8868"/>
      <w:bookmarkStart w:id="1637" w:name="_Toc2097798306"/>
      <w:bookmarkStart w:id="1638" w:name="_Toc1730993283"/>
      <w:bookmarkStart w:id="1639" w:name="_Toc464083421"/>
      <w:bookmarkStart w:id="1640" w:name="_Toc30002"/>
      <w:bookmarkStart w:id="1641" w:name="_Toc30606"/>
      <w:bookmarkStart w:id="1642" w:name="_Toc12713"/>
      <w:bookmarkStart w:id="1643" w:name="_Toc994341517"/>
      <w:bookmarkStart w:id="1644" w:name="_Toc1600976858"/>
      <w:bookmarkStart w:id="1645" w:name="_Toc12042"/>
      <w:bookmarkStart w:id="1646" w:name="_Toc31594"/>
      <w:bookmarkStart w:id="1647" w:name="_Toc1713883759"/>
      <w:bookmarkStart w:id="1648" w:name="_Toc2119113387"/>
      <w:bookmarkStart w:id="1649" w:name="_Toc2073151004"/>
      <w:bookmarkStart w:id="1650" w:name="_Toc515440791"/>
      <w:bookmarkStart w:id="1651" w:name="_Toc466688580"/>
      <w:bookmarkStart w:id="1652" w:name="_Toc516823030"/>
      <w:bookmarkStart w:id="1653" w:name="_Toc1727436231"/>
      <w:bookmarkStart w:id="1654" w:name="_Toc511396080"/>
      <w:bookmarkStart w:id="1655" w:name="_Toc7186516"/>
      <w:bookmarkStart w:id="1656" w:name="_Toc1926654859"/>
      <w:bookmarkStart w:id="1657" w:name="_Toc26189"/>
      <w:bookmarkStart w:id="1658" w:name="_Toc17659"/>
      <w:r>
        <w:rPr>
          <w:rFonts w:hint="eastAsia" w:asciiTheme="majorEastAsia" w:hAnsiTheme="majorEastAsia"/>
          <w:sz w:val="21"/>
          <w:szCs w:val="21"/>
        </w:rPr>
        <w:t>7. 合同授予</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659" w:name="_Toc7034"/>
      <w:bookmarkStart w:id="1660" w:name="_Toc1483358574"/>
      <w:bookmarkStart w:id="1661" w:name="_Toc2069893461"/>
      <w:bookmarkStart w:id="1662" w:name="_Toc843141472"/>
      <w:bookmarkStart w:id="1663" w:name="_Toc1795439143"/>
      <w:bookmarkStart w:id="1664" w:name="_Toc2357"/>
      <w:bookmarkStart w:id="1665" w:name="_Toc511396081"/>
      <w:bookmarkStart w:id="1666" w:name="_Toc325062356"/>
      <w:bookmarkStart w:id="1667" w:name="_Toc2845"/>
      <w:bookmarkStart w:id="1668" w:name="_Toc1529785747"/>
      <w:bookmarkStart w:id="1669" w:name="_Toc516823031"/>
      <w:bookmarkStart w:id="1670" w:name="_Toc29401"/>
      <w:bookmarkStart w:id="1671" w:name="_Toc180135265"/>
      <w:bookmarkStart w:id="1672" w:name="_Toc309612496"/>
      <w:bookmarkStart w:id="1673" w:name="_Toc1189310624"/>
      <w:bookmarkStart w:id="1674" w:name="_Toc14610"/>
      <w:bookmarkStart w:id="1675" w:name="_Toc526751653"/>
      <w:bookmarkStart w:id="1676" w:name="_Toc1024685216"/>
      <w:bookmarkStart w:id="1677" w:name="_Toc10476"/>
      <w:bookmarkStart w:id="1678" w:name="_Toc189450843"/>
      <w:bookmarkStart w:id="1679" w:name="_Toc515440792"/>
      <w:bookmarkStart w:id="1680" w:name="_Toc6652"/>
      <w:bookmarkStart w:id="1681" w:name="_Toc7186517"/>
      <w:bookmarkStart w:id="1682" w:name="_Toc1046180302"/>
      <w:bookmarkStart w:id="1683" w:name="_Toc309016098"/>
      <w:bookmarkStart w:id="1684" w:name="_Toc11224"/>
      <w:r>
        <w:rPr>
          <w:rFonts w:hint="eastAsia" w:asciiTheme="majorEastAsia" w:hAnsiTheme="majorEastAsia" w:eastAsiaTheme="majorEastAsia"/>
          <w:sz w:val="21"/>
          <w:szCs w:val="21"/>
        </w:rPr>
        <w:t>7.1 中标候选人公示</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招标人在收到评标报告之日起3日内，按照投标人须知前附表规定的公示媒介和期限公示中</w:t>
      </w:r>
    </w:p>
    <w:p>
      <w:pPr>
        <w:pageBreakBefore w:val="0"/>
        <w:widowControl/>
        <w:shd w:val="clear" w:color="auto" w:fill="FFFFFF"/>
        <w:kinsoku/>
        <w:wordWrap/>
        <w:overflowPunct/>
        <w:topLinePunct w:val="0"/>
        <w:autoSpaceDE/>
        <w:autoSpaceDN/>
        <w:bidi w:val="0"/>
        <w:snapToGrid w:val="0"/>
        <w:spacing w:line="360" w:lineRule="auto"/>
        <w:ind w:left="0" w:leftChars="0" w:firstLine="0" w:firstLineChars="0"/>
        <w:jc w:val="left"/>
        <w:textAlignment w:val="auto"/>
        <w:rPr>
          <w:rFonts w:hint="eastAsia" w:ascii="宋体" w:hAnsi="宋体"/>
          <w:sz w:val="21"/>
          <w:szCs w:val="21"/>
        </w:rPr>
      </w:pPr>
      <w:r>
        <w:rPr>
          <w:rFonts w:hint="eastAsia" w:asciiTheme="minorEastAsia" w:hAnsiTheme="minorEastAsia"/>
          <w:sz w:val="21"/>
          <w:szCs w:val="21"/>
        </w:rPr>
        <w:t>标候选人，公示期不得少于3天。</w:t>
      </w:r>
      <w:r>
        <w:rPr>
          <w:rFonts w:hint="eastAsia" w:ascii="宋体" w:hAnsi="宋体" w:eastAsia="宋体" w:cs="Times New Roman"/>
          <w:sz w:val="21"/>
          <w:szCs w:val="21"/>
        </w:rPr>
        <w:t>中标候选人公示</w:t>
      </w:r>
      <w:r>
        <w:rPr>
          <w:rFonts w:hint="eastAsia" w:ascii="宋体" w:hAnsi="宋体" w:eastAsia="宋体" w:cs="Times New Roman"/>
          <w:sz w:val="21"/>
          <w:szCs w:val="21"/>
          <w:lang w:val="en-US" w:eastAsia="zh-Hans"/>
        </w:rPr>
        <w:t>至少包括</w:t>
      </w:r>
      <w:r>
        <w:rPr>
          <w:rFonts w:hint="eastAsia" w:ascii="宋体" w:hAnsi="宋体" w:eastAsia="宋体" w:cs="Times New Roman"/>
          <w:sz w:val="21"/>
          <w:szCs w:val="21"/>
        </w:rPr>
        <w:t>以下内容：</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（一）中标候选人排序、名称、投标报价、质量、工期（交货期），以及评标情况；</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（二）中标候选人按照招标文件要求承诺的项目负责人姓名及其相关证书名称和编号；</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（三）中标候选人响应招标文件要求的资格能力条件；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（四）提出异议的渠道和方式；</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eastAsia="宋体" w:asciiTheme="minorEastAsia" w:hAnsiTheme="minorEastAsia"/>
          <w:sz w:val="21"/>
          <w:szCs w:val="21"/>
          <w:lang w:eastAsia="zh-CN"/>
        </w:rPr>
      </w:pPr>
      <w:r>
        <w:rPr>
          <w:rFonts w:hint="eastAsia" w:ascii="宋体" w:hAnsi="宋体" w:eastAsia="宋体" w:cs="Times New Roman"/>
          <w:sz w:val="21"/>
          <w:szCs w:val="21"/>
        </w:rPr>
        <w:t>（五）招标文件规定公示的其他内容。</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685" w:name="_Toc1187439037"/>
      <w:bookmarkStart w:id="1686" w:name="_Toc1703717725"/>
      <w:bookmarkStart w:id="1687" w:name="_Toc304343591"/>
      <w:bookmarkStart w:id="1688" w:name="_Toc124619324"/>
      <w:bookmarkStart w:id="1689" w:name="_Toc511396082"/>
      <w:bookmarkStart w:id="1690" w:name="_Toc1529553447"/>
      <w:bookmarkStart w:id="1691" w:name="_Toc1611801274"/>
      <w:bookmarkStart w:id="1692" w:name="_Toc4762"/>
      <w:bookmarkStart w:id="1693" w:name="_Toc18602"/>
      <w:bookmarkStart w:id="1694" w:name="_Toc516823032"/>
      <w:bookmarkStart w:id="1695" w:name="_Toc1728940232"/>
      <w:bookmarkStart w:id="1696" w:name="_Toc1018100640"/>
      <w:bookmarkStart w:id="1697" w:name="_Toc1581616998"/>
      <w:bookmarkStart w:id="1698" w:name="_Toc7186518"/>
      <w:bookmarkStart w:id="1699" w:name="_Toc16825"/>
      <w:bookmarkStart w:id="1700" w:name="_Toc1434827945"/>
      <w:bookmarkStart w:id="1701" w:name="_Toc669895195"/>
      <w:bookmarkStart w:id="1702" w:name="_Toc5356"/>
      <w:bookmarkStart w:id="1703" w:name="_Toc1213060019"/>
      <w:bookmarkStart w:id="1704" w:name="_Toc515440793"/>
      <w:bookmarkStart w:id="1705" w:name="_Toc8336"/>
      <w:bookmarkStart w:id="1706" w:name="_Toc4867"/>
      <w:bookmarkStart w:id="1707" w:name="_Toc8402"/>
      <w:bookmarkStart w:id="1708" w:name="_Toc9695"/>
      <w:bookmarkStart w:id="1709" w:name="_Toc1652952404"/>
      <w:bookmarkStart w:id="1710" w:name="_Toc2113354939"/>
      <w:r>
        <w:rPr>
          <w:rFonts w:hint="eastAsia" w:asciiTheme="majorEastAsia" w:hAnsiTheme="majorEastAsia" w:eastAsiaTheme="majorEastAsia"/>
          <w:sz w:val="21"/>
          <w:szCs w:val="21"/>
        </w:rPr>
        <w:t>7.2 评标结果异议</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投标人或者其他利害关系人对评标结果有异议的，应当在中标候选人公示期间提出。招标人将在收到异议之日起3日内作出答复；作出答复前，将暂停招标投标活动。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711" w:name="_Toc6731"/>
      <w:bookmarkStart w:id="1712" w:name="_Toc21568"/>
      <w:bookmarkStart w:id="1713" w:name="_Toc8006"/>
      <w:bookmarkStart w:id="1714" w:name="_Toc680422643"/>
      <w:bookmarkStart w:id="1715" w:name="_Toc18811"/>
      <w:bookmarkStart w:id="1716" w:name="_Toc8771"/>
      <w:bookmarkStart w:id="1717" w:name="_Toc23995"/>
      <w:bookmarkStart w:id="1718" w:name="_Toc1984338624"/>
      <w:bookmarkStart w:id="1719" w:name="_Toc67757184"/>
      <w:bookmarkStart w:id="1720" w:name="_Toc1819264791"/>
      <w:bookmarkStart w:id="1721" w:name="_Toc1924422040"/>
      <w:bookmarkStart w:id="1722" w:name="_Toc1944170430"/>
      <w:bookmarkStart w:id="1723" w:name="_Toc1825529139"/>
      <w:bookmarkStart w:id="1724" w:name="_Toc697251667"/>
      <w:bookmarkStart w:id="1725" w:name="_Toc516823033"/>
      <w:bookmarkStart w:id="1726" w:name="_Toc7829"/>
      <w:bookmarkStart w:id="1727" w:name="_Toc515440794"/>
      <w:bookmarkStart w:id="1728" w:name="_Toc11570"/>
      <w:bookmarkStart w:id="1729" w:name="_Toc1837478362"/>
      <w:bookmarkStart w:id="1730" w:name="_Toc511396083"/>
      <w:bookmarkStart w:id="1731" w:name="_Toc1322596436"/>
      <w:bookmarkStart w:id="1732" w:name="_Toc1059399452"/>
      <w:bookmarkStart w:id="1733" w:name="_Toc7186519"/>
      <w:bookmarkStart w:id="1734" w:name="_Toc1185288860"/>
      <w:bookmarkStart w:id="1735" w:name="_Toc722363288"/>
      <w:bookmarkStart w:id="1736" w:name="_Toc684302820"/>
      <w:r>
        <w:rPr>
          <w:rFonts w:hint="eastAsia" w:asciiTheme="majorEastAsia" w:hAnsiTheme="majorEastAsia" w:eastAsiaTheme="majorEastAsia"/>
          <w:sz w:val="21"/>
          <w:szCs w:val="21"/>
        </w:rPr>
        <w:t>7.3 中标候选人履约能力审查</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中标候选人的经营、财务状况发生较大变化或存在违法行为，招标人认为可能影响其履约能</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力的，将在发出中标通知书前提请原评标委员会按照招标文件规定的标准和方法进行审查确认。</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737" w:name="_Toc18577"/>
      <w:bookmarkStart w:id="1738" w:name="_Toc628658578"/>
      <w:bookmarkStart w:id="1739" w:name="_Toc25102"/>
      <w:bookmarkStart w:id="1740" w:name="_Toc7173"/>
      <w:bookmarkStart w:id="1741" w:name="_Toc275069755"/>
      <w:bookmarkStart w:id="1742" w:name="_Toc1302566055"/>
      <w:bookmarkStart w:id="1743" w:name="_Toc358215658"/>
      <w:bookmarkStart w:id="1744" w:name="_Toc516823034"/>
      <w:bookmarkStart w:id="1745" w:name="_Toc24479"/>
      <w:bookmarkStart w:id="1746" w:name="_Toc515440795"/>
      <w:bookmarkStart w:id="1747" w:name="_Toc1034724925"/>
      <w:bookmarkStart w:id="1748" w:name="_Toc511176351"/>
      <w:bookmarkStart w:id="1749" w:name="_Toc26007"/>
      <w:bookmarkStart w:id="1750" w:name="_Toc7186520"/>
      <w:bookmarkStart w:id="1751" w:name="_Toc2037989237"/>
      <w:bookmarkStart w:id="1752" w:name="_Toc26224"/>
      <w:bookmarkStart w:id="1753" w:name="_Toc511396084"/>
      <w:bookmarkStart w:id="1754" w:name="_Toc510018813"/>
      <w:bookmarkStart w:id="1755" w:name="_Toc512940626"/>
      <w:bookmarkStart w:id="1756" w:name="_Toc1683986274"/>
      <w:bookmarkStart w:id="1757" w:name="_Toc28073"/>
      <w:bookmarkStart w:id="1758" w:name="_Toc21418"/>
      <w:bookmarkStart w:id="1759" w:name="_Toc539672487"/>
      <w:bookmarkStart w:id="1760" w:name="_Toc569374484"/>
      <w:bookmarkStart w:id="1761" w:name="_Toc1708727905"/>
      <w:bookmarkStart w:id="1762" w:name="_Toc1091560448"/>
      <w:r>
        <w:rPr>
          <w:rFonts w:hint="eastAsia" w:asciiTheme="majorEastAsia" w:hAnsiTheme="majorEastAsia" w:eastAsiaTheme="majorEastAsia"/>
          <w:sz w:val="21"/>
          <w:szCs w:val="21"/>
        </w:rPr>
        <w:t>7.4 定标</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除投标人须知前附表规定评标委员会直接确定中标人外，招标人依据评标委员会推荐的中标候选人确定中标人，评标委员会推荐中标候选人的人数见投标人须知前附表。</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763" w:name="_Toc31391"/>
      <w:bookmarkStart w:id="1764" w:name="_Toc779388867"/>
      <w:bookmarkStart w:id="1765" w:name="_Toc2051136862"/>
      <w:bookmarkStart w:id="1766" w:name="_Toc299241069"/>
      <w:bookmarkStart w:id="1767" w:name="_Toc245177206"/>
      <w:bookmarkStart w:id="1768" w:name="_Toc19602"/>
      <w:bookmarkStart w:id="1769" w:name="_Toc1452047728"/>
      <w:bookmarkStart w:id="1770" w:name="_Toc5715"/>
      <w:bookmarkStart w:id="1771" w:name="_Toc516823035"/>
      <w:bookmarkStart w:id="1772" w:name="_Toc3556"/>
      <w:bookmarkStart w:id="1773" w:name="_Toc515440796"/>
      <w:bookmarkStart w:id="1774" w:name="_Toc5871"/>
      <w:bookmarkStart w:id="1775" w:name="_Toc12490"/>
      <w:bookmarkStart w:id="1776" w:name="_Toc1406343257"/>
      <w:bookmarkStart w:id="1777" w:name="_Toc1070323305"/>
      <w:bookmarkStart w:id="1778" w:name="_Toc19738"/>
      <w:bookmarkStart w:id="1779" w:name="_Toc1712563941"/>
      <w:bookmarkStart w:id="1780" w:name="_Toc511396085"/>
      <w:bookmarkStart w:id="1781" w:name="_Toc17995"/>
      <w:bookmarkStart w:id="1782" w:name="_Toc291088004"/>
      <w:bookmarkStart w:id="1783" w:name="_Toc120936609"/>
      <w:bookmarkStart w:id="1784" w:name="_Toc993742124"/>
      <w:bookmarkStart w:id="1785" w:name="_Toc7186521"/>
      <w:bookmarkStart w:id="1786" w:name="_Toc289821556"/>
      <w:bookmarkStart w:id="1787" w:name="_Toc1278954914"/>
      <w:bookmarkStart w:id="1788" w:name="_Toc1133901465"/>
      <w:r>
        <w:rPr>
          <w:rFonts w:hint="eastAsia" w:asciiTheme="majorEastAsia" w:hAnsiTheme="majorEastAsia" w:eastAsiaTheme="majorEastAsia"/>
          <w:sz w:val="21"/>
          <w:szCs w:val="21"/>
        </w:rPr>
        <w:t>7.5 中标通知</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在本章第3.3款规定的投标有效期内，招标人以书面形式向中标人发出中标通知书，同时将中标结果通知未中标的投标人。</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highlight w:val="none"/>
        </w:rPr>
      </w:pPr>
      <w:bookmarkStart w:id="1789" w:name="_Toc27242"/>
      <w:bookmarkStart w:id="1790" w:name="_Toc1600759863"/>
      <w:bookmarkStart w:id="1791" w:name="_Toc1685924616"/>
      <w:bookmarkStart w:id="1792" w:name="_Toc1622"/>
      <w:bookmarkStart w:id="1793" w:name="_Toc348335362"/>
      <w:bookmarkStart w:id="1794" w:name="_Toc2049737990"/>
      <w:bookmarkStart w:id="1795" w:name="_Toc15084"/>
      <w:bookmarkStart w:id="1796" w:name="_Toc1231416775"/>
      <w:bookmarkStart w:id="1797" w:name="_Toc561999988"/>
      <w:bookmarkStart w:id="1798" w:name="_Toc28784"/>
      <w:bookmarkStart w:id="1799" w:name="_Toc2085429056"/>
      <w:bookmarkStart w:id="1800" w:name="_Toc30389"/>
      <w:bookmarkStart w:id="1801" w:name="_Toc712038777"/>
      <w:bookmarkStart w:id="1802" w:name="_Toc1819666296"/>
      <w:bookmarkStart w:id="1803" w:name="_Toc1206101517"/>
      <w:bookmarkStart w:id="1804" w:name="_Toc7040"/>
      <w:bookmarkStart w:id="1805" w:name="_Toc18101"/>
      <w:bookmarkStart w:id="1806" w:name="_Toc511396086"/>
      <w:bookmarkStart w:id="1807" w:name="_Toc843555349"/>
      <w:bookmarkStart w:id="1808" w:name="_Toc516823036"/>
      <w:bookmarkStart w:id="1809" w:name="_Toc338835646"/>
      <w:bookmarkStart w:id="1810" w:name="_Toc515440797"/>
      <w:bookmarkStart w:id="1811" w:name="_Toc537980296"/>
      <w:bookmarkStart w:id="1812" w:name="_Toc7186522"/>
      <w:bookmarkStart w:id="1813" w:name="_Toc1062057401"/>
      <w:bookmarkStart w:id="1814" w:name="_Toc27425"/>
      <w:r>
        <w:rPr>
          <w:rFonts w:hint="eastAsia" w:asciiTheme="majorEastAsia" w:hAnsiTheme="majorEastAsia" w:eastAsiaTheme="majorEastAsia"/>
          <w:sz w:val="21"/>
          <w:szCs w:val="21"/>
          <w:highlight w:val="none"/>
        </w:rPr>
        <w:t>7.6 技术成果经济补偿</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highlight w:val="none"/>
        </w:rPr>
      </w:pPr>
      <w:r>
        <w:rPr>
          <w:rFonts w:hint="eastAsia" w:asciiTheme="minorEastAsia" w:hAnsiTheme="minorEastAsia"/>
          <w:sz w:val="21"/>
          <w:szCs w:val="21"/>
          <w:highlight w:val="none"/>
        </w:rPr>
        <w:t>招标人对符合招标文件规定的未中标人的技术成果进行补偿的，招标人将按投标人须知前附表规定的标准给予经济补偿，未中标人在投标文件中声明放弃技术成果经济补偿费的除外。招标人将于中标通知书发出后30日内向未中标人支付技术成果经济补偿费。</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815" w:name="_Toc515440798"/>
      <w:bookmarkStart w:id="1816" w:name="_Toc32481"/>
      <w:bookmarkStart w:id="1817" w:name="_Toc1831554125"/>
      <w:bookmarkStart w:id="1818" w:name="_Toc725541505"/>
      <w:bookmarkStart w:id="1819" w:name="_Toc432007412"/>
      <w:bookmarkStart w:id="1820" w:name="_Toc1456843955"/>
      <w:bookmarkStart w:id="1821" w:name="_Toc511396087"/>
      <w:bookmarkStart w:id="1822" w:name="_Toc18375"/>
      <w:bookmarkStart w:id="1823" w:name="_Toc2095196796"/>
      <w:bookmarkStart w:id="1824" w:name="_Toc1435782594"/>
      <w:bookmarkStart w:id="1825" w:name="_Toc850052186"/>
      <w:bookmarkStart w:id="1826" w:name="_Toc13732756"/>
      <w:bookmarkStart w:id="1827" w:name="_Toc295887825"/>
      <w:bookmarkStart w:id="1828" w:name="_Toc928681002"/>
      <w:bookmarkStart w:id="1829" w:name="_Toc15963"/>
      <w:bookmarkStart w:id="1830" w:name="_Toc7186523"/>
      <w:bookmarkStart w:id="1831" w:name="_Toc3353"/>
      <w:bookmarkStart w:id="1832" w:name="_Toc114664743"/>
      <w:bookmarkStart w:id="1833" w:name="_Toc816819945"/>
      <w:bookmarkStart w:id="1834" w:name="_Toc1121831286"/>
      <w:bookmarkStart w:id="1835" w:name="_Toc516823037"/>
      <w:bookmarkStart w:id="1836" w:name="_Toc3490"/>
      <w:bookmarkStart w:id="1837" w:name="_Toc26479"/>
      <w:bookmarkStart w:id="1838" w:name="_Toc900718810"/>
      <w:bookmarkStart w:id="1839" w:name="_Toc10742"/>
      <w:bookmarkStart w:id="1840" w:name="_Toc3508"/>
      <w:r>
        <w:rPr>
          <w:rFonts w:hint="eastAsia" w:asciiTheme="majorEastAsia" w:hAnsiTheme="majorEastAsia" w:eastAsiaTheme="majorEastAsia"/>
          <w:sz w:val="21"/>
          <w:szCs w:val="21"/>
        </w:rPr>
        <w:t>7.7 履约保证金</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w:t>
      </w:r>
      <w:r>
        <w:rPr>
          <w:rFonts w:hint="eastAsia" w:asciiTheme="minorEastAsia" w:hAnsiTheme="minorEastAsia"/>
          <w:sz w:val="21"/>
          <w:szCs w:val="21"/>
          <w:u w:val="single"/>
        </w:rPr>
        <w:t xml:space="preserve"> </w:t>
      </w:r>
      <w:r>
        <w:rPr>
          <w:rFonts w:hint="eastAsia" w:asciiTheme="minorEastAsia" w:hAnsiTheme="minorEastAsia"/>
          <w:sz w:val="21"/>
          <w:szCs w:val="21"/>
          <w:u w:val="single"/>
          <w:lang w:val="en-US" w:eastAsia="zh-CN"/>
        </w:rPr>
        <w:t xml:space="preserve">  </w:t>
      </w:r>
      <w:r>
        <w:rPr>
          <w:rFonts w:hint="eastAsia" w:asciiTheme="minorEastAsia" w:hAnsiTheme="minorEastAsia"/>
          <w:sz w:val="21"/>
          <w:szCs w:val="21"/>
          <w:u w:val="single"/>
        </w:rPr>
        <w:t xml:space="preserve"> </w:t>
      </w:r>
      <w:r>
        <w:rPr>
          <w:rFonts w:hint="eastAsia" w:asciiTheme="minorEastAsia" w:hAnsiTheme="minorEastAsia"/>
          <w:sz w:val="21"/>
          <w:szCs w:val="21"/>
        </w:rPr>
        <w:t>%（履约保证金不得超过中标合同金额的10%）。联合体中标的，其履约保证金以联合体各方或者联合体中牵头人的名义提交。</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7.7.2 中标人不能按本章第7.7.1项要求提交履约保证金的，视为放弃中标，其投标保证金不予退还，给招标人造成的损失超过投标保证金数额的，中标人还应当对超过部分予以赔偿。</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841" w:name="_Toc2071799666"/>
      <w:bookmarkStart w:id="1842" w:name="_Toc1544"/>
      <w:bookmarkStart w:id="1843" w:name="_Toc877504242"/>
      <w:bookmarkStart w:id="1844" w:name="_Toc1577343991"/>
      <w:bookmarkStart w:id="1845" w:name="_Toc20259"/>
      <w:bookmarkStart w:id="1846" w:name="_Toc1765870258"/>
      <w:bookmarkStart w:id="1847" w:name="_Toc106362977"/>
      <w:bookmarkStart w:id="1848" w:name="_Toc1562031970"/>
      <w:bookmarkStart w:id="1849" w:name="_Toc15665"/>
      <w:bookmarkStart w:id="1850" w:name="_Toc430454218"/>
      <w:bookmarkStart w:id="1851" w:name="_Toc4371"/>
      <w:bookmarkStart w:id="1852" w:name="_Toc7186524"/>
      <w:bookmarkStart w:id="1853" w:name="_Toc516823038"/>
      <w:bookmarkStart w:id="1854" w:name="_Toc1347"/>
      <w:bookmarkStart w:id="1855" w:name="_Toc1859486789"/>
      <w:bookmarkStart w:id="1856" w:name="_Toc21863"/>
      <w:bookmarkStart w:id="1857" w:name="_Toc515440799"/>
      <w:bookmarkStart w:id="1858" w:name="_Toc1715292238"/>
      <w:bookmarkStart w:id="1859" w:name="_Toc763926869"/>
      <w:bookmarkStart w:id="1860" w:name="_Toc1025679863"/>
      <w:bookmarkStart w:id="1861" w:name="_Toc25910"/>
      <w:bookmarkStart w:id="1862" w:name="_Toc511396088"/>
      <w:bookmarkStart w:id="1863" w:name="_Toc9095"/>
      <w:bookmarkStart w:id="1864" w:name="_Toc768811967"/>
      <w:bookmarkStart w:id="1865" w:name="_Toc899582777"/>
      <w:bookmarkStart w:id="1866" w:name="_Toc1683190513"/>
      <w:r>
        <w:rPr>
          <w:rFonts w:hint="eastAsia" w:asciiTheme="majorEastAsia" w:hAnsiTheme="majorEastAsia" w:eastAsiaTheme="majorEastAsia"/>
          <w:sz w:val="21"/>
          <w:szCs w:val="21"/>
        </w:rPr>
        <w:t>7.8 签订合同</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7.8.1 招标人和中标人应当在中标通知书发出之日起30日内，根据招标文件和中标人的投标</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7.8.2 发出中标通知书后，招标人无正当理由拒签合同，或者在签订合同时向中标人提出附</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加条件的，招标人向中标人退还投标保证金；给中标人造成损失的，还应当赔偿损失。</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7.8.3 联合体中标的，联合体各方应当共同与招标人签订合同，就中标项目向招标人承担连</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hint="eastAsia" w:asciiTheme="minorEastAsia" w:hAnsiTheme="minorEastAsia"/>
          <w:sz w:val="21"/>
          <w:szCs w:val="21"/>
        </w:rPr>
      </w:pPr>
      <w:r>
        <w:rPr>
          <w:rFonts w:hint="eastAsia" w:asciiTheme="minorEastAsia" w:hAnsiTheme="minorEastAsia"/>
          <w:sz w:val="21"/>
          <w:szCs w:val="21"/>
        </w:rPr>
        <w:t>带责任。</w:t>
      </w:r>
    </w:p>
    <w:p>
      <w:pPr>
        <w:pStyle w:val="3"/>
        <w:pageBreakBefore w:val="0"/>
        <w:kinsoku/>
        <w:wordWrap/>
        <w:overflowPunct/>
        <w:topLinePunct w:val="0"/>
        <w:autoSpaceDE/>
        <w:autoSpaceDN/>
        <w:bidi w:val="0"/>
        <w:adjustRightInd w:val="0"/>
        <w:snapToGrid w:val="0"/>
        <w:spacing w:after="0" w:line="360" w:lineRule="auto"/>
        <w:textAlignment w:val="auto"/>
        <w:rPr>
          <w:rFonts w:hint="eastAsia" w:asciiTheme="majorEastAsia" w:hAnsiTheme="majorEastAsia"/>
          <w:sz w:val="21"/>
          <w:szCs w:val="21"/>
        </w:rPr>
      </w:pPr>
      <w:bookmarkStart w:id="1867" w:name="_Toc2698"/>
      <w:bookmarkStart w:id="1868" w:name="_Toc20278"/>
      <w:bookmarkStart w:id="1869" w:name="_Toc29028"/>
      <w:r>
        <w:rPr>
          <w:rFonts w:hint="eastAsia" w:asciiTheme="majorEastAsia" w:hAnsiTheme="majorEastAsia"/>
          <w:sz w:val="21"/>
          <w:szCs w:val="21"/>
        </w:rPr>
        <w:t>8. 重新招标和终止招标</w:t>
      </w:r>
      <w:bookmarkEnd w:id="1867"/>
      <w:bookmarkEnd w:id="1868"/>
      <w:bookmarkEnd w:id="1869"/>
    </w:p>
    <w:p>
      <w:pPr>
        <w:pStyle w:val="4"/>
        <w:pageBreakBefore w:val="0"/>
        <w:kinsoku/>
        <w:wordWrap/>
        <w:overflowPunct/>
        <w:topLinePunct w:val="0"/>
        <w:autoSpaceDE/>
        <w:autoSpaceDN/>
        <w:bidi w:val="0"/>
        <w:adjustRightInd w:val="0"/>
        <w:snapToGrid w:val="0"/>
        <w:spacing w:after="0" w:line="360" w:lineRule="auto"/>
        <w:textAlignment w:val="auto"/>
        <w:rPr>
          <w:rFonts w:hint="eastAsia" w:asciiTheme="majorEastAsia" w:hAnsiTheme="majorEastAsia" w:eastAsiaTheme="majorEastAsia"/>
          <w:sz w:val="21"/>
          <w:szCs w:val="21"/>
        </w:rPr>
      </w:pPr>
      <w:bookmarkStart w:id="1870" w:name="_Toc462"/>
      <w:bookmarkStart w:id="1871" w:name="_Toc28364"/>
      <w:bookmarkStart w:id="1872" w:name="_Toc5503"/>
      <w:r>
        <w:rPr>
          <w:rFonts w:hint="eastAsia" w:asciiTheme="majorEastAsia" w:hAnsiTheme="majorEastAsia" w:eastAsiaTheme="majorEastAsia"/>
          <w:sz w:val="21"/>
          <w:szCs w:val="21"/>
        </w:rPr>
        <w:t>8.1 重新招标</w:t>
      </w:r>
      <w:bookmarkEnd w:id="1870"/>
      <w:bookmarkEnd w:id="1871"/>
      <w:bookmarkEnd w:id="1872"/>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有下列情形之一的，招标人将重新招标：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（1）投标截止时间止，投标人少于3个的；</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 xml:space="preserve">（2）经评标委员会评审后否决所有投标的； </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（3）评标委员会否决不合格投标或者界定为废标后因有效投标不足3个使得投标明显缺乏竞争，评标委员会决定否决全部投标的；</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（4）同意延长投标有效期的投标人少于3个的；</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（5）中标候选人均未与招标人签订合同的。</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（6）法律、法规规定的应当重新招标的其他情形。</w:t>
      </w:r>
    </w:p>
    <w:p>
      <w:pPr>
        <w:pStyle w:val="4"/>
        <w:pageBreakBefore w:val="0"/>
        <w:kinsoku/>
        <w:wordWrap/>
        <w:overflowPunct/>
        <w:topLinePunct w:val="0"/>
        <w:autoSpaceDE/>
        <w:autoSpaceDN/>
        <w:bidi w:val="0"/>
        <w:adjustRightInd w:val="0"/>
        <w:snapToGrid w:val="0"/>
        <w:spacing w:after="0" w:line="360" w:lineRule="auto"/>
        <w:textAlignment w:val="auto"/>
        <w:rPr>
          <w:rFonts w:hint="eastAsia" w:asciiTheme="majorEastAsia" w:hAnsiTheme="majorEastAsia" w:eastAsiaTheme="majorEastAsia"/>
          <w:sz w:val="21"/>
          <w:szCs w:val="21"/>
        </w:rPr>
      </w:pPr>
      <w:bookmarkStart w:id="1873" w:name="_Toc6523"/>
      <w:bookmarkStart w:id="1874" w:name="_Toc18035"/>
      <w:bookmarkStart w:id="1875" w:name="_Toc8513"/>
      <w:r>
        <w:rPr>
          <w:rFonts w:hint="eastAsia" w:asciiTheme="majorEastAsia" w:hAnsiTheme="majorEastAsia" w:eastAsiaTheme="majorEastAsia"/>
          <w:sz w:val="21"/>
          <w:szCs w:val="21"/>
        </w:rPr>
        <w:t>8.2 终止招标</w:t>
      </w:r>
      <w:bookmarkEnd w:id="1873"/>
      <w:bookmarkEnd w:id="1874"/>
      <w:bookmarkEnd w:id="187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招标人终止招标的，应当及时在电子招标投标交易平台</w:t>
      </w:r>
      <w:r>
        <w:rPr>
          <w:rFonts w:hint="eastAsia" w:asciiTheme="minorEastAsia" w:hAnsiTheme="minorEastAsia"/>
          <w:sz w:val="21"/>
          <w:szCs w:val="21"/>
          <w:lang w:eastAsia="zh-CN"/>
        </w:rPr>
        <w:t>、</w:t>
      </w:r>
      <w:r>
        <w:rPr>
          <w:rFonts w:hint="eastAsia" w:asciiTheme="minorEastAsia" w:hAnsiTheme="minorEastAsia"/>
          <w:sz w:val="21"/>
          <w:szCs w:val="21"/>
        </w:rPr>
        <w:t>“自治区水利厅官方网站”和“新疆公共资源交易网”上</w:t>
      </w:r>
      <w:r>
        <w:rPr>
          <w:rFonts w:hint="eastAsia" w:asciiTheme="minorEastAsia" w:hAnsiTheme="minorEastAsia"/>
          <w:sz w:val="21"/>
          <w:szCs w:val="21"/>
          <w:lang w:val="en-US" w:eastAsia="zh-CN"/>
        </w:rPr>
        <w:t>发布</w:t>
      </w:r>
      <w:r>
        <w:rPr>
          <w:rFonts w:hint="eastAsia" w:asciiTheme="minorEastAsia" w:hAnsiTheme="minorEastAsia"/>
          <w:sz w:val="21"/>
          <w:szCs w:val="21"/>
        </w:rPr>
        <w:t>公告通知被邀请的或者已经获取招标文件的潜在投标人。已经发售招标文件（如有）或者已经收取投标保证金的，招标人应当及时退还所收取的现金投标保证金及银行同期活期存款利息。</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1876" w:name="_Toc13625370"/>
      <w:bookmarkStart w:id="1877" w:name="_Toc1919118830"/>
      <w:bookmarkStart w:id="1878" w:name="_Toc1443591345"/>
      <w:bookmarkStart w:id="1879" w:name="_Toc83735215"/>
      <w:bookmarkStart w:id="1880" w:name="_Toc580870060"/>
      <w:bookmarkStart w:id="1881" w:name="_Toc1437134004"/>
      <w:bookmarkStart w:id="1882" w:name="_Toc64947932"/>
      <w:bookmarkStart w:id="1883" w:name="_Toc515440800"/>
      <w:bookmarkStart w:id="1884" w:name="_Toc750222972"/>
      <w:bookmarkStart w:id="1885" w:name="_Toc7186525"/>
      <w:bookmarkStart w:id="1886" w:name="_Toc3604"/>
      <w:bookmarkStart w:id="1887" w:name="_Toc511396089"/>
      <w:bookmarkStart w:id="1888" w:name="_Toc18756"/>
      <w:bookmarkStart w:id="1889" w:name="_Toc3763"/>
      <w:bookmarkStart w:id="1890" w:name="_Toc1661645517"/>
      <w:bookmarkStart w:id="1891" w:name="_Toc757424666"/>
      <w:bookmarkStart w:id="1892" w:name="_Toc19102"/>
      <w:bookmarkStart w:id="1893" w:name="_Toc1002858159"/>
      <w:bookmarkStart w:id="1894" w:name="_Toc2897"/>
      <w:bookmarkStart w:id="1895" w:name="_Toc1096166738"/>
      <w:bookmarkStart w:id="1896" w:name="_Toc936160135"/>
      <w:bookmarkStart w:id="1897" w:name="_Toc21702"/>
      <w:bookmarkStart w:id="1898" w:name="_Toc13414"/>
      <w:bookmarkStart w:id="1899" w:name="_Toc30406"/>
      <w:bookmarkStart w:id="1900" w:name="_Toc1882318169"/>
      <w:bookmarkStart w:id="1901" w:name="_Toc516823039"/>
      <w:r>
        <w:rPr>
          <w:rFonts w:hint="eastAsia" w:asciiTheme="majorEastAsia" w:hAnsiTheme="majorEastAsia"/>
          <w:sz w:val="21"/>
          <w:szCs w:val="21"/>
          <w:lang w:val="en-US" w:eastAsia="zh-CN"/>
        </w:rPr>
        <w:t>9</w:t>
      </w:r>
      <w:r>
        <w:rPr>
          <w:rFonts w:hint="eastAsia" w:asciiTheme="majorEastAsia" w:hAnsiTheme="majorEastAsia"/>
          <w:sz w:val="21"/>
          <w:szCs w:val="21"/>
        </w:rPr>
        <w:t>. 纪律和监督</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902" w:name="_Toc515440801"/>
      <w:bookmarkStart w:id="1903" w:name="_Toc1578191023"/>
      <w:bookmarkStart w:id="1904" w:name="_Toc1539862426"/>
      <w:bookmarkStart w:id="1905" w:name="_Toc1585416657"/>
      <w:bookmarkStart w:id="1906" w:name="_Toc10133"/>
      <w:bookmarkStart w:id="1907" w:name="_Toc3574"/>
      <w:bookmarkStart w:id="1908" w:name="_Toc16664"/>
      <w:bookmarkStart w:id="1909" w:name="_Toc1162627419"/>
      <w:bookmarkStart w:id="1910" w:name="_Toc2208"/>
      <w:bookmarkStart w:id="1911" w:name="_Toc1398858631"/>
      <w:bookmarkStart w:id="1912" w:name="_Toc735969720"/>
      <w:bookmarkStart w:id="1913" w:name="_Toc6606"/>
      <w:bookmarkStart w:id="1914" w:name="_Toc12157953"/>
      <w:bookmarkStart w:id="1915" w:name="_Toc1368327008"/>
      <w:bookmarkStart w:id="1916" w:name="_Toc511396090"/>
      <w:bookmarkStart w:id="1917" w:name="_Toc169491609"/>
      <w:bookmarkStart w:id="1918" w:name="_Toc3691"/>
      <w:bookmarkStart w:id="1919" w:name="_Toc8638"/>
      <w:bookmarkStart w:id="1920" w:name="_Toc1573281517"/>
      <w:bookmarkStart w:id="1921" w:name="_Toc14537"/>
      <w:bookmarkStart w:id="1922" w:name="_Toc658200448"/>
      <w:bookmarkStart w:id="1923" w:name="_Toc222439158"/>
      <w:bookmarkStart w:id="1924" w:name="_Toc1120998867"/>
      <w:bookmarkStart w:id="1925" w:name="_Toc516823040"/>
      <w:bookmarkStart w:id="1926" w:name="_Toc1900785693"/>
      <w:bookmarkStart w:id="1927" w:name="_Toc7186526"/>
      <w:r>
        <w:rPr>
          <w:rFonts w:hint="eastAsia" w:asciiTheme="majorEastAsia" w:hAnsiTheme="majorEastAsia" w:eastAsiaTheme="majorEastAsia"/>
          <w:sz w:val="21"/>
          <w:szCs w:val="21"/>
          <w:lang w:val="en-US" w:eastAsia="zh-CN"/>
        </w:rPr>
        <w:t>9</w:t>
      </w:r>
      <w:r>
        <w:rPr>
          <w:rFonts w:hint="eastAsia" w:asciiTheme="majorEastAsia" w:hAnsiTheme="majorEastAsia" w:eastAsiaTheme="majorEastAsia"/>
          <w:sz w:val="21"/>
          <w:szCs w:val="21"/>
        </w:rPr>
        <w:t>.1 对招标人的纪律要求</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招标人不得泄露招标投标活动中应当保密的情况和资料，不得与投标人串通损害国家利益、社会公共利益或者他人合法权益。</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928" w:name="_Toc1142363785"/>
      <w:bookmarkStart w:id="1929" w:name="_Toc538409479"/>
      <w:bookmarkStart w:id="1930" w:name="_Toc327769606"/>
      <w:bookmarkStart w:id="1931" w:name="_Toc325327080"/>
      <w:bookmarkStart w:id="1932" w:name="_Toc753922538"/>
      <w:bookmarkStart w:id="1933" w:name="_Toc1913382726"/>
      <w:bookmarkStart w:id="1934" w:name="_Toc18684"/>
      <w:bookmarkStart w:id="1935" w:name="_Toc18222"/>
      <w:bookmarkStart w:id="1936" w:name="_Toc120662223"/>
      <w:bookmarkStart w:id="1937" w:name="_Toc15618"/>
      <w:bookmarkStart w:id="1938" w:name="_Toc176310708"/>
      <w:bookmarkStart w:id="1939" w:name="_Toc515440802"/>
      <w:bookmarkStart w:id="1940" w:name="_Toc1938"/>
      <w:bookmarkStart w:id="1941" w:name="_Toc24022"/>
      <w:bookmarkStart w:id="1942" w:name="_Toc2113527508"/>
      <w:bookmarkStart w:id="1943" w:name="_Toc25880"/>
      <w:bookmarkStart w:id="1944" w:name="_Toc7186527"/>
      <w:bookmarkStart w:id="1945" w:name="_Toc511396091"/>
      <w:bookmarkStart w:id="1946" w:name="_Toc686663839"/>
      <w:bookmarkStart w:id="1947" w:name="_Toc2084760967"/>
      <w:bookmarkStart w:id="1948" w:name="_Toc69647733"/>
      <w:bookmarkStart w:id="1949" w:name="_Toc1085999464"/>
      <w:bookmarkStart w:id="1950" w:name="_Toc13433"/>
      <w:bookmarkStart w:id="1951" w:name="_Toc516823041"/>
      <w:bookmarkStart w:id="1952" w:name="_Toc1082156541"/>
      <w:bookmarkStart w:id="1953" w:name="_Toc30687"/>
      <w:r>
        <w:rPr>
          <w:rFonts w:hint="eastAsia" w:asciiTheme="majorEastAsia" w:hAnsiTheme="majorEastAsia" w:eastAsiaTheme="majorEastAsia"/>
          <w:sz w:val="21"/>
          <w:szCs w:val="21"/>
          <w:lang w:val="en-US" w:eastAsia="zh-CN"/>
        </w:rPr>
        <w:t>9</w:t>
      </w:r>
      <w:r>
        <w:rPr>
          <w:rFonts w:hint="eastAsia" w:asciiTheme="majorEastAsia" w:hAnsiTheme="majorEastAsia" w:eastAsiaTheme="majorEastAsia"/>
          <w:sz w:val="21"/>
          <w:szCs w:val="21"/>
        </w:rPr>
        <w:t>.2 对投标人的纪律要求</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9.2.1 下列行为均属以他人名义投标：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（1）投标人挂靠其它单位；</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（2）投标人从其它单位通过转让或租借的方式获取资格或资质证书；</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（3）由其它单位及法定代表人在自己编制的投标文件上加盖印章或签字的行为。</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9.2.2下列行为，视为允许他人以本单位名义承揽工程：</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（1）投标人的法定代表人的委托代理人不是投标人本单位人员；</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（2）投标人拟在施工现场所设项目管理机构的项目负责人、技术负责人、财务负责人、勘察负责人、设计负责人、质量管理人员不是本单位人员。</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投标人本单位人员，必须同时满足以下条件：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（1）聘任合同必须由投标人单位与之签订；</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（2）与投标人单位有合法的工资关系；</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（3）投标人单位为其办理社会保险关系，或具有其它有效证明其为本单位人员身份的文件。</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9.2.3 下列行为均属投标人串通投标报价：</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（1）投标人之间相互约定抬高或压低投标报价；</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（2）投标人之间相互约定，在招标项目中分别以高、中、低价位报价；</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（3）投标人之间先进行内部竞价，内定中标人，然后再参加投标；</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（4）投标人之间其它串通投标报价的行为。</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954" w:name="_Toc8885"/>
      <w:bookmarkStart w:id="1955" w:name="_Toc26136"/>
      <w:bookmarkStart w:id="1956" w:name="_Toc278868298"/>
      <w:bookmarkStart w:id="1957" w:name="_Toc1803345704"/>
      <w:bookmarkStart w:id="1958" w:name="_Toc528213487"/>
      <w:bookmarkStart w:id="1959" w:name="_Toc18059"/>
      <w:bookmarkStart w:id="1960" w:name="_Toc529821929"/>
      <w:bookmarkStart w:id="1961" w:name="_Toc7186528"/>
      <w:bookmarkStart w:id="1962" w:name="_Toc765978144"/>
      <w:bookmarkStart w:id="1963" w:name="_Toc929475595"/>
      <w:bookmarkStart w:id="1964" w:name="_Toc1022578866"/>
      <w:bookmarkStart w:id="1965" w:name="_Toc9531"/>
      <w:bookmarkStart w:id="1966" w:name="_Toc234387917"/>
      <w:bookmarkStart w:id="1967" w:name="_Toc8174"/>
      <w:bookmarkStart w:id="1968" w:name="_Toc23609"/>
      <w:bookmarkStart w:id="1969" w:name="_Toc190860916"/>
      <w:bookmarkStart w:id="1970" w:name="_Toc1874120143"/>
      <w:bookmarkStart w:id="1971" w:name="_Toc745419193"/>
      <w:bookmarkStart w:id="1972" w:name="_Toc10804"/>
      <w:bookmarkStart w:id="1973" w:name="_Toc27384"/>
      <w:bookmarkStart w:id="1974" w:name="_Toc1699508742"/>
      <w:bookmarkStart w:id="1975" w:name="_Toc516823042"/>
      <w:bookmarkStart w:id="1976" w:name="_Toc515440803"/>
      <w:bookmarkStart w:id="1977" w:name="_Toc1204330315"/>
      <w:bookmarkStart w:id="1978" w:name="_Toc511396092"/>
      <w:bookmarkStart w:id="1979" w:name="_Toc182023095"/>
      <w:r>
        <w:rPr>
          <w:rFonts w:hint="eastAsia" w:asciiTheme="majorEastAsia" w:hAnsiTheme="majorEastAsia" w:eastAsiaTheme="majorEastAsia"/>
          <w:sz w:val="21"/>
          <w:szCs w:val="21"/>
          <w:lang w:val="en-US" w:eastAsia="zh-CN"/>
        </w:rPr>
        <w:t>9</w:t>
      </w:r>
      <w:r>
        <w:rPr>
          <w:rFonts w:hint="eastAsia" w:asciiTheme="majorEastAsia" w:hAnsiTheme="majorEastAsia" w:eastAsiaTheme="majorEastAsia"/>
          <w:sz w:val="21"/>
          <w:szCs w:val="21"/>
        </w:rPr>
        <w:t>.3 对评标委员会成员的纪律要求</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1980" w:name="_Toc1606330241"/>
      <w:bookmarkStart w:id="1981" w:name="_Toc30733"/>
      <w:bookmarkStart w:id="1982" w:name="_Toc1194592852"/>
      <w:bookmarkStart w:id="1983" w:name="_Toc171373921"/>
      <w:bookmarkStart w:id="1984" w:name="_Toc515440804"/>
      <w:bookmarkStart w:id="1985" w:name="_Toc872712421"/>
      <w:bookmarkStart w:id="1986" w:name="_Toc8483"/>
      <w:bookmarkStart w:id="1987" w:name="_Toc246"/>
      <w:bookmarkStart w:id="1988" w:name="_Toc1146231230"/>
      <w:bookmarkStart w:id="1989" w:name="_Toc23557"/>
      <w:bookmarkStart w:id="1990" w:name="_Toc1777686090"/>
      <w:bookmarkStart w:id="1991" w:name="_Toc5360"/>
      <w:bookmarkStart w:id="1992" w:name="_Toc1245444337"/>
      <w:bookmarkStart w:id="1993" w:name="_Toc23605"/>
      <w:bookmarkStart w:id="1994" w:name="_Toc22772"/>
      <w:bookmarkStart w:id="1995" w:name="_Toc1394537017"/>
      <w:bookmarkStart w:id="1996" w:name="_Toc2110921694"/>
      <w:bookmarkStart w:id="1997" w:name="_Toc1130166732"/>
      <w:bookmarkStart w:id="1998" w:name="_Toc2134162958"/>
      <w:bookmarkStart w:id="1999" w:name="_Toc1988263800"/>
      <w:bookmarkStart w:id="2000" w:name="_Toc516823043"/>
      <w:bookmarkStart w:id="2001" w:name="_Toc6682"/>
      <w:bookmarkStart w:id="2002" w:name="_Toc900276887"/>
      <w:bookmarkStart w:id="2003" w:name="_Toc7186529"/>
      <w:bookmarkStart w:id="2004" w:name="_Toc511396093"/>
      <w:bookmarkStart w:id="2005" w:name="_Toc1249960241"/>
      <w:r>
        <w:rPr>
          <w:rFonts w:hint="eastAsia" w:asciiTheme="majorEastAsia" w:hAnsiTheme="majorEastAsia" w:eastAsiaTheme="majorEastAsia"/>
          <w:sz w:val="21"/>
          <w:szCs w:val="21"/>
          <w:lang w:val="en-US" w:eastAsia="zh-CN"/>
        </w:rPr>
        <w:t>9</w:t>
      </w:r>
      <w:r>
        <w:rPr>
          <w:rFonts w:hint="eastAsia" w:asciiTheme="majorEastAsia" w:hAnsiTheme="majorEastAsia" w:eastAsiaTheme="majorEastAsia"/>
          <w:sz w:val="21"/>
          <w:szCs w:val="21"/>
        </w:rPr>
        <w:t>.4 对与评标活动有关的工作人员的纪律要求</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4"/>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eastAsiaTheme="majorEastAsia"/>
          <w:sz w:val="21"/>
          <w:szCs w:val="21"/>
        </w:rPr>
      </w:pPr>
      <w:bookmarkStart w:id="2006" w:name="_Toc7186530"/>
      <w:bookmarkStart w:id="2007" w:name="_Toc26955"/>
      <w:bookmarkStart w:id="2008" w:name="_Toc30423"/>
      <w:bookmarkStart w:id="2009" w:name="_Toc511396094"/>
      <w:bookmarkStart w:id="2010" w:name="_Toc364350737"/>
      <w:bookmarkStart w:id="2011" w:name="_Toc9107"/>
      <w:bookmarkStart w:id="2012" w:name="_Toc1904139280"/>
      <w:bookmarkStart w:id="2013" w:name="_Toc219407009"/>
      <w:bookmarkStart w:id="2014" w:name="_Toc1931346694"/>
      <w:bookmarkStart w:id="2015" w:name="_Toc1604962912"/>
      <w:bookmarkStart w:id="2016" w:name="_Toc515440805"/>
      <w:bookmarkStart w:id="2017" w:name="_Toc1831062618"/>
      <w:bookmarkStart w:id="2018" w:name="_Toc29476"/>
      <w:bookmarkStart w:id="2019" w:name="_Toc1777617566"/>
      <w:bookmarkStart w:id="2020" w:name="_Toc1396735533"/>
      <w:bookmarkStart w:id="2021" w:name="_Toc347121361"/>
      <w:bookmarkStart w:id="2022" w:name="_Toc20740"/>
      <w:bookmarkStart w:id="2023" w:name="_Toc516823044"/>
      <w:bookmarkStart w:id="2024" w:name="_Toc1575434050"/>
      <w:bookmarkStart w:id="2025" w:name="_Toc6256"/>
      <w:bookmarkStart w:id="2026" w:name="_Toc9767"/>
      <w:bookmarkStart w:id="2027" w:name="_Toc697447761"/>
      <w:bookmarkStart w:id="2028" w:name="_Toc505919620"/>
      <w:bookmarkStart w:id="2029" w:name="_Toc659864650"/>
      <w:bookmarkStart w:id="2030" w:name="_Toc1779969020"/>
      <w:bookmarkStart w:id="2031" w:name="_Toc29420"/>
      <w:r>
        <w:rPr>
          <w:rFonts w:hint="eastAsia" w:asciiTheme="majorEastAsia" w:hAnsiTheme="majorEastAsia" w:eastAsiaTheme="majorEastAsia"/>
          <w:sz w:val="21"/>
          <w:szCs w:val="21"/>
          <w:lang w:val="en-US" w:eastAsia="zh-CN"/>
        </w:rPr>
        <w:t>9</w:t>
      </w:r>
      <w:r>
        <w:rPr>
          <w:rFonts w:hint="eastAsia" w:asciiTheme="majorEastAsia" w:hAnsiTheme="majorEastAsia" w:eastAsiaTheme="majorEastAsia"/>
          <w:sz w:val="21"/>
          <w:szCs w:val="21"/>
        </w:rPr>
        <w:t>.5 投诉</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.5.1 投标人或者其他利害关系人认为招标投标活动不符合法律、行政法规规定的，可以自知道或者应当知道之日起10日内向有关行政监督部门投诉。投诉应当符合《中华人民共和国招标投标法实施条例》和《工程建设项目招标投标活动投诉处理办法》（国家发改委等七部委11号令）和《新疆维吾尔自治区水利工程招标投标活动异议与投诉处理办法》（新水规〔2024〕3号）的要求。投诉应当有明确的请求和必要的证明材料。</w:t>
      </w:r>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.5.2 投标人或者其他利害关系人对招标文件、开标和评标结果提出投诉的，应当按照投标</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hint="eastAsia" w:asciiTheme="minorEastAsia" w:hAnsiTheme="minorEastAsia"/>
          <w:sz w:val="21"/>
          <w:szCs w:val="21"/>
        </w:rPr>
      </w:pPr>
      <w:r>
        <w:rPr>
          <w:rFonts w:hint="eastAsia" w:asciiTheme="minorEastAsia" w:hAnsiTheme="minorEastAsia"/>
          <w:sz w:val="21"/>
          <w:szCs w:val="21"/>
          <w:highlight w:val="none"/>
        </w:rPr>
        <w:t>人须知第2.4款、第5.3款和第7.2款的规定先向</w:t>
      </w:r>
      <w:r>
        <w:rPr>
          <w:rFonts w:hint="eastAsia" w:asciiTheme="minorEastAsia" w:hAnsiTheme="minorEastAsia"/>
          <w:sz w:val="21"/>
          <w:szCs w:val="21"/>
        </w:rPr>
        <w:t>招标人提出异议。异议答复期间不计算在第</w:t>
      </w:r>
      <w:r>
        <w:rPr>
          <w:rFonts w:hint="eastAsia" w:asciiTheme="minorEastAsia" w:hAnsiTheme="minorEastAsia"/>
          <w:sz w:val="21"/>
          <w:szCs w:val="21"/>
          <w:lang w:val="en-US" w:eastAsia="zh-CN"/>
        </w:rPr>
        <w:t>9</w:t>
      </w:r>
      <w:r>
        <w:rPr>
          <w:rFonts w:hint="eastAsia" w:asciiTheme="minorEastAsia" w:hAnsiTheme="minorEastAsia"/>
          <w:sz w:val="21"/>
          <w:szCs w:val="21"/>
        </w:rPr>
        <w:t>.5.1</w:t>
      </w:r>
    </w:p>
    <w:p>
      <w:pPr>
        <w:pageBreakBefore w:val="0"/>
        <w:widowControl/>
        <w:shd w:val="clear" w:color="auto" w:fill="FFFFFF"/>
        <w:kinsoku/>
        <w:wordWrap/>
        <w:overflowPunct/>
        <w:topLinePunct w:val="0"/>
        <w:autoSpaceDE/>
        <w:autoSpaceDN/>
        <w:bidi w:val="0"/>
        <w:snapToGrid w:val="0"/>
        <w:spacing w:line="360" w:lineRule="auto"/>
        <w:ind w:firstLine="0" w:firstLineChars="0"/>
        <w:jc w:val="left"/>
        <w:textAlignment w:val="auto"/>
        <w:rPr>
          <w:rFonts w:asciiTheme="minorEastAsia" w:hAnsiTheme="minorEastAsia"/>
          <w:sz w:val="21"/>
          <w:szCs w:val="21"/>
        </w:rPr>
      </w:pPr>
      <w:r>
        <w:rPr>
          <w:rFonts w:hint="eastAsia" w:asciiTheme="minorEastAsia" w:hAnsiTheme="minorEastAsia"/>
          <w:sz w:val="21"/>
          <w:szCs w:val="21"/>
        </w:rPr>
        <w:t>项规定的期限内。</w:t>
      </w:r>
    </w:p>
    <w:p>
      <w:pPr>
        <w:pStyle w:val="3"/>
        <w:pageBreakBefore w:val="0"/>
        <w:kinsoku/>
        <w:wordWrap/>
        <w:overflowPunct/>
        <w:topLinePunct w:val="0"/>
        <w:autoSpaceDE/>
        <w:autoSpaceDN/>
        <w:bidi w:val="0"/>
        <w:adjustRightInd w:val="0"/>
        <w:snapToGrid w:val="0"/>
        <w:spacing w:before="0" w:after="0" w:line="360" w:lineRule="auto"/>
        <w:textAlignment w:val="auto"/>
        <w:rPr>
          <w:rFonts w:asciiTheme="majorEastAsia" w:hAnsiTheme="majorEastAsia"/>
          <w:sz w:val="21"/>
          <w:szCs w:val="21"/>
        </w:rPr>
      </w:pPr>
      <w:bookmarkStart w:id="2032" w:name="_Toc69572017"/>
      <w:bookmarkStart w:id="2033" w:name="_Toc9505"/>
      <w:bookmarkStart w:id="2034" w:name="_Toc1503129075"/>
      <w:bookmarkStart w:id="2035" w:name="_Toc9133"/>
      <w:bookmarkStart w:id="2036" w:name="_Toc26760"/>
      <w:bookmarkStart w:id="2037" w:name="_Toc1228759216"/>
      <w:bookmarkStart w:id="2038" w:name="_Toc182"/>
      <w:bookmarkStart w:id="2039" w:name="_Toc515440806"/>
      <w:bookmarkStart w:id="2040" w:name="_Toc739619442"/>
      <w:bookmarkStart w:id="2041" w:name="_Toc1492116430"/>
      <w:bookmarkStart w:id="2042" w:name="_Toc7186531"/>
      <w:bookmarkStart w:id="2043" w:name="_Toc790357774"/>
      <w:bookmarkStart w:id="2044" w:name="_Toc31056"/>
      <w:bookmarkStart w:id="2045" w:name="_Toc1038773801"/>
      <w:bookmarkStart w:id="2046" w:name="_Toc1994194487"/>
      <w:bookmarkStart w:id="2047" w:name="_Toc516823045"/>
      <w:bookmarkStart w:id="2048" w:name="_Toc511396095"/>
      <w:bookmarkStart w:id="2049" w:name="_Toc1166959162"/>
      <w:bookmarkStart w:id="2050" w:name="_Toc1067571366"/>
      <w:bookmarkStart w:id="2051" w:name="_Toc625934698"/>
      <w:bookmarkStart w:id="2052" w:name="_Toc928561653"/>
      <w:bookmarkStart w:id="2053" w:name="_Toc1103294867"/>
      <w:bookmarkStart w:id="2054" w:name="_Toc20891"/>
      <w:bookmarkStart w:id="2055" w:name="_Toc344178364"/>
      <w:bookmarkStart w:id="2056" w:name="_Toc11351"/>
      <w:bookmarkStart w:id="2057" w:name="_Toc23941"/>
      <w:r>
        <w:rPr>
          <w:rFonts w:hint="eastAsia" w:asciiTheme="majorEastAsia" w:hAnsiTheme="majorEastAsia"/>
          <w:sz w:val="21"/>
          <w:szCs w:val="21"/>
          <w:lang w:val="en-US" w:eastAsia="zh-CN"/>
        </w:rPr>
        <w:t>10</w:t>
      </w:r>
      <w:r>
        <w:rPr>
          <w:rFonts w:hint="eastAsia" w:asciiTheme="majorEastAsia" w:hAnsiTheme="majorEastAsia"/>
          <w:sz w:val="21"/>
          <w:szCs w:val="21"/>
        </w:rPr>
        <w:t>. 需要补充的其他内容</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需要补充的其他内容：见投标人须知前附表。</w:t>
      </w:r>
    </w:p>
    <w:p>
      <w:pPr>
        <w:widowControl/>
        <w:spacing w:line="240" w:lineRule="auto"/>
        <w:jc w:val="left"/>
        <w:rPr>
          <w:rFonts w:asciiTheme="majorEastAsia" w:hAnsiTheme="majorEastAsia" w:eastAsiaTheme="majorEastAsia" w:cstheme="majorBidi"/>
          <w:b/>
          <w:bCs/>
          <w:sz w:val="28"/>
          <w:szCs w:val="28"/>
        </w:rPr>
      </w:pPr>
      <w:bookmarkStart w:id="2058" w:name="_Toc511396096"/>
      <w:bookmarkStart w:id="2059" w:name="_Toc515440807"/>
      <w:bookmarkStart w:id="2060" w:name="_Toc516823046"/>
      <w:bookmarkStart w:id="2061" w:name="_Toc7186532"/>
      <w:r>
        <w:rPr>
          <w:rFonts w:asciiTheme="majorEastAsia" w:hAnsiTheme="majorEastAsia"/>
          <w:sz w:val="28"/>
          <w:szCs w:val="28"/>
        </w:rPr>
        <w:br w:type="page"/>
      </w:r>
    </w:p>
    <w:p>
      <w:pPr>
        <w:pStyle w:val="3"/>
        <w:adjustRightInd w:val="0"/>
        <w:snapToGrid w:val="0"/>
        <w:spacing w:before="0" w:after="0" w:line="520" w:lineRule="exact"/>
        <w:rPr>
          <w:rFonts w:hint="eastAsia" w:asciiTheme="majorEastAsia" w:hAnsiTheme="majorEastAsia"/>
          <w:sz w:val="28"/>
          <w:szCs w:val="28"/>
        </w:rPr>
      </w:pPr>
      <w:bookmarkStart w:id="2062" w:name="_Toc1356750923"/>
      <w:bookmarkStart w:id="2063" w:name="_Toc13634"/>
      <w:bookmarkStart w:id="2064" w:name="_Toc16168"/>
      <w:bookmarkStart w:id="2065" w:name="_Toc1432302377"/>
      <w:bookmarkStart w:id="2066" w:name="_Toc1776706944"/>
      <w:bookmarkStart w:id="2067" w:name="_Toc1834292991"/>
      <w:bookmarkStart w:id="2068" w:name="_Toc649464280"/>
      <w:bookmarkStart w:id="2069" w:name="_Toc23439"/>
      <w:bookmarkStart w:id="2070" w:name="_Toc19344"/>
      <w:bookmarkStart w:id="2071" w:name="_Toc1065785751"/>
      <w:bookmarkStart w:id="2072" w:name="_Toc1703021471"/>
      <w:bookmarkStart w:id="2073" w:name="_Toc92740217"/>
      <w:bookmarkStart w:id="2074" w:name="_Toc1148612858"/>
      <w:bookmarkStart w:id="2075" w:name="_Toc5848"/>
      <w:bookmarkStart w:id="2076" w:name="_Toc1553393760"/>
      <w:bookmarkStart w:id="2077" w:name="_Toc15690"/>
      <w:bookmarkStart w:id="2078" w:name="_Toc572039222"/>
      <w:bookmarkStart w:id="2079" w:name="_Toc8765"/>
      <w:bookmarkStart w:id="2080" w:name="_Toc13657"/>
      <w:bookmarkStart w:id="2081" w:name="_Toc114487683"/>
      <w:bookmarkStart w:id="2082" w:name="_Toc446077677"/>
      <w:bookmarkStart w:id="2083" w:name="_Toc1709566280"/>
      <w:r>
        <w:rPr>
          <w:rFonts w:hint="eastAsia" w:asciiTheme="majorEastAsia" w:hAnsiTheme="majorEastAsia"/>
          <w:sz w:val="28"/>
          <w:szCs w:val="28"/>
        </w:rPr>
        <w:t>附件</w:t>
      </w:r>
      <w:r>
        <w:rPr>
          <w:rFonts w:hint="eastAsia" w:asciiTheme="majorEastAsia" w:hAnsiTheme="majorEastAsia"/>
          <w:sz w:val="28"/>
          <w:szCs w:val="28"/>
          <w:lang w:val="en-US" w:eastAsia="zh-CN"/>
        </w:rPr>
        <w:t>一</w:t>
      </w:r>
      <w:r>
        <w:rPr>
          <w:rFonts w:hint="eastAsia" w:asciiTheme="majorEastAsia" w:hAnsiTheme="majorEastAsia"/>
          <w:sz w:val="28"/>
          <w:szCs w:val="28"/>
        </w:rPr>
        <w:t>：开标记录表</w:t>
      </w:r>
      <w:bookmarkEnd w:id="2058"/>
      <w:r>
        <w:rPr>
          <w:rFonts w:hint="eastAsia" w:asciiTheme="majorEastAsia" w:hAnsiTheme="majorEastAsia"/>
          <w:sz w:val="28"/>
          <w:szCs w:val="28"/>
        </w:rPr>
        <w:t>（</w:t>
      </w:r>
      <w:r>
        <w:rPr>
          <w:rFonts w:hint="eastAsia" w:asciiTheme="majorEastAsia" w:hAnsiTheme="majorEastAsia"/>
          <w:sz w:val="28"/>
          <w:szCs w:val="28"/>
          <w:lang w:val="en-US" w:eastAsia="zh-CN"/>
        </w:rPr>
        <w:t>参考</w:t>
      </w:r>
      <w:r>
        <w:rPr>
          <w:rFonts w:hint="eastAsia" w:asciiTheme="majorEastAsia" w:hAnsiTheme="majorEastAsia"/>
          <w:sz w:val="28"/>
          <w:szCs w:val="28"/>
        </w:rPr>
        <w:t>格式）</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
      <w:pPr>
        <w:widowControl/>
        <w:shd w:val="clear" w:color="auto" w:fill="FFFFFF"/>
        <w:snapToGrid w:val="0"/>
        <w:ind w:firstLine="3614" w:firstLineChars="1000"/>
        <w:jc w:val="both"/>
        <w:rPr>
          <w:rFonts w:asciiTheme="minorEastAsia" w:hAnsiTheme="minorEastAsia"/>
          <w:b/>
          <w:sz w:val="36"/>
          <w:szCs w:val="36"/>
        </w:rPr>
      </w:pPr>
      <w:r>
        <w:rPr>
          <w:rFonts w:hint="eastAsia" w:asciiTheme="minorEastAsia" w:hAnsiTheme="minorEastAsia"/>
          <w:b/>
          <w:sz w:val="36"/>
          <w:szCs w:val="36"/>
        </w:rPr>
        <w:t>开标记录表</w:t>
      </w:r>
    </w:p>
    <w:p>
      <w:pPr>
        <w:pStyle w:val="52"/>
        <w:tabs>
          <w:tab w:val="left" w:pos="1870"/>
          <w:tab w:val="left" w:pos="5035"/>
        </w:tabs>
        <w:spacing w:after="100" w:line="360" w:lineRule="exact"/>
        <w:ind w:left="0" w:leftChars="0" w:firstLine="0" w:firstLineChars="0"/>
        <w:jc w:val="center"/>
        <w:rPr>
          <w:rFonts w:hint="eastAsia" w:cs="Times New Roman"/>
          <w:sz w:val="21"/>
          <w:szCs w:val="21"/>
          <w:lang w:val="en-US" w:bidi="ar-SA"/>
        </w:rPr>
      </w:pPr>
    </w:p>
    <w:p>
      <w:pPr>
        <w:pStyle w:val="52"/>
        <w:tabs>
          <w:tab w:val="left" w:pos="1870"/>
          <w:tab w:val="left" w:pos="5035"/>
        </w:tabs>
        <w:spacing w:after="100" w:line="360" w:lineRule="exact"/>
        <w:ind w:left="0" w:leftChars="0" w:firstLine="0" w:firstLineChars="0"/>
        <w:jc w:val="right"/>
        <w:rPr>
          <w:rFonts w:asciiTheme="minorEastAsia" w:hAnsiTheme="minorEastAsia"/>
          <w:szCs w:val="21"/>
        </w:rPr>
      </w:pPr>
      <w:r>
        <w:rPr>
          <w:rFonts w:hint="eastAsia" w:asciiTheme="minorEastAsia" w:hAnsiTheme="minorEastAsia"/>
          <w:szCs w:val="21"/>
        </w:rPr>
        <w:t>开标时间：_______年_____月_____日_____时______分</w:t>
      </w:r>
    </w:p>
    <w:tbl>
      <w:tblPr>
        <w:tblStyle w:val="30"/>
        <w:tblW w:w="9612"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992"/>
        <w:gridCol w:w="1191"/>
        <w:gridCol w:w="1370"/>
        <w:gridCol w:w="1850"/>
        <w:gridCol w:w="1420"/>
        <w:gridCol w:w="1229"/>
        <w:gridCol w:w="8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序号</w:t>
            </w:r>
          </w:p>
        </w:tc>
        <w:tc>
          <w:tcPr>
            <w:tcW w:w="992"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投标人</w:t>
            </w:r>
          </w:p>
        </w:tc>
        <w:tc>
          <w:tcPr>
            <w:tcW w:w="1191"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lang w:val="en-US" w:eastAsia="zh-Hans"/>
              </w:rPr>
              <w:t>解密</w:t>
            </w:r>
            <w:r>
              <w:rPr>
                <w:rFonts w:hint="eastAsia" w:asciiTheme="minorEastAsia" w:hAnsiTheme="minorEastAsia"/>
                <w:szCs w:val="21"/>
              </w:rPr>
              <w:t>情况</w:t>
            </w:r>
          </w:p>
        </w:tc>
        <w:tc>
          <w:tcPr>
            <w:tcW w:w="1370"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投标保证金</w:t>
            </w:r>
          </w:p>
        </w:tc>
        <w:tc>
          <w:tcPr>
            <w:tcW w:w="1850" w:type="dxa"/>
            <w:vAlign w:val="center"/>
          </w:tcPr>
          <w:p>
            <w:pPr>
              <w:widowControl/>
              <w:spacing w:line="360" w:lineRule="auto"/>
              <w:jc w:val="center"/>
              <w:rPr>
                <w:rFonts w:hint="eastAsia" w:asciiTheme="minorEastAsia" w:hAnsiTheme="minorEastAsia" w:eastAsiaTheme="minorEastAsia"/>
                <w:strike/>
                <w:dstrike w:val="0"/>
                <w:szCs w:val="21"/>
                <w:highlight w:val="yellow"/>
                <w:u w:val="single"/>
                <w:lang w:val="en-US" w:eastAsia="zh-Hans"/>
              </w:rPr>
            </w:pPr>
            <w:r>
              <w:rPr>
                <w:rFonts w:hint="eastAsia" w:asciiTheme="minorEastAsia" w:hAnsiTheme="minorEastAsia"/>
                <w:szCs w:val="21"/>
              </w:rPr>
              <w:t>投标报价（元）</w:t>
            </w:r>
          </w:p>
        </w:tc>
        <w:tc>
          <w:tcPr>
            <w:tcW w:w="1420" w:type="dxa"/>
            <w:vAlign w:val="center"/>
          </w:tcPr>
          <w:p>
            <w:pPr>
              <w:widowControl/>
              <w:spacing w:line="360" w:lineRule="auto"/>
              <w:jc w:val="center"/>
              <w:rPr>
                <w:rFonts w:asciiTheme="minorEastAsia" w:hAnsiTheme="minorEastAsia"/>
                <w:strike w:val="0"/>
                <w:dstrike w:val="0"/>
                <w:szCs w:val="21"/>
                <w:highlight w:val="none"/>
              </w:rPr>
            </w:pPr>
            <w:r>
              <w:rPr>
                <w:rFonts w:hint="eastAsia" w:asciiTheme="minorEastAsia" w:hAnsiTheme="minorEastAsia"/>
                <w:strike w:val="0"/>
                <w:dstrike w:val="0"/>
                <w:szCs w:val="21"/>
                <w:highlight w:val="none"/>
              </w:rPr>
              <w:t>项目负责人</w:t>
            </w:r>
          </w:p>
        </w:tc>
        <w:tc>
          <w:tcPr>
            <w:tcW w:w="1229"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服务期限</w:t>
            </w:r>
          </w:p>
        </w:tc>
        <w:tc>
          <w:tcPr>
            <w:tcW w:w="851" w:type="dxa"/>
            <w:tcBorders>
              <w:lef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709" w:type="dxa"/>
            <w:vAlign w:val="center"/>
          </w:tcPr>
          <w:p>
            <w:pPr>
              <w:widowControl/>
              <w:spacing w:line="360" w:lineRule="auto"/>
              <w:jc w:val="left"/>
              <w:rPr>
                <w:rFonts w:asciiTheme="minorEastAsia" w:hAnsiTheme="minorEastAsia"/>
                <w:szCs w:val="21"/>
              </w:rPr>
            </w:pPr>
          </w:p>
        </w:tc>
        <w:tc>
          <w:tcPr>
            <w:tcW w:w="992" w:type="dxa"/>
            <w:vAlign w:val="center"/>
          </w:tcPr>
          <w:p>
            <w:pPr>
              <w:widowControl/>
              <w:spacing w:line="360" w:lineRule="auto"/>
              <w:jc w:val="left"/>
              <w:rPr>
                <w:rFonts w:asciiTheme="minorEastAsia" w:hAnsiTheme="minorEastAsia"/>
                <w:szCs w:val="21"/>
              </w:rPr>
            </w:pPr>
          </w:p>
        </w:tc>
        <w:tc>
          <w:tcPr>
            <w:tcW w:w="1191" w:type="dxa"/>
            <w:vAlign w:val="center"/>
          </w:tcPr>
          <w:p>
            <w:pPr>
              <w:widowControl/>
              <w:spacing w:line="360" w:lineRule="auto"/>
              <w:jc w:val="left"/>
              <w:rPr>
                <w:rFonts w:asciiTheme="minorEastAsia" w:hAnsiTheme="minorEastAsia"/>
                <w:szCs w:val="21"/>
              </w:rPr>
            </w:pPr>
          </w:p>
        </w:tc>
        <w:tc>
          <w:tcPr>
            <w:tcW w:w="1370" w:type="dxa"/>
            <w:vAlign w:val="center"/>
          </w:tcPr>
          <w:p>
            <w:pPr>
              <w:widowControl/>
              <w:spacing w:line="360" w:lineRule="auto"/>
              <w:jc w:val="left"/>
              <w:rPr>
                <w:rFonts w:asciiTheme="minorEastAsia" w:hAnsiTheme="minorEastAsia"/>
                <w:szCs w:val="21"/>
              </w:rPr>
            </w:pPr>
          </w:p>
        </w:tc>
        <w:tc>
          <w:tcPr>
            <w:tcW w:w="1850" w:type="dxa"/>
            <w:vAlign w:val="center"/>
          </w:tcPr>
          <w:p>
            <w:pPr>
              <w:widowControl/>
              <w:spacing w:line="360" w:lineRule="auto"/>
              <w:jc w:val="left"/>
              <w:rPr>
                <w:rFonts w:asciiTheme="minorEastAsia" w:hAnsiTheme="minorEastAsia"/>
                <w:szCs w:val="21"/>
                <w:highlight w:val="yellow"/>
              </w:rPr>
            </w:pPr>
          </w:p>
        </w:tc>
        <w:tc>
          <w:tcPr>
            <w:tcW w:w="1420" w:type="dxa"/>
            <w:vAlign w:val="center"/>
          </w:tcPr>
          <w:p>
            <w:pPr>
              <w:widowControl/>
              <w:spacing w:line="360" w:lineRule="auto"/>
              <w:jc w:val="left"/>
              <w:rPr>
                <w:rFonts w:asciiTheme="minorEastAsia" w:hAnsiTheme="minorEastAsia"/>
                <w:szCs w:val="21"/>
              </w:rPr>
            </w:pPr>
          </w:p>
        </w:tc>
        <w:tc>
          <w:tcPr>
            <w:tcW w:w="1229" w:type="dxa"/>
            <w:tcBorders>
              <w:right w:val="single" w:color="auto" w:sz="4" w:space="0"/>
            </w:tcBorders>
            <w:vAlign w:val="center"/>
          </w:tcPr>
          <w:p>
            <w:pPr>
              <w:widowControl/>
              <w:spacing w:line="360" w:lineRule="auto"/>
              <w:jc w:val="left"/>
              <w:rPr>
                <w:rFonts w:asciiTheme="minorEastAsia" w:hAnsiTheme="minorEastAsia"/>
                <w:szCs w:val="21"/>
              </w:rPr>
            </w:pPr>
          </w:p>
        </w:tc>
        <w:tc>
          <w:tcPr>
            <w:tcW w:w="851" w:type="dxa"/>
            <w:tcBorders>
              <w:left w:val="single" w:color="auto" w:sz="4" w:space="0"/>
            </w:tcBorders>
            <w:vAlign w:val="center"/>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892" w:type="dxa"/>
            <w:gridSpan w:val="3"/>
            <w:vAlign w:val="center"/>
          </w:tcPr>
          <w:p>
            <w:pPr>
              <w:widowControl/>
              <w:spacing w:line="360" w:lineRule="auto"/>
              <w:jc w:val="left"/>
              <w:rPr>
                <w:rFonts w:asciiTheme="minorEastAsia" w:hAnsiTheme="minorEastAsia"/>
                <w:szCs w:val="21"/>
              </w:rPr>
            </w:pPr>
            <w:r>
              <w:rPr>
                <w:rFonts w:hint="eastAsia" w:asciiTheme="minorEastAsia" w:hAnsiTheme="minorEastAsia"/>
                <w:szCs w:val="21"/>
              </w:rPr>
              <w:t>招标人编制的最高投标限价</w:t>
            </w:r>
          </w:p>
        </w:tc>
        <w:tc>
          <w:tcPr>
            <w:tcW w:w="6720" w:type="dxa"/>
            <w:gridSpan w:val="5"/>
            <w:vAlign w:val="center"/>
          </w:tcPr>
          <w:p>
            <w:pPr>
              <w:widowControl/>
              <w:spacing w:line="360" w:lineRule="auto"/>
              <w:jc w:val="left"/>
              <w:rPr>
                <w:rFonts w:asciiTheme="minorEastAsia" w:hAnsiTheme="minorEastAsia"/>
                <w:szCs w:val="21"/>
                <w:highlight w:val="yellow"/>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892" w:type="dxa"/>
            <w:gridSpan w:val="3"/>
            <w:vAlign w:val="center"/>
          </w:tcPr>
          <w:p>
            <w:pPr>
              <w:widowControl/>
              <w:spacing w:line="360" w:lineRule="auto"/>
              <w:jc w:val="left"/>
              <w:rPr>
                <w:rFonts w:hint="eastAsia" w:asciiTheme="minorEastAsia" w:hAnsiTheme="minorEastAsia"/>
                <w:szCs w:val="21"/>
              </w:rPr>
            </w:pPr>
            <w:r>
              <w:rPr>
                <w:rFonts w:hint="eastAsia" w:ascii="宋体" w:hAnsi="宋体" w:eastAsia="宋体" w:cs="宋体"/>
                <w:sz w:val="20"/>
                <w:szCs w:val="20"/>
                <w:highlight w:val="none"/>
                <w:lang w:val="en-US" w:eastAsia="zh-CN"/>
              </w:rPr>
              <w:t>随机抽取的下浮率K值</w:t>
            </w:r>
            <w:r>
              <w:rPr>
                <w:rFonts w:hint="eastAsia" w:ascii="宋体" w:hAnsi="宋体" w:eastAsia="宋体" w:cs="宋体"/>
                <w:sz w:val="20"/>
                <w:szCs w:val="20"/>
                <w:highlight w:val="none"/>
              </w:rPr>
              <w:t>（0～5%）</w:t>
            </w:r>
          </w:p>
        </w:tc>
        <w:tc>
          <w:tcPr>
            <w:tcW w:w="6720" w:type="dxa"/>
            <w:gridSpan w:val="5"/>
            <w:vAlign w:val="center"/>
          </w:tcPr>
          <w:p>
            <w:pPr>
              <w:widowControl/>
              <w:spacing w:line="360" w:lineRule="auto"/>
              <w:jc w:val="left"/>
              <w:rPr>
                <w:rFonts w:asciiTheme="minorEastAsia" w:hAnsiTheme="minorEastAsia"/>
                <w:szCs w:val="21"/>
                <w:highlight w:val="yellow"/>
              </w:rPr>
            </w:pPr>
          </w:p>
        </w:tc>
      </w:tr>
    </w:tbl>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rPr>
          <w:rFonts w:asciiTheme="minorEastAsia" w:hAnsiTheme="minorEastAsia"/>
          <w:szCs w:val="21"/>
        </w:rPr>
      </w:pPr>
      <w:r>
        <w:rPr>
          <w:rFonts w:hint="eastAsia" w:asciiTheme="minorEastAsia" w:hAnsiTheme="minorEastAsia"/>
          <w:szCs w:val="21"/>
        </w:rPr>
        <w:t>招标人代表：___________记录人：___________监标人：____________</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_____________年_______月_______日</w:t>
      </w:r>
    </w:p>
    <w:p>
      <w:pPr>
        <w:widowControl/>
        <w:shd w:val="clear" w:color="auto" w:fill="auto"/>
        <w:snapToGrid/>
        <w:ind w:firstLine="0" w:firstLineChars="0"/>
        <w:jc w:val="left"/>
        <w:rPr>
          <w:rFonts w:asciiTheme="minorEastAsia" w:hAnsiTheme="minorEastAsia"/>
          <w:szCs w:val="21"/>
        </w:rPr>
      </w:pPr>
      <w:r>
        <w:rPr>
          <w:rFonts w:asciiTheme="minorEastAsia" w:hAnsiTheme="minorEastAsia"/>
          <w:szCs w:val="21"/>
        </w:rPr>
        <w:br w:type="page"/>
      </w:r>
    </w:p>
    <w:p>
      <w:pPr>
        <w:pStyle w:val="3"/>
        <w:adjustRightInd w:val="0"/>
        <w:snapToGrid w:val="0"/>
        <w:spacing w:before="0" w:after="0" w:line="520" w:lineRule="exact"/>
        <w:rPr>
          <w:rFonts w:hint="eastAsia" w:asciiTheme="majorEastAsia" w:hAnsiTheme="majorEastAsia"/>
          <w:sz w:val="28"/>
          <w:szCs w:val="28"/>
          <w:lang w:val="en-US" w:eastAsia="zh-CN"/>
        </w:rPr>
      </w:pPr>
      <w:bookmarkStart w:id="2084" w:name="_Toc25319"/>
      <w:r>
        <w:rPr>
          <w:rFonts w:hint="eastAsia" w:asciiTheme="majorEastAsia" w:hAnsiTheme="majorEastAsia"/>
          <w:sz w:val="28"/>
          <w:szCs w:val="28"/>
          <w:lang w:val="en-US" w:eastAsia="zh-CN"/>
        </w:rPr>
        <w:t>附件二：软硬件信息记录表（参考格式）</w:t>
      </w:r>
      <w:bookmarkEnd w:id="2084"/>
    </w:p>
    <w:p>
      <w:pPr>
        <w:rPr>
          <w:rFonts w:hint="default"/>
          <w:lang w:val="en-US" w:eastAsia="zh-CN"/>
        </w:rPr>
      </w:pPr>
    </w:p>
    <w:p>
      <w:pPr>
        <w:widowControl/>
        <w:shd w:val="clear" w:color="auto" w:fill="FFFFFF"/>
        <w:snapToGrid w:val="0"/>
        <w:ind w:firstLine="2891" w:firstLineChars="800"/>
        <w:rPr>
          <w:rFonts w:asciiTheme="minorEastAsia" w:hAnsiTheme="minorEastAsia"/>
          <w:szCs w:val="21"/>
        </w:rPr>
      </w:pPr>
      <w:r>
        <w:rPr>
          <w:rFonts w:hint="eastAsia" w:asciiTheme="minorEastAsia" w:hAnsiTheme="minorEastAsia"/>
          <w:b/>
          <w:sz w:val="36"/>
          <w:szCs w:val="36"/>
        </w:rPr>
        <w:t>软硬件信息记录表</w:t>
      </w:r>
    </w:p>
    <w:tbl>
      <w:tblPr>
        <w:tblStyle w:val="29"/>
        <w:tblpPr w:leftFromText="180" w:rightFromText="180" w:vertAnchor="text" w:horzAnchor="page" w:tblpX="1223" w:tblpY="500"/>
        <w:tblOverlap w:val="never"/>
        <w:tblW w:w="93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
        <w:gridCol w:w="1458"/>
        <w:gridCol w:w="1112"/>
        <w:gridCol w:w="4439"/>
        <w:gridCol w:w="107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45" w:hRule="atLeast"/>
        </w:trPr>
        <w:tc>
          <w:tcPr>
            <w:tcW w:w="528" w:type="dxa"/>
            <w:vMerge w:val="restart"/>
            <w:vAlign w:val="center"/>
          </w:tcPr>
          <w:p>
            <w:pPr>
              <w:widowControl/>
              <w:spacing w:line="360" w:lineRule="auto"/>
              <w:jc w:val="center"/>
              <w:rPr>
                <w:rFonts w:hint="eastAsia" w:ascii="宋体" w:hAnsi="宋体" w:eastAsia="宋体"/>
                <w:szCs w:val="21"/>
                <w:lang w:eastAsia="zh-CN"/>
              </w:rPr>
            </w:pPr>
            <w:r>
              <w:rPr>
                <w:rFonts w:hint="eastAsia" w:ascii="宋体" w:hAnsi="宋体" w:eastAsia="宋体"/>
                <w:szCs w:val="21"/>
                <w:lang w:val="en-US" w:eastAsia="zh-CN"/>
              </w:rPr>
              <w:t>序号</w:t>
            </w:r>
          </w:p>
        </w:tc>
        <w:tc>
          <w:tcPr>
            <w:tcW w:w="1458" w:type="dxa"/>
            <w:vMerge w:val="restart"/>
            <w:vAlign w:val="center"/>
          </w:tcPr>
          <w:p>
            <w:pPr>
              <w:widowControl/>
              <w:spacing w:line="360" w:lineRule="auto"/>
              <w:jc w:val="center"/>
              <w:rPr>
                <w:rFonts w:ascii="宋体" w:hAnsi="宋体" w:eastAsia="宋体"/>
                <w:szCs w:val="21"/>
              </w:rPr>
            </w:pPr>
            <w:r>
              <w:rPr>
                <w:rFonts w:hint="eastAsia" w:ascii="宋体" w:hAnsi="宋体"/>
                <w:szCs w:val="21"/>
              </w:rPr>
              <w:t>投标人名称</w:t>
            </w:r>
          </w:p>
        </w:tc>
        <w:tc>
          <w:tcPr>
            <w:tcW w:w="6621" w:type="dxa"/>
            <w:gridSpan w:val="3"/>
            <w:vAlign w:val="center"/>
          </w:tcPr>
          <w:p>
            <w:pPr>
              <w:widowControl/>
              <w:spacing w:line="360" w:lineRule="auto"/>
              <w:jc w:val="left"/>
              <w:rPr>
                <w:rFonts w:ascii="宋体" w:hAnsi="宋体"/>
                <w:szCs w:val="21"/>
              </w:rPr>
            </w:pPr>
            <w:r>
              <w:rPr>
                <w:rFonts w:hint="eastAsia" w:ascii="宋体" w:hAnsi="宋体"/>
                <w:szCs w:val="21"/>
              </w:rPr>
              <w:t>上传、解密电子投标文件（开标现场上传、解密电子投标文件的除外）或编制电子投标文件的计算机硬件信息</w:t>
            </w:r>
          </w:p>
        </w:tc>
        <w:tc>
          <w:tcPr>
            <w:tcW w:w="720" w:type="dxa"/>
            <w:vMerge w:val="restart"/>
            <w:vAlign w:val="center"/>
          </w:tcPr>
          <w:p>
            <w:pPr>
              <w:widowControl/>
              <w:spacing w:line="360" w:lineRule="auto"/>
              <w:jc w:val="center"/>
              <w:rPr>
                <w:rFonts w:hint="eastAsia" w:ascii="宋体" w:hAnsi="宋体" w:eastAsia="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99" w:hRule="atLeast"/>
        </w:trPr>
        <w:tc>
          <w:tcPr>
            <w:tcW w:w="528" w:type="dxa"/>
            <w:vMerge w:val="continue"/>
            <w:vAlign w:val="center"/>
          </w:tcPr>
          <w:p>
            <w:pPr>
              <w:widowControl/>
              <w:spacing w:line="360" w:lineRule="auto"/>
              <w:jc w:val="left"/>
              <w:rPr>
                <w:rFonts w:ascii="宋体" w:hAnsi="宋体"/>
                <w:szCs w:val="21"/>
              </w:rPr>
            </w:pPr>
          </w:p>
        </w:tc>
        <w:tc>
          <w:tcPr>
            <w:tcW w:w="1458" w:type="dxa"/>
            <w:vMerge w:val="continue"/>
            <w:vAlign w:val="center"/>
          </w:tcPr>
          <w:p>
            <w:pPr>
              <w:widowControl/>
              <w:spacing w:line="360" w:lineRule="auto"/>
              <w:jc w:val="left"/>
              <w:rPr>
                <w:rFonts w:ascii="宋体" w:hAnsi="宋体"/>
                <w:szCs w:val="21"/>
              </w:rPr>
            </w:pPr>
          </w:p>
        </w:tc>
        <w:tc>
          <w:tcPr>
            <w:tcW w:w="1112" w:type="dxa"/>
            <w:vAlign w:val="center"/>
          </w:tcPr>
          <w:p>
            <w:pPr>
              <w:widowControl/>
              <w:spacing w:line="360" w:lineRule="auto"/>
              <w:jc w:val="left"/>
              <w:rPr>
                <w:rFonts w:ascii="宋体" w:hAnsi="宋体" w:eastAsia="宋体"/>
                <w:szCs w:val="21"/>
              </w:rPr>
            </w:pPr>
            <w:r>
              <w:rPr>
                <w:rFonts w:hint="eastAsia" w:ascii="宋体" w:hAnsi="宋体"/>
                <w:szCs w:val="21"/>
              </w:rPr>
              <w:t>记录时间</w:t>
            </w:r>
          </w:p>
        </w:tc>
        <w:tc>
          <w:tcPr>
            <w:tcW w:w="4439" w:type="dxa"/>
            <w:vAlign w:val="center"/>
          </w:tcPr>
          <w:p>
            <w:pPr>
              <w:widowControl/>
              <w:spacing w:line="360" w:lineRule="auto"/>
              <w:jc w:val="left"/>
              <w:rPr>
                <w:rFonts w:ascii="宋体" w:hAnsi="宋体" w:eastAsia="宋体"/>
                <w:szCs w:val="21"/>
              </w:rPr>
            </w:pPr>
            <w:r>
              <w:rPr>
                <w:rFonts w:hint="eastAsia" w:ascii="宋体" w:hAnsi="宋体"/>
                <w:szCs w:val="21"/>
              </w:rPr>
              <w:t>计算机硬件信息（网卡MAC地址、CPU序列号、数据存储设备序列号）</w:t>
            </w:r>
          </w:p>
        </w:tc>
        <w:tc>
          <w:tcPr>
            <w:tcW w:w="1070" w:type="dxa"/>
            <w:vAlign w:val="center"/>
          </w:tcPr>
          <w:p>
            <w:pPr>
              <w:widowControl/>
              <w:spacing w:line="360" w:lineRule="auto"/>
              <w:jc w:val="left"/>
              <w:rPr>
                <w:rFonts w:ascii="宋体" w:hAnsi="宋体" w:eastAsia="宋体"/>
                <w:szCs w:val="21"/>
              </w:rPr>
            </w:pPr>
            <w:r>
              <w:rPr>
                <w:rFonts w:hint="eastAsia" w:ascii="宋体" w:hAnsi="宋体"/>
                <w:szCs w:val="21"/>
              </w:rPr>
              <w:t>是否雷同</w:t>
            </w:r>
          </w:p>
        </w:tc>
        <w:tc>
          <w:tcPr>
            <w:tcW w:w="720" w:type="dxa"/>
            <w:vMerge w:val="continue"/>
            <w:vAlign w:val="center"/>
          </w:tcPr>
          <w:p>
            <w:pPr>
              <w:widowControl/>
              <w:spacing w:line="360" w:lineRule="auto"/>
              <w:jc w:val="left"/>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1</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2</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3</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4</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5</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6</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Theme="minorEastAsia"/>
                <w:sz w:val="22"/>
                <w:szCs w:val="22"/>
                <w:lang w:val="en-US" w:eastAsia="zh-CN"/>
              </w:rPr>
            </w:pPr>
            <w:r>
              <w:rPr>
                <w:rFonts w:hint="eastAsia" w:ascii="宋体" w:hAnsi="宋体"/>
                <w:sz w:val="22"/>
                <w:szCs w:val="22"/>
                <w:lang w:val="en-US" w:eastAsia="zh-CN"/>
              </w:rPr>
              <w:t>7</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52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Theme="minorEastAsia"/>
                <w:sz w:val="22"/>
                <w:szCs w:val="22"/>
                <w:lang w:val="en-US" w:eastAsia="zh-CN"/>
              </w:rPr>
            </w:pPr>
            <w:r>
              <w:rPr>
                <w:rFonts w:hint="eastAsia" w:ascii="宋体" w:hAnsi="宋体"/>
                <w:sz w:val="20"/>
                <w:szCs w:val="20"/>
                <w:lang w:val="en-US" w:eastAsia="zh-CN"/>
              </w:rPr>
              <w:t>...</w:t>
            </w:r>
          </w:p>
        </w:tc>
        <w:tc>
          <w:tcPr>
            <w:tcW w:w="1458"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c>
          <w:tcPr>
            <w:tcW w:w="1112"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4439"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107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sz w:val="22"/>
                <w:szCs w:val="22"/>
              </w:rPr>
            </w:pPr>
          </w:p>
        </w:tc>
        <w:tc>
          <w:tcPr>
            <w:tcW w:w="720"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sz w:val="22"/>
                <w:szCs w:val="22"/>
              </w:rPr>
            </w:pPr>
          </w:p>
        </w:tc>
      </w:tr>
    </w:tbl>
    <w:p>
      <w:pPr>
        <w:widowControl/>
        <w:shd w:val="clear" w:color="auto" w:fill="FFFFFF"/>
        <w:snapToGrid w:val="0"/>
        <w:ind w:firstLine="420" w:firstLineChars="200"/>
        <w:rPr>
          <w:rFonts w:hint="eastAsia" w:asciiTheme="minorEastAsia" w:hAnsiTheme="minorEastAsia"/>
          <w:szCs w:val="21"/>
        </w:rPr>
      </w:pPr>
    </w:p>
    <w:p>
      <w:pPr>
        <w:widowControl/>
        <w:shd w:val="clear" w:color="auto" w:fill="FFFFFF"/>
        <w:snapToGrid w:val="0"/>
        <w:ind w:firstLine="420" w:firstLineChars="200"/>
        <w:rPr>
          <w:rFonts w:asciiTheme="minorEastAsia" w:hAnsiTheme="minorEastAsia"/>
          <w:szCs w:val="21"/>
        </w:rPr>
      </w:pPr>
      <w:r>
        <w:rPr>
          <w:rFonts w:hint="eastAsia" w:asciiTheme="minorEastAsia" w:hAnsiTheme="minorEastAsia"/>
          <w:szCs w:val="21"/>
        </w:rPr>
        <w:t>招标人代表：___________记录人：___________监标人：____________</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_____________年_______月_______日</w:t>
      </w:r>
    </w:p>
    <w:p>
      <w:pPr>
        <w:rPr>
          <w:rFonts w:asciiTheme="minorEastAsia" w:hAnsiTheme="minorEastAsia"/>
          <w:szCs w:val="21"/>
        </w:rPr>
      </w:pPr>
      <w:r>
        <w:rPr>
          <w:rFonts w:asciiTheme="minorEastAsia" w:hAnsiTheme="minorEastAsia"/>
          <w:szCs w:val="21"/>
        </w:rPr>
        <w:br w:type="page"/>
      </w:r>
    </w:p>
    <w:p>
      <w:pPr>
        <w:pStyle w:val="3"/>
        <w:adjustRightInd w:val="0"/>
        <w:snapToGrid w:val="0"/>
        <w:spacing w:before="0" w:after="0" w:line="520" w:lineRule="exact"/>
        <w:rPr>
          <w:rFonts w:hint="eastAsia" w:asciiTheme="majorEastAsia" w:hAnsiTheme="majorEastAsia"/>
          <w:sz w:val="28"/>
          <w:szCs w:val="28"/>
        </w:rPr>
      </w:pPr>
      <w:bookmarkStart w:id="2085" w:name="_Toc516823047"/>
      <w:bookmarkStart w:id="2086" w:name="_Toc12018"/>
      <w:bookmarkStart w:id="2087" w:name="_Toc1005801523"/>
      <w:bookmarkStart w:id="2088" w:name="_Toc18902"/>
      <w:bookmarkStart w:id="2089" w:name="_Toc1019815881"/>
      <w:bookmarkStart w:id="2090" w:name="_Toc1561851016"/>
      <w:bookmarkStart w:id="2091" w:name="_Toc2034259906"/>
      <w:bookmarkStart w:id="2092" w:name="_Toc362105662"/>
      <w:bookmarkStart w:id="2093" w:name="_Toc17669"/>
      <w:bookmarkStart w:id="2094" w:name="_Toc931399015"/>
      <w:bookmarkStart w:id="2095" w:name="_Toc500017430"/>
      <w:bookmarkStart w:id="2096" w:name="_Toc2126400182"/>
      <w:bookmarkStart w:id="2097" w:name="_Toc353496273"/>
      <w:bookmarkStart w:id="2098" w:name="_Toc49140469"/>
      <w:bookmarkStart w:id="2099" w:name="_Toc1834547052"/>
      <w:bookmarkStart w:id="2100" w:name="_Toc9600"/>
      <w:bookmarkStart w:id="2101" w:name="_Toc7186533"/>
      <w:bookmarkStart w:id="2102" w:name="_Toc511396097"/>
      <w:bookmarkStart w:id="2103" w:name="_Toc24986"/>
      <w:bookmarkStart w:id="2104" w:name="_Toc930227741"/>
      <w:bookmarkStart w:id="2105" w:name="_Toc1759183044"/>
      <w:bookmarkStart w:id="2106" w:name="_Toc22290"/>
      <w:bookmarkStart w:id="2107" w:name="_Toc1496754747"/>
      <w:bookmarkStart w:id="2108" w:name="_Toc6570"/>
      <w:bookmarkStart w:id="2109" w:name="_Toc515440808"/>
      <w:bookmarkStart w:id="2110" w:name="_Toc25136"/>
      <w:r>
        <w:rPr>
          <w:rFonts w:hint="eastAsia" w:asciiTheme="majorEastAsia" w:hAnsiTheme="majorEastAsia"/>
          <w:sz w:val="28"/>
          <w:szCs w:val="28"/>
        </w:rPr>
        <w:t>附件</w:t>
      </w:r>
      <w:r>
        <w:rPr>
          <w:rFonts w:hint="eastAsia" w:asciiTheme="majorEastAsia" w:hAnsiTheme="majorEastAsia"/>
          <w:sz w:val="28"/>
          <w:szCs w:val="28"/>
          <w:lang w:val="en-US" w:eastAsia="zh-CN"/>
        </w:rPr>
        <w:t>三</w:t>
      </w:r>
      <w:r>
        <w:rPr>
          <w:rFonts w:hint="eastAsia" w:asciiTheme="majorEastAsia" w:hAnsiTheme="majorEastAsia"/>
          <w:sz w:val="28"/>
          <w:szCs w:val="28"/>
        </w:rPr>
        <w:t>：问题澄清通知</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r>
        <w:rPr>
          <w:rFonts w:hint="eastAsia" w:asciiTheme="majorEastAsia" w:hAnsiTheme="majorEastAsia"/>
          <w:sz w:val="28"/>
          <w:szCs w:val="28"/>
        </w:rPr>
        <w:t>（参考格式）</w:t>
      </w:r>
      <w:bookmarkEnd w:id="2110"/>
    </w:p>
    <w:p/>
    <w:p>
      <w:pPr>
        <w:widowControl/>
        <w:shd w:val="clear" w:color="auto" w:fill="FFFFFF"/>
        <w:snapToGrid w:val="0"/>
        <w:ind w:firstLine="0" w:firstLineChars="0"/>
        <w:jc w:val="center"/>
        <w:rPr>
          <w:rFonts w:asciiTheme="minorEastAsia" w:hAnsiTheme="minorEastAsia"/>
          <w:b/>
          <w:sz w:val="36"/>
          <w:szCs w:val="36"/>
        </w:rPr>
      </w:pPr>
      <w:r>
        <w:rPr>
          <w:rFonts w:hint="eastAsia" w:asciiTheme="minorEastAsia" w:hAnsiTheme="minorEastAsia"/>
          <w:b/>
          <w:sz w:val="36"/>
          <w:szCs w:val="36"/>
        </w:rPr>
        <w:t>问题澄清通知</w:t>
      </w:r>
    </w:p>
    <w:p>
      <w:pPr>
        <w:widowControl/>
        <w:shd w:val="clear" w:color="auto" w:fill="FFFFFF"/>
        <w:snapToGrid w:val="0"/>
        <w:ind w:firstLine="0" w:firstLineChars="0"/>
        <w:jc w:val="center"/>
        <w:rPr>
          <w:rFonts w:asciiTheme="minorEastAsia" w:hAnsiTheme="minorEastAsia"/>
          <w:szCs w:val="21"/>
        </w:rPr>
      </w:pPr>
      <w:r>
        <w:rPr>
          <w:rFonts w:hint="eastAsia" w:asciiTheme="minorEastAsia" w:hAnsiTheme="minorEastAsia"/>
          <w:szCs w:val="21"/>
        </w:rPr>
        <w:t>（编号：__________________）</w:t>
      </w:r>
    </w:p>
    <w:p>
      <w:pPr>
        <w:widowControl/>
        <w:shd w:val="clear" w:color="auto" w:fill="FFFFFF"/>
        <w:snapToGrid w:val="0"/>
        <w:ind w:firstLine="420" w:firstLineChars="200"/>
        <w:jc w:val="center"/>
        <w:rPr>
          <w:rFonts w:asciiTheme="minorEastAsia" w:hAnsiTheme="minorEastAsia"/>
          <w:szCs w:val="21"/>
        </w:rPr>
      </w:pPr>
    </w:p>
    <w:p>
      <w:pPr>
        <w:widowControl/>
        <w:shd w:val="clear" w:color="auto" w:fill="FFFFFF"/>
        <w:snapToGrid w:val="0"/>
        <w:jc w:val="left"/>
        <w:rPr>
          <w:rFonts w:asciiTheme="minorEastAsia" w:hAnsiTheme="minorEastAsia"/>
          <w:sz w:val="24"/>
          <w:szCs w:val="24"/>
        </w:rPr>
      </w:pPr>
      <w:r>
        <w:rPr>
          <w:rFonts w:hint="default" w:eastAsia="宋体" w:cs="Times New Roman"/>
          <w:color w:val="auto"/>
          <w:sz w:val="24"/>
          <w:szCs w:val="24"/>
          <w:u w:val="single" w:color="auto"/>
        </w:rPr>
        <w:t xml:space="preserve">      </w:t>
      </w:r>
      <w:r>
        <w:rPr>
          <w:rFonts w:hint="eastAsia" w:eastAsia="宋体" w:cs="Times New Roman"/>
          <w:color w:val="auto"/>
          <w:sz w:val="24"/>
          <w:szCs w:val="24"/>
          <w:u w:val="single" w:color="auto"/>
          <w:lang w:eastAsia="zh-Hans"/>
        </w:rPr>
        <w:t>（</w:t>
      </w:r>
      <w:r>
        <w:rPr>
          <w:rFonts w:hint="eastAsia" w:eastAsia="宋体" w:cs="Times New Roman"/>
          <w:color w:val="auto"/>
          <w:sz w:val="24"/>
          <w:szCs w:val="24"/>
          <w:u w:val="single" w:color="auto"/>
          <w:lang w:val="en-US" w:eastAsia="zh-Hans"/>
        </w:rPr>
        <w:t>投标人名称</w:t>
      </w:r>
      <w:r>
        <w:rPr>
          <w:rFonts w:hint="eastAsia" w:eastAsia="宋体" w:cs="Times New Roman"/>
          <w:color w:val="auto"/>
          <w:sz w:val="24"/>
          <w:szCs w:val="24"/>
          <w:u w:val="single" w:color="auto"/>
          <w:lang w:eastAsia="zh-Hans"/>
        </w:rPr>
        <w:t>）</w:t>
      </w:r>
      <w:r>
        <w:rPr>
          <w:rFonts w:hint="default" w:eastAsia="宋体" w:cs="Times New Roman"/>
          <w:color w:val="auto"/>
          <w:sz w:val="24"/>
          <w:szCs w:val="24"/>
          <w:u w:val="single" w:color="auto"/>
        </w:rPr>
        <w:t xml:space="preserve">       </w:t>
      </w:r>
      <w:r>
        <w:rPr>
          <w:rFonts w:hint="eastAsia" w:asciiTheme="minorEastAsia" w:hAnsiTheme="minorEastAsia"/>
          <w:sz w:val="24"/>
          <w:szCs w:val="24"/>
        </w:rPr>
        <w:t>：</w:t>
      </w:r>
    </w:p>
    <w:p>
      <w:pPr>
        <w:widowControl/>
        <w:shd w:val="clear" w:color="auto" w:fill="FFFFFF"/>
        <w:snapToGrid w:val="0"/>
        <w:ind w:firstLine="480" w:firstLineChars="200"/>
        <w:jc w:val="left"/>
        <w:rPr>
          <w:rFonts w:asciiTheme="minorEastAsia" w:hAnsiTheme="minorEastAsia"/>
          <w:sz w:val="24"/>
          <w:szCs w:val="24"/>
        </w:rPr>
      </w:pPr>
      <w:r>
        <w:rPr>
          <w:rFonts w:hint="eastAsia" w:asciiTheme="minorEastAsia" w:hAnsiTheme="minorEastAsia"/>
          <w:sz w:val="24"/>
          <w:szCs w:val="24"/>
        </w:rPr>
        <w:t>评标委员会对你方的投标文件进行了仔细的审查，现需你方对下列问题以书面形式予以澄清、说明或补正：</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1.</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2.</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w:t>
      </w:r>
    </w:p>
    <w:p>
      <w:pPr>
        <w:widowControl/>
        <w:shd w:val="clear" w:color="auto" w:fill="FFFFFF"/>
        <w:snapToGrid w:val="0"/>
        <w:ind w:firstLine="480" w:firstLineChars="200"/>
        <w:jc w:val="left"/>
        <w:rPr>
          <w:rFonts w:asciiTheme="minorEastAsia" w:hAnsiTheme="minorEastAsia"/>
          <w:sz w:val="24"/>
          <w:szCs w:val="24"/>
        </w:rPr>
      </w:pPr>
      <w:r>
        <w:rPr>
          <w:rFonts w:hint="eastAsia" w:asciiTheme="minorEastAsia" w:hAnsiTheme="minorEastAsia"/>
          <w:sz w:val="24"/>
          <w:szCs w:val="24"/>
        </w:rPr>
        <w:t>请将上述问题的澄清、说明或补正于_________年__________月________日_____时前通过</w:t>
      </w:r>
      <w:r>
        <w:rPr>
          <w:rFonts w:hint="eastAsia" w:asciiTheme="minorEastAsia" w:hAnsiTheme="minorEastAsia"/>
          <w:sz w:val="24"/>
          <w:szCs w:val="24"/>
          <w:lang w:val="en-US" w:eastAsia="zh-Hans"/>
        </w:rPr>
        <w:t>递交投标</w:t>
      </w:r>
      <w:r>
        <w:rPr>
          <w:rFonts w:hint="eastAsia" w:asciiTheme="minorEastAsia" w:hAnsiTheme="minorEastAsia"/>
          <w:sz w:val="24"/>
          <w:szCs w:val="24"/>
        </w:rPr>
        <w:t>文件的电子招标交易平台</w:t>
      </w:r>
      <w:r>
        <w:rPr>
          <w:rFonts w:hint="eastAsia" w:ascii="宋体" w:hAnsi="宋体"/>
          <w:sz w:val="24"/>
          <w:szCs w:val="24"/>
          <w:lang w:val="en-US" w:eastAsia="zh-Hans"/>
        </w:rPr>
        <w:t>回复</w:t>
      </w:r>
      <w:r>
        <w:rPr>
          <w:rFonts w:hint="eastAsia" w:hAnsi="宋体" w:cs="宋体"/>
          <w:color w:val="auto"/>
          <w:sz w:val="24"/>
          <w:szCs w:val="32"/>
          <w:highlight w:val="none"/>
        </w:rPr>
        <w:t>本评标委员会</w:t>
      </w:r>
      <w:r>
        <w:rPr>
          <w:rFonts w:hint="eastAsia" w:asciiTheme="minorEastAsia" w:hAnsiTheme="minorEastAsia"/>
          <w:sz w:val="24"/>
          <w:szCs w:val="24"/>
        </w:rPr>
        <w:t>。</w:t>
      </w:r>
    </w:p>
    <w:p>
      <w:pPr>
        <w:widowControl/>
        <w:shd w:val="clear" w:color="auto" w:fill="FFFFFF"/>
        <w:snapToGrid w:val="0"/>
        <w:ind w:firstLine="480" w:firstLineChars="200"/>
        <w:jc w:val="left"/>
        <w:rPr>
          <w:rFonts w:asciiTheme="minorEastAsia" w:hAnsiTheme="minorEastAsia"/>
          <w:sz w:val="24"/>
          <w:szCs w:val="24"/>
        </w:rPr>
      </w:pPr>
    </w:p>
    <w:p>
      <w:pPr>
        <w:widowControl/>
        <w:shd w:val="clear" w:color="auto" w:fill="FFFFFF"/>
        <w:snapToGrid w:val="0"/>
        <w:ind w:firstLine="480" w:firstLineChars="200"/>
        <w:jc w:val="right"/>
        <w:rPr>
          <w:rFonts w:asciiTheme="minorEastAsia" w:hAnsiTheme="minorEastAsia"/>
          <w:sz w:val="24"/>
          <w:szCs w:val="24"/>
        </w:rPr>
      </w:pPr>
      <w:r>
        <w:rPr>
          <w:rFonts w:hint="eastAsia" w:asciiTheme="minorEastAsia" w:hAnsiTheme="minorEastAsia"/>
          <w:sz w:val="24"/>
          <w:szCs w:val="24"/>
        </w:rPr>
        <w:t>评标委员会授权的招标人或招标代理机构：________________（</w:t>
      </w:r>
      <w:r>
        <w:rPr>
          <w:rFonts w:hint="default" w:asciiTheme="minorEastAsia" w:hAnsiTheme="minorEastAsia"/>
          <w:sz w:val="24"/>
          <w:szCs w:val="24"/>
          <w:lang w:val="en-US"/>
        </w:rPr>
        <w:t>签字或盖章</w:t>
      </w:r>
      <w:r>
        <w:rPr>
          <w:rFonts w:hint="eastAsia" w:asciiTheme="minorEastAsia" w:hAnsiTheme="minorEastAsia"/>
          <w:sz w:val="24"/>
          <w:szCs w:val="24"/>
        </w:rPr>
        <w:t>）</w:t>
      </w:r>
    </w:p>
    <w:p>
      <w:pPr>
        <w:widowControl/>
        <w:shd w:val="clear" w:color="auto" w:fill="FFFFFF"/>
        <w:snapToGrid w:val="0"/>
        <w:ind w:firstLine="480" w:firstLineChars="200"/>
        <w:jc w:val="right"/>
        <w:rPr>
          <w:rFonts w:asciiTheme="minorEastAsia" w:hAnsiTheme="minorEastAsia"/>
          <w:sz w:val="24"/>
          <w:szCs w:val="24"/>
        </w:rPr>
      </w:pPr>
      <w:r>
        <w:rPr>
          <w:rFonts w:hint="eastAsia" w:asciiTheme="minorEastAsia" w:hAnsiTheme="minorEastAsia"/>
          <w:sz w:val="24"/>
          <w:szCs w:val="24"/>
        </w:rPr>
        <w:t>__________年_____月______日</w:t>
      </w: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pStyle w:val="17"/>
      </w:pPr>
    </w:p>
    <w:p>
      <w:pPr>
        <w:widowControl/>
        <w:shd w:val="clear" w:color="auto" w:fill="FFFFFF"/>
        <w:snapToGrid w:val="0"/>
        <w:ind w:firstLine="420" w:firstLineChars="200"/>
        <w:jc w:val="right"/>
        <w:rPr>
          <w:rFonts w:asciiTheme="minorEastAsia" w:hAnsiTheme="minorEastAsia"/>
          <w:szCs w:val="21"/>
        </w:rPr>
      </w:pPr>
    </w:p>
    <w:p>
      <w:pPr>
        <w:pStyle w:val="3"/>
        <w:adjustRightInd w:val="0"/>
        <w:snapToGrid w:val="0"/>
        <w:spacing w:before="0" w:after="0" w:line="520" w:lineRule="exact"/>
        <w:rPr>
          <w:rFonts w:hint="eastAsia" w:asciiTheme="majorEastAsia" w:hAnsiTheme="majorEastAsia"/>
          <w:sz w:val="28"/>
          <w:szCs w:val="28"/>
        </w:rPr>
      </w:pPr>
      <w:bookmarkStart w:id="2111" w:name="_Toc2132489147"/>
      <w:bookmarkStart w:id="2112" w:name="_Toc978525260"/>
      <w:bookmarkStart w:id="2113" w:name="_Toc21974"/>
      <w:bookmarkStart w:id="2114" w:name="_Toc20065"/>
      <w:bookmarkStart w:id="2115" w:name="_Toc511396098"/>
      <w:bookmarkStart w:id="2116" w:name="_Toc333591871"/>
      <w:bookmarkStart w:id="2117" w:name="_Toc516823048"/>
      <w:bookmarkStart w:id="2118" w:name="_Toc1809582985"/>
      <w:bookmarkStart w:id="2119" w:name="_Toc7186534"/>
      <w:bookmarkStart w:id="2120" w:name="_Toc626"/>
      <w:bookmarkStart w:id="2121" w:name="_Toc1270142035"/>
      <w:bookmarkStart w:id="2122" w:name="_Toc689435299"/>
      <w:bookmarkStart w:id="2123" w:name="_Toc656692827"/>
      <w:bookmarkStart w:id="2124" w:name="_Toc1337408631"/>
      <w:bookmarkStart w:id="2125" w:name="_Toc1037"/>
      <w:bookmarkStart w:id="2126" w:name="_Toc1272092709"/>
      <w:bookmarkStart w:id="2127" w:name="_Toc4121"/>
      <w:bookmarkStart w:id="2128" w:name="_Toc1014942122"/>
      <w:bookmarkStart w:id="2129" w:name="_Toc2088689283"/>
      <w:bookmarkStart w:id="2130" w:name="_Toc1866579902"/>
      <w:bookmarkStart w:id="2131" w:name="_Toc1662411524"/>
      <w:bookmarkStart w:id="2132" w:name="_Toc515440809"/>
      <w:bookmarkStart w:id="2133" w:name="_Toc23291"/>
      <w:bookmarkStart w:id="2134" w:name="_Toc26436"/>
      <w:bookmarkStart w:id="2135" w:name="_Toc34568612"/>
      <w:bookmarkStart w:id="2136" w:name="_Toc19815"/>
      <w:r>
        <w:rPr>
          <w:rFonts w:hint="eastAsia" w:asciiTheme="majorEastAsia" w:hAnsiTheme="majorEastAsia"/>
          <w:sz w:val="28"/>
          <w:szCs w:val="28"/>
        </w:rPr>
        <w:t>附件</w:t>
      </w:r>
      <w:r>
        <w:rPr>
          <w:rFonts w:hint="eastAsia" w:asciiTheme="majorEastAsia" w:hAnsiTheme="majorEastAsia"/>
          <w:sz w:val="28"/>
          <w:szCs w:val="28"/>
          <w:lang w:val="en-US" w:eastAsia="zh-CN"/>
        </w:rPr>
        <w:t>四</w:t>
      </w:r>
      <w:r>
        <w:rPr>
          <w:rFonts w:hint="eastAsia" w:asciiTheme="majorEastAsia" w:hAnsiTheme="majorEastAsia"/>
          <w:sz w:val="28"/>
          <w:szCs w:val="28"/>
        </w:rPr>
        <w:t>：问题的澄清</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Fonts w:hint="eastAsia" w:asciiTheme="majorEastAsia" w:hAnsiTheme="majorEastAsia"/>
          <w:sz w:val="28"/>
          <w:szCs w:val="28"/>
        </w:rPr>
        <w:t>（参考格式）</w:t>
      </w:r>
      <w:bookmarkEnd w:id="2136"/>
    </w:p>
    <w:p/>
    <w:p>
      <w:pPr>
        <w:widowControl/>
        <w:shd w:val="clear" w:color="auto" w:fill="FFFFFF"/>
        <w:snapToGrid w:val="0"/>
        <w:ind w:firstLine="0" w:firstLineChars="0"/>
        <w:jc w:val="center"/>
        <w:rPr>
          <w:rFonts w:asciiTheme="minorEastAsia" w:hAnsiTheme="minorEastAsia"/>
          <w:b/>
          <w:sz w:val="36"/>
          <w:szCs w:val="36"/>
        </w:rPr>
      </w:pPr>
      <w:r>
        <w:rPr>
          <w:rFonts w:hint="eastAsia" w:asciiTheme="minorEastAsia" w:hAnsiTheme="minorEastAsia"/>
          <w:b/>
          <w:sz w:val="36"/>
          <w:szCs w:val="36"/>
        </w:rPr>
        <w:t>问题的澄清</w:t>
      </w:r>
    </w:p>
    <w:p>
      <w:pPr>
        <w:widowControl/>
        <w:shd w:val="clear" w:color="auto" w:fill="FFFFFF"/>
        <w:snapToGrid w:val="0"/>
        <w:ind w:firstLine="0" w:firstLineChars="0"/>
        <w:jc w:val="center"/>
        <w:rPr>
          <w:rFonts w:asciiTheme="minorEastAsia" w:hAnsiTheme="minorEastAsia"/>
          <w:sz w:val="24"/>
          <w:szCs w:val="24"/>
        </w:rPr>
      </w:pPr>
      <w:r>
        <w:rPr>
          <w:rFonts w:hint="eastAsia" w:asciiTheme="minorEastAsia" w:hAnsiTheme="minorEastAsia"/>
          <w:sz w:val="24"/>
          <w:szCs w:val="24"/>
        </w:rPr>
        <w:t>（编号：_________________）</w:t>
      </w:r>
    </w:p>
    <w:p>
      <w:pPr>
        <w:widowControl/>
        <w:shd w:val="clear" w:color="auto" w:fill="FFFFFF"/>
        <w:snapToGrid w:val="0"/>
        <w:jc w:val="left"/>
        <w:rPr>
          <w:rFonts w:asciiTheme="minorEastAsia" w:hAnsiTheme="minorEastAsia"/>
          <w:sz w:val="24"/>
          <w:szCs w:val="24"/>
        </w:rPr>
      </w:pPr>
      <w:r>
        <w:rPr>
          <w:rFonts w:hint="eastAsia" w:asciiTheme="minorEastAsia" w:hAnsiTheme="minorEastAsia"/>
          <w:sz w:val="24"/>
          <w:szCs w:val="24"/>
        </w:rPr>
        <w:t>评标委员会：</w:t>
      </w:r>
    </w:p>
    <w:p>
      <w:pPr>
        <w:widowControl/>
        <w:shd w:val="clear" w:color="auto" w:fill="FFFFFF"/>
        <w:snapToGrid w:val="0"/>
        <w:ind w:firstLine="480" w:firstLineChars="200"/>
        <w:jc w:val="left"/>
        <w:rPr>
          <w:rFonts w:asciiTheme="minorEastAsia" w:hAnsiTheme="minorEastAsia"/>
          <w:sz w:val="24"/>
          <w:szCs w:val="24"/>
        </w:rPr>
      </w:pPr>
      <w:r>
        <w:rPr>
          <w:rFonts w:hint="eastAsia" w:asciiTheme="minorEastAsia" w:hAnsiTheme="minorEastAsia"/>
          <w:sz w:val="24"/>
          <w:szCs w:val="24"/>
        </w:rPr>
        <w:t>问题澄清通知（编号：________________）已收悉，现澄清、说明或补正如下：</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1.</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2.</w:t>
      </w:r>
    </w:p>
    <w:p>
      <w:pPr>
        <w:widowControl/>
        <w:shd w:val="clear" w:color="auto" w:fill="FFFFFF"/>
        <w:snapToGrid w:val="0"/>
        <w:ind w:firstLine="480" w:firstLineChars="200"/>
        <w:jc w:val="left"/>
        <w:rPr>
          <w:rFonts w:asciiTheme="minorEastAsia" w:hAnsiTheme="minorEastAsia"/>
          <w:sz w:val="24"/>
          <w:szCs w:val="24"/>
        </w:rPr>
      </w:pPr>
      <w:r>
        <w:rPr>
          <w:rFonts w:asciiTheme="minorEastAsia" w:hAnsiTheme="minorEastAsia"/>
          <w:sz w:val="24"/>
          <w:szCs w:val="24"/>
        </w:rPr>
        <w:t>.....</w:t>
      </w:r>
    </w:p>
    <w:p>
      <w:pPr>
        <w:widowControl/>
        <w:shd w:val="clear" w:color="auto" w:fill="FFFFFF"/>
        <w:snapToGrid w:val="0"/>
        <w:ind w:firstLine="480" w:firstLineChars="200"/>
        <w:jc w:val="left"/>
        <w:rPr>
          <w:rFonts w:asciiTheme="minorEastAsia" w:hAnsiTheme="minorEastAsia"/>
          <w:sz w:val="24"/>
          <w:szCs w:val="24"/>
        </w:rPr>
      </w:pPr>
      <w:r>
        <w:rPr>
          <w:rFonts w:hint="eastAsia" w:asciiTheme="minorEastAsia" w:hAnsiTheme="minorEastAsia"/>
          <w:sz w:val="24"/>
          <w:szCs w:val="24"/>
        </w:rPr>
        <w:t>上述问题澄清、说明或补正，不改变我方投标文件的实质性内容，构成我方投标文件的组成部分。</w:t>
      </w:r>
    </w:p>
    <w:p>
      <w:pPr>
        <w:widowControl/>
        <w:shd w:val="clear" w:color="auto" w:fill="FFFFFF"/>
        <w:snapToGrid w:val="0"/>
        <w:ind w:firstLine="480" w:firstLineChars="200"/>
        <w:jc w:val="left"/>
        <w:rPr>
          <w:rFonts w:asciiTheme="minorEastAsia" w:hAnsiTheme="minorEastAsia"/>
          <w:sz w:val="24"/>
          <w:szCs w:val="24"/>
        </w:rPr>
      </w:pPr>
    </w:p>
    <w:p>
      <w:pPr>
        <w:widowControl/>
        <w:shd w:val="clear" w:color="auto" w:fill="FFFFFF"/>
        <w:snapToGrid w:val="0"/>
        <w:ind w:firstLine="480" w:firstLineChars="200"/>
        <w:jc w:val="right"/>
        <w:rPr>
          <w:rFonts w:asciiTheme="minorEastAsia" w:hAnsiTheme="minorEastAsia"/>
          <w:sz w:val="24"/>
          <w:szCs w:val="24"/>
        </w:rPr>
      </w:pPr>
      <w:r>
        <w:rPr>
          <w:rFonts w:hint="eastAsia" w:asciiTheme="minorEastAsia" w:hAnsiTheme="minorEastAsia"/>
          <w:sz w:val="24"/>
          <w:szCs w:val="24"/>
        </w:rPr>
        <w:t>投标人：___________________（</w:t>
      </w:r>
      <w:r>
        <w:rPr>
          <w:rFonts w:hint="eastAsia" w:hAnsi="宋体" w:cs="宋体"/>
          <w:color w:val="auto"/>
          <w:sz w:val="24"/>
          <w:szCs w:val="32"/>
          <w:highlight w:val="none"/>
        </w:rPr>
        <w:t>盖单位</w:t>
      </w:r>
      <w:r>
        <w:rPr>
          <w:rFonts w:hint="eastAsia" w:hAnsi="宋体" w:cs="宋体"/>
          <w:color w:val="auto"/>
          <w:sz w:val="24"/>
          <w:szCs w:val="32"/>
          <w:highlight w:val="none"/>
          <w:lang w:val="en-US" w:eastAsia="zh-CN"/>
        </w:rPr>
        <w:t>公</w:t>
      </w:r>
      <w:r>
        <w:rPr>
          <w:rFonts w:hint="eastAsia" w:hAnsi="宋体" w:cs="宋体"/>
          <w:color w:val="auto"/>
          <w:sz w:val="24"/>
          <w:szCs w:val="32"/>
          <w:highlight w:val="none"/>
        </w:rPr>
        <w:t>章</w:t>
      </w:r>
      <w:r>
        <w:rPr>
          <w:rFonts w:hint="eastAsia" w:asciiTheme="minorEastAsia" w:hAnsiTheme="minorEastAsia"/>
          <w:sz w:val="24"/>
          <w:szCs w:val="24"/>
        </w:rPr>
        <w:t>）</w:t>
      </w:r>
    </w:p>
    <w:p>
      <w:pPr>
        <w:widowControl/>
        <w:shd w:val="clear" w:color="auto" w:fill="FFFFFF"/>
        <w:snapToGrid w:val="0"/>
        <w:ind w:firstLine="480" w:firstLineChars="200"/>
        <w:jc w:val="right"/>
        <w:rPr>
          <w:rFonts w:asciiTheme="minorEastAsia" w:hAnsiTheme="minorEastAsia"/>
          <w:sz w:val="24"/>
          <w:szCs w:val="24"/>
        </w:rPr>
      </w:pPr>
      <w:r>
        <w:rPr>
          <w:rFonts w:hint="eastAsia" w:asciiTheme="minorEastAsia" w:hAnsiTheme="minorEastAsia"/>
          <w:sz w:val="24"/>
          <w:szCs w:val="24"/>
        </w:rPr>
        <w:t>________年______月_____日</w:t>
      </w:r>
    </w:p>
    <w:p>
      <w:pPr>
        <w:rPr>
          <w:rFonts w:asciiTheme="minorEastAsia" w:hAnsiTheme="minorEastAsia"/>
          <w:szCs w:val="21"/>
        </w:rPr>
      </w:pPr>
      <w:r>
        <w:rPr>
          <w:rFonts w:asciiTheme="minorEastAsia" w:hAnsiTheme="minorEastAsia"/>
          <w:szCs w:val="21"/>
        </w:rPr>
        <w:br w:type="page"/>
      </w:r>
    </w:p>
    <w:p>
      <w:pPr>
        <w:pStyle w:val="3"/>
        <w:adjustRightInd w:val="0"/>
        <w:snapToGrid w:val="0"/>
        <w:spacing w:before="0" w:after="0" w:line="520" w:lineRule="exact"/>
        <w:rPr>
          <w:rFonts w:hint="eastAsia" w:ascii="宋体" w:hAnsi="宋体" w:eastAsia="宋体" w:cs="宋体"/>
          <w:b/>
          <w:bCs/>
          <w:sz w:val="28"/>
          <w:szCs w:val="28"/>
          <w:lang w:val="en-US" w:eastAsia="zh-CN"/>
        </w:rPr>
      </w:pPr>
      <w:bookmarkStart w:id="2137" w:name="_Toc6960"/>
      <w:bookmarkStart w:id="2138" w:name="_Toc867917971"/>
      <w:bookmarkStart w:id="2139" w:name="_Toc662301944"/>
      <w:bookmarkStart w:id="2140" w:name="_Toc7186536"/>
      <w:bookmarkStart w:id="2141" w:name="_Toc355021988"/>
      <w:bookmarkStart w:id="2142" w:name="_Toc516823050"/>
      <w:bookmarkStart w:id="2143" w:name="_Toc511396100"/>
      <w:bookmarkStart w:id="2144" w:name="_Toc5305"/>
      <w:bookmarkStart w:id="2145" w:name="_Toc2046687036"/>
      <w:bookmarkStart w:id="2146" w:name="_Toc25152"/>
      <w:bookmarkStart w:id="2147" w:name="_Toc1365128068"/>
      <w:bookmarkStart w:id="2148" w:name="_Toc1506605821"/>
      <w:bookmarkStart w:id="2149" w:name="_Toc515440811"/>
      <w:bookmarkStart w:id="2150" w:name="_Toc1635650922"/>
      <w:bookmarkStart w:id="2151" w:name="_Toc20506"/>
      <w:bookmarkStart w:id="2152" w:name="_Toc735763684"/>
      <w:bookmarkStart w:id="2153" w:name="_Toc6825"/>
      <w:bookmarkStart w:id="2154" w:name="_Toc7366"/>
      <w:bookmarkStart w:id="2155" w:name="_Toc547411674"/>
      <w:bookmarkStart w:id="2156" w:name="_Toc1833694287"/>
      <w:bookmarkStart w:id="2157" w:name="_Toc1957560284"/>
      <w:bookmarkStart w:id="2158" w:name="_Toc7324"/>
      <w:bookmarkStart w:id="2159" w:name="_Toc22846"/>
      <w:bookmarkStart w:id="2160" w:name="_Toc640556733"/>
      <w:bookmarkStart w:id="2161" w:name="_Toc1763538451"/>
      <w:bookmarkStart w:id="2162" w:name="_Toc1826800178"/>
      <w:r>
        <w:rPr>
          <w:rFonts w:hint="eastAsia" w:asciiTheme="majorEastAsia" w:hAnsiTheme="majorEastAsia"/>
          <w:sz w:val="28"/>
          <w:szCs w:val="28"/>
        </w:rPr>
        <w:t>附件</w:t>
      </w:r>
      <w:r>
        <w:rPr>
          <w:rFonts w:hint="eastAsia" w:asciiTheme="majorEastAsia" w:hAnsiTheme="majorEastAsia"/>
          <w:sz w:val="28"/>
          <w:szCs w:val="28"/>
          <w:lang w:val="en-US" w:eastAsia="zh-CN"/>
        </w:rPr>
        <w:t>五</w:t>
      </w:r>
      <w:r>
        <w:rPr>
          <w:rFonts w:hint="eastAsia" w:asciiTheme="majorEastAsia" w:hAnsiTheme="majorEastAsia"/>
          <w:sz w:val="28"/>
          <w:szCs w:val="28"/>
        </w:rPr>
        <w:t>：</w:t>
      </w:r>
      <w:r>
        <w:rPr>
          <w:rFonts w:hint="eastAsia" w:ascii="宋体" w:hAnsi="宋体" w:eastAsia="宋体" w:cs="宋体"/>
          <w:b/>
          <w:bCs/>
          <w:sz w:val="28"/>
          <w:szCs w:val="28"/>
          <w:lang w:val="en-US" w:eastAsia="zh-CN"/>
        </w:rPr>
        <w:t>中标候选人公示（参考格式）</w:t>
      </w:r>
      <w:bookmarkEnd w:id="2137"/>
    </w:p>
    <w:p>
      <w:pPr>
        <w:spacing w:line="540" w:lineRule="exact"/>
        <w:rPr>
          <w:rFonts w:hint="eastAsia" w:ascii="宋体" w:hAnsi="宋体" w:eastAsia="宋体" w:cs="宋体"/>
          <w:sz w:val="20"/>
          <w:szCs w:val="22"/>
        </w:rPr>
      </w:pPr>
    </w:p>
    <w:p>
      <w:pPr>
        <w:spacing w:line="540" w:lineRule="exact"/>
        <w:jc w:val="center"/>
        <w:rPr>
          <w:rFonts w:hint="eastAsia" w:ascii="宋体" w:hAnsi="宋体" w:eastAsia="宋体" w:cs="宋体"/>
          <w:b/>
          <w:bCs/>
          <w:sz w:val="28"/>
          <w:szCs w:val="24"/>
        </w:rPr>
      </w:pPr>
      <w:r>
        <w:rPr>
          <w:rFonts w:hint="eastAsia" w:ascii="宋体" w:hAnsi="宋体" w:eastAsia="宋体" w:cs="宋体"/>
          <w:b w:val="0"/>
          <w:bCs w:val="0"/>
          <w:sz w:val="28"/>
          <w:szCs w:val="24"/>
          <w:u w:val="single"/>
        </w:rPr>
        <w:t xml:space="preserve">                      </w:t>
      </w:r>
      <w:r>
        <w:rPr>
          <w:rFonts w:hint="eastAsia" w:ascii="宋体" w:hAnsi="宋体" w:eastAsia="宋体" w:cs="宋体"/>
          <w:b/>
          <w:bCs/>
          <w:sz w:val="28"/>
          <w:szCs w:val="24"/>
        </w:rPr>
        <w:t>（项目名称）</w:t>
      </w:r>
    </w:p>
    <w:p>
      <w:pPr>
        <w:spacing w:line="540" w:lineRule="exact"/>
        <w:jc w:val="center"/>
        <w:rPr>
          <w:rFonts w:hint="eastAsia" w:ascii="宋体" w:hAnsi="宋体" w:eastAsia="宋体" w:cs="宋体"/>
          <w:b/>
          <w:bCs/>
          <w:sz w:val="28"/>
          <w:szCs w:val="24"/>
        </w:rPr>
      </w:pPr>
      <w:r>
        <w:rPr>
          <w:rFonts w:hint="eastAsia" w:ascii="宋体" w:hAnsi="宋体" w:eastAsia="宋体" w:cs="宋体"/>
          <w:b/>
          <w:bCs/>
          <w:sz w:val="28"/>
          <w:szCs w:val="24"/>
        </w:rPr>
        <w:t>中标候选人公示</w:t>
      </w:r>
    </w:p>
    <w:p>
      <w:pPr>
        <w:spacing w:line="540" w:lineRule="exact"/>
        <w:jc w:val="center"/>
        <w:rPr>
          <w:rFonts w:hint="eastAsia" w:ascii="宋体" w:hAnsi="宋体" w:eastAsia="宋体" w:cs="宋体"/>
          <w:b/>
          <w:bCs/>
          <w:kern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rPr>
        <w:t>受</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rPr>
        <w:t>的委托，代理</w:t>
      </w:r>
      <w:r>
        <w:rPr>
          <w:rFonts w:hint="eastAsia" w:ascii="宋体" w:hAnsi="宋体" w:eastAsia="宋体" w:cs="宋体"/>
          <w:bCs/>
          <w:kern w:val="0"/>
          <w:sz w:val="21"/>
          <w:szCs w:val="21"/>
          <w:u w:val="single"/>
        </w:rPr>
        <w:t xml:space="preserve">    （项目名称）</w:t>
      </w:r>
      <w:r>
        <w:rPr>
          <w:rFonts w:hint="eastAsia" w:ascii="宋体" w:hAnsi="宋体" w:eastAsia="宋体" w:cs="宋体"/>
          <w:bCs/>
          <w:kern w:val="0"/>
          <w:sz w:val="21"/>
          <w:szCs w:val="21"/>
          <w:u w:val="single"/>
          <w:lang w:val="en-US" w:eastAsia="zh-CN"/>
        </w:rPr>
        <w:t>的</w:t>
      </w:r>
      <w:r>
        <w:rPr>
          <w:rFonts w:hint="eastAsia" w:ascii="宋体" w:hAnsi="宋体" w:eastAsia="宋体" w:cs="宋体"/>
          <w:bCs/>
          <w:kern w:val="0"/>
          <w:sz w:val="21"/>
          <w:szCs w:val="21"/>
        </w:rPr>
        <w:t>招标，</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u w:val="single"/>
          <w:lang w:val="en-US" w:eastAsia="zh-CN"/>
        </w:rPr>
        <w:t xml:space="preserve"> </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u w:val="single"/>
          <w:lang w:eastAsia="zh-CN"/>
        </w:rPr>
        <w:t>（</w:t>
      </w:r>
      <w:r>
        <w:rPr>
          <w:rFonts w:hint="eastAsia" w:ascii="宋体" w:hAnsi="宋体" w:eastAsia="宋体" w:cs="宋体"/>
          <w:bCs/>
          <w:kern w:val="0"/>
          <w:sz w:val="21"/>
          <w:szCs w:val="21"/>
        </w:rPr>
        <w:t>北京时间）在</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rPr>
        <w:t>进行了公开开标，在</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u w:val="single"/>
          <w:lang w:val="en-US" w:eastAsia="zh-CN"/>
        </w:rPr>
        <w:t xml:space="preserve">      </w:t>
      </w:r>
      <w:r>
        <w:rPr>
          <w:rFonts w:hint="eastAsia" w:ascii="宋体" w:hAnsi="宋体" w:eastAsia="宋体" w:cs="宋体"/>
          <w:bCs/>
          <w:kern w:val="0"/>
          <w:sz w:val="21"/>
          <w:szCs w:val="21"/>
          <w:u w:val="single"/>
        </w:rPr>
        <w:t xml:space="preserve"> </w:t>
      </w:r>
      <w:r>
        <w:rPr>
          <w:rFonts w:hint="eastAsia" w:ascii="宋体" w:hAnsi="宋体" w:eastAsia="宋体" w:cs="宋体"/>
          <w:bCs/>
          <w:kern w:val="0"/>
          <w:sz w:val="21"/>
          <w:szCs w:val="21"/>
        </w:rPr>
        <w:t>监督下，依法组建的评标委员会按照招标文件确定的评标原则和评标办法进行了细致的评审，并推荐本项目中标候选人排名如下：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第X名（中标候选人不超过3个）：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（一）中标候选人排序（包含联合体各方名称）、名称、投标报价（或费率）、质量标准、服务期期限；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（二）中标候选人按照招标文件要求承诺的项目负责人姓名及其相关证书名称和编号、个人业绩；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（三）中标候选人响应招标文件要求的资格能力条件；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（四）投标人在投标文件中提供的业绩、信用等级、获奖情况；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（五）招标文件规定公示的其他内容；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（六）投标保证金信息（投标保证金缴纳方式、投标保证金有效期）；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书宋_GBK" w:hAnsi="方正书宋_GBK" w:eastAsia="方正书宋_GBK" w:cs="方正书宋_GBK"/>
          <w:i w:val="0"/>
          <w:iCs w:val="0"/>
          <w:caps w:val="0"/>
          <w:color w:val="333333"/>
          <w:spacing w:val="0"/>
          <w:kern w:val="0"/>
          <w:sz w:val="21"/>
          <w:szCs w:val="21"/>
          <w:lang w:val="en-US" w:eastAsia="zh-CN" w:bidi="ar"/>
        </w:rPr>
      </w:pPr>
      <w:r>
        <w:rPr>
          <w:rFonts w:hint="eastAsia" w:ascii="方正书宋_GBK" w:hAnsi="方正书宋_GBK" w:eastAsia="方正书宋_GBK" w:cs="方正书宋_GBK"/>
          <w:i w:val="0"/>
          <w:iCs w:val="0"/>
          <w:caps w:val="0"/>
          <w:color w:val="333333"/>
          <w:spacing w:val="0"/>
          <w:kern w:val="0"/>
          <w:sz w:val="21"/>
          <w:szCs w:val="21"/>
          <w:lang w:val="en-US" w:eastAsia="zh-CN" w:bidi="ar"/>
        </w:rPr>
        <w:t>（七）提出异议的渠道和方式；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kern w:val="0"/>
          <w:sz w:val="21"/>
          <w:szCs w:val="21"/>
        </w:rPr>
        <w:t>公示期：</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日始至</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时止（北京时间）。公示期间，投标人和其他利害关系人如有异议，《中华人民共和国招标投标法实施条例》、《工程建设项目招标投标活动投诉处理办法》（国家发展改革委等七部委11号令）和《新疆维吾尔自治区水利工程招标投标活动异议与投诉处理办法》（新水规〔2024〕3号）的要求提出异议或投</w:t>
      </w:r>
      <w:r>
        <w:rPr>
          <w:rFonts w:hint="eastAsia" w:ascii="宋体" w:hAnsi="宋体" w:eastAsia="宋体" w:cs="宋体"/>
          <w:bCs/>
          <w:kern w:val="0"/>
          <w:sz w:val="21"/>
          <w:szCs w:val="21"/>
        </w:rPr>
        <w:t>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行政监督：</w:t>
      </w:r>
      <w:r>
        <w:rPr>
          <w:rFonts w:hint="eastAsia" w:ascii="宋体" w:hAnsi="宋体" w:eastAsia="宋体" w:cs="宋体"/>
          <w:bCs/>
          <w:kern w:val="0"/>
          <w:sz w:val="21"/>
          <w:szCs w:val="21"/>
          <w:u w:val="single"/>
        </w:rPr>
        <w:t>（名称、地址、联系人及联系方式）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招 标 人：</w:t>
      </w:r>
      <w:r>
        <w:rPr>
          <w:rFonts w:hint="eastAsia" w:ascii="宋体" w:hAnsi="宋体" w:eastAsia="宋体" w:cs="宋体"/>
          <w:bCs/>
          <w:kern w:val="0"/>
          <w:sz w:val="21"/>
          <w:szCs w:val="21"/>
          <w:u w:val="single"/>
        </w:rPr>
        <w:t>（名称、地址、联系人及联系方式）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招标代理：</w:t>
      </w:r>
      <w:r>
        <w:rPr>
          <w:rFonts w:hint="eastAsia" w:ascii="宋体" w:hAnsi="宋体" w:eastAsia="宋体" w:cs="宋体"/>
          <w:bCs/>
          <w:kern w:val="0"/>
          <w:sz w:val="21"/>
          <w:szCs w:val="21"/>
          <w:u w:val="single"/>
        </w:rPr>
        <w:t>（名称、地址、联系人及联系方式）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时    间：</w:t>
      </w:r>
      <w:r>
        <w:rPr>
          <w:rFonts w:hint="eastAsia" w:ascii="宋体" w:hAnsi="宋体" w:eastAsia="宋体" w:cs="宋体"/>
          <w:bCs/>
          <w:kern w:val="0"/>
          <w:sz w:val="21"/>
          <w:szCs w:val="21"/>
          <w:u w:val="single"/>
        </w:rPr>
        <w:t xml:space="preserve">                       </w:t>
      </w:r>
    </w:p>
    <w:p>
      <w:pPr>
        <w:rPr>
          <w:rFonts w:hint="eastAsia"/>
        </w:rPr>
      </w:pPr>
    </w:p>
    <w:p>
      <w:pPr>
        <w:rPr>
          <w:rFonts w:hint="eastAsia" w:asciiTheme="majorEastAsia" w:hAnsiTheme="majorEastAsia"/>
          <w:sz w:val="28"/>
          <w:szCs w:val="28"/>
        </w:rPr>
      </w:pPr>
      <w:r>
        <w:rPr>
          <w:rFonts w:hint="eastAsia" w:asciiTheme="majorEastAsia" w:hAnsiTheme="majorEastAsia"/>
          <w:sz w:val="28"/>
          <w:szCs w:val="28"/>
        </w:rPr>
        <w:br w:type="page"/>
      </w:r>
    </w:p>
    <w:p>
      <w:pPr>
        <w:pStyle w:val="3"/>
        <w:adjustRightInd w:val="0"/>
        <w:snapToGrid w:val="0"/>
        <w:spacing w:before="0" w:after="0" w:line="520" w:lineRule="exact"/>
        <w:rPr>
          <w:rFonts w:hint="eastAsia" w:asciiTheme="majorEastAsia" w:hAnsiTheme="majorEastAsia"/>
          <w:sz w:val="28"/>
          <w:szCs w:val="28"/>
        </w:rPr>
      </w:pPr>
      <w:bookmarkStart w:id="2163" w:name="_Toc7186535"/>
      <w:bookmarkStart w:id="2164" w:name="_Toc6147"/>
      <w:bookmarkStart w:id="2165" w:name="_Toc515440810"/>
      <w:bookmarkStart w:id="2166" w:name="_Toc10336"/>
      <w:bookmarkStart w:id="2167" w:name="_Toc25646"/>
      <w:bookmarkStart w:id="2168" w:name="_Toc669636333"/>
      <w:bookmarkStart w:id="2169" w:name="_Toc7237"/>
      <w:bookmarkStart w:id="2170" w:name="_Toc20585"/>
      <w:bookmarkStart w:id="2171" w:name="_Toc1174077194"/>
      <w:bookmarkStart w:id="2172" w:name="_Toc1167297538"/>
      <w:bookmarkStart w:id="2173" w:name="_Toc1005"/>
      <w:bookmarkStart w:id="2174" w:name="_Toc1862454278"/>
      <w:bookmarkStart w:id="2175" w:name="_Toc1664794728"/>
      <w:bookmarkStart w:id="2176" w:name="_Toc511396099"/>
      <w:bookmarkStart w:id="2177" w:name="_Toc644276094"/>
      <w:bookmarkStart w:id="2178" w:name="_Toc115528068"/>
      <w:bookmarkStart w:id="2179" w:name="_Toc1833085519"/>
      <w:bookmarkStart w:id="2180" w:name="_Toc1746257227"/>
      <w:bookmarkStart w:id="2181" w:name="_Toc997820081"/>
      <w:bookmarkStart w:id="2182" w:name="_Toc1390508846"/>
      <w:bookmarkStart w:id="2183" w:name="_Toc1388236398"/>
      <w:bookmarkStart w:id="2184" w:name="_Toc1117881456"/>
      <w:bookmarkStart w:id="2185" w:name="_Toc516823049"/>
      <w:bookmarkStart w:id="2186" w:name="_Toc1289731065"/>
      <w:bookmarkStart w:id="2187" w:name="_Toc8984"/>
      <w:bookmarkStart w:id="2188" w:name="_Toc25663"/>
      <w:bookmarkStart w:id="2189" w:name="_Toc13598"/>
      <w:r>
        <w:rPr>
          <w:rFonts w:hint="eastAsia" w:asciiTheme="majorEastAsia" w:hAnsiTheme="majorEastAsia"/>
          <w:sz w:val="28"/>
          <w:szCs w:val="28"/>
        </w:rPr>
        <w:t>附件</w:t>
      </w:r>
      <w:r>
        <w:rPr>
          <w:rFonts w:hint="eastAsia" w:asciiTheme="majorEastAsia" w:hAnsiTheme="majorEastAsia"/>
          <w:sz w:val="28"/>
          <w:szCs w:val="28"/>
          <w:lang w:val="en-US" w:eastAsia="zh-CN"/>
        </w:rPr>
        <w:t>六</w:t>
      </w:r>
      <w:r>
        <w:rPr>
          <w:rFonts w:hint="eastAsia" w:asciiTheme="majorEastAsia" w:hAnsiTheme="majorEastAsia"/>
          <w:sz w:val="28"/>
          <w:szCs w:val="28"/>
        </w:rPr>
        <w:t>：中标通知书</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Pr>
          <w:rFonts w:hint="eastAsia" w:asciiTheme="majorEastAsia" w:hAnsiTheme="majorEastAsia"/>
          <w:sz w:val="28"/>
          <w:szCs w:val="28"/>
        </w:rPr>
        <w:t>（参考格式）</w:t>
      </w:r>
      <w:bookmarkEnd w:id="2188"/>
    </w:p>
    <w:p/>
    <w:p>
      <w:pPr>
        <w:widowControl/>
        <w:shd w:val="clear" w:color="auto" w:fill="FFFFFF"/>
        <w:snapToGrid w:val="0"/>
        <w:ind w:firstLine="0" w:firstLineChars="0"/>
        <w:jc w:val="center"/>
        <w:rPr>
          <w:rFonts w:asciiTheme="minorEastAsia" w:hAnsiTheme="minorEastAsia"/>
          <w:b/>
          <w:sz w:val="36"/>
          <w:szCs w:val="36"/>
        </w:rPr>
      </w:pPr>
      <w:r>
        <w:rPr>
          <w:rFonts w:hint="eastAsia" w:asciiTheme="minorEastAsia" w:hAnsiTheme="minorEastAsia"/>
          <w:b/>
          <w:sz w:val="36"/>
          <w:szCs w:val="36"/>
        </w:rPr>
        <w:t>中标通知书</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left"/>
        <w:rPr>
          <w:rFonts w:asciiTheme="minorEastAsia" w:hAnsiTheme="minorEastAsia"/>
          <w:sz w:val="21"/>
          <w:szCs w:val="21"/>
        </w:rPr>
      </w:pP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中标人名称</w:t>
      </w:r>
      <w:r>
        <w:rPr>
          <w:rFonts w:hint="eastAsia" w:eastAsia="宋体" w:cs="Times New Roman"/>
          <w:color w:val="auto"/>
          <w:sz w:val="21"/>
          <w:szCs w:val="21"/>
          <w:u w:val="single" w:color="auto"/>
          <w:lang w:eastAsia="zh-Hans"/>
        </w:rPr>
        <w:t>）</w:t>
      </w:r>
      <w:r>
        <w:rPr>
          <w:rFonts w:hint="default" w:eastAsia="宋体" w:cs="Times New Roman"/>
          <w:color w:val="auto"/>
          <w:sz w:val="21"/>
          <w:szCs w:val="21"/>
          <w:u w:val="single" w:color="auto"/>
        </w:rPr>
        <w:t xml:space="preserve">       </w:t>
      </w:r>
      <w:r>
        <w:rPr>
          <w:rFonts w:hint="eastAsia" w:asciiTheme="minorEastAsia" w:hAnsiTheme="minorEastAsia"/>
          <w:sz w:val="21"/>
          <w:szCs w:val="21"/>
        </w:rPr>
        <w:t>：</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你方于</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val="en-US" w:eastAsia="zh-CN"/>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投标日期</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所递交的</w:t>
      </w:r>
      <w:r>
        <w:rPr>
          <w:rFonts w:hint="eastAsia" w:ascii="宋体" w:hAnsi="宋体" w:cs="宋体"/>
          <w:sz w:val="21"/>
          <w:szCs w:val="21"/>
          <w:u w:val="single"/>
        </w:rPr>
        <w:t xml:space="preserve">         </w:t>
      </w:r>
      <w:r>
        <w:rPr>
          <w:rFonts w:hint="eastAsia" w:ascii="宋体" w:hAnsi="宋体" w:cs="宋体"/>
          <w:sz w:val="21"/>
          <w:szCs w:val="21"/>
          <w:u w:val="single"/>
          <w:lang w:eastAsia="zh-Hans"/>
        </w:rPr>
        <w:t>（</w:t>
      </w:r>
      <w:r>
        <w:rPr>
          <w:rFonts w:hint="eastAsia" w:ascii="宋体" w:hAnsi="宋体" w:cs="宋体"/>
          <w:sz w:val="21"/>
          <w:szCs w:val="21"/>
          <w:u w:val="single"/>
          <w:lang w:val="en-US" w:eastAsia="zh-Hans"/>
        </w:rPr>
        <w:t>项目名称</w:t>
      </w:r>
      <w:r>
        <w:rPr>
          <w:rFonts w:hint="eastAsia" w:ascii="宋体" w:hAnsi="宋体" w:cs="宋体"/>
          <w:sz w:val="21"/>
          <w:szCs w:val="21"/>
          <w:u w:val="single"/>
          <w:lang w:eastAsia="zh-Hans"/>
        </w:rPr>
        <w:t>）</w:t>
      </w:r>
      <w:r>
        <w:rPr>
          <w:rFonts w:hint="eastAsia" w:asciiTheme="minorEastAsia" w:hAnsiTheme="minorEastAsia"/>
          <w:sz w:val="21"/>
          <w:szCs w:val="21"/>
        </w:rPr>
        <w:t>招标的投标文件已被我方接受，被确定为中标人。</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中标价：_______________。</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服务期限：_______________日历天。</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项目负责人：</w:t>
      </w:r>
      <w:r>
        <w:rPr>
          <w:rFonts w:hint="eastAsia" w:ascii="宋体" w:hAnsi="宋体" w:cs="宋体"/>
          <w:sz w:val="21"/>
          <w:szCs w:val="21"/>
          <w:u w:val="single"/>
        </w:rPr>
        <w:t xml:space="preserve">   </w:t>
      </w:r>
      <w:r>
        <w:rPr>
          <w:rFonts w:hint="eastAsia" w:ascii="宋体" w:hAnsi="宋体" w:cs="宋体"/>
          <w:sz w:val="21"/>
          <w:szCs w:val="21"/>
          <w:u w:val="single"/>
          <w:lang w:eastAsia="zh-Hans"/>
        </w:rPr>
        <w:t>（</w:t>
      </w:r>
      <w:r>
        <w:rPr>
          <w:rFonts w:hint="eastAsia" w:ascii="宋体" w:hAnsi="宋体" w:cs="宋体"/>
          <w:sz w:val="21"/>
          <w:szCs w:val="21"/>
          <w:u w:val="single"/>
          <w:lang w:val="en-US" w:eastAsia="zh-Hans"/>
        </w:rPr>
        <w:t>姓名</w:t>
      </w:r>
      <w:r>
        <w:rPr>
          <w:rFonts w:hint="eastAsia" w:ascii="宋体" w:hAnsi="宋体" w:cs="宋体"/>
          <w:sz w:val="21"/>
          <w:szCs w:val="21"/>
          <w:u w:val="single"/>
          <w:lang w:eastAsia="zh-Hans"/>
        </w:rPr>
        <w:t>）</w:t>
      </w:r>
      <w:r>
        <w:rPr>
          <w:rFonts w:hint="eastAsia" w:ascii="宋体" w:hAnsi="宋体" w:cs="宋体"/>
          <w:sz w:val="21"/>
          <w:szCs w:val="21"/>
          <w:u w:val="none"/>
          <w:lang w:eastAsia="zh-Hans"/>
        </w:rPr>
        <w:t>，</w:t>
      </w:r>
      <w:r>
        <w:rPr>
          <w:rFonts w:hint="default" w:ascii="宋体" w:hAnsi="宋体" w:eastAsia="宋体" w:cs="Times New Roman"/>
          <w:sz w:val="21"/>
          <w:szCs w:val="21"/>
          <w:u w:val="none"/>
          <w:lang w:val="en-US" w:eastAsia="zh-Hans"/>
        </w:rPr>
        <w:t>身份证号：</w:t>
      </w:r>
      <w:r>
        <w:rPr>
          <w:rFonts w:hint="eastAsia" w:ascii="宋体" w:hAnsi="宋体" w:cs="宋体"/>
          <w:sz w:val="21"/>
          <w:szCs w:val="21"/>
          <w:u w:val="single"/>
        </w:rPr>
        <w:t xml:space="preserve">    </w:t>
      </w:r>
      <w:r>
        <w:rPr>
          <w:rFonts w:hint="default" w:ascii="宋体" w:hAnsi="宋体" w:cs="宋体"/>
          <w:sz w:val="21"/>
          <w:szCs w:val="21"/>
          <w:u w:val="single"/>
        </w:rPr>
        <w:t xml:space="preserve">     </w:t>
      </w:r>
      <w:r>
        <w:rPr>
          <w:rFonts w:hint="eastAsia" w:ascii="宋体" w:hAnsi="宋体" w:cs="宋体"/>
          <w:sz w:val="21"/>
          <w:szCs w:val="21"/>
          <w:u w:val="single"/>
        </w:rPr>
        <w:t xml:space="preserve">    </w:t>
      </w:r>
      <w:r>
        <w:rPr>
          <w:rFonts w:hint="eastAsia" w:asciiTheme="minorEastAsia" w:hAnsiTheme="minorEastAsia"/>
          <w:sz w:val="21"/>
          <w:szCs w:val="21"/>
        </w:rPr>
        <w:t>。</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请你方在接到本通知书后的____日内到</w:t>
      </w:r>
      <w:r>
        <w:rPr>
          <w:rFonts w:hint="eastAsia" w:ascii="宋体" w:hAnsi="宋体" w:cs="宋体"/>
          <w:sz w:val="21"/>
          <w:szCs w:val="21"/>
          <w:u w:val="single"/>
        </w:rPr>
        <w:t xml:space="preserve">     </w:t>
      </w:r>
      <w:r>
        <w:rPr>
          <w:rFonts w:hint="eastAsia" w:ascii="宋体" w:hAnsi="宋体" w:cs="宋体"/>
          <w:sz w:val="21"/>
          <w:szCs w:val="21"/>
          <w:u w:val="single"/>
          <w:lang w:eastAsia="zh-Hans"/>
        </w:rPr>
        <w:t>（</w:t>
      </w:r>
      <w:r>
        <w:rPr>
          <w:rFonts w:hint="eastAsia" w:ascii="宋体" w:hAnsi="宋体" w:cs="宋体"/>
          <w:sz w:val="21"/>
          <w:szCs w:val="21"/>
          <w:u w:val="single"/>
          <w:lang w:val="en-US" w:eastAsia="zh-Hans"/>
        </w:rPr>
        <w:t>详细地址</w:t>
      </w:r>
      <w:r>
        <w:rPr>
          <w:rFonts w:hint="eastAsia" w:ascii="宋体" w:hAnsi="宋体" w:cs="宋体"/>
          <w:sz w:val="21"/>
          <w:szCs w:val="21"/>
          <w:u w:val="single"/>
          <w:lang w:eastAsia="zh-Hans"/>
        </w:rPr>
        <w:t>）</w:t>
      </w:r>
      <w:r>
        <w:rPr>
          <w:rFonts w:hint="eastAsia" w:asciiTheme="minorEastAsia" w:hAnsiTheme="minorEastAsia"/>
          <w:sz w:val="21"/>
          <w:szCs w:val="21"/>
        </w:rPr>
        <w:t>与我方签订</w:t>
      </w:r>
      <w:r>
        <w:rPr>
          <w:rFonts w:hint="eastAsia" w:ascii="宋体" w:hAnsi="宋体" w:cs="宋体"/>
          <w:sz w:val="21"/>
          <w:szCs w:val="21"/>
          <w:u w:val="single"/>
        </w:rPr>
        <w:t xml:space="preserve">    </w:t>
      </w:r>
      <w:r>
        <w:rPr>
          <w:rFonts w:hint="eastAsia" w:ascii="宋体" w:hAnsi="宋体" w:cs="宋体"/>
          <w:sz w:val="21"/>
          <w:szCs w:val="21"/>
          <w:u w:val="single"/>
          <w:lang w:eastAsia="zh-Hans"/>
        </w:rPr>
        <w:t>（</w:t>
      </w:r>
      <w:r>
        <w:rPr>
          <w:rFonts w:hint="eastAsia" w:ascii="宋体" w:hAnsi="宋体" w:cs="宋体"/>
          <w:sz w:val="21"/>
          <w:szCs w:val="21"/>
          <w:u w:val="single"/>
          <w:lang w:val="en-US" w:eastAsia="zh-Hans"/>
        </w:rPr>
        <w:t>勘察或设计或勘察设计</w:t>
      </w:r>
      <w:r>
        <w:rPr>
          <w:rFonts w:hint="eastAsia" w:ascii="宋体" w:hAnsi="宋体" w:cs="宋体"/>
          <w:sz w:val="21"/>
          <w:szCs w:val="21"/>
          <w:u w:val="single"/>
          <w:lang w:eastAsia="zh-Hans"/>
        </w:rPr>
        <w:t>）</w:t>
      </w:r>
      <w:r>
        <w:rPr>
          <w:rFonts w:hint="eastAsia" w:ascii="宋体" w:hAnsi="宋体" w:cs="宋体"/>
          <w:sz w:val="21"/>
          <w:szCs w:val="21"/>
          <w:u w:val="single"/>
        </w:rPr>
        <w:t xml:space="preserve">     </w:t>
      </w:r>
      <w:r>
        <w:rPr>
          <w:rFonts w:hint="eastAsia" w:asciiTheme="minorEastAsia" w:hAnsiTheme="minorEastAsia"/>
          <w:sz w:val="21"/>
          <w:szCs w:val="21"/>
        </w:rPr>
        <w:t>合同，并按招标文件第二章“投标人须知”第7.6款规定向我方提交履约保证金。</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特此通知。</w:t>
      </w:r>
    </w:p>
    <w:p>
      <w:pPr>
        <w:widowControl/>
        <w:shd w:val="clear" w:color="auto" w:fill="FFFFFF"/>
        <w:snapToGrid w:val="0"/>
        <w:ind w:firstLine="420" w:firstLineChars="200"/>
        <w:jc w:val="left"/>
        <w:rPr>
          <w:rFonts w:asciiTheme="minorEastAsia" w:hAnsiTheme="minorEastAsia"/>
          <w:sz w:val="21"/>
          <w:szCs w:val="21"/>
        </w:rPr>
      </w:pPr>
    </w:p>
    <w:p>
      <w:pPr>
        <w:widowControl/>
        <w:shd w:val="clear" w:color="auto" w:fill="FFFFFF"/>
        <w:snapToGrid w:val="0"/>
        <w:ind w:firstLine="420" w:firstLineChars="200"/>
        <w:jc w:val="right"/>
        <w:rPr>
          <w:rFonts w:asciiTheme="minorEastAsia" w:hAnsiTheme="minorEastAsia"/>
          <w:sz w:val="21"/>
          <w:szCs w:val="21"/>
        </w:rPr>
      </w:pPr>
      <w:r>
        <w:rPr>
          <w:rFonts w:hint="eastAsia" w:asciiTheme="minorEastAsia" w:hAnsiTheme="minorEastAsia"/>
          <w:sz w:val="21"/>
          <w:szCs w:val="21"/>
        </w:rPr>
        <w:t>招标人：______________________（盖单位</w:t>
      </w:r>
      <w:r>
        <w:rPr>
          <w:rFonts w:hint="eastAsia" w:asciiTheme="minorEastAsia" w:hAnsiTheme="minorEastAsia"/>
          <w:sz w:val="21"/>
          <w:szCs w:val="21"/>
          <w:lang w:val="en-US" w:eastAsia="zh-CN"/>
        </w:rPr>
        <w:t>公</w:t>
      </w:r>
      <w:r>
        <w:rPr>
          <w:rFonts w:hint="eastAsia" w:asciiTheme="minorEastAsia" w:hAnsiTheme="minorEastAsia"/>
          <w:sz w:val="21"/>
          <w:szCs w:val="21"/>
        </w:rPr>
        <w:t>章）</w:t>
      </w:r>
    </w:p>
    <w:p>
      <w:pPr>
        <w:widowControl/>
        <w:shd w:val="clear" w:color="auto" w:fill="FFFFFF"/>
        <w:snapToGrid w:val="0"/>
        <w:ind w:firstLine="420" w:firstLineChars="200"/>
        <w:jc w:val="right"/>
        <w:rPr>
          <w:rFonts w:asciiTheme="minorEastAsia" w:hAnsiTheme="minorEastAsia"/>
          <w:sz w:val="21"/>
          <w:szCs w:val="21"/>
        </w:rPr>
      </w:pPr>
      <w:r>
        <w:rPr>
          <w:rFonts w:hint="eastAsia" w:asciiTheme="minorEastAsia" w:hAnsiTheme="minorEastAsia"/>
          <w:sz w:val="21"/>
          <w:szCs w:val="21"/>
        </w:rPr>
        <w:t>法定代表人：____________（签字）</w:t>
      </w:r>
    </w:p>
    <w:p>
      <w:pPr>
        <w:widowControl/>
        <w:shd w:val="clear" w:color="auto" w:fill="FFFFFF"/>
        <w:snapToGrid w:val="0"/>
        <w:ind w:firstLine="420" w:firstLineChars="200"/>
        <w:jc w:val="right"/>
        <w:rPr>
          <w:rFonts w:asciiTheme="minorEastAsia" w:hAnsiTheme="minorEastAsia"/>
          <w:sz w:val="21"/>
          <w:szCs w:val="21"/>
        </w:rPr>
      </w:pPr>
      <w:r>
        <w:rPr>
          <w:rFonts w:hint="eastAsia" w:asciiTheme="minorEastAsia" w:hAnsiTheme="minorEastAsia"/>
          <w:sz w:val="21"/>
          <w:szCs w:val="21"/>
        </w:rPr>
        <w:t>___________年______月______日</w:t>
      </w:r>
    </w:p>
    <w:p>
      <w:pPr>
        <w:rPr>
          <w:rFonts w:asciiTheme="minorEastAsia" w:hAnsiTheme="minorEastAsia"/>
          <w:szCs w:val="21"/>
        </w:rPr>
      </w:pPr>
      <w:r>
        <w:rPr>
          <w:rFonts w:asciiTheme="minorEastAsia" w:hAnsiTheme="minorEastAsia"/>
          <w:szCs w:val="21"/>
        </w:rPr>
        <w:br w:type="page"/>
      </w:r>
    </w:p>
    <w:p>
      <w:pPr>
        <w:pStyle w:val="3"/>
        <w:adjustRightInd w:val="0"/>
        <w:snapToGrid w:val="0"/>
        <w:spacing w:before="0" w:after="0" w:line="520" w:lineRule="exact"/>
        <w:rPr>
          <w:rFonts w:hint="eastAsia" w:asciiTheme="majorEastAsia" w:hAnsiTheme="majorEastAsia"/>
          <w:sz w:val="28"/>
          <w:szCs w:val="28"/>
        </w:rPr>
      </w:pPr>
      <w:r>
        <w:rPr>
          <w:rFonts w:hint="eastAsia" w:asciiTheme="majorEastAsia" w:hAnsiTheme="majorEastAsia"/>
          <w:sz w:val="28"/>
          <w:szCs w:val="28"/>
          <w:lang w:val="en-US" w:eastAsia="zh-CN"/>
        </w:rPr>
        <w:t>附件七：</w:t>
      </w:r>
      <w:r>
        <w:rPr>
          <w:rFonts w:hint="eastAsia" w:asciiTheme="majorEastAsia" w:hAnsiTheme="majorEastAsia"/>
          <w:sz w:val="28"/>
          <w:szCs w:val="28"/>
        </w:rPr>
        <w:t>中标结果通知书</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r>
        <w:rPr>
          <w:rFonts w:hint="eastAsia" w:asciiTheme="majorEastAsia" w:hAnsiTheme="majorEastAsia"/>
          <w:sz w:val="28"/>
          <w:szCs w:val="28"/>
        </w:rPr>
        <w:t>（参考格式）</w:t>
      </w:r>
      <w:bookmarkEnd w:id="2189"/>
    </w:p>
    <w:p/>
    <w:p>
      <w:pPr>
        <w:widowControl/>
        <w:shd w:val="clear" w:color="auto" w:fill="FFFFFF"/>
        <w:snapToGrid w:val="0"/>
        <w:ind w:firstLine="0" w:firstLineChars="0"/>
        <w:jc w:val="center"/>
        <w:rPr>
          <w:rFonts w:asciiTheme="minorEastAsia" w:hAnsiTheme="minorEastAsia"/>
          <w:b/>
          <w:sz w:val="36"/>
          <w:szCs w:val="36"/>
        </w:rPr>
      </w:pPr>
      <w:r>
        <w:rPr>
          <w:rFonts w:hint="eastAsia" w:asciiTheme="minorEastAsia" w:hAnsiTheme="minorEastAsia"/>
          <w:b/>
          <w:sz w:val="36"/>
          <w:szCs w:val="36"/>
        </w:rPr>
        <w:t>中标结果通知书</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jc w:val="left"/>
        <w:rPr>
          <w:rFonts w:asciiTheme="minorEastAsia" w:hAnsiTheme="minorEastAsia"/>
          <w:sz w:val="21"/>
          <w:szCs w:val="21"/>
        </w:rPr>
      </w:pP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未中标人名称</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我方已接受</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中标人名称</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于</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val="en-US" w:eastAsia="zh-CN"/>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投标日期</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所递交的</w:t>
      </w:r>
      <w:r>
        <w:rPr>
          <w:rFonts w:hint="eastAsia" w:eastAsia="宋体" w:cs="Times New Roman"/>
          <w:color w:val="auto"/>
          <w:sz w:val="21"/>
          <w:szCs w:val="21"/>
          <w:u w:val="single" w:color="auto"/>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项目名称及标段</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招标的投标文件，确定</w:t>
      </w:r>
      <w:r>
        <w:rPr>
          <w:rFonts w:hint="default" w:eastAsia="宋体" w:cs="Times New Roman"/>
          <w:color w:val="auto"/>
          <w:sz w:val="21"/>
          <w:szCs w:val="21"/>
          <w:u w:val="single" w:color="auto"/>
        </w:rPr>
        <w:t xml:space="preserve">      </w:t>
      </w:r>
      <w:r>
        <w:rPr>
          <w:rFonts w:hint="eastAsia" w:eastAsia="宋体" w:cs="Times New Roman"/>
          <w:color w:val="auto"/>
          <w:sz w:val="21"/>
          <w:szCs w:val="21"/>
          <w:u w:val="single" w:color="auto"/>
          <w:lang w:eastAsia="zh-Hans"/>
        </w:rPr>
        <w:t>（</w:t>
      </w:r>
      <w:r>
        <w:rPr>
          <w:rFonts w:hint="eastAsia" w:eastAsia="宋体" w:cs="Times New Roman"/>
          <w:color w:val="auto"/>
          <w:sz w:val="21"/>
          <w:szCs w:val="21"/>
          <w:u w:val="single" w:color="auto"/>
          <w:lang w:val="en-US" w:eastAsia="zh-Hans"/>
        </w:rPr>
        <w:t>中标人名称</w:t>
      </w:r>
      <w:r>
        <w:rPr>
          <w:rFonts w:hint="eastAsia" w:eastAsia="宋体" w:cs="Times New Roman"/>
          <w:color w:val="auto"/>
          <w:sz w:val="21"/>
          <w:szCs w:val="21"/>
          <w:u w:val="single" w:color="auto"/>
          <w:lang w:eastAsia="zh-Hans"/>
        </w:rPr>
        <w:t>）</w:t>
      </w:r>
      <w:r>
        <w:rPr>
          <w:rFonts w:hint="eastAsia" w:asciiTheme="minorEastAsia" w:hAnsiTheme="minorEastAsia"/>
          <w:sz w:val="21"/>
          <w:szCs w:val="21"/>
        </w:rPr>
        <w:t>为中标人。</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感谢你单位对招标项目的参与！</w:t>
      </w:r>
    </w:p>
    <w:p>
      <w:pPr>
        <w:widowControl/>
        <w:shd w:val="clear" w:color="auto" w:fill="FFFFFF"/>
        <w:snapToGrid w:val="0"/>
        <w:ind w:firstLine="420" w:firstLineChars="200"/>
        <w:jc w:val="right"/>
        <w:rPr>
          <w:rFonts w:asciiTheme="minorEastAsia" w:hAnsiTheme="minorEastAsia"/>
          <w:sz w:val="21"/>
          <w:szCs w:val="21"/>
        </w:rPr>
      </w:pPr>
    </w:p>
    <w:p>
      <w:pPr>
        <w:widowControl/>
        <w:shd w:val="clear" w:color="auto" w:fill="FFFFFF"/>
        <w:snapToGrid w:val="0"/>
        <w:ind w:firstLine="420" w:firstLineChars="200"/>
        <w:jc w:val="right"/>
        <w:rPr>
          <w:rFonts w:asciiTheme="minorEastAsia" w:hAnsiTheme="minorEastAsia"/>
          <w:sz w:val="21"/>
          <w:szCs w:val="21"/>
        </w:rPr>
      </w:pPr>
      <w:r>
        <w:rPr>
          <w:rFonts w:hint="eastAsia" w:asciiTheme="minorEastAsia" w:hAnsiTheme="minorEastAsia"/>
          <w:sz w:val="21"/>
          <w:szCs w:val="21"/>
        </w:rPr>
        <w:t>招标人：_________________（盖单位</w:t>
      </w:r>
      <w:r>
        <w:rPr>
          <w:rFonts w:hint="eastAsia" w:asciiTheme="minorEastAsia" w:hAnsiTheme="minorEastAsia"/>
          <w:sz w:val="21"/>
          <w:szCs w:val="21"/>
          <w:lang w:val="en-US" w:eastAsia="zh-CN"/>
        </w:rPr>
        <w:t>公</w:t>
      </w:r>
      <w:r>
        <w:rPr>
          <w:rFonts w:hint="eastAsia" w:asciiTheme="minorEastAsia" w:hAnsiTheme="minorEastAsia"/>
          <w:sz w:val="21"/>
          <w:szCs w:val="21"/>
        </w:rPr>
        <w:t>章）</w:t>
      </w:r>
    </w:p>
    <w:p>
      <w:pPr>
        <w:widowControl/>
        <w:shd w:val="clear" w:color="auto" w:fill="FFFFFF"/>
        <w:snapToGrid w:val="0"/>
        <w:ind w:firstLine="420" w:firstLineChars="200"/>
        <w:jc w:val="right"/>
        <w:rPr>
          <w:rFonts w:asciiTheme="minorEastAsia" w:hAnsiTheme="minorEastAsia"/>
          <w:sz w:val="21"/>
          <w:szCs w:val="21"/>
        </w:rPr>
      </w:pPr>
      <w:r>
        <w:rPr>
          <w:rFonts w:hint="eastAsia" w:asciiTheme="minorEastAsia" w:hAnsiTheme="minorEastAsia"/>
          <w:sz w:val="21"/>
          <w:szCs w:val="21"/>
        </w:rPr>
        <w:t>___________年_______月_______日</w:t>
      </w:r>
    </w:p>
    <w:p>
      <w:pPr>
        <w:rPr>
          <w:rFonts w:hint="eastAsia" w:asciiTheme="majorEastAsia" w:hAnsiTheme="majorEastAsia" w:eastAsiaTheme="majorEastAsia"/>
          <w:sz w:val="36"/>
          <w:szCs w:val="36"/>
        </w:rPr>
      </w:pPr>
      <w:bookmarkStart w:id="2190" w:name="_Toc1708"/>
      <w:bookmarkStart w:id="2191" w:name="_Toc501489120"/>
      <w:bookmarkStart w:id="2192" w:name="_Toc1266221148"/>
      <w:bookmarkStart w:id="2193" w:name="_Toc6596"/>
      <w:bookmarkStart w:id="2194" w:name="_Toc1710855452"/>
      <w:bookmarkStart w:id="2195" w:name="_Toc1281776810"/>
      <w:bookmarkStart w:id="2196" w:name="_Toc528061170"/>
      <w:bookmarkStart w:id="2197" w:name="_Toc11529"/>
      <w:bookmarkStart w:id="2198" w:name="_Toc93865883"/>
      <w:bookmarkStart w:id="2199" w:name="_Toc14614"/>
      <w:bookmarkStart w:id="2200" w:name="_Toc19642"/>
      <w:bookmarkStart w:id="2201" w:name="_Toc516823052"/>
      <w:bookmarkStart w:id="2202" w:name="_Toc511396102"/>
      <w:bookmarkStart w:id="2203" w:name="_Toc275956406"/>
      <w:bookmarkStart w:id="2204" w:name="_Toc1380274233"/>
      <w:bookmarkStart w:id="2205" w:name="_Toc22377"/>
      <w:bookmarkStart w:id="2206" w:name="_Toc221450063"/>
      <w:bookmarkStart w:id="2207" w:name="_Toc515440813"/>
      <w:bookmarkStart w:id="2208" w:name="_Toc418855309"/>
      <w:bookmarkStart w:id="2209" w:name="_Toc975409690"/>
      <w:bookmarkStart w:id="2210" w:name="_Toc1704376984"/>
      <w:bookmarkStart w:id="2211" w:name="_Toc639862170"/>
      <w:bookmarkStart w:id="2212" w:name="_Toc769397562"/>
      <w:bookmarkStart w:id="2213" w:name="_Toc19381"/>
      <w:bookmarkStart w:id="2214" w:name="_Toc7186538"/>
      <w:r>
        <w:rPr>
          <w:rFonts w:hint="eastAsia" w:asciiTheme="majorEastAsia" w:hAnsiTheme="majorEastAsia" w:eastAsiaTheme="majorEastAsia"/>
          <w:sz w:val="36"/>
          <w:szCs w:val="36"/>
        </w:rPr>
        <w:br w:type="page"/>
      </w:r>
    </w:p>
    <w:p>
      <w:pPr>
        <w:pStyle w:val="2"/>
        <w:adjustRightInd w:val="0"/>
        <w:spacing w:before="0" w:after="0" w:line="520" w:lineRule="exact"/>
        <w:jc w:val="center"/>
        <w:rPr>
          <w:rFonts w:asciiTheme="majorEastAsia" w:hAnsiTheme="majorEastAsia" w:eastAsiaTheme="majorEastAsia"/>
          <w:sz w:val="36"/>
          <w:szCs w:val="36"/>
        </w:rPr>
      </w:pPr>
      <w:bookmarkStart w:id="2215" w:name="_Toc22402"/>
      <w:r>
        <w:rPr>
          <w:rFonts w:hint="eastAsia" w:asciiTheme="majorEastAsia" w:hAnsiTheme="majorEastAsia" w:eastAsiaTheme="majorEastAsia"/>
          <w:sz w:val="36"/>
          <w:szCs w:val="36"/>
        </w:rPr>
        <w:t>第三章 评标办法（综合评估法</w:t>
      </w:r>
      <w:r>
        <w:rPr>
          <w:rFonts w:hint="eastAsia" w:asciiTheme="majorEastAsia" w:hAnsiTheme="majorEastAsia" w:eastAsiaTheme="majorEastAsia"/>
          <w:sz w:val="36"/>
          <w:szCs w:val="36"/>
          <w:lang w:val="en-US" w:eastAsia="zh-CN"/>
        </w:rPr>
        <w:t>Ⅰ类</w:t>
      </w:r>
      <w:r>
        <w:rPr>
          <w:rFonts w:hint="eastAsia" w:asciiTheme="majorEastAsia" w:hAnsiTheme="majorEastAsia" w:eastAsiaTheme="majorEastAsia"/>
          <w:sz w:val="36"/>
          <w:szCs w:val="36"/>
        </w:rPr>
        <w:t>）</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spacing w:line="360" w:lineRule="auto"/>
        <w:ind w:firstLine="422" w:firstLineChars="200"/>
        <w:jc w:val="left"/>
        <w:rPr>
          <w:rFonts w:asciiTheme="minorEastAsia" w:hAnsiTheme="minorEastAsia"/>
          <w:b/>
          <w:szCs w:val="21"/>
        </w:rPr>
      </w:pPr>
      <w:r>
        <w:rPr>
          <w:rFonts w:hint="eastAsia" w:asciiTheme="minorEastAsia" w:hAnsiTheme="minorEastAsia"/>
          <w:b/>
          <w:szCs w:val="21"/>
        </w:rPr>
        <w:t>【注：评标委员会应按本评标办法规定的方法、评审因素、标准和程序对投标文件进行评审。评标办法没有规定的方法、评审因素和标准，不作为评标依据。】</w:t>
      </w:r>
    </w:p>
    <w:p>
      <w:pPr>
        <w:pStyle w:val="3"/>
        <w:adjustRightInd w:val="0"/>
        <w:snapToGrid w:val="0"/>
        <w:spacing w:before="0" w:after="0" w:line="520" w:lineRule="exact"/>
        <w:rPr>
          <w:rFonts w:asciiTheme="majorEastAsia" w:hAnsiTheme="majorEastAsia"/>
          <w:sz w:val="28"/>
          <w:szCs w:val="28"/>
        </w:rPr>
      </w:pPr>
      <w:bookmarkStart w:id="2216" w:name="_Toc7186539"/>
      <w:bookmarkStart w:id="2217" w:name="_Toc17905"/>
      <w:bookmarkStart w:id="2218" w:name="_Toc515440814"/>
      <w:bookmarkStart w:id="2219" w:name="_Toc1689032081"/>
      <w:bookmarkStart w:id="2220" w:name="_Toc511396103"/>
      <w:bookmarkStart w:id="2221" w:name="_Toc1712870661"/>
      <w:bookmarkStart w:id="2222" w:name="_Toc322048590"/>
      <w:bookmarkStart w:id="2223" w:name="_Toc14170"/>
      <w:bookmarkStart w:id="2224" w:name="_Toc23163"/>
      <w:bookmarkStart w:id="2225" w:name="_Toc24074"/>
      <w:bookmarkStart w:id="2226" w:name="_Toc1414382613"/>
      <w:bookmarkStart w:id="2227" w:name="_Toc1150679137"/>
      <w:bookmarkStart w:id="2228" w:name="_Toc22904"/>
      <w:bookmarkStart w:id="2229" w:name="_Toc249783497"/>
      <w:bookmarkStart w:id="2230" w:name="_Toc1350898683"/>
      <w:bookmarkStart w:id="2231" w:name="_Toc179602755"/>
      <w:bookmarkStart w:id="2232" w:name="_Toc1265785947"/>
      <w:bookmarkStart w:id="2233" w:name="_Toc516823053"/>
      <w:bookmarkStart w:id="2234" w:name="_Toc17409"/>
      <w:bookmarkStart w:id="2235" w:name="_Toc1963376313"/>
      <w:bookmarkStart w:id="2236" w:name="_Toc23510"/>
      <w:bookmarkStart w:id="2237" w:name="_Toc1967982279"/>
      <w:bookmarkStart w:id="2238" w:name="_Toc6411"/>
      <w:bookmarkStart w:id="2239" w:name="_Toc1721654786"/>
      <w:bookmarkStart w:id="2240" w:name="_Toc1801809012"/>
      <w:bookmarkStart w:id="2241" w:name="_Toc1582121769"/>
      <w:r>
        <w:rPr>
          <w:rFonts w:hint="eastAsia" w:asciiTheme="majorEastAsia" w:hAnsiTheme="majorEastAsia"/>
          <w:sz w:val="28"/>
          <w:szCs w:val="28"/>
        </w:rPr>
        <w:t>评标办法前附表</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tbl>
      <w:tblPr>
        <w:tblStyle w:val="30"/>
        <w:tblW w:w="893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43"/>
        <w:gridCol w:w="108"/>
        <w:gridCol w:w="992"/>
        <w:gridCol w:w="992"/>
        <w:gridCol w:w="993"/>
        <w:gridCol w:w="994"/>
        <w:gridCol w:w="41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widowControl/>
              <w:spacing w:line="360" w:lineRule="auto"/>
              <w:jc w:val="center"/>
              <w:rPr>
                <w:b/>
                <w:szCs w:val="21"/>
              </w:rPr>
            </w:pPr>
            <w:r>
              <w:rPr>
                <w:rFonts w:hint="eastAsia"/>
                <w:b/>
                <w:szCs w:val="21"/>
              </w:rPr>
              <w:t>条款号</w:t>
            </w:r>
          </w:p>
        </w:tc>
        <w:tc>
          <w:tcPr>
            <w:tcW w:w="1985" w:type="dxa"/>
            <w:gridSpan w:val="2"/>
            <w:vAlign w:val="center"/>
          </w:tcPr>
          <w:p>
            <w:pPr>
              <w:widowControl/>
              <w:spacing w:line="360" w:lineRule="auto"/>
              <w:jc w:val="center"/>
              <w:rPr>
                <w:b/>
                <w:szCs w:val="21"/>
              </w:rPr>
            </w:pPr>
            <w:r>
              <w:rPr>
                <w:rFonts w:hint="eastAsia"/>
                <w:b/>
                <w:szCs w:val="21"/>
              </w:rPr>
              <w:t>评审因素</w:t>
            </w:r>
          </w:p>
        </w:tc>
        <w:tc>
          <w:tcPr>
            <w:tcW w:w="5103" w:type="dxa"/>
            <w:gridSpan w:val="2"/>
            <w:vAlign w:val="center"/>
          </w:tcPr>
          <w:p>
            <w:pPr>
              <w:widowControl/>
              <w:spacing w:line="360" w:lineRule="auto"/>
              <w:jc w:val="center"/>
              <w:rPr>
                <w:b/>
                <w:szCs w:val="21"/>
              </w:rPr>
            </w:pPr>
            <w:r>
              <w:rPr>
                <w:rFonts w:hint="eastAsia"/>
                <w:b/>
                <w:szCs w:val="21"/>
              </w:rPr>
              <w:t>评审标准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gridSpan w:val="2"/>
            <w:tcBorders>
              <w:right w:val="single" w:color="auto" w:sz="4" w:space="0"/>
            </w:tcBorders>
            <w:vAlign w:val="center"/>
          </w:tcPr>
          <w:p>
            <w:pPr>
              <w:widowControl/>
              <w:spacing w:line="360" w:lineRule="auto"/>
              <w:jc w:val="center"/>
              <w:rPr>
                <w:szCs w:val="21"/>
              </w:rPr>
            </w:pPr>
            <w:r>
              <w:rPr>
                <w:szCs w:val="21"/>
              </w:rPr>
              <w:t>1</w:t>
            </w:r>
          </w:p>
        </w:tc>
        <w:tc>
          <w:tcPr>
            <w:tcW w:w="992" w:type="dxa"/>
            <w:tcBorders>
              <w:left w:val="single" w:color="auto" w:sz="4" w:space="0"/>
            </w:tcBorders>
            <w:vAlign w:val="center"/>
          </w:tcPr>
          <w:p>
            <w:pPr>
              <w:widowControl/>
              <w:spacing w:line="360" w:lineRule="auto"/>
              <w:jc w:val="center"/>
              <w:rPr>
                <w:szCs w:val="21"/>
              </w:rPr>
            </w:pPr>
            <w:r>
              <w:rPr>
                <w:rFonts w:hint="eastAsia"/>
                <w:szCs w:val="21"/>
              </w:rPr>
              <w:t>评标方法</w:t>
            </w:r>
          </w:p>
        </w:tc>
        <w:tc>
          <w:tcPr>
            <w:tcW w:w="1985" w:type="dxa"/>
            <w:gridSpan w:val="2"/>
            <w:vAlign w:val="center"/>
          </w:tcPr>
          <w:p>
            <w:pPr>
              <w:widowControl/>
              <w:spacing w:line="360" w:lineRule="auto"/>
              <w:jc w:val="center"/>
              <w:rPr>
                <w:rFonts w:hint="eastAsia"/>
                <w:szCs w:val="21"/>
              </w:rPr>
            </w:pPr>
            <w:r>
              <w:rPr>
                <w:rFonts w:hint="eastAsia"/>
                <w:szCs w:val="21"/>
              </w:rPr>
              <w:t>中标候选人</w:t>
            </w:r>
          </w:p>
          <w:p>
            <w:pPr>
              <w:widowControl/>
              <w:spacing w:line="360" w:lineRule="auto"/>
              <w:jc w:val="center"/>
              <w:rPr>
                <w:szCs w:val="21"/>
              </w:rPr>
            </w:pPr>
            <w:r>
              <w:rPr>
                <w:rFonts w:hint="eastAsia"/>
                <w:szCs w:val="21"/>
              </w:rPr>
              <w:t>排序方法</w:t>
            </w:r>
          </w:p>
        </w:tc>
        <w:tc>
          <w:tcPr>
            <w:tcW w:w="5103" w:type="dxa"/>
            <w:gridSpan w:val="2"/>
            <w:vAlign w:val="center"/>
          </w:tcPr>
          <w:p>
            <w:pPr>
              <w:widowControl/>
              <w:shd w:val="clear" w:color="auto" w:fill="FFFFFF"/>
              <w:spacing w:line="360" w:lineRule="auto"/>
              <w:jc w:val="left"/>
              <w:rPr>
                <w:szCs w:val="21"/>
              </w:rPr>
            </w:pPr>
            <w:r>
              <w:rPr>
                <w:rFonts w:hint="eastAsia" w:asciiTheme="minorEastAsia" w:hAnsiTheme="minorEastAsia"/>
                <w:szCs w:val="21"/>
                <w:highlight w:val="none"/>
              </w:rPr>
              <w:t>本次评标采用综合评估法</w:t>
            </w:r>
            <w:r>
              <w:rPr>
                <w:rFonts w:hint="eastAsia" w:asciiTheme="minorEastAsia" w:hAnsiTheme="minorEastAsia"/>
                <w:szCs w:val="21"/>
                <w:highlight w:val="none"/>
                <w:lang w:val="en-US" w:eastAsia="zh-CN"/>
              </w:rPr>
              <w:t>Ⅰ类</w:t>
            </w:r>
            <w:r>
              <w:rPr>
                <w:rFonts w:hint="eastAsia" w:asciiTheme="minorEastAsia" w:hAnsiTheme="minorEastAsia"/>
                <w:szCs w:val="21"/>
                <w:highlight w:val="none"/>
              </w:rPr>
              <w:t>。评标委员会对满足招标文件实质性要求的投标文件，按照本章第2.2款规定的评分标准进行打分，并按投标得分由高到低推荐不超过3名中标候选人。</w:t>
            </w:r>
            <w:r>
              <w:rPr>
                <w:rFonts w:hint="eastAsia"/>
                <w:szCs w:val="21"/>
                <w:highlight w:val="none"/>
              </w:rPr>
              <w:t>综合评分相等时，则投标报价低的排名靠前；投标报价也相等的，由招标人代表在监督人员的监督下，当场随机抽取确定最终的中标候选人排序顺位。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60" w:hRule="atLeast"/>
        </w:trPr>
        <w:tc>
          <w:tcPr>
            <w:tcW w:w="851" w:type="dxa"/>
            <w:gridSpan w:val="2"/>
            <w:vMerge w:val="restart"/>
            <w:tcBorders>
              <w:right w:val="single" w:color="auto" w:sz="4" w:space="0"/>
            </w:tcBorders>
            <w:vAlign w:val="center"/>
          </w:tcPr>
          <w:p>
            <w:pPr>
              <w:widowControl/>
              <w:spacing w:line="360" w:lineRule="auto"/>
              <w:jc w:val="center"/>
              <w:rPr>
                <w:szCs w:val="21"/>
              </w:rPr>
            </w:pPr>
            <w:r>
              <w:rPr>
                <w:szCs w:val="21"/>
              </w:rPr>
              <w:t>2.1.1</w:t>
            </w:r>
          </w:p>
        </w:tc>
        <w:tc>
          <w:tcPr>
            <w:tcW w:w="992" w:type="dxa"/>
            <w:vMerge w:val="restart"/>
            <w:tcBorders>
              <w:left w:val="single" w:color="auto" w:sz="4" w:space="0"/>
            </w:tcBorders>
            <w:vAlign w:val="center"/>
          </w:tcPr>
          <w:p>
            <w:pPr>
              <w:widowControl/>
              <w:spacing w:line="360" w:lineRule="auto"/>
              <w:jc w:val="center"/>
              <w:rPr>
                <w:szCs w:val="21"/>
              </w:rPr>
            </w:pPr>
            <w:r>
              <w:rPr>
                <w:rFonts w:hint="eastAsia"/>
                <w:szCs w:val="21"/>
              </w:rPr>
              <w:t>形式评审标准</w:t>
            </w:r>
          </w:p>
        </w:tc>
        <w:tc>
          <w:tcPr>
            <w:tcW w:w="1985" w:type="dxa"/>
            <w:gridSpan w:val="2"/>
            <w:vAlign w:val="center"/>
          </w:tcPr>
          <w:p>
            <w:pPr>
              <w:widowControl/>
              <w:spacing w:line="360" w:lineRule="auto"/>
              <w:jc w:val="center"/>
              <w:rPr>
                <w:szCs w:val="21"/>
              </w:rPr>
            </w:pPr>
            <w:r>
              <w:rPr>
                <w:rFonts w:hint="eastAsia"/>
                <w:szCs w:val="21"/>
              </w:rPr>
              <w:t>投标人名称</w:t>
            </w:r>
          </w:p>
        </w:tc>
        <w:tc>
          <w:tcPr>
            <w:tcW w:w="5103" w:type="dxa"/>
            <w:gridSpan w:val="2"/>
            <w:vAlign w:val="center"/>
          </w:tcPr>
          <w:p>
            <w:pPr>
              <w:widowControl/>
              <w:spacing w:line="360" w:lineRule="auto"/>
              <w:jc w:val="left"/>
              <w:rPr>
                <w:szCs w:val="21"/>
              </w:rPr>
            </w:pPr>
            <w:r>
              <w:rPr>
                <w:rFonts w:hint="eastAsia"/>
                <w:szCs w:val="21"/>
              </w:rPr>
              <w:t>与营业执照、资质证书一致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highlight w:val="none"/>
              </w:rPr>
            </w:pPr>
            <w:r>
              <w:rPr>
                <w:rFonts w:hint="eastAsia"/>
                <w:szCs w:val="21"/>
                <w:highlight w:val="none"/>
              </w:rPr>
              <w:t>投标文件格式</w:t>
            </w:r>
          </w:p>
        </w:tc>
        <w:tc>
          <w:tcPr>
            <w:tcW w:w="5103" w:type="dxa"/>
            <w:gridSpan w:val="2"/>
            <w:vAlign w:val="center"/>
          </w:tcPr>
          <w:p>
            <w:pPr>
              <w:widowControl/>
              <w:spacing w:line="360" w:lineRule="auto"/>
              <w:jc w:val="left"/>
              <w:rPr>
                <w:rFonts w:hint="default" w:eastAsiaTheme="minorEastAsia"/>
                <w:szCs w:val="21"/>
                <w:highlight w:val="none"/>
                <w:lang w:val="en-US" w:eastAsia="zh-Hans"/>
              </w:rPr>
            </w:pPr>
            <w:r>
              <w:rPr>
                <w:rFonts w:hint="eastAsia"/>
                <w:szCs w:val="21"/>
                <w:highlight w:val="none"/>
              </w:rPr>
              <w:t>符合第六章“投标文件格式”的规定</w:t>
            </w:r>
            <w:r>
              <w:rPr>
                <w:rFonts w:hint="eastAsia"/>
                <w:szCs w:val="21"/>
                <w:highlight w:val="none"/>
                <w:lang w:val="en-US" w:eastAsia="zh-Hans"/>
              </w:rPr>
              <w:t>并按规定签字、盖章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联合体投标人</w:t>
            </w:r>
          </w:p>
        </w:tc>
        <w:tc>
          <w:tcPr>
            <w:tcW w:w="5103" w:type="dxa"/>
            <w:gridSpan w:val="2"/>
            <w:vAlign w:val="center"/>
          </w:tcPr>
          <w:p>
            <w:pPr>
              <w:widowControl/>
              <w:spacing w:line="360" w:lineRule="auto"/>
              <w:jc w:val="left"/>
              <w:rPr>
                <w:szCs w:val="21"/>
              </w:rPr>
            </w:pPr>
            <w:r>
              <w:rPr>
                <w:rFonts w:hint="eastAsia"/>
                <w:szCs w:val="21"/>
              </w:rPr>
              <w:t>提交符合招标文件要求的联合体协议书，明确各方承担连带责任，并明确联合体牵头人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备选投标方案</w:t>
            </w:r>
          </w:p>
        </w:tc>
        <w:tc>
          <w:tcPr>
            <w:tcW w:w="5103" w:type="dxa"/>
            <w:gridSpan w:val="2"/>
            <w:vAlign w:val="center"/>
          </w:tcPr>
          <w:p>
            <w:pPr>
              <w:widowControl/>
              <w:spacing w:line="360" w:lineRule="auto"/>
              <w:jc w:val="left"/>
              <w:rPr>
                <w:szCs w:val="21"/>
              </w:rPr>
            </w:pPr>
            <w:r>
              <w:rPr>
                <w:rFonts w:hint="eastAsia"/>
                <w:szCs w:val="21"/>
              </w:rPr>
              <w:t>除招标文件明确允许提交备选投标方案外，投标人不得提交备选投标方案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restart"/>
            <w:tcBorders>
              <w:right w:val="single" w:color="auto" w:sz="4" w:space="0"/>
            </w:tcBorders>
            <w:vAlign w:val="center"/>
          </w:tcPr>
          <w:p>
            <w:pPr>
              <w:widowControl/>
              <w:spacing w:line="360" w:lineRule="auto"/>
              <w:jc w:val="center"/>
              <w:rPr>
                <w:szCs w:val="21"/>
              </w:rPr>
            </w:pPr>
            <w:r>
              <w:rPr>
                <w:szCs w:val="21"/>
              </w:rPr>
              <w:t>2.1.2</w:t>
            </w:r>
          </w:p>
        </w:tc>
        <w:tc>
          <w:tcPr>
            <w:tcW w:w="992" w:type="dxa"/>
            <w:vMerge w:val="restart"/>
            <w:tcBorders>
              <w:left w:val="single" w:color="auto" w:sz="4" w:space="0"/>
            </w:tcBorders>
            <w:vAlign w:val="center"/>
          </w:tcPr>
          <w:p>
            <w:pPr>
              <w:widowControl/>
              <w:spacing w:line="360" w:lineRule="auto"/>
              <w:jc w:val="center"/>
              <w:rPr>
                <w:szCs w:val="21"/>
              </w:rPr>
            </w:pPr>
            <w:r>
              <w:rPr>
                <w:rFonts w:hint="eastAsia"/>
                <w:szCs w:val="21"/>
              </w:rPr>
              <w:t>资格评审标准</w:t>
            </w:r>
          </w:p>
        </w:tc>
        <w:tc>
          <w:tcPr>
            <w:tcW w:w="1985" w:type="dxa"/>
            <w:gridSpan w:val="2"/>
            <w:vAlign w:val="center"/>
          </w:tcPr>
          <w:p>
            <w:pPr>
              <w:widowControl/>
              <w:spacing w:line="360" w:lineRule="auto"/>
              <w:jc w:val="center"/>
              <w:rPr>
                <w:szCs w:val="21"/>
                <w:highlight w:val="none"/>
              </w:rPr>
            </w:pPr>
            <w:r>
              <w:rPr>
                <w:rFonts w:hint="eastAsia"/>
                <w:szCs w:val="21"/>
                <w:highlight w:val="none"/>
              </w:rPr>
              <w:t>营业执照</w:t>
            </w:r>
          </w:p>
        </w:tc>
        <w:tc>
          <w:tcPr>
            <w:tcW w:w="5103" w:type="dxa"/>
            <w:gridSpan w:val="2"/>
            <w:vAlign w:val="center"/>
          </w:tcPr>
          <w:p>
            <w:pPr>
              <w:widowControl/>
              <w:spacing w:line="360" w:lineRule="auto"/>
              <w:jc w:val="left"/>
              <w:rPr>
                <w:szCs w:val="21"/>
                <w:highlight w:val="none"/>
              </w:rPr>
            </w:pPr>
            <w:r>
              <w:rPr>
                <w:rFonts w:hint="eastAsia"/>
                <w:szCs w:val="21"/>
                <w:highlight w:val="none"/>
              </w:rPr>
              <w:t>符合第二章“投标人须知”第3.5.1项规定，具备有效的营业执照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资质要求</w:t>
            </w:r>
          </w:p>
        </w:tc>
        <w:tc>
          <w:tcPr>
            <w:tcW w:w="5103" w:type="dxa"/>
            <w:gridSpan w:val="2"/>
            <w:vAlign w:val="center"/>
          </w:tcPr>
          <w:p>
            <w:pPr>
              <w:widowControl/>
              <w:spacing w:line="360" w:lineRule="auto"/>
              <w:jc w:val="left"/>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财务要求</w:t>
            </w:r>
          </w:p>
        </w:tc>
        <w:tc>
          <w:tcPr>
            <w:tcW w:w="5103" w:type="dxa"/>
            <w:gridSpan w:val="2"/>
            <w:vAlign w:val="center"/>
          </w:tcPr>
          <w:p>
            <w:pPr>
              <w:widowControl/>
              <w:spacing w:line="360" w:lineRule="auto"/>
              <w:jc w:val="left"/>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信誉要求</w:t>
            </w:r>
          </w:p>
        </w:tc>
        <w:tc>
          <w:tcPr>
            <w:tcW w:w="5103" w:type="dxa"/>
            <w:gridSpan w:val="2"/>
            <w:vAlign w:val="center"/>
          </w:tcPr>
          <w:p>
            <w:pPr>
              <w:widowControl/>
              <w:spacing w:line="360" w:lineRule="auto"/>
              <w:jc w:val="left"/>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tcBorders>
              <w:top w:val="single" w:color="auto" w:sz="4" w:space="0"/>
            </w:tcBorders>
            <w:vAlign w:val="center"/>
          </w:tcPr>
          <w:p>
            <w:pPr>
              <w:widowControl/>
              <w:spacing w:line="360" w:lineRule="auto"/>
              <w:jc w:val="center"/>
              <w:rPr>
                <w:szCs w:val="21"/>
                <w:highlight w:val="none"/>
              </w:rPr>
            </w:pPr>
            <w:r>
              <w:rPr>
                <w:rFonts w:hint="eastAsia"/>
                <w:szCs w:val="21"/>
                <w:highlight w:val="none"/>
              </w:rPr>
              <w:t>其他要求</w:t>
            </w:r>
          </w:p>
        </w:tc>
        <w:tc>
          <w:tcPr>
            <w:tcW w:w="5103" w:type="dxa"/>
            <w:gridSpan w:val="2"/>
            <w:tcBorders>
              <w:top w:val="single" w:color="auto" w:sz="4" w:space="0"/>
            </w:tcBorders>
            <w:vAlign w:val="center"/>
          </w:tcPr>
          <w:p>
            <w:pPr>
              <w:widowControl/>
              <w:spacing w:line="360" w:lineRule="auto"/>
              <w:jc w:val="left"/>
              <w:rPr>
                <w:szCs w:val="21"/>
                <w:highlight w:val="none"/>
              </w:rPr>
            </w:pPr>
            <w:r>
              <w:rPr>
                <w:rFonts w:hint="eastAsia"/>
                <w:szCs w:val="21"/>
                <w:highlight w:val="none"/>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highlight w:val="none"/>
              </w:rPr>
            </w:pPr>
            <w:r>
              <w:rPr>
                <w:rFonts w:hint="eastAsia"/>
                <w:szCs w:val="21"/>
                <w:highlight w:val="none"/>
              </w:rPr>
              <w:t>联合体投标人</w:t>
            </w:r>
          </w:p>
        </w:tc>
        <w:tc>
          <w:tcPr>
            <w:tcW w:w="5103" w:type="dxa"/>
            <w:gridSpan w:val="2"/>
            <w:vAlign w:val="center"/>
          </w:tcPr>
          <w:p>
            <w:pPr>
              <w:widowControl/>
              <w:spacing w:line="360" w:lineRule="auto"/>
              <w:jc w:val="left"/>
              <w:rPr>
                <w:szCs w:val="21"/>
                <w:highlight w:val="none"/>
              </w:rPr>
            </w:pPr>
            <w:r>
              <w:rPr>
                <w:rFonts w:hint="eastAsia"/>
                <w:szCs w:val="21"/>
                <w:highlight w:val="none"/>
              </w:rPr>
              <w:t>符合第二章“投标人须知”第1.4.2项规定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highlight w:val="none"/>
              </w:rPr>
            </w:pPr>
            <w:r>
              <w:rPr>
                <w:rFonts w:hint="eastAsia"/>
                <w:szCs w:val="21"/>
                <w:highlight w:val="none"/>
              </w:rPr>
              <w:t>不存在禁止投标的情形</w:t>
            </w:r>
          </w:p>
        </w:tc>
        <w:tc>
          <w:tcPr>
            <w:tcW w:w="5103" w:type="dxa"/>
            <w:gridSpan w:val="2"/>
            <w:vAlign w:val="center"/>
          </w:tcPr>
          <w:p>
            <w:pPr>
              <w:widowControl/>
              <w:spacing w:line="360" w:lineRule="auto"/>
              <w:jc w:val="left"/>
              <w:rPr>
                <w:szCs w:val="21"/>
                <w:highlight w:val="none"/>
              </w:rPr>
            </w:pPr>
            <w:r>
              <w:rPr>
                <w:rFonts w:hint="eastAsia"/>
                <w:szCs w:val="21"/>
                <w:highlight w:val="none"/>
              </w:rPr>
              <w:t>不存在第二章“投标人须知”第1.4.3项规定的任何一种情形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851" w:type="dxa"/>
            <w:gridSpan w:val="2"/>
            <w:vMerge w:val="restart"/>
            <w:tcBorders>
              <w:right w:val="single" w:color="auto" w:sz="4" w:space="0"/>
            </w:tcBorders>
            <w:vAlign w:val="center"/>
          </w:tcPr>
          <w:p>
            <w:pPr>
              <w:widowControl/>
              <w:spacing w:line="360" w:lineRule="auto"/>
              <w:jc w:val="center"/>
              <w:rPr>
                <w:szCs w:val="21"/>
              </w:rPr>
            </w:pPr>
            <w:r>
              <w:rPr>
                <w:szCs w:val="21"/>
              </w:rPr>
              <w:t>2.1.3</w:t>
            </w:r>
          </w:p>
        </w:tc>
        <w:tc>
          <w:tcPr>
            <w:tcW w:w="992" w:type="dxa"/>
            <w:vMerge w:val="restart"/>
            <w:tcBorders>
              <w:left w:val="single" w:color="auto" w:sz="4" w:space="0"/>
            </w:tcBorders>
            <w:vAlign w:val="center"/>
          </w:tcPr>
          <w:p>
            <w:pPr>
              <w:widowControl/>
              <w:spacing w:line="360" w:lineRule="auto"/>
              <w:jc w:val="center"/>
              <w:rPr>
                <w:szCs w:val="21"/>
              </w:rPr>
            </w:pPr>
            <w:r>
              <w:rPr>
                <w:rFonts w:hint="eastAsia"/>
                <w:szCs w:val="21"/>
              </w:rPr>
              <w:t>响应性评审标准</w:t>
            </w:r>
          </w:p>
        </w:tc>
        <w:tc>
          <w:tcPr>
            <w:tcW w:w="1985" w:type="dxa"/>
            <w:gridSpan w:val="2"/>
            <w:vAlign w:val="center"/>
          </w:tcPr>
          <w:p>
            <w:pPr>
              <w:widowControl/>
              <w:spacing w:line="360" w:lineRule="auto"/>
              <w:jc w:val="center"/>
              <w:rPr>
                <w:szCs w:val="21"/>
              </w:rPr>
            </w:pPr>
            <w:r>
              <w:rPr>
                <w:rFonts w:hint="eastAsia"/>
                <w:szCs w:val="21"/>
              </w:rPr>
              <w:t>投标报价</w:t>
            </w:r>
          </w:p>
        </w:tc>
        <w:tc>
          <w:tcPr>
            <w:tcW w:w="5103" w:type="dxa"/>
            <w:gridSpan w:val="2"/>
            <w:vAlign w:val="center"/>
          </w:tcPr>
          <w:p>
            <w:pPr>
              <w:widowControl/>
              <w:spacing w:line="360" w:lineRule="auto"/>
              <w:jc w:val="left"/>
              <w:rPr>
                <w:szCs w:val="21"/>
              </w:rPr>
            </w:pPr>
            <w:r>
              <w:rPr>
                <w:rFonts w:hint="eastAsia"/>
                <w:szCs w:val="21"/>
              </w:rPr>
              <w:t>符合第二章“投标人须知”第3.2.4款规定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投标内容</w:t>
            </w:r>
          </w:p>
        </w:tc>
        <w:tc>
          <w:tcPr>
            <w:tcW w:w="5103" w:type="dxa"/>
            <w:gridSpan w:val="2"/>
            <w:vAlign w:val="center"/>
          </w:tcPr>
          <w:p>
            <w:pPr>
              <w:widowControl/>
              <w:spacing w:line="360" w:lineRule="auto"/>
              <w:jc w:val="left"/>
              <w:rPr>
                <w:szCs w:val="21"/>
              </w:rPr>
            </w:pPr>
            <w:r>
              <w:rPr>
                <w:rFonts w:hint="eastAsia"/>
                <w:szCs w:val="21"/>
              </w:rPr>
              <w:t>符合第二章“投标人须知”第1.3.1项规定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服务期限</w:t>
            </w:r>
          </w:p>
        </w:tc>
        <w:tc>
          <w:tcPr>
            <w:tcW w:w="5103" w:type="dxa"/>
            <w:gridSpan w:val="2"/>
            <w:vAlign w:val="center"/>
          </w:tcPr>
          <w:p>
            <w:pPr>
              <w:widowControl/>
              <w:spacing w:line="360" w:lineRule="auto"/>
              <w:jc w:val="left"/>
              <w:rPr>
                <w:szCs w:val="21"/>
              </w:rPr>
            </w:pPr>
            <w:r>
              <w:rPr>
                <w:rFonts w:hint="eastAsia"/>
                <w:szCs w:val="21"/>
              </w:rPr>
              <w:t>符合第二章“投标人须知”第1.3.2项规定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质量标准</w:t>
            </w:r>
          </w:p>
        </w:tc>
        <w:tc>
          <w:tcPr>
            <w:tcW w:w="5103" w:type="dxa"/>
            <w:gridSpan w:val="2"/>
            <w:vAlign w:val="center"/>
          </w:tcPr>
          <w:p>
            <w:pPr>
              <w:widowControl/>
              <w:spacing w:line="360" w:lineRule="auto"/>
              <w:jc w:val="left"/>
              <w:rPr>
                <w:szCs w:val="21"/>
              </w:rPr>
            </w:pPr>
            <w:r>
              <w:rPr>
                <w:rFonts w:hint="eastAsia"/>
                <w:szCs w:val="21"/>
              </w:rPr>
              <w:t>符合第二章“投标人须知”第1.3.3项规定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投标有效期</w:t>
            </w:r>
          </w:p>
        </w:tc>
        <w:tc>
          <w:tcPr>
            <w:tcW w:w="5103" w:type="dxa"/>
            <w:gridSpan w:val="2"/>
            <w:vAlign w:val="center"/>
          </w:tcPr>
          <w:p>
            <w:pPr>
              <w:widowControl/>
              <w:spacing w:line="360" w:lineRule="auto"/>
              <w:jc w:val="left"/>
              <w:rPr>
                <w:szCs w:val="21"/>
              </w:rPr>
            </w:pPr>
            <w:r>
              <w:rPr>
                <w:rFonts w:hint="eastAsia"/>
                <w:szCs w:val="21"/>
              </w:rPr>
              <w:t>符合第二章“投标人须知”第3.3.1项规定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widowControl/>
              <w:spacing w:line="360" w:lineRule="auto"/>
              <w:jc w:val="center"/>
              <w:rPr>
                <w:szCs w:val="21"/>
              </w:rPr>
            </w:pPr>
          </w:p>
        </w:tc>
        <w:tc>
          <w:tcPr>
            <w:tcW w:w="992" w:type="dxa"/>
            <w:vMerge w:val="continue"/>
            <w:tcBorders>
              <w:left w:val="single" w:color="auto" w:sz="4" w:space="0"/>
            </w:tcBorders>
            <w:vAlign w:val="center"/>
          </w:tcPr>
          <w:p>
            <w:pPr>
              <w:widowControl/>
              <w:spacing w:line="360" w:lineRule="auto"/>
              <w:jc w:val="center"/>
              <w:rPr>
                <w:szCs w:val="21"/>
              </w:rPr>
            </w:pPr>
          </w:p>
        </w:tc>
        <w:tc>
          <w:tcPr>
            <w:tcW w:w="1985" w:type="dxa"/>
            <w:gridSpan w:val="2"/>
            <w:vAlign w:val="center"/>
          </w:tcPr>
          <w:p>
            <w:pPr>
              <w:widowControl/>
              <w:spacing w:line="360" w:lineRule="auto"/>
              <w:jc w:val="center"/>
              <w:rPr>
                <w:szCs w:val="21"/>
              </w:rPr>
            </w:pPr>
            <w:r>
              <w:rPr>
                <w:rFonts w:hint="eastAsia"/>
                <w:szCs w:val="21"/>
              </w:rPr>
              <w:t>投标保证金</w:t>
            </w:r>
          </w:p>
        </w:tc>
        <w:tc>
          <w:tcPr>
            <w:tcW w:w="5103" w:type="dxa"/>
            <w:gridSpan w:val="2"/>
            <w:vAlign w:val="center"/>
          </w:tcPr>
          <w:p>
            <w:pPr>
              <w:widowControl/>
              <w:spacing w:line="360" w:lineRule="auto"/>
              <w:jc w:val="left"/>
              <w:rPr>
                <w:szCs w:val="21"/>
              </w:rPr>
            </w:pPr>
            <w:r>
              <w:rPr>
                <w:rFonts w:hint="eastAsia"/>
                <w:szCs w:val="21"/>
              </w:rPr>
              <w:t>符合第二章“投标人须知”第3.4.1项规定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1843" w:type="dxa"/>
            <w:gridSpan w:val="3"/>
            <w:vAlign w:val="center"/>
          </w:tcPr>
          <w:p>
            <w:pPr>
              <w:widowControl/>
              <w:spacing w:line="360" w:lineRule="auto"/>
              <w:jc w:val="center"/>
              <w:rPr>
                <w:b/>
                <w:szCs w:val="21"/>
              </w:rPr>
            </w:pPr>
            <w:r>
              <w:rPr>
                <w:rFonts w:hint="eastAsia"/>
                <w:b/>
                <w:szCs w:val="21"/>
              </w:rPr>
              <w:t>条款号</w:t>
            </w:r>
          </w:p>
        </w:tc>
        <w:tc>
          <w:tcPr>
            <w:tcW w:w="1985" w:type="dxa"/>
            <w:gridSpan w:val="2"/>
            <w:vAlign w:val="center"/>
          </w:tcPr>
          <w:p>
            <w:pPr>
              <w:widowControl/>
              <w:spacing w:line="360" w:lineRule="auto"/>
              <w:jc w:val="center"/>
              <w:rPr>
                <w:b/>
                <w:szCs w:val="21"/>
              </w:rPr>
            </w:pPr>
            <w:r>
              <w:rPr>
                <w:rFonts w:hint="eastAsia"/>
                <w:b/>
                <w:szCs w:val="21"/>
              </w:rPr>
              <w:t>条款内容</w:t>
            </w:r>
          </w:p>
        </w:tc>
        <w:tc>
          <w:tcPr>
            <w:tcW w:w="5103" w:type="dxa"/>
            <w:gridSpan w:val="2"/>
            <w:vAlign w:val="center"/>
          </w:tcPr>
          <w:p>
            <w:pPr>
              <w:widowControl/>
              <w:spacing w:line="360" w:lineRule="auto"/>
              <w:jc w:val="center"/>
              <w:rPr>
                <w:b/>
                <w:szCs w:val="21"/>
              </w:rPr>
            </w:pPr>
            <w:r>
              <w:rPr>
                <w:rFonts w:hint="eastAsia"/>
                <w:b/>
                <w:szCs w:val="21"/>
              </w:rPr>
              <w:t>编列内容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widowControl/>
              <w:spacing w:line="360" w:lineRule="auto"/>
              <w:jc w:val="center"/>
              <w:rPr>
                <w:szCs w:val="21"/>
              </w:rPr>
            </w:pPr>
            <w:r>
              <w:rPr>
                <w:szCs w:val="21"/>
              </w:rPr>
              <w:t>2.2.1</w:t>
            </w:r>
          </w:p>
        </w:tc>
        <w:tc>
          <w:tcPr>
            <w:tcW w:w="1985" w:type="dxa"/>
            <w:gridSpan w:val="2"/>
            <w:vAlign w:val="center"/>
          </w:tcPr>
          <w:p>
            <w:pPr>
              <w:widowControl/>
              <w:spacing w:line="360" w:lineRule="auto"/>
              <w:jc w:val="center"/>
              <w:rPr>
                <w:szCs w:val="21"/>
              </w:rPr>
            </w:pPr>
            <w:r>
              <w:rPr>
                <w:rFonts w:hint="eastAsia"/>
                <w:szCs w:val="21"/>
              </w:rPr>
              <w:t>分值构成</w:t>
            </w:r>
          </w:p>
          <w:p>
            <w:pPr>
              <w:widowControl/>
              <w:spacing w:line="360" w:lineRule="auto"/>
              <w:jc w:val="center"/>
              <w:rPr>
                <w:rFonts w:hint="eastAsia" w:eastAsiaTheme="minorEastAsia"/>
                <w:szCs w:val="21"/>
                <w:lang w:eastAsia="zh-CN"/>
              </w:rPr>
            </w:pPr>
            <w:r>
              <w:rPr>
                <w:rFonts w:hint="eastAsia"/>
                <w:szCs w:val="21"/>
                <w:lang w:eastAsia="zh-CN"/>
              </w:rPr>
              <w:t>（</w:t>
            </w:r>
            <w:r>
              <w:rPr>
                <w:rFonts w:hint="eastAsia"/>
                <w:szCs w:val="21"/>
              </w:rPr>
              <w:t>总分100分</w:t>
            </w:r>
            <w:r>
              <w:rPr>
                <w:rFonts w:hint="eastAsia"/>
                <w:szCs w:val="21"/>
                <w:lang w:eastAsia="zh-CN"/>
              </w:rPr>
              <w:t>）</w:t>
            </w:r>
          </w:p>
        </w:tc>
        <w:tc>
          <w:tcPr>
            <w:tcW w:w="5103" w:type="dxa"/>
            <w:gridSpan w:val="2"/>
            <w:vAlign w:val="center"/>
          </w:tcPr>
          <w:p>
            <w:pPr>
              <w:widowControl/>
              <w:spacing w:line="360" w:lineRule="auto"/>
              <w:jc w:val="left"/>
              <w:rPr>
                <w:szCs w:val="21"/>
              </w:rPr>
            </w:pPr>
            <w:r>
              <w:rPr>
                <w:rFonts w:hint="eastAsia"/>
                <w:szCs w:val="21"/>
                <w:lang w:val="en-US" w:eastAsia="zh-CN"/>
              </w:rPr>
              <w:t>商务</w:t>
            </w:r>
            <w:r>
              <w:rPr>
                <w:rFonts w:hint="eastAsia"/>
                <w:szCs w:val="21"/>
              </w:rPr>
              <w:t>部分：</w:t>
            </w:r>
            <w:r>
              <w:rPr>
                <w:rFonts w:hint="eastAsia"/>
                <w:szCs w:val="21"/>
                <w:lang w:val="en-US" w:eastAsia="zh-CN"/>
              </w:rPr>
              <w:t>25</w:t>
            </w:r>
            <w:r>
              <w:rPr>
                <w:rFonts w:hint="eastAsia"/>
                <w:szCs w:val="21"/>
              </w:rPr>
              <w:t>分</w:t>
            </w:r>
          </w:p>
          <w:p>
            <w:pPr>
              <w:widowControl/>
              <w:spacing w:line="360" w:lineRule="auto"/>
              <w:jc w:val="left"/>
              <w:rPr>
                <w:szCs w:val="21"/>
              </w:rPr>
            </w:pPr>
            <w:r>
              <w:rPr>
                <w:rFonts w:hint="eastAsia"/>
                <w:szCs w:val="21"/>
              </w:rPr>
              <w:t>技术部分：</w:t>
            </w:r>
            <w:r>
              <w:rPr>
                <w:rFonts w:hint="eastAsia"/>
                <w:szCs w:val="21"/>
                <w:lang w:val="en-US" w:eastAsia="zh-CN"/>
              </w:rPr>
              <w:t>45</w:t>
            </w:r>
            <w:r>
              <w:rPr>
                <w:rFonts w:hint="eastAsia"/>
                <w:szCs w:val="21"/>
              </w:rPr>
              <w:t>分</w:t>
            </w:r>
          </w:p>
          <w:p>
            <w:pPr>
              <w:widowControl/>
              <w:spacing w:line="360" w:lineRule="auto"/>
              <w:jc w:val="left"/>
              <w:rPr>
                <w:szCs w:val="21"/>
              </w:rPr>
            </w:pPr>
            <w:r>
              <w:rPr>
                <w:rFonts w:hint="eastAsia"/>
                <w:szCs w:val="21"/>
              </w:rPr>
              <w:t>报价</w:t>
            </w:r>
            <w:r>
              <w:rPr>
                <w:rFonts w:hint="eastAsia"/>
                <w:szCs w:val="21"/>
                <w:lang w:val="en-US" w:eastAsia="zh-CN"/>
              </w:rPr>
              <w:t>部分</w:t>
            </w:r>
            <w:r>
              <w:rPr>
                <w:rFonts w:hint="eastAsia"/>
                <w:szCs w:val="21"/>
              </w:rPr>
              <w:t>：</w:t>
            </w:r>
            <w:r>
              <w:rPr>
                <w:rFonts w:hint="eastAsia"/>
                <w:szCs w:val="21"/>
                <w:lang w:val="en-US" w:eastAsia="zh-CN"/>
              </w:rPr>
              <w:t>30</w:t>
            </w:r>
            <w:r>
              <w:rPr>
                <w:rFonts w:hint="eastAsia"/>
                <w:szCs w:val="21"/>
              </w:rPr>
              <w:t>分</w:t>
            </w:r>
          </w:p>
          <w:p>
            <w:pPr>
              <w:widowControl/>
              <w:spacing w:line="360" w:lineRule="auto"/>
              <w:jc w:val="left"/>
              <w:rPr>
                <w:szCs w:val="21"/>
              </w:rPr>
            </w:pPr>
            <w:r>
              <w:rPr>
                <w:rFonts w:hint="eastAsia"/>
                <w:szCs w:val="21"/>
              </w:rPr>
              <w:t>其他评分因素：/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widowControl/>
              <w:spacing w:line="360" w:lineRule="auto"/>
              <w:jc w:val="center"/>
              <w:rPr>
                <w:szCs w:val="21"/>
              </w:rPr>
            </w:pPr>
            <w:r>
              <w:rPr>
                <w:szCs w:val="21"/>
              </w:rPr>
              <w:t>2.2.2</w:t>
            </w:r>
          </w:p>
        </w:tc>
        <w:tc>
          <w:tcPr>
            <w:tcW w:w="1985" w:type="dxa"/>
            <w:gridSpan w:val="2"/>
            <w:vAlign w:val="center"/>
          </w:tcPr>
          <w:p>
            <w:pPr>
              <w:widowControl/>
              <w:spacing w:line="360" w:lineRule="auto"/>
              <w:jc w:val="center"/>
              <w:rPr>
                <w:rFonts w:hint="eastAsia"/>
                <w:szCs w:val="21"/>
              </w:rPr>
            </w:pPr>
            <w:r>
              <w:rPr>
                <w:rFonts w:hint="eastAsia"/>
                <w:szCs w:val="21"/>
              </w:rPr>
              <w:t>评标基准价</w:t>
            </w:r>
          </w:p>
          <w:p>
            <w:pPr>
              <w:widowControl/>
              <w:spacing w:line="360" w:lineRule="auto"/>
              <w:jc w:val="center"/>
              <w:rPr>
                <w:szCs w:val="21"/>
              </w:rPr>
            </w:pPr>
            <w:r>
              <w:rPr>
                <w:rFonts w:hint="eastAsia"/>
                <w:szCs w:val="21"/>
              </w:rPr>
              <w:t>计算方法</w:t>
            </w:r>
          </w:p>
        </w:tc>
        <w:tc>
          <w:tcPr>
            <w:tcW w:w="510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评标基准价（设定为S，下同）值由电子招标投标交易平台按下述公式自动计算，并提供计算过程表格，经评标委员会核对并确认后在电子招标投标交易平台上公布（S值以元为单位或百分比数值形式表示，小数点后保留两位，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eastAsia="zh-CN"/>
              </w:rPr>
            </w:pPr>
            <w:r>
              <w:rPr>
                <w:rFonts w:hint="eastAsia" w:ascii="宋体" w:hAnsi="宋体" w:eastAsia="宋体" w:cs="宋体"/>
                <w:sz w:val="22"/>
                <w:szCs w:val="22"/>
              </w:rPr>
              <w:t>评标基准价</w:t>
            </w:r>
            <w:r>
              <w:rPr>
                <w:rFonts w:hint="eastAsia" w:ascii="宋体" w:hAnsi="宋体" w:eastAsia="宋体" w:cs="宋体"/>
                <w:sz w:val="22"/>
                <w:szCs w:val="22"/>
                <w:lang w:val="en-US" w:eastAsia="zh-CN"/>
              </w:rPr>
              <w:t>的确定，</w:t>
            </w:r>
            <w:r>
              <w:rPr>
                <w:rFonts w:hint="eastAsia" w:ascii="宋体" w:hAnsi="宋体" w:eastAsia="宋体" w:cs="宋体"/>
                <w:sz w:val="22"/>
                <w:szCs w:val="22"/>
              </w:rPr>
              <w:t>采用招标控制价和有效报价的算术平均值确定评标基准价（适用于招标人设置招标控制价）</w:t>
            </w:r>
            <w:r>
              <w:rPr>
                <w:rFonts w:hint="eastAsia" w:ascii="宋体" w:hAnsi="宋体" w:eastAsia="宋体" w:cs="宋体"/>
                <w:sz w:val="22"/>
                <w:szCs w:val="2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评标基准价按照以下方法计算：</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确定有效报价的</w:t>
            </w: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0"/>
                <w:sz w:val="22"/>
                <w:szCs w:val="22"/>
                <w:highlight w:val="none"/>
                <w:u w:val="none"/>
                <w:shd w:val="clear" w:color="auto" w:fill="FFFFFF"/>
                <w:lang w:val="en-US" w:eastAsia="zh-CN" w:bidi="ar"/>
              </w:rPr>
            </w:pPr>
            <w:r>
              <w:rPr>
                <w:rFonts w:hint="eastAsia" w:ascii="宋体" w:hAnsi="宋体" w:eastAsia="宋体" w:cs="宋体"/>
                <w:kern w:val="0"/>
                <w:sz w:val="22"/>
                <w:szCs w:val="22"/>
                <w:highlight w:val="none"/>
                <w:u w:val="none"/>
                <w:shd w:val="clear" w:color="auto" w:fill="FFFFFF"/>
                <w:lang w:val="en-US" w:eastAsia="zh-CN" w:bidi="ar"/>
              </w:rPr>
              <w:t>R=A（1-K）</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式中：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R为下浮后的招标控制价部分；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A为招标控制价；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K为招标控制价的下浮率。</w:t>
            </w:r>
            <w:r>
              <w:rPr>
                <w:rFonts w:hint="eastAsia"/>
                <w:szCs w:val="21"/>
                <w:shd w:val="clear" w:color="auto" w:fill="FFFFFF"/>
              </w:rPr>
              <w:t>K值的取值范围</w:t>
            </w:r>
            <w:r>
              <w:rPr>
                <w:rFonts w:hint="eastAsia"/>
                <w:szCs w:val="21"/>
              </w:rPr>
              <w:t>规定为___%（含本数）～___%（含本数）</w:t>
            </w:r>
            <w:r>
              <w:rPr>
                <w:rFonts w:hint="eastAsia"/>
                <w:szCs w:val="21"/>
                <w:lang w:eastAsia="zh-CN"/>
              </w:rPr>
              <w:t>。</w:t>
            </w: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K值为取值范围内的任意一个百分数，随机抽取确定。K值的取值范围由招标人在0～8%之间选定，其范围幅度不少于连续3个百分点。</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算术平均值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有效报价：初步评审合格的投标人，且其投标报价的下浮率在招标文件中载明的招标控制价的下浮率取值范围内。不在该范围内的投标报价，不参与评标基准价的计算，但不以此否决其投标。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t>D=</w:t>
            </w:r>
            <w:r>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drawing>
                <wp:inline distT="0" distB="0" distL="0" distR="0">
                  <wp:extent cx="889635" cy="365760"/>
                  <wp:effectExtent l="0" t="0" r="5715" b="15875"/>
                  <wp:docPr id="665149421" name="图片 3" descr="descript"/>
                  <wp:cNvGraphicFramePr/>
                  <a:graphic xmlns:a="http://schemas.openxmlformats.org/drawingml/2006/main">
                    <a:graphicData uri="http://schemas.openxmlformats.org/drawingml/2006/picture">
                      <pic:pic xmlns:pic="http://schemas.openxmlformats.org/drawingml/2006/picture">
                        <pic:nvPicPr>
                          <pic:cNvPr id="665149421" name="图片 3" descr="descript"/>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89635" cy="365760"/>
                          </a:xfrm>
                          <a:prstGeom prst="rect">
                            <a:avLst/>
                          </a:prstGeom>
                          <a:noFill/>
                          <a:ln>
                            <a:noFill/>
                          </a:ln>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D为评标基准价；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N为投标人的有效报价；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n为有效报价的投标人个数。</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eastAsia="zh-CN"/>
                <w14:textFill>
                  <w14:solidFill>
                    <w14:schemeClr w14:val="tx1"/>
                  </w14:solidFill>
                </w14:textFill>
              </w:rPr>
            </w:pPr>
            <w:r>
              <w:rPr>
                <w:rFonts w:hint="eastAsia" w:ascii="宋体" w:hAnsi="宋体" w:eastAsia="宋体" w:cs="宋体"/>
                <w:color w:val="000000" w:themeColor="text1"/>
                <w:sz w:val="22"/>
                <w:szCs w:val="22"/>
                <w:highlight w:val="none"/>
                <w:u w:val="none"/>
                <w:lang w:eastAsia="zh-CN"/>
                <w14:textFill>
                  <w14:solidFill>
                    <w14:schemeClr w14:val="tx1"/>
                  </w14:solidFill>
                </w14:textFill>
              </w:rPr>
              <w:t>确定评标基准价</w:t>
            </w:r>
          </w:p>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eastAsia" w:ascii="宋体" w:hAnsi="宋体" w:eastAsia="宋体" w:cs="宋体"/>
                <w:sz w:val="22"/>
                <w:szCs w:val="22"/>
                <w:highlight w:val="none"/>
                <w:u w:val="none"/>
                <w:shd w:val="clear" w:color="auto" w:fill="FFFFFF"/>
              </w:rPr>
            </w:pPr>
            <w:r>
              <w:rPr>
                <w:rFonts w:hint="eastAsia" w:ascii="宋体" w:hAnsi="宋体" w:eastAsia="宋体" w:cs="宋体"/>
                <w:sz w:val="22"/>
                <w:szCs w:val="22"/>
                <w:highlight w:val="none"/>
                <w:u w:val="none"/>
                <w:shd w:val="clear" w:color="auto" w:fill="FFFFFF"/>
              </w:rPr>
              <w:t>S=</w:t>
            </w:r>
            <w:r>
              <w:rPr>
                <w:rFonts w:hint="eastAsia" w:ascii="宋体" w:hAnsi="宋体" w:eastAsia="宋体" w:cs="宋体"/>
                <w:position w:val="-24"/>
                <w:sz w:val="22"/>
                <w:szCs w:val="22"/>
                <w:highlight w:val="none"/>
                <w:u w:val="none"/>
              </w:rPr>
              <w:drawing>
                <wp:inline distT="0" distB="0" distL="114300" distR="114300">
                  <wp:extent cx="351790" cy="322580"/>
                  <wp:effectExtent l="0" t="0" r="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351790" cy="3225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S为评标基准价；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R为招标控制价；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2"/>
                <w:szCs w:val="22"/>
              </w:rPr>
            </w:pPr>
            <w:r>
              <w:rPr>
                <w:rFonts w:hint="eastAsia" w:ascii="宋体" w:hAnsi="宋体" w:eastAsia="宋体" w:cs="宋体"/>
                <w:color w:val="000000" w:themeColor="text1"/>
                <w:sz w:val="22"/>
                <w:szCs w:val="22"/>
                <w:highlight w:val="none"/>
                <w:u w:val="none"/>
                <w14:textFill>
                  <w14:solidFill>
                    <w14:schemeClr w14:val="tx1"/>
                  </w14:solidFill>
                </w14:textFill>
              </w:rPr>
              <w:t>D为有效报价的算术平均值。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widowControl/>
              <w:spacing w:line="360" w:lineRule="auto"/>
              <w:jc w:val="center"/>
              <w:rPr>
                <w:szCs w:val="21"/>
              </w:rPr>
            </w:pPr>
            <w:r>
              <w:rPr>
                <w:szCs w:val="21"/>
              </w:rPr>
              <w:t>2.2.3</w:t>
            </w:r>
          </w:p>
        </w:tc>
        <w:tc>
          <w:tcPr>
            <w:tcW w:w="1985" w:type="dxa"/>
            <w:gridSpan w:val="2"/>
            <w:vAlign w:val="center"/>
          </w:tcPr>
          <w:p>
            <w:pPr>
              <w:widowControl/>
              <w:spacing w:line="360" w:lineRule="auto"/>
              <w:jc w:val="center"/>
              <w:rPr>
                <w:szCs w:val="21"/>
                <w:highlight w:val="none"/>
              </w:rPr>
            </w:pPr>
            <w:r>
              <w:rPr>
                <w:rFonts w:hint="eastAsia"/>
                <w:szCs w:val="21"/>
                <w:highlight w:val="none"/>
              </w:rPr>
              <w:t>投标报价的偏差率</w:t>
            </w:r>
          </w:p>
          <w:p>
            <w:pPr>
              <w:widowControl/>
              <w:spacing w:line="360" w:lineRule="auto"/>
              <w:jc w:val="center"/>
              <w:rPr>
                <w:szCs w:val="21"/>
                <w:highlight w:val="none"/>
              </w:rPr>
            </w:pPr>
            <w:r>
              <w:rPr>
                <w:rFonts w:hint="eastAsia"/>
                <w:szCs w:val="21"/>
                <w:highlight w:val="none"/>
              </w:rPr>
              <w:t>计算公式</w:t>
            </w:r>
          </w:p>
        </w:tc>
        <w:tc>
          <w:tcPr>
            <w:tcW w:w="510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E=</w:t>
            </w:r>
            <w:r>
              <w:rPr>
                <w:rFonts w:hint="eastAsia" w:ascii="宋体" w:hAnsi="宋体" w:eastAsia="宋体" w:cs="宋体"/>
                <w:color w:val="000000" w:themeColor="text1"/>
                <w:sz w:val="22"/>
                <w:szCs w:val="22"/>
                <w:highlight w:val="none"/>
                <w:u w:val="none"/>
                <w14:textFill>
                  <w14:solidFill>
                    <w14:schemeClr w14:val="tx1"/>
                  </w14:solidFill>
                </w14:textFill>
              </w:rPr>
              <w:drawing>
                <wp:inline distT="0" distB="0" distL="114300" distR="114300">
                  <wp:extent cx="341630" cy="313055"/>
                  <wp:effectExtent l="0" t="0" r="127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341630" cy="313055"/>
                          </a:xfrm>
                          <a:prstGeom prst="rect">
                            <a:avLst/>
                          </a:prstGeom>
                          <a:noFill/>
                          <a:ln>
                            <a:noFill/>
                          </a:ln>
                        </pic:spPr>
                      </pic:pic>
                    </a:graphicData>
                  </a:graphic>
                </wp:inline>
              </w:drawing>
            </w:r>
            <w:r>
              <w:rPr>
                <w:rFonts w:hint="eastAsia" w:ascii="宋体" w:hAnsi="宋体" w:eastAsia="宋体" w:cs="宋体"/>
                <w:color w:val="000000" w:themeColor="text1"/>
                <w:sz w:val="22"/>
                <w:szCs w:val="22"/>
                <w:highlight w:val="none"/>
                <w:u w:val="none"/>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E为投标总报价偏差；</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N为投标人投标报价；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Cs w:val="21"/>
                <w:highlight w:val="none"/>
              </w:rPr>
            </w:pPr>
            <w:r>
              <w:rPr>
                <w:rFonts w:hint="eastAsia" w:ascii="宋体" w:hAnsi="宋体" w:eastAsia="宋体" w:cs="宋体"/>
                <w:color w:val="000000" w:themeColor="text1"/>
                <w:sz w:val="22"/>
                <w:szCs w:val="22"/>
                <w:highlight w:val="none"/>
                <w:u w:val="none"/>
                <w14:textFill>
                  <w14:solidFill>
                    <w14:schemeClr w14:val="tx1"/>
                  </w14:solidFill>
                </w14:textFill>
              </w:rPr>
              <w:t>S为评标基准价。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widowControl/>
              <w:spacing w:line="360" w:lineRule="auto"/>
              <w:jc w:val="center"/>
              <w:rPr>
                <w:b/>
                <w:szCs w:val="21"/>
              </w:rPr>
            </w:pPr>
            <w:r>
              <w:rPr>
                <w:rFonts w:hint="eastAsia"/>
                <w:b/>
                <w:szCs w:val="21"/>
              </w:rPr>
              <w:t>条款号</w:t>
            </w:r>
          </w:p>
        </w:tc>
        <w:tc>
          <w:tcPr>
            <w:tcW w:w="1985" w:type="dxa"/>
            <w:gridSpan w:val="2"/>
            <w:vAlign w:val="center"/>
          </w:tcPr>
          <w:p>
            <w:pPr>
              <w:widowControl/>
              <w:spacing w:line="360" w:lineRule="auto"/>
              <w:jc w:val="center"/>
              <w:rPr>
                <w:b/>
                <w:szCs w:val="21"/>
              </w:rPr>
            </w:pPr>
            <w:r>
              <w:rPr>
                <w:rFonts w:hint="eastAsia"/>
                <w:b/>
                <w:szCs w:val="21"/>
              </w:rPr>
              <w:t>评分因素</w:t>
            </w:r>
          </w:p>
        </w:tc>
        <w:tc>
          <w:tcPr>
            <w:tcW w:w="5103" w:type="dxa"/>
            <w:gridSpan w:val="2"/>
            <w:vAlign w:val="center"/>
          </w:tcPr>
          <w:p>
            <w:pPr>
              <w:widowControl/>
              <w:spacing w:line="360" w:lineRule="auto"/>
              <w:jc w:val="center"/>
              <w:rPr>
                <w:b/>
                <w:szCs w:val="21"/>
              </w:rPr>
            </w:pPr>
            <w:r>
              <w:rPr>
                <w:rFonts w:hint="eastAsia"/>
                <w:b/>
                <w:szCs w:val="21"/>
              </w:rPr>
              <w:t>评分标准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3" w:hRule="atLeast"/>
        </w:trPr>
        <w:tc>
          <w:tcPr>
            <w:tcW w:w="743" w:type="dxa"/>
            <w:vMerge w:val="restart"/>
            <w:tcBorders>
              <w:right w:val="single" w:color="auto" w:sz="4" w:space="0"/>
            </w:tcBorders>
            <w:vAlign w:val="center"/>
          </w:tcPr>
          <w:p>
            <w:pPr>
              <w:widowControl/>
              <w:spacing w:line="360" w:lineRule="auto"/>
              <w:jc w:val="center"/>
              <w:rPr>
                <w:szCs w:val="21"/>
              </w:rPr>
            </w:pPr>
            <w:r>
              <w:rPr>
                <w:szCs w:val="21"/>
              </w:rPr>
              <w:t>2.2.4</w:t>
            </w:r>
          </w:p>
          <w:p>
            <w:pPr>
              <w:widowControl/>
              <w:spacing w:line="360" w:lineRule="auto"/>
              <w:jc w:val="center"/>
              <w:rPr>
                <w:szCs w:val="21"/>
              </w:rPr>
            </w:pPr>
            <w:r>
              <w:rPr>
                <w:rFonts w:hint="eastAsia"/>
                <w:szCs w:val="21"/>
              </w:rPr>
              <w:t>（1）</w:t>
            </w:r>
          </w:p>
        </w:tc>
        <w:tc>
          <w:tcPr>
            <w:tcW w:w="1100" w:type="dxa"/>
            <w:gridSpan w:val="2"/>
            <w:vMerge w:val="restart"/>
            <w:tcBorders>
              <w:left w:val="single" w:color="auto" w:sz="4" w:space="0"/>
            </w:tcBorders>
            <w:vAlign w:val="center"/>
          </w:tcPr>
          <w:p>
            <w:pPr>
              <w:widowControl/>
              <w:spacing w:line="360" w:lineRule="auto"/>
              <w:jc w:val="center"/>
              <w:rPr>
                <w:rFonts w:hint="eastAsia" w:eastAsiaTheme="minorEastAsia"/>
                <w:szCs w:val="21"/>
                <w:lang w:val="en-US" w:eastAsia="zh-CN"/>
              </w:rPr>
            </w:pPr>
            <w:r>
              <w:rPr>
                <w:rFonts w:hint="eastAsia"/>
                <w:szCs w:val="21"/>
                <w:lang w:val="en-US" w:eastAsia="zh-CN"/>
              </w:rPr>
              <w:t>商务部分</w:t>
            </w:r>
          </w:p>
          <w:p>
            <w:pPr>
              <w:widowControl/>
              <w:spacing w:line="360" w:lineRule="auto"/>
              <w:jc w:val="center"/>
              <w:rPr>
                <w:szCs w:val="21"/>
              </w:rPr>
            </w:pPr>
            <w:r>
              <w:rPr>
                <w:rFonts w:hint="eastAsia"/>
                <w:szCs w:val="21"/>
              </w:rPr>
              <w:t>评分标准（满分</w:t>
            </w:r>
            <w:r>
              <w:rPr>
                <w:rFonts w:hint="eastAsia"/>
                <w:szCs w:val="21"/>
                <w:lang w:val="en-US" w:eastAsia="zh-CN"/>
              </w:rPr>
              <w:t>2</w:t>
            </w:r>
            <w:r>
              <w:rPr>
                <w:rFonts w:hint="eastAsia"/>
                <w:szCs w:val="21"/>
              </w:rPr>
              <w:t>5分）</w:t>
            </w:r>
          </w:p>
        </w:tc>
        <w:tc>
          <w:tcPr>
            <w:tcW w:w="1985" w:type="dxa"/>
            <w:gridSpan w:val="2"/>
            <w:tcBorders>
              <w:bottom w:val="single" w:color="auto" w:sz="4" w:space="0"/>
            </w:tcBorders>
            <w:vAlign w:val="center"/>
          </w:tcPr>
          <w:p>
            <w:pPr>
              <w:widowControl/>
              <w:spacing w:line="360" w:lineRule="auto"/>
              <w:jc w:val="center"/>
              <w:rPr>
                <w:rFonts w:hint="eastAsia" w:eastAsiaTheme="minorEastAsia"/>
                <w:szCs w:val="21"/>
                <w:lang w:val="en-US" w:eastAsia="zh-CN"/>
              </w:rPr>
            </w:pPr>
            <w:r>
              <w:rPr>
                <w:rFonts w:hint="eastAsia"/>
                <w:szCs w:val="21"/>
              </w:rPr>
              <w:t>信用</w:t>
            </w:r>
            <w:r>
              <w:rPr>
                <w:rFonts w:hint="eastAsia"/>
                <w:lang w:val="en-US" w:eastAsia="zh-CN"/>
              </w:rPr>
              <w:t>等级</w:t>
            </w:r>
          </w:p>
          <w:p>
            <w:pPr>
              <w:widowControl/>
              <w:spacing w:line="360" w:lineRule="auto"/>
              <w:jc w:val="center"/>
              <w:rPr>
                <w:szCs w:val="21"/>
              </w:rPr>
            </w:pPr>
            <w:r>
              <w:rPr>
                <w:rFonts w:hint="eastAsia"/>
                <w:szCs w:val="21"/>
              </w:rPr>
              <w:t>（满分</w:t>
            </w:r>
            <w:r>
              <w:rPr>
                <w:rFonts w:hint="eastAsia"/>
                <w:szCs w:val="21"/>
                <w:lang w:val="en-US" w:eastAsia="zh-CN"/>
              </w:rPr>
              <w:t>3</w:t>
            </w:r>
            <w:r>
              <w:rPr>
                <w:rFonts w:hint="eastAsia"/>
                <w:szCs w:val="21"/>
              </w:rPr>
              <w:t>分）</w:t>
            </w:r>
          </w:p>
        </w:tc>
        <w:tc>
          <w:tcPr>
            <w:tcW w:w="5103" w:type="dxa"/>
            <w:gridSpan w:val="2"/>
            <w:tcBorders>
              <w:bottom w:val="single" w:color="auto" w:sz="4" w:space="0"/>
            </w:tcBorders>
            <w:vAlign w:val="center"/>
          </w:tcPr>
          <w:p>
            <w:pPr>
              <w:keepNext w:val="0"/>
              <w:keepLines w:val="0"/>
              <w:pageBreakBefore w:val="0"/>
              <w:widowControl w:val="0"/>
              <w:numPr>
                <w:ilvl w:val="0"/>
                <w:numId w:val="12"/>
              </w:numPr>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经中国水利部认定为AAA级的，得3分。其中：勘察AAA级的，得1.5分；设计AAA级的，得1.5分。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szCs w:val="21"/>
              </w:rPr>
            </w:pPr>
            <w:r>
              <w:rPr>
                <w:rFonts w:hint="eastAsia"/>
                <w:szCs w:val="21"/>
              </w:rPr>
              <w:t>经中国水利部认定为AA级的，得2分。其中：勘察AA级得1分，设计AA级得1分。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szCs w:val="21"/>
              </w:rPr>
            </w:pPr>
            <w:r>
              <w:rPr>
                <w:rFonts w:hint="eastAsia"/>
                <w:szCs w:val="21"/>
              </w:rPr>
              <w:t>经中国水利部认定为A级的，得1.5分；其中：勘察A级得0.75分，设计A级得0.75分。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szCs w:val="21"/>
              </w:rPr>
            </w:pPr>
            <w:r>
              <w:rPr>
                <w:rFonts w:hint="eastAsia"/>
                <w:szCs w:val="21"/>
              </w:rPr>
              <w:t>经中国水利部认定为B级及以下的，得1分。其中：勘察B级及以下得0.5分，设计B级及以下得0.5分。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szCs w:val="21"/>
              </w:rPr>
            </w:pPr>
            <w:r>
              <w:rPr>
                <w:rFonts w:hint="eastAsia"/>
                <w:b/>
                <w:bCs/>
                <w:szCs w:val="21"/>
              </w:rPr>
              <w:t>备注：由招标人在招标文件中确定本招标项目的具体类型（如勘察、设计、勘察设计）。根据项目类型，按照投标人所具有的信用评价等级分别计分。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3"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rPr>
            </w:pPr>
          </w:p>
        </w:tc>
        <w:tc>
          <w:tcPr>
            <w:tcW w:w="1985" w:type="dxa"/>
            <w:gridSpan w:val="2"/>
            <w:tcBorders>
              <w:bottom w:val="single" w:color="auto" w:sz="4" w:space="0"/>
            </w:tcBorders>
            <w:vAlign w:val="center"/>
          </w:tcPr>
          <w:p>
            <w:pPr>
              <w:widowControl/>
              <w:spacing w:line="360" w:lineRule="auto"/>
              <w:jc w:val="center"/>
              <w:rPr>
                <w:rFonts w:hint="eastAsia"/>
                <w:szCs w:val="21"/>
              </w:rPr>
            </w:pPr>
            <w:r>
              <w:rPr>
                <w:rFonts w:hint="eastAsia"/>
                <w:szCs w:val="21"/>
              </w:rPr>
              <w:t>市场监管行为评价（满分</w:t>
            </w:r>
            <w:r>
              <w:rPr>
                <w:rFonts w:hint="eastAsia"/>
                <w:szCs w:val="21"/>
                <w:lang w:val="en-US" w:eastAsia="zh-CN"/>
              </w:rPr>
              <w:t>3</w:t>
            </w:r>
            <w:r>
              <w:rPr>
                <w:rFonts w:hint="eastAsia"/>
                <w:szCs w:val="21"/>
              </w:rPr>
              <w:t>分）</w:t>
            </w:r>
          </w:p>
        </w:tc>
        <w:tc>
          <w:tcPr>
            <w:tcW w:w="5103" w:type="dxa"/>
            <w:gridSpan w:val="2"/>
            <w:tcBorders>
              <w:bottom w:val="single" w:color="auto" w:sz="4" w:space="0"/>
            </w:tcBorders>
            <w:vAlign w:val="center"/>
          </w:tcPr>
          <w:p>
            <w:pPr>
              <w:spacing w:line="360" w:lineRule="auto"/>
              <w:jc w:val="left"/>
              <w:rPr>
                <w:rFonts w:hint="eastAsia"/>
                <w:szCs w:val="21"/>
              </w:rPr>
            </w:pPr>
            <w:r>
              <w:rPr>
                <w:rFonts w:hint="eastAsia"/>
                <w:szCs w:val="21"/>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spacing w:line="360" w:lineRule="auto"/>
              <w:jc w:val="left"/>
              <w:rPr>
                <w:rFonts w:hint="eastAsia"/>
                <w:szCs w:val="21"/>
              </w:rPr>
            </w:pPr>
            <w:r>
              <w:rPr>
                <w:rFonts w:hint="eastAsia"/>
                <w:szCs w:val="21"/>
              </w:rPr>
              <w:t>（1）“一般失信信息”扣分标准如下：</w:t>
            </w:r>
          </w:p>
          <w:p>
            <w:pPr>
              <w:spacing w:line="360" w:lineRule="auto"/>
              <w:jc w:val="left"/>
              <w:rPr>
                <w:rFonts w:hint="eastAsia"/>
                <w:szCs w:val="21"/>
              </w:rPr>
            </w:pPr>
            <w:r>
              <w:rPr>
                <w:rFonts w:hint="eastAsia"/>
                <w:szCs w:val="21"/>
              </w:rPr>
              <w:t>①以普通程序作出的罚款的扣2.5分/次；</w:t>
            </w:r>
          </w:p>
          <w:p>
            <w:pPr>
              <w:spacing w:line="360" w:lineRule="auto"/>
              <w:jc w:val="left"/>
              <w:rPr>
                <w:rFonts w:hint="eastAsia"/>
                <w:szCs w:val="21"/>
              </w:rPr>
            </w:pPr>
            <w:r>
              <w:rPr>
                <w:rFonts w:hint="eastAsia"/>
                <w:szCs w:val="21"/>
              </w:rPr>
              <w:t>②没收违法所得的扣2.5分/次；</w:t>
            </w:r>
          </w:p>
          <w:p>
            <w:pPr>
              <w:spacing w:line="360" w:lineRule="auto"/>
              <w:jc w:val="left"/>
              <w:rPr>
                <w:rFonts w:hint="eastAsia"/>
                <w:szCs w:val="21"/>
              </w:rPr>
            </w:pPr>
            <w:r>
              <w:rPr>
                <w:rFonts w:hint="eastAsia"/>
                <w:szCs w:val="21"/>
              </w:rPr>
              <w:t>③没收非法财物的扣2.5分/次；</w:t>
            </w:r>
          </w:p>
          <w:p>
            <w:pPr>
              <w:spacing w:line="360" w:lineRule="auto"/>
              <w:jc w:val="left"/>
              <w:rPr>
                <w:rFonts w:hint="eastAsia"/>
                <w:szCs w:val="21"/>
              </w:rPr>
            </w:pPr>
            <w:r>
              <w:rPr>
                <w:rFonts w:hint="eastAsia"/>
                <w:szCs w:val="21"/>
              </w:rPr>
              <w:t>④暂扣许可证件的扣2.5分/次。</w:t>
            </w:r>
          </w:p>
          <w:p>
            <w:pPr>
              <w:spacing w:line="360" w:lineRule="auto"/>
              <w:jc w:val="left"/>
              <w:rPr>
                <w:rFonts w:hint="eastAsia"/>
                <w:szCs w:val="21"/>
              </w:rPr>
            </w:pPr>
            <w:r>
              <w:rPr>
                <w:rFonts w:hint="eastAsia"/>
                <w:szCs w:val="21"/>
              </w:rPr>
              <w:t>（2）“严重失信信息”扣分标准如下：</w:t>
            </w:r>
          </w:p>
          <w:p>
            <w:pPr>
              <w:spacing w:line="360" w:lineRule="auto"/>
              <w:jc w:val="left"/>
              <w:rPr>
                <w:rFonts w:hint="eastAsia"/>
                <w:szCs w:val="21"/>
              </w:rPr>
            </w:pPr>
            <w:r>
              <w:rPr>
                <w:rFonts w:hint="eastAsia"/>
                <w:szCs w:val="21"/>
              </w:rPr>
              <w:t>①吊销许可证件的扣完；</w:t>
            </w:r>
          </w:p>
          <w:p>
            <w:pPr>
              <w:spacing w:line="360" w:lineRule="auto"/>
              <w:jc w:val="left"/>
              <w:rPr>
                <w:rFonts w:hint="eastAsia"/>
                <w:szCs w:val="21"/>
              </w:rPr>
            </w:pPr>
            <w:r>
              <w:rPr>
                <w:rFonts w:hint="eastAsia"/>
                <w:szCs w:val="21"/>
              </w:rPr>
              <w:t>②降低资质等级的扣完；</w:t>
            </w:r>
          </w:p>
          <w:p>
            <w:pPr>
              <w:spacing w:line="360" w:lineRule="auto"/>
              <w:jc w:val="left"/>
              <w:rPr>
                <w:rFonts w:hint="eastAsia"/>
                <w:szCs w:val="21"/>
              </w:rPr>
            </w:pPr>
            <w:r>
              <w:rPr>
                <w:rFonts w:hint="eastAsia"/>
                <w:szCs w:val="21"/>
              </w:rPr>
              <w:t>③限制从业的扣完；</w:t>
            </w:r>
          </w:p>
          <w:p>
            <w:pPr>
              <w:spacing w:line="360" w:lineRule="auto"/>
              <w:jc w:val="left"/>
              <w:rPr>
                <w:rFonts w:hint="eastAsia"/>
                <w:szCs w:val="21"/>
              </w:rPr>
            </w:pPr>
            <w:r>
              <w:rPr>
                <w:rFonts w:hint="eastAsia"/>
                <w:szCs w:val="21"/>
              </w:rPr>
              <w:t>④不得申请行政许可的扣完。</w:t>
            </w:r>
          </w:p>
          <w:p>
            <w:pPr>
              <w:spacing w:line="360" w:lineRule="auto"/>
              <w:jc w:val="left"/>
              <w:rPr>
                <w:rFonts w:hint="eastAsia"/>
                <w:szCs w:val="21"/>
              </w:rPr>
            </w:pPr>
            <w:r>
              <w:rPr>
                <w:rFonts w:hint="eastAsia"/>
                <w:szCs w:val="21"/>
              </w:rPr>
              <w:t>同一失信行为同时受到两类及以上行政处理的，按最重的行政处理进行计分。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widowControl/>
              <w:spacing w:line="360" w:lineRule="auto"/>
              <w:jc w:val="center"/>
              <w:rPr>
                <w:szCs w:val="21"/>
              </w:rPr>
            </w:pPr>
          </w:p>
        </w:tc>
        <w:tc>
          <w:tcPr>
            <w:tcW w:w="1100" w:type="dxa"/>
            <w:gridSpan w:val="2"/>
            <w:vMerge w:val="continue"/>
            <w:tcBorders>
              <w:left w:val="single" w:color="auto" w:sz="4" w:space="0"/>
            </w:tcBorders>
            <w:vAlign w:val="center"/>
          </w:tcPr>
          <w:p>
            <w:pPr>
              <w:widowControl/>
              <w:spacing w:line="360" w:lineRule="auto"/>
              <w:jc w:val="center"/>
              <w:rPr>
                <w:szCs w:val="21"/>
              </w:rPr>
            </w:pPr>
          </w:p>
        </w:tc>
        <w:tc>
          <w:tcPr>
            <w:tcW w:w="1985" w:type="dxa"/>
            <w:gridSpan w:val="2"/>
            <w:tcBorders>
              <w:top w:val="single" w:color="auto" w:sz="4" w:space="0"/>
            </w:tcBorders>
            <w:vAlign w:val="center"/>
          </w:tcPr>
          <w:p>
            <w:pPr>
              <w:spacing w:line="360" w:lineRule="auto"/>
              <w:jc w:val="center"/>
              <w:rPr>
                <w:szCs w:val="21"/>
              </w:rPr>
            </w:pPr>
            <w:r>
              <w:rPr>
                <w:rFonts w:hint="eastAsia"/>
                <w:szCs w:val="21"/>
                <w:lang w:val="en-US" w:eastAsia="zh-CN"/>
              </w:rPr>
              <w:t>投标人</w:t>
            </w:r>
            <w:r>
              <w:rPr>
                <w:rFonts w:hint="eastAsia"/>
                <w:szCs w:val="21"/>
              </w:rPr>
              <w:t>类似项目业绩（满分8分）</w:t>
            </w:r>
          </w:p>
        </w:tc>
        <w:tc>
          <w:tcPr>
            <w:tcW w:w="5103" w:type="dxa"/>
            <w:gridSpan w:val="2"/>
            <w:tcBorders>
              <w:top w:val="single" w:color="auto" w:sz="4" w:space="0"/>
            </w:tcBorders>
            <w:vAlign w:val="center"/>
          </w:tcPr>
          <w:p>
            <w:pPr>
              <w:spacing w:line="360" w:lineRule="auto"/>
              <w:jc w:val="left"/>
              <w:rPr>
                <w:rFonts w:hint="eastAsia"/>
                <w:szCs w:val="21"/>
                <w:highlight w:val="none"/>
              </w:rPr>
            </w:pPr>
            <w:r>
              <w:rPr>
                <w:rFonts w:hint="eastAsia"/>
                <w:szCs w:val="21"/>
                <w:highlight w:val="none"/>
              </w:rPr>
              <w:t>近十年以招标公告发布之日起往前推算（可行性研究或初步设计阶段项目业绩，以批复文件的批复时间为准；施工图阶段设计项目业绩，以该设计项目所对应的工程“竣工时间”或“完工时间”为准。下同）承接过类似勘察设计项目，且有证明文件的，得2分，每多一项加1.5分，最多得8分；近十年未承接过类似勘察设计项目的，得0分。</w:t>
            </w:r>
          </w:p>
          <w:p>
            <w:pPr>
              <w:spacing w:line="360" w:lineRule="auto"/>
              <w:jc w:val="left"/>
              <w:rPr>
                <w:rFonts w:hint="eastAsia"/>
                <w:strike w:val="0"/>
                <w:dstrike w:val="0"/>
                <w:szCs w:val="21"/>
                <w:highlight w:val="none"/>
              </w:rPr>
            </w:pPr>
            <w:r>
              <w:rPr>
                <w:rFonts w:hint="eastAsia"/>
                <w:strike w:val="0"/>
                <w:dstrike w:val="0"/>
                <w:szCs w:val="21"/>
                <w:highlight w:val="none"/>
                <w:lang w:val="en-US" w:eastAsia="zh-CN"/>
              </w:rPr>
              <w:t>同一项目</w:t>
            </w:r>
            <w:r>
              <w:rPr>
                <w:rFonts w:hint="eastAsia"/>
                <w:strike w:val="0"/>
                <w:dstrike w:val="0"/>
                <w:szCs w:val="21"/>
                <w:highlight w:val="none"/>
              </w:rPr>
              <w:t>同时满足以上多项条款的，按得分最高的条款进行计分。</w:t>
            </w:r>
          </w:p>
          <w:p>
            <w:pPr>
              <w:spacing w:line="360" w:lineRule="auto"/>
              <w:jc w:val="left"/>
              <w:rPr>
                <w:rFonts w:hint="eastAsia"/>
                <w:szCs w:val="21"/>
              </w:rPr>
            </w:pPr>
            <w:r>
              <w:rPr>
                <w:rFonts w:hint="eastAsia"/>
                <w:szCs w:val="21"/>
              </w:rPr>
              <w:t>业绩认定应同时满足以下条件：</w:t>
            </w:r>
          </w:p>
          <w:p>
            <w:pPr>
              <w:spacing w:line="360" w:lineRule="auto"/>
              <w:jc w:val="left"/>
              <w:rPr>
                <w:rFonts w:hint="eastAsia"/>
                <w:szCs w:val="21"/>
              </w:rPr>
            </w:pPr>
            <w:r>
              <w:rPr>
                <w:rFonts w:hint="eastAsia"/>
                <w:szCs w:val="21"/>
              </w:rPr>
              <w:t>（1）已完成勘察设计项目业绩认定以中标（成交）通知书、合同文件、批复文件（可研批复或初设批复或实施方案批复）或验收鉴定书（完工验收鉴定书或竣工验收鉴定书或发包人证明材料）为准。</w:t>
            </w:r>
          </w:p>
          <w:p>
            <w:pPr>
              <w:spacing w:line="360" w:lineRule="auto"/>
              <w:jc w:val="left"/>
              <w:rPr>
                <w:rFonts w:hint="eastAsia"/>
                <w:szCs w:val="21"/>
              </w:rPr>
            </w:pPr>
            <w:r>
              <w:rPr>
                <w:rFonts w:hint="eastAsia"/>
                <w:szCs w:val="21"/>
              </w:rPr>
              <w:t>上述证明材料必须与全国水利建设市场监管平台填报公示信息一致，不一致的不予认定；</w:t>
            </w:r>
          </w:p>
          <w:p>
            <w:pPr>
              <w:spacing w:line="360" w:lineRule="auto"/>
              <w:jc w:val="left"/>
              <w:rPr>
                <w:rFonts w:hint="eastAsia"/>
                <w:szCs w:val="21"/>
              </w:rPr>
            </w:pPr>
            <w:r>
              <w:rPr>
                <w:rFonts w:hint="eastAsia"/>
                <w:szCs w:val="21"/>
              </w:rPr>
              <w:t>上述发包人证明须经发包人加盖公章。</w:t>
            </w:r>
          </w:p>
          <w:p>
            <w:pPr>
              <w:spacing w:line="360" w:lineRule="auto"/>
              <w:jc w:val="left"/>
              <w:rPr>
                <w:rFonts w:hint="eastAsia"/>
                <w:szCs w:val="21"/>
              </w:rPr>
            </w:pPr>
            <w:r>
              <w:rPr>
                <w:rFonts w:hint="eastAsia"/>
                <w:szCs w:val="21"/>
              </w:rPr>
              <w:t>（2）与招标勘察设计项目主体工程相类似的对应规模等级或水闸或水工主要建筑物等级；</w:t>
            </w:r>
          </w:p>
          <w:p>
            <w:pPr>
              <w:spacing w:line="360" w:lineRule="auto"/>
              <w:jc w:val="left"/>
              <w:rPr>
                <w:szCs w:val="21"/>
              </w:rPr>
            </w:pPr>
            <w:r>
              <w:rPr>
                <w:rFonts w:hint="eastAsia"/>
                <w:szCs w:val="21"/>
              </w:rPr>
              <w:t>（3）招标人根据招标项目主体工程类别</w:t>
            </w:r>
            <w:r>
              <w:rPr>
                <w:rFonts w:hint="eastAsia"/>
                <w:szCs w:val="21"/>
                <w:highlight w:val="none"/>
              </w:rPr>
              <w:t>按</w:t>
            </w:r>
            <w:r>
              <w:rPr>
                <w:rFonts w:hint="eastAsia"/>
                <w:szCs w:val="21"/>
                <w:highlight w:val="none"/>
                <w:lang w:val="en-US" w:eastAsia="zh-CN"/>
              </w:rPr>
              <w:t>使用说明附表1中确定的</w:t>
            </w:r>
            <w:r>
              <w:rPr>
                <w:rFonts w:hint="eastAsia"/>
                <w:szCs w:val="21"/>
                <w:highlight w:val="none"/>
              </w:rPr>
              <w:t>类似业绩的类别。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widowControl/>
              <w:spacing w:line="360" w:lineRule="auto"/>
              <w:jc w:val="center"/>
              <w:rPr>
                <w:szCs w:val="21"/>
              </w:rPr>
            </w:pPr>
          </w:p>
        </w:tc>
        <w:tc>
          <w:tcPr>
            <w:tcW w:w="1100" w:type="dxa"/>
            <w:gridSpan w:val="2"/>
            <w:vMerge w:val="continue"/>
            <w:tcBorders>
              <w:left w:val="single" w:color="auto" w:sz="4" w:space="0"/>
            </w:tcBorders>
            <w:vAlign w:val="center"/>
          </w:tcPr>
          <w:p>
            <w:pPr>
              <w:widowControl/>
              <w:spacing w:line="360" w:lineRule="auto"/>
              <w:jc w:val="center"/>
              <w:rPr>
                <w:szCs w:val="21"/>
              </w:rPr>
            </w:pPr>
          </w:p>
        </w:tc>
        <w:tc>
          <w:tcPr>
            <w:tcW w:w="1985" w:type="dxa"/>
            <w:gridSpan w:val="2"/>
            <w:tcBorders>
              <w:top w:val="single" w:color="auto" w:sz="4" w:space="0"/>
            </w:tcBorders>
            <w:vAlign w:val="center"/>
          </w:tcPr>
          <w:p>
            <w:pPr>
              <w:spacing w:line="360" w:lineRule="auto"/>
              <w:jc w:val="center"/>
              <w:rPr>
                <w:szCs w:val="21"/>
              </w:rPr>
            </w:pPr>
            <w:r>
              <w:rPr>
                <w:rFonts w:hint="eastAsia"/>
                <w:szCs w:val="21"/>
              </w:rPr>
              <w:t>项目负责人资历和业绩（满分</w:t>
            </w:r>
            <w:r>
              <w:rPr>
                <w:rFonts w:hint="eastAsia"/>
                <w:szCs w:val="21"/>
                <w:lang w:val="en-US" w:eastAsia="zh-CN"/>
              </w:rPr>
              <w:t>9</w:t>
            </w:r>
            <w:r>
              <w:rPr>
                <w:rFonts w:hint="eastAsia"/>
                <w:szCs w:val="21"/>
              </w:rPr>
              <w:t>分）</w:t>
            </w:r>
          </w:p>
        </w:tc>
        <w:tc>
          <w:tcPr>
            <w:tcW w:w="5103" w:type="dxa"/>
            <w:gridSpan w:val="2"/>
            <w:tcBorders>
              <w:top w:val="single" w:color="auto" w:sz="4" w:space="0"/>
            </w:tcBorders>
            <w:vAlign w:val="center"/>
          </w:tcPr>
          <w:p>
            <w:pPr>
              <w:spacing w:line="360" w:lineRule="auto"/>
              <w:jc w:val="both"/>
              <w:rPr>
                <w:rFonts w:hint="eastAsia"/>
                <w:szCs w:val="21"/>
                <w:highlight w:val="none"/>
              </w:rPr>
            </w:pPr>
            <w:r>
              <w:rPr>
                <w:rFonts w:hint="eastAsia"/>
                <w:szCs w:val="21"/>
                <w:highlight w:val="none"/>
              </w:rPr>
              <w:t>（1）项目负责人具有水利相关专业高级职称，承担过类似工程勘察设计项目的项目负责人且有证明文件的，得3分，每多一项得1.5分，最多得9分；</w:t>
            </w:r>
          </w:p>
          <w:p>
            <w:pPr>
              <w:spacing w:line="360" w:lineRule="auto"/>
              <w:jc w:val="both"/>
              <w:rPr>
                <w:rFonts w:hint="eastAsia"/>
                <w:szCs w:val="21"/>
                <w:highlight w:val="none"/>
              </w:rPr>
            </w:pPr>
            <w:r>
              <w:rPr>
                <w:rFonts w:hint="eastAsia"/>
                <w:szCs w:val="21"/>
                <w:highlight w:val="none"/>
              </w:rPr>
              <w:t>（2）项目负责人没有勘察设计经历的，得0分。</w:t>
            </w:r>
          </w:p>
          <w:p>
            <w:pPr>
              <w:spacing w:line="360" w:lineRule="auto"/>
              <w:jc w:val="both"/>
              <w:rPr>
                <w:rFonts w:hint="eastAsia"/>
                <w:szCs w:val="21"/>
                <w:highlight w:val="none"/>
              </w:rPr>
            </w:pPr>
            <w:r>
              <w:rPr>
                <w:rFonts w:hint="eastAsia"/>
                <w:szCs w:val="21"/>
                <w:highlight w:val="none"/>
              </w:rPr>
              <w:t>业绩认定应同时满足以下条件：</w:t>
            </w:r>
          </w:p>
          <w:p>
            <w:pPr>
              <w:spacing w:line="360" w:lineRule="auto"/>
              <w:jc w:val="both"/>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业绩认定以中标（成交）通知书、合同文件、批复文件（可研批复或初设批复或实施方案批复）</w:t>
            </w:r>
            <w:r>
              <w:rPr>
                <w:rFonts w:hint="eastAsia"/>
                <w:szCs w:val="21"/>
                <w:highlight w:val="none"/>
                <w:lang w:val="en-US" w:eastAsia="zh-CN"/>
              </w:rPr>
              <w:t>或</w:t>
            </w:r>
            <w:r>
              <w:rPr>
                <w:rFonts w:hint="eastAsia"/>
                <w:szCs w:val="21"/>
                <w:highlight w:val="none"/>
              </w:rPr>
              <w:t>验收鉴定书（完工验收鉴定书或竣工验收鉴定书或发包人证明材料）</w:t>
            </w:r>
            <w:r>
              <w:rPr>
                <w:rFonts w:hint="eastAsia"/>
                <w:szCs w:val="21"/>
                <w:highlight w:val="none"/>
                <w:lang w:eastAsia="zh-CN"/>
              </w:rPr>
              <w:t>为准</w:t>
            </w:r>
            <w:r>
              <w:rPr>
                <w:rFonts w:hint="eastAsia"/>
                <w:szCs w:val="21"/>
                <w:highlight w:val="none"/>
              </w:rPr>
              <w:t>，证明材料必须载明项目负责人（项目总设计师）姓名，证明材料必须与全国水利建设市场监管平台填报公示信息一致，不一致的不予认定。</w:t>
            </w:r>
          </w:p>
          <w:p>
            <w:pPr>
              <w:spacing w:line="360" w:lineRule="auto"/>
              <w:jc w:val="both"/>
              <w:rPr>
                <w:rFonts w:hint="eastAsia"/>
                <w:szCs w:val="21"/>
                <w:highlight w:val="none"/>
              </w:rPr>
            </w:pPr>
            <w:r>
              <w:rPr>
                <w:rFonts w:hint="eastAsia"/>
                <w:szCs w:val="21"/>
                <w:highlight w:val="none"/>
              </w:rPr>
              <w:t>上述发包人证明须经发包人加盖公章。</w:t>
            </w:r>
          </w:p>
          <w:p>
            <w:pPr>
              <w:spacing w:line="360" w:lineRule="auto"/>
              <w:jc w:val="both"/>
              <w:rPr>
                <w:rFonts w:hint="eastAsia"/>
                <w:szCs w:val="21"/>
                <w:highlight w:val="none"/>
              </w:rPr>
            </w:pPr>
            <w:r>
              <w:rPr>
                <w:rFonts w:hint="eastAsia"/>
                <w:szCs w:val="21"/>
                <w:highlight w:val="none"/>
              </w:rPr>
              <w:t>（2）与招标勘察设计项目主体工程相类似的对应规模等级或水闸或水工主要建筑物等级；</w:t>
            </w:r>
          </w:p>
          <w:p>
            <w:pPr>
              <w:spacing w:line="360" w:lineRule="auto"/>
              <w:jc w:val="both"/>
              <w:rPr>
                <w:rFonts w:hint="eastAsia"/>
                <w:szCs w:val="21"/>
                <w:highlight w:val="none"/>
              </w:rPr>
            </w:pPr>
            <w:r>
              <w:rPr>
                <w:rFonts w:hint="eastAsia"/>
                <w:szCs w:val="21"/>
                <w:highlight w:val="none"/>
              </w:rPr>
              <w:t>（3）招标人根据招标项目主体工程类别按使用说明附表1中确定的类似业绩的类别。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widowControl/>
              <w:spacing w:line="360" w:lineRule="auto"/>
              <w:jc w:val="center"/>
              <w:rPr>
                <w:szCs w:val="21"/>
              </w:rPr>
            </w:pPr>
          </w:p>
        </w:tc>
        <w:tc>
          <w:tcPr>
            <w:tcW w:w="1100" w:type="dxa"/>
            <w:gridSpan w:val="2"/>
            <w:vMerge w:val="continue"/>
            <w:tcBorders>
              <w:left w:val="single" w:color="auto" w:sz="4" w:space="0"/>
            </w:tcBorders>
            <w:vAlign w:val="center"/>
          </w:tcPr>
          <w:p>
            <w:pPr>
              <w:widowControl/>
              <w:spacing w:line="360" w:lineRule="auto"/>
              <w:jc w:val="center"/>
              <w:rPr>
                <w:szCs w:val="21"/>
              </w:rPr>
            </w:pPr>
          </w:p>
        </w:tc>
        <w:tc>
          <w:tcPr>
            <w:tcW w:w="1985" w:type="dxa"/>
            <w:gridSpan w:val="2"/>
            <w:tcBorders>
              <w:top w:val="single" w:color="auto" w:sz="4" w:space="0"/>
            </w:tcBorders>
            <w:vAlign w:val="center"/>
          </w:tcPr>
          <w:p>
            <w:pPr>
              <w:spacing w:line="360" w:lineRule="auto"/>
              <w:jc w:val="center"/>
              <w:rPr>
                <w:rFonts w:hint="eastAsia"/>
                <w:szCs w:val="21"/>
              </w:rPr>
            </w:pPr>
            <w:r>
              <w:rPr>
                <w:rFonts w:hint="eastAsia"/>
                <w:szCs w:val="21"/>
              </w:rPr>
              <w:t>获奖情况</w:t>
            </w:r>
          </w:p>
          <w:p>
            <w:pPr>
              <w:spacing w:line="360" w:lineRule="auto"/>
              <w:jc w:val="center"/>
              <w:rPr>
                <w:szCs w:val="21"/>
              </w:rPr>
            </w:pPr>
            <w:r>
              <w:rPr>
                <w:rFonts w:hint="eastAsia"/>
                <w:szCs w:val="21"/>
              </w:rPr>
              <w:t>（满分2分）</w:t>
            </w:r>
          </w:p>
        </w:tc>
        <w:tc>
          <w:tcPr>
            <w:tcW w:w="5103" w:type="dxa"/>
            <w:gridSpan w:val="2"/>
            <w:tcBorders>
              <w:top w:val="single" w:color="auto" w:sz="4" w:space="0"/>
            </w:tcBorders>
            <w:vAlign w:val="center"/>
          </w:tcPr>
          <w:p>
            <w:pPr>
              <w:spacing w:line="360" w:lineRule="auto"/>
              <w:jc w:val="left"/>
              <w:rPr>
                <w:rFonts w:hint="eastAsia"/>
                <w:szCs w:val="21"/>
                <w:highlight w:val="none"/>
                <w:u w:val="none"/>
              </w:rPr>
            </w:pPr>
            <w:r>
              <w:rPr>
                <w:rFonts w:hint="eastAsia"/>
                <w:szCs w:val="21"/>
                <w:highlight w:val="none"/>
                <w:u w:val="none"/>
              </w:rPr>
              <w:t>所勘察设计的水利工程项目近十年（从招标公告发布之日起往前推算，以</w:t>
            </w:r>
            <w:r>
              <w:rPr>
                <w:rFonts w:hint="eastAsia"/>
                <w:szCs w:val="21"/>
                <w:highlight w:val="none"/>
                <w:u w:val="none"/>
                <w:lang w:val="en-US" w:eastAsia="zh-CN"/>
              </w:rPr>
              <w:t>奖项的</w:t>
            </w:r>
            <w:r>
              <w:rPr>
                <w:rFonts w:hint="eastAsia"/>
                <w:szCs w:val="21"/>
                <w:highlight w:val="none"/>
                <w:u w:val="none"/>
              </w:rPr>
              <w:t>颁发日期为准）：</w:t>
            </w:r>
          </w:p>
          <w:p>
            <w:pPr>
              <w:spacing w:line="360" w:lineRule="auto"/>
              <w:jc w:val="left"/>
              <w:rPr>
                <w:rFonts w:hint="eastAsia"/>
                <w:szCs w:val="21"/>
                <w:highlight w:val="none"/>
                <w:u w:val="none"/>
              </w:rPr>
            </w:pPr>
            <w:r>
              <w:rPr>
                <w:rFonts w:hint="eastAsia"/>
                <w:szCs w:val="21"/>
                <w:highlight w:val="none"/>
                <w:u w:val="none"/>
              </w:rPr>
              <w:t>1.获得全国性奖项：国家科学技术进步奖、国家优质工程奖、全国优秀工程勘察设计奖、全国优秀水利水电工程勘测设计奖、中国水利工程优质（大禹）奖、中国建筑工程鲁班奖（国家优质工程）、中国土木工程詹天佑奖，得1分，每多一项得1分，最多得2分；</w:t>
            </w:r>
          </w:p>
          <w:p>
            <w:pPr>
              <w:spacing w:line="360" w:lineRule="auto"/>
              <w:jc w:val="left"/>
              <w:rPr>
                <w:rFonts w:hint="eastAsia"/>
                <w:szCs w:val="21"/>
                <w:highlight w:val="none"/>
                <w:u w:val="none"/>
              </w:rPr>
            </w:pPr>
            <w:r>
              <w:rPr>
                <w:rFonts w:hint="eastAsia"/>
                <w:szCs w:val="21"/>
                <w:highlight w:val="none"/>
                <w:u w:val="none"/>
              </w:rPr>
              <w:t>2.获得省（自治区）级奖项：省级政府或省级水行政主管部门颁发的奖项，得0.5分，每多1项得0.5分，最多得1分；</w:t>
            </w:r>
          </w:p>
          <w:p>
            <w:pPr>
              <w:spacing w:line="360" w:lineRule="auto"/>
              <w:jc w:val="left"/>
              <w:rPr>
                <w:rFonts w:hint="eastAsia"/>
                <w:szCs w:val="21"/>
                <w:highlight w:val="none"/>
                <w:u w:val="none"/>
              </w:rPr>
            </w:pPr>
            <w:r>
              <w:rPr>
                <w:rFonts w:hint="eastAsia"/>
                <w:szCs w:val="21"/>
                <w:highlight w:val="none"/>
                <w:u w:val="none"/>
              </w:rPr>
              <w:t>同时满足以上多项条款的，最高得2分。</w:t>
            </w:r>
          </w:p>
          <w:p>
            <w:pPr>
              <w:spacing w:line="360" w:lineRule="auto"/>
              <w:jc w:val="left"/>
              <w:rPr>
                <w:rFonts w:hint="eastAsia"/>
                <w:szCs w:val="21"/>
                <w:highlight w:val="none"/>
                <w:u w:val="none"/>
                <w:lang w:val="en-US" w:eastAsia="zh-CN"/>
              </w:rPr>
            </w:pPr>
            <w:r>
              <w:rPr>
                <w:rFonts w:hint="eastAsia"/>
                <w:szCs w:val="21"/>
                <w:highlight w:val="none"/>
                <w:u w:val="none"/>
              </w:rPr>
              <w:t>获奖情况的认定</w:t>
            </w:r>
            <w:r>
              <w:rPr>
                <w:rFonts w:hint="eastAsia"/>
                <w:szCs w:val="21"/>
                <w:highlight w:val="none"/>
                <w:u w:val="none"/>
                <w:lang w:val="en-US" w:eastAsia="zh-CN"/>
              </w:rPr>
              <w:t>条件：</w:t>
            </w:r>
          </w:p>
          <w:p>
            <w:pPr>
              <w:spacing w:line="360" w:lineRule="auto"/>
              <w:jc w:val="left"/>
              <w:rPr>
                <w:rFonts w:hint="eastAsia"/>
                <w:szCs w:val="21"/>
                <w:highlight w:val="none"/>
                <w:u w:val="none"/>
              </w:rPr>
            </w:pPr>
            <w:r>
              <w:rPr>
                <w:rFonts w:hint="eastAsia"/>
                <w:szCs w:val="21"/>
                <w:highlight w:val="none"/>
                <w:u w:val="none"/>
              </w:rPr>
              <w:t>注：获奖情况认定须同时满足以下条件：</w:t>
            </w:r>
          </w:p>
          <w:p>
            <w:pPr>
              <w:spacing w:line="360" w:lineRule="auto"/>
              <w:ind w:firstLine="420" w:firstLineChars="200"/>
              <w:jc w:val="left"/>
              <w:rPr>
                <w:rFonts w:hint="eastAsia"/>
                <w:szCs w:val="21"/>
                <w:highlight w:val="none"/>
                <w:u w:val="none"/>
              </w:rPr>
            </w:pPr>
            <w:r>
              <w:rPr>
                <w:rFonts w:hint="eastAsia"/>
                <w:szCs w:val="21"/>
                <w:highlight w:val="none"/>
                <w:u w:val="none"/>
              </w:rPr>
              <w:t>针对工程项目奖项、国家科学进步奖奖项的认定材料要求：</w:t>
            </w:r>
          </w:p>
          <w:p>
            <w:pPr>
              <w:spacing w:line="360" w:lineRule="auto"/>
              <w:jc w:val="left"/>
              <w:rPr>
                <w:rFonts w:hint="eastAsia"/>
                <w:szCs w:val="21"/>
                <w:highlight w:val="none"/>
                <w:u w:val="none"/>
              </w:rPr>
            </w:pPr>
            <w:r>
              <w:rPr>
                <w:rFonts w:hint="eastAsia"/>
                <w:szCs w:val="21"/>
                <w:highlight w:val="none"/>
                <w:u w:val="none"/>
                <w:lang w:val="en-US" w:eastAsia="zh-CN"/>
              </w:rPr>
              <w:t>1.</w:t>
            </w:r>
            <w:r>
              <w:rPr>
                <w:rFonts w:hint="eastAsia"/>
                <w:szCs w:val="21"/>
                <w:highlight w:val="none"/>
                <w:u w:val="none"/>
              </w:rPr>
              <w:t>工程项目类获奖</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1</w:t>
            </w:r>
            <w:r>
              <w:rPr>
                <w:rFonts w:hint="eastAsia"/>
                <w:szCs w:val="21"/>
                <w:highlight w:val="none"/>
                <w:u w:val="none"/>
                <w:lang w:eastAsia="zh-CN"/>
              </w:rPr>
              <w:t>）</w:t>
            </w:r>
            <w:r>
              <w:rPr>
                <w:rFonts w:hint="eastAsia"/>
                <w:szCs w:val="21"/>
                <w:highlight w:val="none"/>
                <w:u w:val="none"/>
              </w:rPr>
              <w:t>大型水利工程只取全国性奖项计分，中小型水利工程同时取全国性和省级奖项累积计分。</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2</w:t>
            </w:r>
            <w:r>
              <w:rPr>
                <w:rFonts w:hint="eastAsia"/>
                <w:szCs w:val="21"/>
                <w:highlight w:val="none"/>
                <w:u w:val="none"/>
                <w:lang w:eastAsia="zh-CN"/>
              </w:rPr>
              <w:t>）</w:t>
            </w:r>
            <w:r>
              <w:rPr>
                <w:rFonts w:hint="eastAsia"/>
                <w:szCs w:val="21"/>
                <w:highlight w:val="none"/>
                <w:u w:val="none"/>
              </w:rPr>
              <w:t>奖项证明材料以获奖证书为准，获奖时间以获奖证书上的颁发日期为准，且需在“近十年”范围内（自招标公告发布之日向前推算），超期奖项不予计分。</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3</w:t>
            </w:r>
            <w:r>
              <w:rPr>
                <w:rFonts w:hint="eastAsia"/>
                <w:szCs w:val="21"/>
                <w:highlight w:val="none"/>
                <w:u w:val="none"/>
                <w:lang w:eastAsia="zh-CN"/>
              </w:rPr>
              <w:t>）</w:t>
            </w:r>
            <w:r>
              <w:rPr>
                <w:rFonts w:hint="eastAsia"/>
                <w:szCs w:val="21"/>
                <w:highlight w:val="none"/>
                <w:u w:val="none"/>
              </w:rPr>
              <w:t>获奖证书扫描件或获奖文件扫描件，须清晰可见奖项名称、获奖单位、颁发日期。</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4</w:t>
            </w:r>
            <w:r>
              <w:rPr>
                <w:rFonts w:hint="eastAsia"/>
                <w:szCs w:val="21"/>
                <w:highlight w:val="none"/>
                <w:u w:val="none"/>
                <w:lang w:eastAsia="zh-CN"/>
              </w:rPr>
              <w:t>）</w:t>
            </w:r>
            <w:r>
              <w:rPr>
                <w:rFonts w:hint="eastAsia"/>
                <w:szCs w:val="21"/>
                <w:highlight w:val="none"/>
                <w:u w:val="none"/>
              </w:rPr>
              <w:t>获奖项目对应的合同协议书扫描件，合同中须体现投标人（或联合体成员）名称。</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5</w:t>
            </w:r>
            <w:r>
              <w:rPr>
                <w:rFonts w:hint="eastAsia"/>
                <w:szCs w:val="21"/>
                <w:highlight w:val="none"/>
                <w:u w:val="none"/>
                <w:lang w:eastAsia="zh-CN"/>
              </w:rPr>
              <w:t>）</w:t>
            </w:r>
            <w:r>
              <w:rPr>
                <w:rFonts w:hint="eastAsia"/>
                <w:szCs w:val="21"/>
                <w:highlight w:val="none"/>
                <w:u w:val="none"/>
              </w:rPr>
              <w:t>获奖信息须与全国水利建设市场监管平台填报公示信息一致，不一致的不予认定。全国水利建设市场监管平台上的截图，须能证明工程项目规模、奖项级别、颁奖单位、颁奖时间等信息。</w:t>
            </w:r>
          </w:p>
          <w:p>
            <w:pPr>
              <w:spacing w:line="360" w:lineRule="auto"/>
              <w:jc w:val="left"/>
              <w:rPr>
                <w:rFonts w:hint="eastAsia"/>
                <w:szCs w:val="21"/>
                <w:highlight w:val="none"/>
                <w:u w:val="none"/>
              </w:rPr>
            </w:pPr>
            <w:r>
              <w:rPr>
                <w:rFonts w:hint="eastAsia"/>
                <w:szCs w:val="21"/>
                <w:highlight w:val="none"/>
                <w:u w:val="none"/>
                <w:lang w:val="en-US" w:eastAsia="zh-CN"/>
              </w:rPr>
              <w:t>2.</w:t>
            </w:r>
            <w:r>
              <w:rPr>
                <w:rFonts w:hint="eastAsia"/>
                <w:szCs w:val="21"/>
                <w:highlight w:val="none"/>
                <w:u w:val="none"/>
              </w:rPr>
              <w:t>国家科学技术进步奖奖项</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1</w:t>
            </w:r>
            <w:r>
              <w:rPr>
                <w:rFonts w:hint="eastAsia"/>
                <w:szCs w:val="21"/>
                <w:highlight w:val="none"/>
                <w:u w:val="none"/>
                <w:lang w:eastAsia="zh-CN"/>
              </w:rPr>
              <w:t>）</w:t>
            </w:r>
            <w:r>
              <w:rPr>
                <w:rFonts w:hint="eastAsia"/>
                <w:szCs w:val="21"/>
                <w:highlight w:val="none"/>
                <w:u w:val="none"/>
              </w:rPr>
              <w:t>奖项证明材料以获奖证书为准，获奖时间以获奖证书上的颁发日期为准，且需在“近十年”范围内（自招标公告发布之日向前推算），超期奖项不予计分。</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2</w:t>
            </w:r>
            <w:r>
              <w:rPr>
                <w:rFonts w:hint="eastAsia"/>
                <w:szCs w:val="21"/>
                <w:highlight w:val="none"/>
                <w:u w:val="none"/>
                <w:lang w:eastAsia="zh-CN"/>
              </w:rPr>
              <w:t>）</w:t>
            </w:r>
            <w:r>
              <w:rPr>
                <w:rFonts w:hint="eastAsia"/>
                <w:szCs w:val="21"/>
                <w:highlight w:val="none"/>
                <w:u w:val="none"/>
              </w:rPr>
              <w:t>获奖证书扫描件或获奖文件扫描件，须清晰可见奖项名称、获奖单位、颁发日期。</w:t>
            </w:r>
          </w:p>
          <w:p>
            <w:pPr>
              <w:spacing w:line="360" w:lineRule="auto"/>
              <w:jc w:val="left"/>
              <w:rPr>
                <w:rFonts w:hint="eastAsia"/>
                <w:szCs w:val="21"/>
                <w:highlight w:val="none"/>
                <w:u w:val="none"/>
              </w:rPr>
            </w:pPr>
            <w:r>
              <w:rPr>
                <w:rFonts w:hint="eastAsia"/>
                <w:szCs w:val="21"/>
                <w:highlight w:val="none"/>
                <w:u w:val="none"/>
                <w:lang w:eastAsia="zh-CN"/>
              </w:rPr>
              <w:t>（</w:t>
            </w:r>
            <w:r>
              <w:rPr>
                <w:rFonts w:hint="eastAsia"/>
                <w:szCs w:val="21"/>
                <w:highlight w:val="none"/>
                <w:u w:val="none"/>
                <w:lang w:val="en-US" w:eastAsia="zh-CN"/>
              </w:rPr>
              <w:t>3</w:t>
            </w:r>
            <w:r>
              <w:rPr>
                <w:rFonts w:hint="eastAsia"/>
                <w:szCs w:val="21"/>
                <w:highlight w:val="none"/>
                <w:u w:val="none"/>
                <w:lang w:eastAsia="zh-CN"/>
              </w:rPr>
              <w:t>）</w:t>
            </w:r>
            <w:r>
              <w:rPr>
                <w:rFonts w:hint="eastAsia"/>
                <w:szCs w:val="21"/>
                <w:highlight w:val="none"/>
                <w:u w:val="none"/>
              </w:rPr>
              <w:t>获奖信息须与全国水利建设市场监管平台填报公示信息一致，不一致的不予认定。全国水利建设市场监管平台上的截图，须能证明奖项名称、奖项级别、颁奖单位、颁奖时间等信息</w:t>
            </w:r>
          </w:p>
          <w:p>
            <w:pPr>
              <w:spacing w:line="360" w:lineRule="auto"/>
              <w:jc w:val="left"/>
              <w:rPr>
                <w:rFonts w:hint="eastAsia" w:eastAsiaTheme="minorEastAsia"/>
                <w:szCs w:val="21"/>
                <w:highlight w:val="none"/>
                <w:u w:val="single"/>
                <w:lang w:eastAsia="zh-CN"/>
              </w:rPr>
            </w:pPr>
            <w:r>
              <w:rPr>
                <w:rFonts w:hint="eastAsia"/>
                <w:szCs w:val="21"/>
                <w:highlight w:val="none"/>
                <w:u w:val="none"/>
              </w:rPr>
              <w:t>3.已获奖未发证书的，须提供颁奖单位官网的获奖结果公示截图（含网址、项目名、单位名）。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widowControl/>
              <w:spacing w:line="360" w:lineRule="auto"/>
              <w:jc w:val="center"/>
              <w:rPr>
                <w:szCs w:val="21"/>
              </w:rPr>
            </w:pPr>
          </w:p>
        </w:tc>
        <w:tc>
          <w:tcPr>
            <w:tcW w:w="1100" w:type="dxa"/>
            <w:gridSpan w:val="2"/>
            <w:vMerge w:val="continue"/>
            <w:tcBorders>
              <w:left w:val="single" w:color="auto" w:sz="4" w:space="0"/>
            </w:tcBorders>
            <w:vAlign w:val="center"/>
          </w:tcPr>
          <w:p>
            <w:pPr>
              <w:widowControl/>
              <w:spacing w:line="360" w:lineRule="auto"/>
              <w:jc w:val="center"/>
              <w:rPr>
                <w:szCs w:val="21"/>
              </w:rPr>
            </w:pPr>
          </w:p>
        </w:tc>
        <w:tc>
          <w:tcPr>
            <w:tcW w:w="7088" w:type="dxa"/>
            <w:gridSpan w:val="4"/>
            <w:tcBorders>
              <w:top w:val="single" w:color="auto" w:sz="4" w:space="0"/>
            </w:tcBorders>
            <w:vAlign w:val="center"/>
          </w:tcPr>
          <w:p>
            <w:pPr>
              <w:widowControl/>
              <w:spacing w:line="360" w:lineRule="auto"/>
              <w:jc w:val="left"/>
              <w:rPr>
                <w:szCs w:val="21"/>
              </w:rPr>
            </w:pPr>
            <w:r>
              <w:rPr>
                <w:rFonts w:hint="eastAsia" w:asciiTheme="minorEastAsia" w:hAnsiTheme="minorEastAsia"/>
                <w:b/>
                <w:szCs w:val="21"/>
                <w:highlight w:val="none"/>
              </w:rPr>
              <w:t>【注：招标人应按上述评分因素设定评分标准，并根据招标项目设计阶段要求，明确证明材料的具体类型。</w:t>
            </w:r>
            <w:r>
              <w:rPr>
                <w:rFonts w:hint="eastAsia" w:asciiTheme="minorEastAsia" w:hAnsiTheme="minorEastAsia"/>
                <w:b/>
                <w:szCs w:val="21"/>
              </w:rPr>
              <w:t>评审结果由电子招标投标交易平台自动计算，并经评标委员会核对、确认。】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restart"/>
            <w:tcBorders>
              <w:right w:val="single" w:color="auto" w:sz="4" w:space="0"/>
            </w:tcBorders>
            <w:vAlign w:val="center"/>
          </w:tcPr>
          <w:p>
            <w:pPr>
              <w:widowControl/>
              <w:spacing w:line="360" w:lineRule="auto"/>
              <w:jc w:val="center"/>
              <w:rPr>
                <w:szCs w:val="21"/>
              </w:rPr>
            </w:pPr>
            <w:r>
              <w:rPr>
                <w:szCs w:val="21"/>
              </w:rPr>
              <w:t>2.2.4</w:t>
            </w:r>
          </w:p>
          <w:p>
            <w:pPr>
              <w:widowControl/>
              <w:spacing w:line="360" w:lineRule="auto"/>
              <w:jc w:val="center"/>
              <w:rPr>
                <w:szCs w:val="21"/>
              </w:rPr>
            </w:pPr>
            <w:r>
              <w:rPr>
                <w:rFonts w:hint="eastAsia"/>
                <w:szCs w:val="21"/>
              </w:rPr>
              <w:t>（2）</w:t>
            </w:r>
          </w:p>
        </w:tc>
        <w:tc>
          <w:tcPr>
            <w:tcW w:w="1100" w:type="dxa"/>
            <w:gridSpan w:val="2"/>
            <w:vMerge w:val="restart"/>
            <w:tcBorders>
              <w:left w:val="single" w:color="auto" w:sz="4" w:space="0"/>
            </w:tcBorders>
            <w:vAlign w:val="center"/>
          </w:tcPr>
          <w:p>
            <w:pPr>
              <w:widowControl/>
              <w:spacing w:line="360" w:lineRule="auto"/>
              <w:jc w:val="center"/>
              <w:rPr>
                <w:szCs w:val="21"/>
              </w:rPr>
            </w:pPr>
            <w:r>
              <w:rPr>
                <w:rFonts w:hint="eastAsia"/>
                <w:szCs w:val="21"/>
                <w:lang w:val="en-US" w:eastAsia="zh-Hans"/>
              </w:rPr>
              <w:t>技术</w:t>
            </w:r>
            <w:r>
              <w:rPr>
                <w:rFonts w:hint="eastAsia"/>
                <w:szCs w:val="21"/>
                <w:lang w:val="en-US" w:eastAsia="zh-CN"/>
              </w:rPr>
              <w:t>部分（</w:t>
            </w:r>
            <w:r>
              <w:rPr>
                <w:rFonts w:hint="eastAsia"/>
                <w:szCs w:val="21"/>
              </w:rPr>
              <w:t>满分4</w:t>
            </w:r>
            <w:r>
              <w:rPr>
                <w:rFonts w:hint="eastAsia"/>
                <w:szCs w:val="21"/>
                <w:lang w:val="en-US" w:eastAsia="zh-CN"/>
              </w:rPr>
              <w:t>5</w:t>
            </w:r>
            <w:r>
              <w:rPr>
                <w:rFonts w:hint="eastAsia"/>
                <w:szCs w:val="21"/>
              </w:rPr>
              <w:t>分）</w:t>
            </w:r>
          </w:p>
        </w:tc>
        <w:tc>
          <w:tcPr>
            <w:tcW w:w="992" w:type="dxa"/>
            <w:vMerge w:val="restart"/>
            <w:vAlign w:val="center"/>
          </w:tcPr>
          <w:p>
            <w:pPr>
              <w:widowControl/>
              <w:spacing w:line="360" w:lineRule="auto"/>
              <w:jc w:val="left"/>
              <w:rPr>
                <w:szCs w:val="21"/>
                <w:highlight w:val="none"/>
              </w:rPr>
            </w:pPr>
            <w:r>
              <w:rPr>
                <w:rFonts w:hint="eastAsia"/>
                <w:szCs w:val="21"/>
                <w:highlight w:val="none"/>
              </w:rPr>
              <w:t>（一）设计方案（</w:t>
            </w:r>
            <w:r>
              <w:rPr>
                <w:rFonts w:hint="eastAsia"/>
                <w:szCs w:val="21"/>
                <w:highlight w:val="none"/>
                <w:lang w:val="en-US" w:eastAsia="zh-CN"/>
              </w:rPr>
              <w:t>满分</w:t>
            </w:r>
            <w:r>
              <w:rPr>
                <w:rFonts w:hint="eastAsia"/>
                <w:szCs w:val="21"/>
                <w:highlight w:val="none"/>
              </w:rPr>
              <w:t>39分）</w:t>
            </w:r>
          </w:p>
        </w:tc>
        <w:tc>
          <w:tcPr>
            <w:tcW w:w="993" w:type="dxa"/>
            <w:vAlign w:val="center"/>
          </w:tcPr>
          <w:p>
            <w:pPr>
              <w:widowControl/>
              <w:spacing w:line="360" w:lineRule="auto"/>
              <w:jc w:val="center"/>
              <w:rPr>
                <w:szCs w:val="21"/>
                <w:highlight w:val="none"/>
              </w:rPr>
            </w:pPr>
            <w:r>
              <w:rPr>
                <w:rFonts w:hint="eastAsia"/>
                <w:szCs w:val="21"/>
                <w:highlight w:val="none"/>
                <w:lang w:val="en-US" w:eastAsia="zh-CN"/>
              </w:rPr>
              <w:t>1.</w:t>
            </w:r>
            <w:r>
              <w:rPr>
                <w:rFonts w:hint="eastAsia"/>
                <w:szCs w:val="21"/>
                <w:highlight w:val="none"/>
              </w:rPr>
              <w:t>勘察设计工作方案思路（</w:t>
            </w:r>
            <w:r>
              <w:rPr>
                <w:rFonts w:hint="eastAsia"/>
                <w:szCs w:val="21"/>
                <w:highlight w:val="none"/>
                <w:lang w:val="en-US" w:eastAsia="zh-CN"/>
              </w:rPr>
              <w:t>满分</w:t>
            </w:r>
            <w:r>
              <w:rPr>
                <w:rFonts w:hint="eastAsia"/>
                <w:szCs w:val="21"/>
                <w:highlight w:val="none"/>
              </w:rPr>
              <w:t>5分）</w:t>
            </w:r>
          </w:p>
        </w:tc>
        <w:tc>
          <w:tcPr>
            <w:tcW w:w="5103" w:type="dxa"/>
            <w:gridSpan w:val="2"/>
            <w:vAlign w:val="center"/>
          </w:tcPr>
          <w:p>
            <w:pPr>
              <w:widowControl/>
              <w:spacing w:line="360" w:lineRule="auto"/>
              <w:jc w:val="left"/>
              <w:rPr>
                <w:szCs w:val="21"/>
              </w:rPr>
            </w:pPr>
            <w:r>
              <w:rPr>
                <w:rFonts w:hint="eastAsia"/>
                <w:szCs w:val="21"/>
              </w:rPr>
              <w:t>对勘察设计方案的总体思路、各专项思路的完整、合理进行评分。符合的，得5分，比较符合的，得3分，基本符合的，得2分，不符合或未提供的，得0分。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highlight w:val="none"/>
              </w:rPr>
            </w:pPr>
          </w:p>
        </w:tc>
        <w:tc>
          <w:tcPr>
            <w:tcW w:w="993" w:type="dxa"/>
            <w:vAlign w:val="center"/>
          </w:tcPr>
          <w:p>
            <w:pPr>
              <w:widowControl/>
              <w:spacing w:line="360" w:lineRule="auto"/>
              <w:jc w:val="center"/>
              <w:rPr>
                <w:rFonts w:hint="eastAsia"/>
                <w:szCs w:val="21"/>
                <w:highlight w:val="none"/>
              </w:rPr>
            </w:pPr>
            <w:r>
              <w:rPr>
                <w:rFonts w:hint="eastAsia"/>
                <w:szCs w:val="21"/>
                <w:highlight w:val="none"/>
                <w:lang w:val="en-US" w:eastAsia="zh-CN"/>
              </w:rPr>
              <w:t>2.</w:t>
            </w:r>
            <w:r>
              <w:rPr>
                <w:rFonts w:hint="eastAsia"/>
                <w:szCs w:val="21"/>
                <w:highlight w:val="none"/>
              </w:rPr>
              <w:t>设计说明与设计方案（</w:t>
            </w:r>
            <w:r>
              <w:rPr>
                <w:rFonts w:hint="eastAsia"/>
                <w:szCs w:val="21"/>
                <w:highlight w:val="none"/>
                <w:lang w:val="en-US" w:eastAsia="zh-CN"/>
              </w:rPr>
              <w:t>满分</w:t>
            </w:r>
            <w:r>
              <w:rPr>
                <w:rFonts w:hint="eastAsia"/>
                <w:szCs w:val="21"/>
                <w:highlight w:val="none"/>
              </w:rPr>
              <w:t>8分）</w:t>
            </w:r>
          </w:p>
        </w:tc>
        <w:tc>
          <w:tcPr>
            <w:tcW w:w="5103" w:type="dxa"/>
            <w:gridSpan w:val="2"/>
            <w:vAlign w:val="center"/>
          </w:tcPr>
          <w:p>
            <w:pPr>
              <w:widowControl/>
              <w:spacing w:line="360" w:lineRule="auto"/>
              <w:jc w:val="left"/>
              <w:rPr>
                <w:rFonts w:hint="eastAsia"/>
                <w:szCs w:val="21"/>
              </w:rPr>
            </w:pPr>
            <w:r>
              <w:rPr>
                <w:rFonts w:hint="eastAsia"/>
                <w:szCs w:val="21"/>
              </w:rPr>
              <w:t>对勘察设计项目的设计说明的合理清晰、设计依据的合规适用、设计方案的完整可行进行评分。符合的，得8分，比较符合的，得5分，基本符合的，得3分，不符合或者未提供的，得0分。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3.</w:t>
            </w:r>
            <w:r>
              <w:rPr>
                <w:rFonts w:hint="eastAsia"/>
                <w:szCs w:val="21"/>
              </w:rPr>
              <w:t>对项目关键点、难点的理解及措施（</w:t>
            </w:r>
            <w:r>
              <w:rPr>
                <w:rFonts w:hint="eastAsia"/>
                <w:szCs w:val="21"/>
                <w:lang w:val="en-US" w:eastAsia="zh-CN"/>
              </w:rPr>
              <w:t>满分</w:t>
            </w:r>
            <w:r>
              <w:rPr>
                <w:rFonts w:hint="eastAsia"/>
                <w:szCs w:val="21"/>
              </w:rPr>
              <w:t>5分）</w:t>
            </w:r>
          </w:p>
        </w:tc>
        <w:tc>
          <w:tcPr>
            <w:tcW w:w="5103" w:type="dxa"/>
            <w:gridSpan w:val="2"/>
            <w:vAlign w:val="center"/>
          </w:tcPr>
          <w:p>
            <w:pPr>
              <w:widowControl/>
              <w:spacing w:line="360" w:lineRule="auto"/>
              <w:jc w:val="left"/>
              <w:rPr>
                <w:rFonts w:hint="eastAsia"/>
                <w:szCs w:val="21"/>
              </w:rPr>
            </w:pPr>
            <w:r>
              <w:rPr>
                <w:rFonts w:hint="eastAsia"/>
                <w:szCs w:val="21"/>
              </w:rPr>
              <w:t>（1）对项目关键点、难点的识别、理解和分析进行评分。符合</w:t>
            </w:r>
            <w:r>
              <w:rPr>
                <w:rFonts w:hint="eastAsia"/>
                <w:szCs w:val="21"/>
                <w:lang w:val="en-US" w:eastAsia="zh-CN"/>
              </w:rPr>
              <w:t>的</w:t>
            </w:r>
            <w:r>
              <w:rPr>
                <w:rFonts w:hint="eastAsia"/>
                <w:szCs w:val="21"/>
              </w:rPr>
              <w:t>，得3分，比较符合的，得2分，基本符合的，得1分，不符合或未提供的，得0分。</w:t>
            </w:r>
          </w:p>
          <w:p>
            <w:pPr>
              <w:widowControl/>
              <w:spacing w:line="360" w:lineRule="auto"/>
              <w:jc w:val="left"/>
              <w:rPr>
                <w:rFonts w:hint="eastAsia"/>
                <w:szCs w:val="21"/>
              </w:rPr>
            </w:pPr>
            <w:r>
              <w:rPr>
                <w:rFonts w:hint="eastAsia"/>
                <w:szCs w:val="21"/>
              </w:rPr>
              <w:t>（2）对项目关键点、难点的应对措施、风险防范进行评分。符合的，得2分，比较符合的，得1分，不符合或未提供的，得0分。</w:t>
            </w:r>
          </w:p>
          <w:p>
            <w:pPr>
              <w:widowControl/>
              <w:spacing w:line="360" w:lineRule="auto"/>
              <w:jc w:val="left"/>
              <w:rPr>
                <w:rFonts w:hint="eastAsia"/>
                <w:szCs w:val="21"/>
              </w:rPr>
            </w:pPr>
            <w:r>
              <w:rPr>
                <w:rFonts w:hint="eastAsia"/>
                <w:szCs w:val="21"/>
              </w:rPr>
              <w:t>勘察设计项目中常见难点与关键点的确定，应当符合《使用说明》附表6。其他类型项目的难点与关键点由招标人自行制定并在招标文件中明确。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4.</w:t>
            </w:r>
            <w:r>
              <w:rPr>
                <w:rFonts w:hint="eastAsia"/>
                <w:szCs w:val="21"/>
              </w:rPr>
              <w:t>质量控制的程序、措施和质量保证体系（</w:t>
            </w:r>
            <w:r>
              <w:rPr>
                <w:rFonts w:hint="eastAsia"/>
                <w:szCs w:val="21"/>
                <w:lang w:val="en-US" w:eastAsia="zh-CN"/>
              </w:rPr>
              <w:t>满分</w:t>
            </w:r>
            <w:r>
              <w:rPr>
                <w:rFonts w:hint="eastAsia"/>
                <w:szCs w:val="21"/>
              </w:rPr>
              <w:t>5分）</w:t>
            </w:r>
          </w:p>
        </w:tc>
        <w:tc>
          <w:tcPr>
            <w:tcW w:w="5103" w:type="dxa"/>
            <w:gridSpan w:val="2"/>
            <w:vAlign w:val="center"/>
          </w:tcPr>
          <w:p>
            <w:pPr>
              <w:widowControl/>
              <w:spacing w:line="360" w:lineRule="auto"/>
              <w:jc w:val="left"/>
              <w:rPr>
                <w:rFonts w:hint="eastAsia"/>
                <w:szCs w:val="21"/>
              </w:rPr>
            </w:pPr>
            <w:r>
              <w:rPr>
                <w:rFonts w:hint="eastAsia"/>
                <w:szCs w:val="21"/>
              </w:rPr>
              <w:t>对项目质量控制的组织形式、质量保证措施及管理措施的合理与可行性进行评分。符合的，得5分，比较符合的，得3分，基本符合的，得2分，不符合或未提供的，得0分。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5.</w:t>
            </w:r>
            <w:r>
              <w:rPr>
                <w:rFonts w:hint="eastAsia"/>
                <w:szCs w:val="21"/>
              </w:rPr>
              <w:t>工作进度计划安排及措施（</w:t>
            </w:r>
            <w:r>
              <w:rPr>
                <w:rFonts w:hint="eastAsia"/>
                <w:szCs w:val="21"/>
                <w:lang w:val="en-US" w:eastAsia="zh-CN"/>
              </w:rPr>
              <w:t>满分</w:t>
            </w:r>
            <w:r>
              <w:rPr>
                <w:rFonts w:hint="eastAsia"/>
                <w:szCs w:val="21"/>
              </w:rPr>
              <w:t>5分）</w:t>
            </w:r>
          </w:p>
        </w:tc>
        <w:tc>
          <w:tcPr>
            <w:tcW w:w="5103" w:type="dxa"/>
            <w:gridSpan w:val="2"/>
            <w:vAlign w:val="center"/>
          </w:tcPr>
          <w:p>
            <w:pPr>
              <w:widowControl/>
              <w:spacing w:line="360" w:lineRule="auto"/>
              <w:jc w:val="left"/>
              <w:rPr>
                <w:rFonts w:hint="eastAsia"/>
                <w:szCs w:val="21"/>
              </w:rPr>
            </w:pPr>
            <w:r>
              <w:rPr>
                <w:rFonts w:hint="eastAsia"/>
                <w:szCs w:val="21"/>
              </w:rPr>
              <w:t>（1）对项目总体计划安排、各专项任务的衔接、提供成果时间点等的进度计划进行评分。符合的，得3分，比较符合的，得2分，基本符合的，得1分，不符合或未提供的，得0分。</w:t>
            </w:r>
          </w:p>
          <w:p>
            <w:pPr>
              <w:widowControl/>
              <w:spacing w:line="360" w:lineRule="auto"/>
              <w:jc w:val="left"/>
              <w:rPr>
                <w:rFonts w:hint="eastAsia"/>
                <w:szCs w:val="21"/>
              </w:rPr>
            </w:pPr>
            <w:r>
              <w:rPr>
                <w:rFonts w:hint="eastAsia"/>
                <w:szCs w:val="21"/>
              </w:rPr>
              <w:t>（2）对勘察设计的后续服务内容承诺及保证措施的符合程度进行评分，符合的，得2分，比较符合的，得1分，不符合或未提供的，得0分。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6.</w:t>
            </w:r>
            <w:r>
              <w:rPr>
                <w:rFonts w:hint="eastAsia"/>
                <w:szCs w:val="21"/>
              </w:rPr>
              <w:t>设计安全保障措施（</w:t>
            </w:r>
            <w:r>
              <w:rPr>
                <w:rFonts w:hint="eastAsia"/>
                <w:szCs w:val="21"/>
                <w:lang w:val="en-US" w:eastAsia="zh-CN"/>
              </w:rPr>
              <w:t>满分</w:t>
            </w:r>
            <w:r>
              <w:rPr>
                <w:rFonts w:hint="eastAsia"/>
                <w:szCs w:val="21"/>
              </w:rPr>
              <w:t>3分）</w:t>
            </w:r>
          </w:p>
        </w:tc>
        <w:tc>
          <w:tcPr>
            <w:tcW w:w="5103" w:type="dxa"/>
            <w:gridSpan w:val="2"/>
            <w:vAlign w:val="center"/>
          </w:tcPr>
          <w:p>
            <w:pPr>
              <w:widowControl/>
              <w:spacing w:line="360" w:lineRule="auto"/>
              <w:jc w:val="left"/>
              <w:rPr>
                <w:rFonts w:hint="eastAsia"/>
                <w:szCs w:val="21"/>
              </w:rPr>
            </w:pPr>
            <w:r>
              <w:rPr>
                <w:rFonts w:hint="eastAsia"/>
                <w:szCs w:val="21"/>
              </w:rPr>
              <w:t>对设计安全保障措施（至少包括对勘察设计过程中的人员安全、财产安全、交付产品安全）进行评分。符合的，得3分，比较符合的，得2分，基本符合的，得1分，不符合或未提供的，得0分。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7.</w:t>
            </w:r>
            <w:r>
              <w:rPr>
                <w:rFonts w:hint="eastAsia"/>
                <w:szCs w:val="21"/>
              </w:rPr>
              <w:t>技术创新与信息化应用（</w:t>
            </w:r>
            <w:r>
              <w:rPr>
                <w:rFonts w:hint="eastAsia"/>
                <w:szCs w:val="21"/>
                <w:lang w:val="en-US" w:eastAsia="zh-CN"/>
              </w:rPr>
              <w:t>满分</w:t>
            </w:r>
            <w:r>
              <w:rPr>
                <w:rFonts w:hint="eastAsia"/>
                <w:szCs w:val="21"/>
              </w:rPr>
              <w:t>3分）</w:t>
            </w:r>
          </w:p>
        </w:tc>
        <w:tc>
          <w:tcPr>
            <w:tcW w:w="5103" w:type="dxa"/>
            <w:gridSpan w:val="2"/>
            <w:vAlign w:val="center"/>
          </w:tcPr>
          <w:p>
            <w:pPr>
              <w:widowControl/>
              <w:spacing w:line="360" w:lineRule="auto"/>
              <w:jc w:val="left"/>
              <w:rPr>
                <w:rFonts w:hint="default" w:eastAsiaTheme="minorEastAsia"/>
                <w:szCs w:val="21"/>
                <w:lang w:val="en-US" w:eastAsia="zh-CN"/>
              </w:rPr>
            </w:pPr>
            <w:r>
              <w:rPr>
                <w:rFonts w:hint="eastAsia"/>
                <w:szCs w:val="21"/>
              </w:rPr>
              <w:t>对投标人明确拟在项目中采用适用的节能环保、低碳、智能、绿色设计理念及科技成果的应用，或基于BIM、GIS等技术和模拟分析软件开展多专业一体化设计等智能设计与数字化设计体系的数字化产品交付，或对采用适用的新技术、新工艺、新材料、新装备、智能建造技</w:t>
            </w:r>
            <w:r>
              <w:rPr>
                <w:rFonts w:hint="eastAsia"/>
                <w:szCs w:val="21"/>
                <w:highlight w:val="none"/>
              </w:rPr>
              <w:t>术等（“四新”技术是指水利部科技与国际合作司、自治区水行政主管部门确定的相关技术推广目录）等的适用程度进行</w:t>
            </w:r>
            <w:r>
              <w:rPr>
                <w:rFonts w:hint="eastAsia"/>
                <w:szCs w:val="21"/>
              </w:rPr>
              <w:t>评分（招标人应在招标文件中明确项目实际特点）。适用的，得3分，比较适用的，得2分，基本适用的，得1分，不适用或未提供的，得0分。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8.</w:t>
            </w:r>
            <w:r>
              <w:rPr>
                <w:rFonts w:hint="eastAsia"/>
                <w:szCs w:val="21"/>
              </w:rPr>
              <w:t>投资控制措施及其可行性（</w:t>
            </w:r>
            <w:r>
              <w:rPr>
                <w:rFonts w:hint="eastAsia"/>
                <w:szCs w:val="21"/>
                <w:lang w:val="en-US" w:eastAsia="zh-CN"/>
              </w:rPr>
              <w:t>满分</w:t>
            </w:r>
            <w:r>
              <w:rPr>
                <w:rFonts w:hint="eastAsia"/>
                <w:szCs w:val="21"/>
              </w:rPr>
              <w:t>3分）</w:t>
            </w:r>
          </w:p>
        </w:tc>
        <w:tc>
          <w:tcPr>
            <w:tcW w:w="5103" w:type="dxa"/>
            <w:gridSpan w:val="2"/>
            <w:vAlign w:val="center"/>
          </w:tcPr>
          <w:p>
            <w:pPr>
              <w:widowControl/>
              <w:spacing w:line="360" w:lineRule="auto"/>
              <w:jc w:val="left"/>
              <w:rPr>
                <w:rFonts w:hint="eastAsia"/>
                <w:szCs w:val="21"/>
              </w:rPr>
            </w:pPr>
            <w:r>
              <w:rPr>
                <w:rFonts w:hint="eastAsia"/>
                <w:szCs w:val="21"/>
              </w:rPr>
              <w:t>对投资控制措施及其可行性进行评分。符合的，得3分，比较符合的，得2分，基本符合的，得1分，不符合或未提供的，得0分。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center"/>
              <w:rPr>
                <w:rFonts w:hint="eastAsia"/>
                <w:szCs w:val="21"/>
              </w:rPr>
            </w:pPr>
            <w:r>
              <w:rPr>
                <w:rFonts w:hint="eastAsia"/>
                <w:szCs w:val="21"/>
                <w:lang w:val="en-US" w:eastAsia="zh-CN"/>
              </w:rPr>
              <w:t>9.</w:t>
            </w:r>
            <w:r>
              <w:rPr>
                <w:rFonts w:hint="eastAsia"/>
                <w:szCs w:val="21"/>
              </w:rPr>
              <w:t>合理化建议（</w:t>
            </w:r>
            <w:r>
              <w:rPr>
                <w:rFonts w:hint="eastAsia"/>
                <w:szCs w:val="21"/>
                <w:lang w:val="en-US" w:eastAsia="zh-CN"/>
              </w:rPr>
              <w:t>满分</w:t>
            </w:r>
            <w:r>
              <w:rPr>
                <w:rFonts w:hint="eastAsia"/>
                <w:szCs w:val="21"/>
              </w:rPr>
              <w:t>2分）</w:t>
            </w:r>
          </w:p>
        </w:tc>
        <w:tc>
          <w:tcPr>
            <w:tcW w:w="5103" w:type="dxa"/>
            <w:gridSpan w:val="2"/>
            <w:vAlign w:val="center"/>
          </w:tcPr>
          <w:p>
            <w:pPr>
              <w:widowControl/>
              <w:spacing w:line="360" w:lineRule="auto"/>
              <w:jc w:val="left"/>
              <w:rPr>
                <w:rFonts w:hint="eastAsia"/>
                <w:szCs w:val="21"/>
              </w:rPr>
            </w:pPr>
            <w:r>
              <w:rPr>
                <w:rFonts w:hint="eastAsia"/>
                <w:szCs w:val="21"/>
              </w:rPr>
              <w:t>对合理化建议的合理程度进行评分。合理的，得2分，比较合理的，得1分，不合理或未提供的，得0分。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restart"/>
            <w:vAlign w:val="center"/>
          </w:tcPr>
          <w:p>
            <w:pPr>
              <w:widowControl/>
              <w:spacing w:line="360" w:lineRule="auto"/>
              <w:jc w:val="left"/>
              <w:rPr>
                <w:rFonts w:hint="eastAsia"/>
                <w:szCs w:val="21"/>
              </w:rPr>
            </w:pPr>
            <w:r>
              <w:rPr>
                <w:rFonts w:hint="eastAsia"/>
                <w:szCs w:val="21"/>
              </w:rPr>
              <w:t>（二）资源配备及服务能力（</w:t>
            </w:r>
            <w:r>
              <w:rPr>
                <w:rFonts w:hint="eastAsia"/>
                <w:szCs w:val="21"/>
                <w:lang w:val="en-US" w:eastAsia="zh-CN"/>
              </w:rPr>
              <w:t>满分</w:t>
            </w:r>
            <w:r>
              <w:rPr>
                <w:rFonts w:hint="eastAsia"/>
                <w:szCs w:val="21"/>
              </w:rPr>
              <w:t>6分）</w:t>
            </w:r>
          </w:p>
        </w:tc>
        <w:tc>
          <w:tcPr>
            <w:tcW w:w="993" w:type="dxa"/>
            <w:vAlign w:val="center"/>
          </w:tcPr>
          <w:p>
            <w:pPr>
              <w:widowControl/>
              <w:spacing w:line="360" w:lineRule="auto"/>
              <w:jc w:val="center"/>
              <w:rPr>
                <w:rFonts w:hint="eastAsia"/>
                <w:szCs w:val="21"/>
              </w:rPr>
            </w:pPr>
            <w:r>
              <w:rPr>
                <w:rFonts w:hint="eastAsia"/>
                <w:szCs w:val="21"/>
                <w:lang w:val="en-US" w:eastAsia="zh-CN"/>
              </w:rPr>
              <w:t>1.</w:t>
            </w:r>
            <w:r>
              <w:rPr>
                <w:rFonts w:hint="eastAsia"/>
                <w:szCs w:val="21"/>
              </w:rPr>
              <w:t>项目机构设置（</w:t>
            </w:r>
            <w:r>
              <w:rPr>
                <w:rFonts w:hint="eastAsia"/>
                <w:szCs w:val="21"/>
                <w:lang w:val="en-US" w:eastAsia="zh-CN"/>
              </w:rPr>
              <w:t>满分</w:t>
            </w:r>
            <w:r>
              <w:rPr>
                <w:rFonts w:hint="eastAsia"/>
                <w:szCs w:val="21"/>
              </w:rPr>
              <w:t>1分）</w:t>
            </w:r>
          </w:p>
        </w:tc>
        <w:tc>
          <w:tcPr>
            <w:tcW w:w="5103" w:type="dxa"/>
            <w:gridSpan w:val="2"/>
            <w:vAlign w:val="center"/>
          </w:tcPr>
          <w:p>
            <w:pPr>
              <w:widowControl/>
              <w:spacing w:line="360" w:lineRule="auto"/>
              <w:jc w:val="left"/>
              <w:rPr>
                <w:rFonts w:hint="eastAsia"/>
                <w:szCs w:val="21"/>
              </w:rPr>
            </w:pPr>
            <w:r>
              <w:rPr>
                <w:rFonts w:hint="eastAsia"/>
                <w:szCs w:val="21"/>
              </w:rPr>
              <w:t>对项目机构设置、岗位职责的合理与完备性的符合程度进行评分，比较符合的，得1分，基本符合的，得0.5分，不符合或未提供的，得0分。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highlight w:val="none"/>
              </w:rPr>
            </w:pPr>
          </w:p>
        </w:tc>
        <w:tc>
          <w:tcPr>
            <w:tcW w:w="993" w:type="dxa"/>
            <w:vAlign w:val="center"/>
          </w:tcPr>
          <w:p>
            <w:pPr>
              <w:widowControl/>
              <w:spacing w:line="360" w:lineRule="auto"/>
              <w:jc w:val="both"/>
              <w:rPr>
                <w:rFonts w:hint="eastAsia"/>
                <w:szCs w:val="21"/>
                <w:highlight w:val="none"/>
              </w:rPr>
            </w:pPr>
            <w:r>
              <w:rPr>
                <w:rFonts w:hint="eastAsia"/>
                <w:szCs w:val="21"/>
                <w:highlight w:val="none"/>
                <w:lang w:val="en-US" w:eastAsia="zh-CN"/>
              </w:rPr>
              <w:t>2.</w:t>
            </w:r>
            <w:r>
              <w:rPr>
                <w:rFonts w:hint="eastAsia"/>
                <w:szCs w:val="21"/>
                <w:highlight w:val="none"/>
              </w:rPr>
              <w:t>人员总体配备（</w:t>
            </w:r>
            <w:r>
              <w:rPr>
                <w:rFonts w:hint="eastAsia"/>
                <w:szCs w:val="21"/>
                <w:highlight w:val="none"/>
                <w:lang w:val="en-US" w:eastAsia="zh-CN"/>
              </w:rPr>
              <w:t>满分</w:t>
            </w:r>
            <w:r>
              <w:rPr>
                <w:rFonts w:hint="eastAsia"/>
                <w:szCs w:val="21"/>
                <w:highlight w:val="none"/>
              </w:rPr>
              <w:t>3分）</w:t>
            </w:r>
          </w:p>
        </w:tc>
        <w:tc>
          <w:tcPr>
            <w:tcW w:w="5103" w:type="dxa"/>
            <w:gridSpan w:val="2"/>
            <w:vAlign w:val="center"/>
          </w:tcPr>
          <w:p>
            <w:pPr>
              <w:widowControl/>
              <w:spacing w:line="360" w:lineRule="auto"/>
              <w:jc w:val="left"/>
              <w:rPr>
                <w:rFonts w:hint="eastAsia"/>
                <w:szCs w:val="21"/>
                <w:highlight w:val="none"/>
              </w:rPr>
            </w:pPr>
            <w:r>
              <w:rPr>
                <w:rFonts w:hint="eastAsia"/>
                <w:szCs w:val="21"/>
                <w:highlight w:val="none"/>
              </w:rPr>
              <w:t>对人员配备从专业、岗位、人数等方面与招标要求的匹配程度进行评分。比较符合的，得3分，基本符合的，得1.5分，不符合或未提供的，得0分。</w:t>
            </w:r>
          </w:p>
          <w:p>
            <w:pPr>
              <w:widowControl/>
              <w:spacing w:line="360" w:lineRule="auto"/>
              <w:jc w:val="left"/>
              <w:rPr>
                <w:rFonts w:hint="eastAsia"/>
                <w:szCs w:val="21"/>
                <w:highlight w:val="none"/>
              </w:rPr>
            </w:pPr>
            <w:r>
              <w:rPr>
                <w:rFonts w:hint="eastAsia"/>
                <w:szCs w:val="21"/>
                <w:highlight w:val="none"/>
              </w:rPr>
              <w:t>由招标人在招标文件中明确本项目的专业、岗位、人数的具体要求。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rPr>
            </w:pPr>
          </w:p>
        </w:tc>
        <w:tc>
          <w:tcPr>
            <w:tcW w:w="993" w:type="dxa"/>
            <w:vAlign w:val="center"/>
          </w:tcPr>
          <w:p>
            <w:pPr>
              <w:widowControl/>
              <w:spacing w:line="360" w:lineRule="auto"/>
              <w:jc w:val="both"/>
              <w:rPr>
                <w:rFonts w:hint="eastAsia"/>
                <w:szCs w:val="21"/>
              </w:rPr>
            </w:pPr>
            <w:r>
              <w:rPr>
                <w:rFonts w:hint="eastAsia"/>
                <w:szCs w:val="21"/>
                <w:lang w:val="en-US" w:eastAsia="zh-CN"/>
              </w:rPr>
              <w:t>3.</w:t>
            </w:r>
            <w:r>
              <w:rPr>
                <w:rFonts w:hint="eastAsia"/>
                <w:szCs w:val="21"/>
              </w:rPr>
              <w:t>拟投入的技术装备（1分）</w:t>
            </w:r>
          </w:p>
        </w:tc>
        <w:tc>
          <w:tcPr>
            <w:tcW w:w="5103" w:type="dxa"/>
            <w:gridSpan w:val="2"/>
            <w:vAlign w:val="center"/>
          </w:tcPr>
          <w:p>
            <w:pPr>
              <w:widowControl/>
              <w:spacing w:line="360" w:lineRule="auto"/>
              <w:jc w:val="left"/>
              <w:rPr>
                <w:rFonts w:hint="eastAsia"/>
                <w:szCs w:val="21"/>
              </w:rPr>
            </w:pPr>
            <w:r>
              <w:rPr>
                <w:rFonts w:hint="eastAsia"/>
                <w:szCs w:val="21"/>
              </w:rPr>
              <w:t>对拟投入的主要技术装备的合理与完备性进行评分，比较符合的，得1分，基本符合的，得0.5分，不符合或未提供的，得0分。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widowControl/>
              <w:spacing w:line="360" w:lineRule="auto"/>
              <w:jc w:val="center"/>
              <w:rPr>
                <w:rFonts w:hint="eastAsia"/>
                <w:szCs w:val="21"/>
              </w:rPr>
            </w:pPr>
          </w:p>
        </w:tc>
        <w:tc>
          <w:tcPr>
            <w:tcW w:w="1100" w:type="dxa"/>
            <w:gridSpan w:val="2"/>
            <w:vMerge w:val="continue"/>
            <w:tcBorders>
              <w:left w:val="single" w:color="auto" w:sz="4" w:space="0"/>
            </w:tcBorders>
            <w:vAlign w:val="center"/>
          </w:tcPr>
          <w:p>
            <w:pPr>
              <w:widowControl/>
              <w:spacing w:line="360" w:lineRule="auto"/>
              <w:jc w:val="center"/>
              <w:rPr>
                <w:rFonts w:hint="eastAsia"/>
                <w:szCs w:val="21"/>
                <w:lang w:val="en-US" w:eastAsia="zh-Hans"/>
              </w:rPr>
            </w:pPr>
          </w:p>
        </w:tc>
        <w:tc>
          <w:tcPr>
            <w:tcW w:w="992" w:type="dxa"/>
            <w:vMerge w:val="continue"/>
            <w:vAlign w:val="center"/>
          </w:tcPr>
          <w:p>
            <w:pPr>
              <w:widowControl/>
              <w:spacing w:line="360" w:lineRule="auto"/>
              <w:jc w:val="left"/>
              <w:rPr>
                <w:rFonts w:hint="eastAsia"/>
                <w:szCs w:val="21"/>
                <w:highlight w:val="none"/>
              </w:rPr>
            </w:pPr>
          </w:p>
        </w:tc>
        <w:tc>
          <w:tcPr>
            <w:tcW w:w="993" w:type="dxa"/>
            <w:vAlign w:val="center"/>
          </w:tcPr>
          <w:p>
            <w:pPr>
              <w:widowControl/>
              <w:spacing w:line="360" w:lineRule="auto"/>
              <w:jc w:val="both"/>
              <w:rPr>
                <w:rFonts w:hint="eastAsia"/>
                <w:szCs w:val="21"/>
                <w:highlight w:val="none"/>
              </w:rPr>
            </w:pPr>
            <w:r>
              <w:rPr>
                <w:rFonts w:hint="eastAsia"/>
                <w:szCs w:val="21"/>
                <w:highlight w:val="none"/>
                <w:lang w:val="en-US" w:eastAsia="zh-CN"/>
              </w:rPr>
              <w:t>4.</w:t>
            </w:r>
            <w:r>
              <w:rPr>
                <w:rFonts w:hint="eastAsia"/>
                <w:szCs w:val="21"/>
                <w:highlight w:val="none"/>
              </w:rPr>
              <w:t>设计代表驻场承诺（</w:t>
            </w:r>
            <w:r>
              <w:rPr>
                <w:rFonts w:hint="eastAsia"/>
                <w:szCs w:val="21"/>
                <w:highlight w:val="none"/>
                <w:lang w:val="en-US" w:eastAsia="zh-CN"/>
              </w:rPr>
              <w:t>满分</w:t>
            </w:r>
            <w:r>
              <w:rPr>
                <w:rFonts w:hint="eastAsia"/>
                <w:szCs w:val="21"/>
                <w:highlight w:val="none"/>
              </w:rPr>
              <w:t>1分）</w:t>
            </w:r>
          </w:p>
        </w:tc>
        <w:tc>
          <w:tcPr>
            <w:tcW w:w="5103" w:type="dxa"/>
            <w:gridSpan w:val="2"/>
            <w:vAlign w:val="center"/>
          </w:tcPr>
          <w:p>
            <w:pPr>
              <w:widowControl/>
              <w:spacing w:line="360" w:lineRule="auto"/>
              <w:jc w:val="left"/>
              <w:rPr>
                <w:rFonts w:hint="eastAsia"/>
                <w:szCs w:val="21"/>
                <w:highlight w:val="none"/>
              </w:rPr>
            </w:pPr>
            <w:r>
              <w:rPr>
                <w:rFonts w:hint="eastAsia"/>
                <w:szCs w:val="21"/>
                <w:highlight w:val="none"/>
              </w:rPr>
              <w:t>按照招标要求，由投标人书面承诺：根据工程建设需要设立设计代表机构或派驻合格设计代表，及时处理设计问题、办理设计变更，并满足驻场时间要求。有书面承诺且符合招标要求的，得1分，否则得0分。</w:t>
            </w:r>
          </w:p>
          <w:p>
            <w:pPr>
              <w:widowControl/>
              <w:spacing w:line="360" w:lineRule="auto"/>
              <w:jc w:val="left"/>
              <w:rPr>
                <w:rFonts w:hint="eastAsia"/>
                <w:szCs w:val="21"/>
                <w:highlight w:val="none"/>
              </w:rPr>
            </w:pPr>
            <w:r>
              <w:rPr>
                <w:rFonts w:hint="eastAsia"/>
                <w:szCs w:val="21"/>
                <w:highlight w:val="none"/>
              </w:rPr>
              <w:t>由招标人在招标文件中明确具体派驻要求。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7" w:hRule="atLeast"/>
        </w:trPr>
        <w:tc>
          <w:tcPr>
            <w:tcW w:w="743" w:type="dxa"/>
            <w:vMerge w:val="continue"/>
            <w:tcBorders>
              <w:right w:val="single" w:color="auto" w:sz="4" w:space="0"/>
            </w:tcBorders>
            <w:vAlign w:val="center"/>
          </w:tcPr>
          <w:p>
            <w:pPr>
              <w:widowControl/>
              <w:spacing w:line="360" w:lineRule="auto"/>
              <w:jc w:val="center"/>
              <w:rPr>
                <w:szCs w:val="21"/>
              </w:rPr>
            </w:pPr>
          </w:p>
        </w:tc>
        <w:tc>
          <w:tcPr>
            <w:tcW w:w="1100" w:type="dxa"/>
            <w:gridSpan w:val="2"/>
            <w:vMerge w:val="continue"/>
            <w:tcBorders>
              <w:left w:val="single" w:color="auto" w:sz="4" w:space="0"/>
            </w:tcBorders>
            <w:vAlign w:val="center"/>
          </w:tcPr>
          <w:p>
            <w:pPr>
              <w:widowControl/>
              <w:spacing w:line="360" w:lineRule="auto"/>
              <w:jc w:val="center"/>
              <w:rPr>
                <w:szCs w:val="21"/>
              </w:rPr>
            </w:pPr>
          </w:p>
        </w:tc>
        <w:tc>
          <w:tcPr>
            <w:tcW w:w="7088" w:type="dxa"/>
            <w:gridSpan w:val="4"/>
            <w:tcBorders>
              <w:left w:val="single" w:color="auto" w:sz="4" w:space="0"/>
            </w:tcBorders>
            <w:vAlign w:val="center"/>
          </w:tcPr>
          <w:p>
            <w:pPr>
              <w:spacing w:line="360" w:lineRule="auto"/>
              <w:rPr>
                <w:szCs w:val="21"/>
                <w:highlight w:val="none"/>
              </w:rPr>
            </w:pPr>
            <w:r>
              <w:rPr>
                <w:rFonts w:hint="eastAsia"/>
                <w:b/>
                <w:bCs/>
                <w:strike w:val="0"/>
                <w:dstrike w:val="0"/>
                <w:szCs w:val="21"/>
                <w:highlight w:val="none"/>
              </w:rPr>
              <w:t>【注：1、投标人应结合招标项目的特点和实际需要，按上述章节编制设计方案、资源配备及服务能力。2、设计方案、资源配备及服务能力采用暗标评审，提交的设计方案、资源配备及服务能力不得有任何有关投标人的暗示。否则，将否决其投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8" w:hRule="atLeast"/>
        </w:trPr>
        <w:tc>
          <w:tcPr>
            <w:tcW w:w="743" w:type="dxa"/>
            <w:tcBorders>
              <w:right w:val="single" w:color="auto" w:sz="4" w:space="0"/>
            </w:tcBorders>
            <w:vAlign w:val="center"/>
          </w:tcPr>
          <w:p>
            <w:pPr>
              <w:widowControl/>
              <w:spacing w:line="360" w:lineRule="auto"/>
              <w:jc w:val="center"/>
              <w:rPr>
                <w:szCs w:val="21"/>
              </w:rPr>
            </w:pPr>
            <w:r>
              <w:rPr>
                <w:szCs w:val="21"/>
              </w:rPr>
              <w:t>2.2.4</w:t>
            </w:r>
          </w:p>
          <w:p>
            <w:pPr>
              <w:widowControl/>
              <w:spacing w:line="360" w:lineRule="auto"/>
              <w:jc w:val="center"/>
              <w:rPr>
                <w:szCs w:val="21"/>
              </w:rPr>
            </w:pPr>
            <w:r>
              <w:rPr>
                <w:rFonts w:hint="eastAsia"/>
                <w:szCs w:val="21"/>
              </w:rPr>
              <w:t>（3）</w:t>
            </w:r>
          </w:p>
        </w:tc>
        <w:tc>
          <w:tcPr>
            <w:tcW w:w="1100" w:type="dxa"/>
            <w:gridSpan w:val="2"/>
            <w:tcBorders>
              <w:left w:val="single" w:color="auto" w:sz="4" w:space="0"/>
            </w:tcBorders>
            <w:vAlign w:val="center"/>
          </w:tcPr>
          <w:p>
            <w:pPr>
              <w:widowControl/>
              <w:spacing w:line="360" w:lineRule="auto"/>
              <w:jc w:val="center"/>
              <w:rPr>
                <w:szCs w:val="21"/>
              </w:rPr>
            </w:pPr>
            <w:r>
              <w:rPr>
                <w:rFonts w:hint="eastAsia"/>
                <w:szCs w:val="21"/>
              </w:rPr>
              <w:t>投标报价评分标准（满分</w:t>
            </w:r>
            <w:r>
              <w:rPr>
                <w:rFonts w:hint="eastAsia"/>
                <w:szCs w:val="21"/>
                <w:lang w:val="en-US" w:eastAsia="zh-CN"/>
              </w:rPr>
              <w:t>30</w:t>
            </w:r>
            <w:r>
              <w:rPr>
                <w:rFonts w:hint="eastAsia"/>
                <w:szCs w:val="21"/>
              </w:rPr>
              <w:t>分）</w:t>
            </w:r>
          </w:p>
        </w:tc>
        <w:tc>
          <w:tcPr>
            <w:tcW w:w="1985" w:type="dxa"/>
            <w:gridSpan w:val="2"/>
            <w:tcBorders>
              <w:bottom w:val="single" w:color="auto" w:sz="4" w:space="0"/>
            </w:tcBorders>
            <w:vAlign w:val="center"/>
          </w:tcPr>
          <w:p>
            <w:pPr>
              <w:spacing w:line="360" w:lineRule="auto"/>
              <w:jc w:val="center"/>
              <w:rPr>
                <w:szCs w:val="21"/>
              </w:rPr>
            </w:pPr>
            <w:r>
              <w:rPr>
                <w:rFonts w:hint="eastAsia"/>
                <w:szCs w:val="21"/>
              </w:rPr>
              <w:t>偏差率评分</w:t>
            </w:r>
          </w:p>
          <w:p>
            <w:pPr>
              <w:spacing w:line="360" w:lineRule="auto"/>
              <w:jc w:val="center"/>
              <w:rPr>
                <w:szCs w:val="21"/>
              </w:rPr>
            </w:pPr>
            <w:r>
              <w:rPr>
                <w:rFonts w:hint="eastAsia"/>
                <w:szCs w:val="21"/>
              </w:rPr>
              <w:t>（满分</w:t>
            </w:r>
            <w:r>
              <w:rPr>
                <w:rFonts w:hint="eastAsia"/>
                <w:szCs w:val="21"/>
                <w:lang w:val="en-US" w:eastAsia="zh-CN"/>
              </w:rPr>
              <w:t>30</w:t>
            </w:r>
            <w:r>
              <w:rPr>
                <w:rFonts w:hint="eastAsia"/>
                <w:szCs w:val="21"/>
              </w:rPr>
              <w:t>分）</w:t>
            </w:r>
          </w:p>
        </w:tc>
        <w:tc>
          <w:tcPr>
            <w:tcW w:w="5103" w:type="dxa"/>
            <w:gridSpan w:val="2"/>
            <w:tcBorders>
              <w:bottom w:val="single" w:color="auto" w:sz="4" w:space="0"/>
            </w:tcBorders>
            <w:vAlign w:val="center"/>
          </w:tcPr>
          <w:p>
            <w:pPr>
              <w:spacing w:line="360" w:lineRule="auto"/>
              <w:rPr>
                <w:szCs w:val="21"/>
              </w:rPr>
            </w:pPr>
            <w:r>
              <w:rPr>
                <w:rFonts w:hint="eastAsia"/>
                <w:szCs w:val="21"/>
              </w:rPr>
              <w:t>投标报价偏差率得分由电子</w:t>
            </w:r>
            <w:r>
              <w:rPr>
                <w:rFonts w:hint="eastAsia" w:asciiTheme="minorEastAsia" w:hAnsiTheme="minorEastAsia"/>
                <w:szCs w:val="21"/>
              </w:rPr>
              <w:t>招标投标</w:t>
            </w:r>
            <w:r>
              <w:rPr>
                <w:rFonts w:hint="eastAsia"/>
                <w:szCs w:val="21"/>
              </w:rPr>
              <w:t>交易平台按下述公式自动计算，并提供计算过程表格，经评标委员会核对、确认（保留小数点后两位</w:t>
            </w:r>
            <w:r>
              <w:rPr>
                <w:rFonts w:hint="eastAsia"/>
                <w:kern w:val="0"/>
                <w:szCs w:val="21"/>
              </w:rPr>
              <w:t>，小数点后第三位“四舍五入”</w:t>
            </w:r>
            <w:r>
              <w:rPr>
                <w:rFonts w:hint="eastAsia"/>
                <w:szCs w:val="21"/>
              </w:rPr>
              <w:t>）：</w:t>
            </w:r>
          </w:p>
          <w:p>
            <w:pPr>
              <w:spacing w:line="360" w:lineRule="auto"/>
              <w:rPr>
                <w:b/>
                <w:szCs w:val="21"/>
              </w:rPr>
            </w:pPr>
            <w:r>
              <w:rPr>
                <w:rFonts w:hint="eastAsia"/>
                <w:b w:val="0"/>
                <w:bCs/>
                <w:szCs w:val="21"/>
              </w:rPr>
              <w:t>投标总报价与评标基准价相等得满分，投标总报价每低于评标基准价1%扣0.3分，基本分12分；每高于评标基准价1%扣0.5分，基本分10分，处于整数点之间的值以内插法计算。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0" w:hRule="atLeast"/>
        </w:trPr>
        <w:tc>
          <w:tcPr>
            <w:tcW w:w="743" w:type="dxa"/>
            <w:tcBorders>
              <w:right w:val="single" w:color="auto" w:sz="4" w:space="0"/>
            </w:tcBorders>
            <w:vAlign w:val="center"/>
          </w:tcPr>
          <w:p>
            <w:pPr>
              <w:widowControl/>
              <w:spacing w:line="360" w:lineRule="auto"/>
              <w:jc w:val="center"/>
              <w:rPr>
                <w:szCs w:val="21"/>
              </w:rPr>
            </w:pPr>
            <w:r>
              <w:rPr>
                <w:szCs w:val="21"/>
              </w:rPr>
              <w:t>2.2.4</w:t>
            </w:r>
          </w:p>
          <w:p>
            <w:pPr>
              <w:widowControl/>
              <w:spacing w:line="360" w:lineRule="auto"/>
              <w:jc w:val="center"/>
              <w:rPr>
                <w:szCs w:val="21"/>
              </w:rPr>
            </w:pPr>
            <w:r>
              <w:rPr>
                <w:rFonts w:hint="eastAsia"/>
                <w:szCs w:val="21"/>
              </w:rPr>
              <w:t>（4）</w:t>
            </w:r>
          </w:p>
        </w:tc>
        <w:tc>
          <w:tcPr>
            <w:tcW w:w="3085" w:type="dxa"/>
            <w:gridSpan w:val="4"/>
            <w:tcBorders>
              <w:left w:val="single" w:color="auto" w:sz="4" w:space="0"/>
            </w:tcBorders>
            <w:vAlign w:val="center"/>
          </w:tcPr>
          <w:p>
            <w:pPr>
              <w:widowControl/>
              <w:spacing w:line="360" w:lineRule="auto"/>
              <w:jc w:val="center"/>
              <w:rPr>
                <w:szCs w:val="21"/>
              </w:rPr>
            </w:pPr>
            <w:r>
              <w:rPr>
                <w:rFonts w:hint="eastAsia"/>
                <w:szCs w:val="21"/>
              </w:rPr>
              <w:t>其他因素评分标准</w:t>
            </w:r>
          </w:p>
        </w:tc>
        <w:tc>
          <w:tcPr>
            <w:tcW w:w="994" w:type="dxa"/>
            <w:tcBorders>
              <w:top w:val="single" w:color="auto" w:sz="4" w:space="0"/>
              <w:bottom w:val="single" w:color="auto" w:sz="4" w:space="0"/>
            </w:tcBorders>
            <w:vAlign w:val="center"/>
          </w:tcPr>
          <w:p>
            <w:pPr>
              <w:widowControl/>
              <w:spacing w:line="360" w:lineRule="auto"/>
              <w:jc w:val="center"/>
              <w:rPr>
                <w:szCs w:val="21"/>
              </w:rPr>
            </w:pPr>
            <w:r>
              <w:rPr>
                <w:rFonts w:hint="eastAsia"/>
                <w:szCs w:val="21"/>
              </w:rPr>
              <w:t>/</w:t>
            </w:r>
          </w:p>
        </w:tc>
        <w:tc>
          <w:tcPr>
            <w:tcW w:w="4109" w:type="dxa"/>
            <w:tcBorders>
              <w:top w:val="single" w:color="auto" w:sz="4" w:space="0"/>
              <w:bottom w:val="single" w:color="auto" w:sz="4" w:space="0"/>
            </w:tcBorders>
            <w:vAlign w:val="center"/>
          </w:tcPr>
          <w:p>
            <w:pPr>
              <w:spacing w:line="360" w:lineRule="auto"/>
              <w:jc w:val="center"/>
              <w:rPr>
                <w:szCs w:val="21"/>
              </w:rPr>
            </w:pPr>
            <w:r>
              <w:rPr>
                <w:rFonts w:hint="eastAsia"/>
                <w:szCs w:val="21"/>
              </w:rPr>
              <w:t>/</w:t>
            </w:r>
          </w:p>
        </w:tc>
      </w:tr>
    </w:tbl>
    <w:p>
      <w:pPr>
        <w:rPr>
          <w:rFonts w:hint="eastAsia" w:asciiTheme="majorEastAsia" w:hAnsiTheme="majorEastAsia"/>
          <w:sz w:val="28"/>
          <w:szCs w:val="28"/>
        </w:rPr>
      </w:pPr>
      <w:bookmarkStart w:id="2242" w:name="_Toc1337158337"/>
      <w:bookmarkStart w:id="2243" w:name="_Toc231972789"/>
      <w:bookmarkStart w:id="2244" w:name="_Toc657328624"/>
      <w:bookmarkStart w:id="2245" w:name="_Toc7186540"/>
      <w:bookmarkStart w:id="2246" w:name="_Toc578054429"/>
      <w:bookmarkStart w:id="2247" w:name="_Toc515440815"/>
      <w:bookmarkStart w:id="2248" w:name="_Toc516823054"/>
      <w:bookmarkStart w:id="2249" w:name="_Toc511396104"/>
      <w:bookmarkStart w:id="2250" w:name="_Toc1011861690"/>
      <w:r>
        <w:rPr>
          <w:rFonts w:hint="eastAsia" w:asciiTheme="majorEastAsia" w:hAnsiTheme="majorEastAsia"/>
          <w:sz w:val="28"/>
          <w:szCs w:val="28"/>
        </w:rPr>
        <w:br w:type="page"/>
      </w:r>
    </w:p>
    <w:p>
      <w:pPr>
        <w:pStyle w:val="3"/>
        <w:adjustRightInd w:val="0"/>
        <w:snapToGrid w:val="0"/>
        <w:spacing w:before="0" w:after="0" w:line="520" w:lineRule="exact"/>
        <w:ind w:firstLine="422" w:firstLineChars="200"/>
        <w:rPr>
          <w:rFonts w:asciiTheme="majorEastAsia" w:hAnsiTheme="majorEastAsia"/>
          <w:sz w:val="21"/>
          <w:szCs w:val="21"/>
        </w:rPr>
      </w:pPr>
      <w:bookmarkStart w:id="2251" w:name="_Toc9846"/>
      <w:bookmarkStart w:id="2252" w:name="_Toc1357049097"/>
      <w:bookmarkStart w:id="2253" w:name="_Toc1368979250"/>
      <w:bookmarkStart w:id="2254" w:name="_Toc149"/>
      <w:bookmarkStart w:id="2255" w:name="_Toc1928187841"/>
      <w:bookmarkStart w:id="2256" w:name="_Toc30489"/>
      <w:bookmarkStart w:id="2257" w:name="_Toc1374014324"/>
      <w:bookmarkStart w:id="2258" w:name="_Toc335032059"/>
      <w:bookmarkStart w:id="2259" w:name="_Toc24847"/>
      <w:bookmarkStart w:id="2260" w:name="_Toc2123339321"/>
      <w:bookmarkStart w:id="2261" w:name="_Toc17480"/>
      <w:bookmarkStart w:id="2262" w:name="_Toc27651"/>
      <w:bookmarkStart w:id="2263" w:name="_Toc8982"/>
      <w:bookmarkStart w:id="2264" w:name="_Toc1032088048"/>
      <w:bookmarkStart w:id="2265" w:name="_Toc1091404047"/>
      <w:bookmarkStart w:id="2266" w:name="_Toc16160"/>
      <w:bookmarkStart w:id="2267" w:name="_Toc1198911392"/>
      <w:r>
        <w:rPr>
          <w:rFonts w:hint="eastAsia" w:asciiTheme="majorEastAsia" w:hAnsiTheme="majorEastAsia"/>
          <w:sz w:val="21"/>
          <w:szCs w:val="21"/>
        </w:rPr>
        <w:t>1. 评标方法</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本次评标采用综合评估法</w:t>
      </w:r>
      <w:r>
        <w:rPr>
          <w:rFonts w:hint="eastAsia" w:asciiTheme="minorEastAsia" w:hAnsiTheme="minorEastAsia"/>
          <w:sz w:val="21"/>
          <w:szCs w:val="21"/>
          <w:lang w:val="en-US" w:eastAsia="zh-CN"/>
        </w:rPr>
        <w:t>Ⅰ类</w:t>
      </w:r>
      <w:r>
        <w:rPr>
          <w:rFonts w:hint="eastAsia" w:asciiTheme="minorEastAsia" w:hAnsiTheme="minorEastAsia"/>
          <w:sz w:val="21"/>
          <w:szCs w:val="21"/>
        </w:rPr>
        <w:t>。评标委员会对满足招标文件实质性要求的投标文件，按照本章</w:t>
      </w:r>
      <w:r>
        <w:rPr>
          <w:rFonts w:hint="eastAsia" w:asciiTheme="minorEastAsia" w:hAnsiTheme="minorEastAsia"/>
          <w:sz w:val="21"/>
          <w:szCs w:val="21"/>
          <w:highlight w:val="none"/>
        </w:rPr>
        <w:t>第2.2款规定的评分标准进行打分，</w:t>
      </w:r>
      <w:r>
        <w:rPr>
          <w:rFonts w:hint="eastAsia" w:asciiTheme="minorEastAsia" w:hAnsiTheme="minorEastAsia"/>
          <w:sz w:val="21"/>
          <w:szCs w:val="21"/>
        </w:rPr>
        <w:t>并按投标得分由高到低推荐不超过3名中标候选人。综合评分相等时，则投标报价低的排名靠前；投标报价也相等的，由招标人代表在监督人员的监督下，当场随机抽取确定最终的中标候选人排序顺位。</w:t>
      </w:r>
    </w:p>
    <w:p>
      <w:pPr>
        <w:pStyle w:val="3"/>
        <w:adjustRightInd w:val="0"/>
        <w:snapToGrid w:val="0"/>
        <w:spacing w:before="0" w:after="0" w:line="520" w:lineRule="exact"/>
        <w:ind w:firstLine="422" w:firstLineChars="200"/>
        <w:rPr>
          <w:rFonts w:asciiTheme="majorEastAsia" w:hAnsiTheme="majorEastAsia"/>
          <w:sz w:val="21"/>
          <w:szCs w:val="21"/>
        </w:rPr>
      </w:pPr>
      <w:bookmarkStart w:id="2268" w:name="_Toc31986"/>
      <w:bookmarkStart w:id="2269" w:name="_Toc511396105"/>
      <w:bookmarkStart w:id="2270" w:name="_Toc22583"/>
      <w:bookmarkStart w:id="2271" w:name="_Toc181693179"/>
      <w:bookmarkStart w:id="2272" w:name="_Toc1083845418"/>
      <w:bookmarkStart w:id="2273" w:name="_Toc1066303400"/>
      <w:bookmarkStart w:id="2274" w:name="_Toc7186541"/>
      <w:bookmarkStart w:id="2275" w:name="_Toc1804"/>
      <w:bookmarkStart w:id="2276" w:name="_Toc515440816"/>
      <w:bookmarkStart w:id="2277" w:name="_Toc1647842139"/>
      <w:bookmarkStart w:id="2278" w:name="_Toc1524810457"/>
      <w:bookmarkStart w:id="2279" w:name="_Toc1569988902"/>
      <w:bookmarkStart w:id="2280" w:name="_Toc1078405917"/>
      <w:bookmarkStart w:id="2281" w:name="_Toc5148"/>
      <w:bookmarkStart w:id="2282" w:name="_Toc25827"/>
      <w:bookmarkStart w:id="2283" w:name="_Toc516823055"/>
      <w:bookmarkStart w:id="2284" w:name="_Toc436423237"/>
      <w:bookmarkStart w:id="2285" w:name="_Toc22786"/>
      <w:bookmarkStart w:id="2286" w:name="_Toc294460792"/>
      <w:bookmarkStart w:id="2287" w:name="_Toc144769175"/>
      <w:bookmarkStart w:id="2288" w:name="_Toc11187"/>
      <w:bookmarkStart w:id="2289" w:name="_Toc80722201"/>
      <w:bookmarkStart w:id="2290" w:name="_Toc25916"/>
      <w:bookmarkStart w:id="2291" w:name="_Toc264705543"/>
      <w:bookmarkStart w:id="2292" w:name="_Toc1167087277"/>
      <w:bookmarkStart w:id="2293" w:name="_Toc203804104"/>
      <w:r>
        <w:rPr>
          <w:rFonts w:hint="eastAsia" w:asciiTheme="majorEastAsia" w:hAnsiTheme="majorEastAsia"/>
          <w:sz w:val="21"/>
          <w:szCs w:val="21"/>
        </w:rPr>
        <w:t>2. 评审标准</w:t>
      </w:r>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294" w:name="_Toc822"/>
      <w:bookmarkStart w:id="2295" w:name="_Toc14035"/>
      <w:bookmarkStart w:id="2296" w:name="_Toc1200208456"/>
      <w:bookmarkStart w:id="2297" w:name="_Toc1308689754"/>
      <w:bookmarkStart w:id="2298" w:name="_Toc99158963"/>
      <w:bookmarkStart w:id="2299" w:name="_Toc7186542"/>
      <w:bookmarkStart w:id="2300" w:name="_Toc516823056"/>
      <w:bookmarkStart w:id="2301" w:name="_Toc2142997066"/>
      <w:bookmarkStart w:id="2302" w:name="_Toc671905225"/>
      <w:bookmarkStart w:id="2303" w:name="_Toc3547"/>
      <w:bookmarkStart w:id="2304" w:name="_Toc511396106"/>
      <w:bookmarkStart w:id="2305" w:name="_Toc637"/>
      <w:bookmarkStart w:id="2306" w:name="_Toc1233646472"/>
      <w:bookmarkStart w:id="2307" w:name="_Toc4974"/>
      <w:bookmarkStart w:id="2308" w:name="_Toc1566991148"/>
      <w:bookmarkStart w:id="2309" w:name="_Toc23572"/>
      <w:bookmarkStart w:id="2310" w:name="_Toc1635850950"/>
      <w:bookmarkStart w:id="2311" w:name="_Toc120232841"/>
      <w:bookmarkStart w:id="2312" w:name="_Toc23678"/>
      <w:bookmarkStart w:id="2313" w:name="_Toc515440817"/>
      <w:bookmarkStart w:id="2314" w:name="_Toc610209585"/>
      <w:bookmarkStart w:id="2315" w:name="_Toc29032"/>
      <w:bookmarkStart w:id="2316" w:name="_Toc6266339"/>
      <w:bookmarkStart w:id="2317" w:name="_Toc1467428264"/>
      <w:bookmarkStart w:id="2318" w:name="_Toc36552174"/>
      <w:bookmarkStart w:id="2319" w:name="_Toc1333718461"/>
      <w:r>
        <w:rPr>
          <w:rFonts w:hint="eastAsia" w:asciiTheme="majorEastAsia" w:hAnsiTheme="majorEastAsia" w:eastAsiaTheme="majorEastAsia"/>
          <w:sz w:val="21"/>
          <w:szCs w:val="21"/>
        </w:rPr>
        <w:t>2.1 初步评审标准</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2.1.1 形式评审标准：见评标办法前附表。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2.1.2 资格评审标准：见评标办法前附表。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2.1.3 响应性评审标准：见评标办法前附表。</w:t>
      </w:r>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320" w:name="_Toc19804"/>
      <w:bookmarkStart w:id="2321" w:name="_Toc117381069"/>
      <w:bookmarkStart w:id="2322" w:name="_Toc589623721"/>
      <w:bookmarkStart w:id="2323" w:name="_Toc1903444425"/>
      <w:bookmarkStart w:id="2324" w:name="_Toc371866641"/>
      <w:bookmarkStart w:id="2325" w:name="_Toc511396107"/>
      <w:bookmarkStart w:id="2326" w:name="_Toc26287"/>
      <w:bookmarkStart w:id="2327" w:name="_Toc17916"/>
      <w:bookmarkStart w:id="2328" w:name="_Toc2118730507"/>
      <w:bookmarkStart w:id="2329" w:name="_Toc1242100649"/>
      <w:bookmarkStart w:id="2330" w:name="_Toc1558080670"/>
      <w:bookmarkStart w:id="2331" w:name="_Toc621182904"/>
      <w:bookmarkStart w:id="2332" w:name="_Toc30666"/>
      <w:bookmarkStart w:id="2333" w:name="_Toc2089126766"/>
      <w:bookmarkStart w:id="2334" w:name="_Toc1661267756"/>
      <w:bookmarkStart w:id="2335" w:name="_Toc515440818"/>
      <w:bookmarkStart w:id="2336" w:name="_Toc4293"/>
      <w:bookmarkStart w:id="2337" w:name="_Toc11346"/>
      <w:bookmarkStart w:id="2338" w:name="_Toc91660870"/>
      <w:bookmarkStart w:id="2339" w:name="_Toc516823057"/>
      <w:bookmarkStart w:id="2340" w:name="_Toc7186543"/>
      <w:bookmarkStart w:id="2341" w:name="_Toc324"/>
      <w:bookmarkStart w:id="2342" w:name="_Toc1364630900"/>
      <w:bookmarkStart w:id="2343" w:name="_Toc8849"/>
      <w:bookmarkStart w:id="2344" w:name="_Toc152065376"/>
      <w:bookmarkStart w:id="2345" w:name="_Toc1828261275"/>
      <w:r>
        <w:rPr>
          <w:rFonts w:hint="eastAsia" w:asciiTheme="majorEastAsia" w:hAnsiTheme="majorEastAsia" w:eastAsiaTheme="majorEastAsia"/>
          <w:sz w:val="21"/>
          <w:szCs w:val="21"/>
        </w:rPr>
        <w:t>2.2 分值构成与评分标准</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2.2.1 分值构成</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（1）资信业绩部分：见评标办法前附表；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（2）技术方案部分：见评标办法前附表；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（3）投标报价：见评标办法前附表；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（4）其他评分因素：见评标办法前附表。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2.2.2 评标基准价计算</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评标基准价计算方法：见评标办法前附表。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2.2.3 投标报价的偏差率计算</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投标报价的偏差率计算公式：见评标办法前附表。</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2.2.4 评分标准</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（1）资信业绩评分标准：见评标办法前附表；</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（2）技术方案评分标准：见评标办法前附表；</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（3）投标报价评分标准：见评标办法前附表；</w:t>
      </w:r>
    </w:p>
    <w:p>
      <w:pPr>
        <w:widowControl/>
        <w:shd w:val="clear" w:color="auto" w:fill="FFFFFF"/>
        <w:snapToGrid w:val="0"/>
        <w:ind w:firstLine="420" w:firstLineChars="200"/>
        <w:jc w:val="left"/>
        <w:rPr>
          <w:rFonts w:asciiTheme="minorEastAsia" w:hAnsiTheme="minorEastAsia"/>
          <w:sz w:val="21"/>
          <w:szCs w:val="21"/>
          <w:highlight w:val="none"/>
        </w:rPr>
      </w:pPr>
      <w:r>
        <w:rPr>
          <w:rFonts w:hint="eastAsia" w:asciiTheme="minorEastAsia" w:hAnsiTheme="minorEastAsia"/>
          <w:sz w:val="21"/>
          <w:szCs w:val="21"/>
          <w:highlight w:val="none"/>
        </w:rPr>
        <w:t>（4）其他因素评分标准：见评标办法前附表。</w:t>
      </w:r>
    </w:p>
    <w:p>
      <w:pPr>
        <w:pStyle w:val="3"/>
        <w:adjustRightInd w:val="0"/>
        <w:snapToGrid w:val="0"/>
        <w:spacing w:before="0" w:after="0" w:line="520" w:lineRule="exact"/>
        <w:ind w:firstLine="422" w:firstLineChars="200"/>
        <w:rPr>
          <w:rFonts w:asciiTheme="majorEastAsia" w:hAnsiTheme="majorEastAsia"/>
          <w:sz w:val="21"/>
          <w:szCs w:val="21"/>
        </w:rPr>
      </w:pPr>
      <w:bookmarkStart w:id="2346" w:name="_Toc1391227649"/>
      <w:bookmarkStart w:id="2347" w:name="_Toc3355"/>
      <w:bookmarkStart w:id="2348" w:name="_Toc1433638737"/>
      <w:bookmarkStart w:id="2349" w:name="_Toc29639"/>
      <w:bookmarkStart w:id="2350" w:name="_Toc595927712"/>
      <w:bookmarkStart w:id="2351" w:name="_Toc246229172"/>
      <w:bookmarkStart w:id="2352" w:name="_Toc297075256"/>
      <w:bookmarkStart w:id="2353" w:name="_Toc516823058"/>
      <w:bookmarkStart w:id="2354" w:name="_Toc511396108"/>
      <w:bookmarkStart w:id="2355" w:name="_Toc7186544"/>
      <w:bookmarkStart w:id="2356" w:name="_Toc1492280445"/>
      <w:bookmarkStart w:id="2357" w:name="_Toc25418"/>
      <w:bookmarkStart w:id="2358" w:name="_Toc785222517"/>
      <w:bookmarkStart w:id="2359" w:name="_Toc19420"/>
      <w:bookmarkStart w:id="2360" w:name="_Toc126561616"/>
      <w:bookmarkStart w:id="2361" w:name="_Toc2662"/>
      <w:bookmarkStart w:id="2362" w:name="_Toc798467191"/>
      <w:bookmarkStart w:id="2363" w:name="_Toc226186340"/>
      <w:bookmarkStart w:id="2364" w:name="_Toc1303059461"/>
      <w:bookmarkStart w:id="2365" w:name="_Toc11315"/>
      <w:bookmarkStart w:id="2366" w:name="_Toc1316331589"/>
      <w:bookmarkStart w:id="2367" w:name="_Toc1151"/>
      <w:bookmarkStart w:id="2368" w:name="_Toc515440819"/>
      <w:bookmarkStart w:id="2369" w:name="_Toc2077280242"/>
      <w:bookmarkStart w:id="2370" w:name="_Toc257234502"/>
      <w:bookmarkStart w:id="2371" w:name="_Toc2549"/>
      <w:r>
        <w:rPr>
          <w:rFonts w:hint="eastAsia" w:asciiTheme="majorEastAsia" w:hAnsiTheme="majorEastAsia"/>
          <w:sz w:val="21"/>
          <w:szCs w:val="21"/>
        </w:rPr>
        <w:t>3. 评标程序</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372" w:name="_Toc28812"/>
      <w:bookmarkStart w:id="2373" w:name="_Toc515440820"/>
      <w:bookmarkStart w:id="2374" w:name="_Toc11395"/>
      <w:bookmarkStart w:id="2375" w:name="_Toc172706035"/>
      <w:bookmarkStart w:id="2376" w:name="_Toc12689"/>
      <w:bookmarkStart w:id="2377" w:name="_Toc7186545"/>
      <w:bookmarkStart w:id="2378" w:name="_Toc399733419"/>
      <w:bookmarkStart w:id="2379" w:name="_Toc455693703"/>
      <w:bookmarkStart w:id="2380" w:name="_Toc208484929"/>
      <w:bookmarkStart w:id="2381" w:name="_Toc212769034"/>
      <w:bookmarkStart w:id="2382" w:name="_Toc8057"/>
      <w:bookmarkStart w:id="2383" w:name="_Toc7101"/>
      <w:bookmarkStart w:id="2384" w:name="_Toc1112269582"/>
      <w:bookmarkStart w:id="2385" w:name="_Toc2008"/>
      <w:bookmarkStart w:id="2386" w:name="_Toc482128921"/>
      <w:bookmarkStart w:id="2387" w:name="_Toc22685"/>
      <w:bookmarkStart w:id="2388" w:name="_Toc561148207"/>
      <w:bookmarkStart w:id="2389" w:name="_Toc2040809623"/>
      <w:bookmarkStart w:id="2390" w:name="_Toc511396109"/>
      <w:bookmarkStart w:id="2391" w:name="_Toc1207378015"/>
      <w:bookmarkStart w:id="2392" w:name="_Toc44348317"/>
      <w:bookmarkStart w:id="2393" w:name="_Toc516823059"/>
      <w:bookmarkStart w:id="2394" w:name="_Toc295925802"/>
      <w:bookmarkStart w:id="2395" w:name="_Toc9094"/>
      <w:bookmarkStart w:id="2396" w:name="_Toc467761190"/>
      <w:bookmarkStart w:id="2397" w:name="_Toc947832404"/>
      <w:r>
        <w:rPr>
          <w:rFonts w:hint="eastAsia" w:asciiTheme="majorEastAsia" w:hAnsiTheme="majorEastAsia" w:eastAsiaTheme="majorEastAsia"/>
          <w:sz w:val="21"/>
          <w:szCs w:val="21"/>
        </w:rPr>
        <w:t>3.1 初步评审</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3.1.1 评标委员会可以要求投标人提交第二章“投标人须知”规定的有关证明和证件的原件，以便核验。</w:t>
      </w:r>
      <w:r>
        <w:rPr>
          <w:rFonts w:hint="eastAsia" w:asciiTheme="minorEastAsia" w:hAnsiTheme="minorEastAsia"/>
          <w:b/>
          <w:sz w:val="21"/>
          <w:szCs w:val="21"/>
        </w:rPr>
        <w:t>评标委员会依据本章第2.1款规定的标准对投标文件进行初步评审。有一项不符合评审标准的，评标委员会应当否决其投标。</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3.1.2 投标人有以下情形之一的，评标委员会应当否决其投标：</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（1）投标文件没有对招标文件的实质性要求和条件作出响应，或者对招标文件的偏差超出招标文件规定的偏差范围或最高项数；</w:t>
      </w:r>
    </w:p>
    <w:p>
      <w:pPr>
        <w:widowControl/>
        <w:shd w:val="clear" w:color="auto" w:fill="FFFFFF"/>
        <w:snapToGrid w:val="0"/>
        <w:spacing w:line="520" w:lineRule="exact"/>
        <w:ind w:firstLine="420" w:firstLineChars="200"/>
        <w:jc w:val="left"/>
        <w:rPr>
          <w:sz w:val="21"/>
          <w:szCs w:val="21"/>
        </w:rPr>
      </w:pPr>
      <w:r>
        <w:rPr>
          <w:rFonts w:hint="eastAsia" w:ascii="宋体" w:hAnsi="宋体" w:eastAsia="宋体" w:cs="Times New Roman"/>
          <w:sz w:val="21"/>
          <w:szCs w:val="21"/>
        </w:rPr>
        <w:t>（</w:t>
      </w:r>
      <w:r>
        <w:rPr>
          <w:rFonts w:hint="default" w:ascii="宋体" w:hAnsi="宋体" w:eastAsia="宋体" w:cs="Times New Roman"/>
          <w:sz w:val="21"/>
          <w:szCs w:val="21"/>
        </w:rPr>
        <w:t>2</w:t>
      </w:r>
      <w:r>
        <w:rPr>
          <w:rFonts w:hint="eastAsia" w:ascii="宋体" w:hAnsi="宋体" w:eastAsia="宋体" w:cs="Times New Roman"/>
          <w:sz w:val="21"/>
          <w:szCs w:val="21"/>
        </w:rPr>
        <w:t>）第二章“投标人须知”第1.4.3项规定的任何一种情形的；</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w:t>
      </w:r>
      <w:r>
        <w:rPr>
          <w:rFonts w:hint="default" w:asciiTheme="minorEastAsia" w:hAnsiTheme="minorEastAsia"/>
          <w:sz w:val="21"/>
          <w:szCs w:val="21"/>
        </w:rPr>
        <w:t>3</w:t>
      </w:r>
      <w:r>
        <w:rPr>
          <w:rFonts w:hint="eastAsia" w:asciiTheme="minorEastAsia" w:hAnsiTheme="minorEastAsia"/>
          <w:sz w:val="21"/>
          <w:szCs w:val="21"/>
        </w:rPr>
        <w:t>）有串通投标、弄虚作假、</w:t>
      </w:r>
      <w:r>
        <w:rPr>
          <w:rFonts w:hint="eastAsia" w:asciiTheme="minorEastAsia" w:hAnsiTheme="minorEastAsia"/>
          <w:sz w:val="21"/>
          <w:szCs w:val="21"/>
          <w:lang w:val="en-US" w:eastAsia="zh-Hans"/>
        </w:rPr>
        <w:t>投标文件雷同、</w:t>
      </w:r>
      <w:r>
        <w:rPr>
          <w:rFonts w:hint="eastAsia" w:asciiTheme="minorEastAsia" w:hAnsiTheme="minorEastAsia"/>
          <w:sz w:val="21"/>
          <w:szCs w:val="21"/>
        </w:rPr>
        <w:t>行贿等违法行为。</w:t>
      </w:r>
    </w:p>
    <w:p>
      <w:pPr>
        <w:widowControl/>
        <w:shd w:val="clear" w:color="auto" w:fill="FFFFFF"/>
        <w:snapToGrid w:val="0"/>
        <w:ind w:firstLine="420" w:firstLineChars="200"/>
        <w:jc w:val="left"/>
        <w:rPr>
          <w:rFonts w:hint="eastAsia" w:asciiTheme="minorEastAsia" w:hAnsiTheme="minorEastAsia"/>
          <w:sz w:val="21"/>
          <w:szCs w:val="21"/>
          <w:lang w:eastAsia="zh-CN"/>
        </w:rPr>
      </w:pPr>
      <w:r>
        <w:rPr>
          <w:rFonts w:hint="eastAsia" w:asciiTheme="minorEastAsia" w:hAnsiTheme="minorEastAsia"/>
          <w:sz w:val="21"/>
          <w:szCs w:val="21"/>
          <w:lang w:eastAsia="zh-CN"/>
        </w:rPr>
        <w:t>（4）不按评标委员会要求澄清、说明或补正的。</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3.1.3</w:t>
      </w:r>
      <w:r>
        <w:rPr>
          <w:rFonts w:hint="eastAsia" w:ascii="宋体" w:hAnsi="宋体"/>
          <w:sz w:val="21"/>
          <w:szCs w:val="21"/>
        </w:rPr>
        <w:t>投标报价有算术错误及其他错误的，评标委员会按以下原则通过电子招标投标交易平台要求投标人对投标报价进行修正，投标人应当按照评标委员会的要求使用CA证书并通过电子招标投标交易平台在规定的时限内回复</w:t>
      </w:r>
      <w:r>
        <w:rPr>
          <w:rFonts w:hint="eastAsia" w:asciiTheme="minorEastAsia" w:hAnsiTheme="minorEastAsia"/>
          <w:sz w:val="21"/>
          <w:szCs w:val="21"/>
        </w:rPr>
        <w:t>。投标人拒不澄清确认的，评标委员会应当否决其投标：</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（1）投标文件中的大写金额与小写金额不一致的，以大写金额为准；</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（2）总价金额与单价金额不一致的，以单价金额为准，但单价金额小数点有明显错误的除外。</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（3）投标报价为各分项报价金额之和，投标报价与分项报价的合价不一致的，应以各分项合价累计数为准，修正投标报价；</w:t>
      </w:r>
    </w:p>
    <w:p>
      <w:pPr>
        <w:widowControl/>
        <w:shd w:val="clear" w:color="auto" w:fill="FFFFFF"/>
        <w:snapToGrid w:val="0"/>
        <w:ind w:firstLine="420" w:firstLineChars="200"/>
        <w:jc w:val="left"/>
        <w:rPr>
          <w:rFonts w:hint="eastAsia" w:asciiTheme="minorEastAsia" w:hAnsiTheme="minorEastAsia" w:eastAsiaTheme="minorEastAsia"/>
          <w:sz w:val="21"/>
          <w:szCs w:val="21"/>
          <w:lang w:eastAsia="zh-CN"/>
        </w:rPr>
      </w:pPr>
      <w:r>
        <w:rPr>
          <w:rFonts w:hint="eastAsia" w:asciiTheme="minorEastAsia" w:hAnsiTheme="minorEastAsia"/>
          <w:sz w:val="21"/>
          <w:szCs w:val="21"/>
        </w:rPr>
        <w:t>（4）如果分项报价中单价或合价存在缺漏项，则视为缺漏项价格已包含在其他分项报价之中</w:t>
      </w:r>
      <w:r>
        <w:rPr>
          <w:rFonts w:hint="eastAsia" w:asciiTheme="minorEastAsia" w:hAnsiTheme="minorEastAsia"/>
          <w:sz w:val="21"/>
          <w:szCs w:val="21"/>
          <w:lang w:eastAsia="zh-CN"/>
        </w:rPr>
        <w:t>。</w:t>
      </w:r>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398" w:name="_Toc22871"/>
      <w:bookmarkStart w:id="2399" w:name="_Toc516823060"/>
      <w:bookmarkStart w:id="2400" w:name="_Toc1460373446"/>
      <w:bookmarkStart w:id="2401" w:name="_Toc1617221072"/>
      <w:bookmarkStart w:id="2402" w:name="_Toc917381119"/>
      <w:bookmarkStart w:id="2403" w:name="_Toc26347"/>
      <w:bookmarkStart w:id="2404" w:name="_Toc278523877"/>
      <w:bookmarkStart w:id="2405" w:name="_Toc1419923148"/>
      <w:bookmarkStart w:id="2406" w:name="_Toc7186546"/>
      <w:bookmarkStart w:id="2407" w:name="_Toc990725317"/>
      <w:bookmarkStart w:id="2408" w:name="_Toc6029"/>
      <w:bookmarkStart w:id="2409" w:name="_Toc684975116"/>
      <w:bookmarkStart w:id="2410" w:name="_Toc185338310"/>
      <w:bookmarkStart w:id="2411" w:name="_Toc52827762"/>
      <w:bookmarkStart w:id="2412" w:name="_Toc515440821"/>
      <w:bookmarkStart w:id="2413" w:name="_Toc30315"/>
      <w:bookmarkStart w:id="2414" w:name="_Toc32597"/>
      <w:bookmarkStart w:id="2415" w:name="_Toc1872172310"/>
      <w:bookmarkStart w:id="2416" w:name="_Toc185520582"/>
      <w:bookmarkStart w:id="2417" w:name="_Toc448882183"/>
      <w:bookmarkStart w:id="2418" w:name="_Toc829317602"/>
      <w:bookmarkStart w:id="2419" w:name="_Toc22655"/>
      <w:bookmarkStart w:id="2420" w:name="_Toc30493"/>
      <w:bookmarkStart w:id="2421" w:name="_Toc1445"/>
      <w:bookmarkStart w:id="2422" w:name="_Toc69717539"/>
      <w:bookmarkStart w:id="2423" w:name="_Toc511396110"/>
      <w:r>
        <w:rPr>
          <w:rFonts w:hint="eastAsia" w:asciiTheme="majorEastAsia" w:hAnsiTheme="majorEastAsia" w:eastAsiaTheme="majorEastAsia"/>
          <w:sz w:val="21"/>
          <w:szCs w:val="21"/>
        </w:rPr>
        <w:t>3.2 详细评审</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3.2.1 评标委员会按本章第2.2款规定的量化因素和分值进行打分，并计算出综合评估得分。</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（1）按本章第2.2.4（1）目规定的评审因素和分值对资信业绩部分计算出得分A；</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（2）按本章第2.2.4（2）目规定的评审因素和分值对</w:t>
      </w:r>
      <w:r>
        <w:rPr>
          <w:rFonts w:hint="eastAsia" w:asciiTheme="minorEastAsia" w:hAnsiTheme="minorEastAsia"/>
          <w:sz w:val="21"/>
          <w:szCs w:val="21"/>
          <w:lang w:val="en-US" w:eastAsia="zh-Hans"/>
        </w:rPr>
        <w:t>技术</w:t>
      </w:r>
      <w:r>
        <w:rPr>
          <w:rFonts w:hint="eastAsia" w:asciiTheme="minorEastAsia" w:hAnsiTheme="minorEastAsia"/>
          <w:sz w:val="21"/>
          <w:szCs w:val="21"/>
        </w:rPr>
        <w:t>方案部分计算出得分B；</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（3）按本章第2.2.4（3）目规定的评审因素和分值对投标报价计算出得分C；</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（4）按本章第2.2.4（4）目规定的评审因素和分值对其他部分计算出得分D。</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3.2.2 评分分值计算保留小数点后两位，小数点后第三位“四舍五入”。</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3.2.3 投标人得分=A+B+C+D。</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3.2.4 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424" w:name="_Toc1810062972"/>
      <w:bookmarkStart w:id="2425" w:name="_Toc252797770"/>
      <w:bookmarkStart w:id="2426" w:name="_Toc12585"/>
      <w:bookmarkStart w:id="2427" w:name="_Toc965449723"/>
      <w:bookmarkStart w:id="2428" w:name="_Toc1679687628"/>
      <w:bookmarkStart w:id="2429" w:name="_Toc17217"/>
      <w:bookmarkStart w:id="2430" w:name="_Toc669618326"/>
      <w:bookmarkStart w:id="2431" w:name="_Toc10014"/>
      <w:bookmarkStart w:id="2432" w:name="_Toc1129688020"/>
      <w:bookmarkStart w:id="2433" w:name="_Toc7186547"/>
      <w:bookmarkStart w:id="2434" w:name="_Toc905905359"/>
      <w:bookmarkStart w:id="2435" w:name="_Toc516823061"/>
      <w:bookmarkStart w:id="2436" w:name="_Toc2081520672"/>
      <w:bookmarkStart w:id="2437" w:name="_Toc511396111"/>
      <w:bookmarkStart w:id="2438" w:name="_Toc17676"/>
      <w:bookmarkStart w:id="2439" w:name="_Toc15496"/>
      <w:bookmarkStart w:id="2440" w:name="_Toc1864426692"/>
      <w:bookmarkStart w:id="2441" w:name="_Toc515440822"/>
      <w:bookmarkStart w:id="2442" w:name="_Toc1364090358"/>
      <w:bookmarkStart w:id="2443" w:name="_Toc19015"/>
      <w:bookmarkStart w:id="2444" w:name="_Toc1639365220"/>
      <w:bookmarkStart w:id="2445" w:name="_Toc12099"/>
      <w:bookmarkStart w:id="2446" w:name="_Toc5152"/>
      <w:bookmarkStart w:id="2447" w:name="_Toc1783933926"/>
      <w:bookmarkStart w:id="2448" w:name="_Toc2045649877"/>
      <w:bookmarkStart w:id="2449" w:name="_Toc1172067784"/>
      <w:r>
        <w:rPr>
          <w:rFonts w:hint="eastAsia" w:asciiTheme="majorEastAsia" w:hAnsiTheme="majorEastAsia" w:eastAsiaTheme="majorEastAsia"/>
          <w:sz w:val="21"/>
          <w:szCs w:val="21"/>
        </w:rPr>
        <w:t>3.3 投标文件的澄清</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3.3.1在评标过程中，评标委员会可以</w:t>
      </w:r>
      <w:r>
        <w:rPr>
          <w:rFonts w:hint="eastAsia" w:ascii="宋体" w:hAnsi="宋体"/>
          <w:sz w:val="21"/>
          <w:szCs w:val="21"/>
        </w:rPr>
        <w:t>通过电子招标投标交易平台</w:t>
      </w:r>
      <w:r>
        <w:rPr>
          <w:rFonts w:hint="eastAsia" w:asciiTheme="minorEastAsia" w:hAnsiTheme="minorEastAsia"/>
          <w:sz w:val="21"/>
          <w:szCs w:val="21"/>
        </w:rPr>
        <w:t>要求投标人对投标文件中含义不明确、对同类问题表述不一致或者有明显文字和计算错误的内容作必要的澄清、说明或补正。澄清、说明或补正应</w:t>
      </w:r>
      <w:r>
        <w:rPr>
          <w:rFonts w:hint="eastAsia" w:ascii="宋体" w:hAnsi="宋体"/>
          <w:sz w:val="21"/>
          <w:szCs w:val="21"/>
        </w:rPr>
        <w:t>通过电子招标投标交易平台</w:t>
      </w:r>
      <w:r>
        <w:rPr>
          <w:rFonts w:hint="eastAsia" w:asciiTheme="minorEastAsia" w:hAnsiTheme="minorEastAsia"/>
          <w:sz w:val="21"/>
          <w:szCs w:val="21"/>
        </w:rPr>
        <w:t>进行。评标委员会不接受投标人主动提出的澄清、说明或补正。</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3.3.2 澄清、说明或补正不得超出投标文件的范围且不得改变投标文件的实质性内容，并构成投标文件的组成部分。</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3.3.3 评标委员会对投标人提交的澄清、说明或补正有疑问的，可以要求投标人进一步澄清、说明或补正，直至满足评标委员会的要求。</w:t>
      </w:r>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450" w:name="_Toc475027002"/>
      <w:bookmarkStart w:id="2451" w:name="_Toc1837423981"/>
      <w:bookmarkStart w:id="2452" w:name="_Toc1558298515"/>
      <w:bookmarkStart w:id="2453" w:name="_Toc30295"/>
      <w:bookmarkStart w:id="2454" w:name="_Toc1049466624"/>
      <w:bookmarkStart w:id="2455" w:name="_Toc24294269"/>
      <w:bookmarkStart w:id="2456" w:name="_Toc1485519067"/>
      <w:bookmarkStart w:id="2457" w:name="_Toc515440823"/>
      <w:bookmarkStart w:id="2458" w:name="_Toc596061530"/>
      <w:bookmarkStart w:id="2459" w:name="_Toc2471"/>
      <w:bookmarkStart w:id="2460" w:name="_Toc763629013"/>
      <w:bookmarkStart w:id="2461" w:name="_Toc2039795130"/>
      <w:bookmarkStart w:id="2462" w:name="_Toc27682"/>
      <w:bookmarkStart w:id="2463" w:name="_Toc2074541376"/>
      <w:bookmarkStart w:id="2464" w:name="_Toc516823062"/>
      <w:bookmarkStart w:id="2465" w:name="_Toc23772"/>
      <w:bookmarkStart w:id="2466" w:name="_Toc75751757"/>
      <w:bookmarkStart w:id="2467" w:name="_Toc1609324674"/>
      <w:bookmarkStart w:id="2468" w:name="_Toc22670"/>
      <w:bookmarkStart w:id="2469" w:name="_Toc18414"/>
      <w:bookmarkStart w:id="2470" w:name="_Toc7810"/>
      <w:bookmarkStart w:id="2471" w:name="_Toc1878715181"/>
      <w:bookmarkStart w:id="2472" w:name="_Toc2193"/>
      <w:bookmarkStart w:id="2473" w:name="_Toc511396112"/>
      <w:bookmarkStart w:id="2474" w:name="_Toc1460894802"/>
      <w:bookmarkStart w:id="2475" w:name="_Toc7186548"/>
      <w:r>
        <w:rPr>
          <w:rFonts w:hint="eastAsia" w:asciiTheme="majorEastAsia" w:hAnsiTheme="majorEastAsia" w:eastAsiaTheme="majorEastAsia"/>
          <w:sz w:val="21"/>
          <w:szCs w:val="21"/>
        </w:rPr>
        <w:t>3.4 评标结果</w:t>
      </w:r>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3.4.1 除第二章“投标人须知”前附表授权直接确定中标人外，评标委员会按照得分由高到低的顺序推荐中标候选人，并标明排序。</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3.4.2 评标委员会完成评标后，应当向招标人提交书面评标报告和中标候选人名单。</w:t>
      </w:r>
    </w:p>
    <w:p>
      <w:pPr>
        <w:widowControl/>
        <w:shd w:val="clear" w:color="auto" w:fill="FFFFFF"/>
        <w:adjustRightInd/>
        <w:snapToGrid w:val="0"/>
        <w:spacing w:line="520" w:lineRule="exact"/>
        <w:ind w:firstLine="420" w:firstLineChars="200"/>
        <w:jc w:val="left"/>
        <w:textAlignment w:val="auto"/>
        <w:rPr>
          <w:rFonts w:hint="eastAsia" w:asciiTheme="minorEastAsia" w:hAnsiTheme="minorEastAsia" w:cstheme="minorBidi"/>
          <w:sz w:val="21"/>
          <w:szCs w:val="21"/>
        </w:rPr>
      </w:pPr>
      <w:r>
        <w:rPr>
          <w:rFonts w:hint="eastAsia" w:asciiTheme="minorEastAsia" w:hAnsiTheme="minorEastAsia" w:cstheme="minorBidi"/>
          <w:sz w:val="21"/>
          <w:szCs w:val="21"/>
        </w:rPr>
        <w:t>3.4.3评标委员会应当在评标报告中列明投标文件雷同情况。</w:t>
      </w:r>
    </w:p>
    <w:p>
      <w:pPr>
        <w:rPr>
          <w:rFonts w:hint="eastAsia" w:asciiTheme="minorEastAsia" w:hAnsiTheme="minorEastAsia" w:cstheme="minorBidi"/>
          <w:sz w:val="21"/>
          <w:szCs w:val="21"/>
        </w:rPr>
      </w:pPr>
      <w:r>
        <w:rPr>
          <w:rFonts w:hint="eastAsia" w:asciiTheme="minorEastAsia" w:hAnsiTheme="minorEastAsia" w:cstheme="minorBidi"/>
          <w:sz w:val="21"/>
          <w:szCs w:val="21"/>
        </w:rPr>
        <w:br w:type="page"/>
      </w:r>
    </w:p>
    <w:p>
      <w:pPr>
        <w:pStyle w:val="2"/>
        <w:adjustRightInd w:val="0"/>
        <w:spacing w:before="0" w:after="0" w:line="520" w:lineRule="exact"/>
        <w:jc w:val="center"/>
        <w:rPr>
          <w:rFonts w:asciiTheme="majorEastAsia" w:hAnsiTheme="majorEastAsia" w:eastAsiaTheme="majorEastAsia"/>
          <w:sz w:val="36"/>
          <w:szCs w:val="36"/>
        </w:rPr>
      </w:pPr>
      <w:bookmarkStart w:id="2476" w:name="_Toc21023"/>
      <w:r>
        <w:rPr>
          <w:rFonts w:hint="eastAsia" w:asciiTheme="majorEastAsia" w:hAnsiTheme="majorEastAsia" w:eastAsiaTheme="majorEastAsia"/>
          <w:sz w:val="36"/>
          <w:szCs w:val="36"/>
        </w:rPr>
        <w:t>第三章 评标办法（综合评估法</w:t>
      </w:r>
      <w:r>
        <w:rPr>
          <w:rFonts w:hint="eastAsia" w:asciiTheme="majorEastAsia" w:hAnsiTheme="majorEastAsia" w:eastAsiaTheme="majorEastAsia"/>
          <w:sz w:val="36"/>
          <w:szCs w:val="36"/>
          <w:lang w:val="en-US" w:eastAsia="zh-CN"/>
        </w:rPr>
        <w:t>Ⅱ类</w:t>
      </w:r>
      <w:r>
        <w:rPr>
          <w:rFonts w:hint="eastAsia" w:asciiTheme="majorEastAsia" w:hAnsiTheme="majorEastAsia" w:eastAsiaTheme="majorEastAsia"/>
          <w:sz w:val="36"/>
          <w:szCs w:val="36"/>
        </w:rPr>
        <w:t>）</w:t>
      </w:r>
      <w:bookmarkEnd w:id="2476"/>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spacing w:line="360" w:lineRule="auto"/>
        <w:ind w:firstLine="422" w:firstLineChars="200"/>
        <w:jc w:val="left"/>
        <w:rPr>
          <w:rFonts w:asciiTheme="minorEastAsia" w:hAnsiTheme="minorEastAsia"/>
          <w:b/>
          <w:szCs w:val="21"/>
        </w:rPr>
      </w:pPr>
      <w:r>
        <w:rPr>
          <w:rFonts w:hint="eastAsia" w:asciiTheme="minorEastAsia" w:hAnsiTheme="minorEastAsia"/>
          <w:b/>
          <w:szCs w:val="21"/>
        </w:rPr>
        <w:t>【注：评标委员会应按本评标办法规定的方法、评审因素、标准和程序对投标文件进行评审。评标办法没有规定的方法、评审因素和标准，不作为评标依据。】</w:t>
      </w:r>
    </w:p>
    <w:p>
      <w:pPr>
        <w:pStyle w:val="3"/>
        <w:adjustRightInd w:val="0"/>
        <w:snapToGrid w:val="0"/>
        <w:spacing w:before="0" w:after="0" w:line="520" w:lineRule="exact"/>
        <w:rPr>
          <w:rFonts w:asciiTheme="majorEastAsia" w:hAnsiTheme="majorEastAsia"/>
          <w:sz w:val="28"/>
          <w:szCs w:val="28"/>
        </w:rPr>
      </w:pPr>
      <w:bookmarkStart w:id="2477" w:name="_Toc30215"/>
      <w:r>
        <w:rPr>
          <w:rFonts w:hint="eastAsia" w:asciiTheme="majorEastAsia" w:hAnsiTheme="majorEastAsia"/>
          <w:sz w:val="28"/>
          <w:szCs w:val="28"/>
        </w:rPr>
        <w:t>评标办法前附表</w:t>
      </w:r>
      <w:bookmarkEnd w:id="2477"/>
    </w:p>
    <w:tbl>
      <w:tblPr>
        <w:tblStyle w:val="30"/>
        <w:tblW w:w="893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43"/>
        <w:gridCol w:w="108"/>
        <w:gridCol w:w="992"/>
        <w:gridCol w:w="992"/>
        <w:gridCol w:w="557"/>
        <w:gridCol w:w="436"/>
        <w:gridCol w:w="51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条款号</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评审因素</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评审标准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1</w:t>
            </w:r>
          </w:p>
        </w:tc>
        <w:tc>
          <w:tcPr>
            <w:tcW w:w="992"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评标方法</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r>
              <w:rPr>
                <w:rFonts w:hint="eastAsia"/>
                <w:szCs w:val="21"/>
              </w:rPr>
              <w:t>中标候选人</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排序方法</w:t>
            </w:r>
          </w:p>
        </w:tc>
        <w:tc>
          <w:tcPr>
            <w:tcW w:w="5103"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szCs w:val="21"/>
              </w:rPr>
            </w:pPr>
            <w:r>
              <w:rPr>
                <w:rFonts w:hint="eastAsia" w:asciiTheme="minorEastAsia" w:hAnsiTheme="minorEastAsia"/>
                <w:szCs w:val="21"/>
                <w:highlight w:val="none"/>
              </w:rPr>
              <w:t>本次评标采用综合评估法</w:t>
            </w:r>
            <w:r>
              <w:rPr>
                <w:rFonts w:hint="eastAsia" w:asciiTheme="minorEastAsia" w:hAnsiTheme="minorEastAsia"/>
                <w:szCs w:val="21"/>
                <w:highlight w:val="none"/>
                <w:lang w:val="en-US" w:eastAsia="zh-CN"/>
              </w:rPr>
              <w:t>Ⅱ类</w:t>
            </w:r>
            <w:r>
              <w:rPr>
                <w:rFonts w:hint="eastAsia" w:asciiTheme="minorEastAsia" w:hAnsiTheme="minorEastAsia"/>
                <w:szCs w:val="21"/>
                <w:highlight w:val="none"/>
              </w:rPr>
              <w:t>。评标委员会对满足招标文件实质性要求的投标文件，按照本章第2.2款规定的评分标准进行打分，并按投标得分由高到低推荐不超过3名中标候选人。</w:t>
            </w:r>
            <w:r>
              <w:rPr>
                <w:rFonts w:hint="eastAsia"/>
                <w:szCs w:val="21"/>
                <w:highlight w:val="none"/>
              </w:rPr>
              <w:t>综合评分相等时，则投标报价低的排名靠前；投标报价也相等的，由招标人代表在监督人员的监督下，当场随机抽取确定最终的中标候选人排序顺位。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60" w:hRule="atLeast"/>
        </w:trPr>
        <w:tc>
          <w:tcPr>
            <w:tcW w:w="851" w:type="dxa"/>
            <w:gridSpan w:val="2"/>
            <w:vMerge w:val="restart"/>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2.1.1</w:t>
            </w:r>
          </w:p>
        </w:tc>
        <w:tc>
          <w:tcPr>
            <w:tcW w:w="992" w:type="dxa"/>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形式评审标准</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投标人名称</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与营业执照、资质证书一致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投标文件格式</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eastAsiaTheme="minorEastAsia"/>
                <w:szCs w:val="21"/>
                <w:highlight w:val="none"/>
                <w:lang w:val="en-US" w:eastAsia="zh-Hans"/>
              </w:rPr>
            </w:pPr>
            <w:r>
              <w:rPr>
                <w:rFonts w:hint="eastAsia"/>
                <w:szCs w:val="21"/>
                <w:highlight w:val="none"/>
              </w:rPr>
              <w:t>符合第六章“投标文件格式”的规定</w:t>
            </w:r>
            <w:r>
              <w:rPr>
                <w:rFonts w:hint="eastAsia"/>
                <w:szCs w:val="21"/>
                <w:highlight w:val="none"/>
                <w:lang w:val="en-US" w:eastAsia="zh-Hans"/>
              </w:rPr>
              <w:t>并按规定签字、盖章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联合体投标人</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提交符合招标文件要求的联合体协议书，明确各方承担连带责任，并明确联合体牵头人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8"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备选投标方案</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除招标文件明确允许提交备选投标方案外，投标人不得提交备选投标方案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restart"/>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2.1.2</w:t>
            </w:r>
          </w:p>
        </w:tc>
        <w:tc>
          <w:tcPr>
            <w:tcW w:w="992" w:type="dxa"/>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资格评审标准</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营业执照</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highlight w:val="none"/>
              </w:rPr>
            </w:pPr>
            <w:r>
              <w:rPr>
                <w:rFonts w:hint="eastAsia"/>
                <w:szCs w:val="21"/>
                <w:highlight w:val="none"/>
              </w:rPr>
              <w:t>符合第二章“投标人须知”第3.5.1项规定，具备有效的营业执照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资质要求</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财务要求</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信誉要求</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highlight w:val="none"/>
              </w:rPr>
            </w:pPr>
            <w:r>
              <w:rPr>
                <w:rFonts w:hint="eastAsia"/>
                <w:szCs w:val="21"/>
                <w:highlight w:val="none"/>
              </w:rPr>
              <w:t>其他要求</w:t>
            </w:r>
          </w:p>
        </w:tc>
        <w:tc>
          <w:tcPr>
            <w:tcW w:w="5103"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highlight w:val="none"/>
              </w:rPr>
            </w:pPr>
            <w:r>
              <w:rPr>
                <w:rFonts w:hint="eastAsia"/>
                <w:szCs w:val="21"/>
                <w:highlight w:val="none"/>
              </w:rPr>
              <w:t>符合第二章“投标人须知”第1.4.1项规定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highlight w:val="none"/>
              </w:rPr>
            </w:pPr>
            <w:r>
              <w:rPr>
                <w:rFonts w:hint="eastAsia"/>
                <w:szCs w:val="21"/>
                <w:highlight w:val="none"/>
              </w:rPr>
              <w:t>联合体投标人</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highlight w:val="none"/>
              </w:rPr>
            </w:pPr>
            <w:r>
              <w:rPr>
                <w:rFonts w:hint="eastAsia"/>
                <w:szCs w:val="21"/>
                <w:highlight w:val="none"/>
              </w:rPr>
              <w:t>符合第二章“投标人须知”第1.4.2项规定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5"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highlight w:val="none"/>
              </w:rPr>
            </w:pPr>
            <w:r>
              <w:rPr>
                <w:rFonts w:hint="eastAsia"/>
                <w:szCs w:val="21"/>
                <w:highlight w:val="none"/>
              </w:rPr>
              <w:t>不存在禁止投标的情形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highlight w:val="none"/>
              </w:rPr>
            </w:pPr>
            <w:r>
              <w:rPr>
                <w:rFonts w:hint="eastAsia"/>
                <w:szCs w:val="21"/>
                <w:highlight w:val="none"/>
              </w:rPr>
              <w:t>不存在第二章“投标人须知”第1.4.3项规定的任何一种情形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851" w:type="dxa"/>
            <w:gridSpan w:val="2"/>
            <w:vMerge w:val="restart"/>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2.1.3</w:t>
            </w:r>
          </w:p>
        </w:tc>
        <w:tc>
          <w:tcPr>
            <w:tcW w:w="992" w:type="dxa"/>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响应性评审标准</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投标报价</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符合第二章“投标人须知”第3.2.4款规定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投标内容</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符合第二章“投标人须知”第1.3.1项规定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服务期限</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符合第二章“投标人须知”第1.3.2项规定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质量标准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符合第二章“投标人须知”第1.3.3项规定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投标有效期</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符合第二章“投标人须知”第3.3.1项规定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851" w:type="dxa"/>
            <w:gridSpan w:val="2"/>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992" w:type="dxa"/>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投标保证金</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符合第二章“投标人须知”第3.4.1项规定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 w:hRule="atLeast"/>
        </w:trPr>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条款号</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条款内容</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编列内容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2.2.1</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分值构成</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zCs w:val="21"/>
                <w:lang w:eastAsia="zh-CN"/>
              </w:rPr>
            </w:pPr>
            <w:r>
              <w:rPr>
                <w:rFonts w:hint="eastAsia"/>
                <w:szCs w:val="21"/>
                <w:lang w:eastAsia="zh-CN"/>
              </w:rPr>
              <w:t>（</w:t>
            </w:r>
            <w:r>
              <w:rPr>
                <w:rFonts w:hint="eastAsia"/>
                <w:szCs w:val="21"/>
              </w:rPr>
              <w:t>总分100分</w:t>
            </w:r>
            <w:r>
              <w:rPr>
                <w:rFonts w:hint="eastAsia"/>
                <w:szCs w:val="21"/>
                <w:lang w:eastAsia="zh-CN"/>
              </w:rPr>
              <w:t>）</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lang w:val="en-US" w:eastAsia="zh-CN"/>
              </w:rPr>
              <w:t>商务</w:t>
            </w:r>
            <w:r>
              <w:rPr>
                <w:rFonts w:hint="eastAsia"/>
                <w:szCs w:val="21"/>
              </w:rPr>
              <w:t>部分：</w:t>
            </w:r>
            <w:r>
              <w:rPr>
                <w:rFonts w:hint="eastAsia"/>
                <w:szCs w:val="21"/>
                <w:lang w:val="en-US" w:eastAsia="zh-CN"/>
              </w:rPr>
              <w:t>20</w:t>
            </w:r>
            <w:r>
              <w:rPr>
                <w:rFonts w:hint="eastAsia"/>
                <w:szCs w:val="21"/>
              </w:rPr>
              <w:t>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技术部分：</w:t>
            </w:r>
            <w:r>
              <w:rPr>
                <w:rFonts w:hint="eastAsia"/>
                <w:szCs w:val="21"/>
                <w:lang w:val="en-US" w:eastAsia="zh-CN"/>
              </w:rPr>
              <w:t>40</w:t>
            </w:r>
            <w:r>
              <w:rPr>
                <w:rFonts w:hint="eastAsia"/>
                <w:szCs w:val="21"/>
              </w:rPr>
              <w:t>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报价</w:t>
            </w:r>
            <w:r>
              <w:rPr>
                <w:rFonts w:hint="eastAsia"/>
                <w:szCs w:val="21"/>
                <w:lang w:val="en-US" w:eastAsia="zh-CN"/>
              </w:rPr>
              <w:t>部分</w:t>
            </w:r>
            <w:r>
              <w:rPr>
                <w:rFonts w:hint="eastAsia"/>
                <w:szCs w:val="21"/>
              </w:rPr>
              <w:t>：</w:t>
            </w:r>
            <w:r>
              <w:rPr>
                <w:rFonts w:hint="eastAsia"/>
                <w:szCs w:val="21"/>
                <w:lang w:val="en-US" w:eastAsia="zh-CN"/>
              </w:rPr>
              <w:t>40</w:t>
            </w:r>
            <w:r>
              <w:rPr>
                <w:rFonts w:hint="eastAsia"/>
                <w:szCs w:val="21"/>
              </w:rPr>
              <w:t>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其他评分因素：/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2.2.2</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r>
              <w:rPr>
                <w:rFonts w:hint="eastAsia"/>
                <w:szCs w:val="21"/>
              </w:rPr>
              <w:t>评标基准价</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计算方法</w:t>
            </w:r>
          </w:p>
        </w:tc>
        <w:tc>
          <w:tcPr>
            <w:tcW w:w="51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评标基准价（设定为S，下同）值由电子招标投标交易平台按下述公式自动计算，并提供计算过程表格，经评标委员会核对并确认后在电子招标投标交易平台上公布（S值以元为单位或百分比数值形式表示，小数点后保留两位，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eastAsia="zh-CN"/>
              </w:rPr>
            </w:pPr>
            <w:r>
              <w:rPr>
                <w:rFonts w:hint="eastAsia" w:ascii="宋体" w:hAnsi="宋体" w:eastAsia="宋体" w:cs="宋体"/>
                <w:sz w:val="22"/>
                <w:szCs w:val="22"/>
              </w:rPr>
              <w:t>评标基准价</w:t>
            </w:r>
            <w:r>
              <w:rPr>
                <w:rFonts w:hint="eastAsia" w:ascii="宋体" w:hAnsi="宋体" w:eastAsia="宋体" w:cs="宋体"/>
                <w:sz w:val="22"/>
                <w:szCs w:val="22"/>
                <w:lang w:val="en-US" w:eastAsia="zh-CN"/>
              </w:rPr>
              <w:t>的确定，</w:t>
            </w:r>
            <w:r>
              <w:rPr>
                <w:rFonts w:hint="eastAsia" w:ascii="宋体" w:hAnsi="宋体" w:eastAsia="宋体" w:cs="宋体"/>
                <w:sz w:val="22"/>
                <w:szCs w:val="22"/>
              </w:rPr>
              <w:t>采用招标控制价和有效报价的算术平均值确定评标基准价（适用于招标人设置招标控制价）</w:t>
            </w:r>
            <w:r>
              <w:rPr>
                <w:rFonts w:hint="eastAsia" w:ascii="宋体" w:hAnsi="宋体" w:eastAsia="宋体" w:cs="宋体"/>
                <w:sz w:val="22"/>
                <w:szCs w:val="2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评标基准价按照以下方法计算：</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确定有效报价的</w:t>
            </w: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0"/>
                <w:sz w:val="22"/>
                <w:szCs w:val="22"/>
                <w:highlight w:val="none"/>
                <w:u w:val="none"/>
                <w:shd w:val="clear" w:color="auto" w:fill="FFFFFF"/>
                <w:lang w:val="en-US" w:eastAsia="zh-CN" w:bidi="ar"/>
              </w:rPr>
            </w:pPr>
            <w:r>
              <w:rPr>
                <w:rFonts w:hint="eastAsia" w:ascii="宋体" w:hAnsi="宋体" w:eastAsia="宋体" w:cs="宋体"/>
                <w:kern w:val="0"/>
                <w:sz w:val="22"/>
                <w:szCs w:val="22"/>
                <w:highlight w:val="none"/>
                <w:u w:val="none"/>
                <w:shd w:val="clear" w:color="auto" w:fill="FFFFFF"/>
                <w:lang w:val="en-US" w:eastAsia="zh-CN" w:bidi="ar"/>
              </w:rPr>
              <w:t>R=A（1-K）</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式中：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R为下浮后的招标控制价部分；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A为招标控制价；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K为招标控制价的下浮率。K值的取值范围规定为___%（含本数）～___%（含本数）。K值为取值范围内的任意一个百分数，随机抽取确定。K值的取值范围由招标人在0～8%之间选定，其范围幅度不少于连续3个百分点。</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算术平均值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有效报价：初步评审合格的投标人，且其投标报价的下浮率在招标文件中载明的招标控制价的下浮率取值范围内。不在该范围内的投标报价，不参与评标基准价的计算，但不以此否决其投标。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pPr>
            <w:r>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t>D=</w:t>
            </w:r>
            <w:r>
              <w:rPr>
                <w:rFonts w:hint="eastAsia" w:ascii="宋体" w:hAnsi="宋体" w:eastAsia="宋体" w:cs="宋体"/>
                <w:color w:val="000000" w:themeColor="text1"/>
                <w:kern w:val="0"/>
                <w:sz w:val="22"/>
                <w:szCs w:val="22"/>
                <w:highlight w:val="none"/>
                <w:u w:val="none"/>
                <w:shd w:val="clear" w:color="auto" w:fill="FFFFFF"/>
                <w14:textFill>
                  <w14:solidFill>
                    <w14:schemeClr w14:val="tx1"/>
                  </w14:solidFill>
                </w14:textFill>
              </w:rPr>
              <w:drawing>
                <wp:inline distT="0" distB="0" distL="0" distR="0">
                  <wp:extent cx="984250" cy="365760"/>
                  <wp:effectExtent l="0" t="0" r="6350" b="15875"/>
                  <wp:docPr id="8" name="图片 3" descr="descript"/>
                  <wp:cNvGraphicFramePr/>
                  <a:graphic xmlns:a="http://schemas.openxmlformats.org/drawingml/2006/main">
                    <a:graphicData uri="http://schemas.openxmlformats.org/drawingml/2006/picture">
                      <pic:pic xmlns:pic="http://schemas.openxmlformats.org/drawingml/2006/picture">
                        <pic:nvPicPr>
                          <pic:cNvPr id="8" name="图片 3" descr="descript"/>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88401" cy="367303"/>
                          </a:xfrm>
                          <a:prstGeom prst="rect">
                            <a:avLst/>
                          </a:prstGeom>
                          <a:noFill/>
                          <a:ln>
                            <a:noFill/>
                          </a:ln>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D为评标基准价；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N为投标人的有效报价；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n为有效报价的投标人个数。</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lang w:eastAsia="zh-CN"/>
                <w14:textFill>
                  <w14:solidFill>
                    <w14:schemeClr w14:val="tx1"/>
                  </w14:solidFill>
                </w14:textFill>
              </w:rPr>
            </w:pPr>
            <w:r>
              <w:rPr>
                <w:rFonts w:hint="eastAsia" w:ascii="宋体" w:hAnsi="宋体" w:eastAsia="宋体" w:cs="宋体"/>
                <w:color w:val="000000" w:themeColor="text1"/>
                <w:sz w:val="22"/>
                <w:szCs w:val="22"/>
                <w:highlight w:val="none"/>
                <w:u w:val="none"/>
                <w:lang w:eastAsia="zh-CN"/>
                <w14:textFill>
                  <w14:solidFill>
                    <w14:schemeClr w14:val="tx1"/>
                  </w14:solidFill>
                </w14:textFill>
              </w:rPr>
              <w:t>确定评标基准价</w:t>
            </w:r>
          </w:p>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eastAsia" w:ascii="宋体" w:hAnsi="宋体" w:eastAsia="宋体" w:cs="宋体"/>
                <w:sz w:val="22"/>
                <w:szCs w:val="22"/>
                <w:highlight w:val="none"/>
                <w:u w:val="none"/>
                <w:shd w:val="clear" w:color="auto" w:fill="FFFFFF"/>
              </w:rPr>
            </w:pPr>
            <w:r>
              <w:rPr>
                <w:rFonts w:hint="eastAsia" w:ascii="宋体" w:hAnsi="宋体" w:eastAsia="宋体" w:cs="宋体"/>
                <w:sz w:val="22"/>
                <w:szCs w:val="22"/>
                <w:highlight w:val="none"/>
                <w:u w:val="none"/>
                <w:shd w:val="clear" w:color="auto" w:fill="FFFFFF"/>
              </w:rPr>
              <w:t>S=</w:t>
            </w:r>
            <w:r>
              <w:rPr>
                <w:rFonts w:hint="eastAsia" w:ascii="宋体" w:hAnsi="宋体" w:eastAsia="宋体" w:cs="宋体"/>
                <w:position w:val="-24"/>
                <w:sz w:val="22"/>
                <w:szCs w:val="22"/>
                <w:highlight w:val="none"/>
                <w:u w:val="none"/>
              </w:rPr>
              <w:drawing>
                <wp:inline distT="0" distB="0" distL="114300" distR="114300">
                  <wp:extent cx="427355" cy="391795"/>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427355" cy="3917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S为评标基准价；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sz w:val="22"/>
                <w:szCs w:val="22"/>
                <w:highlight w:val="none"/>
                <w:u w:val="none"/>
                <w14:textFill>
                  <w14:solidFill>
                    <w14:schemeClr w14:val="tx1"/>
                  </w14:solidFill>
                </w14:textFill>
              </w:rPr>
            </w:pPr>
            <w:r>
              <w:rPr>
                <w:rFonts w:hint="eastAsia" w:ascii="宋体" w:hAnsi="宋体" w:eastAsia="宋体" w:cs="宋体"/>
                <w:color w:val="000000" w:themeColor="text1"/>
                <w:sz w:val="22"/>
                <w:szCs w:val="22"/>
                <w:highlight w:val="none"/>
                <w:u w:val="none"/>
                <w14:textFill>
                  <w14:solidFill>
                    <w14:schemeClr w14:val="tx1"/>
                  </w14:solidFill>
                </w14:textFill>
              </w:rPr>
              <w:t>R为招标控制价；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2"/>
                <w:sz w:val="22"/>
                <w:szCs w:val="22"/>
                <w:lang w:val="en-US" w:eastAsia="zh-CN" w:bidi="ar-SA"/>
              </w:rPr>
            </w:pPr>
            <w:r>
              <w:rPr>
                <w:rFonts w:hint="eastAsia" w:ascii="宋体" w:hAnsi="宋体" w:eastAsia="宋体" w:cs="宋体"/>
                <w:color w:val="000000" w:themeColor="text1"/>
                <w:sz w:val="22"/>
                <w:szCs w:val="22"/>
                <w:highlight w:val="none"/>
                <w:u w:val="none"/>
                <w14:textFill>
                  <w14:solidFill>
                    <w14:schemeClr w14:val="tx1"/>
                  </w14:solidFill>
                </w14:textFill>
              </w:rPr>
              <w:t>D为有效报价的算术平均值。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2.2.3</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投标报价的偏差率</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计算公式</w:t>
            </w:r>
          </w:p>
        </w:tc>
        <w:tc>
          <w:tcPr>
            <w:tcW w:w="5103"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szCs w:val="21"/>
              </w:rPr>
            </w:pPr>
            <w:r>
              <w:rPr>
                <w:rFonts w:hint="eastAsia"/>
                <w:szCs w:val="21"/>
              </w:rPr>
              <w:t>E=</w:t>
            </w:r>
            <w:r>
              <w:rPr>
                <w:rFonts w:hint="default" w:ascii="Times New Roman" w:hAnsi="Times New Roman" w:eastAsia="仿宋_GB2312" w:cs="Times New Roman"/>
                <w:sz w:val="32"/>
                <w:szCs w:val="32"/>
                <w:highlight w:val="none"/>
                <w:u w:val="none"/>
                <w:shd w:val="clear" w:color="auto" w:fill="FFFFFF"/>
              </w:rPr>
              <w:drawing>
                <wp:inline distT="0" distB="0" distL="114300" distR="114300">
                  <wp:extent cx="341630" cy="313055"/>
                  <wp:effectExtent l="0" t="0" r="127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341630" cy="313055"/>
                          </a:xfrm>
                          <a:prstGeom prst="rect">
                            <a:avLst/>
                          </a:prstGeom>
                          <a:noFill/>
                          <a:ln>
                            <a:noFill/>
                          </a:ln>
                        </pic:spPr>
                      </pic:pic>
                    </a:graphicData>
                  </a:graphic>
                </wp:inline>
              </w:drawing>
            </w:r>
            <w:r>
              <w:rPr>
                <w:rFonts w:hint="eastAsia"/>
                <w:szCs w:val="21"/>
              </w:rPr>
              <w:t>×100%</w:t>
            </w:r>
          </w:p>
          <w:p>
            <w:pPr>
              <w:keepNext w:val="0"/>
              <w:keepLines w:val="0"/>
              <w:pageBreakBefore w:val="0"/>
              <w:kinsoku/>
              <w:wordWrap/>
              <w:overflowPunct/>
              <w:topLinePunct w:val="0"/>
              <w:autoSpaceDE/>
              <w:autoSpaceDN/>
              <w:bidi w:val="0"/>
              <w:adjustRightInd/>
              <w:snapToGrid/>
              <w:spacing w:line="360" w:lineRule="auto"/>
              <w:textAlignment w:val="auto"/>
              <w:rPr>
                <w:rFonts w:hint="eastAsia"/>
                <w:szCs w:val="21"/>
              </w:rPr>
            </w:pPr>
            <w:r>
              <w:rPr>
                <w:rFonts w:hint="eastAsia"/>
                <w:szCs w:val="21"/>
              </w:rPr>
              <w:t>式中：</w:t>
            </w:r>
          </w:p>
          <w:p>
            <w:pPr>
              <w:keepNext w:val="0"/>
              <w:keepLines w:val="0"/>
              <w:pageBreakBefore w:val="0"/>
              <w:kinsoku/>
              <w:wordWrap/>
              <w:overflowPunct/>
              <w:topLinePunct w:val="0"/>
              <w:autoSpaceDE/>
              <w:autoSpaceDN/>
              <w:bidi w:val="0"/>
              <w:adjustRightInd/>
              <w:snapToGrid/>
              <w:spacing w:line="360" w:lineRule="auto"/>
              <w:textAlignment w:val="auto"/>
              <w:rPr>
                <w:rFonts w:hint="eastAsia"/>
                <w:szCs w:val="21"/>
              </w:rPr>
            </w:pPr>
            <w:r>
              <w:rPr>
                <w:rFonts w:hint="eastAsia"/>
                <w:szCs w:val="21"/>
              </w:rPr>
              <w:t>E为投标总报价偏差；</w:t>
            </w:r>
          </w:p>
          <w:p>
            <w:pPr>
              <w:keepNext w:val="0"/>
              <w:keepLines w:val="0"/>
              <w:pageBreakBefore w:val="0"/>
              <w:kinsoku/>
              <w:wordWrap/>
              <w:overflowPunct/>
              <w:topLinePunct w:val="0"/>
              <w:autoSpaceDE/>
              <w:autoSpaceDN/>
              <w:bidi w:val="0"/>
              <w:adjustRightInd/>
              <w:snapToGrid/>
              <w:spacing w:line="360" w:lineRule="auto"/>
              <w:textAlignment w:val="auto"/>
              <w:rPr>
                <w:rFonts w:hint="eastAsia"/>
                <w:szCs w:val="21"/>
              </w:rPr>
            </w:pPr>
            <w:r>
              <w:rPr>
                <w:rFonts w:hint="eastAsia"/>
                <w:szCs w:val="21"/>
              </w:rPr>
              <w:t>N为投标人投标报价；</w:t>
            </w:r>
          </w:p>
          <w:p>
            <w:pPr>
              <w:keepNext w:val="0"/>
              <w:keepLines w:val="0"/>
              <w:pageBreakBefore w:val="0"/>
              <w:kinsoku/>
              <w:wordWrap/>
              <w:overflowPunct/>
              <w:topLinePunct w:val="0"/>
              <w:autoSpaceDE/>
              <w:autoSpaceDN/>
              <w:bidi w:val="0"/>
              <w:adjustRightInd/>
              <w:snapToGrid/>
              <w:spacing w:line="360" w:lineRule="auto"/>
              <w:textAlignment w:val="auto"/>
              <w:rPr>
                <w:szCs w:val="21"/>
              </w:rPr>
            </w:pPr>
            <w:r>
              <w:rPr>
                <w:rFonts w:hint="eastAsia"/>
                <w:szCs w:val="21"/>
              </w:rPr>
              <w:t>S为评标基准价。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3"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条款号</w:t>
            </w:r>
          </w:p>
        </w:tc>
        <w:tc>
          <w:tcPr>
            <w:tcW w:w="1985"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评分因素（偏差率）</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b/>
                <w:szCs w:val="21"/>
              </w:rPr>
            </w:pPr>
            <w:r>
              <w:rPr>
                <w:rFonts w:hint="eastAsia"/>
                <w:b/>
                <w:szCs w:val="21"/>
              </w:rPr>
              <w:t>评分标准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3" w:hRule="atLeast"/>
        </w:trPr>
        <w:tc>
          <w:tcPr>
            <w:tcW w:w="743" w:type="dxa"/>
            <w:vMerge w:val="restart"/>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2.2.4</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（1）</w:t>
            </w:r>
          </w:p>
        </w:tc>
        <w:tc>
          <w:tcPr>
            <w:tcW w:w="1100" w:type="dxa"/>
            <w:gridSpan w:val="2"/>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lang w:val="en-US" w:eastAsia="zh-CN"/>
              </w:rPr>
              <w:t>商务部分</w:t>
            </w:r>
            <w:r>
              <w:rPr>
                <w:rFonts w:hint="eastAsia"/>
                <w:szCs w:val="21"/>
              </w:rPr>
              <w:t>评分标准（满分</w:t>
            </w:r>
            <w:r>
              <w:rPr>
                <w:rFonts w:hint="eastAsia"/>
                <w:szCs w:val="21"/>
                <w:lang w:val="en-US" w:eastAsia="zh-CN"/>
              </w:rPr>
              <w:t>20</w:t>
            </w:r>
            <w:r>
              <w:rPr>
                <w:rFonts w:hint="eastAsia"/>
                <w:szCs w:val="21"/>
              </w:rPr>
              <w:t>分）</w:t>
            </w:r>
          </w:p>
        </w:tc>
        <w:tc>
          <w:tcPr>
            <w:tcW w:w="1985" w:type="dxa"/>
            <w:gridSpan w:val="3"/>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zCs w:val="21"/>
                <w:lang w:val="en-US" w:eastAsia="zh-CN"/>
              </w:rPr>
            </w:pPr>
            <w:r>
              <w:rPr>
                <w:rFonts w:hint="eastAsia"/>
                <w:szCs w:val="21"/>
              </w:rPr>
              <w:t>信用</w:t>
            </w:r>
            <w:r>
              <w:rPr>
                <w:rFonts w:hint="eastAsia"/>
                <w:lang w:val="en-US" w:eastAsia="zh-CN"/>
              </w:rPr>
              <w:t>等级</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（满分</w:t>
            </w:r>
            <w:r>
              <w:rPr>
                <w:rFonts w:hint="eastAsia"/>
                <w:szCs w:val="21"/>
                <w:lang w:val="en-US" w:eastAsia="zh-CN"/>
              </w:rPr>
              <w:t>3</w:t>
            </w:r>
            <w:r>
              <w:rPr>
                <w:rFonts w:hint="eastAsia"/>
                <w:szCs w:val="21"/>
              </w:rPr>
              <w:t>分）</w:t>
            </w:r>
          </w:p>
        </w:tc>
        <w:tc>
          <w:tcPr>
            <w:tcW w:w="5103" w:type="dxa"/>
            <w:tcBorders>
              <w:bottom w:val="single" w:color="auto" w:sz="4" w:space="0"/>
            </w:tcBorders>
            <w:vAlign w:val="center"/>
          </w:tcPr>
          <w:p>
            <w:pPr>
              <w:keepNext w:val="0"/>
              <w:keepLines w:val="0"/>
              <w:pageBreakBefore w:val="0"/>
              <w:numPr>
                <w:ilvl w:val="0"/>
                <w:numId w:val="14"/>
              </w:numPr>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经中国水利部认定为AAA级的，得3分。其中：勘察AAA级的，得1.5分；设计AAA级的，得1.5分。</w:t>
            </w:r>
          </w:p>
          <w:p>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Cs w:val="21"/>
              </w:rPr>
            </w:pPr>
            <w:r>
              <w:rPr>
                <w:rFonts w:hint="eastAsia"/>
                <w:szCs w:val="21"/>
              </w:rPr>
              <w:t>经中国水利部认定为AA级的，得2分。其中：勘察AA级得1分，设计AA级得1分。</w:t>
            </w:r>
          </w:p>
          <w:p>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Cs w:val="21"/>
              </w:rPr>
            </w:pPr>
            <w:r>
              <w:rPr>
                <w:rFonts w:hint="eastAsia"/>
                <w:szCs w:val="21"/>
              </w:rPr>
              <w:t>经中国水利部认定为A级的，得1.5分；其中：勘察A级得0.75分，设计A级得0.75分。</w:t>
            </w:r>
          </w:p>
          <w:p>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Cs w:val="21"/>
              </w:rPr>
            </w:pPr>
            <w:r>
              <w:rPr>
                <w:rFonts w:hint="eastAsia"/>
                <w:szCs w:val="21"/>
              </w:rPr>
              <w:t>经中国水利部认定为B级及以下的，得1分。其中：勘察B级及以下得0.5分，设计B级及以下得0.5分。</w:t>
            </w:r>
          </w:p>
          <w:p>
            <w:pPr>
              <w:keepNext w:val="0"/>
              <w:keepLines w:val="0"/>
              <w:pageBreakBefore w:val="0"/>
              <w:kinsoku/>
              <w:wordWrap/>
              <w:overflowPunct/>
              <w:topLinePunct w:val="0"/>
              <w:autoSpaceDE/>
              <w:autoSpaceDN/>
              <w:bidi w:val="0"/>
              <w:adjustRightInd/>
              <w:snapToGrid/>
              <w:spacing w:line="360" w:lineRule="auto"/>
              <w:jc w:val="both"/>
              <w:textAlignment w:val="auto"/>
              <w:rPr>
                <w:szCs w:val="21"/>
              </w:rPr>
            </w:pPr>
            <w:r>
              <w:rPr>
                <w:rFonts w:hint="eastAsia"/>
                <w:szCs w:val="21"/>
              </w:rPr>
              <w:t>备注：由招标人在招标文件中确定本招标项目的具体类型（如勘察、设计、勘察设计）。根据项目类型，按照投标人所具有的信用评价等级分别计分。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3"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985" w:type="dxa"/>
            <w:gridSpan w:val="3"/>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r>
              <w:rPr>
                <w:rFonts w:hint="eastAsia"/>
                <w:szCs w:val="21"/>
              </w:rPr>
              <w:t>市场监管行为评价（满分</w:t>
            </w:r>
            <w:r>
              <w:rPr>
                <w:rFonts w:hint="eastAsia"/>
                <w:szCs w:val="21"/>
                <w:lang w:val="en-US" w:eastAsia="zh-CN"/>
              </w:rPr>
              <w:t>3</w:t>
            </w:r>
            <w:r>
              <w:rPr>
                <w:rFonts w:hint="eastAsia"/>
                <w:szCs w:val="21"/>
              </w:rPr>
              <w:t>分）</w:t>
            </w:r>
          </w:p>
        </w:tc>
        <w:tc>
          <w:tcPr>
            <w:tcW w:w="5103" w:type="dxa"/>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（1）“一般失信信息”扣分标准如下：</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①以普通程序作出的罚款的扣2.5分/次；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②没收违法所得的扣2.5分/次；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③没收非法财物的扣2.5分/次；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④暂扣许可证件的扣2.5分/次。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（2）“严重失信信息”扣分标准如下：</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①吊销许可证件的扣完；</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②降低资质等级的扣完；</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③限制从业的扣完；</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④不得申请行政许可的扣完。</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同一失信行为同时受到两类及以上行政处理的，按最重的行政处理进行计分。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szCs w:val="21"/>
              </w:rPr>
            </w:pPr>
            <w:r>
              <w:rPr>
                <w:rFonts w:hint="eastAsia"/>
                <w:szCs w:val="21"/>
                <w:lang w:val="en-US" w:eastAsia="zh-CN"/>
              </w:rPr>
              <w:t>投标人</w:t>
            </w:r>
            <w:r>
              <w:rPr>
                <w:rFonts w:hint="eastAsia"/>
                <w:szCs w:val="21"/>
              </w:rPr>
              <w:t>类似项目业绩（满分</w:t>
            </w:r>
            <w:r>
              <w:rPr>
                <w:rFonts w:hint="eastAsia"/>
                <w:szCs w:val="21"/>
                <w:lang w:val="en-US" w:eastAsia="zh-CN"/>
              </w:rPr>
              <w:t>6</w:t>
            </w:r>
            <w:r>
              <w:rPr>
                <w:rFonts w:hint="eastAsia"/>
                <w:szCs w:val="21"/>
              </w:rPr>
              <w:t>分）</w:t>
            </w:r>
          </w:p>
        </w:tc>
        <w:tc>
          <w:tcPr>
            <w:tcW w:w="5103"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1）近十年以招标公告发布之日起往前推算（可行性研究或初步设计阶段项目业绩，以批复文件的批复时间为准；施工图阶段设计项目业绩，以该设计项目所对应的工程“竣工时间”或“完工时间”为准。下同）承接过类似勘察设计项目，且有证明文件的，得3分，每多一项加1分，最多得6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（2）近</w:t>
            </w:r>
            <w:r>
              <w:rPr>
                <w:rFonts w:hint="eastAsia"/>
                <w:szCs w:val="21"/>
                <w:highlight w:val="none"/>
                <w:lang w:val="en-US" w:eastAsia="zh-CN"/>
              </w:rPr>
              <w:t>十</w:t>
            </w:r>
            <w:r>
              <w:rPr>
                <w:rFonts w:hint="eastAsia"/>
                <w:szCs w:val="21"/>
                <w:highlight w:val="none"/>
              </w:rPr>
              <w:t>年未承接过类似工程勘察设计项目、但承接过其他同等级水利工程规模或建筑物级别水利工程勘察设计项目，且有证明文件的，得1分，每多一项加1分，最多得4分；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（3）近</w:t>
            </w:r>
            <w:r>
              <w:rPr>
                <w:rFonts w:hint="eastAsia"/>
                <w:szCs w:val="21"/>
                <w:highlight w:val="none"/>
                <w:lang w:val="en-US" w:eastAsia="zh-CN"/>
              </w:rPr>
              <w:t>十</w:t>
            </w:r>
            <w:r>
              <w:rPr>
                <w:rFonts w:hint="eastAsia"/>
                <w:szCs w:val="21"/>
                <w:highlight w:val="none"/>
              </w:rPr>
              <w:t>年未承接过类似勘察设计项目的，得0分。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lang w:val="en-US" w:eastAsia="zh-CN"/>
              </w:rPr>
              <w:t>同一项目</w:t>
            </w:r>
            <w:r>
              <w:rPr>
                <w:rFonts w:hint="eastAsia"/>
                <w:szCs w:val="21"/>
                <w:highlight w:val="none"/>
              </w:rPr>
              <w:t>同时满足以上多项条款的，按得分最高的条款进行计分。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业绩认定应同时满足以下条件：</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（1）已完成勘察设计项目业绩需提供业绩认定以中标（成交）通知书、合同文件、批复文件（可研批复或初设批复或实施方案批复）</w:t>
            </w:r>
            <w:r>
              <w:rPr>
                <w:rFonts w:hint="eastAsia"/>
                <w:szCs w:val="21"/>
                <w:highlight w:val="none"/>
                <w:lang w:val="en-US" w:eastAsia="zh-CN"/>
              </w:rPr>
              <w:t>或</w:t>
            </w:r>
            <w:r>
              <w:rPr>
                <w:rFonts w:hint="eastAsia"/>
                <w:szCs w:val="21"/>
                <w:highlight w:val="none"/>
                <w:lang w:eastAsia="zh-CN"/>
              </w:rPr>
              <w:t>验收鉴定书（完工验收鉴定书或竣工验收鉴定书或发包人证明材料）为准</w:t>
            </w:r>
            <w:r>
              <w:rPr>
                <w:rFonts w:hint="eastAsia"/>
                <w:szCs w:val="21"/>
                <w:highlight w:val="none"/>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上述证明材料必须与全国水利建设市场监管平台填报公示信息一致，不一致的不予认定；</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上述发包人证明须经发包人加盖公章。</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（2）与招标勘察设计项目主体工程相类似的对应规模等级或水闸或水工主要建筑物等级；</w:t>
            </w:r>
          </w:p>
          <w:p>
            <w:pPr>
              <w:keepNext w:val="0"/>
              <w:keepLines w:val="0"/>
              <w:pageBreakBefore w:val="0"/>
              <w:kinsoku/>
              <w:wordWrap/>
              <w:overflowPunct/>
              <w:topLinePunct w:val="0"/>
              <w:autoSpaceDE/>
              <w:autoSpaceDN/>
              <w:bidi w:val="0"/>
              <w:adjustRightInd/>
              <w:snapToGrid/>
              <w:spacing w:line="360" w:lineRule="auto"/>
              <w:jc w:val="both"/>
              <w:textAlignment w:val="auto"/>
              <w:rPr>
                <w:szCs w:val="21"/>
                <w:highlight w:val="none"/>
              </w:rPr>
            </w:pPr>
            <w:r>
              <w:rPr>
                <w:rFonts w:hint="eastAsia"/>
                <w:szCs w:val="21"/>
                <w:highlight w:val="none"/>
              </w:rPr>
              <w:t>（3）招标人根据招标项目主体工程类别按</w:t>
            </w:r>
            <w:r>
              <w:rPr>
                <w:rFonts w:hint="eastAsia"/>
                <w:szCs w:val="21"/>
                <w:highlight w:val="none"/>
                <w:lang w:val="en-US" w:eastAsia="zh-CN"/>
              </w:rPr>
              <w:t>使用说明附表1中确定的</w:t>
            </w:r>
            <w:r>
              <w:rPr>
                <w:rFonts w:hint="eastAsia"/>
                <w:szCs w:val="21"/>
                <w:highlight w:val="none"/>
              </w:rPr>
              <w:t>类似业绩的类别。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985" w:type="dxa"/>
            <w:gridSpan w:val="3"/>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szCs w:val="21"/>
              </w:rPr>
            </w:pPr>
            <w:r>
              <w:rPr>
                <w:rFonts w:hint="eastAsia"/>
                <w:szCs w:val="21"/>
              </w:rPr>
              <w:t>项目负责人资历和业绩（满分</w:t>
            </w:r>
            <w:r>
              <w:rPr>
                <w:rFonts w:hint="eastAsia"/>
                <w:szCs w:val="21"/>
                <w:lang w:val="en-US" w:eastAsia="zh-CN"/>
              </w:rPr>
              <w:t>8</w:t>
            </w:r>
            <w:r>
              <w:rPr>
                <w:rFonts w:hint="eastAsia"/>
                <w:szCs w:val="21"/>
              </w:rPr>
              <w:t>分）</w:t>
            </w:r>
          </w:p>
        </w:tc>
        <w:tc>
          <w:tcPr>
            <w:tcW w:w="5103"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（1）项目负责人具有水利</w:t>
            </w:r>
            <w:r>
              <w:rPr>
                <w:rFonts w:hint="eastAsia"/>
                <w:szCs w:val="21"/>
                <w:highlight w:val="none"/>
                <w:lang w:val="en-US" w:eastAsia="zh-CN"/>
              </w:rPr>
              <w:t>相关</w:t>
            </w:r>
            <w:r>
              <w:rPr>
                <w:rFonts w:hint="eastAsia"/>
                <w:szCs w:val="21"/>
                <w:highlight w:val="none"/>
              </w:rPr>
              <w:t>专业高级职称，承担过类似工程勘察设计项目（类似项目应在招标文件中界定，下同）的项目负责人（项目总设计师）且有证明文件的，得2分，每多一项得2分，最多得8分；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（2）项目负责人具有水利</w:t>
            </w:r>
            <w:r>
              <w:rPr>
                <w:rFonts w:hint="eastAsia"/>
                <w:szCs w:val="21"/>
                <w:highlight w:val="none"/>
                <w:lang w:val="en-US" w:eastAsia="zh-CN"/>
              </w:rPr>
              <w:t>相关</w:t>
            </w:r>
            <w:r>
              <w:rPr>
                <w:rFonts w:hint="eastAsia"/>
                <w:szCs w:val="21"/>
                <w:highlight w:val="none"/>
              </w:rPr>
              <w:t>专业中级职称，承担过类似勘察设计项目负责人且有证明文件的，得1.5分，每多一项得1.5分，最多得6分；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（3）项目负责人具有水利</w:t>
            </w:r>
            <w:r>
              <w:rPr>
                <w:rFonts w:hint="eastAsia"/>
                <w:szCs w:val="21"/>
                <w:highlight w:val="none"/>
                <w:lang w:val="en-US" w:eastAsia="zh-CN"/>
              </w:rPr>
              <w:t>相关</w:t>
            </w:r>
            <w:r>
              <w:rPr>
                <w:rFonts w:hint="eastAsia"/>
                <w:szCs w:val="21"/>
                <w:highlight w:val="none"/>
              </w:rPr>
              <w:t>专业中级及以上职称，没有担任过类似工程、但担任过其他同等工程规模或建筑物级别水利工程项目负责人（项目总设计师）且有证明文件的，得1分，每多一项得1分，最多得4分；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（4）项目负责人没有担任项目负责人经历的，得0分。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同时满足以上多项条款的，按得分最高的条款进行计分。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业绩认定应同时满足以下条件：</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1）业绩认定以中标（成交）通知书、合同文件、批复文件（可研批复或初设批复或实施方案批复）或验收鉴定书（完工验收鉴定书或竣工验收鉴定书或发包人证明材料）为准，证明材料必须载明项目负责人（项目总设计师）姓名，证明材料必须与全国水利建设市场监管平台填报公示信息一致，不一致的不予认定。</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上述发包人证明须经发包人加盖公章。</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（2）与招标勘察设计项目主体工程相类似的对应规模等级或水闸或水工主要建筑物等级；</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szCs w:val="21"/>
                <w:highlight w:val="none"/>
              </w:rPr>
            </w:pPr>
            <w:r>
              <w:rPr>
                <w:rFonts w:hint="eastAsia"/>
                <w:szCs w:val="21"/>
                <w:highlight w:val="none"/>
              </w:rPr>
              <w:t>（3）招标人根据招标项目主体工程类别按使用说明附表1中确定的类似业绩的类别。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1"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7088" w:type="dxa"/>
            <w:gridSpan w:val="4"/>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asciiTheme="minorEastAsia" w:hAnsiTheme="minorEastAsia"/>
                <w:b/>
                <w:szCs w:val="21"/>
                <w:highlight w:val="none"/>
              </w:rPr>
              <w:t>【注：</w:t>
            </w:r>
            <w:r>
              <w:rPr>
                <w:rFonts w:hint="eastAsia" w:asciiTheme="minorEastAsia" w:hAnsiTheme="minorEastAsia"/>
                <w:b/>
                <w:highlight w:val="none"/>
              </w:rPr>
              <w:t>招标</w:t>
            </w:r>
            <w:r>
              <w:rPr>
                <w:rFonts w:hint="eastAsia" w:asciiTheme="minorEastAsia" w:hAnsiTheme="minorEastAsia"/>
                <w:b/>
                <w:szCs w:val="21"/>
                <w:highlight w:val="none"/>
              </w:rPr>
              <w:t>人应按上述评分因素设定评分标准</w:t>
            </w:r>
            <w:r>
              <w:rPr>
                <w:rFonts w:hint="eastAsia" w:asciiTheme="minorEastAsia" w:hAnsiTheme="minorEastAsia"/>
                <w:b/>
                <w:szCs w:val="21"/>
                <w:highlight w:val="none"/>
                <w:lang w:eastAsia="zh-CN"/>
              </w:rPr>
              <w:t>，</w:t>
            </w:r>
            <w:r>
              <w:rPr>
                <w:rFonts w:hint="eastAsia" w:asciiTheme="minorEastAsia" w:hAnsiTheme="minorEastAsia"/>
                <w:b/>
                <w:szCs w:val="21"/>
                <w:highlight w:val="none"/>
                <w:lang w:val="en-US" w:eastAsia="zh-CN"/>
              </w:rPr>
              <w:t>并根据招标项目设计阶段要求，明确证明材料的具体类型。</w:t>
            </w:r>
            <w:r>
              <w:rPr>
                <w:rFonts w:hint="eastAsia" w:asciiTheme="minorEastAsia" w:hAnsiTheme="minorEastAsia"/>
                <w:b/>
                <w:szCs w:val="21"/>
              </w:rPr>
              <w:t>评审结果由电子招标投标交易平台自动计算，并经评标委员会核对、确认。】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restart"/>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2.2.4</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（2）</w:t>
            </w:r>
          </w:p>
        </w:tc>
        <w:tc>
          <w:tcPr>
            <w:tcW w:w="1100" w:type="dxa"/>
            <w:gridSpan w:val="2"/>
            <w:vMerge w:val="restart"/>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lang w:val="en-US" w:eastAsia="zh-Hans"/>
              </w:rPr>
              <w:t>技术</w:t>
            </w:r>
            <w:r>
              <w:rPr>
                <w:rFonts w:hint="eastAsia"/>
                <w:szCs w:val="21"/>
                <w:lang w:val="en-US" w:eastAsia="zh-CN"/>
              </w:rPr>
              <w:t>部分（</w:t>
            </w:r>
            <w:r>
              <w:rPr>
                <w:rFonts w:hint="eastAsia"/>
                <w:szCs w:val="21"/>
              </w:rPr>
              <w:t>满分4</w:t>
            </w:r>
            <w:r>
              <w:rPr>
                <w:rFonts w:hint="eastAsia"/>
                <w:szCs w:val="21"/>
                <w:lang w:val="en-US" w:eastAsia="zh-CN"/>
              </w:rPr>
              <w:t>0</w:t>
            </w:r>
            <w:r>
              <w:rPr>
                <w:rFonts w:hint="eastAsia"/>
                <w:szCs w:val="21"/>
              </w:rPr>
              <w:t>分）</w:t>
            </w:r>
          </w:p>
        </w:tc>
        <w:tc>
          <w:tcPr>
            <w:tcW w:w="992" w:type="dxa"/>
            <w:vMerge w:val="restart"/>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szCs w:val="21"/>
              </w:rPr>
            </w:pPr>
            <w:r>
              <w:rPr>
                <w:rFonts w:hint="eastAsia"/>
                <w:szCs w:val="21"/>
              </w:rPr>
              <w:t>（一）设计方案（3</w:t>
            </w:r>
            <w:r>
              <w:rPr>
                <w:rFonts w:hint="eastAsia"/>
                <w:szCs w:val="21"/>
                <w:lang w:val="en-US" w:eastAsia="zh-CN"/>
              </w:rPr>
              <w:t>4</w:t>
            </w:r>
            <w:r>
              <w:rPr>
                <w:rFonts w:hint="eastAsia"/>
                <w:szCs w:val="21"/>
              </w:rPr>
              <w:t>分）</w:t>
            </w: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szCs w:val="21"/>
              </w:rPr>
            </w:pPr>
            <w:r>
              <w:rPr>
                <w:rFonts w:hint="eastAsia"/>
                <w:szCs w:val="21"/>
              </w:rPr>
              <w:t>1.勘察设计工作方案思路（</w:t>
            </w:r>
            <w:r>
              <w:rPr>
                <w:rFonts w:hint="eastAsia"/>
                <w:szCs w:val="21"/>
                <w:lang w:val="en-US" w:eastAsia="zh-CN"/>
              </w:rPr>
              <w:t>满分</w:t>
            </w:r>
            <w:r>
              <w:rPr>
                <w:rFonts w:hint="eastAsia"/>
                <w:szCs w:val="21"/>
              </w:rPr>
              <w:t>5分）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szCs w:val="21"/>
              </w:rPr>
            </w:pPr>
            <w:r>
              <w:rPr>
                <w:rFonts w:hint="eastAsia"/>
                <w:szCs w:val="21"/>
              </w:rPr>
              <w:t>对勘察设计方案的总体思路、各专项思路的完整、合理进行评分。符合的，得5分，比较符合的，得3分，基本符合的，得2分，不符合或未提供的，得0分。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2.设计说明与设计方案（</w:t>
            </w:r>
            <w:r>
              <w:rPr>
                <w:rFonts w:hint="eastAsia"/>
                <w:szCs w:val="21"/>
                <w:lang w:val="en-US" w:eastAsia="zh-CN"/>
              </w:rPr>
              <w:t>满分7</w:t>
            </w:r>
            <w:r>
              <w:rPr>
                <w:rFonts w:hint="eastAsia"/>
                <w:szCs w:val="21"/>
              </w:rPr>
              <w:t>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对勘察设计项目的设计说明的合理清晰、设计依据的合规适用、设计方案的完整可行进行评分。符合的，得7分，比较符合的，得5分，基本符合的，得3分，不符合或者未提供的，得0分。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3.对项目关键点、难点的理解及措施（</w:t>
            </w:r>
            <w:r>
              <w:rPr>
                <w:rFonts w:hint="eastAsia"/>
                <w:szCs w:val="21"/>
                <w:lang w:val="en-US" w:eastAsia="zh-CN"/>
              </w:rPr>
              <w:t>满分</w:t>
            </w:r>
            <w:r>
              <w:rPr>
                <w:rFonts w:hint="eastAsia"/>
                <w:szCs w:val="21"/>
              </w:rPr>
              <w:t>5分）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（1）对项目关键点、难点的识别、理解和分析进行评分。符合</w:t>
            </w:r>
            <w:r>
              <w:rPr>
                <w:rFonts w:hint="eastAsia"/>
                <w:szCs w:val="21"/>
                <w:lang w:val="en-US" w:eastAsia="zh-CN"/>
              </w:rPr>
              <w:t>的</w:t>
            </w:r>
            <w:r>
              <w:rPr>
                <w:rFonts w:hint="eastAsia"/>
                <w:szCs w:val="21"/>
              </w:rPr>
              <w:t>，得3分，比较符合的，得2分，基本符合的，得1分，不符合或未提供的，得0分。</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（2）对项目关键点、难点的应对措施、风险防范进行评分。符合的，得2分，比较符合的，得1分，不符合或未提供的，得0分。</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常见难点与关键点见释义中的附表。其他类型项目由招标人自行制定并在招标文件中明确。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4.质量控制的程序、措施和质量保证体系（</w:t>
            </w:r>
            <w:r>
              <w:rPr>
                <w:rFonts w:hint="eastAsia"/>
                <w:szCs w:val="21"/>
                <w:lang w:val="en-US" w:eastAsia="zh-CN"/>
              </w:rPr>
              <w:t>满分</w:t>
            </w:r>
            <w:r>
              <w:rPr>
                <w:rFonts w:hint="eastAsia"/>
                <w:szCs w:val="21"/>
              </w:rPr>
              <w:t>5分）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对项目质量控制的组织形式、质量保证措施及管理措施的合理与可行性进行评分。符合的，得5分，比较符合的，得3分，基本符合的，得2分，不符合或未提供的，得0分。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5.工作进度计划安排及措施（</w:t>
            </w:r>
            <w:r>
              <w:rPr>
                <w:rFonts w:hint="eastAsia"/>
                <w:szCs w:val="21"/>
                <w:lang w:val="en-US" w:eastAsia="zh-CN"/>
              </w:rPr>
              <w:t>满分4</w:t>
            </w:r>
            <w:r>
              <w:rPr>
                <w:rFonts w:hint="eastAsia"/>
                <w:szCs w:val="21"/>
              </w:rPr>
              <w:t>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（1）对项目总体计划安排、各专项任务的衔接、提供成果时间点等的进度计划与招标项目要求的符合程度进行评分。符合的，得2分，比较符合的，得1分，不符合或未提供的，得0分。</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（2）对勘察设计的后续服务内容承诺及保证措施的符合程度进行评分，符合的，得2分，比较符合的，得1分，不符合或未提供的，得0分。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6.设计安全保障措施（</w:t>
            </w:r>
            <w:r>
              <w:rPr>
                <w:rFonts w:hint="eastAsia"/>
                <w:szCs w:val="21"/>
                <w:lang w:val="en-US" w:eastAsia="zh-CN"/>
              </w:rPr>
              <w:t>满分</w:t>
            </w:r>
            <w:r>
              <w:rPr>
                <w:rFonts w:hint="eastAsia"/>
                <w:szCs w:val="21"/>
              </w:rPr>
              <w:t>3分）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对设计安全保障措施（至少包括对勘察设计过程中的人员安全、财产安全、交付产品安全）进行评分。符合的，得3分，比较符合的，得2分，基本符合的，得1分，不符合或未提供的，得0分。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7.技术创新与信息化应用（</w:t>
            </w:r>
            <w:r>
              <w:rPr>
                <w:rFonts w:hint="eastAsia"/>
                <w:szCs w:val="21"/>
                <w:lang w:val="en-US" w:eastAsia="zh-CN"/>
              </w:rPr>
              <w:t>满分2</w:t>
            </w:r>
            <w:r>
              <w:rPr>
                <w:rFonts w:hint="eastAsia"/>
                <w:szCs w:val="21"/>
              </w:rPr>
              <w:t>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投标人明确拟在项目中采用适用的节能环保、低碳、智能、绿色设计理念及科技成果的应用，或基于BIM、GIS等技术和模拟分析软件开展多专业一体化设计等智能设计与数字化设计体系的数字化产品交付，或对采用适用的新技术、新工艺、新材料、新装备、智能建造技术（“四新”技术是指水利部科技与国际合作司、新疆维吾尔自治区科学技术厅确定的相关技术推广目录）的适用程度进行评分，适用的，得2分，比较适用的，得1分，不适用或未提供的，得0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由招标人在招标文件中根据项目实际特点，明确技术创新与信息化应用的具体使用要求。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8.投资控制措施及其可行性（</w:t>
            </w:r>
            <w:r>
              <w:rPr>
                <w:rFonts w:hint="eastAsia"/>
                <w:szCs w:val="21"/>
                <w:lang w:val="en-US" w:eastAsia="zh-CN"/>
              </w:rPr>
              <w:t>满分2</w:t>
            </w:r>
            <w:r>
              <w:rPr>
                <w:rFonts w:hint="eastAsia"/>
                <w:szCs w:val="21"/>
              </w:rPr>
              <w:t>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对投资控制措施及其可行性进行评分。符合的，得</w:t>
            </w:r>
            <w:r>
              <w:rPr>
                <w:rFonts w:hint="eastAsia"/>
                <w:szCs w:val="21"/>
                <w:lang w:val="en-US" w:eastAsia="zh-CN"/>
              </w:rPr>
              <w:t>2</w:t>
            </w:r>
            <w:r>
              <w:rPr>
                <w:rFonts w:hint="eastAsia"/>
                <w:szCs w:val="21"/>
              </w:rPr>
              <w:t>分，比较符合的，得</w:t>
            </w:r>
            <w:r>
              <w:rPr>
                <w:rFonts w:hint="eastAsia"/>
                <w:szCs w:val="21"/>
                <w:lang w:val="en-US" w:eastAsia="zh-CN"/>
              </w:rPr>
              <w:t>1</w:t>
            </w:r>
            <w:r>
              <w:rPr>
                <w:rFonts w:hint="eastAsia"/>
                <w:szCs w:val="21"/>
              </w:rPr>
              <w:t>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9.合理化建议（</w:t>
            </w:r>
            <w:r>
              <w:rPr>
                <w:rFonts w:hint="eastAsia"/>
                <w:szCs w:val="21"/>
                <w:lang w:val="en-US" w:eastAsia="zh-CN"/>
              </w:rPr>
              <w:t>满分1</w:t>
            </w:r>
            <w:r>
              <w:rPr>
                <w:rFonts w:hint="eastAsia"/>
                <w:szCs w:val="21"/>
              </w:rPr>
              <w:t>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对合理化建议的合理程度进行评分。合理的，得</w:t>
            </w:r>
            <w:r>
              <w:rPr>
                <w:rFonts w:hint="eastAsia"/>
                <w:szCs w:val="21"/>
                <w:lang w:val="en-US" w:eastAsia="zh-CN"/>
              </w:rPr>
              <w:t>1</w:t>
            </w:r>
            <w:r>
              <w:rPr>
                <w:rFonts w:hint="eastAsia"/>
                <w:szCs w:val="21"/>
              </w:rPr>
              <w:t>分，比较合理的，得</w:t>
            </w:r>
            <w:r>
              <w:rPr>
                <w:rFonts w:hint="eastAsia"/>
                <w:szCs w:val="21"/>
                <w:lang w:val="en-US" w:eastAsia="zh-CN"/>
              </w:rPr>
              <w:t>0.5</w:t>
            </w:r>
            <w:r>
              <w:rPr>
                <w:rFonts w:hint="eastAsia"/>
                <w:szCs w:val="21"/>
              </w:rPr>
              <w:t>分，不合理或未提供的，得0分。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restart"/>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r>
              <w:rPr>
                <w:rFonts w:hint="eastAsia"/>
                <w:szCs w:val="21"/>
              </w:rPr>
              <w:t>（二）资源配备及服务能力（6分）</w:t>
            </w: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r>
              <w:rPr>
                <w:rFonts w:hint="eastAsia"/>
                <w:szCs w:val="21"/>
              </w:rPr>
              <w:t>1.项目机构设置（1分）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对项目机构设置、岗位职责的合理与完备性的符合程度进行评分，比较符合的，得1分，基本符合的，得0.5分，不符合或未提供的，得0分。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2.人员总体配备（</w:t>
            </w:r>
            <w:r>
              <w:rPr>
                <w:rFonts w:hint="eastAsia"/>
                <w:szCs w:val="21"/>
                <w:lang w:val="en-US" w:eastAsia="zh-CN"/>
              </w:rPr>
              <w:t>满分</w:t>
            </w:r>
            <w:r>
              <w:rPr>
                <w:rFonts w:hint="eastAsia"/>
                <w:szCs w:val="21"/>
              </w:rPr>
              <w:t>3分）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对人员配备从专业、岗位、人数等方面与招标要求的匹配程度进行评分。比较符合的，得3分，基本符合的，得1.5分，不符合或未提供的，得0分。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由招标人在招标文件中明确本项目的专业、岗位、人数的具体要求。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3.拟投入的技术装备（</w:t>
            </w:r>
            <w:r>
              <w:rPr>
                <w:rFonts w:hint="eastAsia"/>
                <w:szCs w:val="21"/>
                <w:lang w:val="en-US" w:eastAsia="zh-CN"/>
              </w:rPr>
              <w:t>满分</w:t>
            </w:r>
            <w:r>
              <w:rPr>
                <w:rFonts w:hint="eastAsia"/>
                <w:szCs w:val="21"/>
              </w:rPr>
              <w:t>1分）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对拟投入的主要技术装备的合理与完备性进行评分，比较合理与完备的，得1分，基本合理与完备的，得0.5分，不符合或未提供的，得0分。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9"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szCs w:val="21"/>
                <w:lang w:val="en-US" w:eastAsia="zh-Hans"/>
              </w:rPr>
            </w:pPr>
          </w:p>
        </w:tc>
        <w:tc>
          <w:tcPr>
            <w:tcW w:w="99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p>
        </w:tc>
        <w:tc>
          <w:tcPr>
            <w:tcW w:w="993" w:type="dxa"/>
            <w:gridSpan w:val="2"/>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szCs w:val="21"/>
              </w:rPr>
            </w:pPr>
            <w:r>
              <w:rPr>
                <w:rFonts w:hint="eastAsia"/>
                <w:szCs w:val="21"/>
              </w:rPr>
              <w:t>4.设计代表驻场承诺（</w:t>
            </w:r>
            <w:r>
              <w:rPr>
                <w:rFonts w:hint="eastAsia"/>
                <w:szCs w:val="21"/>
                <w:lang w:val="en-US" w:eastAsia="zh-CN"/>
              </w:rPr>
              <w:t>满分</w:t>
            </w:r>
            <w:r>
              <w:rPr>
                <w:rFonts w:hint="eastAsia"/>
                <w:szCs w:val="21"/>
              </w:rPr>
              <w:t>1分）</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由投标人书面承诺：按照招标要求，根据工程建设需要设立设计代表机构或派驻合格设计代表，及时处理设计问题、办理设计变更，并满足驻场时间要求。有书面承诺且符合招标要求的，得1分，否则得0分。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szCs w:val="21"/>
              </w:rPr>
            </w:pPr>
            <w:r>
              <w:rPr>
                <w:rFonts w:hint="eastAsia"/>
                <w:szCs w:val="21"/>
              </w:rPr>
              <w:t>由招标人在招标文件中明确具体派驻要求。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7" w:hRule="atLeast"/>
        </w:trPr>
        <w:tc>
          <w:tcPr>
            <w:tcW w:w="743" w:type="dxa"/>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1100" w:type="dxa"/>
            <w:gridSpan w:val="2"/>
            <w:vMerge w:val="continue"/>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p>
        </w:tc>
        <w:tc>
          <w:tcPr>
            <w:tcW w:w="7088" w:type="dxa"/>
            <w:gridSpan w:val="4"/>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szCs w:val="21"/>
              </w:rPr>
            </w:pPr>
            <w:r>
              <w:rPr>
                <w:rFonts w:hint="eastAsia"/>
                <w:b/>
                <w:bCs/>
                <w:szCs w:val="21"/>
              </w:rPr>
              <w:t>【注：1、投标人应结合招标项目的特点和实际需要，按上述章节编制设计方案、资源配备及服务能力。2、设计方案、资源配备及服务能力采用暗标评审，提交的设计方案、资源配备及服务能力不得有任何有关投标人的暗示。否则，将否决其投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8" w:hRule="atLeast"/>
        </w:trPr>
        <w:tc>
          <w:tcPr>
            <w:tcW w:w="74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2.2.4</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（3）</w:t>
            </w:r>
          </w:p>
        </w:tc>
        <w:tc>
          <w:tcPr>
            <w:tcW w:w="1100" w:type="dxa"/>
            <w:gridSpan w:val="2"/>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zCs w:val="21"/>
                <w:lang w:val="en-US" w:eastAsia="zh-CN"/>
              </w:rPr>
            </w:pPr>
            <w:r>
              <w:rPr>
                <w:rFonts w:hint="eastAsia"/>
                <w:szCs w:val="21"/>
              </w:rPr>
              <w:t>报价</w:t>
            </w:r>
            <w:r>
              <w:rPr>
                <w:rFonts w:hint="eastAsia"/>
                <w:szCs w:val="21"/>
                <w:lang w:val="en-US" w:eastAsia="zh-CN"/>
              </w:rPr>
              <w:t>部分</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评分标准（满分</w:t>
            </w:r>
            <w:r>
              <w:rPr>
                <w:rFonts w:hint="eastAsia"/>
                <w:szCs w:val="21"/>
                <w:lang w:val="en-US" w:eastAsia="zh-CN"/>
              </w:rPr>
              <w:t>40</w:t>
            </w:r>
            <w:r>
              <w:rPr>
                <w:rFonts w:hint="eastAsia"/>
                <w:szCs w:val="21"/>
              </w:rPr>
              <w:t>分）</w:t>
            </w:r>
          </w:p>
        </w:tc>
        <w:tc>
          <w:tcPr>
            <w:tcW w:w="1549" w:type="dxa"/>
            <w:gridSpan w:val="2"/>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eastAsiaTheme="minorEastAsia"/>
                <w:szCs w:val="21"/>
                <w:lang w:eastAsia="zh-CN"/>
              </w:rPr>
            </w:pPr>
            <w:r>
              <w:rPr>
                <w:rFonts w:hint="eastAsia"/>
                <w:szCs w:val="21"/>
                <w:lang w:val="en-US" w:eastAsia="zh-CN"/>
              </w:rPr>
              <w:t>投标总报价</w:t>
            </w:r>
          </w:p>
          <w:p>
            <w:pPr>
              <w:keepNext w:val="0"/>
              <w:keepLines w:val="0"/>
              <w:pageBreakBefore w:val="0"/>
              <w:kinsoku/>
              <w:wordWrap/>
              <w:overflowPunct/>
              <w:topLinePunct w:val="0"/>
              <w:autoSpaceDE/>
              <w:autoSpaceDN/>
              <w:bidi w:val="0"/>
              <w:adjustRightInd/>
              <w:snapToGrid/>
              <w:spacing w:line="360" w:lineRule="auto"/>
              <w:jc w:val="center"/>
              <w:textAlignment w:val="auto"/>
              <w:rPr>
                <w:szCs w:val="21"/>
              </w:rPr>
            </w:pPr>
            <w:r>
              <w:rPr>
                <w:rFonts w:hint="eastAsia"/>
                <w:szCs w:val="21"/>
              </w:rPr>
              <w:t>（满分</w:t>
            </w:r>
            <w:r>
              <w:rPr>
                <w:rFonts w:hint="eastAsia"/>
                <w:szCs w:val="21"/>
                <w:lang w:val="en-US" w:eastAsia="zh-CN"/>
              </w:rPr>
              <w:t>40</w:t>
            </w:r>
            <w:r>
              <w:rPr>
                <w:rFonts w:hint="eastAsia"/>
                <w:szCs w:val="21"/>
              </w:rPr>
              <w:t>分）</w:t>
            </w:r>
          </w:p>
        </w:tc>
        <w:tc>
          <w:tcPr>
            <w:tcW w:w="5539" w:type="dxa"/>
            <w:gridSpan w:val="2"/>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textAlignment w:val="auto"/>
              <w:rPr>
                <w:szCs w:val="21"/>
              </w:rPr>
            </w:pPr>
            <w:r>
              <w:rPr>
                <w:rFonts w:hint="eastAsia"/>
                <w:szCs w:val="21"/>
              </w:rPr>
              <w:t>投标报价偏差率得分由电子</w:t>
            </w:r>
            <w:r>
              <w:rPr>
                <w:rFonts w:hint="eastAsia" w:asciiTheme="minorEastAsia" w:hAnsiTheme="minorEastAsia"/>
                <w:szCs w:val="21"/>
              </w:rPr>
              <w:t>招标投标</w:t>
            </w:r>
            <w:r>
              <w:rPr>
                <w:rFonts w:hint="eastAsia"/>
                <w:szCs w:val="21"/>
              </w:rPr>
              <w:t>交易平台按下述公式自动计算，并提供计算过程表格，经评标委员会核对、确认（保留小数点后两位</w:t>
            </w:r>
            <w:r>
              <w:rPr>
                <w:rFonts w:hint="eastAsia"/>
                <w:kern w:val="0"/>
                <w:szCs w:val="21"/>
              </w:rPr>
              <w:t>，小数点后第三位“四舍五入”</w:t>
            </w:r>
            <w:r>
              <w:rPr>
                <w:rFonts w:hint="eastAsia"/>
                <w:szCs w:val="21"/>
              </w:rPr>
              <w:t>）：</w:t>
            </w:r>
          </w:p>
          <w:p>
            <w:pPr>
              <w:keepNext w:val="0"/>
              <w:keepLines w:val="0"/>
              <w:pageBreakBefore w:val="0"/>
              <w:kinsoku/>
              <w:wordWrap/>
              <w:overflowPunct/>
              <w:topLinePunct w:val="0"/>
              <w:autoSpaceDE/>
              <w:autoSpaceDN/>
              <w:bidi w:val="0"/>
              <w:adjustRightInd/>
              <w:snapToGrid/>
              <w:spacing w:line="360" w:lineRule="auto"/>
              <w:textAlignment w:val="auto"/>
              <w:rPr>
                <w:b/>
                <w:szCs w:val="21"/>
              </w:rPr>
            </w:pPr>
            <w:r>
              <w:rPr>
                <w:rFonts w:hint="eastAsia"/>
                <w:b w:val="0"/>
                <w:bCs/>
                <w:szCs w:val="21"/>
              </w:rPr>
              <w:t>投标总报价与评标基准价相等得满分，投标总报价每低于评标基准价1%扣0.3分，基本分12分；每高于评标基准价1%扣0.5分，基本分10分，处于整数点之间的值以内插法计算。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0" w:hRule="atLeast"/>
        </w:trPr>
        <w:tc>
          <w:tcPr>
            <w:tcW w:w="743" w:type="dxa"/>
            <w:tcBorders>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szCs w:val="21"/>
              </w:rPr>
              <w:t>2.2.4</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（4）</w:t>
            </w:r>
          </w:p>
        </w:tc>
        <w:tc>
          <w:tcPr>
            <w:tcW w:w="1100" w:type="dxa"/>
            <w:gridSpan w:val="2"/>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其他因素</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评分标准</w:t>
            </w:r>
          </w:p>
        </w:tc>
        <w:tc>
          <w:tcPr>
            <w:tcW w:w="1549" w:type="dxa"/>
            <w:gridSpan w:val="2"/>
            <w:tcBorders>
              <w:top w:val="single" w:color="auto" w:sz="4" w:space="0"/>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szCs w:val="21"/>
              </w:rPr>
            </w:pPr>
            <w:r>
              <w:rPr>
                <w:rFonts w:hint="eastAsia"/>
                <w:szCs w:val="21"/>
              </w:rPr>
              <w:t>/</w:t>
            </w:r>
          </w:p>
        </w:tc>
        <w:tc>
          <w:tcPr>
            <w:tcW w:w="5539" w:type="dxa"/>
            <w:gridSpan w:val="2"/>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szCs w:val="21"/>
              </w:rPr>
            </w:pPr>
            <w:r>
              <w:rPr>
                <w:rFonts w:hint="eastAsia"/>
                <w:szCs w:val="21"/>
              </w:rPr>
              <w:t>/</w:t>
            </w:r>
          </w:p>
        </w:tc>
      </w:tr>
    </w:tbl>
    <w:p>
      <w:pPr>
        <w:rPr>
          <w:rFonts w:hint="eastAsia" w:asciiTheme="majorEastAsia" w:hAnsiTheme="majorEastAsia"/>
          <w:sz w:val="28"/>
          <w:szCs w:val="28"/>
        </w:rPr>
      </w:pPr>
    </w:p>
    <w:p>
      <w:pPr>
        <w:pStyle w:val="3"/>
        <w:adjustRightInd w:val="0"/>
        <w:snapToGrid w:val="0"/>
        <w:spacing w:before="0" w:after="0" w:line="520" w:lineRule="exact"/>
        <w:ind w:firstLine="422" w:firstLineChars="200"/>
        <w:rPr>
          <w:rFonts w:asciiTheme="majorEastAsia" w:hAnsiTheme="majorEastAsia"/>
          <w:sz w:val="21"/>
          <w:szCs w:val="21"/>
        </w:rPr>
      </w:pPr>
      <w:bookmarkStart w:id="2478" w:name="_Toc7938"/>
      <w:r>
        <w:rPr>
          <w:rFonts w:hint="eastAsia" w:asciiTheme="majorEastAsia" w:hAnsiTheme="majorEastAsia"/>
          <w:sz w:val="21"/>
          <w:szCs w:val="21"/>
        </w:rPr>
        <w:t>1. 评标方法</w:t>
      </w:r>
      <w:bookmarkEnd w:id="2478"/>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本次评标采用综合评估法</w:t>
      </w:r>
      <w:r>
        <w:rPr>
          <w:rFonts w:hint="eastAsia" w:asciiTheme="minorEastAsia" w:hAnsiTheme="minorEastAsia"/>
          <w:sz w:val="21"/>
          <w:szCs w:val="21"/>
          <w:lang w:val="en-US" w:eastAsia="zh-CN"/>
        </w:rPr>
        <w:t>Ⅱ类</w:t>
      </w:r>
      <w:r>
        <w:rPr>
          <w:rFonts w:hint="eastAsia" w:asciiTheme="minorEastAsia" w:hAnsiTheme="minorEastAsia"/>
          <w:sz w:val="21"/>
          <w:szCs w:val="21"/>
        </w:rPr>
        <w:t>。评标委员会对满足招标文件实质性要求的投标文件，按照本章</w:t>
      </w:r>
      <w:r>
        <w:rPr>
          <w:rFonts w:hint="eastAsia" w:asciiTheme="minorEastAsia" w:hAnsiTheme="minorEastAsia"/>
          <w:sz w:val="21"/>
          <w:szCs w:val="21"/>
          <w:highlight w:val="none"/>
        </w:rPr>
        <w:t>第2.2款规定的评分标准进行打分，并按投</w:t>
      </w:r>
      <w:r>
        <w:rPr>
          <w:rFonts w:hint="eastAsia" w:asciiTheme="minorEastAsia" w:hAnsiTheme="minorEastAsia"/>
          <w:sz w:val="21"/>
          <w:szCs w:val="21"/>
        </w:rPr>
        <w:t>标得分由高到低推荐不超过3名中标候选人。综合评分相等时，则投标报价低的排名靠前；投标报价也相等的，由招标人代表在监督人员的监督下，当场随机抽取确定最终的中标候选人排序顺位。</w:t>
      </w:r>
    </w:p>
    <w:p>
      <w:pPr>
        <w:pStyle w:val="3"/>
        <w:adjustRightInd w:val="0"/>
        <w:snapToGrid w:val="0"/>
        <w:spacing w:before="0" w:after="0" w:line="520" w:lineRule="exact"/>
        <w:ind w:firstLine="422" w:firstLineChars="200"/>
        <w:rPr>
          <w:rFonts w:asciiTheme="majorEastAsia" w:hAnsiTheme="majorEastAsia"/>
          <w:sz w:val="21"/>
          <w:szCs w:val="21"/>
        </w:rPr>
      </w:pPr>
      <w:bookmarkStart w:id="2479" w:name="_Toc13100"/>
      <w:r>
        <w:rPr>
          <w:rFonts w:hint="eastAsia" w:asciiTheme="majorEastAsia" w:hAnsiTheme="majorEastAsia"/>
          <w:sz w:val="21"/>
          <w:szCs w:val="21"/>
        </w:rPr>
        <w:t>2. 评审标准</w:t>
      </w:r>
      <w:bookmarkEnd w:id="2479"/>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480" w:name="_Toc8651"/>
      <w:r>
        <w:rPr>
          <w:rFonts w:hint="eastAsia" w:asciiTheme="majorEastAsia" w:hAnsiTheme="majorEastAsia" w:eastAsiaTheme="majorEastAsia"/>
          <w:sz w:val="21"/>
          <w:szCs w:val="21"/>
        </w:rPr>
        <w:t>2.1 初步评审标准</w:t>
      </w:r>
      <w:bookmarkEnd w:id="2480"/>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2.1.1 形式评审标准：见评标办法前附表。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2.1.2 资格评审标准：见评标办法前附表。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2.1.3 响应性评审标准：见评标办法前附表。</w:t>
      </w:r>
    </w:p>
    <w:p>
      <w:pPr>
        <w:pStyle w:val="4"/>
        <w:adjustRightInd w:val="0"/>
        <w:snapToGrid w:val="0"/>
        <w:spacing w:before="0" w:after="0" w:line="520" w:lineRule="exact"/>
        <w:ind w:firstLine="422" w:firstLineChars="200"/>
        <w:rPr>
          <w:rFonts w:asciiTheme="majorEastAsia" w:hAnsiTheme="majorEastAsia" w:eastAsiaTheme="majorEastAsia"/>
          <w:sz w:val="21"/>
          <w:szCs w:val="21"/>
        </w:rPr>
      </w:pPr>
      <w:bookmarkStart w:id="2481" w:name="_Toc2886"/>
      <w:r>
        <w:rPr>
          <w:rFonts w:hint="eastAsia" w:asciiTheme="majorEastAsia" w:hAnsiTheme="majorEastAsia" w:eastAsiaTheme="majorEastAsia"/>
          <w:sz w:val="21"/>
          <w:szCs w:val="21"/>
        </w:rPr>
        <w:t>2.2 分值构成与评分标准</w:t>
      </w:r>
      <w:bookmarkEnd w:id="2481"/>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2.2.1 分值构成</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（1）资信业绩部分：见评标办法前附表；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（2）技术方案部分：见评标办法前附表；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（3）投标报价：见评标办法前附表；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（4）其他评分因素：见评标办法前附表。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2.2.2 评标基准价计算</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评标基准价计算方法：见评标办法前附表。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2.2.3 投标报价的偏差率计算</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投标报价的偏差率计算公式：见评标办法前附表。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2.2.4 评分标准</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（1）资信业绩评分标准：见评标办法前附表；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（2）技术方案评分标准：见评标办法前附表；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（3）投标报价评分标准：见评标办法前附表；</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（4）其他因素评分标准：见评标办法前附表。</w:t>
      </w:r>
    </w:p>
    <w:p>
      <w:pPr>
        <w:pStyle w:val="3"/>
        <w:adjustRightInd w:val="0"/>
        <w:snapToGrid w:val="0"/>
        <w:spacing w:before="0" w:after="0" w:line="520" w:lineRule="exact"/>
        <w:rPr>
          <w:rFonts w:asciiTheme="majorEastAsia" w:hAnsiTheme="majorEastAsia"/>
          <w:sz w:val="21"/>
          <w:szCs w:val="21"/>
        </w:rPr>
      </w:pPr>
      <w:bookmarkStart w:id="2482" w:name="_Toc19139"/>
      <w:r>
        <w:rPr>
          <w:rFonts w:hint="eastAsia" w:asciiTheme="majorEastAsia" w:hAnsiTheme="majorEastAsia"/>
          <w:sz w:val="21"/>
          <w:szCs w:val="21"/>
        </w:rPr>
        <w:t>3. 评标程序</w:t>
      </w:r>
      <w:bookmarkEnd w:id="2482"/>
    </w:p>
    <w:p>
      <w:pPr>
        <w:pStyle w:val="4"/>
        <w:adjustRightInd w:val="0"/>
        <w:snapToGrid w:val="0"/>
        <w:spacing w:before="0" w:after="0" w:line="520" w:lineRule="exact"/>
        <w:rPr>
          <w:rFonts w:asciiTheme="majorEastAsia" w:hAnsiTheme="majorEastAsia" w:eastAsiaTheme="majorEastAsia"/>
          <w:sz w:val="21"/>
          <w:szCs w:val="21"/>
        </w:rPr>
      </w:pPr>
      <w:bookmarkStart w:id="2483" w:name="_Toc1203"/>
      <w:r>
        <w:rPr>
          <w:rFonts w:hint="eastAsia" w:asciiTheme="majorEastAsia" w:hAnsiTheme="majorEastAsia" w:eastAsiaTheme="majorEastAsia"/>
          <w:sz w:val="21"/>
          <w:szCs w:val="21"/>
        </w:rPr>
        <w:t>3.1 初步评审</w:t>
      </w:r>
      <w:bookmarkEnd w:id="2483"/>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3.1.1 评标委员会可以要求投标人提交第二章“投标人须知”规定的有关证明和证件的原件，以便核验。</w:t>
      </w:r>
      <w:r>
        <w:rPr>
          <w:rFonts w:hint="eastAsia" w:asciiTheme="minorEastAsia" w:hAnsiTheme="minorEastAsia"/>
          <w:b/>
          <w:sz w:val="21"/>
          <w:szCs w:val="21"/>
        </w:rPr>
        <w:t>评标委员会依据本章第2.1款规定的标准对投标文件进行初步评审。有一项不符合评审标准的，评标委员会应当否决其投标。</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3.1.2 投标人有以下情形之一的，评标委员会应当否决其投标：</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（1）投标文件没有对招标文件的实质性要求和条件作出响应，或者对招标文件的偏差超出招标文件规定的偏差范围或最高项数；</w:t>
      </w:r>
    </w:p>
    <w:p>
      <w:pPr>
        <w:widowControl/>
        <w:shd w:val="clear" w:color="auto" w:fill="FFFFFF"/>
        <w:snapToGrid w:val="0"/>
        <w:spacing w:line="520" w:lineRule="exact"/>
        <w:ind w:firstLine="420" w:firstLineChars="200"/>
        <w:jc w:val="left"/>
        <w:rPr>
          <w:sz w:val="21"/>
          <w:szCs w:val="21"/>
        </w:rPr>
      </w:pPr>
      <w:r>
        <w:rPr>
          <w:rFonts w:hint="eastAsia" w:ascii="宋体" w:hAnsi="宋体" w:eastAsia="宋体" w:cs="Times New Roman"/>
          <w:sz w:val="21"/>
          <w:szCs w:val="21"/>
        </w:rPr>
        <w:t>（</w:t>
      </w:r>
      <w:r>
        <w:rPr>
          <w:rFonts w:hint="default" w:ascii="宋体" w:hAnsi="宋体" w:eastAsia="宋体" w:cs="Times New Roman"/>
          <w:sz w:val="21"/>
          <w:szCs w:val="21"/>
        </w:rPr>
        <w:t>2</w:t>
      </w:r>
      <w:r>
        <w:rPr>
          <w:rFonts w:hint="eastAsia" w:ascii="宋体" w:hAnsi="宋体" w:eastAsia="宋体" w:cs="Times New Roman"/>
          <w:sz w:val="21"/>
          <w:szCs w:val="21"/>
        </w:rPr>
        <w:t>）第二章“投标人须知”第1.4.3项规定的任何一种情形的；</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w:t>
      </w:r>
      <w:r>
        <w:rPr>
          <w:rFonts w:hint="default" w:asciiTheme="minorEastAsia" w:hAnsiTheme="minorEastAsia"/>
          <w:sz w:val="21"/>
          <w:szCs w:val="21"/>
        </w:rPr>
        <w:t>3</w:t>
      </w:r>
      <w:r>
        <w:rPr>
          <w:rFonts w:hint="eastAsia" w:asciiTheme="minorEastAsia" w:hAnsiTheme="minorEastAsia"/>
          <w:sz w:val="21"/>
          <w:szCs w:val="21"/>
        </w:rPr>
        <w:t>）有串通投标、弄虚作假、</w:t>
      </w:r>
      <w:r>
        <w:rPr>
          <w:rFonts w:hint="eastAsia" w:asciiTheme="minorEastAsia" w:hAnsiTheme="minorEastAsia"/>
          <w:sz w:val="21"/>
          <w:szCs w:val="21"/>
          <w:lang w:val="en-US" w:eastAsia="zh-Hans"/>
        </w:rPr>
        <w:t>投标文件雷同、</w:t>
      </w:r>
      <w:r>
        <w:rPr>
          <w:rFonts w:hint="eastAsia" w:asciiTheme="minorEastAsia" w:hAnsiTheme="minorEastAsia"/>
          <w:sz w:val="21"/>
          <w:szCs w:val="21"/>
        </w:rPr>
        <w:t>行贿等违法行为。</w:t>
      </w:r>
    </w:p>
    <w:p>
      <w:pPr>
        <w:widowControl/>
        <w:shd w:val="clear" w:color="auto" w:fill="FFFFFF"/>
        <w:snapToGrid w:val="0"/>
        <w:ind w:firstLine="420" w:firstLineChars="200"/>
        <w:jc w:val="left"/>
        <w:rPr>
          <w:rFonts w:hint="eastAsia" w:asciiTheme="minorEastAsia" w:hAnsiTheme="minorEastAsia"/>
          <w:sz w:val="21"/>
          <w:szCs w:val="21"/>
          <w:lang w:eastAsia="zh-CN"/>
        </w:rPr>
      </w:pPr>
      <w:r>
        <w:rPr>
          <w:rFonts w:hint="eastAsia" w:asciiTheme="minorEastAsia" w:hAnsiTheme="minorEastAsia"/>
          <w:sz w:val="21"/>
          <w:szCs w:val="21"/>
          <w:lang w:eastAsia="zh-CN"/>
        </w:rPr>
        <w:t>（4）不按评标委员会要求澄清、说明或补正的。</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3.1.3</w:t>
      </w:r>
      <w:r>
        <w:rPr>
          <w:rFonts w:hint="eastAsia" w:ascii="宋体" w:hAnsi="宋体"/>
          <w:sz w:val="21"/>
          <w:szCs w:val="21"/>
        </w:rPr>
        <w:t>投标报价有算术错误及其他错误的，评标委员会按以下原则通过电子招标投标交易平台要求投标人对投标报价进行修正，投标人应当按照评标委员会的要求使用CA证书并通过电子招标投标交易平台在规定的时限内回复</w:t>
      </w:r>
      <w:r>
        <w:rPr>
          <w:rFonts w:hint="eastAsia" w:asciiTheme="minorEastAsia" w:hAnsiTheme="minorEastAsia"/>
          <w:sz w:val="21"/>
          <w:szCs w:val="21"/>
        </w:rPr>
        <w:t>。投标人拒不澄清确认的，评标委员会应当否决其投标：</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（1）投标文件中的大写金额与小写金额不一致的，以大写金额为准；</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（2）总价金额与单价金额不一致的，以单价金额为准，但单价金额小数点有明显错误的除外。</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（3）投标报价为各分项报价金额之和，投标报价与分项报价的合价不一致的，应以各分项合价累计数为准，修正投标报价；</w:t>
      </w:r>
    </w:p>
    <w:p>
      <w:pPr>
        <w:widowControl/>
        <w:shd w:val="clear" w:color="auto" w:fill="FFFFFF"/>
        <w:snapToGrid w:val="0"/>
        <w:ind w:firstLine="420" w:firstLineChars="200"/>
        <w:jc w:val="left"/>
        <w:rPr>
          <w:rFonts w:hint="eastAsia" w:asciiTheme="minorEastAsia" w:hAnsiTheme="minorEastAsia" w:eastAsiaTheme="minorEastAsia"/>
          <w:sz w:val="21"/>
          <w:szCs w:val="21"/>
          <w:lang w:eastAsia="zh-CN"/>
        </w:rPr>
      </w:pPr>
      <w:r>
        <w:rPr>
          <w:rFonts w:hint="eastAsia" w:asciiTheme="minorEastAsia" w:hAnsiTheme="minorEastAsia"/>
          <w:sz w:val="21"/>
          <w:szCs w:val="21"/>
        </w:rPr>
        <w:t>（4）如果分项报价中单价或合价存在缺漏项，则视为缺漏项价格已包含在其他分项报价之中</w:t>
      </w:r>
      <w:r>
        <w:rPr>
          <w:rFonts w:hint="eastAsia" w:asciiTheme="minorEastAsia" w:hAnsiTheme="minorEastAsia"/>
          <w:sz w:val="21"/>
          <w:szCs w:val="21"/>
          <w:lang w:eastAsia="zh-CN"/>
        </w:rPr>
        <w:t>。</w:t>
      </w:r>
    </w:p>
    <w:p>
      <w:pPr>
        <w:pStyle w:val="4"/>
        <w:adjustRightInd w:val="0"/>
        <w:snapToGrid w:val="0"/>
        <w:spacing w:before="0" w:after="0" w:line="520" w:lineRule="exact"/>
        <w:rPr>
          <w:rFonts w:asciiTheme="majorEastAsia" w:hAnsiTheme="majorEastAsia" w:eastAsiaTheme="majorEastAsia"/>
          <w:sz w:val="21"/>
          <w:szCs w:val="21"/>
        </w:rPr>
      </w:pPr>
      <w:bookmarkStart w:id="2484" w:name="_Toc26907"/>
      <w:r>
        <w:rPr>
          <w:rFonts w:hint="eastAsia" w:asciiTheme="majorEastAsia" w:hAnsiTheme="majorEastAsia" w:eastAsiaTheme="majorEastAsia"/>
          <w:sz w:val="21"/>
          <w:szCs w:val="21"/>
        </w:rPr>
        <w:t>3.2 详细评审</w:t>
      </w:r>
      <w:bookmarkEnd w:id="2484"/>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3.2.1 评标委员会按本章第2.2款规定的量化因素和分值进行打分，并计算出综合评估得分。</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（1）按本章第2.2.4（1）目规定的评审因素和分值对资信业绩部分计算出得分A；</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（2）按本章第2.2.4（2）目规定的评审因素和分值对</w:t>
      </w:r>
      <w:r>
        <w:rPr>
          <w:rFonts w:hint="eastAsia" w:asciiTheme="minorEastAsia" w:hAnsiTheme="minorEastAsia"/>
          <w:sz w:val="21"/>
          <w:szCs w:val="21"/>
          <w:lang w:val="en-US" w:eastAsia="zh-Hans"/>
        </w:rPr>
        <w:t>技术</w:t>
      </w:r>
      <w:r>
        <w:rPr>
          <w:rFonts w:hint="eastAsia" w:asciiTheme="minorEastAsia" w:hAnsiTheme="minorEastAsia"/>
          <w:sz w:val="21"/>
          <w:szCs w:val="21"/>
        </w:rPr>
        <w:t>方案部分计算出得分B；</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（3）按本章第2.2.4（3）目规定的评审因素和分值对投标报价计算出得分C；</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（4）按本章第2.2.4（4）目规定的评审因素和分值对其他部分计算出得分D。</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3.2.2 评分分值计算保留小数点后两位，小数点后第三位“四舍五入”。</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3.2.3 投标人得分=A+B+C+D。</w:t>
      </w:r>
    </w:p>
    <w:p>
      <w:pPr>
        <w:widowControl/>
        <w:shd w:val="clear" w:color="auto" w:fill="FFFFFF"/>
        <w:snapToGrid w:val="0"/>
        <w:ind w:firstLine="420" w:firstLineChars="200"/>
        <w:jc w:val="left"/>
        <w:rPr>
          <w:rFonts w:hint="eastAsia" w:asciiTheme="minorEastAsia" w:hAnsiTheme="minorEastAsia"/>
          <w:sz w:val="21"/>
          <w:szCs w:val="21"/>
        </w:rPr>
      </w:pPr>
      <w:r>
        <w:rPr>
          <w:rFonts w:hint="eastAsia" w:asciiTheme="minorEastAsia" w:hAnsiTheme="minorEastAsia"/>
          <w:sz w:val="21"/>
          <w:szCs w:val="21"/>
        </w:rPr>
        <w:t>3.2.4 评标委员会发现投标人的报价明显低于其他投标报价，使得其投标报价可能低于其个</w:t>
      </w:r>
    </w:p>
    <w:p>
      <w:pPr>
        <w:widowControl/>
        <w:shd w:val="clear" w:color="auto" w:fill="FFFFFF"/>
        <w:snapToGrid w:val="0"/>
        <w:ind w:firstLine="0" w:firstLineChars="0"/>
        <w:jc w:val="left"/>
        <w:rPr>
          <w:rFonts w:hint="eastAsia" w:asciiTheme="minorEastAsia" w:hAnsiTheme="minorEastAsia"/>
          <w:sz w:val="21"/>
          <w:szCs w:val="21"/>
        </w:rPr>
      </w:pPr>
      <w:r>
        <w:rPr>
          <w:rFonts w:hint="eastAsia" w:asciiTheme="minorEastAsia" w:hAnsiTheme="minorEastAsia"/>
          <w:sz w:val="21"/>
          <w:szCs w:val="21"/>
        </w:rPr>
        <w:t>别成本的，应当要求该投标人作出书面说明并提供相应的证明材料。投标人不能合理说明或者不</w:t>
      </w:r>
    </w:p>
    <w:p>
      <w:pPr>
        <w:widowControl/>
        <w:shd w:val="clear" w:color="auto" w:fill="FFFFFF"/>
        <w:snapToGrid w:val="0"/>
        <w:ind w:firstLine="0" w:firstLineChars="0"/>
        <w:jc w:val="left"/>
        <w:rPr>
          <w:rFonts w:asciiTheme="minorEastAsia" w:hAnsiTheme="minorEastAsia"/>
          <w:sz w:val="21"/>
          <w:szCs w:val="21"/>
        </w:rPr>
      </w:pPr>
      <w:r>
        <w:rPr>
          <w:rFonts w:hint="eastAsia" w:asciiTheme="minorEastAsia" w:hAnsiTheme="minorEastAsia"/>
          <w:sz w:val="21"/>
          <w:szCs w:val="21"/>
        </w:rPr>
        <w:t>能提供相应证明材料的，评标委员会应当认定该投标人以低于成本报价竞标，并否决其投标。</w:t>
      </w:r>
    </w:p>
    <w:p>
      <w:pPr>
        <w:pStyle w:val="4"/>
        <w:adjustRightInd w:val="0"/>
        <w:snapToGrid w:val="0"/>
        <w:spacing w:before="0" w:after="0" w:line="520" w:lineRule="exact"/>
        <w:rPr>
          <w:rFonts w:asciiTheme="majorEastAsia" w:hAnsiTheme="majorEastAsia" w:eastAsiaTheme="majorEastAsia"/>
          <w:sz w:val="21"/>
          <w:szCs w:val="21"/>
        </w:rPr>
      </w:pPr>
      <w:bookmarkStart w:id="2485" w:name="_Toc21228"/>
      <w:r>
        <w:rPr>
          <w:rFonts w:hint="eastAsia" w:asciiTheme="majorEastAsia" w:hAnsiTheme="majorEastAsia" w:eastAsiaTheme="majorEastAsia"/>
          <w:sz w:val="21"/>
          <w:szCs w:val="21"/>
        </w:rPr>
        <w:t>3.3 投标文件的澄清</w:t>
      </w:r>
      <w:bookmarkEnd w:id="2485"/>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3.3.1在评标过程中，评标委员会可以</w:t>
      </w:r>
      <w:r>
        <w:rPr>
          <w:rFonts w:hint="eastAsia" w:ascii="宋体" w:hAnsi="宋体"/>
          <w:sz w:val="21"/>
          <w:szCs w:val="21"/>
        </w:rPr>
        <w:t>通过电子招标投标交易平台</w:t>
      </w:r>
      <w:r>
        <w:rPr>
          <w:rFonts w:hint="eastAsia" w:asciiTheme="minorEastAsia" w:hAnsiTheme="minorEastAsia"/>
          <w:sz w:val="21"/>
          <w:szCs w:val="21"/>
        </w:rPr>
        <w:t>要求投标人对投标文件中含义不明确、对同类问题表述不一致或者有明显文字和计算错误的内容作必要的澄清、说明或补正。澄清、说明或补正应</w:t>
      </w:r>
      <w:r>
        <w:rPr>
          <w:rFonts w:hint="eastAsia" w:ascii="宋体" w:hAnsi="宋体"/>
          <w:sz w:val="21"/>
          <w:szCs w:val="21"/>
        </w:rPr>
        <w:t>通过电子招标投标交易平台</w:t>
      </w:r>
      <w:r>
        <w:rPr>
          <w:rFonts w:hint="eastAsia" w:asciiTheme="minorEastAsia" w:hAnsiTheme="minorEastAsia"/>
          <w:sz w:val="21"/>
          <w:szCs w:val="21"/>
        </w:rPr>
        <w:t>进行。评标委员会不接受投标人主动提出的澄清、说明或补正。</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3.3.2 澄清、说明或补正不得超出投标文件的范围且不得改变投标文件的实质性内容，并构成投标文件的组成部分。</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3.3.3 评标委员会对投标人提交的澄清、说明或补正有疑问的，可以要求投标人进一步澄清、说明或补正，直至满足评标委员会的要求。</w:t>
      </w:r>
    </w:p>
    <w:p>
      <w:pPr>
        <w:pStyle w:val="4"/>
        <w:adjustRightInd w:val="0"/>
        <w:snapToGrid w:val="0"/>
        <w:spacing w:before="0" w:after="0" w:line="520" w:lineRule="exact"/>
        <w:rPr>
          <w:rFonts w:asciiTheme="majorEastAsia" w:hAnsiTheme="majorEastAsia" w:eastAsiaTheme="majorEastAsia"/>
          <w:sz w:val="21"/>
          <w:szCs w:val="21"/>
        </w:rPr>
      </w:pPr>
      <w:bookmarkStart w:id="2486" w:name="_Toc10061"/>
      <w:r>
        <w:rPr>
          <w:rFonts w:hint="eastAsia" w:asciiTheme="majorEastAsia" w:hAnsiTheme="majorEastAsia" w:eastAsiaTheme="majorEastAsia"/>
          <w:sz w:val="21"/>
          <w:szCs w:val="21"/>
        </w:rPr>
        <w:t>3.4 评标结果</w:t>
      </w:r>
      <w:bookmarkEnd w:id="2486"/>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3.4.1 除第二章“投标人须知”前附表授权直接确定中标人外，评标委员会按照得分由高到低的顺序推荐中标候选人，并标明排序。</w:t>
      </w:r>
    </w:p>
    <w:p>
      <w:pPr>
        <w:widowControl/>
        <w:shd w:val="clear" w:color="auto" w:fill="FFFFFF"/>
        <w:snapToGrid w:val="0"/>
        <w:ind w:firstLine="420" w:firstLineChars="200"/>
        <w:jc w:val="left"/>
        <w:rPr>
          <w:rFonts w:asciiTheme="minorEastAsia" w:hAnsiTheme="minorEastAsia"/>
          <w:sz w:val="21"/>
          <w:szCs w:val="21"/>
        </w:rPr>
      </w:pPr>
      <w:r>
        <w:rPr>
          <w:rFonts w:hint="eastAsia" w:asciiTheme="minorEastAsia" w:hAnsiTheme="minorEastAsia"/>
          <w:sz w:val="21"/>
          <w:szCs w:val="21"/>
        </w:rPr>
        <w:t>3.4.2 评标委员会完成评标后，应当向招标人提交书面评标报告和中标候选人名单。</w:t>
      </w:r>
    </w:p>
    <w:p>
      <w:pPr>
        <w:widowControl/>
        <w:shd w:val="clear" w:color="auto" w:fill="FFFFFF"/>
        <w:adjustRightInd/>
        <w:snapToGrid w:val="0"/>
        <w:spacing w:line="520" w:lineRule="exact"/>
        <w:ind w:firstLine="420" w:firstLineChars="200"/>
        <w:jc w:val="left"/>
        <w:textAlignment w:val="auto"/>
        <w:rPr>
          <w:rFonts w:hint="eastAsia" w:asciiTheme="minorEastAsia" w:hAnsiTheme="minorEastAsia" w:cstheme="minorBidi"/>
          <w:sz w:val="21"/>
          <w:szCs w:val="21"/>
        </w:rPr>
      </w:pPr>
      <w:r>
        <w:rPr>
          <w:rFonts w:hint="eastAsia" w:asciiTheme="minorEastAsia" w:hAnsiTheme="minorEastAsia" w:cstheme="minorBidi"/>
          <w:sz w:val="21"/>
          <w:szCs w:val="21"/>
        </w:rPr>
        <w:t>3.4.3评标委员会应当在评标报告中列明投标文件雷同情况。</w:t>
      </w:r>
    </w:p>
    <w:p>
      <w:pPr>
        <w:rPr>
          <w:rFonts w:hint="eastAsia" w:asciiTheme="majorEastAsia" w:hAnsiTheme="majorEastAsia" w:eastAsiaTheme="majorEastAsia"/>
          <w:sz w:val="36"/>
          <w:szCs w:val="36"/>
        </w:rPr>
      </w:pPr>
      <w:bookmarkStart w:id="2487" w:name="_Toc7186549"/>
      <w:bookmarkStart w:id="2488" w:name="_Toc407809202"/>
      <w:bookmarkStart w:id="2489" w:name="_Toc30889"/>
      <w:bookmarkStart w:id="2490" w:name="_Toc1113985226"/>
      <w:bookmarkStart w:id="2491" w:name="_Toc291886153"/>
      <w:bookmarkStart w:id="2492" w:name="_Toc3337"/>
      <w:bookmarkStart w:id="2493" w:name="_Toc2142405102"/>
      <w:bookmarkStart w:id="2494" w:name="_Toc1849460875"/>
      <w:bookmarkStart w:id="2495" w:name="_Toc9922"/>
      <w:bookmarkStart w:id="2496" w:name="_Toc511396113"/>
      <w:bookmarkStart w:id="2497" w:name="_Toc516823063"/>
      <w:bookmarkStart w:id="2498" w:name="_Toc272413740"/>
      <w:bookmarkStart w:id="2499" w:name="_Toc1760066440"/>
      <w:bookmarkStart w:id="2500" w:name="_Toc15308"/>
      <w:bookmarkStart w:id="2501" w:name="_Toc27169"/>
      <w:bookmarkStart w:id="2502" w:name="_Toc950547019"/>
      <w:bookmarkStart w:id="2503" w:name="_Toc23806"/>
      <w:bookmarkStart w:id="2504" w:name="_Toc27971"/>
      <w:bookmarkStart w:id="2505" w:name="_Toc1102356757"/>
      <w:bookmarkStart w:id="2506" w:name="_Toc1078401063"/>
      <w:bookmarkStart w:id="2507" w:name="_Toc28254436"/>
      <w:bookmarkStart w:id="2508" w:name="_Toc474079047"/>
      <w:bookmarkStart w:id="2509" w:name="_Toc515440824"/>
      <w:bookmarkStart w:id="2510" w:name="_Toc347201459"/>
      <w:bookmarkStart w:id="2511" w:name="_Toc363261953"/>
      <w:r>
        <w:rPr>
          <w:rFonts w:hint="eastAsia" w:asciiTheme="majorEastAsia" w:hAnsiTheme="majorEastAsia" w:eastAsiaTheme="majorEastAsia"/>
          <w:sz w:val="36"/>
          <w:szCs w:val="36"/>
        </w:rPr>
        <w:br w:type="page"/>
      </w:r>
    </w:p>
    <w:p>
      <w:pPr>
        <w:pStyle w:val="2"/>
        <w:adjustRightInd w:val="0"/>
        <w:snapToGrid w:val="0"/>
        <w:spacing w:before="0" w:after="0" w:line="520" w:lineRule="exact"/>
        <w:jc w:val="center"/>
        <w:rPr>
          <w:rFonts w:asciiTheme="majorEastAsia" w:hAnsiTheme="majorEastAsia" w:eastAsiaTheme="majorEastAsia"/>
          <w:sz w:val="36"/>
          <w:szCs w:val="36"/>
        </w:rPr>
      </w:pPr>
      <w:bookmarkStart w:id="2512" w:name="_Toc12252"/>
      <w:r>
        <w:rPr>
          <w:rFonts w:hint="eastAsia" w:asciiTheme="majorEastAsia" w:hAnsiTheme="majorEastAsia" w:eastAsiaTheme="majorEastAsia"/>
          <w:sz w:val="36"/>
          <w:szCs w:val="36"/>
        </w:rPr>
        <w:t>第四章 合同条款及格式</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本章第一节“通用合同条款”适用于勘察项目，第二节“通用合同条款”适用于设计项目，第三节“通用合同条款”适用于勘察设计项目。</w:t>
      </w:r>
    </w:p>
    <w:p>
      <w:pPr>
        <w:rPr>
          <w:rFonts w:hint="eastAsia" w:asciiTheme="minorEastAsia" w:hAnsiTheme="minorEastAsia"/>
          <w:szCs w:val="21"/>
        </w:rPr>
      </w:pPr>
      <w:r>
        <w:rPr>
          <w:rFonts w:hint="eastAsia" w:asciiTheme="minorEastAsia" w:hAnsiTheme="minorEastAsia"/>
          <w:szCs w:val="21"/>
        </w:rPr>
        <w:br w:type="page"/>
      </w:r>
    </w:p>
    <w:p>
      <w:pPr>
        <w:jc w:val="center"/>
        <w:outlineLvl w:val="1"/>
        <w:rPr>
          <w:rFonts w:eastAsia="黑体"/>
          <w:b/>
          <w:sz w:val="30"/>
          <w:szCs w:val="30"/>
        </w:rPr>
      </w:pPr>
      <w:bookmarkStart w:id="2513" w:name="_Toc5004"/>
      <w:r>
        <w:rPr>
          <w:rFonts w:eastAsia="黑体"/>
          <w:b/>
          <w:sz w:val="30"/>
          <w:szCs w:val="30"/>
        </w:rPr>
        <w:t>第一节 通用合同条款（适用于勘察项目）</w:t>
      </w:r>
      <w:bookmarkEnd w:id="2513"/>
    </w:p>
    <w:p>
      <w:pPr>
        <w:jc w:val="left"/>
        <w:outlineLvl w:val="9"/>
        <w:rPr>
          <w:rFonts w:eastAsia="宋体"/>
          <w:b w:val="0"/>
          <w:sz w:val="24"/>
          <w:szCs w:val="20"/>
        </w:rPr>
      </w:pPr>
    </w:p>
    <w:p>
      <w:pPr>
        <w:spacing w:line="240" w:lineRule="auto"/>
        <w:ind w:firstLine="0" w:firstLineChars="0"/>
        <w:rPr>
          <w:rFonts w:eastAsia="宋体"/>
        </w:rPr>
      </w:pPr>
    </w:p>
    <w:p>
      <w:pPr>
        <w:pStyle w:val="4"/>
        <w:adjustRightInd w:val="0"/>
        <w:snapToGrid w:val="0"/>
        <w:spacing w:before="0" w:after="0" w:line="520" w:lineRule="exact"/>
        <w:rPr>
          <w:rFonts w:hint="eastAsia" w:asciiTheme="majorEastAsia" w:hAnsiTheme="majorEastAsia" w:eastAsiaTheme="majorEastAsia"/>
          <w:sz w:val="28"/>
          <w:szCs w:val="28"/>
        </w:rPr>
      </w:pPr>
      <w:bookmarkStart w:id="2514" w:name="_Toc57049940"/>
      <w:bookmarkStart w:id="2515" w:name="_Toc52809723"/>
      <w:bookmarkStart w:id="2516" w:name="_Toc57048869"/>
      <w:bookmarkStart w:id="2517" w:name="_Toc1299"/>
      <w:r>
        <w:rPr>
          <w:rFonts w:hint="eastAsia" w:asciiTheme="majorEastAsia" w:hAnsiTheme="majorEastAsia" w:eastAsiaTheme="majorEastAsia"/>
          <w:sz w:val="28"/>
          <w:szCs w:val="28"/>
        </w:rPr>
        <w:t>1．一般约定</w:t>
      </w:r>
      <w:bookmarkEnd w:id="2514"/>
      <w:bookmarkEnd w:id="2515"/>
      <w:bookmarkEnd w:id="2516"/>
      <w:bookmarkEnd w:id="2517"/>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518" w:name="_Toc52809724"/>
      <w:bookmarkStart w:id="2519" w:name="_Toc57048870"/>
      <w:r>
        <w:rPr>
          <w:rFonts w:hint="eastAsia" w:ascii="宋体" w:hAnsi="宋体" w:eastAsia="宋体" w:cs="宋体"/>
          <w:b/>
          <w:sz w:val="28"/>
          <w:szCs w:val="28"/>
        </w:rPr>
        <w:t>1.1 词语定义</w:t>
      </w:r>
      <w:bookmarkEnd w:id="2518"/>
      <w:bookmarkEnd w:id="251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通用合同条款、专用合同条款中的下列词语应具有本款所赋予的含义。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 合同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1.1.1.1 合同文件（或称合同）：指合同协议书、中标通知书、投标函和投标函附录、专用合同条款、通用合同条款、发包人要求、勘察费用清单（服务费用清单）、勘察纲要（技术服务方案），以及其他构成合同组成部分的文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1.1.1.2 合同协议书：指发包人和勘察人共同签署的合同协议书。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1.1.1.3 中标通知书：指发包人通知勘察人中标的函件。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1.1.1.4 投标函：指由勘察人填写并签署的，名为“投标函”的函件。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1.1.1.5 投标函附录：指由勘察人填写并签署的、附在投标函后，名为“投标函附录”的函件。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1.1.1.6 发包人要求：指合同文件中名为“发包人要求”的文件。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1.1.1.7 勘察纲要（技术服务方案）：指勘察人在投标文件中的勘察纲要（技术服务方案）。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1.1.1.8 勘察费用清单（服务费用清单）：指勘察人投标文件中的勘察费用清单（服务费用清单）。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1.1.1.9 其他合同文件：指经合同双方当事人确认构成合同文件的其他文件。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 合同当事人和人员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1.1.2.1 合同当事人：指发包人和（或）勘察人。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1.1.2.2 发包人：指与勘察人签订合同协议书的当事人，及其合法继承人。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1.1.2.3 勘察人：指与发包人签订合同协议书的当事人，及其合法继承人。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1.1.2.4 发包人代表：指由发包人任命，并在授权范围和期限内代表发包人行使权利和履行义务的全权负责人。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1.1.2.5 项目负责人：指由勘察人任命，代表勘察人行使权利和履行义务的全权负责人。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1.1.2.6 分包人：指从勘察人处分包合同中某一部分工作，并与其签订分包合同的分包人。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 工程和勘察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1.1.3.1 工程：指专用合同条款中指明进行勘察招标的工程。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1.1.3.2 勘察服务：指勘察人按照合同约定履行的服务，包括制订勘察纲要（技术服务方案）、进行测绘、勘探、取样和试验等，查明、分析和评估地质特征和工程条件，编制勘察报告和提供发包人委托的其他服务。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1.1.3.3 勘察设备：指为完成合同约定的各项工作所需的设备、器具和其他物品，不包括临时工程和材料。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1.1.3.4 勘探场地：指用于工程勘探的场所，以及在合同中指定作为勘探场地组成的其他场所。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1.1.3.5 勘察资料：是发包人按合同约定向勘察人提供的，用于完成勘察服务范围与内容所需要的资料。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1.1.3.6 勘察文件：指勘察人按合同约定向发包人提交的工程勘察报告、服务大纲、勘察方案、外业指导书、进度计划、图纸、计算书、软件和其他文件等，包括阶段性文件和最终文件，且应当采用合同中双方约定的格式和载体。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 日期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1.1.4.1 开始勘察通知：指发包人按第 6.1 款通知勘察人开始勘察的函件。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1.1.4.2 开始勘察日期：指发包人按第6.1款发出的开始勘察通知中写明的开始勘察日期。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1.1.4.3 勘察服务期限：指勘察人在投标函中承诺的完成合同勘察服务所需的期限，包括按第6.2款、第6.3款、第6.5款和第6.7款约定所作的调整。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1.1.4.4 完成勘察日期：指第1.1.4.3目约定勘察服务期限届满时的日期。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1.1.4.5 基准日：指投标截止时间前28天的日期。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1.1.4.6 天：除特别指明外，指日历天。合同中按天计算时间的，开始当天不计入，从次日开始计算。期限最后一天的截止时间为当天24:00。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1.1.5 合同价格和费用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1.1.5.1 签约合同价：指签订合同时合同协议书中写明的勘察费用总金额。</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1.1.5.2 合同价格：指勘察人按合同约定完成了全部勘察工作后，发包人应付给勘察人的金额，包括在履行合同过程中按合同约定进行的变更和调整。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1.1.5.3 费用：指为履行合同所发生的或将要发生的所有合理开支，包括管理费和应分摊的其他费用，但不包括利润。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1.1.6 其他</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1.1.6.1 书面形式：指合同文件、信件和数据电文（包括电报、电传、传真、电子数据交换和电子邮件）等可以有形地表现所载内容的形式。</w:t>
      </w:r>
    </w:p>
    <w:p>
      <w:pPr>
        <w:spacing w:line="490" w:lineRule="exact"/>
        <w:ind w:firstLine="562" w:firstLineChars="200"/>
        <w:outlineLvl w:val="3"/>
        <w:rPr>
          <w:rFonts w:hint="eastAsia" w:ascii="宋体" w:hAnsi="宋体" w:eastAsia="宋体" w:cs="宋体"/>
          <w:b/>
          <w:sz w:val="28"/>
          <w:szCs w:val="28"/>
        </w:rPr>
      </w:pPr>
      <w:bookmarkStart w:id="2520" w:name="_Toc52809725"/>
      <w:bookmarkStart w:id="2521" w:name="_Toc57048871"/>
      <w:r>
        <w:rPr>
          <w:rFonts w:hint="eastAsia" w:ascii="宋体" w:hAnsi="宋体" w:eastAsia="宋体" w:cs="宋体"/>
          <w:b/>
          <w:sz w:val="28"/>
          <w:szCs w:val="28"/>
        </w:rPr>
        <w:t>1.2 语言文字</w:t>
      </w:r>
      <w:bookmarkEnd w:id="2520"/>
      <w:bookmarkEnd w:id="252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合同使用的语言文字为中文。专用术语使用外文的，应附有中文注释。 </w:t>
      </w:r>
    </w:p>
    <w:p>
      <w:pPr>
        <w:spacing w:line="490" w:lineRule="exact"/>
        <w:ind w:firstLine="562" w:firstLineChars="200"/>
        <w:outlineLvl w:val="3"/>
        <w:rPr>
          <w:rFonts w:hint="eastAsia" w:ascii="宋体" w:hAnsi="宋体" w:eastAsia="宋体" w:cs="宋体"/>
          <w:b/>
          <w:sz w:val="28"/>
          <w:szCs w:val="28"/>
        </w:rPr>
      </w:pPr>
      <w:bookmarkStart w:id="2522" w:name="_Toc57048872"/>
      <w:bookmarkStart w:id="2523" w:name="_Toc52809726"/>
      <w:r>
        <w:rPr>
          <w:rFonts w:hint="eastAsia" w:ascii="宋体" w:hAnsi="宋体" w:eastAsia="宋体" w:cs="宋体"/>
          <w:b/>
          <w:sz w:val="28"/>
          <w:szCs w:val="28"/>
        </w:rPr>
        <w:t>1.3 适用法律</w:t>
      </w:r>
      <w:bookmarkEnd w:id="2522"/>
      <w:bookmarkEnd w:id="252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适用于合同的法律包括中华人民共和国法律、行政法规、部门规章，以及工程所在地的地方法规、自治条例、单行条例和地方政府规章。</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本合同适用的其他规范性文件，可在专用合同条款中约定。</w:t>
      </w:r>
    </w:p>
    <w:p>
      <w:pPr>
        <w:spacing w:line="490" w:lineRule="exact"/>
        <w:ind w:firstLine="562" w:firstLineChars="200"/>
        <w:outlineLvl w:val="3"/>
        <w:rPr>
          <w:rFonts w:hint="eastAsia" w:ascii="宋体" w:hAnsi="宋体" w:eastAsia="宋体" w:cs="宋体"/>
          <w:b/>
          <w:sz w:val="28"/>
          <w:szCs w:val="28"/>
        </w:rPr>
      </w:pPr>
      <w:bookmarkStart w:id="2524" w:name="_Toc52809727"/>
      <w:bookmarkStart w:id="2525" w:name="_Toc57048873"/>
      <w:r>
        <w:rPr>
          <w:rFonts w:hint="eastAsia" w:ascii="宋体" w:hAnsi="宋体" w:eastAsia="宋体" w:cs="宋体"/>
          <w:b/>
          <w:sz w:val="28"/>
          <w:szCs w:val="28"/>
        </w:rPr>
        <w:t>1.4 合同文件的优先顺序</w:t>
      </w:r>
      <w:bookmarkEnd w:id="2524"/>
      <w:bookmarkEnd w:id="252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组成合同的各项文件应互相解释，互为说明。除专用合同条款另有约定外，解释合同文件的优先顺序如下：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（1）合同协议书；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（2）中标通知书；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（3）投标函及投标函附录；</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（4）专用合同条款；</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（5）通用合同条款；</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（6）发包人要求；</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（7）勘察费用清单（服务费用清单）；</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（8）勘察纲要（技术服务方案）；</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（9）其他合同文件。</w:t>
      </w:r>
    </w:p>
    <w:p>
      <w:pPr>
        <w:spacing w:line="490" w:lineRule="exact"/>
        <w:ind w:firstLine="562" w:firstLineChars="200"/>
        <w:outlineLvl w:val="3"/>
        <w:rPr>
          <w:rFonts w:hint="eastAsia" w:ascii="宋体" w:hAnsi="宋体" w:eastAsia="宋体" w:cs="宋体"/>
          <w:b/>
          <w:sz w:val="28"/>
          <w:szCs w:val="28"/>
        </w:rPr>
      </w:pPr>
      <w:bookmarkStart w:id="2526" w:name="_Toc52809728"/>
      <w:bookmarkStart w:id="2527" w:name="_Toc57048874"/>
      <w:r>
        <w:rPr>
          <w:rFonts w:hint="eastAsia" w:ascii="宋体" w:hAnsi="宋体" w:eastAsia="宋体" w:cs="宋体"/>
          <w:b/>
          <w:sz w:val="28"/>
          <w:szCs w:val="28"/>
        </w:rPr>
        <w:t>1.5 合同协议书</w:t>
      </w:r>
      <w:bookmarkEnd w:id="2526"/>
      <w:bookmarkEnd w:id="252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勘察人按中标通知书规定的时间与发包人签订合同协议书。除法律另有规定或合同另有约定外，发包人和勘察人的法定代表人或其委托代理人在合同协议书上签字并盖单位章后，合同生效。 </w:t>
      </w:r>
    </w:p>
    <w:p>
      <w:pPr>
        <w:spacing w:line="490" w:lineRule="exact"/>
        <w:ind w:firstLine="562" w:firstLineChars="200"/>
        <w:outlineLvl w:val="3"/>
        <w:rPr>
          <w:rFonts w:hint="eastAsia" w:ascii="宋体" w:hAnsi="宋体" w:eastAsia="宋体" w:cs="宋体"/>
          <w:b/>
          <w:sz w:val="28"/>
          <w:szCs w:val="28"/>
        </w:rPr>
      </w:pPr>
      <w:bookmarkStart w:id="2528" w:name="_Toc57048875"/>
      <w:bookmarkStart w:id="2529" w:name="_Toc52809729"/>
      <w:r>
        <w:rPr>
          <w:rFonts w:hint="eastAsia" w:ascii="宋体" w:hAnsi="宋体" w:eastAsia="宋体" w:cs="宋体"/>
          <w:b/>
          <w:sz w:val="28"/>
          <w:szCs w:val="28"/>
        </w:rPr>
        <w:t>1.6 文件的提供和照管</w:t>
      </w:r>
      <w:bookmarkEnd w:id="2528"/>
      <w:bookmarkEnd w:id="252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 勘察文件的提供</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除专用合同条款另有约定外，勘察人应在合理的期限内按照合同约定的数量向发包人提供勘察文件。合同约定勘察文件应经发包人批复的，发包人应当在合同约定的期限内批复或提出修改意见。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1.6.2 发包人提供的文件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按专用合同条款约定由发包人提供的文件，包括基础资料、勘察任务书等，发包人应按约定的数量和期限交给勘察人。由于发包人未按时提供文件造成勘察服务期限延误的，按第6.2款约定执行。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1.6.3 文件错误的通知</w:t>
      </w:r>
    </w:p>
    <w:p>
      <w:pPr>
        <w:spacing w:line="490" w:lineRule="exact"/>
        <w:ind w:firstLine="420" w:firstLineChars="200"/>
        <w:rPr>
          <w:rFonts w:eastAsia="仿宋_GB2312"/>
          <w:sz w:val="28"/>
          <w:szCs w:val="28"/>
        </w:rPr>
      </w:pPr>
      <w:r>
        <w:rPr>
          <w:rFonts w:hint="eastAsia" w:ascii="宋体" w:hAnsi="宋体" w:eastAsia="宋体" w:cs="宋体"/>
          <w:sz w:val="21"/>
          <w:szCs w:val="21"/>
        </w:rPr>
        <w:t>任何一方当事人发现文件中存在的明显错误或疏忽，均应及时通知对方当事人，并应立即采取适当的措施防止损失扩大。</w:t>
      </w:r>
      <w:r>
        <w:rPr>
          <w:rFonts w:eastAsia="仿宋_GB2312"/>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530" w:name="_Toc57048876"/>
      <w:bookmarkStart w:id="2531" w:name="_Toc52809730"/>
      <w:r>
        <w:rPr>
          <w:rFonts w:hint="eastAsia" w:ascii="宋体" w:hAnsi="宋体" w:eastAsia="宋体" w:cs="宋体"/>
          <w:b/>
          <w:sz w:val="28"/>
          <w:szCs w:val="28"/>
        </w:rPr>
        <w:t>1.7 联络</w:t>
      </w:r>
      <w:bookmarkEnd w:id="2530"/>
      <w:bookmarkEnd w:id="253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1.7.1 与合同有关的通知、批准、证明、证书、指示、要求、请求、同意、意见、确定和决定等，均应采用书面形式。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1.7.2 上述通知、批准、证明、证书、指示、要求、请求、同意、意见、确定和决定等来往函件，均应在合同约定的期限内送达指定的地点和指定的接收人，并办理签收手续。</w:t>
      </w:r>
    </w:p>
    <w:p>
      <w:pPr>
        <w:spacing w:line="490" w:lineRule="exact"/>
        <w:ind w:firstLine="562" w:firstLineChars="200"/>
        <w:outlineLvl w:val="3"/>
        <w:rPr>
          <w:rFonts w:hint="eastAsia" w:ascii="宋体" w:hAnsi="宋体" w:eastAsia="宋体" w:cs="宋体"/>
          <w:b/>
          <w:sz w:val="28"/>
          <w:szCs w:val="28"/>
        </w:rPr>
      </w:pPr>
      <w:bookmarkStart w:id="2532" w:name="_Toc52809731"/>
      <w:bookmarkStart w:id="2533" w:name="_Toc57048877"/>
      <w:r>
        <w:rPr>
          <w:rFonts w:hint="eastAsia" w:ascii="宋体" w:hAnsi="宋体" w:eastAsia="宋体" w:cs="宋体"/>
          <w:b/>
          <w:sz w:val="28"/>
          <w:szCs w:val="28"/>
        </w:rPr>
        <w:t>1.8 转让</w:t>
      </w:r>
      <w:bookmarkEnd w:id="2532"/>
      <w:bookmarkEnd w:id="253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除专用合同条款另有约定外，未经对方当事人同意，一方当事人不得将合同权利全部或部分转让给第三人，也不得全部或部分转移合同义务。</w:t>
      </w:r>
    </w:p>
    <w:p>
      <w:pPr>
        <w:spacing w:line="490" w:lineRule="exact"/>
        <w:ind w:firstLine="562" w:firstLineChars="200"/>
        <w:outlineLvl w:val="3"/>
        <w:rPr>
          <w:rFonts w:hint="eastAsia" w:ascii="宋体" w:hAnsi="宋体" w:eastAsia="宋体" w:cs="宋体"/>
          <w:b/>
          <w:sz w:val="28"/>
          <w:szCs w:val="28"/>
        </w:rPr>
      </w:pPr>
      <w:bookmarkStart w:id="2534" w:name="_Toc57048878"/>
      <w:bookmarkStart w:id="2535" w:name="_Toc52809732"/>
      <w:r>
        <w:rPr>
          <w:rFonts w:hint="eastAsia" w:ascii="宋体" w:hAnsi="宋体" w:eastAsia="宋体" w:cs="宋体"/>
          <w:b/>
          <w:sz w:val="28"/>
          <w:szCs w:val="28"/>
        </w:rPr>
        <w:t>1.9 严禁贿赂</w:t>
      </w:r>
      <w:bookmarkEnd w:id="2534"/>
      <w:bookmarkEnd w:id="2535"/>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合同双方当事人不得以贿赂或变相贿赂的方式，谋取不当利益或损害对方权益。因贿赂造成对方当事人损失的，行为人应当赔偿损失，并承担相应的法律责任。</w:t>
      </w:r>
    </w:p>
    <w:p>
      <w:pPr>
        <w:spacing w:line="490" w:lineRule="exact"/>
        <w:ind w:firstLine="562" w:firstLineChars="200"/>
        <w:outlineLvl w:val="3"/>
        <w:rPr>
          <w:rFonts w:hint="eastAsia" w:ascii="宋体" w:hAnsi="宋体" w:eastAsia="宋体" w:cs="宋体"/>
          <w:b/>
          <w:sz w:val="28"/>
          <w:szCs w:val="28"/>
        </w:rPr>
      </w:pPr>
      <w:bookmarkStart w:id="2536" w:name="_Toc52809733"/>
      <w:bookmarkStart w:id="2537" w:name="_Toc57048879"/>
      <w:r>
        <w:rPr>
          <w:rFonts w:hint="eastAsia" w:ascii="宋体" w:hAnsi="宋体" w:eastAsia="宋体" w:cs="宋体"/>
          <w:b/>
          <w:sz w:val="28"/>
          <w:szCs w:val="28"/>
        </w:rPr>
        <w:t>1.10 知识产权</w:t>
      </w:r>
      <w:bookmarkEnd w:id="2536"/>
      <w:bookmarkEnd w:id="253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1.10.1 除专用合同条款另有约定外，勘察人完成的勘察工作成果，除署名权以外的著作权和其他知识产权均归发包人享有。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1.10.2 勘察人在从事勘察活动时，不得侵犯他人的知识产权。因侵犯专利权或其他知识产权所引起的责任，由勘察人自行承担。因发包人提供的勘察资料导致侵权的，由发包人承担责任。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1.10.3 勘察人在投标文件中采用专利技术、专有技术的，相应的使用费视为已包含在投标报价之中。</w:t>
      </w:r>
    </w:p>
    <w:p>
      <w:pPr>
        <w:spacing w:line="490" w:lineRule="exact"/>
        <w:ind w:firstLine="562" w:firstLineChars="200"/>
        <w:outlineLvl w:val="3"/>
        <w:rPr>
          <w:rFonts w:hint="eastAsia" w:ascii="宋体" w:hAnsi="宋体" w:eastAsia="宋体" w:cs="宋体"/>
          <w:b/>
          <w:sz w:val="28"/>
          <w:szCs w:val="28"/>
        </w:rPr>
      </w:pPr>
      <w:bookmarkStart w:id="2538" w:name="_Toc52809734"/>
      <w:bookmarkStart w:id="2539" w:name="_Toc57048880"/>
      <w:r>
        <w:rPr>
          <w:rFonts w:hint="eastAsia" w:ascii="宋体" w:hAnsi="宋体" w:eastAsia="宋体" w:cs="宋体"/>
          <w:b/>
          <w:sz w:val="28"/>
          <w:szCs w:val="28"/>
        </w:rPr>
        <w:t>1.11 文件及信息的保密</w:t>
      </w:r>
      <w:bookmarkEnd w:id="2538"/>
      <w:bookmarkEnd w:id="253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未经对方同意，任何一方当事人不得将有关文件、技术秘密、需要保密的资料和信息泄露给他人或公开发表与引用。</w:t>
      </w:r>
    </w:p>
    <w:p>
      <w:pPr>
        <w:spacing w:line="490" w:lineRule="exact"/>
        <w:ind w:firstLine="562" w:firstLineChars="200"/>
        <w:outlineLvl w:val="3"/>
        <w:rPr>
          <w:rFonts w:hint="eastAsia" w:ascii="宋体" w:hAnsi="宋体" w:eastAsia="宋体" w:cs="宋体"/>
          <w:b/>
          <w:sz w:val="28"/>
          <w:szCs w:val="28"/>
        </w:rPr>
      </w:pPr>
      <w:bookmarkStart w:id="2540" w:name="_Toc52809735"/>
      <w:bookmarkStart w:id="2541" w:name="_Toc57048881"/>
      <w:r>
        <w:rPr>
          <w:rFonts w:hint="eastAsia" w:ascii="宋体" w:hAnsi="宋体" w:eastAsia="宋体" w:cs="宋体"/>
          <w:b/>
          <w:sz w:val="28"/>
          <w:szCs w:val="28"/>
        </w:rPr>
        <w:t>1.12 发包人要求</w:t>
      </w:r>
      <w:bookmarkEnd w:id="2540"/>
      <w:bookmarkEnd w:id="254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1.12.1 勘察人应认真阅读、复核发包人要求，发现错误的，应及时书面通知发包人。无论是否存在错误，发包人均有权修改发包人要求，并在修改后 3 天内通知勘察人。除专用合同条款另有约定外，由此导致勘察人费用增加和(或)周期延误的，发包人应当相应地增加费用和(或) 延长周期。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1.12.2 如果发包人要求违反法律规定，勘察人应在发现后及时书面通知发包人，要求其改正。发包人收到通知书后不予改正或不予答复的，勘察人有权拒绝履行合同义务，直至解除合同；由此引起的勘察人的全部损失由发包人承担。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542" w:name="_Toc23720"/>
      <w:bookmarkStart w:id="2543" w:name="_Toc57048882"/>
      <w:bookmarkStart w:id="2544" w:name="_Toc52809736"/>
      <w:bookmarkStart w:id="2545" w:name="_Toc57049941"/>
      <w:r>
        <w:rPr>
          <w:rFonts w:hint="eastAsia" w:asciiTheme="majorEastAsia" w:hAnsiTheme="majorEastAsia" w:eastAsiaTheme="majorEastAsia"/>
          <w:sz w:val="28"/>
          <w:szCs w:val="28"/>
        </w:rPr>
        <w:t>2．发包人义务</w:t>
      </w:r>
      <w:bookmarkEnd w:id="2542"/>
      <w:bookmarkEnd w:id="2543"/>
      <w:bookmarkEnd w:id="2544"/>
      <w:bookmarkEnd w:id="2545"/>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546" w:name="_Toc57048883"/>
      <w:bookmarkStart w:id="2547" w:name="_Toc52809737"/>
      <w:r>
        <w:rPr>
          <w:rFonts w:hint="eastAsia" w:ascii="宋体" w:hAnsi="宋体" w:eastAsia="宋体" w:cs="宋体"/>
          <w:b/>
          <w:sz w:val="28"/>
          <w:szCs w:val="28"/>
        </w:rPr>
        <w:t>2.1 遵守法律</w:t>
      </w:r>
      <w:bookmarkEnd w:id="2546"/>
      <w:bookmarkEnd w:id="254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发包人在履行合同过程中应遵守法律，并保证勘察人免于承担因发包人违反法律而引起的任何责任。</w:t>
      </w:r>
    </w:p>
    <w:p>
      <w:pPr>
        <w:spacing w:line="490" w:lineRule="exact"/>
        <w:ind w:firstLine="562" w:firstLineChars="200"/>
        <w:outlineLvl w:val="3"/>
        <w:rPr>
          <w:rFonts w:hint="eastAsia" w:ascii="宋体" w:hAnsi="宋体" w:eastAsia="宋体" w:cs="宋体"/>
          <w:b/>
          <w:sz w:val="28"/>
          <w:szCs w:val="28"/>
        </w:rPr>
      </w:pPr>
      <w:bookmarkStart w:id="2548" w:name="_Toc57048884"/>
      <w:bookmarkStart w:id="2549" w:name="_Toc52809738"/>
      <w:r>
        <w:rPr>
          <w:rFonts w:hint="eastAsia" w:ascii="宋体" w:hAnsi="宋体" w:eastAsia="宋体" w:cs="宋体"/>
          <w:b/>
          <w:sz w:val="28"/>
          <w:szCs w:val="28"/>
        </w:rPr>
        <w:t>2.2 发出开始勘察通知</w:t>
      </w:r>
      <w:bookmarkEnd w:id="2548"/>
      <w:bookmarkEnd w:id="254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发包人应按第 6.1 款的约定向勘察人发出开始勘察通知。 </w:t>
      </w:r>
    </w:p>
    <w:p>
      <w:pPr>
        <w:spacing w:line="490" w:lineRule="exact"/>
        <w:ind w:firstLine="562" w:firstLineChars="200"/>
        <w:outlineLvl w:val="3"/>
        <w:rPr>
          <w:rFonts w:hint="eastAsia" w:ascii="宋体" w:hAnsi="宋体" w:eastAsia="宋体" w:cs="宋体"/>
          <w:b/>
          <w:sz w:val="28"/>
          <w:szCs w:val="28"/>
        </w:rPr>
      </w:pPr>
      <w:bookmarkStart w:id="2550" w:name="_Toc57048885"/>
      <w:bookmarkStart w:id="2551" w:name="_Toc52809739"/>
      <w:r>
        <w:rPr>
          <w:rFonts w:hint="eastAsia" w:ascii="宋体" w:hAnsi="宋体" w:eastAsia="宋体" w:cs="宋体"/>
          <w:b/>
          <w:sz w:val="28"/>
          <w:szCs w:val="28"/>
        </w:rPr>
        <w:t>2.3 办理证件和批件</w:t>
      </w:r>
      <w:bookmarkEnd w:id="2550"/>
      <w:bookmarkEnd w:id="255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法律规定和（或）合同约定由发包人负责办理的工程建设项目必须履行的各类审批、核准或备案手续，发包人应当按时办理，勘察人应给予必要的协助。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法律规定和（或）合同约定由勘察人负责办理的勘察所需的证件和批件，发包人应给予必要的协助。 </w:t>
      </w:r>
    </w:p>
    <w:p>
      <w:pPr>
        <w:spacing w:line="490" w:lineRule="exact"/>
        <w:ind w:firstLine="562" w:firstLineChars="200"/>
        <w:outlineLvl w:val="3"/>
        <w:rPr>
          <w:rFonts w:hint="eastAsia" w:ascii="宋体" w:hAnsi="宋体" w:eastAsia="宋体" w:cs="宋体"/>
          <w:b/>
          <w:sz w:val="28"/>
          <w:szCs w:val="28"/>
        </w:rPr>
      </w:pPr>
      <w:bookmarkStart w:id="2552" w:name="_Toc57048886"/>
      <w:bookmarkStart w:id="2553" w:name="_Toc52809740"/>
      <w:r>
        <w:rPr>
          <w:rFonts w:hint="eastAsia" w:ascii="宋体" w:hAnsi="宋体" w:eastAsia="宋体" w:cs="宋体"/>
          <w:b/>
          <w:sz w:val="28"/>
          <w:szCs w:val="28"/>
        </w:rPr>
        <w:t>2.4 支付合同价款</w:t>
      </w:r>
      <w:bookmarkEnd w:id="2552"/>
      <w:bookmarkEnd w:id="255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发包人应按合同约定向勘察人及时支付合同价款。 </w:t>
      </w:r>
    </w:p>
    <w:p>
      <w:pPr>
        <w:spacing w:line="490" w:lineRule="exact"/>
        <w:ind w:firstLine="562" w:firstLineChars="200"/>
        <w:outlineLvl w:val="3"/>
        <w:rPr>
          <w:rFonts w:hint="eastAsia" w:ascii="宋体" w:hAnsi="宋体" w:eastAsia="宋体" w:cs="宋体"/>
          <w:b/>
          <w:sz w:val="28"/>
          <w:szCs w:val="28"/>
        </w:rPr>
      </w:pPr>
      <w:bookmarkStart w:id="2554" w:name="_Toc57048887"/>
      <w:bookmarkStart w:id="2555" w:name="_Toc52809741"/>
      <w:r>
        <w:rPr>
          <w:rFonts w:hint="eastAsia" w:ascii="宋体" w:hAnsi="宋体" w:eastAsia="宋体" w:cs="宋体"/>
          <w:b/>
          <w:sz w:val="28"/>
          <w:szCs w:val="28"/>
        </w:rPr>
        <w:t>2.5 提供勘察资料</w:t>
      </w:r>
      <w:bookmarkEnd w:id="2554"/>
      <w:bookmarkEnd w:id="2555"/>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发包人应按第 1.6.2 项的约定向勘察人提供勘察资料。</w:t>
      </w:r>
    </w:p>
    <w:p>
      <w:pPr>
        <w:spacing w:line="490" w:lineRule="exact"/>
        <w:ind w:firstLine="562" w:firstLineChars="200"/>
        <w:outlineLvl w:val="3"/>
        <w:rPr>
          <w:rFonts w:hint="eastAsia" w:ascii="宋体" w:hAnsi="宋体" w:eastAsia="宋体" w:cs="宋体"/>
          <w:b/>
          <w:sz w:val="28"/>
          <w:szCs w:val="28"/>
        </w:rPr>
      </w:pPr>
      <w:bookmarkStart w:id="2556" w:name="_Toc57048888"/>
      <w:bookmarkStart w:id="2557" w:name="_Toc52809742"/>
      <w:r>
        <w:rPr>
          <w:rFonts w:hint="eastAsia" w:ascii="宋体" w:hAnsi="宋体" w:eastAsia="宋体" w:cs="宋体"/>
          <w:b/>
          <w:sz w:val="28"/>
          <w:szCs w:val="28"/>
        </w:rPr>
        <w:t>2.6 其他义务</w:t>
      </w:r>
      <w:bookmarkEnd w:id="2556"/>
      <w:bookmarkEnd w:id="255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发包人应履行合同约定的其他义务。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558" w:name="_Toc57048889"/>
      <w:bookmarkStart w:id="2559" w:name="_Toc52809743"/>
      <w:bookmarkStart w:id="2560" w:name="_Toc57049942"/>
      <w:bookmarkStart w:id="2561" w:name="_Toc2974"/>
      <w:r>
        <w:rPr>
          <w:rFonts w:hint="eastAsia" w:asciiTheme="majorEastAsia" w:hAnsiTheme="majorEastAsia" w:eastAsiaTheme="majorEastAsia"/>
          <w:sz w:val="28"/>
          <w:szCs w:val="28"/>
        </w:rPr>
        <w:t>3．发包人管理</w:t>
      </w:r>
      <w:bookmarkEnd w:id="2558"/>
      <w:bookmarkEnd w:id="2559"/>
      <w:bookmarkEnd w:id="2560"/>
      <w:bookmarkEnd w:id="2561"/>
    </w:p>
    <w:p>
      <w:pPr>
        <w:spacing w:line="490" w:lineRule="exact"/>
        <w:ind w:firstLine="562" w:firstLineChars="200"/>
        <w:outlineLvl w:val="3"/>
        <w:rPr>
          <w:rFonts w:hint="eastAsia" w:ascii="宋体" w:hAnsi="宋体" w:eastAsia="宋体" w:cs="宋体"/>
          <w:b/>
          <w:sz w:val="28"/>
          <w:szCs w:val="28"/>
        </w:rPr>
      </w:pPr>
      <w:bookmarkStart w:id="2562" w:name="_Toc52809744"/>
      <w:bookmarkStart w:id="2563" w:name="_Toc57048890"/>
      <w:r>
        <w:rPr>
          <w:rFonts w:hint="eastAsia" w:ascii="宋体" w:hAnsi="宋体" w:eastAsia="宋体" w:cs="宋体"/>
          <w:b/>
          <w:sz w:val="28"/>
          <w:szCs w:val="28"/>
        </w:rPr>
        <w:t>3.1 发包人代表</w:t>
      </w:r>
      <w:bookmarkEnd w:id="2562"/>
      <w:bookmarkEnd w:id="256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3.1.1 除专用合同条款另有约定外，发包人应在合同签订后 14 天内，将发包人代表的姓名、职务、联系方式、授权范围和授权期限书面通知勘察人，由发包人代表在其授权范围和授权期限内，代表发包人行使权利、履行义务和处理合同履行中的具体事宜。发包人代表在授权范围内的行为由发包人承担法律责任。</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3.1.2 发包人代表违反法律法规、违背职业道德守则或者不按合同约定履行职责及义务，导致合同无法继续正常履行的，勘察人有权通知发包人更换发包人代表。发包人收到通知后7天内，应当核实完毕并将处理结果通知勘察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3.1.3 发包人更换发包人代表的，应提前14天将更换人员的姓名、职务、联系方式、授权范围和授权期限书面通知勘察人。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3.1.4 发包人代表可以授权发包人的其他人员负责执行其指派的一项或多项工作。发包人代表应将被授权人员的姓名及其授权范围通知勘察人。被授权人员在授权范围内发出的指示视为已得到发包人代表的同意，与发包人代表发出的指示具有同等效力。</w:t>
      </w:r>
    </w:p>
    <w:p>
      <w:pPr>
        <w:spacing w:line="490" w:lineRule="exact"/>
        <w:ind w:firstLine="562" w:firstLineChars="200"/>
        <w:outlineLvl w:val="3"/>
        <w:rPr>
          <w:rFonts w:hint="eastAsia" w:ascii="宋体" w:hAnsi="宋体" w:eastAsia="宋体" w:cs="宋体"/>
          <w:b/>
          <w:sz w:val="28"/>
          <w:szCs w:val="28"/>
        </w:rPr>
      </w:pPr>
      <w:bookmarkStart w:id="2564" w:name="_Toc52809745"/>
      <w:bookmarkStart w:id="2565" w:name="_Toc57048891"/>
      <w:r>
        <w:rPr>
          <w:rFonts w:hint="eastAsia" w:ascii="宋体" w:hAnsi="宋体" w:eastAsia="宋体" w:cs="宋体"/>
          <w:b/>
          <w:sz w:val="28"/>
          <w:szCs w:val="28"/>
        </w:rPr>
        <w:t>3.2 监理人</w:t>
      </w:r>
      <w:bookmarkEnd w:id="2564"/>
      <w:bookmarkEnd w:id="256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3.2.1 发包人可以根据工程建设需要确定是否委托监理人进行勘察监理。如果委托监理，则监理人享有合同约定的权力，其所发出的任何指示应视为已得到发包人的批准。监理人的监理范围、职责权限和总监理工程师信息，应在专用合同条款中指明。未经发包人批准，监理人无权修改合同。</w:t>
      </w:r>
    </w:p>
    <w:p>
      <w:pPr>
        <w:spacing w:line="490" w:lineRule="exact"/>
        <w:ind w:firstLine="420" w:firstLineChars="200"/>
        <w:rPr>
          <w:rFonts w:eastAsia="仿宋_GB2312"/>
          <w:sz w:val="28"/>
          <w:szCs w:val="28"/>
        </w:rPr>
      </w:pPr>
      <w:r>
        <w:rPr>
          <w:rFonts w:hint="eastAsia" w:ascii="宋体" w:hAnsi="宋体" w:eastAsia="宋体" w:cs="宋体"/>
          <w:sz w:val="21"/>
          <w:szCs w:val="21"/>
        </w:rPr>
        <w:t>3.2.2 合同约定应由勘察人承担的义务和责任，不因监理人对勘察文件的审查或批准，以及为实施监理作出的指示等职务行为而减轻或解除。</w:t>
      </w:r>
    </w:p>
    <w:p>
      <w:pPr>
        <w:spacing w:line="490" w:lineRule="exact"/>
        <w:ind w:firstLine="562" w:firstLineChars="200"/>
        <w:outlineLvl w:val="3"/>
        <w:rPr>
          <w:rFonts w:hint="eastAsia" w:ascii="宋体" w:hAnsi="宋体" w:eastAsia="宋体" w:cs="宋体"/>
          <w:b/>
          <w:sz w:val="28"/>
          <w:szCs w:val="28"/>
        </w:rPr>
      </w:pPr>
      <w:bookmarkStart w:id="2566" w:name="_Toc52809746"/>
      <w:bookmarkStart w:id="2567" w:name="_Toc57048892"/>
      <w:r>
        <w:rPr>
          <w:rFonts w:hint="eastAsia" w:ascii="宋体" w:hAnsi="宋体" w:eastAsia="宋体" w:cs="宋体"/>
          <w:b/>
          <w:sz w:val="28"/>
          <w:szCs w:val="28"/>
        </w:rPr>
        <w:t>3.3 发包人的指示</w:t>
      </w:r>
      <w:bookmarkEnd w:id="2566"/>
      <w:bookmarkEnd w:id="256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3.3.1 发包人应按合同约定向勘察人发出指示，发包人的指示应盖有发包人单位章，并由发包人代表签字确认。</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3.3.2 勘察人收到发包人作出的指示后应遵照执行。指示构成变更的，应按第11条执行。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3.3.3 在紧急情况下，发包人代表或其授权人员可以当场签发临时书面指示，勘察人应遵照执行。发包人代表应在临时书面指示发出后24小时内发出书面确认函，逾期未发出书面确认函的，该临时书面指示应被视为发包人的正式指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3.3.4 除专用合同条款另有约定外，勘察人只从发包人代表或按第3.1.4 项约定的被授权人员处取得指示。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3.3.5 由于发包人未能按合同约定发出指示、指示延误或指示错误而导致勘察人费用增加和（或）周期延误的，发包人应承担由此增加的费用和（或）周期延误。 </w:t>
      </w:r>
    </w:p>
    <w:p>
      <w:pPr>
        <w:spacing w:line="490" w:lineRule="exact"/>
        <w:ind w:firstLine="562" w:firstLineChars="200"/>
        <w:outlineLvl w:val="3"/>
        <w:rPr>
          <w:rFonts w:hint="eastAsia" w:ascii="宋体" w:hAnsi="宋体" w:eastAsia="宋体" w:cs="宋体"/>
          <w:b/>
          <w:sz w:val="28"/>
          <w:szCs w:val="28"/>
        </w:rPr>
      </w:pPr>
      <w:bookmarkStart w:id="2568" w:name="_Toc52809747"/>
      <w:bookmarkStart w:id="2569" w:name="_Toc57048893"/>
      <w:r>
        <w:rPr>
          <w:rFonts w:hint="eastAsia" w:ascii="宋体" w:hAnsi="宋体" w:eastAsia="宋体" w:cs="宋体"/>
          <w:b/>
          <w:sz w:val="28"/>
          <w:szCs w:val="28"/>
        </w:rPr>
        <w:t>3.4 决定或答复</w:t>
      </w:r>
      <w:bookmarkEnd w:id="2568"/>
      <w:bookmarkEnd w:id="256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3.4.1 发包人在法律允许的范围内有权对勘察人的勘察工作和/或勘察文件作出处理决定， 勘察人应按照发包人的决定执行，涉及勘察服务期限或勘察费用等问题按第 11 条的约定处理。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3.4.2 发包人应在专用合同条款约定的时间之内，对勘察人书面提出的事项作出书面答复；逾期没有做出答复的，视为已获得发包人的批准。</w:t>
      </w:r>
    </w:p>
    <w:p>
      <w:pPr>
        <w:pStyle w:val="4"/>
        <w:adjustRightInd w:val="0"/>
        <w:snapToGrid w:val="0"/>
        <w:spacing w:before="0" w:after="0" w:line="520" w:lineRule="exact"/>
        <w:rPr>
          <w:rFonts w:hint="eastAsia" w:asciiTheme="majorEastAsia" w:hAnsiTheme="majorEastAsia" w:eastAsiaTheme="majorEastAsia"/>
          <w:sz w:val="28"/>
          <w:szCs w:val="28"/>
        </w:rPr>
      </w:pPr>
      <w:bookmarkStart w:id="2570" w:name="_Toc28428"/>
      <w:bookmarkStart w:id="2571" w:name="_Toc57049943"/>
      <w:bookmarkStart w:id="2572" w:name="_Toc52809748"/>
      <w:bookmarkStart w:id="2573" w:name="_Toc57048894"/>
      <w:r>
        <w:rPr>
          <w:rFonts w:hint="eastAsia" w:asciiTheme="majorEastAsia" w:hAnsiTheme="majorEastAsia" w:eastAsiaTheme="majorEastAsia"/>
          <w:sz w:val="28"/>
          <w:szCs w:val="28"/>
        </w:rPr>
        <w:t>4．勘察人义务</w:t>
      </w:r>
      <w:bookmarkEnd w:id="2570"/>
      <w:bookmarkEnd w:id="2571"/>
      <w:bookmarkEnd w:id="2572"/>
      <w:bookmarkEnd w:id="2573"/>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574" w:name="_Toc52809749"/>
      <w:bookmarkStart w:id="2575" w:name="_Toc57048895"/>
      <w:r>
        <w:rPr>
          <w:rFonts w:hint="eastAsia" w:ascii="宋体" w:hAnsi="宋体" w:eastAsia="宋体" w:cs="宋体"/>
          <w:b/>
          <w:sz w:val="28"/>
          <w:szCs w:val="28"/>
        </w:rPr>
        <w:t>4.1 勘察人的一般义务</w:t>
      </w:r>
      <w:bookmarkEnd w:id="2574"/>
      <w:bookmarkEnd w:id="257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4.1.1 遵守法律</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勘察人在履行合同过程中应遵守法律，并保证发包人免于承担因勘察人违反法律而引起的任何责任。</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4.1.2 依法纳税</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勘察人应按有关法律规定纳税，应缴纳的税金（含增值税）包括在合同价格之中。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4.1.3 完成全部勘察工作</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应按合同约定以及发包人要求，完成合同约定的全部工作，并对工作中的任何缺陷进行整改、完善和修补，使其满足合同约定的目的。勘察人应按合同约定提供勘察文件，以及为完成勘察服务所需的劳务、材料、勘察设备、实验设施等，并应自行承担勘探场地临时设施的搭设、维护、管理和拆除。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4.1.4 保证勘察作业规范、安全和环保</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应按法律、规范标准和发包人要求，采取各项有效措施，确保勘察作业操作规范、安全、文明和环保，在风险性较大的环境中作业时应当编制安全防护方案并制定应急预案，防止因勘察作业造成的人身伤害和财产损失。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4.1.5 避免勘探对公众与他人的利益造成损害</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在进行合同约定的各项工作时，不得侵害发包人与他人使用公用道路、水源、市政管网等公共设施的权利，避免对邻近的公共设施产生干扰，保证勘探场地的周边设施、建构筑物、地下管线、架空线和其他物体的安全运行。勘察人占用或使用他人的施工场地，影响他人作业或生活的，应承担相应责任。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4.1.6 其他义务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勘察人应履行合同约定的其他义务。 </w:t>
      </w:r>
    </w:p>
    <w:p>
      <w:pPr>
        <w:spacing w:line="490" w:lineRule="exact"/>
        <w:ind w:left="0" w:leftChars="0" w:firstLine="422" w:firstLineChars="150"/>
        <w:outlineLvl w:val="3"/>
        <w:rPr>
          <w:rFonts w:hint="eastAsia" w:ascii="宋体" w:hAnsi="宋体" w:eastAsia="宋体" w:cs="宋体"/>
          <w:b/>
          <w:sz w:val="28"/>
          <w:szCs w:val="28"/>
        </w:rPr>
      </w:pPr>
      <w:bookmarkStart w:id="2576" w:name="_Toc52809750"/>
      <w:bookmarkStart w:id="2577" w:name="_Toc57048896"/>
      <w:r>
        <w:rPr>
          <w:rFonts w:hint="eastAsia" w:ascii="宋体" w:hAnsi="宋体" w:eastAsia="宋体" w:cs="宋体"/>
          <w:b/>
          <w:sz w:val="28"/>
          <w:szCs w:val="28"/>
        </w:rPr>
        <w:t>4.2 履约担保</w:t>
      </w:r>
      <w:bookmarkEnd w:id="2576"/>
      <w:bookmarkEnd w:id="257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除专用合同条款另有约定外，履约担保自合同生效之日起生效，在发包人签收最后一批勘察成果文件之日起 28 天后失效。如果勘察人不履行合同约定的义务或其履行不符合合同的约定，发包人有权扣划相应金额的履约担保。</w:t>
      </w:r>
    </w:p>
    <w:p>
      <w:pPr>
        <w:spacing w:line="490" w:lineRule="exact"/>
        <w:ind w:left="0" w:leftChars="0" w:firstLine="422" w:firstLineChars="150"/>
        <w:outlineLvl w:val="3"/>
        <w:rPr>
          <w:rFonts w:hint="eastAsia" w:ascii="宋体" w:hAnsi="宋体" w:eastAsia="宋体" w:cs="宋体"/>
          <w:b/>
          <w:sz w:val="28"/>
          <w:szCs w:val="28"/>
        </w:rPr>
      </w:pPr>
      <w:bookmarkStart w:id="2578" w:name="_Toc57048897"/>
      <w:bookmarkStart w:id="2579" w:name="_Toc52809751"/>
      <w:r>
        <w:rPr>
          <w:rFonts w:hint="eastAsia" w:ascii="宋体" w:hAnsi="宋体" w:eastAsia="宋体" w:cs="宋体"/>
          <w:b/>
          <w:sz w:val="28"/>
          <w:szCs w:val="28"/>
        </w:rPr>
        <w:t>4.3 分包和不得转包</w:t>
      </w:r>
      <w:bookmarkEnd w:id="2578"/>
      <w:bookmarkEnd w:id="257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4.3.1 勘察人不得将其勘察的全部工作转包给第三人。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4.3.2 勘察人不得将勘察的主体、关键性工作分包给第三人。除专用合同条款另有约定外，未经发包人同意，勘察人也不得将非主体、非关键性工作分包给第三人。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4.3.3 发包人同意勘察人分包工作的，勘察人应向发包人提交 1 份分包合同副本，并对分包勘察工作质量承担连带责任。除专用合同条款另有约定外，分包人的勘察费用由勘察人与分包人自行支付。 </w:t>
      </w:r>
    </w:p>
    <w:p>
      <w:pPr>
        <w:spacing w:line="490" w:lineRule="exact"/>
        <w:ind w:firstLine="420" w:firstLineChars="200"/>
        <w:rPr>
          <w:rFonts w:eastAsia="仿宋_GB2312"/>
          <w:sz w:val="28"/>
          <w:szCs w:val="28"/>
        </w:rPr>
      </w:pPr>
      <w:r>
        <w:rPr>
          <w:rFonts w:hint="eastAsia" w:ascii="宋体" w:hAnsi="宋体" w:eastAsia="宋体" w:cs="宋体"/>
          <w:sz w:val="21"/>
          <w:szCs w:val="21"/>
        </w:rPr>
        <w:t>4.3.4 分包人的资格能力应与其分包工作的标准和规模相适应，包括必要的企业资质、人员、设备和类似业绩等。</w:t>
      </w:r>
      <w:r>
        <w:rPr>
          <w:rFonts w:eastAsia="仿宋_GB2312"/>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580" w:name="_Toc57048898"/>
      <w:bookmarkStart w:id="2581" w:name="_Toc52809752"/>
      <w:r>
        <w:rPr>
          <w:rFonts w:hint="eastAsia" w:ascii="宋体" w:hAnsi="宋体" w:eastAsia="宋体" w:cs="宋体"/>
          <w:b/>
          <w:sz w:val="28"/>
          <w:szCs w:val="28"/>
        </w:rPr>
        <w:t>4.4 联合体</w:t>
      </w:r>
      <w:bookmarkEnd w:id="2580"/>
      <w:bookmarkEnd w:id="258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4.4.1 联合体各方应共同与发包人签订合同。联合体各方应为履行合同承担连带责任。</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4.4.2 联合体协议经发包人确认后作为合同附件。在履行合同过程中，未经发包人同意，不得修改联合体协议。 </w:t>
      </w:r>
    </w:p>
    <w:p>
      <w:pPr>
        <w:spacing w:line="490" w:lineRule="exact"/>
        <w:ind w:firstLine="420" w:firstLineChars="200"/>
        <w:rPr>
          <w:rFonts w:eastAsia="仿宋_GB2312"/>
          <w:sz w:val="28"/>
          <w:szCs w:val="28"/>
        </w:rPr>
      </w:pPr>
      <w:r>
        <w:rPr>
          <w:rFonts w:hint="eastAsia" w:ascii="宋体" w:hAnsi="宋体" w:eastAsia="宋体" w:cs="宋体"/>
          <w:sz w:val="21"/>
          <w:szCs w:val="21"/>
        </w:rPr>
        <w:t>4.4.3 联合体牵头人负责与发包人联系，并接受指示，负责组织联合体各成员全面履行合同。</w:t>
      </w:r>
    </w:p>
    <w:p>
      <w:pPr>
        <w:spacing w:line="490" w:lineRule="exact"/>
        <w:ind w:left="0" w:leftChars="0" w:firstLine="422" w:firstLineChars="150"/>
        <w:outlineLvl w:val="3"/>
        <w:rPr>
          <w:rFonts w:hint="eastAsia" w:ascii="宋体" w:hAnsi="宋体" w:eastAsia="宋体" w:cs="宋体"/>
          <w:b/>
          <w:sz w:val="28"/>
          <w:szCs w:val="28"/>
        </w:rPr>
      </w:pPr>
      <w:bookmarkStart w:id="2582" w:name="_Toc52809753"/>
      <w:bookmarkStart w:id="2583" w:name="_Toc57048899"/>
      <w:r>
        <w:rPr>
          <w:rFonts w:hint="eastAsia" w:ascii="宋体" w:hAnsi="宋体" w:eastAsia="宋体" w:cs="宋体"/>
          <w:b/>
          <w:sz w:val="28"/>
          <w:szCs w:val="28"/>
        </w:rPr>
        <w:t>4.5 项目负责人</w:t>
      </w:r>
      <w:bookmarkEnd w:id="2582"/>
      <w:bookmarkEnd w:id="258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4.5.1 勘察人应按合同协议书的约定指派项目负责人，并在约定的期限内到职。勘察人更换项目负责人应事先征得发包人同意，并应在更换14天前将拟更换的项目负责人的姓名和详细资料提交发包人。项目负责人2天内不能履行职责的，应事先征得发包人同意，并委派代表代行其职责。</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4.5.2 项目负责人应按合同约定以及发包人要求，负责组织合同工作的实施。在情况紧急且无法与发包人取得联系时，可采取保证工程和人员生命财产安全的紧急措施，并在采取措施后24小时内向发包人提交书面报告。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4.5.3 勘察人为履行合同发出的一切函件均应盖有勘察人单位章，并由勘察人的项目负责人签字确认。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4.5.4 按照专用合同条款约定，项目负责人可以授权其下属人员履行其某项职责，但事先应将这些人员的姓名和授权范围书面通知发包人。</w:t>
      </w:r>
    </w:p>
    <w:p>
      <w:pPr>
        <w:spacing w:line="490" w:lineRule="exact"/>
        <w:ind w:left="0" w:leftChars="0" w:firstLine="422" w:firstLineChars="150"/>
        <w:outlineLvl w:val="3"/>
        <w:rPr>
          <w:rFonts w:hint="eastAsia" w:ascii="宋体" w:hAnsi="宋体" w:eastAsia="宋体" w:cs="宋体"/>
          <w:b/>
          <w:sz w:val="28"/>
          <w:szCs w:val="28"/>
        </w:rPr>
      </w:pPr>
      <w:bookmarkStart w:id="2584" w:name="_Toc57048900"/>
      <w:bookmarkStart w:id="2585" w:name="_Toc52809754"/>
      <w:r>
        <w:rPr>
          <w:rFonts w:hint="eastAsia" w:ascii="宋体" w:hAnsi="宋体" w:eastAsia="宋体" w:cs="宋体"/>
          <w:b/>
          <w:sz w:val="28"/>
          <w:szCs w:val="28"/>
        </w:rPr>
        <w:t>4.6 勘察人员的管理</w:t>
      </w:r>
      <w:bookmarkEnd w:id="2584"/>
      <w:bookmarkEnd w:id="258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4.6.1 勘察人应在接到开始勘察通知之日起 7 天内，向发包人提交勘察项目机构以及人员安排的报告，其内容应包括项目机构设置、主要勘察人员和作业人员的名单及资格条件。主要勘察人员应相对稳定，更换主要勘察人员的，应取得发包人的同意,并向发包人提交继任人员的资格、管理经验等资料。项目负责人的更换，应按照本章第4.5.1项规定执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4.6.2 除专用合同条款另有约定外，主要勘察人员包括项目负责人、勘探负责人、试验负责人等；作业人员包括勘探描述（记录）员、机长、观测员、试验员等。</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4.6.3 勘察人应保证其主要勘察人员（含分包人）在合同期限内的任何时候，都能按时参加发包人组织的工作会议。</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4.6.4 国家规定应当持证上岗的工作人员均应持有相应的资格证明，发包人有权随时检查。 发包人认为有必要时，可以进行现场考核。 </w:t>
      </w:r>
    </w:p>
    <w:p>
      <w:pPr>
        <w:spacing w:line="490" w:lineRule="exact"/>
        <w:ind w:left="0" w:leftChars="0" w:firstLine="422" w:firstLineChars="150"/>
        <w:outlineLvl w:val="3"/>
        <w:rPr>
          <w:rFonts w:hint="eastAsia" w:ascii="宋体" w:hAnsi="宋体" w:eastAsia="宋体" w:cs="宋体"/>
          <w:b/>
          <w:sz w:val="28"/>
          <w:szCs w:val="28"/>
        </w:rPr>
      </w:pPr>
      <w:bookmarkStart w:id="2586" w:name="_Toc52809755"/>
      <w:bookmarkStart w:id="2587" w:name="_Toc57048901"/>
      <w:r>
        <w:rPr>
          <w:rFonts w:hint="eastAsia" w:ascii="宋体" w:hAnsi="宋体" w:eastAsia="宋体" w:cs="宋体"/>
          <w:b/>
          <w:sz w:val="28"/>
          <w:szCs w:val="28"/>
        </w:rPr>
        <w:t>4.7 撤换项目负责人和其他人员</w:t>
      </w:r>
      <w:bookmarkEnd w:id="2586"/>
      <w:bookmarkEnd w:id="2587"/>
      <w:r>
        <w:rPr>
          <w:rFonts w:hint="eastAsia" w:ascii="宋体" w:hAnsi="宋体" w:eastAsia="宋体" w:cs="宋体"/>
          <w:b/>
          <w:sz w:val="28"/>
          <w:szCs w:val="28"/>
        </w:rPr>
        <w:t xml:space="preserve"> </w:t>
      </w:r>
    </w:p>
    <w:p>
      <w:pPr>
        <w:spacing w:line="490" w:lineRule="exact"/>
        <w:ind w:firstLine="420" w:firstLineChars="200"/>
        <w:rPr>
          <w:rFonts w:eastAsia="仿宋_GB2312"/>
          <w:sz w:val="28"/>
          <w:szCs w:val="28"/>
        </w:rPr>
      </w:pPr>
      <w:r>
        <w:rPr>
          <w:rFonts w:hint="eastAsia" w:ascii="宋体" w:hAnsi="宋体" w:eastAsia="宋体" w:cs="宋体"/>
          <w:sz w:val="21"/>
          <w:szCs w:val="21"/>
        </w:rPr>
        <w:t>勘察人应对其项目负责人和其他人员进行有效管理。发包人要求撤换不能胜任本职工作、行为不端或玩忽职守的项目负责人和其他人员的，勘察人应予以撤换。</w:t>
      </w:r>
      <w:r>
        <w:rPr>
          <w:rFonts w:eastAsia="仿宋_GB2312"/>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588" w:name="_Toc52809756"/>
      <w:bookmarkStart w:id="2589" w:name="_Toc57048902"/>
      <w:r>
        <w:rPr>
          <w:rFonts w:hint="eastAsia" w:ascii="宋体" w:hAnsi="宋体" w:eastAsia="宋体" w:cs="宋体"/>
          <w:b/>
          <w:sz w:val="28"/>
          <w:szCs w:val="28"/>
        </w:rPr>
        <w:t>4.8 保障人员的合法权益</w:t>
      </w:r>
      <w:bookmarkEnd w:id="2588"/>
      <w:bookmarkEnd w:id="258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4.8.1 勘察人应与其雇佣的人员签订劳动合同，并按时发放工资。</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4.8.2 勘察人应按劳动法的规定安排工作时间，保证其雇佣人员享有休息和休假的权利。因勘察需要占用休假日或延长工作时间的，应不超过法律规定的限度，并按法律规定给予补休或付酬。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4.8.3 勘察人应为其现场人员提供必要的食宿条件，以及符合环境保护和卫生要求的生活环境，在远离城镇的勘探场地，还应配备必要的伤病防治和急救设施。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4.8.4 勘察人应按国家有关劳动保护的规定，采取有效的防止粉尘、降低噪声、控制有害气体和保障高温、高寒、高空作业安全等劳动保护措施。其雇佣人员在勘探作业中受到伤害的， 勘察人应立即采取有效措施进行抢救和治疗。 </w:t>
      </w:r>
    </w:p>
    <w:p>
      <w:pPr>
        <w:spacing w:line="490" w:lineRule="exact"/>
        <w:ind w:firstLine="420" w:firstLineChars="200"/>
        <w:rPr>
          <w:rFonts w:eastAsia="仿宋_GB2312"/>
          <w:sz w:val="28"/>
          <w:szCs w:val="28"/>
        </w:rPr>
      </w:pPr>
      <w:r>
        <w:rPr>
          <w:rFonts w:hint="eastAsia" w:ascii="宋体" w:hAnsi="宋体" w:eastAsia="宋体" w:cs="宋体"/>
          <w:sz w:val="21"/>
          <w:szCs w:val="21"/>
        </w:rPr>
        <w:t>4.8.5 勘察人应按有关法律规定和合同约定，为其雇佣人员办理保险。</w:t>
      </w:r>
      <w:r>
        <w:rPr>
          <w:rFonts w:eastAsia="仿宋_GB2312"/>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590" w:name="_Toc52809757"/>
      <w:bookmarkStart w:id="2591" w:name="_Toc57048903"/>
      <w:r>
        <w:rPr>
          <w:rFonts w:hint="eastAsia" w:ascii="宋体" w:hAnsi="宋体" w:eastAsia="宋体" w:cs="宋体"/>
          <w:b/>
          <w:sz w:val="28"/>
          <w:szCs w:val="28"/>
        </w:rPr>
        <w:t>4.9 合同价款应专款专用</w:t>
      </w:r>
      <w:bookmarkEnd w:id="2590"/>
      <w:bookmarkEnd w:id="2591"/>
      <w:r>
        <w:rPr>
          <w:rFonts w:hint="eastAsia" w:ascii="宋体" w:hAnsi="宋体" w:eastAsia="宋体" w:cs="宋体"/>
          <w:b/>
          <w:sz w:val="28"/>
          <w:szCs w:val="28"/>
        </w:rPr>
        <w:t xml:space="preserve"> </w:t>
      </w:r>
    </w:p>
    <w:p>
      <w:pPr>
        <w:spacing w:line="490" w:lineRule="exact"/>
        <w:ind w:firstLine="420" w:firstLineChars="200"/>
        <w:rPr>
          <w:rFonts w:eastAsia="仿宋_GB2312"/>
          <w:sz w:val="28"/>
          <w:szCs w:val="28"/>
        </w:rPr>
      </w:pPr>
      <w:r>
        <w:rPr>
          <w:rFonts w:hint="eastAsia" w:ascii="宋体" w:hAnsi="宋体" w:eastAsia="宋体" w:cs="宋体"/>
          <w:sz w:val="21"/>
          <w:szCs w:val="21"/>
        </w:rPr>
        <w:t xml:space="preserve">发包人按合同约定支付给勘察人的各项价款，应专用于合同勘察工作。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592" w:name="_Toc52809758"/>
      <w:bookmarkStart w:id="2593" w:name="_Toc32643"/>
      <w:bookmarkStart w:id="2594" w:name="_Toc57048904"/>
      <w:bookmarkStart w:id="2595" w:name="_Toc57049944"/>
      <w:r>
        <w:rPr>
          <w:rFonts w:hint="eastAsia" w:asciiTheme="majorEastAsia" w:hAnsiTheme="majorEastAsia" w:eastAsiaTheme="majorEastAsia"/>
          <w:sz w:val="28"/>
          <w:szCs w:val="28"/>
        </w:rPr>
        <w:t>5．勘察要求</w:t>
      </w:r>
      <w:bookmarkEnd w:id="2592"/>
      <w:bookmarkEnd w:id="2593"/>
      <w:bookmarkEnd w:id="2594"/>
      <w:bookmarkEnd w:id="2595"/>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596" w:name="_Toc52809759"/>
      <w:bookmarkStart w:id="2597" w:name="_Toc57048905"/>
      <w:r>
        <w:rPr>
          <w:rFonts w:hint="eastAsia" w:ascii="宋体" w:hAnsi="宋体" w:eastAsia="宋体" w:cs="宋体"/>
          <w:b/>
          <w:sz w:val="28"/>
          <w:szCs w:val="28"/>
        </w:rPr>
        <w:t>5.1 一般要求</w:t>
      </w:r>
      <w:bookmarkEnd w:id="2596"/>
      <w:bookmarkEnd w:id="259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5.1.1 发包人应当遵守法律和规范标准，不得以任何理由要求勘察人违反法律和工程质量、安全标准进行勘察服务，降低工程质量。</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5.1.2 勘察人应按照法律规定，以及国家、行业和地方的规范和标准完成勘察工作，并应符合发包人要求。各项规范、标准和发包人要求之间如对同一内容的描述不一致时，应以描述更为严格的内容为准。</w:t>
      </w:r>
    </w:p>
    <w:p>
      <w:pPr>
        <w:spacing w:line="490" w:lineRule="exact"/>
        <w:ind w:firstLine="420" w:firstLineChars="200"/>
        <w:rPr>
          <w:rFonts w:eastAsia="仿宋_GB2312"/>
          <w:sz w:val="28"/>
          <w:szCs w:val="28"/>
        </w:rPr>
      </w:pPr>
      <w:r>
        <w:rPr>
          <w:rFonts w:hint="eastAsia" w:ascii="宋体" w:hAnsi="宋体" w:eastAsia="宋体" w:cs="宋体"/>
          <w:sz w:val="21"/>
          <w:szCs w:val="21"/>
        </w:rPr>
        <w:t>5.1.3 除专用合同条款另有约定外，勘察人完成勘察工作所应遵守的法律规定，以及国家、行业和地方的规范和标准，均应视为在基准日适用的版本。基准日之后，前述版本发生重大变化，或者有新的法律，以及国家、行业和地方的规范和标准实施的，勘察人应向发包人提出遵守新规定的建议。发包人应在收到建议后7天内发出是否遵守新规定的指示。发包人指示遵守新规定的，按照第11条约定执行。</w:t>
      </w:r>
    </w:p>
    <w:p>
      <w:pPr>
        <w:spacing w:line="490" w:lineRule="exact"/>
        <w:ind w:left="0" w:leftChars="0" w:firstLine="422" w:firstLineChars="150"/>
        <w:outlineLvl w:val="3"/>
        <w:rPr>
          <w:rFonts w:hint="eastAsia" w:ascii="宋体" w:hAnsi="宋体" w:eastAsia="宋体" w:cs="宋体"/>
          <w:b/>
          <w:sz w:val="28"/>
          <w:szCs w:val="28"/>
        </w:rPr>
      </w:pPr>
      <w:bookmarkStart w:id="2598" w:name="_Toc52809760"/>
      <w:bookmarkStart w:id="2599" w:name="_Toc57048906"/>
      <w:r>
        <w:rPr>
          <w:rFonts w:hint="eastAsia" w:ascii="宋体" w:hAnsi="宋体" w:eastAsia="宋体" w:cs="宋体"/>
          <w:b/>
          <w:sz w:val="28"/>
          <w:szCs w:val="28"/>
        </w:rPr>
        <w:t>5.2 勘察依据</w:t>
      </w:r>
      <w:bookmarkEnd w:id="2598"/>
      <w:bookmarkEnd w:id="259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除专用合同条款另有约定外，本工程的勘察依据如下：</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（1）适用的法律、行政法规及部门规章；</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（2）与工程有关的规范、标准、规程；</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（3）工程基础资料及其他文件；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（4）本勘察服务合同及补充合同；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（5）本工程设计和施工需求；</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（6）合同履行中与勘察服务有关的来往函件；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（7）其他勘察依据。 </w:t>
      </w:r>
    </w:p>
    <w:p>
      <w:pPr>
        <w:spacing w:line="490" w:lineRule="exact"/>
        <w:ind w:left="0" w:leftChars="0" w:firstLine="422" w:firstLineChars="150"/>
        <w:outlineLvl w:val="3"/>
        <w:rPr>
          <w:rFonts w:hint="eastAsia" w:ascii="宋体" w:hAnsi="宋体" w:eastAsia="宋体" w:cs="宋体"/>
          <w:b/>
          <w:sz w:val="28"/>
          <w:szCs w:val="28"/>
        </w:rPr>
      </w:pPr>
      <w:bookmarkStart w:id="2600" w:name="_Toc52809761"/>
      <w:bookmarkStart w:id="2601" w:name="_Toc57048907"/>
      <w:r>
        <w:rPr>
          <w:rFonts w:hint="eastAsia" w:ascii="宋体" w:hAnsi="宋体" w:eastAsia="宋体" w:cs="宋体"/>
          <w:b/>
          <w:sz w:val="28"/>
          <w:szCs w:val="28"/>
        </w:rPr>
        <w:t>5.3 勘察范围</w:t>
      </w:r>
      <w:bookmarkEnd w:id="2600"/>
      <w:bookmarkEnd w:id="260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5.3.1 本合同的勘察范围包括工程范围、阶段范围和工作范围，具体勘察范围应当根据三者之间的关联内容进行确定。</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5.3.2 工程范围指所勘察工程的建设内容，具体范围在专用合同条款中约定。</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5.3.3 阶段范围指工程建设程序中的可行性研究勘察、初步勘察、详细勘察、施工勘察等阶段中的一个或者多个阶段，具体范围在专用合同条款中约定。</w:t>
      </w:r>
    </w:p>
    <w:p>
      <w:pPr>
        <w:spacing w:line="490" w:lineRule="exact"/>
        <w:ind w:firstLine="420" w:firstLineChars="200"/>
        <w:rPr>
          <w:rFonts w:eastAsia="仿宋_GB2312"/>
          <w:sz w:val="28"/>
          <w:szCs w:val="28"/>
        </w:rPr>
      </w:pPr>
      <w:r>
        <w:rPr>
          <w:rFonts w:hint="eastAsia" w:ascii="宋体" w:hAnsi="宋体" w:eastAsia="宋体" w:cs="宋体"/>
          <w:sz w:val="21"/>
          <w:szCs w:val="21"/>
        </w:rPr>
        <w:t>5.3.4 工作范围指工程测量、岩土工程勘察、岩土工程设计（如有）、提供技术交底、施工配合、参加试车（试运行）、竣工验收和发包人委托的其他服务中的一项或者多项工作，具体范围在专用合同条款中约定。</w:t>
      </w:r>
    </w:p>
    <w:p>
      <w:pPr>
        <w:spacing w:line="490" w:lineRule="exact"/>
        <w:ind w:left="0" w:leftChars="0" w:firstLine="422" w:firstLineChars="150"/>
        <w:outlineLvl w:val="3"/>
        <w:rPr>
          <w:rFonts w:hint="eastAsia" w:ascii="宋体" w:hAnsi="宋体" w:eastAsia="宋体" w:cs="宋体"/>
          <w:b/>
          <w:sz w:val="28"/>
          <w:szCs w:val="28"/>
        </w:rPr>
      </w:pPr>
      <w:bookmarkStart w:id="2602" w:name="_Toc52809762"/>
      <w:bookmarkStart w:id="2603" w:name="_Toc57048908"/>
      <w:r>
        <w:rPr>
          <w:rFonts w:hint="eastAsia" w:ascii="宋体" w:hAnsi="宋体" w:eastAsia="宋体" w:cs="宋体"/>
          <w:b/>
          <w:sz w:val="28"/>
          <w:szCs w:val="28"/>
        </w:rPr>
        <w:t>5.4 勘察作业要求</w:t>
      </w:r>
      <w:bookmarkEnd w:id="2602"/>
      <w:bookmarkEnd w:id="260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5.4.1 测绘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（1）除专用合同条款另有约定外，发包人应在开始勘察前 7 日内，向勘察人提供测量基准点、水准点和书面资料等；勘察人应根据国家测绘基准、测绘系统和工程测量技术规范，按发包人要求的基准点以及合同工程精度要求，进行测绘。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（2）勘察人测绘之前，应当认真核对测绘数据，保证引用数据和原始数据准确无误。测绘工作应由测量人员如实记录，不得补记、涂改或者损坏。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（3）工程勘探之前，勘察人应当严格按照勘察方案的孔位坐标，进行测量放线并在实地位置定位，埋设带有编号且不易移动的标志桩进行定位控制。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5.4.2 勘探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（1）勘察人应当根据勘察目的和岩土特性，合理选择钻探、井探、槽探、洞探和地球物理勘探等勘探方法，为完成合同约定的勘察任务创造条件。勘察人对于勘察方法的正确性、适用性和可靠性完全负责。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（2）勘察人布置勘探工作时，应当充分考虑勘探方法对于自然环境、周边设施、建构筑物、 地下管线、架空线和其他物体的影响，采用切实有效的措施进行防范控制，不得造成损坏或中断运行，否则由此导致的费用增加和（或）周期延误由勘察人自行承担。</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（3）勘察人应在标定的孔位处进行勘探，不得随意改动位置。勘探方法、勘探机具、勘探记录、取样编录与描述，孔位标记、孔位封闭等事项，应当严格执行规范标准，按实填写勘探报表和勘探日志。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勘探工作完成后，勘察人应当按照规范要求及时封孔，并将封孔记录整理存档，勘探场地应当地面平整、清洁卫生，并通知发包人、行政主管部门及使用维护单位进行现场验收。验收通过之后如果发生沉陷，勘察人应当及时进行二次封孔和现场验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5.4.3 取样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勘察人应当针对不同的岩土地质，按照勘探取样规范规程中的相关规定，根据地层特征、取样深度、设备条件和试验项目的不同，合理选用取样方法和取样工具进行取样，包括并不限于土样、水样、岩芯等。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取样后的样品应当根据其类别、性质和特点等进行封装、贮存和运输。样品搬运之前，宜用数码相机进行现场拍照；运输途中应当采用柔软材料充填、尽量避免震动和阳光曝晒；装卸之时尽量轻拿轻放，以免样品损坏。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（3）取样后的样品应当填写和粘贴标签，标签内容包括并不限于工程名称、孔号、样品编号、取样深度、样品名称、取样日期、取样人姓名、施工机组等。</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5.4.4 试验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（1）勘察人应当根据岩土条件、设计要求、勘察经验和测试方法特点，选用合适的原位测试方法和勘察设备进行原位测试。原位测试成果应与室内试验数据进行对比分析，检验其可靠性。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（2）勘察人的试验室应当通过行业管理部门认可的 CMA 计量认证，具有相应的资格证书、试验人员和试验条件，否则应当委托第三方试验室进行室内试验。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勘察人应在试验之前按照要求清点样品数目，认定取样质量及数量是否满足试验需要；勘察设备应当检定合格，性能参数满足试验要求，严格按照规范标准的相应规定进行试验操作；试验之后应在有效期内保留备样，以备复核试验成果之用，并按规范标准规定处理余土和废液，符合环境保护、健康卫生等要求。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（4）试验报告的格式应当符合CMA计量认证体系要求，加盖CMA章并由试验负责人签字确认；试验负责人应当通过计量认证考核，并由项目负责人授权许可。</w:t>
      </w:r>
    </w:p>
    <w:p>
      <w:pPr>
        <w:spacing w:line="490" w:lineRule="exact"/>
        <w:ind w:left="0" w:leftChars="0" w:firstLine="422" w:firstLineChars="150"/>
        <w:outlineLvl w:val="3"/>
        <w:rPr>
          <w:rFonts w:hint="eastAsia" w:ascii="宋体" w:hAnsi="宋体" w:eastAsia="宋体" w:cs="宋体"/>
          <w:b/>
          <w:sz w:val="28"/>
          <w:szCs w:val="28"/>
        </w:rPr>
      </w:pPr>
      <w:bookmarkStart w:id="2604" w:name="_Toc57048909"/>
      <w:bookmarkStart w:id="2605" w:name="_Toc52809763"/>
      <w:r>
        <w:rPr>
          <w:rFonts w:hint="eastAsia" w:ascii="宋体" w:hAnsi="宋体" w:eastAsia="宋体" w:cs="宋体"/>
          <w:b/>
          <w:sz w:val="28"/>
          <w:szCs w:val="28"/>
        </w:rPr>
        <w:t>5.5 勘察设备要求</w:t>
      </w:r>
      <w:bookmarkEnd w:id="2604"/>
      <w:bookmarkEnd w:id="2605"/>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5.5.1 勘察人应按合同进度计划的要求，及时配置勘察设备进行作业。勘察人更换合同约定的勘察设备的，应报发包人批准。</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5.5.2 勘察人应当按照规范要求，及时维修、保养或更换勘察设备，包括并不限于钻机、触探仪、全站仪、水准仪、探测仪、测井平台、天平、固结仪、振筛机、干燥箱、直剪仪、收缩 仪、膨胀仪、渗透仪等，保证勘察设备能够随时进场使用。 </w:t>
      </w:r>
    </w:p>
    <w:p>
      <w:pPr>
        <w:spacing w:line="490" w:lineRule="exact"/>
        <w:ind w:firstLine="420" w:firstLineChars="200"/>
        <w:rPr>
          <w:rFonts w:eastAsia="仿宋_GB2312"/>
          <w:sz w:val="28"/>
          <w:szCs w:val="28"/>
        </w:rPr>
      </w:pPr>
      <w:r>
        <w:rPr>
          <w:rFonts w:hint="eastAsia" w:ascii="宋体" w:hAnsi="宋体" w:eastAsia="宋体" w:cs="宋体"/>
          <w:sz w:val="21"/>
          <w:szCs w:val="21"/>
        </w:rPr>
        <w:t>5.5.3 勘察人使用的勘察设备不能满足合同进度计划和（或）质量要求时，发包人有权要求勘察人增加或更换勘察设备，勘察人应及时增加或更换，由此增加的费用和（或）周期延误由勘察人自行承担。</w:t>
      </w:r>
      <w:r>
        <w:rPr>
          <w:rFonts w:eastAsia="仿宋_GB2312"/>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06" w:name="_Toc57048910"/>
      <w:bookmarkStart w:id="2607" w:name="_Toc52809764"/>
      <w:r>
        <w:rPr>
          <w:rFonts w:hint="eastAsia" w:ascii="宋体" w:hAnsi="宋体" w:eastAsia="宋体" w:cs="宋体"/>
          <w:b/>
          <w:sz w:val="28"/>
          <w:szCs w:val="28"/>
        </w:rPr>
        <w:t>5.6 临时占地和设施要求</w:t>
      </w:r>
      <w:bookmarkEnd w:id="2606"/>
      <w:bookmarkEnd w:id="260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5.6.1 勘察人应当根据勘察服务方案制订临时占地计划，报请发包人批准。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5.6.2 位于本工程区域内的临时占地，由发包人协调提供。位于道路、绿化或者其他市政设施内的临时占地，由勘察人向行政管理部门报建申请，按照要求制定占地施工方案，并据此实施。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5.6.3 临时占地使用完毕后，勘察人应当按照发包人要求或行政管理部门规定恢复临时占地。如果恢复或清理标准不能满足要求的，发包人有权委托他人代为恢复或清理，由此发生的费用从拟支付给勘察人的勘察费用中扣除。</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5.6.4 勘察人应当配备或搭设足够的临时设施，保证勘探工作能够正常开展。临时设施包括并不限于施工围挡、交通疏导设施、安全防范设施、钻机防护设施、安全文明施工设施、办公生活用房、取样存放场所等。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5.6.5 临时设施应当满足规范标准、发包人要求和行政管理部门的规定等。除专用合同条款另有约定外，临时设施的修建、拆除和恢复费用由勘察人自行承担。 </w:t>
      </w:r>
    </w:p>
    <w:p>
      <w:pPr>
        <w:spacing w:line="490" w:lineRule="exact"/>
        <w:ind w:left="0" w:leftChars="0" w:firstLine="422" w:firstLineChars="150"/>
        <w:outlineLvl w:val="3"/>
        <w:rPr>
          <w:rFonts w:hint="eastAsia" w:ascii="宋体" w:hAnsi="宋体" w:eastAsia="宋体" w:cs="宋体"/>
          <w:b/>
          <w:sz w:val="28"/>
          <w:szCs w:val="28"/>
        </w:rPr>
      </w:pPr>
      <w:bookmarkStart w:id="2608" w:name="_Toc52809765"/>
      <w:bookmarkStart w:id="2609" w:name="_Toc57048911"/>
      <w:r>
        <w:rPr>
          <w:rFonts w:hint="eastAsia" w:ascii="宋体" w:hAnsi="宋体" w:eastAsia="宋体" w:cs="宋体"/>
          <w:b/>
          <w:sz w:val="28"/>
          <w:szCs w:val="28"/>
        </w:rPr>
        <w:t>5.7 安全作业要求</w:t>
      </w:r>
      <w:bookmarkEnd w:id="2608"/>
      <w:bookmarkEnd w:id="260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5.7.1 勘察人应按合同约定履行安全职责，执行发包人有关安全工作的指示，并在专用合同条款约定的期限内，按合同约定的安全工作内容，编制安全措施计划报送发包人批准。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5.7.2 勘察人应当严格执行操作规程，采取有效措施保证道路、桥梁、交通安全设施、建构筑物、地下管线、架空线和其他周边设施等安全正常地运行。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5.7.3 勘察人应当按照法律、法规和工程建设强制性标准进行勘察，加强勘察作业安全管理，特别加强易燃、易爆材料、火工器材、有毒与腐蚀性材料和其他危险品的管理。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5.7.4 勘察人应严格按照国家安全标准制定施工安全操作规程，配备必要的安全生产和劳动保护设施，加强对勘察人人员的安全教育，并且发放安全工作手册和劳动保护用具。</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5.7.5 勘察人应按发包人的指示制定应对灾害的紧急预案，报送发包人批准。勘察人还应按预案做好安全检查，配置必要的救助物资和器材，切实保护好有关人员的人身和财产安全。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5.7.6 勘察人应对其履行合同所雇佣的全部人员，包括分包人人员的工伤事故承担责任，但由于发包人原因造成勘察人人员工伤事故的，应由发包人承担责任。 </w:t>
      </w:r>
    </w:p>
    <w:p>
      <w:pPr>
        <w:spacing w:line="490" w:lineRule="exact"/>
        <w:ind w:firstLine="420" w:firstLineChars="200"/>
        <w:rPr>
          <w:rFonts w:eastAsia="仿宋_GB2312"/>
          <w:szCs w:val="28"/>
        </w:rPr>
      </w:pPr>
      <w:r>
        <w:rPr>
          <w:rFonts w:hint="eastAsia" w:ascii="宋体" w:hAnsi="宋体" w:eastAsia="宋体" w:cs="宋体"/>
          <w:sz w:val="21"/>
          <w:szCs w:val="21"/>
        </w:rPr>
        <w:t xml:space="preserve">5.7.7 由于勘察人原因在施工场地内及其毗邻地带造成的第三者人员伤亡和财产损失，由勘察人负责赔偿。 </w:t>
      </w:r>
    </w:p>
    <w:p>
      <w:pPr>
        <w:spacing w:line="490" w:lineRule="exact"/>
        <w:ind w:left="0" w:leftChars="0" w:firstLine="422" w:firstLineChars="150"/>
        <w:outlineLvl w:val="3"/>
        <w:rPr>
          <w:rFonts w:hint="eastAsia" w:ascii="宋体" w:hAnsi="宋体" w:eastAsia="宋体" w:cs="宋体"/>
          <w:b/>
          <w:sz w:val="28"/>
          <w:szCs w:val="28"/>
        </w:rPr>
      </w:pPr>
      <w:bookmarkStart w:id="2610" w:name="_Toc57048912"/>
      <w:bookmarkStart w:id="2611" w:name="_Toc52809766"/>
      <w:r>
        <w:rPr>
          <w:rFonts w:hint="eastAsia" w:ascii="宋体" w:hAnsi="宋体" w:eastAsia="宋体" w:cs="宋体"/>
          <w:b/>
          <w:sz w:val="28"/>
          <w:szCs w:val="28"/>
        </w:rPr>
        <w:t>5.8 环境保护要求</w:t>
      </w:r>
      <w:bookmarkEnd w:id="2610"/>
      <w:bookmarkEnd w:id="261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5.8.1 勘察人在履行合同过程中，应遵守有关环境保护的法律，履行合同约定的环境保护义务，并对违反法律和合同约定义务所造成的环境破坏、人身伤害和财产损失负责。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5.8.2 勘察人应按合同约定的环保工作内容，编制环保措施计划，报送发包人批准。</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5.8.3 勘察人应确保勘探过程中产生的气体排放物、粉尘、噪声、地面排水及排污等，符合法律规定和发包人要求。</w:t>
      </w:r>
    </w:p>
    <w:p>
      <w:pPr>
        <w:spacing w:line="490" w:lineRule="exact"/>
        <w:ind w:left="0" w:leftChars="0" w:firstLine="422" w:firstLineChars="150"/>
        <w:outlineLvl w:val="3"/>
        <w:rPr>
          <w:rFonts w:hint="eastAsia" w:ascii="宋体" w:hAnsi="宋体" w:eastAsia="宋体" w:cs="宋体"/>
          <w:b/>
          <w:sz w:val="28"/>
          <w:szCs w:val="28"/>
        </w:rPr>
      </w:pPr>
      <w:bookmarkStart w:id="2612" w:name="_Toc52809767"/>
      <w:bookmarkStart w:id="2613" w:name="_Toc57048913"/>
      <w:r>
        <w:rPr>
          <w:rFonts w:hint="eastAsia" w:ascii="宋体" w:hAnsi="宋体" w:eastAsia="宋体" w:cs="宋体"/>
          <w:b/>
          <w:sz w:val="28"/>
          <w:szCs w:val="28"/>
        </w:rPr>
        <w:t>5.9 事故处理要求</w:t>
      </w:r>
      <w:bookmarkEnd w:id="2612"/>
      <w:bookmarkEnd w:id="261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5.9.1 合同履行过程中发生事故的，勘察人应立即通知发包人。 </w:t>
      </w:r>
    </w:p>
    <w:p>
      <w:pPr>
        <w:spacing w:line="490" w:lineRule="exact"/>
        <w:ind w:firstLine="420" w:firstLineChars="200"/>
        <w:rPr>
          <w:rFonts w:eastAsia="仿宋_GB2312"/>
          <w:sz w:val="28"/>
          <w:szCs w:val="28"/>
        </w:rPr>
      </w:pPr>
      <w:r>
        <w:rPr>
          <w:rFonts w:hint="eastAsia" w:ascii="宋体" w:hAnsi="宋体" w:eastAsia="宋体" w:cs="宋体"/>
          <w:sz w:val="21"/>
          <w:szCs w:val="21"/>
        </w:rPr>
        <w:t xml:space="preserve">5.9.2 发包人和勘察人应立即组织人员和设备进行紧急抢救和抢修，减少人员伤亡和财产损失，防止事故扩大，并保护事故现场。需要移动现场物品时，应作出标记和书面记录，妥善保管有关证据。发包人和勘察人应按国家有关规定，及时如实地向有关部门报告事故发生的情况，以及正在采取的紧急措施等。 </w:t>
      </w:r>
    </w:p>
    <w:p>
      <w:pPr>
        <w:spacing w:line="490" w:lineRule="exact"/>
        <w:ind w:left="0" w:leftChars="0" w:firstLine="422" w:firstLineChars="150"/>
        <w:outlineLvl w:val="3"/>
        <w:rPr>
          <w:rFonts w:hint="eastAsia" w:ascii="宋体" w:hAnsi="宋体" w:eastAsia="宋体" w:cs="宋体"/>
          <w:b/>
          <w:sz w:val="28"/>
          <w:szCs w:val="28"/>
        </w:rPr>
      </w:pPr>
      <w:bookmarkStart w:id="2614" w:name="_Toc57048914"/>
      <w:bookmarkStart w:id="2615" w:name="_Toc52809768"/>
      <w:r>
        <w:rPr>
          <w:rFonts w:hint="eastAsia" w:ascii="宋体" w:hAnsi="宋体" w:eastAsia="宋体" w:cs="宋体"/>
          <w:b/>
          <w:sz w:val="28"/>
          <w:szCs w:val="28"/>
        </w:rPr>
        <w:t>5.10 勘察文件要求</w:t>
      </w:r>
      <w:bookmarkEnd w:id="2614"/>
      <w:bookmarkEnd w:id="2615"/>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5.10.1 勘察文件的编制应符合法律法规、规范标准的强制性规定和发包人要求，相关勘察依据应完整、准确、可靠，勘察方案论证充分，计算成果规范可靠，并能够实施。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5.10.2 勘察文件的深度应满足本合同相应勘察阶段的规定要求，满足发包人的下步工作需要，并应符合国家和行业现行规定。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16" w:name="_Toc57049945"/>
      <w:bookmarkStart w:id="2617" w:name="_Toc57048915"/>
      <w:bookmarkStart w:id="2618" w:name="_Toc52809769"/>
      <w:bookmarkStart w:id="2619" w:name="_Toc15047"/>
      <w:r>
        <w:rPr>
          <w:rFonts w:hint="eastAsia" w:asciiTheme="majorEastAsia" w:hAnsiTheme="majorEastAsia" w:eastAsiaTheme="majorEastAsia"/>
          <w:sz w:val="28"/>
          <w:szCs w:val="28"/>
        </w:rPr>
        <w:t>6．开始勘察和完成勘察</w:t>
      </w:r>
      <w:bookmarkEnd w:id="2616"/>
      <w:bookmarkEnd w:id="2617"/>
      <w:bookmarkEnd w:id="2618"/>
      <w:bookmarkEnd w:id="2619"/>
    </w:p>
    <w:p>
      <w:pPr>
        <w:spacing w:line="490" w:lineRule="exact"/>
        <w:ind w:left="0" w:leftChars="0" w:firstLine="422" w:firstLineChars="150"/>
        <w:outlineLvl w:val="3"/>
        <w:rPr>
          <w:rFonts w:hint="eastAsia" w:ascii="宋体" w:hAnsi="宋体" w:eastAsia="宋体" w:cs="宋体"/>
          <w:b/>
          <w:sz w:val="28"/>
          <w:szCs w:val="28"/>
        </w:rPr>
      </w:pPr>
      <w:bookmarkStart w:id="2620" w:name="_Toc57048916"/>
      <w:bookmarkStart w:id="2621" w:name="_Toc52809770"/>
      <w:r>
        <w:rPr>
          <w:rFonts w:hint="eastAsia" w:ascii="宋体" w:hAnsi="宋体" w:eastAsia="宋体" w:cs="宋体"/>
          <w:b/>
          <w:sz w:val="28"/>
          <w:szCs w:val="28"/>
        </w:rPr>
        <w:t>6.1 开始勘察</w:t>
      </w:r>
      <w:bookmarkEnd w:id="2620"/>
      <w:bookmarkEnd w:id="262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6.1.1 符合专用合同条款约定的开始勘察条件的，发包人应提前 7 天向勘察人发出开始勘察通知。勘察服务期限自开始勘察通知中载明的开始勘察日期起计算。 </w:t>
      </w:r>
    </w:p>
    <w:p>
      <w:pPr>
        <w:spacing w:line="490" w:lineRule="exact"/>
        <w:ind w:firstLine="420" w:firstLineChars="200"/>
        <w:rPr>
          <w:rFonts w:eastAsia="仿宋_GB2312"/>
          <w:sz w:val="28"/>
          <w:szCs w:val="28"/>
        </w:rPr>
      </w:pPr>
      <w:r>
        <w:rPr>
          <w:rFonts w:hint="eastAsia" w:ascii="宋体" w:hAnsi="宋体" w:eastAsia="宋体" w:cs="宋体"/>
          <w:sz w:val="21"/>
          <w:szCs w:val="21"/>
        </w:rPr>
        <w:t>6.1.2 除专用合同条款另有约定外，因发包人原因造成合同签订之日起 90 天内未能发出开始勘察通知的，勘察人有权提出价格调整要求，或者解除合同。发包人应当承担由此增加的费用和（或）周期延误。</w:t>
      </w:r>
      <w:r>
        <w:rPr>
          <w:rFonts w:eastAsia="仿宋_GB2312"/>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22" w:name="_Toc57048917"/>
      <w:bookmarkStart w:id="2623" w:name="_Toc52809771"/>
      <w:r>
        <w:rPr>
          <w:rFonts w:hint="eastAsia" w:ascii="宋体" w:hAnsi="宋体" w:eastAsia="宋体" w:cs="宋体"/>
          <w:b/>
          <w:sz w:val="28"/>
          <w:szCs w:val="28"/>
        </w:rPr>
        <w:t>6.2 发包人引起的周期延误</w:t>
      </w:r>
      <w:bookmarkEnd w:id="2622"/>
      <w:bookmarkEnd w:id="262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在履行合同过程中，由于发包人的下列原因造成勘察服务期限延误的，发包人应当延长勘察服务期限并增加勘察费用，具体方法在专用合同条款中约定。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（1）合同变更；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（2）未按合同约定期限及时答复勘察事项；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（3）因发包人原因导致的暂停勘察；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（4）未按合同约定及时支付勘察费用；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（5）发包人提供的基准资料错误；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（6）未及时按照履行合同约定的相关义务；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（7）未能按照合同约定期限对勘察文件进行审查；</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（8）发包人造成周期延误的其他原因。 </w:t>
      </w:r>
    </w:p>
    <w:p>
      <w:pPr>
        <w:spacing w:line="490" w:lineRule="exact"/>
        <w:ind w:left="0" w:leftChars="0" w:firstLine="422" w:firstLineChars="150"/>
        <w:outlineLvl w:val="3"/>
        <w:rPr>
          <w:rFonts w:hint="eastAsia" w:ascii="宋体" w:hAnsi="宋体" w:eastAsia="宋体" w:cs="宋体"/>
          <w:b/>
          <w:sz w:val="28"/>
          <w:szCs w:val="28"/>
        </w:rPr>
      </w:pPr>
      <w:bookmarkStart w:id="2624" w:name="_Toc52809772"/>
      <w:bookmarkStart w:id="2625" w:name="_Toc57048918"/>
      <w:r>
        <w:rPr>
          <w:rFonts w:hint="eastAsia" w:ascii="宋体" w:hAnsi="宋体" w:eastAsia="宋体" w:cs="宋体"/>
          <w:b/>
          <w:sz w:val="28"/>
          <w:szCs w:val="28"/>
        </w:rPr>
        <w:t>6.3 非人为因素引起的周期延误</w:t>
      </w:r>
      <w:bookmarkEnd w:id="2624"/>
      <w:bookmarkEnd w:id="2625"/>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6.3.1 由于出现专用合同条款规定的异常恶劣气候条件、不利物质条件等因素导致周期延误的，勘察人有权要求发包人延长周期和（或）增加费用。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6.3.2 勘察人发现地下文物或化石时，应按规定及时报告发包人和文物部门，并采取有效措施进行保护；勘察人有权要求发包人延长周期和（或）增加费用。 </w:t>
      </w:r>
    </w:p>
    <w:p>
      <w:pPr>
        <w:spacing w:line="490" w:lineRule="exact"/>
        <w:ind w:left="0" w:leftChars="0" w:firstLine="422" w:firstLineChars="150"/>
        <w:outlineLvl w:val="3"/>
        <w:rPr>
          <w:rFonts w:hint="eastAsia" w:ascii="宋体" w:hAnsi="宋体" w:eastAsia="宋体" w:cs="宋体"/>
          <w:b/>
          <w:sz w:val="28"/>
          <w:szCs w:val="28"/>
        </w:rPr>
      </w:pPr>
      <w:bookmarkStart w:id="2626" w:name="_Toc57048919"/>
      <w:bookmarkStart w:id="2627" w:name="_Toc52809773"/>
      <w:r>
        <w:rPr>
          <w:rFonts w:hint="eastAsia" w:ascii="宋体" w:hAnsi="宋体" w:eastAsia="宋体" w:cs="宋体"/>
          <w:b/>
          <w:sz w:val="28"/>
          <w:szCs w:val="28"/>
        </w:rPr>
        <w:t>6.4 勘察人引起的周期延误</w:t>
      </w:r>
      <w:bookmarkEnd w:id="2626"/>
      <w:bookmarkEnd w:id="262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由于勘察人原因造成周期延误，勘察人应支付逾期违约金。逾期违约金的计算方法和最高限额在专用合同条款中约定。 </w:t>
      </w:r>
    </w:p>
    <w:p>
      <w:pPr>
        <w:spacing w:line="490" w:lineRule="exact"/>
        <w:ind w:left="0" w:leftChars="0" w:firstLine="422" w:firstLineChars="150"/>
        <w:outlineLvl w:val="3"/>
        <w:rPr>
          <w:rFonts w:hint="eastAsia" w:ascii="宋体" w:hAnsi="宋体" w:eastAsia="宋体" w:cs="宋体"/>
          <w:b/>
          <w:sz w:val="28"/>
          <w:szCs w:val="28"/>
        </w:rPr>
      </w:pPr>
      <w:bookmarkStart w:id="2628" w:name="_Toc52809774"/>
      <w:bookmarkStart w:id="2629" w:name="_Toc57048920"/>
      <w:r>
        <w:rPr>
          <w:rFonts w:hint="eastAsia" w:ascii="宋体" w:hAnsi="宋体" w:eastAsia="宋体" w:cs="宋体"/>
          <w:b/>
          <w:sz w:val="28"/>
          <w:szCs w:val="28"/>
        </w:rPr>
        <w:t xml:space="preserve">6.5 </w:t>
      </w:r>
      <w:bookmarkEnd w:id="2628"/>
      <w:r>
        <w:rPr>
          <w:rFonts w:hint="eastAsia" w:ascii="宋体" w:hAnsi="宋体" w:eastAsia="宋体" w:cs="宋体"/>
          <w:b/>
          <w:sz w:val="28"/>
          <w:szCs w:val="28"/>
        </w:rPr>
        <w:t>行政管理部门引起的周期延误</w:t>
      </w:r>
      <w:bookmarkEnd w:id="262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由于行政管理部门审查延迟原因造成费用增加和（或）周期延误的，由发包人承担。</w:t>
      </w:r>
    </w:p>
    <w:p>
      <w:pPr>
        <w:spacing w:line="490" w:lineRule="exact"/>
        <w:ind w:left="0" w:leftChars="0" w:firstLine="422" w:firstLineChars="150"/>
        <w:outlineLvl w:val="3"/>
        <w:rPr>
          <w:rFonts w:hint="eastAsia" w:ascii="宋体" w:hAnsi="宋体" w:eastAsia="宋体" w:cs="宋体"/>
          <w:b/>
          <w:sz w:val="28"/>
          <w:szCs w:val="28"/>
        </w:rPr>
      </w:pPr>
      <w:bookmarkStart w:id="2630" w:name="_Toc52809775"/>
      <w:bookmarkStart w:id="2631" w:name="_Toc57048921"/>
      <w:r>
        <w:rPr>
          <w:rFonts w:hint="eastAsia" w:ascii="宋体" w:hAnsi="宋体" w:eastAsia="宋体" w:cs="宋体"/>
          <w:b/>
          <w:sz w:val="28"/>
          <w:szCs w:val="28"/>
        </w:rPr>
        <w:t>6.6 完成勘察</w:t>
      </w:r>
      <w:bookmarkEnd w:id="2630"/>
      <w:bookmarkEnd w:id="263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6.6.1 勘察人完成勘察服务之后，应当根据法律、规范标准、合同约定和发包人要求编制勘察文件。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6.6.2 勘察文件是工程勘察的最终成果和设计施工的重要依据，应当根据本工程的勘察内容和不同阶段的勘察任务、目的和要求等进行编制。勘察文件的内容和深度应当满足对应阶段的设计需求。</w:t>
      </w:r>
    </w:p>
    <w:p>
      <w:pPr>
        <w:spacing w:line="490" w:lineRule="exact"/>
        <w:ind w:firstLine="420" w:firstLineChars="200"/>
        <w:rPr>
          <w:rFonts w:eastAsia="仿宋_GB2312"/>
          <w:sz w:val="28"/>
          <w:szCs w:val="28"/>
        </w:rPr>
      </w:pPr>
      <w:r>
        <w:rPr>
          <w:rFonts w:hint="eastAsia" w:ascii="宋体" w:hAnsi="宋体" w:eastAsia="宋体" w:cs="宋体"/>
          <w:sz w:val="21"/>
          <w:szCs w:val="21"/>
        </w:rPr>
        <w:t>6.6.3 除专用合同条款另有约定外，勘察文件包括纸质文件和电子文件两种形式，两者若有不一致时，应以纸质文件为准。纸质文件一式八份，应当加盖单位章和项目负责人注册执业印章；电子文件中的文字为WORD格式、图形为CAD格式，并应使用光盘和U盘分别贮存。</w:t>
      </w:r>
    </w:p>
    <w:p>
      <w:pPr>
        <w:spacing w:line="490" w:lineRule="exact"/>
        <w:ind w:left="0" w:leftChars="0" w:firstLine="422" w:firstLineChars="150"/>
        <w:outlineLvl w:val="3"/>
        <w:rPr>
          <w:rFonts w:hint="eastAsia" w:ascii="宋体" w:hAnsi="宋体" w:eastAsia="宋体" w:cs="宋体"/>
          <w:b/>
          <w:sz w:val="28"/>
          <w:szCs w:val="28"/>
        </w:rPr>
      </w:pPr>
      <w:bookmarkStart w:id="2632" w:name="_Toc52809776"/>
      <w:bookmarkStart w:id="2633" w:name="_Toc57048922"/>
      <w:r>
        <w:rPr>
          <w:rFonts w:hint="eastAsia" w:ascii="宋体" w:hAnsi="宋体" w:eastAsia="宋体" w:cs="宋体"/>
          <w:b/>
          <w:sz w:val="28"/>
          <w:szCs w:val="28"/>
        </w:rPr>
        <w:t>6.7 提前完成勘察</w:t>
      </w:r>
      <w:bookmarkEnd w:id="2632"/>
      <w:bookmarkEnd w:id="263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6.7.1 根据发包人要求或者基于专业能力判断，勘察人认为能够提前完成勘察的，可向发包人递交一份提前完成勘察建议书，包括实施方案、提前时间、勘察费用变动等内容。除专用合同条款另有约定之外，发包人接受建议书的，不因提前完成勘察而减少勘察费用；增加勘察费用的，所增费用由发包人承担。</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6.7.2 发包人要求提前完成勘察但勘察人认为无法实施的，应在收到发包人书面指示后7天内提出异议，说明不能提前完成的理由。发包人应在收到异议后7天内予以答复。任何情况下，发包人不得压缩合理的勘察服务期限。</w:t>
      </w:r>
    </w:p>
    <w:p>
      <w:pPr>
        <w:spacing w:line="490" w:lineRule="exact"/>
        <w:ind w:firstLine="420" w:firstLineChars="200"/>
        <w:rPr>
          <w:rFonts w:eastAsia="仿宋_GB2312"/>
          <w:sz w:val="28"/>
          <w:szCs w:val="28"/>
        </w:rPr>
      </w:pPr>
      <w:r>
        <w:rPr>
          <w:rFonts w:hint="eastAsia" w:ascii="宋体" w:hAnsi="宋体" w:eastAsia="宋体" w:cs="宋体"/>
          <w:sz w:val="21"/>
          <w:szCs w:val="21"/>
        </w:rPr>
        <w:t>6.7.3 由于勘察人提前完成勘察而给发包人带来经济效益的，发包人可以在专用合同条款中约定勘察人因此获得的奖励内容。</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34" w:name="_Toc52809777"/>
      <w:bookmarkStart w:id="2635" w:name="_Toc57049946"/>
      <w:bookmarkStart w:id="2636" w:name="_Toc57048923"/>
      <w:bookmarkStart w:id="2637" w:name="_Toc29370"/>
      <w:r>
        <w:rPr>
          <w:rFonts w:hint="eastAsia" w:asciiTheme="majorEastAsia" w:hAnsiTheme="majorEastAsia" w:eastAsiaTheme="majorEastAsia"/>
          <w:sz w:val="28"/>
          <w:szCs w:val="28"/>
        </w:rPr>
        <w:t>7．暂停勘察</w:t>
      </w:r>
      <w:bookmarkEnd w:id="2634"/>
      <w:bookmarkEnd w:id="2635"/>
      <w:bookmarkEnd w:id="2636"/>
      <w:bookmarkEnd w:id="2637"/>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38" w:name="_Toc52809778"/>
      <w:bookmarkStart w:id="2639" w:name="_Toc57048924"/>
      <w:r>
        <w:rPr>
          <w:rFonts w:hint="eastAsia" w:ascii="宋体" w:hAnsi="宋体" w:eastAsia="宋体" w:cs="宋体"/>
          <w:b/>
          <w:sz w:val="28"/>
          <w:szCs w:val="28"/>
        </w:rPr>
        <w:t>7.1 发包人原因暂停勘察</w:t>
      </w:r>
      <w:bookmarkEnd w:id="2638"/>
      <w:bookmarkEnd w:id="263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履行中发生下列情形之一的，勘察人可向发包人发出通知，要求发包人采取有效措施予以纠正。发包人收到勘察人通知后的28天内仍不履行合同义务时，勘察人有权暂停勘察并通知发包人；发包人应承担由此导致的费用增加和（或）周期延误。</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（1）发包人违约；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（2）发包人确定暂停勘察；</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（3）合同约定由发包人承担责任的其他情形。</w:t>
      </w:r>
    </w:p>
    <w:p>
      <w:pPr>
        <w:spacing w:line="490" w:lineRule="exact"/>
        <w:ind w:left="0" w:leftChars="0" w:firstLine="422" w:firstLineChars="150"/>
        <w:outlineLvl w:val="3"/>
        <w:rPr>
          <w:rFonts w:hint="eastAsia" w:ascii="宋体" w:hAnsi="宋体" w:eastAsia="宋体" w:cs="宋体"/>
          <w:b/>
          <w:sz w:val="28"/>
          <w:szCs w:val="28"/>
        </w:rPr>
      </w:pPr>
      <w:bookmarkStart w:id="2640" w:name="_Toc57048925"/>
      <w:bookmarkStart w:id="2641" w:name="_Toc52809779"/>
      <w:r>
        <w:rPr>
          <w:rFonts w:hint="eastAsia" w:ascii="宋体" w:hAnsi="宋体" w:eastAsia="宋体" w:cs="宋体"/>
          <w:b/>
          <w:sz w:val="28"/>
          <w:szCs w:val="28"/>
        </w:rPr>
        <w:t>7.2 勘察人原因暂停勘察</w:t>
      </w:r>
      <w:bookmarkEnd w:id="2640"/>
      <w:bookmarkEnd w:id="264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合同履行中发生下列情形之一的，发包人可向勘察人发出通知暂停勘察，由此造成费用的增加和（或）周期延误由勘察人承担：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（1）勘察人违约；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（2）勘察人擅自暂停勘察；</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（3）合同约定由勘察人承担责任的其他情形。</w:t>
      </w:r>
    </w:p>
    <w:p>
      <w:pPr>
        <w:spacing w:line="490" w:lineRule="exact"/>
        <w:ind w:left="0" w:leftChars="0" w:firstLine="422" w:firstLineChars="150"/>
        <w:outlineLvl w:val="3"/>
        <w:rPr>
          <w:rFonts w:hint="eastAsia" w:ascii="宋体" w:hAnsi="宋体" w:eastAsia="宋体" w:cs="宋体"/>
          <w:b/>
          <w:sz w:val="28"/>
          <w:szCs w:val="28"/>
        </w:rPr>
      </w:pPr>
      <w:bookmarkStart w:id="2642" w:name="_Toc57048926"/>
      <w:bookmarkStart w:id="2643" w:name="_Toc52809780"/>
      <w:r>
        <w:rPr>
          <w:rFonts w:hint="eastAsia" w:ascii="宋体" w:hAnsi="宋体" w:eastAsia="宋体" w:cs="宋体"/>
          <w:b/>
          <w:sz w:val="28"/>
          <w:szCs w:val="28"/>
        </w:rPr>
        <w:t>7.3 暂停期间的文件照管</w:t>
      </w:r>
      <w:bookmarkEnd w:id="2642"/>
      <w:bookmarkEnd w:id="264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不论由于何种原因引起暂停勘察的，暂停期间勘察人应负责妥善保护已完部分的勘察文件，由此增加的费用由责任方承担。</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44" w:name="_Toc366"/>
      <w:bookmarkStart w:id="2645" w:name="_Toc57049947"/>
      <w:bookmarkStart w:id="2646" w:name="_Toc57048927"/>
      <w:bookmarkStart w:id="2647" w:name="_Toc52809781"/>
      <w:r>
        <w:rPr>
          <w:rFonts w:hint="eastAsia" w:asciiTheme="majorEastAsia" w:hAnsiTheme="majorEastAsia" w:eastAsiaTheme="majorEastAsia"/>
          <w:sz w:val="28"/>
          <w:szCs w:val="28"/>
        </w:rPr>
        <w:t>8．勘察文件</w:t>
      </w:r>
      <w:bookmarkEnd w:id="2644"/>
      <w:bookmarkEnd w:id="2645"/>
      <w:bookmarkEnd w:id="2646"/>
      <w:bookmarkEnd w:id="2647"/>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48" w:name="_Toc52809782"/>
      <w:bookmarkStart w:id="2649" w:name="_Toc57048928"/>
      <w:r>
        <w:rPr>
          <w:rFonts w:hint="eastAsia" w:ascii="宋体" w:hAnsi="宋体" w:eastAsia="宋体" w:cs="宋体"/>
          <w:b/>
          <w:sz w:val="28"/>
          <w:szCs w:val="28"/>
        </w:rPr>
        <w:t>8.1 勘察文件接收</w:t>
      </w:r>
      <w:bookmarkEnd w:id="2648"/>
      <w:bookmarkEnd w:id="264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8.1.1 发包人应当及时接收勘察人提交的勘察文件。如无正当理由拒收的，视为发包人已经接收勘察文件。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8.1.2 发包人接收勘察文件时，应向勘察人出具文件签收凭证，凭证内容包括文件名称、文件内容、文件形式、份数、提交和接收日期、提交人与接收人的亲笔签名等。</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8.1.3 勘察文件提交的份数、内容、纸幅、装订格式、电子文件等要求，在专用合同条款中约定。</w:t>
      </w:r>
    </w:p>
    <w:p>
      <w:pPr>
        <w:spacing w:line="490" w:lineRule="exact"/>
        <w:ind w:left="0" w:leftChars="0" w:firstLine="422" w:firstLineChars="150"/>
        <w:outlineLvl w:val="3"/>
        <w:rPr>
          <w:rFonts w:hint="eastAsia" w:ascii="宋体" w:hAnsi="宋体" w:eastAsia="宋体" w:cs="宋体"/>
          <w:b/>
          <w:sz w:val="28"/>
          <w:szCs w:val="28"/>
        </w:rPr>
      </w:pPr>
      <w:bookmarkStart w:id="2650" w:name="_Toc57048929"/>
      <w:bookmarkStart w:id="2651" w:name="_Toc52809783"/>
      <w:r>
        <w:rPr>
          <w:rFonts w:hint="eastAsia" w:ascii="宋体" w:hAnsi="宋体" w:eastAsia="宋体" w:cs="宋体"/>
          <w:b/>
          <w:sz w:val="28"/>
          <w:szCs w:val="28"/>
        </w:rPr>
        <w:t>8.2 发包人审查勘察文件</w:t>
      </w:r>
      <w:bookmarkEnd w:id="2650"/>
      <w:bookmarkEnd w:id="265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8.2.1 发包人接收勘察文件之后，可以自行或者组织专家会进行审查，勘察人应当给予配合。审查标准应当符合法律、规范标准、合同约定和发包人要求等；审查的具体范围、明细内容和费用分担，在专用合同条款中约定。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8.2.2 除专用合同条款另有约定外，发包人对于勘察文件的审查期限，自文件接收之日起不应超过14天。发包人逾期未做出审查结论且未提出异议的，视为勘察人的勘察文件已经通过发包人审查。</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8.2.3 发包人审查后不同意勘察文件的，应以书面形式通知勘察人，说明审查不通过的理由及其具体内容。勘察人应根据发包人的审查意见修改完善勘察文件，并重新报送发包人审查，审查期限重新起算。</w:t>
      </w:r>
    </w:p>
    <w:p>
      <w:pPr>
        <w:spacing w:line="490" w:lineRule="exact"/>
        <w:ind w:left="0" w:leftChars="0" w:firstLine="422" w:firstLineChars="150"/>
        <w:outlineLvl w:val="3"/>
        <w:rPr>
          <w:rFonts w:hint="eastAsia" w:ascii="宋体" w:hAnsi="宋体" w:eastAsia="宋体" w:cs="宋体"/>
          <w:b/>
          <w:sz w:val="28"/>
          <w:szCs w:val="28"/>
        </w:rPr>
      </w:pPr>
      <w:bookmarkStart w:id="2652" w:name="_Toc57048930"/>
      <w:bookmarkStart w:id="2653" w:name="_Toc52809784"/>
      <w:r>
        <w:rPr>
          <w:rFonts w:hint="eastAsia" w:ascii="宋体" w:hAnsi="宋体" w:eastAsia="宋体" w:cs="宋体"/>
          <w:b/>
          <w:sz w:val="28"/>
          <w:szCs w:val="28"/>
        </w:rPr>
        <w:t>8.3 审查机构审查勘察文件</w:t>
      </w:r>
      <w:bookmarkEnd w:id="2652"/>
      <w:bookmarkEnd w:id="265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8.3.1 勘察文件需经政府有关部门审查或批准的，发包人应在审查同意后，按照有关主管部门要求，将勘察文件和相关资料报送有关审查机构进行审查。发包人的审查和有关审查机构的审查不减免勘察人因为质量问题而应承担的勘察责任。</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8.3.2 对于有关审查机构的审查意见，如不需要修改发包人要求的，应由勘察人按照审查意见修改完善勘察文件；如需修改发包人要求的，则由发包人重新修改和提出发包人要求，再由勘察人根据新的发包人要求修改完善勘察文件。</w:t>
      </w:r>
    </w:p>
    <w:p>
      <w:pPr>
        <w:spacing w:line="490" w:lineRule="exact"/>
        <w:ind w:firstLine="420" w:firstLineChars="200"/>
        <w:rPr>
          <w:rFonts w:eastAsia="仿宋_GB2312"/>
          <w:sz w:val="28"/>
          <w:szCs w:val="28"/>
        </w:rPr>
      </w:pPr>
      <w:r>
        <w:rPr>
          <w:rFonts w:hint="eastAsia" w:ascii="宋体" w:hAnsi="宋体" w:eastAsia="宋体" w:cs="宋体"/>
          <w:sz w:val="21"/>
          <w:szCs w:val="21"/>
        </w:rPr>
        <w:t>8.3.3 由于自身原因造成勘察文件未通过审查机构审查的，勘察人应当承担违约责任，采取补救措施直至达到合同约定的质量标准，并自行承担由此导致的费用增加和（或）周期延误。</w:t>
      </w:r>
      <w:r>
        <w:rPr>
          <w:rFonts w:eastAsia="仿宋_GB2312"/>
          <w:sz w:val="28"/>
          <w:szCs w:val="28"/>
        </w:rPr>
        <w:t xml:space="preserve">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54" w:name="_Toc52809785"/>
      <w:bookmarkStart w:id="2655" w:name="_Toc57048931"/>
      <w:bookmarkStart w:id="2656" w:name="_Toc57049948"/>
      <w:bookmarkStart w:id="2657" w:name="_Toc22119"/>
      <w:r>
        <w:rPr>
          <w:rFonts w:hint="eastAsia" w:asciiTheme="majorEastAsia" w:hAnsiTheme="majorEastAsia" w:eastAsiaTheme="majorEastAsia"/>
          <w:sz w:val="28"/>
          <w:szCs w:val="28"/>
        </w:rPr>
        <w:t>9．勘察责任与保险</w:t>
      </w:r>
      <w:bookmarkEnd w:id="2654"/>
      <w:bookmarkEnd w:id="2655"/>
      <w:bookmarkEnd w:id="2656"/>
      <w:bookmarkEnd w:id="2657"/>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58" w:name="_Toc52809786"/>
      <w:bookmarkStart w:id="2659" w:name="_Toc57048932"/>
      <w:r>
        <w:rPr>
          <w:rFonts w:hint="eastAsia" w:ascii="宋体" w:hAnsi="宋体" w:eastAsia="宋体" w:cs="宋体"/>
          <w:b/>
          <w:sz w:val="28"/>
          <w:szCs w:val="28"/>
        </w:rPr>
        <w:t>9.1 工作质量责任</w:t>
      </w:r>
      <w:bookmarkEnd w:id="2658"/>
      <w:bookmarkEnd w:id="265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9.1.1 勘察工作质量应满足法律规定、规范标准、合同约定和发包人要求等。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9.1.2 勘察人应做好勘察服务的质量与技术管理工作，建立健全内部质量管理体系和质量责任制度，加强勘察服务全过程的质量控制，建立完整的勘察文件的设计、复核、审核、会签和批准制度，明确各阶段的责任人。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9.1.3 勘察人应当强化现场作业质量和试验工作管理，保证原始记录和试验数据的可靠性、真实性和完整性，严禁离开现场进行追记、补记和修改记录。</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9.1.4 勘察人应按合同约定对勘察服务进行全过程的质量检查和检验，并作详细记录，编制勘察工作质量报表，报送发包人审查。</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9.1.5 发包人有权对勘察工作质量进行检查和审核。勘察人应为发包人的检查和检验提供方便，包括发包人到勘察场地、试验室或合同约定的其他地方进行察看，查阅、审核勘察的原始记录和其他文件。发包人的检查和审核，不免除勘察人按合同约定应负的责任。</w:t>
      </w:r>
    </w:p>
    <w:p>
      <w:pPr>
        <w:spacing w:line="490" w:lineRule="exact"/>
        <w:ind w:left="0" w:leftChars="0" w:firstLine="422" w:firstLineChars="150"/>
        <w:outlineLvl w:val="3"/>
        <w:rPr>
          <w:rFonts w:hint="eastAsia" w:ascii="宋体" w:hAnsi="宋体" w:eastAsia="宋体" w:cs="宋体"/>
          <w:b/>
          <w:sz w:val="28"/>
          <w:szCs w:val="28"/>
        </w:rPr>
      </w:pPr>
      <w:bookmarkStart w:id="2660" w:name="_Toc57048933"/>
      <w:bookmarkStart w:id="2661" w:name="_Toc52809787"/>
      <w:r>
        <w:rPr>
          <w:rFonts w:hint="eastAsia" w:ascii="宋体" w:hAnsi="宋体" w:eastAsia="宋体" w:cs="宋体"/>
          <w:b/>
          <w:sz w:val="28"/>
          <w:szCs w:val="28"/>
        </w:rPr>
        <w:t>9.2 勘察文件错误责任</w:t>
      </w:r>
      <w:bookmarkEnd w:id="2660"/>
      <w:bookmarkEnd w:id="266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9.2.1 勘察文件存在错误、遗漏、含混、矛盾、不充分之处或其他缺陷，无论勘察人是否通过了发包人审查或审查机构审查，勘察人均应自费对前述问题带来的缺陷和工程问题进行改正，但因第 1.6.2 项约定由发包人提供的文件错误导致的除外。</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9.2.2 因勘察人原因造成勘察文件不合格的，发包人有权要求勘察人采取补救措施，直至达到合同要求的质量标准，并按第 14.1 款的约定承担责任。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9.2.3 因发包人原因造成勘察文件不合格的，勘察人应当采取补救措施，直至达到合同要求的质量标准，由此造成的勘察费用增加和（或）勘察服务期限延误由发包人承担。</w:t>
      </w:r>
    </w:p>
    <w:p>
      <w:pPr>
        <w:spacing w:line="490" w:lineRule="exact"/>
        <w:ind w:left="0" w:leftChars="0" w:firstLine="422" w:firstLineChars="150"/>
        <w:outlineLvl w:val="3"/>
        <w:rPr>
          <w:rFonts w:hint="eastAsia" w:ascii="宋体" w:hAnsi="宋体" w:eastAsia="宋体" w:cs="宋体"/>
          <w:b/>
          <w:sz w:val="28"/>
          <w:szCs w:val="28"/>
        </w:rPr>
      </w:pPr>
      <w:bookmarkStart w:id="2662" w:name="_Toc52809788"/>
      <w:bookmarkStart w:id="2663" w:name="_Toc57048934"/>
      <w:r>
        <w:rPr>
          <w:rFonts w:hint="eastAsia" w:ascii="宋体" w:hAnsi="宋体" w:eastAsia="宋体" w:cs="宋体"/>
          <w:b/>
          <w:sz w:val="28"/>
          <w:szCs w:val="28"/>
        </w:rPr>
        <w:t>9.3 勘察责任主体</w:t>
      </w:r>
      <w:bookmarkEnd w:id="2662"/>
      <w:bookmarkEnd w:id="266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9.3.1 勘察人应运用一切合理的专业技术、知识技能和项目经验，按照职业道德准则和行业公认标准尽其全部职责，勤勉、谨慎、公正地履行其在本合同项下的责任和义务。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9.3.2 勘察责任为勘察单位项目负责人终身责任制。项目负责人应当保证勘察文件符合法律法规和工程建设强制性标准的要求，对因勘察导致的工程质量事故或质量问题承担责任。</w:t>
      </w:r>
    </w:p>
    <w:p>
      <w:pPr>
        <w:spacing w:line="490" w:lineRule="exact"/>
        <w:ind w:firstLine="420" w:firstLineChars="200"/>
        <w:rPr>
          <w:rFonts w:eastAsia="仿宋_GB2312"/>
          <w:sz w:val="28"/>
          <w:szCs w:val="28"/>
        </w:rPr>
      </w:pPr>
      <w:r>
        <w:rPr>
          <w:rFonts w:hint="eastAsia" w:ascii="宋体" w:hAnsi="宋体" w:eastAsia="宋体" w:cs="宋体"/>
          <w:sz w:val="21"/>
          <w:szCs w:val="21"/>
        </w:rPr>
        <w:t>9.3.3 项目负责人应当按照有关规定在办理工程质量监督手续前签署工程质量终身责任承诺书，连同法定代表人出具的授权书，报工程质量监督机构备案。</w:t>
      </w:r>
    </w:p>
    <w:p>
      <w:pPr>
        <w:spacing w:line="490" w:lineRule="exact"/>
        <w:ind w:left="0" w:leftChars="0" w:firstLine="422" w:firstLineChars="150"/>
        <w:outlineLvl w:val="3"/>
        <w:rPr>
          <w:rFonts w:hint="eastAsia" w:ascii="宋体" w:hAnsi="宋体" w:eastAsia="宋体" w:cs="宋体"/>
          <w:b/>
          <w:sz w:val="28"/>
          <w:szCs w:val="28"/>
        </w:rPr>
      </w:pPr>
      <w:bookmarkStart w:id="2664" w:name="_Toc52809789"/>
      <w:bookmarkStart w:id="2665" w:name="_Toc57048935"/>
      <w:r>
        <w:rPr>
          <w:rFonts w:hint="eastAsia" w:ascii="宋体" w:hAnsi="宋体" w:eastAsia="宋体" w:cs="宋体"/>
          <w:b/>
          <w:sz w:val="28"/>
          <w:szCs w:val="28"/>
        </w:rPr>
        <w:t>9.4 勘察责任保险</w:t>
      </w:r>
      <w:bookmarkEnd w:id="2664"/>
      <w:bookmarkEnd w:id="266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9.4.1 除专用合同条款另有约定外，勘察人应具有发包人认可的、履行本合同所需要的工程勘察责任险，于合同签订后28天内向发包人提交工程勘察责任险的保险单副本或者其他有效证明，并在合同履行期间保持足额、有效。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9.4.2 工程勘察责任险的保险范围，应当包括由于勘察人的疏忽或过失而造成的工程质量事故损失，以及由于事故引发的第三者人身伤亡、财产损失或费用赔偿等。</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9.4.3 发生工程勘察保险事故后，勘察人应按保险人要求进行报告，并负责办理保险理赔业务；保险金不足以补偿损失的，由勘察人自行补偿。</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66" w:name="_Toc57048936"/>
      <w:bookmarkStart w:id="2667" w:name="_Toc7279"/>
      <w:bookmarkStart w:id="2668" w:name="_Toc52809790"/>
      <w:bookmarkStart w:id="2669" w:name="_Toc57049949"/>
      <w:r>
        <w:rPr>
          <w:rFonts w:hint="eastAsia" w:asciiTheme="majorEastAsia" w:hAnsiTheme="majorEastAsia" w:eastAsiaTheme="majorEastAsia"/>
          <w:sz w:val="28"/>
          <w:szCs w:val="28"/>
        </w:rPr>
        <w:t>10．设计和施工期间配合</w:t>
      </w:r>
      <w:bookmarkEnd w:id="2666"/>
      <w:bookmarkEnd w:id="2667"/>
      <w:bookmarkEnd w:id="2668"/>
      <w:bookmarkEnd w:id="2669"/>
    </w:p>
    <w:p>
      <w:pPr>
        <w:spacing w:line="490" w:lineRule="exact"/>
        <w:ind w:left="0" w:leftChars="0" w:firstLine="422" w:firstLineChars="150"/>
        <w:outlineLvl w:val="3"/>
        <w:rPr>
          <w:rFonts w:hint="eastAsia" w:ascii="宋体" w:hAnsi="宋体" w:eastAsia="宋体" w:cs="宋体"/>
          <w:b/>
          <w:sz w:val="28"/>
          <w:szCs w:val="28"/>
        </w:rPr>
      </w:pPr>
      <w:bookmarkStart w:id="2670" w:name="_Toc57048937"/>
      <w:bookmarkStart w:id="2671" w:name="_Toc52809791"/>
      <w:r>
        <w:rPr>
          <w:rFonts w:hint="eastAsia" w:ascii="宋体" w:hAnsi="宋体" w:eastAsia="宋体" w:cs="宋体"/>
          <w:b/>
          <w:sz w:val="28"/>
          <w:szCs w:val="28"/>
        </w:rPr>
        <w:t>10.1 设计期间配合</w:t>
      </w:r>
      <w:bookmarkEnd w:id="2670"/>
      <w:bookmarkEnd w:id="267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10.1.1 设计配合指勘察人配合设计人，在设计期间对本工程进行的补充勘察或其他配合工作。</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10.1.2 勘察人应当根据设计工作需要，对勘察报告和资料文件中的不完善或者错误之处，进行验证、补充或者修改；如遇不利的工程地质条件，勘察人应与设计人研讨并提出解决建议。</w:t>
      </w:r>
    </w:p>
    <w:p>
      <w:pPr>
        <w:spacing w:line="490" w:lineRule="exact"/>
        <w:ind w:left="0" w:leftChars="0" w:firstLine="422" w:firstLineChars="150"/>
        <w:outlineLvl w:val="3"/>
        <w:rPr>
          <w:rFonts w:hint="eastAsia" w:ascii="宋体" w:hAnsi="宋体" w:eastAsia="宋体" w:cs="宋体"/>
          <w:b/>
          <w:sz w:val="28"/>
          <w:szCs w:val="28"/>
        </w:rPr>
      </w:pPr>
      <w:bookmarkStart w:id="2672" w:name="_Toc52809792"/>
      <w:bookmarkStart w:id="2673" w:name="_Toc57048938"/>
      <w:r>
        <w:rPr>
          <w:rFonts w:hint="eastAsia" w:ascii="宋体" w:hAnsi="宋体" w:eastAsia="宋体" w:cs="宋体"/>
          <w:b/>
          <w:sz w:val="28"/>
          <w:szCs w:val="28"/>
        </w:rPr>
        <w:t>10.2 施工期间配合</w:t>
      </w:r>
      <w:bookmarkEnd w:id="2672"/>
      <w:bookmarkEnd w:id="267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10.2.1 施工配合指勘察人配合施工承包人，在施工期间对本工程进行的补充勘察或其他配合工作，直至工程通过竣工验收为止。</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10.2.2 除专用合同条款另有约定外，发包人应为勘察人派赴施工现场的工作人员，在施工期间提供办公房间、办公桌椅、互联网接口、冷暖设施、生活设施、进出现场交通服务和其他便利条件。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10.2.3 勘察人应在本工程的施工期间，积极提供勘察配合服务，进行勘察技术交底，委派专业人员配合施工承包人及时解决与勘察有关的问题，参与基坑基底验收和工程竣工验收等工作。</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10.2.4 发包人应当组织勘察技术交底会，由勘察人向发包人、监理人和施工承包人等进行勘察交底，对本工程的勘察意图、勘察文件和施工要求等进行系统地说明和解释。</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10.2.5 工程施工完毕后，发包人应当组织投产试车（试运行）和工程竣工验收，勘察人参加验收并出具本单位的验收结论。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74" w:name="_Toc57049950"/>
      <w:bookmarkStart w:id="2675" w:name="_Toc57048939"/>
      <w:bookmarkStart w:id="2676" w:name="_Toc25326"/>
      <w:bookmarkStart w:id="2677" w:name="_Toc52809793"/>
      <w:r>
        <w:rPr>
          <w:rFonts w:hint="eastAsia" w:asciiTheme="majorEastAsia" w:hAnsiTheme="majorEastAsia" w:eastAsiaTheme="majorEastAsia"/>
          <w:sz w:val="28"/>
          <w:szCs w:val="28"/>
        </w:rPr>
        <w:t>11．合同变更</w:t>
      </w:r>
      <w:bookmarkEnd w:id="2674"/>
      <w:bookmarkEnd w:id="2675"/>
      <w:bookmarkEnd w:id="2676"/>
      <w:bookmarkEnd w:id="2677"/>
    </w:p>
    <w:p>
      <w:pPr>
        <w:spacing w:line="490" w:lineRule="exact"/>
        <w:ind w:left="0" w:leftChars="0" w:firstLine="422" w:firstLineChars="150"/>
        <w:outlineLvl w:val="3"/>
        <w:rPr>
          <w:rFonts w:hint="eastAsia" w:ascii="宋体" w:hAnsi="宋体" w:eastAsia="宋体" w:cs="宋体"/>
          <w:b/>
          <w:sz w:val="28"/>
          <w:szCs w:val="28"/>
        </w:rPr>
      </w:pPr>
      <w:bookmarkStart w:id="2678" w:name="_Toc57048940"/>
      <w:bookmarkStart w:id="2679" w:name="_Toc52809794"/>
      <w:r>
        <w:rPr>
          <w:rFonts w:hint="eastAsia" w:ascii="宋体" w:hAnsi="宋体" w:eastAsia="宋体" w:cs="宋体"/>
          <w:b/>
          <w:sz w:val="28"/>
          <w:szCs w:val="28"/>
        </w:rPr>
        <w:t>11.1 变更情形</w:t>
      </w:r>
      <w:bookmarkEnd w:id="2678"/>
      <w:bookmarkEnd w:id="267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11.1.1 合同履行中发生下述情形时，合同一方均可向对方提出变更请求，经双方协商一致后进行变更，勘察服务期限和勘察费用的调整方法在专用合同条款中约定。</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（1）勘察范围发生变化；</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（2）除不可抗力外，非勘察人的原因引起的周期延误；</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（3）非勘察人的原因，对工程同一部分重复进行勘察；</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（4）非勘察人的原因，对工程暂停勘察及恢复勘察。</w:t>
      </w:r>
    </w:p>
    <w:p>
      <w:pPr>
        <w:spacing w:line="490" w:lineRule="exact"/>
        <w:ind w:firstLine="420" w:firstLineChars="200"/>
        <w:rPr>
          <w:rFonts w:eastAsia="仿宋_GB2312"/>
          <w:sz w:val="28"/>
          <w:szCs w:val="28"/>
        </w:rPr>
      </w:pPr>
      <w:r>
        <w:rPr>
          <w:rFonts w:hint="eastAsia" w:ascii="宋体" w:hAnsi="宋体" w:eastAsia="宋体" w:cs="宋体"/>
          <w:sz w:val="21"/>
          <w:szCs w:val="21"/>
        </w:rPr>
        <w:t>11.1.2 基准日后，因颁布新的或修订原有法律、法规、规范和标准等引发合同变更情形的，按照上述约定进行调整。</w:t>
      </w:r>
    </w:p>
    <w:p>
      <w:pPr>
        <w:spacing w:line="490" w:lineRule="exact"/>
        <w:ind w:left="0" w:leftChars="0" w:firstLine="422" w:firstLineChars="150"/>
        <w:outlineLvl w:val="3"/>
        <w:rPr>
          <w:rFonts w:hint="eastAsia" w:ascii="宋体" w:hAnsi="宋体" w:eastAsia="宋体" w:cs="宋体"/>
          <w:b/>
          <w:sz w:val="28"/>
          <w:szCs w:val="28"/>
        </w:rPr>
      </w:pPr>
      <w:bookmarkStart w:id="2680" w:name="_Toc57048941"/>
      <w:bookmarkStart w:id="2681" w:name="_Toc52809795"/>
      <w:r>
        <w:rPr>
          <w:rFonts w:hint="eastAsia" w:ascii="宋体" w:hAnsi="宋体" w:eastAsia="宋体" w:cs="宋体"/>
          <w:b/>
          <w:sz w:val="28"/>
          <w:szCs w:val="28"/>
        </w:rPr>
        <w:t>11.2 合理化建议</w:t>
      </w:r>
      <w:bookmarkEnd w:id="2680"/>
      <w:bookmarkEnd w:id="268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11.2.1 合同履行中，勘察人可对发包人要求提出合理化建议。合理化建议应以书面形式提交发包人，被发包人采纳并构成变更的，执行第11.1款约定。</w:t>
      </w:r>
    </w:p>
    <w:p>
      <w:pPr>
        <w:spacing w:line="490" w:lineRule="exact"/>
        <w:ind w:firstLine="420" w:firstLineChars="200"/>
        <w:rPr>
          <w:rFonts w:eastAsia="仿宋_GB2312"/>
          <w:sz w:val="28"/>
          <w:szCs w:val="28"/>
        </w:rPr>
      </w:pPr>
      <w:r>
        <w:rPr>
          <w:rFonts w:hint="eastAsia" w:ascii="宋体" w:hAnsi="宋体" w:eastAsia="宋体" w:cs="宋体"/>
          <w:sz w:val="21"/>
          <w:szCs w:val="21"/>
        </w:rPr>
        <w:t>11.2.2 勘察人提出的合理化建议降低了工程投资、缩短了施工期限或者提高了工程经济效益的，发包人应按专用合同条款中的约定给予奖励。</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82" w:name="_Toc52809796"/>
      <w:bookmarkStart w:id="2683" w:name="_Toc57049951"/>
      <w:bookmarkStart w:id="2684" w:name="_Toc57048942"/>
      <w:bookmarkStart w:id="2685" w:name="_Toc20318"/>
      <w:r>
        <w:rPr>
          <w:rFonts w:hint="eastAsia" w:asciiTheme="majorEastAsia" w:hAnsiTheme="majorEastAsia" w:eastAsiaTheme="majorEastAsia"/>
          <w:sz w:val="28"/>
          <w:szCs w:val="28"/>
        </w:rPr>
        <w:t>12．合同价格与支付</w:t>
      </w:r>
      <w:bookmarkEnd w:id="2682"/>
      <w:bookmarkEnd w:id="2683"/>
      <w:bookmarkEnd w:id="2684"/>
      <w:bookmarkEnd w:id="2685"/>
    </w:p>
    <w:p>
      <w:pPr>
        <w:spacing w:line="490" w:lineRule="exact"/>
        <w:ind w:left="0" w:leftChars="0" w:firstLine="422" w:firstLineChars="150"/>
        <w:outlineLvl w:val="3"/>
        <w:rPr>
          <w:rFonts w:hint="eastAsia" w:ascii="宋体" w:hAnsi="宋体" w:eastAsia="宋体" w:cs="宋体"/>
          <w:b/>
          <w:sz w:val="28"/>
          <w:szCs w:val="28"/>
        </w:rPr>
      </w:pPr>
      <w:bookmarkStart w:id="2686" w:name="_Toc52809797"/>
      <w:bookmarkStart w:id="2687" w:name="_Toc57048943"/>
      <w:r>
        <w:rPr>
          <w:rFonts w:hint="eastAsia" w:ascii="宋体" w:hAnsi="宋体" w:eastAsia="宋体" w:cs="宋体"/>
          <w:b/>
          <w:sz w:val="28"/>
          <w:szCs w:val="28"/>
        </w:rPr>
        <w:t>12.1 合同价格</w:t>
      </w:r>
      <w:bookmarkEnd w:id="2686"/>
      <w:bookmarkEnd w:id="2687"/>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12.1.1 本合同的价款确定方式、调整方式和风险范围划分，在专用合同条款中约定。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12.1.2 勘察费用实行发包人签证制度，即勘察人完成勘察项目后通知发包人进行验收，通过验收后由发包人代表对实施的勘察项目、数量、质量和实施时间签字确认，以此作为计算勘察费用的依据之一。</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12.1.3 除专用合同条款另有约定外，合同价格应当包括收集资料，踏勘现场，制订纲要，进行测绘、勘探、取样、试验、测试、分析、评估、配合审查等，编制勘察文件，设计施工配合，青苗和园林绿化补偿，占地补偿，扰民及民扰，占道施工，安全防护、文明施工、环境保护，农民工工伤保险等全部费用和国家规定的增值税税金。</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12.1.4 发包人要求勘察人进行外出考察、试验检测、专项咨询或专家评审时，相应费用不含在合同价格之中，由发包人另行支付。</w:t>
      </w:r>
    </w:p>
    <w:p>
      <w:pPr>
        <w:spacing w:line="490" w:lineRule="exact"/>
        <w:ind w:left="0" w:leftChars="0" w:firstLine="422" w:firstLineChars="150"/>
        <w:outlineLvl w:val="3"/>
        <w:rPr>
          <w:rFonts w:hint="eastAsia" w:ascii="宋体" w:hAnsi="宋体" w:eastAsia="宋体" w:cs="宋体"/>
          <w:b/>
          <w:sz w:val="28"/>
          <w:szCs w:val="28"/>
        </w:rPr>
      </w:pPr>
      <w:bookmarkStart w:id="2688" w:name="_Toc52809798"/>
      <w:bookmarkStart w:id="2689" w:name="_Toc57048944"/>
      <w:r>
        <w:rPr>
          <w:rFonts w:hint="eastAsia" w:ascii="宋体" w:hAnsi="宋体" w:eastAsia="宋体" w:cs="宋体"/>
          <w:b/>
          <w:sz w:val="28"/>
          <w:szCs w:val="28"/>
        </w:rPr>
        <w:t>12.2 定金或预付款</w:t>
      </w:r>
      <w:bookmarkEnd w:id="2688"/>
      <w:bookmarkEnd w:id="268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12.2.1 定金或预付款应专用于本工程的勘察。定金或预付款的额度、支付方式及抵扣方式在专用合同条款中约定。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12.2.2 发包人应在收到定金或预付款支付申请后 28 天内，将定金或预付款支付给勘察人；勘察人应当提供等额的增值税发票。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12.2.3 勘察服务完成之前，由于不可抗力或其他非勘察人的原因解除合同时，定金不予退还。</w:t>
      </w:r>
    </w:p>
    <w:p>
      <w:pPr>
        <w:spacing w:line="490" w:lineRule="exact"/>
        <w:ind w:left="0" w:leftChars="0" w:firstLine="422" w:firstLineChars="150"/>
        <w:outlineLvl w:val="3"/>
        <w:rPr>
          <w:rFonts w:hint="eastAsia" w:ascii="宋体" w:hAnsi="宋体" w:eastAsia="宋体" w:cs="宋体"/>
          <w:b/>
          <w:sz w:val="28"/>
          <w:szCs w:val="28"/>
        </w:rPr>
      </w:pPr>
      <w:bookmarkStart w:id="2690" w:name="_Toc52809799"/>
      <w:bookmarkStart w:id="2691" w:name="_Toc57048945"/>
      <w:r>
        <w:rPr>
          <w:rFonts w:hint="eastAsia" w:ascii="宋体" w:hAnsi="宋体" w:eastAsia="宋体" w:cs="宋体"/>
          <w:b/>
          <w:sz w:val="28"/>
          <w:szCs w:val="28"/>
        </w:rPr>
        <w:t>12.3 中期支付</w:t>
      </w:r>
      <w:bookmarkEnd w:id="2690"/>
      <w:bookmarkEnd w:id="269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12.3.1 勘察人应按发包人批准或专用合同条款约定的格式及份数，向发包人提交中期支付申请，并附相应的支持性证明文件。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12.3.2 发包人应在收到中期支付申请后的28天内，将应付款项支付给勘察人；勘察人应当提供等额的增值税发票。发包人未能在前述时间内完成审批或不予答复的，视为发包人同意中期支付申请。发包人不按期支付的，按专用合同条款的约定支付逾期付款违约金。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12.3.3 中期支付涉及政府投资资金的，按照国库集中支付等国家相关规定和专用合同条款的约定执行。 </w:t>
      </w:r>
    </w:p>
    <w:p>
      <w:pPr>
        <w:spacing w:line="490" w:lineRule="exact"/>
        <w:ind w:left="0" w:leftChars="0" w:firstLine="422" w:firstLineChars="150"/>
        <w:outlineLvl w:val="3"/>
        <w:rPr>
          <w:rFonts w:hint="eastAsia" w:ascii="宋体" w:hAnsi="宋体" w:eastAsia="宋体" w:cs="宋体"/>
          <w:b/>
          <w:sz w:val="28"/>
          <w:szCs w:val="28"/>
        </w:rPr>
      </w:pPr>
      <w:bookmarkStart w:id="2692" w:name="_Toc52809800"/>
      <w:bookmarkStart w:id="2693" w:name="_Toc57048946"/>
      <w:r>
        <w:rPr>
          <w:rFonts w:hint="eastAsia" w:ascii="宋体" w:hAnsi="宋体" w:eastAsia="宋体" w:cs="宋体"/>
          <w:b/>
          <w:sz w:val="28"/>
          <w:szCs w:val="28"/>
        </w:rPr>
        <w:t>12.4 费用结算</w:t>
      </w:r>
      <w:bookmarkEnd w:id="2692"/>
      <w:bookmarkEnd w:id="269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12.4.1 合同工作完成后，勘察人可按专用合同条款约定的份数和期限，向发包人提交勘察费用结算申请，并提供相关证明材料。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12.4.2 发包人应在收到费用结算申请后的 28 天内，将应付款项支付给勘察人；勘察人应当提供等额的增值税发票。发包人未能在前述时间内完成审批或不予答复的，视为发包人同意费用结算申请。发包人不按期支付的，按专用合同条款的约定支付逾期付款违约金。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12.4.3 发包人对费用结算申请内容有异议的，有权要求勘察人进行修正和提供补充资料，由勘察人重新提交。勘察人对此有异议的，按第15条的约定执行。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12.4.4 最终结清付款涉及政府投资资金的，按第12.3.3项的约定执行。</w:t>
      </w:r>
    </w:p>
    <w:p>
      <w:pPr>
        <w:pStyle w:val="4"/>
        <w:adjustRightInd w:val="0"/>
        <w:snapToGrid w:val="0"/>
        <w:spacing w:before="0" w:after="0" w:line="520" w:lineRule="exact"/>
        <w:rPr>
          <w:rFonts w:hint="eastAsia" w:asciiTheme="majorEastAsia" w:hAnsiTheme="majorEastAsia" w:eastAsiaTheme="majorEastAsia"/>
          <w:sz w:val="28"/>
          <w:szCs w:val="28"/>
        </w:rPr>
      </w:pPr>
      <w:bookmarkStart w:id="2694" w:name="_Toc57048947"/>
      <w:bookmarkStart w:id="2695" w:name="_Toc57049952"/>
      <w:bookmarkStart w:id="2696" w:name="_Toc27962"/>
      <w:bookmarkStart w:id="2697" w:name="_Toc52809801"/>
      <w:r>
        <w:rPr>
          <w:rFonts w:hint="eastAsia" w:asciiTheme="majorEastAsia" w:hAnsiTheme="majorEastAsia" w:eastAsiaTheme="majorEastAsia"/>
          <w:sz w:val="28"/>
          <w:szCs w:val="28"/>
        </w:rPr>
        <w:t>13．不可抗力</w:t>
      </w:r>
      <w:bookmarkEnd w:id="2694"/>
      <w:bookmarkEnd w:id="2695"/>
      <w:bookmarkEnd w:id="2696"/>
      <w:bookmarkEnd w:id="2697"/>
      <w:r>
        <w:rPr>
          <w:rFonts w:hint="eastAsia" w:asciiTheme="majorEastAsia" w:hAnsiTheme="majorEastAsia" w:eastAsiaTheme="majorEastAsia"/>
          <w:sz w:val="28"/>
          <w:szCs w:val="28"/>
        </w:rPr>
        <w:t xml:space="preserve"> </w:t>
      </w:r>
    </w:p>
    <w:p>
      <w:pPr>
        <w:spacing w:line="490" w:lineRule="exact"/>
        <w:ind w:left="0" w:leftChars="0" w:firstLine="422" w:firstLineChars="150"/>
        <w:outlineLvl w:val="3"/>
        <w:rPr>
          <w:rFonts w:hint="eastAsia" w:ascii="宋体" w:hAnsi="宋体" w:eastAsia="宋体" w:cs="宋体"/>
          <w:b/>
          <w:sz w:val="28"/>
          <w:szCs w:val="28"/>
        </w:rPr>
      </w:pPr>
      <w:bookmarkStart w:id="2698" w:name="_Toc52809802"/>
      <w:bookmarkStart w:id="2699" w:name="_Toc57048948"/>
      <w:r>
        <w:rPr>
          <w:rFonts w:hint="eastAsia" w:ascii="宋体" w:hAnsi="宋体" w:eastAsia="宋体" w:cs="宋体"/>
          <w:b/>
          <w:sz w:val="28"/>
          <w:szCs w:val="28"/>
        </w:rPr>
        <w:t>13.1 不可抗力的确认</w:t>
      </w:r>
      <w:bookmarkEnd w:id="2698"/>
      <w:bookmarkEnd w:id="269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13.1.1 不可抗力是指勘察人和发包人在订立合同时不可预见，在履行合同过程中不可避免发生并不能克服的自然灾害和社会性突发事件，如地震、海啸、瘟疫、水灾、骚乱、暴动、战争和专用合同条款约定的其他情形。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13.1.2 不可抗力发生后，发包人和勘察人应及时认真统计所造成的损失，收集不可抗力造成损失的证据。合同双方对是否属于不可抗力或其损失的意见不一致的，由合同双方协商确定。</w:t>
      </w:r>
    </w:p>
    <w:p>
      <w:pPr>
        <w:spacing w:line="490" w:lineRule="exact"/>
        <w:ind w:left="0" w:leftChars="0" w:firstLine="422" w:firstLineChars="150"/>
        <w:outlineLvl w:val="3"/>
        <w:rPr>
          <w:rFonts w:hint="eastAsia" w:ascii="宋体" w:hAnsi="宋体" w:eastAsia="宋体" w:cs="宋体"/>
          <w:b/>
          <w:sz w:val="28"/>
          <w:szCs w:val="28"/>
        </w:rPr>
      </w:pPr>
      <w:bookmarkStart w:id="2700" w:name="_Toc52809803"/>
      <w:bookmarkStart w:id="2701" w:name="_Toc57048949"/>
      <w:r>
        <w:rPr>
          <w:rFonts w:hint="eastAsia" w:ascii="宋体" w:hAnsi="宋体" w:eastAsia="宋体" w:cs="宋体"/>
          <w:b/>
          <w:sz w:val="28"/>
          <w:szCs w:val="28"/>
        </w:rPr>
        <w:t>13.2 不可抗力的通知</w:t>
      </w:r>
      <w:bookmarkEnd w:id="2700"/>
      <w:bookmarkEnd w:id="270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13.2.1 合同一方当事人遇到不可抗力事件，使其履行合同义务受到阻碍时，应立即通知合同另一方当事人，书面说明不可抗力和受阻碍的详细情况，并提供必要的证明。</w:t>
      </w:r>
    </w:p>
    <w:p>
      <w:pPr>
        <w:spacing w:line="490" w:lineRule="exact"/>
        <w:ind w:firstLine="420" w:firstLineChars="200"/>
        <w:rPr>
          <w:rFonts w:eastAsia="仿宋_GB2312"/>
          <w:sz w:val="28"/>
          <w:szCs w:val="28"/>
        </w:rPr>
      </w:pPr>
      <w:r>
        <w:rPr>
          <w:rFonts w:hint="eastAsia" w:ascii="宋体" w:hAnsi="宋体" w:eastAsia="宋体" w:cs="宋体"/>
          <w:sz w:val="21"/>
          <w:szCs w:val="21"/>
        </w:rPr>
        <w:t xml:space="preserve">13.2.2 如不可抗力持续发生，合同一方当事人应及时向合同另一方当事人提交中间报告，说明不可抗力和履行合同受阻的情况，并于不可抗力事件结束后 28 天内提交最终报告及有关资料。 </w:t>
      </w:r>
    </w:p>
    <w:p>
      <w:pPr>
        <w:spacing w:line="490" w:lineRule="exact"/>
        <w:ind w:left="0" w:leftChars="0" w:firstLine="422" w:firstLineChars="150"/>
        <w:outlineLvl w:val="3"/>
        <w:rPr>
          <w:rFonts w:hint="eastAsia" w:ascii="宋体" w:hAnsi="宋体" w:eastAsia="宋体" w:cs="宋体"/>
          <w:b/>
          <w:sz w:val="28"/>
          <w:szCs w:val="28"/>
        </w:rPr>
      </w:pPr>
      <w:bookmarkStart w:id="2702" w:name="_Toc57048950"/>
      <w:bookmarkStart w:id="2703" w:name="_Toc52809804"/>
      <w:r>
        <w:rPr>
          <w:rFonts w:hint="eastAsia" w:ascii="宋体" w:hAnsi="宋体" w:eastAsia="宋体" w:cs="宋体"/>
          <w:b/>
          <w:sz w:val="28"/>
          <w:szCs w:val="28"/>
        </w:rPr>
        <w:t>13.3 不可抗力后果及其处理</w:t>
      </w:r>
      <w:bookmarkEnd w:id="2702"/>
      <w:bookmarkEnd w:id="270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13.3.1 不可抗力引起的后果及其损失，应由合同当事人依据法律规定各自承担。不可抗力发生前已完成的勘察工作，应当按照合同约定进行支付。</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13.3.2 不可抗力发生后，合同当事人应当采取有效措施避免损失进一步扩大，如未采取有效措施致使损失扩大的，应当自行承担扩大部分的损失。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13.3.3 因一方当事人迟延履行合同义务，致使迟延履行期间遭遇不可抗力的，应由该当事人承担全部损失。 </w:t>
      </w:r>
    </w:p>
    <w:p>
      <w:pPr>
        <w:pStyle w:val="4"/>
        <w:adjustRightInd w:val="0"/>
        <w:snapToGrid w:val="0"/>
        <w:spacing w:before="0" w:after="0" w:line="520" w:lineRule="exact"/>
        <w:rPr>
          <w:rFonts w:hint="eastAsia" w:asciiTheme="majorEastAsia" w:hAnsiTheme="majorEastAsia" w:eastAsiaTheme="majorEastAsia"/>
          <w:sz w:val="28"/>
          <w:szCs w:val="28"/>
        </w:rPr>
      </w:pPr>
      <w:bookmarkStart w:id="2704" w:name="_Toc57048951"/>
      <w:bookmarkStart w:id="2705" w:name="_Toc16721"/>
      <w:bookmarkStart w:id="2706" w:name="_Toc52809805"/>
      <w:bookmarkStart w:id="2707" w:name="_Toc57049953"/>
      <w:r>
        <w:rPr>
          <w:rFonts w:hint="eastAsia" w:asciiTheme="majorEastAsia" w:hAnsiTheme="majorEastAsia" w:eastAsiaTheme="majorEastAsia"/>
          <w:sz w:val="28"/>
          <w:szCs w:val="28"/>
        </w:rPr>
        <w:t>14．违约</w:t>
      </w:r>
      <w:bookmarkEnd w:id="2704"/>
      <w:bookmarkEnd w:id="2705"/>
      <w:bookmarkEnd w:id="2706"/>
      <w:bookmarkEnd w:id="2707"/>
    </w:p>
    <w:p>
      <w:pPr>
        <w:spacing w:line="490" w:lineRule="exact"/>
        <w:ind w:left="0" w:leftChars="0" w:firstLine="422" w:firstLineChars="150"/>
        <w:outlineLvl w:val="3"/>
        <w:rPr>
          <w:rFonts w:hint="eastAsia" w:ascii="宋体" w:hAnsi="宋体" w:eastAsia="宋体" w:cs="宋体"/>
          <w:b/>
          <w:sz w:val="28"/>
          <w:szCs w:val="28"/>
        </w:rPr>
      </w:pPr>
      <w:bookmarkStart w:id="2708" w:name="_Toc52809806"/>
      <w:bookmarkStart w:id="2709" w:name="_Toc57048952"/>
      <w:r>
        <w:rPr>
          <w:rFonts w:hint="eastAsia" w:ascii="宋体" w:hAnsi="宋体" w:eastAsia="宋体" w:cs="宋体"/>
          <w:b/>
          <w:sz w:val="28"/>
          <w:szCs w:val="28"/>
        </w:rPr>
        <w:t>14.1 勘察人违约</w:t>
      </w:r>
      <w:bookmarkEnd w:id="2708"/>
      <w:bookmarkEnd w:id="2709"/>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14.1.1 合同履行中发生下列情况之一的，属勘察人违约：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（1）勘察文件不符合法律以及合同约定；</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（2）勘察人转包、违法分包或者未经发包人同意擅自分包；</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（3）勘察人未按合同计划完成勘察，从而造成工程损失；</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（4）勘察人无法履行或停止履行合同；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（5）勘察人不履行合同约定的其他义务。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14.1.2 勘察人发生违约情况时，发包人可向勘察人发出整改通知，要求其在限定期限内纠正；逾期仍不纠正的，发包人有权解除合同并向勘察人发出解除合同通知。勘察人应当承担由于违约所造成的费用增加、周期延误和发包人损失等。 </w:t>
      </w:r>
    </w:p>
    <w:p>
      <w:pPr>
        <w:spacing w:line="490" w:lineRule="exact"/>
        <w:ind w:left="0" w:leftChars="0" w:firstLine="422" w:firstLineChars="150"/>
        <w:outlineLvl w:val="3"/>
        <w:rPr>
          <w:rFonts w:hint="eastAsia" w:ascii="宋体" w:hAnsi="宋体" w:eastAsia="宋体" w:cs="宋体"/>
          <w:b/>
          <w:sz w:val="28"/>
          <w:szCs w:val="28"/>
        </w:rPr>
      </w:pPr>
      <w:bookmarkStart w:id="2710" w:name="_Toc52809807"/>
      <w:bookmarkStart w:id="2711" w:name="_Toc57048953"/>
      <w:r>
        <w:rPr>
          <w:rFonts w:hint="eastAsia" w:ascii="宋体" w:hAnsi="宋体" w:eastAsia="宋体" w:cs="宋体"/>
          <w:b/>
          <w:sz w:val="28"/>
          <w:szCs w:val="28"/>
        </w:rPr>
        <w:t>14.2 发包人违约</w:t>
      </w:r>
      <w:bookmarkEnd w:id="2710"/>
      <w:bookmarkEnd w:id="2711"/>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14.2.1 合同履行中发生下列情况之一的，属发包人违约：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（1）发包人未按合同约定支付勘察费用；</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（2）发包人原因造成勘察停止；</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（3）发包人无法履行或停止履行合同；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（4）发包人不履行合同约定的其他义务。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14.2.2 发包人发生违约情况时，勘察人可向发包人发出暂停勘察通知，要求其在限定期限内纠正；逾期仍不纠正的，勘察人有权解除合同并向发包人发出解除合同通知。发包人应当承担由于违约所造成的费用增加、周期延误和勘察人损失等。</w:t>
      </w:r>
    </w:p>
    <w:p>
      <w:pPr>
        <w:spacing w:line="490" w:lineRule="exact"/>
        <w:ind w:left="0" w:leftChars="0" w:firstLine="422" w:firstLineChars="150"/>
        <w:outlineLvl w:val="3"/>
        <w:rPr>
          <w:rFonts w:hint="eastAsia" w:ascii="宋体" w:hAnsi="宋体" w:eastAsia="宋体" w:cs="宋体"/>
          <w:b/>
          <w:sz w:val="28"/>
          <w:szCs w:val="28"/>
        </w:rPr>
      </w:pPr>
      <w:bookmarkStart w:id="2712" w:name="_Toc57048954"/>
      <w:r>
        <w:rPr>
          <w:rFonts w:hint="eastAsia" w:ascii="宋体" w:hAnsi="宋体" w:eastAsia="宋体" w:cs="宋体"/>
          <w:b/>
          <w:sz w:val="28"/>
          <w:szCs w:val="28"/>
        </w:rPr>
        <w:t>14.3 第三人造成的违约</w:t>
      </w:r>
      <w:bookmarkEnd w:id="2712"/>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在履行合同过程中，一方当事人因第三人的原因造成违约的，应当向对方当事人承担违约责任。一方当事人和第三人之间的纠纷，依照法律规定或者按照约定解决。</w:t>
      </w:r>
    </w:p>
    <w:p>
      <w:pPr>
        <w:pStyle w:val="4"/>
        <w:adjustRightInd w:val="0"/>
        <w:snapToGrid w:val="0"/>
        <w:spacing w:before="0" w:after="0" w:line="520" w:lineRule="exact"/>
        <w:rPr>
          <w:rFonts w:hint="eastAsia" w:asciiTheme="majorEastAsia" w:hAnsiTheme="majorEastAsia" w:eastAsiaTheme="majorEastAsia"/>
          <w:sz w:val="28"/>
          <w:szCs w:val="28"/>
        </w:rPr>
      </w:pPr>
      <w:bookmarkStart w:id="2713" w:name="_Toc57049954"/>
      <w:bookmarkStart w:id="2714" w:name="_Toc57048955"/>
      <w:bookmarkStart w:id="2715" w:name="_Toc52809808"/>
      <w:bookmarkStart w:id="2716" w:name="_Toc30329"/>
      <w:r>
        <w:rPr>
          <w:rFonts w:hint="eastAsia" w:asciiTheme="majorEastAsia" w:hAnsiTheme="majorEastAsia" w:eastAsiaTheme="majorEastAsia"/>
          <w:sz w:val="28"/>
          <w:szCs w:val="28"/>
        </w:rPr>
        <w:t>15．争议的解决</w:t>
      </w:r>
      <w:bookmarkEnd w:id="2713"/>
      <w:bookmarkEnd w:id="2714"/>
      <w:bookmarkEnd w:id="2715"/>
      <w:bookmarkEnd w:id="2716"/>
      <w:r>
        <w:rPr>
          <w:rFonts w:hint="eastAsia" w:asciiTheme="majorEastAsia" w:hAnsiTheme="majorEastAsia" w:eastAsiaTheme="majorEastAsia"/>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发包人和勘察人在履行合同中发生争议的，可以友好协商解决。合同当事人友好协商解决不成的，可在专用合同条款中约定下列一种方式解决：</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（1）向约定的仲裁委员会申请仲裁； </w:t>
      </w:r>
    </w:p>
    <w:p>
      <w:pPr>
        <w:spacing w:line="490" w:lineRule="exact"/>
        <w:ind w:firstLine="420" w:firstLineChars="200"/>
      </w:pPr>
      <w:r>
        <w:rPr>
          <w:rFonts w:hint="eastAsia" w:ascii="宋体" w:hAnsi="宋体" w:eastAsia="宋体" w:cs="宋体"/>
          <w:sz w:val="21"/>
          <w:szCs w:val="21"/>
        </w:rPr>
        <w:t>（2）向有管辖权的人民法院提起诉讼。</w:t>
      </w:r>
    </w:p>
    <w:p>
      <w:pPr>
        <w:spacing w:line="240" w:lineRule="auto"/>
        <w:jc w:val="left"/>
        <w:outlineLvl w:val="9"/>
      </w:pPr>
      <w:r>
        <w:br w:type="page"/>
      </w:r>
      <w:bookmarkStart w:id="2717" w:name="_Toc57048956"/>
      <w:bookmarkStart w:id="2718" w:name="_Toc57048696"/>
      <w:bookmarkStart w:id="2719" w:name="_Toc52809809"/>
      <w:bookmarkStart w:id="2720" w:name="_Toc57049955"/>
    </w:p>
    <w:p>
      <w:pPr>
        <w:spacing w:line="490" w:lineRule="exact"/>
        <w:jc w:val="center"/>
        <w:outlineLvl w:val="1"/>
        <w:rPr>
          <w:rFonts w:eastAsia="黑体"/>
          <w:b/>
          <w:sz w:val="30"/>
          <w:szCs w:val="30"/>
        </w:rPr>
      </w:pPr>
      <w:bookmarkStart w:id="2721" w:name="_Toc21355"/>
      <w:r>
        <w:rPr>
          <w:rFonts w:eastAsia="黑体"/>
          <w:b/>
          <w:sz w:val="30"/>
          <w:szCs w:val="30"/>
        </w:rPr>
        <w:t>第二节 通用合同条款（适用于设计项目）</w:t>
      </w:r>
      <w:bookmarkEnd w:id="2717"/>
      <w:bookmarkEnd w:id="2718"/>
      <w:bookmarkEnd w:id="2719"/>
      <w:bookmarkEnd w:id="2720"/>
      <w:bookmarkEnd w:id="2721"/>
    </w:p>
    <w:p>
      <w:pPr>
        <w:spacing w:line="490" w:lineRule="exact"/>
      </w:pPr>
    </w:p>
    <w:p>
      <w:pPr>
        <w:pStyle w:val="4"/>
        <w:adjustRightInd w:val="0"/>
        <w:snapToGrid w:val="0"/>
        <w:spacing w:before="0" w:after="0" w:line="520" w:lineRule="exact"/>
        <w:ind w:left="0" w:leftChars="0" w:firstLine="422" w:firstLineChars="150"/>
        <w:rPr>
          <w:rFonts w:hint="eastAsia" w:ascii="宋体" w:hAnsi="宋体" w:eastAsia="宋体" w:cs="宋体"/>
          <w:sz w:val="28"/>
          <w:szCs w:val="28"/>
        </w:rPr>
      </w:pPr>
      <w:bookmarkStart w:id="2722" w:name="_Toc57048957"/>
      <w:bookmarkStart w:id="2723" w:name="_Toc52809810"/>
      <w:bookmarkStart w:id="2724" w:name="_Toc34665908"/>
      <w:bookmarkStart w:id="2725" w:name="_Toc57049956"/>
      <w:bookmarkStart w:id="2726" w:name="_Toc21829"/>
      <w:r>
        <w:rPr>
          <w:rFonts w:hint="eastAsia" w:asciiTheme="majorEastAsia" w:hAnsiTheme="majorEastAsia" w:eastAsiaTheme="majorEastAsia"/>
          <w:sz w:val="28"/>
          <w:szCs w:val="28"/>
        </w:rPr>
        <w:t>1．</w:t>
      </w:r>
      <w:r>
        <w:rPr>
          <w:rFonts w:hint="eastAsia" w:ascii="宋体" w:hAnsi="宋体" w:eastAsia="宋体" w:cs="宋体"/>
          <w:sz w:val="28"/>
          <w:szCs w:val="28"/>
        </w:rPr>
        <w:t>一般约定</w:t>
      </w:r>
      <w:bookmarkEnd w:id="2722"/>
      <w:bookmarkEnd w:id="2723"/>
      <w:bookmarkEnd w:id="2724"/>
      <w:bookmarkEnd w:id="2725"/>
      <w:bookmarkEnd w:id="2726"/>
    </w:p>
    <w:p>
      <w:pPr>
        <w:spacing w:line="490" w:lineRule="exact"/>
        <w:ind w:left="0" w:leftChars="0" w:firstLine="422" w:firstLineChars="150"/>
        <w:outlineLvl w:val="3"/>
        <w:rPr>
          <w:rFonts w:hint="eastAsia" w:ascii="宋体" w:hAnsi="宋体" w:eastAsia="宋体" w:cs="宋体"/>
          <w:b/>
          <w:sz w:val="28"/>
          <w:szCs w:val="28"/>
        </w:rPr>
      </w:pPr>
      <w:bookmarkStart w:id="2727" w:name="_Toc57048958"/>
      <w:bookmarkStart w:id="2728" w:name="_Toc34665909"/>
      <w:bookmarkStart w:id="2729" w:name="_Toc52809811"/>
      <w:r>
        <w:rPr>
          <w:rFonts w:hint="eastAsia" w:ascii="宋体" w:hAnsi="宋体" w:eastAsia="宋体" w:cs="宋体"/>
          <w:b/>
          <w:sz w:val="28"/>
          <w:szCs w:val="28"/>
        </w:rPr>
        <w:t>1.1 词语定义</w:t>
      </w:r>
      <w:bookmarkEnd w:id="2727"/>
      <w:bookmarkEnd w:id="2728"/>
      <w:bookmarkEnd w:id="2729"/>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通用合同条款、专用合同条款中的下列词语应具有本款所赋予的含义。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 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1.1.1.1 合同文件（或称合同）：指合同协议书、中标通知书、投标函和投标函附录、专用合同条款、通用合同条款、发包人要求、设计费用清单（服务费用清单）、设计方案（技术服务方案），以及其他构成合同组成部分的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1.1.1.2 合同协议书：指发包人和设计人共同签署的合同协议书。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1.1.1.3 中标通知书：指发包人通知设计人中标的函件。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1.1.1.4 投标函：指由设计人填写并签署的，名为“投标函”的函件。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1.1.1.5 投标函附录：指由设计人填写并签署的、附在投标函后，名为“投标函附录”的函件。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1.1.1.6 发包人要求：指合同文件中名为“发包人要求”的文件。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1.1.1.7 设计方案（技术服务方案）：指设计人在投标文件中的设计方案（技术服务方案）。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1.1.1.8 设计费用清单（服务费用清单）：指设计人投标文件中的设计费用清单（服务费用清单）。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1.1.1.9 其他合同文件：指经合同双方当事人确认构成合同文件的其他文件。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 合同当事人和人员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合同当事人：指发包人和（或）设计人。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1.1.2.2 发包人：指与设计人签订合同协议书的当事人，及其合法继承人。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1.1.2.3 设计人：指与发包人签订合同协议书的当事人，及其合法继承人。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1.1.2.4 发包人代表：指由发包人任命，并在授权范围和期限内代表发包人行使权利和履行义务的全权负责人。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1.1.2.5 项目负责人：指由设计人任命，代表设计人行使权利和履行义务的全权负责人。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1.1.2.6 分包人：指从设计人处分包合同中某一部分工作，并与其签订分包合同的分包人。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 工程和设计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1.1.3.1 工程：指专用合同条款中指明进行设计招标的工程。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1.1.3.2 设计服务：指设计人按照合同约定履行的服务，包括编制设计文件和设计概算、预算、提供技术交底、施工配合、参加竣工验收或发包人委托的其他服务。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1.1.3.3 设计资料：是发包人按合同约定向设计人提供的，用于完成设计服务范围与内容所需要的资料。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1.1.3.4 设计文件：指设计人按合同约定向发包人提交的设计说明、图纸、图板、模型、计算书、软件和其他文件等，包括阶段性文件和最终文件，且应当采用合同中双方约定的格式和载体。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 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1.1.4.1 开始设计通知：指发包人按第 6.1 款通知设计人开始设计的函件。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1.1.4.2 开始设计日期：指发包人按第 6.1 款发出的开始设计通知中写明的开始设计日期。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1.1.4.3 设计服务期限：指设计人在投标函中承诺的完成合同设计服务所需的期限，包括按第 6.2 款、第 6.4 款和第 6.6 款约定所作的调整。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1.1.4.4 完成设计日期：指第 1.1.4.3目约定设计服务期限届满时的日期。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1.1.4.5 基准日：指投标截止时间前 28 天的日期。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1.1.4.6 天：除特别指明外，指日历天。合同中按天计算时间的，开始当天不计入，从次日开始计算。期限最后一天的截止时间为当天 24:00。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 合同价格和费用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1.1.5.1 签约合同价：指签订合同时合同协议书中写明的设计费用总金额。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1.1.5.2 合同价格：指设计人按合同约定完成了全部设计工作后，发包人应付给设计人的金额，包括在履行合同过程中按合同约定进行的变更和调整。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1.1.5.3 费用：指为履行合同所发生的或将要发生的所有合理开支，包括管理费和应分摊的其他费用，但不包括利润。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1.1.6 其他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1.1.6.1 书面形式：指合同文件、信件和数据电文（包括电报、电传、传真、电子数据交换和电子邮件）等可以有形地表现所载内容的形式。 </w:t>
      </w:r>
    </w:p>
    <w:p>
      <w:pPr>
        <w:spacing w:line="490" w:lineRule="exact"/>
        <w:ind w:left="0" w:leftChars="0" w:firstLine="422" w:firstLineChars="150"/>
        <w:outlineLvl w:val="3"/>
        <w:rPr>
          <w:rFonts w:hint="eastAsia" w:ascii="宋体" w:hAnsi="宋体" w:eastAsia="宋体" w:cs="宋体"/>
          <w:b/>
          <w:sz w:val="28"/>
          <w:szCs w:val="28"/>
        </w:rPr>
      </w:pPr>
      <w:bookmarkStart w:id="2730" w:name="_Toc57048959"/>
      <w:bookmarkStart w:id="2731" w:name="_Toc34665910"/>
      <w:bookmarkStart w:id="2732" w:name="_Toc52809812"/>
      <w:r>
        <w:rPr>
          <w:rFonts w:hint="eastAsia" w:ascii="宋体" w:hAnsi="宋体" w:eastAsia="宋体" w:cs="宋体"/>
          <w:b/>
          <w:sz w:val="28"/>
          <w:szCs w:val="28"/>
        </w:rPr>
        <w:t>1.2 语言文字</w:t>
      </w:r>
      <w:bookmarkEnd w:id="2730"/>
      <w:bookmarkEnd w:id="2731"/>
      <w:bookmarkEnd w:id="273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合同使用的语言文字为中文。专用术语使用外文的，应附有中文注释。 </w:t>
      </w:r>
    </w:p>
    <w:p>
      <w:pPr>
        <w:spacing w:line="490" w:lineRule="exact"/>
        <w:ind w:left="0" w:leftChars="0" w:firstLine="422" w:firstLineChars="150"/>
        <w:outlineLvl w:val="3"/>
        <w:rPr>
          <w:rFonts w:hint="eastAsia" w:ascii="宋体" w:hAnsi="宋体" w:eastAsia="宋体" w:cs="宋体"/>
          <w:b/>
          <w:sz w:val="28"/>
          <w:szCs w:val="28"/>
        </w:rPr>
      </w:pPr>
      <w:bookmarkStart w:id="2733" w:name="_Toc34665911"/>
      <w:bookmarkStart w:id="2734" w:name="_Toc57048960"/>
      <w:bookmarkStart w:id="2735" w:name="_Toc52809813"/>
      <w:r>
        <w:rPr>
          <w:rFonts w:hint="eastAsia" w:ascii="宋体" w:hAnsi="宋体" w:eastAsia="宋体" w:cs="宋体"/>
          <w:b/>
          <w:sz w:val="28"/>
          <w:szCs w:val="28"/>
        </w:rPr>
        <w:t>1.3 适用法律</w:t>
      </w:r>
      <w:bookmarkEnd w:id="2733"/>
      <w:bookmarkEnd w:id="2734"/>
      <w:bookmarkEnd w:id="273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适用于合同的法律包括中华人民共和国法律、行政法规、部门规章，以及工程所在地的地方法规、自治条例、单行条例和地方政府规章。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本合同适用的其他规范性文件，可在专用合同条款中约定。 </w:t>
      </w:r>
    </w:p>
    <w:p>
      <w:pPr>
        <w:spacing w:line="490" w:lineRule="exact"/>
        <w:ind w:firstLine="562" w:firstLineChars="200"/>
        <w:outlineLvl w:val="3"/>
        <w:rPr>
          <w:rFonts w:hint="eastAsia" w:ascii="宋体" w:hAnsi="宋体" w:eastAsia="宋体" w:cs="宋体"/>
          <w:b/>
          <w:sz w:val="28"/>
          <w:szCs w:val="28"/>
        </w:rPr>
      </w:pPr>
      <w:bookmarkStart w:id="2736" w:name="_Toc57048961"/>
      <w:bookmarkStart w:id="2737" w:name="_Toc52809814"/>
      <w:bookmarkStart w:id="2738" w:name="_Toc34665912"/>
      <w:r>
        <w:rPr>
          <w:rFonts w:hint="eastAsia" w:ascii="宋体" w:hAnsi="宋体" w:eastAsia="宋体" w:cs="宋体"/>
          <w:b/>
          <w:sz w:val="28"/>
          <w:szCs w:val="28"/>
        </w:rPr>
        <w:t>1.4 合同文件的优先顺序</w:t>
      </w:r>
      <w:bookmarkEnd w:id="2736"/>
      <w:bookmarkEnd w:id="2737"/>
      <w:bookmarkEnd w:id="273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组成合同的各项文件应互相解释，互为说明。除专用合同条款另有约定外，解释合同文件的优先顺序如下：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（1）合同协议书；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（2）中标通知书；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（3）投标函及投标函附录；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（4）专用合同条款；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（5）通用合同条款；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（6）发包人要求；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（7）设计费用清单（服务费用清单）；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（8）设计方案（技术服务方案）；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（9）其他合同文件。 </w:t>
      </w:r>
    </w:p>
    <w:p>
      <w:pPr>
        <w:spacing w:line="490" w:lineRule="exact"/>
        <w:ind w:firstLine="562" w:firstLineChars="200"/>
        <w:outlineLvl w:val="3"/>
        <w:rPr>
          <w:rFonts w:hint="eastAsia" w:ascii="宋体" w:hAnsi="宋体" w:eastAsia="宋体" w:cs="宋体"/>
          <w:b/>
          <w:sz w:val="28"/>
          <w:szCs w:val="28"/>
        </w:rPr>
      </w:pPr>
      <w:bookmarkStart w:id="2739" w:name="_Toc52809815"/>
      <w:bookmarkStart w:id="2740" w:name="_Toc34665913"/>
      <w:bookmarkStart w:id="2741" w:name="_Toc57048962"/>
      <w:r>
        <w:rPr>
          <w:rFonts w:hint="eastAsia" w:ascii="宋体" w:hAnsi="宋体" w:eastAsia="宋体" w:cs="宋体"/>
          <w:b/>
          <w:sz w:val="28"/>
          <w:szCs w:val="28"/>
        </w:rPr>
        <w:t>1.5 合同协议书</w:t>
      </w:r>
      <w:bookmarkEnd w:id="2739"/>
      <w:bookmarkEnd w:id="2740"/>
      <w:bookmarkEnd w:id="274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设计人按中标通知书规定的时间与发包人签订合同协议书。除法律另有规定或合同另有约定外，发包人和设计人的法定代表人或其委托代理人在合同协议书上签字并盖单位章后，合同生效。 </w:t>
      </w:r>
    </w:p>
    <w:p>
      <w:pPr>
        <w:spacing w:line="490" w:lineRule="exact"/>
        <w:ind w:firstLine="562" w:firstLineChars="200"/>
        <w:outlineLvl w:val="3"/>
        <w:rPr>
          <w:rFonts w:hint="eastAsia" w:ascii="宋体" w:hAnsi="宋体" w:eastAsia="宋体" w:cs="宋体"/>
          <w:b/>
          <w:sz w:val="28"/>
          <w:szCs w:val="28"/>
        </w:rPr>
      </w:pPr>
      <w:bookmarkStart w:id="2742" w:name="_Toc34665914"/>
      <w:bookmarkStart w:id="2743" w:name="_Toc52809816"/>
      <w:bookmarkStart w:id="2744" w:name="_Toc57048963"/>
      <w:r>
        <w:rPr>
          <w:rFonts w:hint="eastAsia" w:ascii="宋体" w:hAnsi="宋体" w:eastAsia="宋体" w:cs="宋体"/>
          <w:b/>
          <w:sz w:val="28"/>
          <w:szCs w:val="28"/>
        </w:rPr>
        <w:t>1.6 文件的提供和照管</w:t>
      </w:r>
      <w:bookmarkEnd w:id="2742"/>
      <w:bookmarkEnd w:id="2743"/>
      <w:bookmarkEnd w:id="274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1.6.1 设计文件的提供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除专用合同条款另有约定外，设计人应在合理的期限内按照合同约定的数量向发包人提供设计文件。合同约定设计文件应经发包人批复的，发包人应当在合同约定的期限内批复或提出修改意见。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1.6.2 发包人提供的文件 </w:t>
      </w:r>
    </w:p>
    <w:p>
      <w:pPr>
        <w:spacing w:line="49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 xml:space="preserve">按专用合同条款约定由发包人提供的文件，包括基础资料、勘察报告、设计任务书等，发包人应按约定的数量和期限交给设计人。由于发包人未按时提供文件造成设计服务期限延误的，按第 6.2 款约定执行。 </w:t>
      </w:r>
    </w:p>
    <w:p>
      <w:pPr>
        <w:spacing w:line="490" w:lineRule="exact"/>
        <w:ind w:firstLine="420" w:firstLineChars="200"/>
        <w:jc w:val="left"/>
        <w:rPr>
          <w:rFonts w:hint="eastAsia" w:ascii="宋体" w:hAnsi="宋体" w:eastAsia="宋体" w:cs="宋体"/>
          <w:sz w:val="21"/>
          <w:szCs w:val="21"/>
        </w:rPr>
      </w:pPr>
      <w:bookmarkStart w:id="2745" w:name="_Toc52809817"/>
      <w:r>
        <w:rPr>
          <w:rFonts w:hint="eastAsia" w:ascii="宋体" w:hAnsi="宋体" w:eastAsia="宋体" w:cs="宋体"/>
          <w:sz w:val="21"/>
          <w:szCs w:val="21"/>
        </w:rPr>
        <w:t>1.6.3 文件错误的通知</w:t>
      </w:r>
      <w:bookmarkEnd w:id="2745"/>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任何一方当事人发现文件中存在的明显错误或疏忽，均应及时通知对方当事人，并应立即采取适当的措施防止损失扩大。 </w:t>
      </w:r>
    </w:p>
    <w:p>
      <w:pPr>
        <w:spacing w:line="490" w:lineRule="exact"/>
        <w:ind w:firstLine="562" w:firstLineChars="200"/>
        <w:outlineLvl w:val="3"/>
        <w:rPr>
          <w:rFonts w:hint="eastAsia" w:ascii="宋体" w:hAnsi="宋体" w:eastAsia="宋体" w:cs="宋体"/>
          <w:b/>
          <w:sz w:val="28"/>
          <w:szCs w:val="28"/>
        </w:rPr>
      </w:pPr>
      <w:bookmarkStart w:id="2746" w:name="_Toc52809818"/>
      <w:bookmarkStart w:id="2747" w:name="_Toc57048964"/>
      <w:bookmarkStart w:id="2748" w:name="_Toc34665915"/>
      <w:r>
        <w:rPr>
          <w:rFonts w:hint="eastAsia" w:ascii="宋体" w:hAnsi="宋体" w:eastAsia="宋体" w:cs="宋体"/>
          <w:b/>
          <w:sz w:val="28"/>
          <w:szCs w:val="28"/>
        </w:rPr>
        <w:t>1.7 联络</w:t>
      </w:r>
      <w:bookmarkEnd w:id="2746"/>
      <w:bookmarkEnd w:id="2747"/>
      <w:bookmarkEnd w:id="274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1.7.1 与合同有关的通知、批准、证明、证书、指示、要求、请求、同意、意见、确定和决定等，均应采用书面形式。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1.7.2 上述通知、批准、证明、证书、指示、要求、请求、同意、意见、确定和决定等来往函件，均应在合同约定的期限内送达指定的地点和指定的接收人，并办理签收手续。 </w:t>
      </w:r>
    </w:p>
    <w:p>
      <w:pPr>
        <w:spacing w:line="490" w:lineRule="exact"/>
        <w:ind w:firstLine="562" w:firstLineChars="200"/>
        <w:outlineLvl w:val="3"/>
        <w:rPr>
          <w:rFonts w:hint="eastAsia" w:ascii="宋体" w:hAnsi="宋体" w:eastAsia="宋体" w:cs="宋体"/>
          <w:b/>
          <w:sz w:val="28"/>
          <w:szCs w:val="28"/>
        </w:rPr>
      </w:pPr>
      <w:bookmarkStart w:id="2749" w:name="_Toc34665916"/>
      <w:bookmarkStart w:id="2750" w:name="_Toc52809819"/>
      <w:bookmarkStart w:id="2751" w:name="_Toc57048965"/>
      <w:r>
        <w:rPr>
          <w:rFonts w:hint="eastAsia" w:ascii="宋体" w:hAnsi="宋体" w:eastAsia="宋体" w:cs="宋体"/>
          <w:b/>
          <w:sz w:val="28"/>
          <w:szCs w:val="28"/>
        </w:rPr>
        <w:t>1.8 转让</w:t>
      </w:r>
      <w:bookmarkEnd w:id="2749"/>
      <w:bookmarkEnd w:id="2750"/>
      <w:bookmarkEnd w:id="275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除专用合同条款另有约定外，未经对方当事人同意，一方当事人不得将合同权利全部或部分转让给第三人，也不得全部或部分转移合同义务。 </w:t>
      </w:r>
    </w:p>
    <w:p>
      <w:pPr>
        <w:spacing w:line="490" w:lineRule="exact"/>
        <w:ind w:firstLine="562" w:firstLineChars="200"/>
        <w:outlineLvl w:val="3"/>
        <w:rPr>
          <w:rFonts w:hint="eastAsia" w:ascii="宋体" w:hAnsi="宋体" w:eastAsia="宋体" w:cs="宋体"/>
          <w:b/>
          <w:sz w:val="28"/>
          <w:szCs w:val="28"/>
        </w:rPr>
      </w:pPr>
      <w:bookmarkStart w:id="2752" w:name="_Toc57048966"/>
      <w:bookmarkStart w:id="2753" w:name="_Toc34665917"/>
      <w:bookmarkStart w:id="2754" w:name="_Toc52809820"/>
      <w:r>
        <w:rPr>
          <w:rFonts w:hint="eastAsia" w:ascii="宋体" w:hAnsi="宋体" w:eastAsia="宋体" w:cs="宋体"/>
          <w:b/>
          <w:sz w:val="28"/>
          <w:szCs w:val="28"/>
        </w:rPr>
        <w:t>1.9 严禁贿赂</w:t>
      </w:r>
      <w:bookmarkEnd w:id="2752"/>
      <w:bookmarkEnd w:id="2753"/>
      <w:bookmarkEnd w:id="275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合同双方当事人不得以贿赂或变相贿赂的方式，谋取不当利益或损害对方权益。因贿赂造成对方当事人损失的，行为人应当赔偿损失，并承担相应的法律责任。 </w:t>
      </w:r>
    </w:p>
    <w:p>
      <w:pPr>
        <w:spacing w:line="490" w:lineRule="exact"/>
        <w:ind w:firstLine="562" w:firstLineChars="200"/>
        <w:outlineLvl w:val="3"/>
        <w:rPr>
          <w:rFonts w:hint="eastAsia" w:ascii="宋体" w:hAnsi="宋体" w:eastAsia="宋体" w:cs="宋体"/>
          <w:b/>
          <w:sz w:val="28"/>
          <w:szCs w:val="28"/>
        </w:rPr>
      </w:pPr>
      <w:bookmarkStart w:id="2755" w:name="_Toc52809821"/>
      <w:bookmarkStart w:id="2756" w:name="_Toc34665918"/>
      <w:bookmarkStart w:id="2757" w:name="_Toc57048967"/>
      <w:r>
        <w:rPr>
          <w:rFonts w:hint="eastAsia" w:ascii="宋体" w:hAnsi="宋体" w:eastAsia="宋体" w:cs="宋体"/>
          <w:b/>
          <w:sz w:val="28"/>
          <w:szCs w:val="28"/>
        </w:rPr>
        <w:t>1.10 知识产权</w:t>
      </w:r>
      <w:bookmarkEnd w:id="2755"/>
      <w:bookmarkEnd w:id="2756"/>
      <w:bookmarkEnd w:id="275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1.10.1 除专用合同条款另有约定外，设计人完成的设计工作成果，除署名权以外的著作权和其他知识产权均归发包人享有。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1.10.2 设计人在从事设计活动时，不得侵犯他人的知识产权。因侵犯专利权或其他知识产权所引起的责任，由设计人自行承担。因发包人提供的设计资料导致侵权的，由发包人承担责任。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1.10.3 设计人在投标文件中采用专利技术、专有技术的，相应的使用费视为已包含在投标报价之中。 </w:t>
      </w:r>
    </w:p>
    <w:p>
      <w:pPr>
        <w:spacing w:line="490" w:lineRule="exact"/>
        <w:ind w:firstLine="562" w:firstLineChars="200"/>
        <w:outlineLvl w:val="3"/>
        <w:rPr>
          <w:rFonts w:hint="eastAsia" w:ascii="宋体" w:hAnsi="宋体" w:eastAsia="宋体" w:cs="宋体"/>
          <w:b/>
          <w:sz w:val="28"/>
          <w:szCs w:val="28"/>
        </w:rPr>
      </w:pPr>
      <w:bookmarkStart w:id="2758" w:name="_Toc52809822"/>
      <w:bookmarkStart w:id="2759" w:name="_Toc34665919"/>
      <w:bookmarkStart w:id="2760" w:name="_Toc57048968"/>
      <w:r>
        <w:rPr>
          <w:rFonts w:hint="eastAsia" w:ascii="宋体" w:hAnsi="宋体" w:eastAsia="宋体" w:cs="宋体"/>
          <w:b/>
          <w:sz w:val="28"/>
          <w:szCs w:val="28"/>
        </w:rPr>
        <w:t>1.11 文件及信息的保密</w:t>
      </w:r>
      <w:bookmarkEnd w:id="2758"/>
      <w:bookmarkEnd w:id="2759"/>
      <w:bookmarkEnd w:id="276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未经对方同意，任何一方当事人不得将有关文件、技术秘密、需要保密的资料和信息泄露给他人或公开发表与引用。 </w:t>
      </w:r>
    </w:p>
    <w:p>
      <w:pPr>
        <w:spacing w:line="490" w:lineRule="exact"/>
        <w:ind w:firstLine="562" w:firstLineChars="200"/>
        <w:outlineLvl w:val="3"/>
        <w:rPr>
          <w:rFonts w:hint="eastAsia" w:ascii="宋体" w:hAnsi="宋体" w:eastAsia="宋体" w:cs="宋体"/>
          <w:b/>
          <w:sz w:val="28"/>
          <w:szCs w:val="28"/>
        </w:rPr>
      </w:pPr>
      <w:bookmarkStart w:id="2761" w:name="_Toc52809823"/>
      <w:bookmarkStart w:id="2762" w:name="_Toc57048969"/>
      <w:bookmarkStart w:id="2763" w:name="_Toc34665920"/>
      <w:r>
        <w:rPr>
          <w:rFonts w:hint="eastAsia" w:ascii="宋体" w:hAnsi="宋体" w:eastAsia="宋体" w:cs="宋体"/>
          <w:b/>
          <w:sz w:val="28"/>
          <w:szCs w:val="28"/>
        </w:rPr>
        <w:t>1.12 发包人要求</w:t>
      </w:r>
      <w:bookmarkEnd w:id="2761"/>
      <w:bookmarkEnd w:id="2762"/>
      <w:bookmarkEnd w:id="276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设计人应认真阅读、复核发包人要求，发现错误的，应及时书面通知发包人。无论是否存在错误，发包人均有权修改发包人要求，并在修改后 3 天内通知设计人。除专用合同条款另有约定外，由此导致设计人费用增加和(或)周期延误的，发包人应当相应地增加费用和(或) 延长周期。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1.12.2 如果发包人要求违反法律规定，设计人应在发现后及时书面通知发包人，要求其改正。发包人收到通知书后不予改正或不予答复的，设计人有权拒绝履行合同义务，直至解除合同；由此引起的设计人的全部损失由发包人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1.12.3 发包人要求采用国外规范和标准进行设计时，应由发包人负责提供该规范和标准的外国文本和中文译本，提供的时间、份数和其他要求在专用合同条款中约定。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764" w:name="_Toc7128"/>
      <w:bookmarkStart w:id="2765" w:name="_Toc57048970"/>
      <w:bookmarkStart w:id="2766" w:name="_Toc52809824"/>
      <w:bookmarkStart w:id="2767" w:name="_Toc34665921"/>
      <w:bookmarkStart w:id="2768" w:name="_Toc57049957"/>
      <w:r>
        <w:rPr>
          <w:rFonts w:hint="eastAsia" w:asciiTheme="majorEastAsia" w:hAnsiTheme="majorEastAsia" w:eastAsiaTheme="majorEastAsia"/>
          <w:sz w:val="28"/>
          <w:szCs w:val="28"/>
        </w:rPr>
        <w:t>2．发包人义务</w:t>
      </w:r>
      <w:bookmarkEnd w:id="2764"/>
      <w:bookmarkEnd w:id="2765"/>
      <w:bookmarkEnd w:id="2766"/>
      <w:bookmarkEnd w:id="2767"/>
      <w:bookmarkEnd w:id="2768"/>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769" w:name="_Toc52809825"/>
      <w:bookmarkStart w:id="2770" w:name="_Toc34665922"/>
      <w:bookmarkStart w:id="2771" w:name="_Toc57048971"/>
      <w:r>
        <w:rPr>
          <w:rFonts w:hint="eastAsia" w:ascii="宋体" w:hAnsi="宋体" w:eastAsia="宋体" w:cs="宋体"/>
          <w:b/>
          <w:sz w:val="28"/>
          <w:szCs w:val="28"/>
        </w:rPr>
        <w:t>2.1 遵守法律</w:t>
      </w:r>
      <w:bookmarkEnd w:id="2769"/>
      <w:bookmarkEnd w:id="2770"/>
      <w:bookmarkEnd w:id="277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发包人在履行合同过程中应遵守法律，并保证设计人免于承担因发包人违反法律而引起的任何责任。 </w:t>
      </w:r>
    </w:p>
    <w:p>
      <w:pPr>
        <w:spacing w:line="490" w:lineRule="exact"/>
        <w:ind w:firstLine="562" w:firstLineChars="200"/>
        <w:outlineLvl w:val="3"/>
        <w:rPr>
          <w:rFonts w:hint="eastAsia" w:ascii="宋体" w:hAnsi="宋体" w:eastAsia="宋体" w:cs="宋体"/>
          <w:b/>
          <w:sz w:val="28"/>
          <w:szCs w:val="28"/>
        </w:rPr>
      </w:pPr>
      <w:bookmarkStart w:id="2772" w:name="_Toc34665923"/>
      <w:bookmarkStart w:id="2773" w:name="_Toc57048972"/>
      <w:bookmarkStart w:id="2774" w:name="_Toc52809826"/>
      <w:r>
        <w:rPr>
          <w:rFonts w:hint="eastAsia" w:ascii="宋体" w:hAnsi="宋体" w:eastAsia="宋体" w:cs="宋体"/>
          <w:b/>
          <w:sz w:val="28"/>
          <w:szCs w:val="28"/>
        </w:rPr>
        <w:t>2.2 发出开始设计通知</w:t>
      </w:r>
      <w:bookmarkEnd w:id="2772"/>
      <w:bookmarkEnd w:id="2773"/>
      <w:bookmarkEnd w:id="277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发包人应按第 6.1 款的约定向设计人发出开始设计通知。 </w:t>
      </w:r>
    </w:p>
    <w:p>
      <w:pPr>
        <w:spacing w:line="490" w:lineRule="exact"/>
        <w:ind w:firstLine="562" w:firstLineChars="200"/>
        <w:outlineLvl w:val="3"/>
        <w:rPr>
          <w:rFonts w:hint="eastAsia" w:ascii="宋体" w:hAnsi="宋体" w:eastAsia="宋体" w:cs="宋体"/>
          <w:b/>
          <w:sz w:val="28"/>
          <w:szCs w:val="28"/>
        </w:rPr>
      </w:pPr>
      <w:bookmarkStart w:id="2775" w:name="_Toc52809827"/>
      <w:bookmarkStart w:id="2776" w:name="_Toc57048973"/>
      <w:bookmarkStart w:id="2777" w:name="_Toc34665924"/>
      <w:r>
        <w:rPr>
          <w:rFonts w:hint="eastAsia" w:ascii="宋体" w:hAnsi="宋体" w:eastAsia="宋体" w:cs="宋体"/>
          <w:b/>
          <w:sz w:val="28"/>
          <w:szCs w:val="28"/>
        </w:rPr>
        <w:t>2.3 办理证件和批件</w:t>
      </w:r>
      <w:bookmarkEnd w:id="2775"/>
      <w:bookmarkEnd w:id="2776"/>
      <w:bookmarkEnd w:id="277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法律规定和（或）合同约定由发包人负责办理的工程建设项目必须履行的各类审批、核准或备案手续，发包人应当按时办理，设计人应给予必要的协助。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法律规定和（或）合同约定由设计人负责办理的设计所需的证件和批件，发包人应给予必要的协助。 </w:t>
      </w:r>
    </w:p>
    <w:p>
      <w:pPr>
        <w:spacing w:line="490" w:lineRule="exact"/>
        <w:ind w:firstLine="562" w:firstLineChars="200"/>
        <w:outlineLvl w:val="3"/>
        <w:rPr>
          <w:rFonts w:hint="eastAsia" w:ascii="宋体" w:hAnsi="宋体" w:eastAsia="宋体" w:cs="宋体"/>
          <w:b/>
          <w:sz w:val="28"/>
          <w:szCs w:val="28"/>
        </w:rPr>
      </w:pPr>
      <w:bookmarkStart w:id="2778" w:name="_Toc52809828"/>
      <w:bookmarkStart w:id="2779" w:name="_Toc57048974"/>
      <w:bookmarkStart w:id="2780" w:name="_Toc34665925"/>
      <w:r>
        <w:rPr>
          <w:rFonts w:hint="eastAsia" w:ascii="宋体" w:hAnsi="宋体" w:eastAsia="宋体" w:cs="宋体"/>
          <w:b/>
          <w:sz w:val="28"/>
          <w:szCs w:val="28"/>
        </w:rPr>
        <w:t>2.4 支付合同价款</w:t>
      </w:r>
      <w:bookmarkEnd w:id="2778"/>
      <w:bookmarkEnd w:id="2779"/>
      <w:bookmarkEnd w:id="278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发包人应按合同约定向设计人及时支付合同价款。 </w:t>
      </w:r>
    </w:p>
    <w:p>
      <w:pPr>
        <w:spacing w:line="490" w:lineRule="exact"/>
        <w:ind w:firstLine="562" w:firstLineChars="200"/>
        <w:outlineLvl w:val="3"/>
        <w:rPr>
          <w:rFonts w:hint="eastAsia" w:ascii="宋体" w:hAnsi="宋体" w:eastAsia="宋体" w:cs="宋体"/>
          <w:b/>
          <w:sz w:val="28"/>
          <w:szCs w:val="28"/>
        </w:rPr>
      </w:pPr>
      <w:bookmarkStart w:id="2781" w:name="_Toc57048975"/>
      <w:bookmarkStart w:id="2782" w:name="_Toc52809829"/>
      <w:bookmarkStart w:id="2783" w:name="_Toc34665926"/>
      <w:r>
        <w:rPr>
          <w:rFonts w:hint="eastAsia" w:ascii="宋体" w:hAnsi="宋体" w:eastAsia="宋体" w:cs="宋体"/>
          <w:b/>
          <w:sz w:val="28"/>
          <w:szCs w:val="28"/>
        </w:rPr>
        <w:t>2.5 提供设计资料</w:t>
      </w:r>
      <w:bookmarkEnd w:id="2781"/>
      <w:bookmarkEnd w:id="2782"/>
      <w:bookmarkEnd w:id="278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发包人应按第 1.6.2 项的约定向设计人提供设计资料。 </w:t>
      </w:r>
    </w:p>
    <w:p>
      <w:pPr>
        <w:spacing w:line="490" w:lineRule="exact"/>
        <w:ind w:firstLine="562" w:firstLineChars="200"/>
        <w:outlineLvl w:val="3"/>
        <w:rPr>
          <w:rFonts w:hint="eastAsia" w:ascii="宋体" w:hAnsi="宋体" w:eastAsia="宋体" w:cs="宋体"/>
          <w:b/>
          <w:sz w:val="28"/>
          <w:szCs w:val="28"/>
        </w:rPr>
      </w:pPr>
      <w:bookmarkStart w:id="2784" w:name="_Toc34665927"/>
      <w:bookmarkStart w:id="2785" w:name="_Toc52809830"/>
      <w:bookmarkStart w:id="2786" w:name="_Toc57048976"/>
      <w:r>
        <w:rPr>
          <w:rFonts w:hint="eastAsia" w:ascii="宋体" w:hAnsi="宋体" w:eastAsia="宋体" w:cs="宋体"/>
          <w:b/>
          <w:sz w:val="28"/>
          <w:szCs w:val="28"/>
        </w:rPr>
        <w:t>2.6 其他义务</w:t>
      </w:r>
      <w:bookmarkEnd w:id="2784"/>
      <w:bookmarkEnd w:id="2785"/>
      <w:bookmarkEnd w:id="278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发包人应履行合同约定的其他义务。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787" w:name="_Toc24878"/>
      <w:bookmarkStart w:id="2788" w:name="_Toc34665928"/>
      <w:bookmarkStart w:id="2789" w:name="_Toc52809831"/>
      <w:bookmarkStart w:id="2790" w:name="_Toc57049958"/>
      <w:bookmarkStart w:id="2791" w:name="_Toc57048977"/>
      <w:r>
        <w:rPr>
          <w:rFonts w:hint="eastAsia" w:asciiTheme="majorEastAsia" w:hAnsiTheme="majorEastAsia" w:eastAsiaTheme="majorEastAsia"/>
          <w:sz w:val="28"/>
          <w:szCs w:val="28"/>
        </w:rPr>
        <w:t>3．发包人管理</w:t>
      </w:r>
      <w:bookmarkEnd w:id="2787"/>
      <w:bookmarkEnd w:id="2788"/>
      <w:bookmarkEnd w:id="2789"/>
      <w:bookmarkEnd w:id="2790"/>
      <w:bookmarkEnd w:id="2791"/>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792" w:name="_Toc34665929"/>
      <w:bookmarkStart w:id="2793" w:name="_Toc52809832"/>
      <w:bookmarkStart w:id="2794" w:name="_Toc57048978"/>
      <w:r>
        <w:rPr>
          <w:rFonts w:hint="eastAsia" w:ascii="宋体" w:hAnsi="宋体" w:eastAsia="宋体" w:cs="宋体"/>
          <w:b/>
          <w:sz w:val="28"/>
          <w:szCs w:val="28"/>
        </w:rPr>
        <w:t>3.1 发包人代表</w:t>
      </w:r>
      <w:bookmarkEnd w:id="2792"/>
      <w:bookmarkEnd w:id="2793"/>
      <w:bookmarkEnd w:id="279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3.1.1 除专用合同条款另有约定外，发包人应在合同签订后 14 天内，将发包人代表的姓名、职务、联系方式、授权范围和授权期限书面通知设计人，由发包人代表在其授权范围和授权期限内，代表发包人行使权利、履行义务和处理合同履行中的具体事宜。发包人代表在授权范围内的行为由发包人承担法律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3.1.2 发包人代表违反法律法规、违背职业道德守则或者不按合同约定履行职责及义务，导致合同无法继续正常履行的，设计人有权通知发包人更换发包人代表。发包人收到通知后 7 天内，应当核实完毕并将处理结果通知设计人。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3.1.3 发包人更换发包人代表的，应提前 14 天将更换人员的姓名、职务、联系方式、授权范围和授权期限书面通知设计人。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3.1.4 发包人代表可以授权发包人的其他人员负责执行其指派的一项或多项工作。发包人代表应将被授权人员的姓名及其授权范围通知设计人。被授权人员在授权范围内发出的指示视为已得到发包人代表的同意，与发包人代表发出的指示具有同等效力。 </w:t>
      </w:r>
    </w:p>
    <w:p>
      <w:pPr>
        <w:spacing w:line="490" w:lineRule="exact"/>
        <w:ind w:firstLine="562" w:firstLineChars="200"/>
        <w:outlineLvl w:val="3"/>
        <w:rPr>
          <w:rFonts w:hint="eastAsia" w:ascii="宋体" w:hAnsi="宋体" w:eastAsia="宋体" w:cs="宋体"/>
          <w:b/>
          <w:sz w:val="28"/>
          <w:szCs w:val="28"/>
        </w:rPr>
      </w:pPr>
      <w:bookmarkStart w:id="2795" w:name="_Toc52809833"/>
      <w:bookmarkStart w:id="2796" w:name="_Toc57048979"/>
      <w:bookmarkStart w:id="2797" w:name="_Toc34665930"/>
      <w:r>
        <w:rPr>
          <w:rFonts w:hint="eastAsia" w:ascii="宋体" w:hAnsi="宋体" w:eastAsia="宋体" w:cs="宋体"/>
          <w:b/>
          <w:sz w:val="28"/>
          <w:szCs w:val="28"/>
        </w:rPr>
        <w:t>3.2 监理人</w:t>
      </w:r>
      <w:bookmarkEnd w:id="2795"/>
      <w:bookmarkEnd w:id="2796"/>
      <w:bookmarkEnd w:id="2797"/>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3.2.1 发包人可以根据工程建设需要确定是否委托监理人进行设计监理。如果委托监理，则监理人享有合同约定的权力，其所发出的任何指示应视为已得到发包人的批准。监理人的监理范围、职责权限和总监理工程师信息，应在专用合同条款中指明。未经发包人批准，监理人无权修改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3.2.2 合同约定应由设计人承担的义务和责任，不因监理人对设计文件的审查或批准，以及为实施监理作出的指示等职务行为而减轻或解除。 </w:t>
      </w:r>
    </w:p>
    <w:p>
      <w:pPr>
        <w:spacing w:line="490" w:lineRule="exact"/>
        <w:ind w:firstLine="562" w:firstLineChars="200"/>
        <w:outlineLvl w:val="3"/>
        <w:rPr>
          <w:rFonts w:hint="eastAsia" w:ascii="宋体" w:hAnsi="宋体" w:eastAsia="宋体" w:cs="宋体"/>
          <w:b/>
          <w:sz w:val="28"/>
          <w:szCs w:val="28"/>
        </w:rPr>
      </w:pPr>
      <w:bookmarkStart w:id="2798" w:name="_Toc52809835"/>
      <w:bookmarkStart w:id="2799" w:name="_Toc57048981"/>
      <w:bookmarkStart w:id="2800" w:name="_Toc34665932"/>
      <w:r>
        <w:rPr>
          <w:rFonts w:hint="eastAsia" w:ascii="宋体" w:hAnsi="宋体" w:eastAsia="宋体" w:cs="宋体"/>
          <w:b/>
          <w:sz w:val="28"/>
          <w:szCs w:val="28"/>
        </w:rPr>
        <w:t>3.4 决定或答复</w:t>
      </w:r>
      <w:bookmarkEnd w:id="2798"/>
      <w:bookmarkEnd w:id="2799"/>
      <w:bookmarkEnd w:id="280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3.4.1 发包人在法律允许的范围内有权对设计人的设计工作和/或设计文件作出处理决定，设计人应按照发包人的决定执行，涉及设计服务期限或设计费用等问题按第 11条的约定处理。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3.4.2 发包人应在专用合同条款约定的时间之内，对设计人书面提出的事项作出书面答复；逾期没有做出答复的，视为已获得发包人的批准。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801" w:name="_Toc3505"/>
      <w:bookmarkStart w:id="2802" w:name="_Toc57048982"/>
      <w:bookmarkStart w:id="2803" w:name="_Toc52809836"/>
      <w:bookmarkStart w:id="2804" w:name="_Toc57049959"/>
      <w:bookmarkStart w:id="2805" w:name="_Toc34665933"/>
      <w:r>
        <w:rPr>
          <w:rFonts w:hint="eastAsia" w:asciiTheme="majorEastAsia" w:hAnsiTheme="majorEastAsia" w:eastAsiaTheme="majorEastAsia"/>
          <w:sz w:val="28"/>
          <w:szCs w:val="28"/>
        </w:rPr>
        <w:t>4．设计人义务</w:t>
      </w:r>
      <w:bookmarkEnd w:id="2801"/>
      <w:bookmarkEnd w:id="2802"/>
      <w:bookmarkEnd w:id="2803"/>
      <w:bookmarkEnd w:id="2804"/>
      <w:bookmarkEnd w:id="2805"/>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06" w:name="_Toc34665934"/>
      <w:bookmarkStart w:id="2807" w:name="_Toc57048983"/>
      <w:bookmarkStart w:id="2808" w:name="_Toc52809837"/>
      <w:r>
        <w:rPr>
          <w:rFonts w:hint="eastAsia" w:ascii="宋体" w:hAnsi="宋体" w:eastAsia="宋体" w:cs="宋体"/>
          <w:b/>
          <w:sz w:val="28"/>
          <w:szCs w:val="28"/>
        </w:rPr>
        <w:t>4.1 设计人的一般义务</w:t>
      </w:r>
      <w:bookmarkEnd w:id="2806"/>
      <w:bookmarkEnd w:id="2807"/>
      <w:bookmarkEnd w:id="280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4.1.1 遵守法律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设计人在履行合同过程中应遵守法律，并保证发包人免于承担因设计人违反法律而引起的任何责任。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4.1.2 依法纳税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设计人应按有关法律规定纳税，应缴纳的税金（含增值税）包括在合同价格之中。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4.1.3 完成全部设计工作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设计人应按合同约定以及发包人要求，完成合同约定的全部工作，并对工作中的任何缺陷进行整改、完善和修补，使其满足合同约定的目的。设计人应按合同约定提供设计文件及相关服务等。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4.1.4 其他义务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设计人应履行合同约定的其他义务。 </w:t>
      </w:r>
    </w:p>
    <w:p>
      <w:pPr>
        <w:spacing w:line="490" w:lineRule="exact"/>
        <w:ind w:firstLine="562" w:firstLineChars="200"/>
        <w:outlineLvl w:val="3"/>
        <w:rPr>
          <w:rFonts w:hint="eastAsia" w:ascii="宋体" w:hAnsi="宋体" w:eastAsia="宋体" w:cs="宋体"/>
          <w:b/>
          <w:sz w:val="28"/>
          <w:szCs w:val="28"/>
        </w:rPr>
      </w:pPr>
      <w:bookmarkStart w:id="2809" w:name="_Toc57048984"/>
      <w:bookmarkStart w:id="2810" w:name="_Toc34665935"/>
      <w:bookmarkStart w:id="2811" w:name="_Toc52809838"/>
      <w:r>
        <w:rPr>
          <w:rFonts w:hint="eastAsia" w:ascii="宋体" w:hAnsi="宋体" w:eastAsia="宋体" w:cs="宋体"/>
          <w:b/>
          <w:sz w:val="28"/>
          <w:szCs w:val="28"/>
        </w:rPr>
        <w:t>4.2 履约担保</w:t>
      </w:r>
      <w:bookmarkEnd w:id="2809"/>
      <w:bookmarkEnd w:id="2810"/>
      <w:bookmarkEnd w:id="281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除专用合同条款另有约定外，履约担保自合同生效之日起生效，在发包人签收最后一批设计成果文件之日起 28天后失效。如果设计人不履行合同约定的义务或其履行不符合合同的约定，发包人有权扣划相应金额的履约担保。 </w:t>
      </w:r>
    </w:p>
    <w:p>
      <w:pPr>
        <w:spacing w:line="490" w:lineRule="exact"/>
        <w:ind w:firstLine="562" w:firstLineChars="200"/>
        <w:outlineLvl w:val="3"/>
        <w:rPr>
          <w:rFonts w:hint="eastAsia" w:ascii="宋体" w:hAnsi="宋体" w:eastAsia="宋体" w:cs="宋体"/>
          <w:b/>
          <w:sz w:val="28"/>
          <w:szCs w:val="28"/>
        </w:rPr>
      </w:pPr>
      <w:bookmarkStart w:id="2812" w:name="_Toc52809839"/>
      <w:bookmarkStart w:id="2813" w:name="_Toc57048985"/>
      <w:bookmarkStart w:id="2814" w:name="_Toc34665936"/>
      <w:r>
        <w:rPr>
          <w:rFonts w:hint="eastAsia" w:ascii="宋体" w:hAnsi="宋体" w:eastAsia="宋体" w:cs="宋体"/>
          <w:b/>
          <w:sz w:val="28"/>
          <w:szCs w:val="28"/>
        </w:rPr>
        <w:t>4.3 分包和不得转包</w:t>
      </w:r>
      <w:bookmarkEnd w:id="2812"/>
      <w:bookmarkEnd w:id="2813"/>
      <w:bookmarkEnd w:id="281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4.3.1 设计人不得将其设计的全部工作转包给第三人。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4.3.2 设计人不得将设计的主体、关键性工作分包给第三人。除专用合同条款另有约定外，未经发包人同意，设计人也不得将非主体、非关键性工作分包给第三人。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4.3.3 发包人同意设计人分包工作的，设计人应向发包人提交 1 份分包合同副本，并对分包设计工作质量承担连带责任。除专用合同条款另有约定外，分包人的设计费用由设计人与分包人自行支付。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4.3.4 分包人的资格能力应与其分包工作的标准和规模相适应，包括必要的企业资质、人员、设备和类似业绩等。 </w:t>
      </w:r>
    </w:p>
    <w:p>
      <w:pPr>
        <w:spacing w:line="490" w:lineRule="exact"/>
        <w:ind w:firstLine="562" w:firstLineChars="200"/>
        <w:outlineLvl w:val="3"/>
        <w:rPr>
          <w:rFonts w:hint="eastAsia" w:ascii="宋体" w:hAnsi="宋体" w:eastAsia="宋体" w:cs="宋体"/>
          <w:b/>
          <w:sz w:val="28"/>
          <w:szCs w:val="28"/>
        </w:rPr>
      </w:pPr>
      <w:bookmarkStart w:id="2815" w:name="_Toc34665937"/>
      <w:bookmarkStart w:id="2816" w:name="_Toc52809840"/>
      <w:bookmarkStart w:id="2817" w:name="_Toc57048986"/>
      <w:r>
        <w:rPr>
          <w:rFonts w:hint="eastAsia" w:ascii="宋体" w:hAnsi="宋体" w:eastAsia="宋体" w:cs="宋体"/>
          <w:b/>
          <w:sz w:val="28"/>
          <w:szCs w:val="28"/>
        </w:rPr>
        <w:t>4.4 联合体</w:t>
      </w:r>
      <w:bookmarkEnd w:id="2815"/>
      <w:bookmarkEnd w:id="2816"/>
      <w:bookmarkEnd w:id="281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4.4.1 联合体各方应共同与发包人签订合同。联合体各方应为履行合同承担连带责任。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4.4.2 联合体协议经发包人确认后作为合同附件。在履行合同过程中，未经发包人同意，不得修改联合体协议。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4.4.3 联合体牵头人负责与发包人联系，并接受指示，负责组织联合体各成员全面履行合同。 </w:t>
      </w:r>
    </w:p>
    <w:p>
      <w:pPr>
        <w:spacing w:line="490" w:lineRule="exact"/>
        <w:ind w:firstLine="562" w:firstLineChars="200"/>
        <w:outlineLvl w:val="3"/>
        <w:rPr>
          <w:rFonts w:hint="eastAsia" w:ascii="宋体" w:hAnsi="宋体" w:eastAsia="宋体" w:cs="宋体"/>
          <w:b/>
          <w:sz w:val="28"/>
          <w:szCs w:val="28"/>
        </w:rPr>
      </w:pPr>
      <w:bookmarkStart w:id="2818" w:name="_Toc34665938"/>
      <w:bookmarkStart w:id="2819" w:name="_Toc52809841"/>
      <w:bookmarkStart w:id="2820" w:name="_Toc57048987"/>
      <w:r>
        <w:rPr>
          <w:rFonts w:hint="eastAsia" w:ascii="宋体" w:hAnsi="宋体" w:eastAsia="宋体" w:cs="宋体"/>
          <w:b/>
          <w:sz w:val="28"/>
          <w:szCs w:val="28"/>
        </w:rPr>
        <w:t>4.5 项目负责人</w:t>
      </w:r>
      <w:bookmarkEnd w:id="2818"/>
      <w:bookmarkEnd w:id="2819"/>
      <w:bookmarkEnd w:id="282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4.5.1 设计人应按合同协议书的约定指派项目负责人，并在约定的期限内到职。设计人更换项目负责人应事先征得发包人同意，并应在更换14天前将拟更换的项目负责人的姓名和详细资料提交发包人。项目负责人2天内不能履行职责的，应事先征得发包人同意，并委派代表代行其职责。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4.5.2 项目负责人应按合同约定以及发包人要求，负责组织合同工作的实施。在情况紧急且无法与发包人取得联系时，可采取保证工程和人员生命财产安全的紧急措施，并在采取措施后24小时内向发包人提交书面报告。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4.5.3 设计人为履行合同发出的一切函件均应盖有设计人单位章，并由设计人的项目负责人签字确认。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4.5.4 按照专用合同条款约定，项目负责人可以授权其下属人员履行其某项职责，但事先应将这些人员的姓名和授权范围书面通知发包人。 </w:t>
      </w:r>
    </w:p>
    <w:p>
      <w:pPr>
        <w:spacing w:line="490" w:lineRule="exact"/>
        <w:ind w:firstLine="562" w:firstLineChars="200"/>
        <w:outlineLvl w:val="3"/>
        <w:rPr>
          <w:rFonts w:hint="eastAsia" w:ascii="宋体" w:hAnsi="宋体" w:eastAsia="宋体" w:cs="宋体"/>
          <w:b/>
          <w:sz w:val="28"/>
          <w:szCs w:val="28"/>
        </w:rPr>
      </w:pPr>
      <w:bookmarkStart w:id="2821" w:name="_Toc34665939"/>
      <w:bookmarkStart w:id="2822" w:name="_Toc52809842"/>
      <w:bookmarkStart w:id="2823" w:name="_Toc57048988"/>
      <w:r>
        <w:rPr>
          <w:rFonts w:hint="eastAsia" w:ascii="宋体" w:hAnsi="宋体" w:eastAsia="宋体" w:cs="宋体"/>
          <w:b/>
          <w:sz w:val="28"/>
          <w:szCs w:val="28"/>
        </w:rPr>
        <w:t>4.6 设计人员的管理</w:t>
      </w:r>
      <w:bookmarkEnd w:id="2821"/>
      <w:bookmarkEnd w:id="2822"/>
      <w:bookmarkEnd w:id="282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4.6.1 设计人应在接到开始设计通知之日起 7 天内，向发包人提交设计项目机构以及人员安排的报告，其内容应包括项目机构设置、主要设计人员和作业人员的名单及资格条件。主要设计人员应相对稳定，更换主要设计人员的，应取得发包人的同意,并向发包人提交继任人员的资格、管理经验等资料。项目负责人的更换，应按照本章第 4.5.1 项规定执行。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4.6.2 除专用合同条款另有约定外，主要设计人员包括项目负责人、专业负责人、审核人、审定人等；其他人员包括各专业的设计人员、管理人员等。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4.6.3 设计人应保证其主要设计人员（含分包人）在合同期限内的任何时候，都能按时参加发包人组织的工作会议。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4.6.4 国家规定应当持证上岗的工作人员均应持有相应的资格证明，发包人有权随时检查。发包人认为有必要时，可以进行现场考核。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设计人应根据工程建设需要设立设计代表机构或派驻合格设计代表，及时处理设计问题、办理设计变更，并满足驻场时间要求。</w:t>
      </w:r>
    </w:p>
    <w:p>
      <w:pPr>
        <w:spacing w:line="490" w:lineRule="exact"/>
        <w:ind w:firstLine="562" w:firstLineChars="200"/>
        <w:outlineLvl w:val="3"/>
        <w:rPr>
          <w:rFonts w:hint="eastAsia" w:ascii="宋体" w:hAnsi="宋体" w:eastAsia="宋体" w:cs="宋体"/>
          <w:b/>
          <w:sz w:val="28"/>
          <w:szCs w:val="28"/>
        </w:rPr>
      </w:pPr>
      <w:bookmarkStart w:id="2824" w:name="_Toc52809843"/>
      <w:bookmarkStart w:id="2825" w:name="_Toc34665940"/>
      <w:bookmarkStart w:id="2826" w:name="_Toc57048989"/>
      <w:r>
        <w:rPr>
          <w:rFonts w:hint="eastAsia" w:ascii="宋体" w:hAnsi="宋体" w:eastAsia="宋体" w:cs="宋体"/>
          <w:b/>
          <w:sz w:val="28"/>
          <w:szCs w:val="28"/>
        </w:rPr>
        <w:t>4.7 撤换项目负责人和其他人员</w:t>
      </w:r>
      <w:bookmarkEnd w:id="2824"/>
      <w:bookmarkEnd w:id="2825"/>
      <w:bookmarkEnd w:id="282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设计人应对其项目负责人和其他人员进行有效管理。发包人要求撤换不能胜任本职工作、行为不端或玩忽职守的项目负责人和其他人员的，设计人应予以撤换。 </w:t>
      </w:r>
    </w:p>
    <w:p>
      <w:pPr>
        <w:spacing w:line="490" w:lineRule="exact"/>
        <w:ind w:firstLine="562" w:firstLineChars="200"/>
        <w:outlineLvl w:val="3"/>
        <w:rPr>
          <w:rFonts w:hint="eastAsia" w:ascii="宋体" w:hAnsi="宋体" w:eastAsia="宋体" w:cs="宋体"/>
          <w:b/>
          <w:sz w:val="28"/>
          <w:szCs w:val="28"/>
        </w:rPr>
      </w:pPr>
      <w:bookmarkStart w:id="2827" w:name="_Toc52809844"/>
      <w:bookmarkStart w:id="2828" w:name="_Toc57048990"/>
      <w:bookmarkStart w:id="2829" w:name="_Toc34665941"/>
      <w:r>
        <w:rPr>
          <w:rFonts w:hint="eastAsia" w:ascii="宋体" w:hAnsi="宋体" w:eastAsia="宋体" w:cs="宋体"/>
          <w:b/>
          <w:sz w:val="28"/>
          <w:szCs w:val="28"/>
        </w:rPr>
        <w:t>4.8 保障人员的合法权益</w:t>
      </w:r>
      <w:bookmarkEnd w:id="2827"/>
      <w:bookmarkEnd w:id="2828"/>
      <w:bookmarkEnd w:id="282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4.8.1 设计人应与其雇佣的人员签订劳动合同，并按时发放工资。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4.8.2 设计人应按劳动法的规定安排工作时间，保证其雇佣人员享有休息和休假的权利。因设计需要占用休假日或延长工作时间的，应不超过法律规定的限度，并按法律规定给予补休或付酬。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4.8.3 设计人应按有关法律规定和合同约定，为其雇佣人员办理保险。 </w:t>
      </w:r>
    </w:p>
    <w:p>
      <w:pPr>
        <w:spacing w:line="490" w:lineRule="exact"/>
        <w:ind w:firstLine="562" w:firstLineChars="200"/>
        <w:outlineLvl w:val="3"/>
        <w:rPr>
          <w:rFonts w:hint="eastAsia" w:ascii="宋体" w:hAnsi="宋体" w:eastAsia="宋体" w:cs="宋体"/>
          <w:b/>
          <w:sz w:val="28"/>
          <w:szCs w:val="28"/>
        </w:rPr>
      </w:pPr>
      <w:bookmarkStart w:id="2830" w:name="_Toc34665942"/>
      <w:bookmarkStart w:id="2831" w:name="_Toc57048991"/>
      <w:bookmarkStart w:id="2832" w:name="_Toc52809845"/>
      <w:r>
        <w:rPr>
          <w:rFonts w:hint="eastAsia" w:ascii="宋体" w:hAnsi="宋体" w:eastAsia="宋体" w:cs="宋体"/>
          <w:b/>
          <w:sz w:val="28"/>
          <w:szCs w:val="28"/>
        </w:rPr>
        <w:t>4.9 合同价款应专款专用</w:t>
      </w:r>
      <w:bookmarkEnd w:id="2830"/>
      <w:bookmarkEnd w:id="2831"/>
      <w:bookmarkEnd w:id="283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 xml:space="preserve">发包人按合同约定支付给设计人的各项价款，应专用于合同设计工作。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833" w:name="_Toc52809846"/>
      <w:bookmarkStart w:id="2834" w:name="_Toc57049960"/>
      <w:bookmarkStart w:id="2835" w:name="_Toc57048992"/>
      <w:bookmarkStart w:id="2836" w:name="_Toc34665943"/>
      <w:bookmarkStart w:id="2837" w:name="_Toc31622"/>
      <w:r>
        <w:rPr>
          <w:rFonts w:hint="eastAsia" w:asciiTheme="majorEastAsia" w:hAnsiTheme="majorEastAsia" w:eastAsiaTheme="majorEastAsia"/>
          <w:sz w:val="28"/>
          <w:szCs w:val="28"/>
        </w:rPr>
        <w:t>5．设计要求</w:t>
      </w:r>
      <w:bookmarkEnd w:id="2833"/>
      <w:bookmarkEnd w:id="2834"/>
      <w:bookmarkEnd w:id="2835"/>
      <w:bookmarkEnd w:id="2836"/>
      <w:bookmarkEnd w:id="2837"/>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38" w:name="_Toc52809847"/>
      <w:bookmarkStart w:id="2839" w:name="_Toc34665944"/>
      <w:bookmarkStart w:id="2840" w:name="_Toc57048993"/>
      <w:r>
        <w:rPr>
          <w:rFonts w:hint="eastAsia" w:ascii="宋体" w:hAnsi="宋体" w:eastAsia="宋体" w:cs="宋体"/>
          <w:b/>
          <w:sz w:val="28"/>
          <w:szCs w:val="28"/>
        </w:rPr>
        <w:t>5.1 一般要求</w:t>
      </w:r>
      <w:bookmarkEnd w:id="2838"/>
      <w:bookmarkEnd w:id="2839"/>
      <w:bookmarkEnd w:id="284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5.1.1 发包人应当遵守法律和规范标准，不得以任何理由要求设计人违反法律和工程质量、安全标准进行设计服务，降低工程质量。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5.1.2 设计人应按照法律规定，以及国家、行业和地方的规范和标准完成设计工作，并应符合发包人要求。各项规范、标准和发包人要求之间如对同一内容的描述不一致时，应以描述更为严格的内容为准。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5.1.3 除专用合同条款另有约定外，设计人完成设计工作所应遵守的法律规定，以及国家、行业和地方的规范和标准，均应视为在基准日适用的版本。基准日之后，前述版本发生重大变化，或者有新的法律，以及国家、行业和地方的规范和标准实施的，设计人应向发包人提出遵守新规定的建议。发包人应在收到建议后 7 天内发出是否遵守新规定的指示。发包人指示遵守新规定的，按照第11条约定执行。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5.1.4 设计人在设计服务中选用的材料、设备，应当注明其规格、型号、性能等技术指标及适应性，满足质量、安全、节能、环保等要求。 </w:t>
      </w:r>
    </w:p>
    <w:p>
      <w:pPr>
        <w:spacing w:line="490" w:lineRule="exact"/>
        <w:ind w:firstLine="562" w:firstLineChars="200"/>
        <w:outlineLvl w:val="3"/>
        <w:rPr>
          <w:rFonts w:hint="eastAsia" w:ascii="宋体" w:hAnsi="宋体" w:eastAsia="宋体" w:cs="宋体"/>
          <w:b/>
          <w:sz w:val="28"/>
          <w:szCs w:val="28"/>
        </w:rPr>
      </w:pPr>
      <w:bookmarkStart w:id="2841" w:name="_Toc52809848"/>
      <w:bookmarkStart w:id="2842" w:name="_Toc57048994"/>
      <w:bookmarkStart w:id="2843" w:name="_Toc34665945"/>
      <w:r>
        <w:rPr>
          <w:rFonts w:hint="eastAsia" w:ascii="宋体" w:hAnsi="宋体" w:eastAsia="宋体" w:cs="宋体"/>
          <w:b/>
          <w:sz w:val="28"/>
          <w:szCs w:val="28"/>
        </w:rPr>
        <w:t>5.2 设计依据</w:t>
      </w:r>
      <w:bookmarkEnd w:id="2841"/>
      <w:bookmarkEnd w:id="2842"/>
      <w:bookmarkEnd w:id="284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除专用合同条款另有约定外，本工程的设计依据如下：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（1）适用的法律、行政法规及部门规章；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（2）与工程有关的规范、标准、规程；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（3）工程基础资料及其他文件；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（4）本设计服务合同及补充合同；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（5）本工程勘察文件和施工需求；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（6）合同履行中与设计服务有关的来往函件；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（7）其他设计依据。 </w:t>
      </w:r>
    </w:p>
    <w:p>
      <w:pPr>
        <w:spacing w:line="490" w:lineRule="exact"/>
        <w:ind w:firstLine="562" w:firstLineChars="200"/>
        <w:outlineLvl w:val="3"/>
        <w:rPr>
          <w:rFonts w:hint="eastAsia" w:ascii="宋体" w:hAnsi="宋体" w:eastAsia="宋体" w:cs="宋体"/>
          <w:b/>
          <w:sz w:val="28"/>
          <w:szCs w:val="28"/>
        </w:rPr>
      </w:pPr>
      <w:bookmarkStart w:id="2844" w:name="_Toc34665946"/>
      <w:bookmarkStart w:id="2845" w:name="_Toc57048995"/>
      <w:bookmarkStart w:id="2846" w:name="_Toc52809849"/>
      <w:r>
        <w:rPr>
          <w:rFonts w:hint="eastAsia" w:ascii="宋体" w:hAnsi="宋体" w:eastAsia="宋体" w:cs="宋体"/>
          <w:b/>
          <w:sz w:val="28"/>
          <w:szCs w:val="28"/>
        </w:rPr>
        <w:t>5.3 设计范围</w:t>
      </w:r>
      <w:bookmarkEnd w:id="2844"/>
      <w:bookmarkEnd w:id="2845"/>
      <w:bookmarkEnd w:id="284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5.3.1 本合同的设计范围包括工程范围、阶段范围和工作范围，具体设计范围应当根据三者之间的关联内容进行确定。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5.3.2 工程范围指所设计工程的建设内容，具体范围在专用合同条款中约定。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5.3.3 阶段范围指工程建设程序中的方案设计、初步设计、扩大初步（招标）设计、施工图设计等阶段中的一个或者多个阶段，具体范围在专用合同条款中约定。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5.3.4 工作范围指编制设计文件、编制设计概算、预算、提供技术交底、施工配合、参加试车（试运行）、编制竣工图、竣工验收和发包人委托的其他服务中的一项或者多项工作，具体范围在专用合同条款中约定。</w:t>
      </w:r>
      <w:r>
        <w:rPr>
          <w:rFonts w:hint="eastAsia" w:ascii="宋体" w:hAnsi="宋体" w:eastAsia="宋体" w:cs="宋体"/>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47" w:name="_Toc52809850"/>
      <w:bookmarkStart w:id="2848" w:name="_Toc57048996"/>
      <w:bookmarkStart w:id="2849" w:name="_Toc34665947"/>
      <w:r>
        <w:rPr>
          <w:rFonts w:hint="eastAsia" w:ascii="宋体" w:hAnsi="宋体" w:eastAsia="宋体" w:cs="宋体"/>
          <w:b/>
          <w:sz w:val="28"/>
          <w:szCs w:val="28"/>
        </w:rPr>
        <w:t>5.4 设计文件要求</w:t>
      </w:r>
      <w:bookmarkEnd w:id="2847"/>
      <w:bookmarkEnd w:id="2848"/>
      <w:bookmarkEnd w:id="284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5.4.1 设计文件的编制应符合法律法规、规范标准的强制性规定和发包人要求，相关设计依据应完整、准确、可靠，设计方案（技术服务方案）论证充分，计算成果规范可靠，并能够实施。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5.4.2 设计服务应当根据法律、规范标准和发包人要求，保证工程的合理使用寿命年限，并在设计文件中予以注明。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5.4.3 设计文件的深度应满足本合同相应设计阶段的规定要求，满足发包人的下步工作需要，并应符合国家和行业现行规定。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5.4.4 设计文件必须保证工程质量和施工安全等方面的要求，按照有关法律法规规定在设计文件中提出保障施工作业人员安全和预防生产安全事故的措施建议。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850" w:name="_Toc57049961"/>
      <w:bookmarkStart w:id="2851" w:name="_Toc57048997"/>
      <w:bookmarkStart w:id="2852" w:name="_Toc52809851"/>
      <w:bookmarkStart w:id="2853" w:name="_Toc34665948"/>
      <w:bookmarkStart w:id="2854" w:name="_Toc23831"/>
      <w:r>
        <w:rPr>
          <w:rFonts w:hint="eastAsia" w:asciiTheme="majorEastAsia" w:hAnsiTheme="majorEastAsia" w:eastAsiaTheme="majorEastAsia"/>
          <w:sz w:val="28"/>
          <w:szCs w:val="28"/>
        </w:rPr>
        <w:t>6．开始设计和完成设计</w:t>
      </w:r>
      <w:bookmarkEnd w:id="2850"/>
      <w:bookmarkEnd w:id="2851"/>
      <w:bookmarkEnd w:id="2852"/>
      <w:bookmarkEnd w:id="2853"/>
      <w:bookmarkEnd w:id="2854"/>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55" w:name="_Toc52809852"/>
      <w:bookmarkStart w:id="2856" w:name="_Toc57048998"/>
      <w:bookmarkStart w:id="2857" w:name="_Toc34665949"/>
      <w:r>
        <w:rPr>
          <w:rFonts w:hint="eastAsia" w:ascii="宋体" w:hAnsi="宋体" w:eastAsia="宋体" w:cs="宋体"/>
          <w:b/>
          <w:sz w:val="28"/>
          <w:szCs w:val="28"/>
        </w:rPr>
        <w:t>6.1 开始设计</w:t>
      </w:r>
      <w:bookmarkEnd w:id="2855"/>
      <w:bookmarkEnd w:id="2856"/>
      <w:bookmarkEnd w:id="285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6.1.1 符合专用合同条款约定的开始设计条件的，发包人应提前 7 天向设计人发出开始设计通知。设计服务期限自开始设计通知中载明的开始设计日期起计算。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6.1.2 除专用合同条款另有约定外，因发包人原因造成合同签订之日起 90 天内未能发出开始设计通知的，设计人有权提出价格调整要求，或者解除合同。发包人应当承担由此增加的费用和（或）周期延误。</w:t>
      </w:r>
      <w:r>
        <w:rPr>
          <w:rFonts w:hint="eastAsia" w:ascii="宋体" w:hAnsi="宋体" w:eastAsia="宋体" w:cs="宋体"/>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58" w:name="_Toc57048999"/>
      <w:bookmarkStart w:id="2859" w:name="_Toc34665950"/>
      <w:bookmarkStart w:id="2860" w:name="_Toc52809853"/>
      <w:r>
        <w:rPr>
          <w:rFonts w:hint="eastAsia" w:ascii="宋体" w:hAnsi="宋体" w:eastAsia="宋体" w:cs="宋体"/>
          <w:b/>
          <w:sz w:val="28"/>
          <w:szCs w:val="28"/>
        </w:rPr>
        <w:t>6.2 发包人引起的周期延误</w:t>
      </w:r>
      <w:bookmarkEnd w:id="2858"/>
      <w:bookmarkEnd w:id="2859"/>
      <w:bookmarkEnd w:id="286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在履行合同过程中，由于发包人的下列原因造成设计服务期限延误的，发包人应当延长设计服务期限并增加设计费用，具体方法在专用合同条款中约定。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（1）合同变更；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（2）未按合同约定期限及时答复设计事项；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（3）因发包人原因导致的暂停设计；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（4）未按合同约定及时支付设计费用；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（5）发包人提供的基准资料错误；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（6）未及时按照履行合同约定的相关义务；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（7）未能按照合同约定期限对设计文件进行审查；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（8）发包人造成周期延误的其他原因。 </w:t>
      </w:r>
    </w:p>
    <w:p>
      <w:pPr>
        <w:spacing w:line="490" w:lineRule="exact"/>
        <w:ind w:firstLine="562" w:firstLineChars="200"/>
        <w:outlineLvl w:val="3"/>
        <w:rPr>
          <w:rFonts w:hint="eastAsia" w:ascii="宋体" w:hAnsi="宋体" w:eastAsia="宋体" w:cs="宋体"/>
          <w:b/>
          <w:sz w:val="28"/>
          <w:szCs w:val="28"/>
        </w:rPr>
      </w:pPr>
      <w:bookmarkStart w:id="2861" w:name="_Toc52809854"/>
      <w:bookmarkStart w:id="2862" w:name="_Toc34665951"/>
      <w:bookmarkStart w:id="2863" w:name="_Toc57049000"/>
      <w:r>
        <w:rPr>
          <w:rFonts w:hint="eastAsia" w:ascii="宋体" w:hAnsi="宋体" w:eastAsia="宋体" w:cs="宋体"/>
          <w:b/>
          <w:sz w:val="28"/>
          <w:szCs w:val="28"/>
        </w:rPr>
        <w:t>6.3 设计人引起的周期延误</w:t>
      </w:r>
      <w:bookmarkEnd w:id="2861"/>
      <w:bookmarkEnd w:id="2862"/>
      <w:bookmarkEnd w:id="286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由于设计人原因造成周期延误，设计人应支付逾期违约金。逾期违约金的计算方法和最高限额在专用合同条款中约定。 </w:t>
      </w:r>
    </w:p>
    <w:p>
      <w:pPr>
        <w:spacing w:line="490" w:lineRule="exact"/>
        <w:ind w:firstLine="562" w:firstLineChars="200"/>
        <w:outlineLvl w:val="3"/>
        <w:rPr>
          <w:rFonts w:hint="eastAsia" w:ascii="宋体" w:hAnsi="宋体" w:eastAsia="宋体" w:cs="宋体"/>
          <w:b/>
          <w:sz w:val="28"/>
          <w:szCs w:val="28"/>
        </w:rPr>
      </w:pPr>
      <w:bookmarkStart w:id="2864" w:name="_Toc34665952"/>
      <w:bookmarkStart w:id="2865" w:name="_Toc57049001"/>
      <w:bookmarkStart w:id="2866" w:name="_Toc52809855"/>
      <w:r>
        <w:rPr>
          <w:rFonts w:hint="eastAsia" w:ascii="宋体" w:hAnsi="宋体" w:eastAsia="宋体" w:cs="宋体"/>
          <w:b/>
          <w:sz w:val="28"/>
          <w:szCs w:val="28"/>
        </w:rPr>
        <w:t>6.4 行政管理部门引起的周期延误</w:t>
      </w:r>
      <w:bookmarkEnd w:id="2864"/>
      <w:bookmarkEnd w:id="2865"/>
      <w:bookmarkEnd w:id="286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由于行政管理部门审查延迟原因造成费用增加和（或）周期延误的，由发包人承担。 </w:t>
      </w:r>
    </w:p>
    <w:p>
      <w:pPr>
        <w:spacing w:line="490" w:lineRule="exact"/>
        <w:ind w:firstLine="562" w:firstLineChars="200"/>
        <w:outlineLvl w:val="3"/>
        <w:rPr>
          <w:rFonts w:hint="eastAsia" w:ascii="宋体" w:hAnsi="宋体" w:eastAsia="宋体" w:cs="宋体"/>
          <w:b/>
          <w:sz w:val="28"/>
          <w:szCs w:val="28"/>
        </w:rPr>
      </w:pPr>
      <w:bookmarkStart w:id="2867" w:name="_Toc34665953"/>
      <w:bookmarkStart w:id="2868" w:name="_Toc57049002"/>
      <w:bookmarkStart w:id="2869" w:name="_Toc52809856"/>
      <w:r>
        <w:rPr>
          <w:rFonts w:hint="eastAsia" w:ascii="宋体" w:hAnsi="宋体" w:eastAsia="宋体" w:cs="宋体"/>
          <w:b/>
          <w:sz w:val="28"/>
          <w:szCs w:val="28"/>
        </w:rPr>
        <w:t>6.5 完成设计</w:t>
      </w:r>
      <w:bookmarkEnd w:id="2867"/>
      <w:bookmarkEnd w:id="2868"/>
      <w:bookmarkEnd w:id="286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6.5.1 设计人完成设计服务之后，应当根据法律、规范标准、合同约定和发包人要求编制设计文件。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6.5.2 设计文件是工程设计的最终成果和施工的重要依据，应当根据本工程的设计内容和不同阶段的设计任务、目的和要求等进行编制。设计文件的内容和深度应当满足对应阶段的规范要求。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6.5.3 除专用合同条款另有约定外，设计文件包括纸质文件和电子文件两种形式，两者若有不一致时，应以纸质文件为准。纸质文件一式八份，应当加盖单位章和项目负责人注册执业印章；电子文件中的文字为WORD格式、图形为CAD格式，并应使用光盘和U盘分别贮存。 </w:t>
      </w:r>
    </w:p>
    <w:p>
      <w:pPr>
        <w:spacing w:line="490" w:lineRule="exact"/>
        <w:ind w:firstLine="562" w:firstLineChars="200"/>
        <w:outlineLvl w:val="3"/>
        <w:rPr>
          <w:rFonts w:hint="eastAsia" w:ascii="宋体" w:hAnsi="宋体" w:eastAsia="宋体" w:cs="宋体"/>
          <w:b/>
          <w:sz w:val="28"/>
          <w:szCs w:val="28"/>
        </w:rPr>
      </w:pPr>
      <w:bookmarkStart w:id="2870" w:name="_Toc52809857"/>
      <w:bookmarkStart w:id="2871" w:name="_Toc34665954"/>
      <w:bookmarkStart w:id="2872" w:name="_Toc57049003"/>
      <w:r>
        <w:rPr>
          <w:rFonts w:hint="eastAsia" w:ascii="宋体" w:hAnsi="宋体" w:eastAsia="宋体" w:cs="宋体"/>
          <w:b/>
          <w:sz w:val="28"/>
          <w:szCs w:val="28"/>
        </w:rPr>
        <w:t>6.6 提前完成设计</w:t>
      </w:r>
      <w:bookmarkEnd w:id="2870"/>
      <w:bookmarkEnd w:id="2871"/>
      <w:bookmarkEnd w:id="287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6.6.1 根据发包人要求或者基于专业能力判断，设计人认为能够提前完成设计的，可向发包人递交一份提前完成设计建议书，包括实施方案、提前时间、设计费用变动等内容。除专用合同条款另有约定之外，发包人接受建议书的，不因提前完成设计而减少设计费用；增加设计费用的，所增费用由发包人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6.6.2 发包人要求提前完成设计但设计人认为无法实施的，应在收到发包人书面指示后7天内提出异议，说明不能提前完成的理由。发包人应在收到异议后7天内予以答复。任何情况下，发包人不得压缩合理的设计服务期限。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6.6.3 由于设计人提前完成设计而给发包人带来经济效益的，发包人可以在专用合同条款中约定设计人因此获得的奖励内容。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873" w:name="_Toc57049004"/>
      <w:bookmarkStart w:id="2874" w:name="_Toc57049962"/>
      <w:bookmarkStart w:id="2875" w:name="_Toc52809858"/>
      <w:bookmarkStart w:id="2876" w:name="_Toc34665955"/>
      <w:bookmarkStart w:id="2877" w:name="_Toc26881"/>
      <w:r>
        <w:rPr>
          <w:rFonts w:hint="eastAsia" w:asciiTheme="majorEastAsia" w:hAnsiTheme="majorEastAsia" w:eastAsiaTheme="majorEastAsia"/>
          <w:sz w:val="28"/>
          <w:szCs w:val="28"/>
        </w:rPr>
        <w:t>7．暂停设计</w:t>
      </w:r>
      <w:bookmarkEnd w:id="2873"/>
      <w:bookmarkEnd w:id="2874"/>
      <w:bookmarkEnd w:id="2875"/>
      <w:bookmarkEnd w:id="2876"/>
      <w:bookmarkEnd w:id="2877"/>
    </w:p>
    <w:p>
      <w:pPr>
        <w:spacing w:line="490" w:lineRule="exact"/>
        <w:ind w:firstLine="562" w:firstLineChars="200"/>
        <w:outlineLvl w:val="3"/>
        <w:rPr>
          <w:rFonts w:hint="eastAsia" w:ascii="宋体" w:hAnsi="宋体" w:eastAsia="宋体" w:cs="宋体"/>
          <w:b/>
          <w:sz w:val="28"/>
          <w:szCs w:val="28"/>
        </w:rPr>
      </w:pPr>
      <w:bookmarkStart w:id="2878" w:name="_Toc34665956"/>
      <w:bookmarkStart w:id="2879" w:name="_Toc52809859"/>
      <w:bookmarkStart w:id="2880" w:name="_Toc57049005"/>
      <w:r>
        <w:rPr>
          <w:rFonts w:hint="eastAsia" w:ascii="宋体" w:hAnsi="宋体" w:eastAsia="宋体" w:cs="宋体"/>
          <w:b/>
          <w:sz w:val="28"/>
          <w:szCs w:val="28"/>
        </w:rPr>
        <w:t>7.1 发包人原因暂停设计</w:t>
      </w:r>
      <w:bookmarkEnd w:id="2878"/>
      <w:bookmarkEnd w:id="2879"/>
      <w:bookmarkEnd w:id="288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履行中发生下列情形之一的，设计人可向发包人发出通知，要求发包人采取有效措施予以纠正。发包人收到设计人通知后的28天内仍不履行合同义务时，设计人有权暂停设计并通知发包人；发包人应承担由此导致的费用增加和（或）周期延误。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（1）发包人违约；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（2）发包人确定暂停设计；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（3）合同约定由发包人承担责任的其他情形。 </w:t>
      </w:r>
    </w:p>
    <w:p>
      <w:pPr>
        <w:spacing w:line="490" w:lineRule="exact"/>
        <w:ind w:firstLine="562" w:firstLineChars="200"/>
        <w:outlineLvl w:val="3"/>
        <w:rPr>
          <w:rFonts w:hint="eastAsia" w:ascii="宋体" w:hAnsi="宋体" w:eastAsia="宋体" w:cs="宋体"/>
          <w:b/>
          <w:sz w:val="28"/>
          <w:szCs w:val="28"/>
        </w:rPr>
      </w:pPr>
      <w:bookmarkStart w:id="2881" w:name="_Toc52809860"/>
      <w:bookmarkStart w:id="2882" w:name="_Toc57049006"/>
      <w:bookmarkStart w:id="2883" w:name="_Toc34665957"/>
      <w:r>
        <w:rPr>
          <w:rFonts w:hint="eastAsia" w:ascii="宋体" w:hAnsi="宋体" w:eastAsia="宋体" w:cs="宋体"/>
          <w:b/>
          <w:sz w:val="28"/>
          <w:szCs w:val="28"/>
        </w:rPr>
        <w:t>7.2 设计人原因暂停设计</w:t>
      </w:r>
      <w:bookmarkEnd w:id="2881"/>
      <w:bookmarkEnd w:id="2882"/>
      <w:bookmarkEnd w:id="288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合同履行中发生下列情形之一的，发包人可向设计人发出通知暂停设计，由此造成费用的增加和（或）周期延误由设计人承担：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（2）设计人擅自暂停设计；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（3）合同约定由设计人承担责任的其他情形。 </w:t>
      </w:r>
    </w:p>
    <w:p>
      <w:pPr>
        <w:spacing w:line="490" w:lineRule="exact"/>
        <w:ind w:firstLine="562" w:firstLineChars="200"/>
        <w:outlineLvl w:val="3"/>
        <w:rPr>
          <w:rFonts w:hint="eastAsia" w:ascii="宋体" w:hAnsi="宋体" w:eastAsia="宋体" w:cs="宋体"/>
          <w:b/>
          <w:sz w:val="28"/>
          <w:szCs w:val="28"/>
        </w:rPr>
      </w:pPr>
      <w:bookmarkStart w:id="2884" w:name="_Toc57049007"/>
      <w:bookmarkStart w:id="2885" w:name="_Toc34665958"/>
      <w:bookmarkStart w:id="2886" w:name="_Toc52809861"/>
      <w:r>
        <w:rPr>
          <w:rFonts w:hint="eastAsia" w:ascii="宋体" w:hAnsi="宋体" w:eastAsia="宋体" w:cs="宋体"/>
          <w:b/>
          <w:sz w:val="28"/>
          <w:szCs w:val="28"/>
        </w:rPr>
        <w:t>7.3 暂停期间的文件照管</w:t>
      </w:r>
      <w:bookmarkEnd w:id="2884"/>
      <w:bookmarkEnd w:id="2885"/>
      <w:bookmarkEnd w:id="288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不论由于何种原因引起暂停设计的，暂停期间设计人应负责妥善保护已完部分的设计文件，由此增加的费用由责任方承担。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887" w:name="_Toc57049963"/>
      <w:bookmarkStart w:id="2888" w:name="_Toc13787"/>
      <w:bookmarkStart w:id="2889" w:name="_Toc57049008"/>
      <w:bookmarkStart w:id="2890" w:name="_Toc34665959"/>
      <w:bookmarkStart w:id="2891" w:name="_Toc52809862"/>
      <w:r>
        <w:rPr>
          <w:rFonts w:hint="eastAsia" w:asciiTheme="majorEastAsia" w:hAnsiTheme="majorEastAsia" w:eastAsiaTheme="majorEastAsia"/>
          <w:sz w:val="28"/>
          <w:szCs w:val="28"/>
        </w:rPr>
        <w:t>8．设计文件</w:t>
      </w:r>
      <w:bookmarkEnd w:id="2887"/>
      <w:bookmarkEnd w:id="2888"/>
      <w:bookmarkEnd w:id="2889"/>
      <w:bookmarkEnd w:id="2890"/>
      <w:bookmarkEnd w:id="2891"/>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892" w:name="_Toc57049009"/>
      <w:bookmarkStart w:id="2893" w:name="_Toc34665960"/>
      <w:bookmarkStart w:id="2894" w:name="_Toc52809863"/>
      <w:r>
        <w:rPr>
          <w:rFonts w:hint="eastAsia" w:ascii="宋体" w:hAnsi="宋体" w:eastAsia="宋体" w:cs="宋体"/>
          <w:b/>
          <w:sz w:val="28"/>
          <w:szCs w:val="28"/>
        </w:rPr>
        <w:t>8.1 设计文件接收</w:t>
      </w:r>
      <w:bookmarkEnd w:id="2892"/>
      <w:bookmarkEnd w:id="2893"/>
      <w:bookmarkEnd w:id="289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8.1.1 发包人应当及时接收设计人提交的设计文件。如无正当理由拒收的，视为发包人已经接收设计文件。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8.1.2 发包人接收设计文件时，应向设计人出具文件签收凭证，凭证内容包括图纸名称、图纸内容、图纸形式、份数、提交和接收日期、提交人与接收人的亲笔签名等。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8.1.3 设计文件提交的份数、内容、纸幅、装订格式、电子文件、展板、模型、沙盘、动画等要求，在专用合同条款中约定。 </w:t>
      </w:r>
    </w:p>
    <w:p>
      <w:pPr>
        <w:spacing w:line="490" w:lineRule="exact"/>
        <w:ind w:firstLine="562" w:firstLineChars="200"/>
        <w:outlineLvl w:val="3"/>
        <w:rPr>
          <w:rFonts w:hint="eastAsia" w:ascii="宋体" w:hAnsi="宋体" w:eastAsia="宋体" w:cs="宋体"/>
          <w:b/>
          <w:sz w:val="28"/>
          <w:szCs w:val="28"/>
        </w:rPr>
      </w:pPr>
      <w:bookmarkStart w:id="2895" w:name="_Toc34665961"/>
      <w:bookmarkStart w:id="2896" w:name="_Toc52809864"/>
      <w:bookmarkStart w:id="2897" w:name="_Toc57049010"/>
      <w:r>
        <w:rPr>
          <w:rFonts w:hint="eastAsia" w:ascii="宋体" w:hAnsi="宋体" w:eastAsia="宋体" w:cs="宋体"/>
          <w:b/>
          <w:sz w:val="28"/>
          <w:szCs w:val="28"/>
        </w:rPr>
        <w:t>8.2 发包人审查设计文件</w:t>
      </w:r>
      <w:bookmarkEnd w:id="2895"/>
      <w:bookmarkEnd w:id="2896"/>
      <w:bookmarkEnd w:id="289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8.2.1 发包人接收设计文件之后，可以自行或者组织专家会进行审查，设计人应当给予配合。审查标准应当符合法律、规范标准、合同约定和发包人要求等；审查的具体范围、明细内容和费用分担，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8.2.2 除专用合同条款另有约定外，发包人对于设计文件的审查期限，自文件接收之日起不应超过14天。发包人逾期未做出审查结论且未提出异议的，视为设计人的设计文件已经通过发包人审查。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8.2.3 发包人审查后不同意设计文件的，应以书面形式通知设计人，说明审查不通过的理由及其具体内容。设计人应根据发包人的审查意见修改完善设计文件，并重新报送发包人审查，审查期限重新起算。 </w:t>
      </w:r>
    </w:p>
    <w:p>
      <w:pPr>
        <w:spacing w:line="490" w:lineRule="exact"/>
        <w:ind w:firstLine="562" w:firstLineChars="200"/>
        <w:outlineLvl w:val="3"/>
        <w:rPr>
          <w:rFonts w:hint="eastAsia" w:ascii="宋体" w:hAnsi="宋体" w:eastAsia="宋体" w:cs="宋体"/>
          <w:b/>
          <w:sz w:val="28"/>
          <w:szCs w:val="28"/>
        </w:rPr>
      </w:pPr>
      <w:bookmarkStart w:id="2898" w:name="_Toc52809865"/>
      <w:bookmarkStart w:id="2899" w:name="_Toc34665962"/>
      <w:bookmarkStart w:id="2900" w:name="_Toc57049011"/>
      <w:r>
        <w:rPr>
          <w:rFonts w:hint="eastAsia" w:ascii="宋体" w:hAnsi="宋体" w:eastAsia="宋体" w:cs="宋体"/>
          <w:b/>
          <w:sz w:val="28"/>
          <w:szCs w:val="28"/>
        </w:rPr>
        <w:t>8.3 审查机构审查设计文件</w:t>
      </w:r>
      <w:bookmarkEnd w:id="2898"/>
      <w:bookmarkEnd w:id="2899"/>
      <w:bookmarkEnd w:id="290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8.3.1 设计文件需经政府有关部门审查或批准的，发包人应在审查同意后，按照有关主管部门要求，将设计文件和相关资料报送有关审查机构进行审查。发包人的审查和有关审查机构的审查不减免设计人因为质量问题而应承担的设计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8.3.2 对于有关审查机构的审查意见，如不需要修改发包人要求的，应由设计人按照审查意见修改完善设计文件；如需修改发包人要求的，则由发包人重新修改和提出发包人要求，再由设计人根据新的发包人要求修改完善设计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8.3.3 由于自身原因造成设计文件未通过审查机构审查的，设计人应当承担违约责任，采取补救措施直至达到合同约定的质量标准，并自行承担由此导致的费用增加和（或）周期延误。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01" w:name="_Toc57049964"/>
      <w:bookmarkStart w:id="2902" w:name="_Toc34665963"/>
      <w:bookmarkStart w:id="2903" w:name="_Toc140"/>
      <w:bookmarkStart w:id="2904" w:name="_Toc57049012"/>
      <w:bookmarkStart w:id="2905" w:name="_Toc52809866"/>
      <w:r>
        <w:rPr>
          <w:rFonts w:hint="eastAsia" w:asciiTheme="majorEastAsia" w:hAnsiTheme="majorEastAsia" w:eastAsiaTheme="majorEastAsia"/>
          <w:sz w:val="28"/>
          <w:szCs w:val="28"/>
        </w:rPr>
        <w:t>9．设计责任与保险</w:t>
      </w:r>
      <w:bookmarkEnd w:id="2901"/>
      <w:bookmarkEnd w:id="2902"/>
      <w:bookmarkEnd w:id="2903"/>
      <w:bookmarkEnd w:id="2904"/>
      <w:bookmarkEnd w:id="2905"/>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906" w:name="_Toc34665964"/>
      <w:bookmarkStart w:id="2907" w:name="_Toc52809867"/>
      <w:bookmarkStart w:id="2908" w:name="_Toc57049013"/>
      <w:r>
        <w:rPr>
          <w:rFonts w:hint="eastAsia" w:ascii="宋体" w:hAnsi="宋体" w:eastAsia="宋体" w:cs="宋体"/>
          <w:b/>
          <w:sz w:val="28"/>
          <w:szCs w:val="28"/>
        </w:rPr>
        <w:t>9.1 工作质量责任</w:t>
      </w:r>
      <w:bookmarkEnd w:id="2906"/>
      <w:bookmarkEnd w:id="2907"/>
      <w:bookmarkEnd w:id="290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9.1.1 设计工作质量应满足法律规定、规范标准、合同约定和发包人要求等。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9.1.2 设计人应做好设计服务的质量与技术管理工作，建立健全内部质量管理体系和质量责任制度，加强设计服务全过程的质量控制，建立完整的设计文件的设计、复核、审核、会签和批准制度，明确各阶段的责任人。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9.1.3 设计人应按合同约定对设计服务进行全过程的质量检查和检验，并作详细记录，编制设计工作质量报表，报送发包人审查。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9.1.4 发包人有权对设计工作质量进行检查和审核。设计人应为发包人的检查和检验提供方便，包括发包人到设计场地或合同约定的其他地方进行察看，查阅、审核设计的原始记录和其他文件。发包人的检查和审核，不免除设计人按合同约定应负的责任。 </w:t>
      </w:r>
    </w:p>
    <w:p>
      <w:pPr>
        <w:spacing w:line="490" w:lineRule="exact"/>
        <w:ind w:firstLine="562" w:firstLineChars="200"/>
        <w:outlineLvl w:val="3"/>
        <w:rPr>
          <w:rFonts w:hint="eastAsia" w:ascii="宋体" w:hAnsi="宋体" w:eastAsia="宋体" w:cs="宋体"/>
          <w:b/>
          <w:sz w:val="28"/>
          <w:szCs w:val="28"/>
        </w:rPr>
      </w:pPr>
      <w:bookmarkStart w:id="2909" w:name="_Toc34665965"/>
      <w:bookmarkStart w:id="2910" w:name="_Toc57049014"/>
      <w:bookmarkStart w:id="2911" w:name="_Toc52809868"/>
      <w:r>
        <w:rPr>
          <w:rFonts w:hint="eastAsia" w:ascii="宋体" w:hAnsi="宋体" w:eastAsia="宋体" w:cs="宋体"/>
          <w:b/>
          <w:sz w:val="28"/>
          <w:szCs w:val="28"/>
        </w:rPr>
        <w:t>9.2 设计文件错误责任</w:t>
      </w:r>
      <w:bookmarkEnd w:id="2909"/>
      <w:bookmarkEnd w:id="2910"/>
      <w:bookmarkEnd w:id="291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9.2.1 设计文件存在错误、遗漏、含混、矛盾、不充分之处或其他缺陷，无论设计人是否通过了发包人审查或审查机构审查，设计人均应自费对前述问题带来的缺陷和工程问题进行改正，但因第 1.6.2 项约定由发包人提供的文件错误导致的除外。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9.2.2 因设计人原因造成设计文件不合格的，发包人有权要求设计人采取补救措施，直至达到合同要求的质量标准，并按第 14.1 款的约定承担责任。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9.2.3 因发包人原因造成设计文件不合格的，设计人应当采取补救措施，直至达到合同要求的质量标准，由此造成的设计费用增加和（或）设计服务期限延误由发包人承担。 </w:t>
      </w:r>
    </w:p>
    <w:p>
      <w:pPr>
        <w:spacing w:line="490" w:lineRule="exact"/>
        <w:ind w:firstLine="562" w:firstLineChars="200"/>
        <w:outlineLvl w:val="3"/>
        <w:rPr>
          <w:rFonts w:hint="eastAsia" w:ascii="宋体" w:hAnsi="宋体" w:eastAsia="宋体" w:cs="宋体"/>
          <w:b/>
          <w:sz w:val="28"/>
          <w:szCs w:val="28"/>
        </w:rPr>
      </w:pPr>
      <w:bookmarkStart w:id="2912" w:name="_Toc34665966"/>
      <w:bookmarkStart w:id="2913" w:name="_Toc57049015"/>
      <w:bookmarkStart w:id="2914" w:name="_Toc52809869"/>
      <w:r>
        <w:rPr>
          <w:rFonts w:hint="eastAsia" w:ascii="宋体" w:hAnsi="宋体" w:eastAsia="宋体" w:cs="宋体"/>
          <w:b/>
          <w:sz w:val="28"/>
          <w:szCs w:val="28"/>
        </w:rPr>
        <w:t>9.3 设计责任主体</w:t>
      </w:r>
      <w:bookmarkEnd w:id="2912"/>
      <w:bookmarkEnd w:id="2913"/>
      <w:bookmarkEnd w:id="291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9.3.1 设计人应运用一切合理的专业技术、知识技能和项目经验，按照职业道德准则和行业公认标准尽其全部职责，勤勉、谨慎、公正地履行其在本合同项下的责任和义务。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9.3.2 设计责任为设计单位项目负责人终身责任制。项目负责人应当保证设计文件符合法律法规和工程建设强制性标准的要求，对因设计导致的工程质量事故或质量问题承担责任。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9.3.3 项目负责人应当按照有关规定在办理工程质量监督手续前签署工程质量终身责任承诺书，连同法定代表人出具的授权书，报工程质量监督机构备案。</w:t>
      </w:r>
    </w:p>
    <w:p>
      <w:pPr>
        <w:spacing w:line="490" w:lineRule="exact"/>
        <w:ind w:firstLine="562" w:firstLineChars="200"/>
        <w:outlineLvl w:val="3"/>
        <w:rPr>
          <w:rFonts w:hint="eastAsia" w:ascii="宋体" w:hAnsi="宋体" w:eastAsia="宋体" w:cs="宋体"/>
          <w:b/>
          <w:sz w:val="28"/>
          <w:szCs w:val="28"/>
        </w:rPr>
      </w:pPr>
      <w:bookmarkStart w:id="2915" w:name="_Toc34665967"/>
      <w:bookmarkStart w:id="2916" w:name="_Toc57049016"/>
      <w:bookmarkStart w:id="2917" w:name="_Toc52809870"/>
      <w:r>
        <w:rPr>
          <w:rFonts w:hint="eastAsia" w:ascii="宋体" w:hAnsi="宋体" w:eastAsia="宋体" w:cs="宋体"/>
          <w:b/>
          <w:sz w:val="28"/>
          <w:szCs w:val="28"/>
        </w:rPr>
        <w:t>9.4 设计责任保险</w:t>
      </w:r>
      <w:bookmarkEnd w:id="2915"/>
      <w:bookmarkEnd w:id="2916"/>
      <w:bookmarkEnd w:id="291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9.4.1 除专用合同条款另有约定外，设计人应具有发包人认可的、履行本合同所需要的工程设计责任险，于合同签订后28天内向发包人提交工程设计责任险的保险单副本或者其他有效证明，并在合同履行期间保持足额、有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9.4.2 工程设计责任险的保险范围，应当包括由于设计人的疏忽或过失而造成的工程质量事故损失，以及由于事故引发的第三者人身伤亡、财产损失或费用赔偿等。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9.4.3 发生工程设计保险事故后，设计人应按保险人要求进行报告，并负责办理保险理赔业务；保险金不足以补偿损失的，由设计人自行补偿。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18" w:name="_Toc34665968"/>
      <w:bookmarkStart w:id="2919" w:name="_Toc24622"/>
      <w:bookmarkStart w:id="2920" w:name="_Toc52809871"/>
      <w:bookmarkStart w:id="2921" w:name="_Toc57049965"/>
      <w:bookmarkStart w:id="2922" w:name="_Toc57049017"/>
      <w:r>
        <w:rPr>
          <w:rFonts w:hint="eastAsia" w:asciiTheme="majorEastAsia" w:hAnsiTheme="majorEastAsia" w:eastAsiaTheme="majorEastAsia"/>
          <w:sz w:val="28"/>
          <w:szCs w:val="28"/>
        </w:rPr>
        <w:t>10．施工期间配合</w:t>
      </w:r>
      <w:bookmarkEnd w:id="2918"/>
      <w:bookmarkEnd w:id="2919"/>
      <w:bookmarkEnd w:id="2920"/>
      <w:bookmarkEnd w:id="2921"/>
      <w:bookmarkEnd w:id="2922"/>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10.1 施工配合指设计人配合施工承包人，在施工期间提供的设计服务或其他配合工作，直至工程通过竣工验收为止。</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10.2 除专用合同条款另有约定外，发包人应为设计人派赴施工现场的工作人员，在施工期间提供办公房间、办公桌椅、互联网接口、冷暖设施、生活设施、进出现场交通服务和其他便利条件。</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10.3 设计人应在本工程的施工期间，积极提供设计配合服务，包括并不限于设计技术交底、施工现场服务、参与施工过程验收、参与投产试车（试运行）、参与工程竣工验收等工作。</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10.4 发包人应当组织设计技术交底会，由设计人向发包人、监理人和施工承包人等进行设计交底，对本工程的设计意图、设计文件和施工要求等进行系统地说明和解释。</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10.5 工程施工完毕后，发包人应当组织投产试车（试运行）和工程竣工验收，设计人参加验收并出具本单位的验收结论。如因设计原因致使工程不合格的，设计人应当承担违约责任，免费修改设计文件和赔偿发包人由此产生的经济损失。</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23" w:name="_Toc52809872"/>
      <w:bookmarkStart w:id="2924" w:name="_Toc34665969"/>
      <w:bookmarkStart w:id="2925" w:name="_Toc57049966"/>
      <w:bookmarkStart w:id="2926" w:name="_Toc18391"/>
      <w:bookmarkStart w:id="2927" w:name="_Toc57049018"/>
      <w:r>
        <w:rPr>
          <w:rFonts w:hint="eastAsia" w:asciiTheme="majorEastAsia" w:hAnsiTheme="majorEastAsia" w:eastAsiaTheme="majorEastAsia"/>
          <w:sz w:val="28"/>
          <w:szCs w:val="28"/>
        </w:rPr>
        <w:t>11．合同变更</w:t>
      </w:r>
      <w:bookmarkEnd w:id="2923"/>
      <w:bookmarkEnd w:id="2924"/>
      <w:bookmarkEnd w:id="2925"/>
      <w:bookmarkEnd w:id="2926"/>
      <w:bookmarkEnd w:id="2927"/>
    </w:p>
    <w:p>
      <w:pPr>
        <w:spacing w:line="490" w:lineRule="exact"/>
        <w:ind w:firstLine="562" w:firstLineChars="200"/>
        <w:outlineLvl w:val="3"/>
        <w:rPr>
          <w:rFonts w:hint="eastAsia" w:ascii="宋体" w:hAnsi="宋体" w:eastAsia="宋体" w:cs="宋体"/>
          <w:b/>
          <w:sz w:val="28"/>
          <w:szCs w:val="28"/>
        </w:rPr>
      </w:pPr>
      <w:bookmarkStart w:id="2928" w:name="_Toc52809873"/>
      <w:bookmarkStart w:id="2929" w:name="_Toc57049019"/>
      <w:bookmarkStart w:id="2930" w:name="_Toc34665970"/>
      <w:r>
        <w:rPr>
          <w:rFonts w:hint="eastAsia" w:ascii="宋体" w:hAnsi="宋体" w:eastAsia="宋体" w:cs="宋体"/>
          <w:b/>
          <w:sz w:val="28"/>
          <w:szCs w:val="28"/>
        </w:rPr>
        <w:t>11.1 变更情形</w:t>
      </w:r>
      <w:bookmarkEnd w:id="2928"/>
      <w:bookmarkEnd w:id="2929"/>
      <w:bookmarkEnd w:id="293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11.1.1 合同履行中发生下述情形时，合同一方均可向对方提出变更请求，经双方协商一致后进行变更，设计服务期限和设计费用的调整方法在专用合同条款中约定。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（1）设计范围发生变化；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（2）除不可抗力外，非设计人的原因引起的周期延误；</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（3）非设计人的原因，对工程同一部分重复进行设计；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（4）非设计人的原因，对工程暂停设计及恢复设计。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11.1.2 基准日后，因颁布新的或修订原有法律、法规、规范和标准等引发合同变更情形的，按照上述约定进行调整。 </w:t>
      </w:r>
    </w:p>
    <w:p>
      <w:pPr>
        <w:spacing w:line="490" w:lineRule="exact"/>
        <w:ind w:firstLine="562" w:firstLineChars="200"/>
        <w:outlineLvl w:val="3"/>
        <w:rPr>
          <w:rFonts w:hint="eastAsia" w:ascii="宋体" w:hAnsi="宋体" w:eastAsia="宋体" w:cs="宋体"/>
          <w:b/>
          <w:sz w:val="28"/>
          <w:szCs w:val="28"/>
        </w:rPr>
      </w:pPr>
      <w:bookmarkStart w:id="2931" w:name="_Toc52809874"/>
      <w:bookmarkStart w:id="2932" w:name="_Toc34665971"/>
      <w:bookmarkStart w:id="2933" w:name="_Toc57049020"/>
      <w:r>
        <w:rPr>
          <w:rFonts w:hint="eastAsia" w:ascii="宋体" w:hAnsi="宋体" w:eastAsia="宋体" w:cs="宋体"/>
          <w:b/>
          <w:sz w:val="28"/>
          <w:szCs w:val="28"/>
        </w:rPr>
        <w:t>11.2 合理化建议</w:t>
      </w:r>
      <w:bookmarkEnd w:id="2931"/>
      <w:bookmarkEnd w:id="2932"/>
      <w:bookmarkEnd w:id="293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合同履行中，设计人可对发包人要求提出合理化建议。合理化建议应以书面形式提交发包人，被发包人采纳并构成变更的，执行第 11.1 款约定。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11.2.2 设计人提出的合理化建议降低了工程投资、缩短了施工期限或者提高了工程经济效益的，发包人应按专用合同条款中的约定给予奖励。</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34" w:name="_Toc57049021"/>
      <w:bookmarkStart w:id="2935" w:name="_Toc52809875"/>
      <w:bookmarkStart w:id="2936" w:name="_Toc27679"/>
      <w:bookmarkStart w:id="2937" w:name="_Toc34665972"/>
      <w:bookmarkStart w:id="2938" w:name="_Toc57049967"/>
      <w:r>
        <w:rPr>
          <w:rFonts w:hint="eastAsia" w:asciiTheme="majorEastAsia" w:hAnsiTheme="majorEastAsia" w:eastAsiaTheme="majorEastAsia"/>
          <w:sz w:val="28"/>
          <w:szCs w:val="28"/>
        </w:rPr>
        <w:t>12．合同价格与支付</w:t>
      </w:r>
      <w:bookmarkEnd w:id="2934"/>
      <w:bookmarkEnd w:id="2935"/>
      <w:bookmarkEnd w:id="2936"/>
      <w:bookmarkEnd w:id="2937"/>
      <w:bookmarkEnd w:id="2938"/>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939" w:name="_Toc34665973"/>
      <w:bookmarkStart w:id="2940" w:name="_Toc52809876"/>
      <w:bookmarkStart w:id="2941" w:name="_Toc57049022"/>
      <w:r>
        <w:rPr>
          <w:rFonts w:hint="eastAsia" w:ascii="宋体" w:hAnsi="宋体" w:eastAsia="宋体" w:cs="宋体"/>
          <w:b/>
          <w:sz w:val="28"/>
          <w:szCs w:val="28"/>
        </w:rPr>
        <w:t>12.1 合同价格</w:t>
      </w:r>
      <w:bookmarkEnd w:id="2939"/>
      <w:bookmarkEnd w:id="2940"/>
      <w:bookmarkEnd w:id="294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12.1.1 本合同的价款确定方式、调整方式和风险范围划分，在专用合同条款中约定。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12.1.2 设计费用实行发包人签证制度，即设计人完成设计项目后通知发包人进行验收，通过验收后由发包人代表对实施的设计项目、数量、质量和实施时间签字确认，以此作为计算设计费用的依据之一。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12.1.3 除专用合同条款另有约定外，合同价格应当包括收集资料，踏勘现场，进行设计、评估、审查等，编制设计文件，施工配合等全部费用和国家规定的增值税税金。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12.1.4 发包人要求设计人进行外出考察、试验检测、专项咨询或专家评审时，相应费用不含在合同价格之中，由发包人另行支付。 </w:t>
      </w:r>
    </w:p>
    <w:p>
      <w:pPr>
        <w:spacing w:line="490" w:lineRule="exact"/>
        <w:ind w:firstLine="562" w:firstLineChars="200"/>
        <w:outlineLvl w:val="3"/>
        <w:rPr>
          <w:rFonts w:hint="eastAsia" w:ascii="宋体" w:hAnsi="宋体" w:eastAsia="宋体" w:cs="宋体"/>
          <w:b/>
          <w:sz w:val="28"/>
          <w:szCs w:val="28"/>
        </w:rPr>
      </w:pPr>
      <w:bookmarkStart w:id="2942" w:name="_Toc57049023"/>
      <w:bookmarkStart w:id="2943" w:name="_Toc52809877"/>
      <w:bookmarkStart w:id="2944" w:name="_Toc34665974"/>
      <w:r>
        <w:rPr>
          <w:rFonts w:hint="eastAsia" w:ascii="宋体" w:hAnsi="宋体" w:eastAsia="宋体" w:cs="宋体"/>
          <w:b/>
          <w:sz w:val="28"/>
          <w:szCs w:val="28"/>
        </w:rPr>
        <w:t>12.2 定金或预付款</w:t>
      </w:r>
      <w:bookmarkEnd w:id="2942"/>
      <w:bookmarkEnd w:id="2943"/>
      <w:bookmarkEnd w:id="2944"/>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12.2.1 定金或预付款应专用于本工程的设计。定金或预付款的额度、支付方式及抵扣方式在专用合同条款中约定。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12.2.2 发包人应在收到定金或预付款支付申请后 28 天内，将定金或预付款支付给设计人；设计人应当提供等额的增值税发票。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12.2.3 设计服务完成之前，由于不可抗力或其他非设计人的原因解除合同时，定金不予退还。</w:t>
      </w:r>
    </w:p>
    <w:p>
      <w:pPr>
        <w:spacing w:line="490" w:lineRule="exact"/>
        <w:ind w:firstLine="562" w:firstLineChars="200"/>
        <w:outlineLvl w:val="3"/>
        <w:rPr>
          <w:rFonts w:hint="eastAsia" w:ascii="宋体" w:hAnsi="宋体" w:eastAsia="宋体" w:cs="宋体"/>
          <w:b/>
          <w:sz w:val="28"/>
          <w:szCs w:val="28"/>
        </w:rPr>
      </w:pPr>
      <w:bookmarkStart w:id="2945" w:name="_Toc57049024"/>
      <w:bookmarkStart w:id="2946" w:name="_Toc34665975"/>
      <w:bookmarkStart w:id="2947" w:name="_Toc52809878"/>
      <w:r>
        <w:rPr>
          <w:rFonts w:hint="eastAsia" w:ascii="宋体" w:hAnsi="宋体" w:eastAsia="宋体" w:cs="宋体"/>
          <w:b/>
          <w:sz w:val="28"/>
          <w:szCs w:val="28"/>
        </w:rPr>
        <w:t>12.3 中期支付</w:t>
      </w:r>
      <w:bookmarkEnd w:id="2945"/>
      <w:bookmarkEnd w:id="2946"/>
      <w:bookmarkEnd w:id="2947"/>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12.3.1 设计人应按发包人批准或专用合同条款约定的格式及份数，向发包人提交中期支付申请，并附相应的支持性证明文件。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12.3.2 发包人应在收到中期支付申请后的28天内，将应付款项支付给设计人；设计人应当提供等额的增值税发票。发包人未能在前述时间内完成审批或不予答复的，视为发包人同意中期支付申请。发包人不按期支付的，按专用合同条款的约定支付逾期付款违约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12.3.3 中期支付涉及政府投资资金的，按照国库集中支付等国家相关规定和专用合同条款的约定执行。 </w:t>
      </w:r>
    </w:p>
    <w:p>
      <w:pPr>
        <w:spacing w:line="490" w:lineRule="exact"/>
        <w:ind w:firstLine="562" w:firstLineChars="200"/>
        <w:outlineLvl w:val="3"/>
        <w:rPr>
          <w:rFonts w:hint="eastAsia" w:ascii="宋体" w:hAnsi="宋体" w:eastAsia="宋体" w:cs="宋体"/>
          <w:b/>
          <w:sz w:val="28"/>
          <w:szCs w:val="28"/>
        </w:rPr>
      </w:pPr>
      <w:bookmarkStart w:id="2948" w:name="_Toc34665976"/>
      <w:bookmarkStart w:id="2949" w:name="_Toc52809879"/>
      <w:bookmarkStart w:id="2950" w:name="_Toc57049025"/>
      <w:r>
        <w:rPr>
          <w:rFonts w:hint="eastAsia" w:ascii="宋体" w:hAnsi="宋体" w:eastAsia="宋体" w:cs="宋体"/>
          <w:b/>
          <w:sz w:val="28"/>
          <w:szCs w:val="28"/>
        </w:rPr>
        <w:t>12.4 费用结算</w:t>
      </w:r>
      <w:bookmarkEnd w:id="2948"/>
      <w:bookmarkEnd w:id="2949"/>
      <w:bookmarkEnd w:id="295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12.4.1 合同工作完成后，设计人可按专用合同条款约定的份数和期限，向发包人提交设计费用结算申请，并提供相关证明材料。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12.4.2 发包人应在收到费用结算申请后的 28 天内，将应付款项支付给设计人；设计人应当提供等额的增值税发票。发包人未能在前述时间内完成审批或不予答复的，视为发包人同意费用结算申请。发包人不按期支付的，按专用合同条款的约定支付逾期付款违约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12.4.3 发包人对费用结算申请内容有异议的，有权要求设计人进行修正和提供补充资料，由设计人重新提交。设计人对此有异议的，按第15条的约定执行。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12.4.4 最终结清付款涉及政府投资资金的，按第 12.3.3 项的约定执行。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51" w:name="_Toc57049026"/>
      <w:bookmarkStart w:id="2952" w:name="_Toc52809880"/>
      <w:bookmarkStart w:id="2953" w:name="_Toc34665977"/>
      <w:bookmarkStart w:id="2954" w:name="_Toc24750"/>
      <w:bookmarkStart w:id="2955" w:name="_Toc57049968"/>
      <w:r>
        <w:rPr>
          <w:rFonts w:hint="eastAsia" w:asciiTheme="majorEastAsia" w:hAnsiTheme="majorEastAsia" w:eastAsiaTheme="majorEastAsia"/>
          <w:sz w:val="28"/>
          <w:szCs w:val="28"/>
        </w:rPr>
        <w:t>13．不可抗力</w:t>
      </w:r>
      <w:bookmarkEnd w:id="2951"/>
      <w:bookmarkEnd w:id="2952"/>
      <w:bookmarkEnd w:id="2953"/>
      <w:bookmarkEnd w:id="2954"/>
      <w:bookmarkEnd w:id="2955"/>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956" w:name="_Toc52809881"/>
      <w:bookmarkStart w:id="2957" w:name="_Toc57049027"/>
      <w:bookmarkStart w:id="2958" w:name="_Toc34665978"/>
      <w:r>
        <w:rPr>
          <w:rFonts w:hint="eastAsia" w:ascii="宋体" w:hAnsi="宋体" w:eastAsia="宋体" w:cs="宋体"/>
          <w:b/>
          <w:sz w:val="28"/>
          <w:szCs w:val="28"/>
        </w:rPr>
        <w:t>13.1 不可抗力的确认</w:t>
      </w:r>
      <w:bookmarkEnd w:id="2956"/>
      <w:bookmarkEnd w:id="2957"/>
      <w:bookmarkEnd w:id="295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13.1.1 不可抗力是指设计人和发包人在订立合同时不可预见，在履行合同过程中不可避免发生并不能克服的自然灾害和社会性突发事件，如地震、海啸、瘟疫、水灾、骚乱、暴动、战争和专用合同条款约定的其他情形。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13.1.2 不可抗力发生后，发包人和设计人应及时认真统计所造成的损失，收集不可抗力造成损失的证据。合同双方对是否属于不可抗力或其损失的意见不一致的，由合同双方协商确定。 </w:t>
      </w:r>
    </w:p>
    <w:p>
      <w:pPr>
        <w:spacing w:line="490" w:lineRule="exact"/>
        <w:ind w:firstLine="562" w:firstLineChars="200"/>
        <w:outlineLvl w:val="3"/>
        <w:rPr>
          <w:rFonts w:hint="eastAsia" w:ascii="宋体" w:hAnsi="宋体" w:eastAsia="宋体" w:cs="宋体"/>
          <w:b/>
          <w:sz w:val="28"/>
          <w:szCs w:val="28"/>
        </w:rPr>
      </w:pPr>
      <w:bookmarkStart w:id="2959" w:name="_Toc57049028"/>
      <w:bookmarkStart w:id="2960" w:name="_Toc52809882"/>
      <w:bookmarkStart w:id="2961" w:name="_Toc34665979"/>
      <w:r>
        <w:rPr>
          <w:rFonts w:hint="eastAsia" w:ascii="宋体" w:hAnsi="宋体" w:eastAsia="宋体" w:cs="宋体"/>
          <w:b/>
          <w:sz w:val="28"/>
          <w:szCs w:val="28"/>
        </w:rPr>
        <w:t>13.2 不可抗力的通知</w:t>
      </w:r>
      <w:bookmarkEnd w:id="2959"/>
      <w:bookmarkEnd w:id="2960"/>
      <w:bookmarkEnd w:id="296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13.2.1 合同一方当事人遇到不可抗力事件，使其履行合同义务受到阻碍时，应立即通知合同另一方当事人，书面说明不可抗力和受阻碍的详细情况，并提供必要的证明。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13.2.2 如不可抗力持续发生，合同一方当事人应及时向合同另一方当事人提交中间报告，说明不可抗力和履行合同受阻的情况，并于不可抗力事件结束后 28 天内提交最终报告及有关资料。 </w:t>
      </w:r>
    </w:p>
    <w:p>
      <w:pPr>
        <w:spacing w:line="490" w:lineRule="exact"/>
        <w:ind w:firstLine="562" w:firstLineChars="200"/>
        <w:outlineLvl w:val="3"/>
        <w:rPr>
          <w:rFonts w:hint="eastAsia" w:ascii="宋体" w:hAnsi="宋体" w:eastAsia="宋体" w:cs="宋体"/>
          <w:b/>
          <w:sz w:val="28"/>
          <w:szCs w:val="28"/>
        </w:rPr>
      </w:pPr>
      <w:bookmarkStart w:id="2962" w:name="_Toc34665980"/>
      <w:bookmarkStart w:id="2963" w:name="_Toc52809883"/>
      <w:bookmarkStart w:id="2964" w:name="_Toc57049029"/>
      <w:r>
        <w:rPr>
          <w:rFonts w:hint="eastAsia" w:ascii="宋体" w:hAnsi="宋体" w:eastAsia="宋体" w:cs="宋体"/>
          <w:b/>
          <w:sz w:val="28"/>
          <w:szCs w:val="28"/>
        </w:rPr>
        <w:t>13.3 不可抗力后果及其处理</w:t>
      </w:r>
      <w:bookmarkEnd w:id="2962"/>
      <w:bookmarkEnd w:id="2963"/>
      <w:bookmarkEnd w:id="296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13.3.1 不可抗力引起的后果及其损失，应由合同当事人依据法律规定各自承担。不可抗力发生前已完成的设计工作，应当按照合同约定进行支付。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13.3.2 不可抗力发生后，合同当事人应当采取有效措施避免损失进一步扩大，如未采取有效措施致使损失扩大的，应当自行承担扩大部分的损失。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13.3.3 因一方当事人迟延履行合同义务，致使迟延履行期间遭遇不可抗力的，应由该当事人承担全部损失。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65" w:name="_Toc17725"/>
      <w:bookmarkStart w:id="2966" w:name="_Toc57049030"/>
      <w:bookmarkStart w:id="2967" w:name="_Toc34665981"/>
      <w:bookmarkStart w:id="2968" w:name="_Toc57049969"/>
      <w:bookmarkStart w:id="2969" w:name="_Toc52809884"/>
      <w:r>
        <w:rPr>
          <w:rFonts w:hint="eastAsia" w:asciiTheme="majorEastAsia" w:hAnsiTheme="majorEastAsia" w:eastAsiaTheme="majorEastAsia"/>
          <w:sz w:val="28"/>
          <w:szCs w:val="28"/>
        </w:rPr>
        <w:t>14．违约</w:t>
      </w:r>
      <w:bookmarkEnd w:id="2965"/>
      <w:bookmarkEnd w:id="2966"/>
      <w:bookmarkEnd w:id="2967"/>
      <w:bookmarkEnd w:id="2968"/>
      <w:bookmarkEnd w:id="2969"/>
      <w:r>
        <w:rPr>
          <w:rFonts w:hint="eastAsia" w:asciiTheme="majorEastAsia" w:hAnsiTheme="majorEastAsia" w:eastAsiaTheme="majorEastAsia"/>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970" w:name="_Toc34665982"/>
      <w:bookmarkStart w:id="2971" w:name="_Toc57049031"/>
      <w:bookmarkStart w:id="2972" w:name="_Toc52809885"/>
      <w:r>
        <w:rPr>
          <w:rFonts w:hint="eastAsia" w:ascii="宋体" w:hAnsi="宋体" w:eastAsia="宋体" w:cs="宋体"/>
          <w:b/>
          <w:sz w:val="28"/>
          <w:szCs w:val="28"/>
        </w:rPr>
        <w:t>14.1 设计人违约</w:t>
      </w:r>
      <w:bookmarkEnd w:id="2970"/>
      <w:bookmarkEnd w:id="2971"/>
      <w:bookmarkEnd w:id="297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14.1.1 合同履行中发生下列情况之一的，属设计人违约：</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（1）设计文件不符合法律以及合同约定；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（2）设计人转包、违法分包或者未经发包人同意擅自分包；</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（3）设计人未按合同计划完成设计，从而造成工程损失；</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（4）设计人无法履行或停止履行合同；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（5）设计人不履行合同约定的其他义务。</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14.1.2 设计人发生违约情况时，发包人可向设计人发出整改通知，要求其在限定期限内纠正；逾期仍不纠正的，发包人有权解除合同并向设计人发出解除合同通知。设计人应当承担由于违约所造成的费用增加、周期延误和发包人损失等。 </w:t>
      </w:r>
    </w:p>
    <w:p>
      <w:pPr>
        <w:spacing w:line="490" w:lineRule="exact"/>
        <w:ind w:firstLine="562" w:firstLineChars="200"/>
        <w:outlineLvl w:val="3"/>
        <w:rPr>
          <w:rFonts w:hint="eastAsia" w:ascii="宋体" w:hAnsi="宋体" w:eastAsia="宋体" w:cs="宋体"/>
          <w:b/>
          <w:sz w:val="28"/>
          <w:szCs w:val="28"/>
        </w:rPr>
      </w:pPr>
      <w:bookmarkStart w:id="2973" w:name="_Toc52809886"/>
      <w:bookmarkStart w:id="2974" w:name="_Toc34665983"/>
      <w:bookmarkStart w:id="2975" w:name="_Toc57049032"/>
      <w:r>
        <w:rPr>
          <w:rFonts w:hint="eastAsia" w:ascii="宋体" w:hAnsi="宋体" w:eastAsia="宋体" w:cs="宋体"/>
          <w:b/>
          <w:sz w:val="28"/>
          <w:szCs w:val="28"/>
        </w:rPr>
        <w:t>14.2 发包人违约</w:t>
      </w:r>
      <w:bookmarkEnd w:id="2973"/>
      <w:bookmarkEnd w:id="2974"/>
      <w:bookmarkEnd w:id="297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14.2.1 合同履行中发生下列情况之一的，属发包人违约：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（1）发包人未按合同约定支付设计费用；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（2）发包人原因造成设计停止；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（3）发包人无法履行或停止履行合同；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（4）发包人不履行合同约定的其他义务。</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14.2.2 发包人发生违约情况时，设计人可向发包人发出暂停设计通知，要求其在限定期限内纠正；逾期仍不纠正的，设计人有权解除合同并向发包人发出解除合同通知。发包人应当承担由于违约所造成的费用增加、周期延误和设计人损失等。 </w:t>
      </w:r>
    </w:p>
    <w:p>
      <w:pPr>
        <w:spacing w:line="490" w:lineRule="exact"/>
        <w:ind w:firstLine="562" w:firstLineChars="200"/>
        <w:outlineLvl w:val="3"/>
        <w:rPr>
          <w:rFonts w:hint="eastAsia" w:ascii="宋体" w:hAnsi="宋体" w:eastAsia="宋体" w:cs="宋体"/>
          <w:b/>
          <w:sz w:val="28"/>
          <w:szCs w:val="28"/>
        </w:rPr>
      </w:pPr>
      <w:bookmarkStart w:id="2976" w:name="_Toc52809887"/>
      <w:bookmarkStart w:id="2977" w:name="_Toc57049033"/>
      <w:bookmarkStart w:id="2978" w:name="_Toc34665984"/>
      <w:r>
        <w:rPr>
          <w:rFonts w:hint="eastAsia" w:ascii="宋体" w:hAnsi="宋体" w:eastAsia="宋体" w:cs="宋体"/>
          <w:b/>
          <w:sz w:val="28"/>
          <w:szCs w:val="28"/>
        </w:rPr>
        <w:t>14.3 第三人造成的违约</w:t>
      </w:r>
      <w:bookmarkEnd w:id="2976"/>
      <w:bookmarkEnd w:id="2977"/>
      <w:bookmarkEnd w:id="297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在履行合同过程中，一方当事人因第三人的原因造成违约的，应当向对方当事人承担违约责任。一方当事人和第三人之间的纠纷，依照法律规定或者按照约定解决。 </w:t>
      </w:r>
    </w:p>
    <w:p>
      <w:pPr>
        <w:pStyle w:val="4"/>
        <w:adjustRightInd w:val="0"/>
        <w:snapToGrid w:val="0"/>
        <w:spacing w:before="0" w:after="0" w:line="520" w:lineRule="exact"/>
        <w:ind w:left="0" w:leftChars="0" w:firstLine="422" w:firstLineChars="150"/>
        <w:rPr>
          <w:rFonts w:hint="eastAsia" w:asciiTheme="majorEastAsia" w:hAnsiTheme="majorEastAsia" w:eastAsiaTheme="majorEastAsia"/>
          <w:sz w:val="28"/>
          <w:szCs w:val="28"/>
        </w:rPr>
      </w:pPr>
      <w:bookmarkStart w:id="2979" w:name="_Toc57049034"/>
      <w:bookmarkStart w:id="2980" w:name="_Toc23948"/>
      <w:bookmarkStart w:id="2981" w:name="_Toc34665985"/>
      <w:bookmarkStart w:id="2982" w:name="_Toc52809888"/>
      <w:bookmarkStart w:id="2983" w:name="_Toc57049970"/>
      <w:r>
        <w:rPr>
          <w:rFonts w:hint="eastAsia" w:asciiTheme="majorEastAsia" w:hAnsiTheme="majorEastAsia" w:eastAsiaTheme="majorEastAsia"/>
          <w:sz w:val="28"/>
          <w:szCs w:val="28"/>
        </w:rPr>
        <w:t>15．争议的解决</w:t>
      </w:r>
      <w:bookmarkEnd w:id="2979"/>
      <w:bookmarkEnd w:id="2980"/>
      <w:bookmarkEnd w:id="2981"/>
      <w:bookmarkEnd w:id="2982"/>
      <w:bookmarkEnd w:id="2983"/>
      <w:r>
        <w:rPr>
          <w:rFonts w:hint="eastAsia" w:asciiTheme="majorEastAsia" w:hAnsiTheme="majorEastAsia" w:eastAsiaTheme="majorEastAsia"/>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发包人和设计人在履行合同中发生争议的，可以友好协商解决。合同当事人友好协商解决不成的，可在专用合同条款中约定下列一种方式解决：</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（1）向约定的仲裁委员会申请仲裁；</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（2）向有管辖权的人民法院提起诉讼。</w:t>
      </w:r>
    </w:p>
    <w:p>
      <w:pPr>
        <w:spacing w:line="490" w:lineRule="exact"/>
        <w:jc w:val="center"/>
        <w:rPr>
          <w:rFonts w:eastAsia="黑体"/>
          <w:b/>
          <w:sz w:val="22"/>
        </w:rPr>
      </w:pPr>
      <w:r>
        <w:rPr>
          <w:rFonts w:eastAsia="黑体"/>
          <w:b/>
          <w:sz w:val="22"/>
        </w:rPr>
        <w:br w:type="page"/>
      </w:r>
    </w:p>
    <w:p>
      <w:pPr>
        <w:spacing w:line="490" w:lineRule="exact"/>
        <w:jc w:val="center"/>
        <w:outlineLvl w:val="1"/>
        <w:rPr>
          <w:rFonts w:eastAsia="黑体"/>
          <w:b/>
          <w:sz w:val="30"/>
          <w:szCs w:val="30"/>
        </w:rPr>
      </w:pPr>
      <w:bookmarkStart w:id="2984" w:name="_Toc512257490"/>
      <w:bookmarkStart w:id="2985" w:name="_Toc402"/>
      <w:bookmarkStart w:id="2986" w:name="_Toc52809889"/>
      <w:bookmarkStart w:id="2987" w:name="_Toc57048697"/>
      <w:bookmarkStart w:id="2988" w:name="_Toc57049971"/>
      <w:bookmarkStart w:id="2989" w:name="_Toc57049035"/>
      <w:bookmarkStart w:id="2990" w:name="_Toc23702"/>
      <w:r>
        <w:rPr>
          <w:rFonts w:eastAsia="黑体"/>
          <w:b/>
          <w:sz w:val="30"/>
          <w:szCs w:val="30"/>
        </w:rPr>
        <w:t>第三节 通用合同条款</w:t>
      </w:r>
      <w:bookmarkEnd w:id="2984"/>
      <w:bookmarkEnd w:id="2985"/>
      <w:r>
        <w:rPr>
          <w:rFonts w:eastAsia="黑体"/>
          <w:b/>
          <w:sz w:val="30"/>
          <w:szCs w:val="30"/>
        </w:rPr>
        <w:t>（适用于勘察设计项目）</w:t>
      </w:r>
      <w:bookmarkEnd w:id="2986"/>
      <w:bookmarkEnd w:id="2987"/>
      <w:bookmarkEnd w:id="2988"/>
      <w:bookmarkEnd w:id="2989"/>
      <w:bookmarkEnd w:id="2990"/>
    </w:p>
    <w:p>
      <w:pPr>
        <w:spacing w:line="490" w:lineRule="exact"/>
        <w:ind w:firstLine="560" w:firstLineChars="200"/>
        <w:rPr>
          <w:rFonts w:eastAsia="仿宋_GB2312"/>
          <w:sz w:val="28"/>
          <w:szCs w:val="28"/>
        </w:rPr>
      </w:pPr>
    </w:p>
    <w:p>
      <w:pPr>
        <w:spacing w:line="490" w:lineRule="exact"/>
        <w:ind w:firstLine="562" w:firstLineChars="200"/>
        <w:outlineLvl w:val="2"/>
        <w:rPr>
          <w:rFonts w:eastAsia="黑体"/>
          <w:b/>
          <w:sz w:val="28"/>
          <w:szCs w:val="28"/>
        </w:rPr>
      </w:pPr>
      <w:bookmarkStart w:id="2991" w:name="_Toc52809890"/>
      <w:bookmarkStart w:id="2992" w:name="_Toc57049972"/>
      <w:bookmarkStart w:id="2993" w:name="_Toc31173"/>
      <w:bookmarkStart w:id="2994" w:name="_Toc57049036"/>
      <w:bookmarkStart w:id="2995" w:name="_Toc14357"/>
      <w:bookmarkStart w:id="2996" w:name="_Toc502903421"/>
      <w:r>
        <w:rPr>
          <w:rFonts w:eastAsia="黑体"/>
          <w:b/>
          <w:sz w:val="28"/>
          <w:szCs w:val="28"/>
        </w:rPr>
        <w:t>1．一般约定</w:t>
      </w:r>
      <w:bookmarkEnd w:id="2991"/>
      <w:bookmarkEnd w:id="2992"/>
      <w:bookmarkEnd w:id="2993"/>
      <w:bookmarkEnd w:id="2994"/>
      <w:bookmarkEnd w:id="2995"/>
      <w:bookmarkEnd w:id="2996"/>
      <w:r>
        <w:rPr>
          <w:rFonts w:eastAsia="黑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2997" w:name="_Toc57049037"/>
      <w:bookmarkStart w:id="2998" w:name="_Toc502903422"/>
      <w:bookmarkStart w:id="2999" w:name="_Toc52809891"/>
      <w:bookmarkStart w:id="3000" w:name="_Toc27823"/>
      <w:r>
        <w:rPr>
          <w:rFonts w:eastAsia="楷体_GB2312"/>
          <w:b/>
          <w:sz w:val="28"/>
          <w:szCs w:val="28"/>
        </w:rPr>
        <w:t xml:space="preserve">1.1 </w:t>
      </w:r>
      <w:r>
        <w:rPr>
          <w:rFonts w:hint="eastAsia" w:ascii="宋体" w:hAnsi="宋体" w:eastAsia="宋体" w:cs="宋体"/>
          <w:b/>
          <w:sz w:val="28"/>
          <w:szCs w:val="28"/>
        </w:rPr>
        <w:t>词语定义</w:t>
      </w:r>
      <w:bookmarkEnd w:id="2997"/>
      <w:bookmarkEnd w:id="2998"/>
      <w:bookmarkEnd w:id="2999"/>
      <w:bookmarkEnd w:id="3000"/>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通用合同条款、专用合同条款中的下列词语应具有本款所赋予的含义。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 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1.1.1.1 合同文件（或称合同）：指合同协议书及各种合同附件、中标通知书、投标函和投标函附录、专用合同条款、通用合同条款、发包人要求、服务费用清单、技术服务方案，以及其他构成合同组成部分的文件。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1.1.1.2 合同协议书：指发包人和设计人共同签署的合同协议书。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1.1.1.3 中标通知书：指发包人通知设计人中标的函件。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1.1.1.4 投标函：指由设计人填写并签署的，名为“投标函”的函件。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1.1.1.5 投标函附录：指由设计人填写并签署的、附在投标函后，名为“投标函附录”的函件。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1.1.1.6 发包人要求：指合同文件中名为“发包人要求”的文件。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1.1.1.7 技术服务方案：指设计人在投标文件中的技术服务方案。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1.1.1.8 服务费用清单：指设计人投标文件中的服务费用清单。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1.1.1.9 其他合同文件：指经合同双方当事人确认构成合同文件的其他文件。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 合同当事人和人员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合同当事人：指发包人和（或）设计人。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1.1.2.2 发包人：指与设计人签订合同协议书的当事人，及其合法继承人。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1.1.2.3 设计人：指与发包人签订合同协议书的当事人，及其合法继承人。若设计人为联合体，则设计人包括联合体所有成员单位。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1.1.2.4 发包人代表：指由发包人任命，并在授权范围和期限内代表发包人行使权利和履行义务的全权负责人。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1.1.2.5 项目负责人：指由设计人任命，代表设计人行使权利和履行义务的全权负责人。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1.1.2.6 分包人：指从设计人处分包合同中某一部分工作，并与其签订分包合同的分包人。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 工程和勘察设计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1.1.3.1 工程：指专用合同条款中指明进行勘察设计招标的工程。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1.1.3.2 勘察设计服务：指设计人按照合同约定履行的服务，包括制订勘察设计工作大纲，进行测绘、勘探、取样和试验等，查明、分析和评估地质特征和工程条件，编制勘察报告；编制设计文件和设计概算、预算，提供技术交底、招标与施工配合，参加竣工验收或发包人委托的其他服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1.1.3.3 勘察设备：指为完成合同约定的各项工作所需的设备、器具和其他物品，不包括临时工程和材料。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1.1.3.4 勘探场地：指用于工程勘探的场所，以及在合同中指定作为勘探场地组成的其他场所。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1.1.3.5 勘察设计资料：指发包人按合同约定向设计人提供的、用于完成勘察设计服务范围与内容所需的资料。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1.1.3.6 勘察设计文件：指设计人按合同约定向发包人提交的工程勘察报告、服务大纲、勘察方案、外业指导书、进度计划，设计说明、图纸、图板、模型、计算书、软件和其他文件等，包括阶段性文件和最终文件，且应采用合同中双方约定的格式和载体。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 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1.1.4.1 开始勘察设计通知：指发包人按第6.1款通知设计人开始勘察设计的函件。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1.1.4.2 开始勘察设计日期：指发包人按第6.1款发出的开始勘察设计通知中写明的开始勘察设计日期。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1.1.4.3 勘察设计服务期限：指设计人在投标函中承诺的完成合同勘察设计服务所需的期限，包括按第6.2款、第6.4款和第6.6款约定所作的调整。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1.1.4.4完成勘察设计日期：指第1.1.4.3目约定勘察设计服务期限届满时的日期。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1.1.4.5 基准日：指投标截止时间前 28 天的日期。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1.1.4.6 天：除特别指明外，指日历天。合同中按天计算时间的，开始当天不计入，从次日开始计算。期限最后一天的截止时间为当天 24:00。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 合同价格和费用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1.1.5.1 签约合同价：指签订合同时合同协议书中写明的服务费用总金额。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1.1.5.2 合同价格：指设计人按合同约定完成了全部勘察设计工作后，发包人应付给设计人的金额，包括在履行合同过程中按合同约定进行的变更和调整。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1.1.5.3 费用：指为履行合同所发生的或将要发生的所有合理开支，包括管理费和应分摊的其他费用，但不包括利润。</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1.1.6 其他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1.1.6.1 书面形式：指合同文件、信件和数据电文（包括电报、电传、传真、电子数据交换和电子邮件）等可以有形地表现所载内容的形式。</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1.1.6.2 勘察设计质量事故：指在缺陷责任期结束前，由于勘察设计原因使工程不满足技术标准及设计要求，并造成结构损毁或一定直接经济损失的事故。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根据直接经济损失或工程结构损毁情况（自然灾害所致除外），勘察设计质量事故分为特别重大质量事故、重大质量事故、较大质量事故和一般质量事故四个等级，上述质量事故的界定按有关规定执行。</w:t>
      </w:r>
    </w:p>
    <w:p>
      <w:pPr>
        <w:spacing w:line="490" w:lineRule="exact"/>
        <w:ind w:firstLine="562" w:firstLineChars="200"/>
        <w:outlineLvl w:val="3"/>
        <w:rPr>
          <w:rFonts w:hint="eastAsia" w:ascii="宋体" w:hAnsi="宋体" w:eastAsia="宋体" w:cs="宋体"/>
          <w:b/>
          <w:sz w:val="28"/>
          <w:szCs w:val="28"/>
        </w:rPr>
      </w:pPr>
      <w:bookmarkStart w:id="3001" w:name="_Toc57049038"/>
      <w:bookmarkStart w:id="3002" w:name="_Toc6225"/>
      <w:bookmarkStart w:id="3003" w:name="_Toc52809892"/>
      <w:bookmarkStart w:id="3004" w:name="_Toc502903423"/>
      <w:r>
        <w:rPr>
          <w:rFonts w:hint="eastAsia" w:ascii="宋体" w:hAnsi="宋体" w:eastAsia="宋体" w:cs="宋体"/>
          <w:b/>
          <w:sz w:val="28"/>
          <w:szCs w:val="28"/>
        </w:rPr>
        <w:t>1.2 语言文字</w:t>
      </w:r>
      <w:bookmarkEnd w:id="3001"/>
      <w:bookmarkEnd w:id="3002"/>
      <w:bookmarkEnd w:id="3003"/>
      <w:bookmarkEnd w:id="300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合同使用的语言文字为中文。专用术语使用外文的，应附有中文注释。 </w:t>
      </w:r>
    </w:p>
    <w:p>
      <w:pPr>
        <w:spacing w:line="490" w:lineRule="exact"/>
        <w:ind w:firstLine="562" w:firstLineChars="200"/>
        <w:outlineLvl w:val="3"/>
        <w:rPr>
          <w:rFonts w:hint="eastAsia" w:ascii="宋体" w:hAnsi="宋体" w:eastAsia="宋体" w:cs="宋体"/>
          <w:b/>
          <w:sz w:val="28"/>
          <w:szCs w:val="28"/>
        </w:rPr>
      </w:pPr>
      <w:bookmarkStart w:id="3005" w:name="_Toc52809893"/>
      <w:bookmarkStart w:id="3006" w:name="_Toc502903424"/>
      <w:bookmarkStart w:id="3007" w:name="_Toc57049039"/>
      <w:bookmarkStart w:id="3008" w:name="_Toc10954"/>
      <w:r>
        <w:rPr>
          <w:rFonts w:hint="eastAsia" w:ascii="宋体" w:hAnsi="宋体" w:eastAsia="宋体" w:cs="宋体"/>
          <w:b/>
          <w:sz w:val="28"/>
          <w:szCs w:val="28"/>
        </w:rPr>
        <w:t>1.3 适用法律</w:t>
      </w:r>
      <w:bookmarkEnd w:id="3005"/>
      <w:bookmarkEnd w:id="3006"/>
      <w:bookmarkEnd w:id="3007"/>
      <w:bookmarkEnd w:id="300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适用于合同的法律包括中华人民共和国法律、行政法规、部门规章，以及工程所在地的地方法规、自治条例、单行条例和地方政府规章。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本合同适用的其他规范性文件，可在专用合同条款中约定。 </w:t>
      </w:r>
    </w:p>
    <w:p>
      <w:pPr>
        <w:spacing w:line="490" w:lineRule="exact"/>
        <w:ind w:firstLine="562" w:firstLineChars="200"/>
        <w:outlineLvl w:val="3"/>
        <w:rPr>
          <w:rFonts w:hint="eastAsia" w:ascii="宋体" w:hAnsi="宋体" w:eastAsia="宋体" w:cs="宋体"/>
          <w:b/>
          <w:sz w:val="28"/>
          <w:szCs w:val="28"/>
        </w:rPr>
      </w:pPr>
      <w:bookmarkStart w:id="3009" w:name="_Toc502903425"/>
      <w:bookmarkStart w:id="3010" w:name="_Toc57049040"/>
      <w:bookmarkStart w:id="3011" w:name="_Toc52809894"/>
      <w:bookmarkStart w:id="3012" w:name="_Toc7731"/>
      <w:r>
        <w:rPr>
          <w:rFonts w:hint="eastAsia" w:ascii="宋体" w:hAnsi="宋体" w:eastAsia="宋体" w:cs="宋体"/>
          <w:b/>
          <w:sz w:val="28"/>
          <w:szCs w:val="28"/>
        </w:rPr>
        <w:t>1.4 合同文件的优先顺序</w:t>
      </w:r>
      <w:bookmarkEnd w:id="3009"/>
      <w:bookmarkEnd w:id="3010"/>
      <w:bookmarkEnd w:id="3011"/>
      <w:bookmarkEnd w:id="301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组成合同的各项文件应互相解释，互为说明。除专用合同条款另有约定外，解释合同文件的优先顺序如下：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（1）合同协议书及各种合同附件（含评标期间和合同谈判过程中的澄清文件和补充资料；设计人提交的经发包人审核通过的勘察设计详细工作大纲及进度计划、专题研究详细工作大纲等）；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（2）中标通知书；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（3）投标函及投标函附录；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（4）专用合同条款；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（5）通用合同条款；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（6）发包人要求；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（7）服务费用清单；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（8）技术服务方案；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（9）其他合同文件。</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合同当事人针对各类合同文件所作出的补充和修改亦属于合同文件的组成部分， 属于同一类内容的文件，应以最新签署的为准。</w:t>
      </w:r>
    </w:p>
    <w:p>
      <w:pPr>
        <w:spacing w:line="490" w:lineRule="exact"/>
        <w:ind w:firstLine="562" w:firstLineChars="200"/>
        <w:outlineLvl w:val="3"/>
        <w:rPr>
          <w:rFonts w:hint="eastAsia" w:ascii="宋体" w:hAnsi="宋体" w:eastAsia="宋体" w:cs="宋体"/>
          <w:b/>
          <w:sz w:val="28"/>
          <w:szCs w:val="28"/>
        </w:rPr>
      </w:pPr>
      <w:bookmarkStart w:id="3013" w:name="_Toc17063"/>
      <w:bookmarkStart w:id="3014" w:name="_Toc57049041"/>
      <w:bookmarkStart w:id="3015" w:name="_Toc52809895"/>
      <w:bookmarkStart w:id="3016" w:name="_Toc502903426"/>
      <w:r>
        <w:rPr>
          <w:rFonts w:hint="eastAsia" w:ascii="宋体" w:hAnsi="宋体" w:eastAsia="宋体" w:cs="宋体"/>
          <w:b/>
          <w:sz w:val="28"/>
          <w:szCs w:val="28"/>
        </w:rPr>
        <w:t>1.5 合同协议书</w:t>
      </w:r>
      <w:bookmarkEnd w:id="3013"/>
      <w:bookmarkEnd w:id="3014"/>
      <w:bookmarkEnd w:id="3015"/>
      <w:bookmarkEnd w:id="301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设计人按中标通知书规定的时间与发包人签订合同协议书。除法律另有规定或合同另有约定外，发包人和设计人的法定代表人或其委托代理人在合同协议书上签字并盖单位章后，合同生效。 </w:t>
      </w:r>
    </w:p>
    <w:p>
      <w:pPr>
        <w:spacing w:line="490" w:lineRule="exact"/>
        <w:ind w:firstLine="562" w:firstLineChars="200"/>
        <w:outlineLvl w:val="3"/>
        <w:rPr>
          <w:rFonts w:hint="eastAsia" w:ascii="宋体" w:hAnsi="宋体" w:eastAsia="宋体" w:cs="宋体"/>
          <w:b/>
          <w:sz w:val="28"/>
          <w:szCs w:val="28"/>
        </w:rPr>
      </w:pPr>
      <w:bookmarkStart w:id="3017" w:name="_Toc57049042"/>
      <w:bookmarkStart w:id="3018" w:name="_Toc502903427"/>
      <w:bookmarkStart w:id="3019" w:name="_Toc7090"/>
      <w:bookmarkStart w:id="3020" w:name="_Toc52809896"/>
      <w:r>
        <w:rPr>
          <w:rFonts w:hint="eastAsia" w:ascii="宋体" w:hAnsi="宋体" w:eastAsia="宋体" w:cs="宋体"/>
          <w:b/>
          <w:sz w:val="28"/>
          <w:szCs w:val="28"/>
        </w:rPr>
        <w:t>1.6 文件的提供和照管</w:t>
      </w:r>
      <w:bookmarkEnd w:id="3017"/>
      <w:bookmarkEnd w:id="3018"/>
      <w:bookmarkEnd w:id="3019"/>
      <w:bookmarkEnd w:id="302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1.6.1 勘察设计文件的提供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除专用合同条款另有约定外，设计人应在合理的期限内按照合同约定的数量向发包人提供勘察设计文件。合同约定勘察设计文件应经发包人批复的，发包人应当在合同约定的期限内批复或提出修改意见。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1.6.2 发包人提供的文件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按专用合同条款约定由发包人提供的文件，包括基础资料、勘察设计任务书等，发包人应按约定的数量和期限交给设计人。由于发包人未按时提供文件造成勘察设计服务期限延误的，按第 6.2 款约定执行。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1.6.3 文件错误的通知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任何一方当事人发现文件中存在的明显错误或疏忽，均应及时通知对方当事人，并应立即采取适当的措施防止损失扩大。 </w:t>
      </w:r>
    </w:p>
    <w:p>
      <w:pPr>
        <w:spacing w:line="490" w:lineRule="exact"/>
        <w:ind w:firstLine="562" w:firstLineChars="200"/>
        <w:outlineLvl w:val="3"/>
        <w:rPr>
          <w:rFonts w:hint="eastAsia" w:ascii="宋体" w:hAnsi="宋体" w:eastAsia="宋体" w:cs="宋体"/>
          <w:b/>
          <w:sz w:val="28"/>
          <w:szCs w:val="28"/>
        </w:rPr>
      </w:pPr>
      <w:bookmarkStart w:id="3021" w:name="_Toc13837"/>
      <w:bookmarkStart w:id="3022" w:name="_Toc57049043"/>
      <w:bookmarkStart w:id="3023" w:name="_Toc502903428"/>
      <w:bookmarkStart w:id="3024" w:name="_Toc52809897"/>
      <w:r>
        <w:rPr>
          <w:rFonts w:hint="eastAsia" w:ascii="宋体" w:hAnsi="宋体" w:eastAsia="宋体" w:cs="宋体"/>
          <w:b/>
          <w:sz w:val="28"/>
          <w:szCs w:val="28"/>
        </w:rPr>
        <w:t>1.7 联络</w:t>
      </w:r>
      <w:bookmarkEnd w:id="3021"/>
      <w:bookmarkEnd w:id="3022"/>
      <w:bookmarkEnd w:id="3023"/>
      <w:bookmarkEnd w:id="302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1.7.1 与合同有关的通知、批准、证明、证书、指示、要求、请求、同意、意见、确定和决定等，均应采用书面形式。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1.7.2 上述通知、批准、证明、证书、指示、要求、请求、同意、意见、确定和决定等来往函件，均应在合同约定的期限内送达指定的地点和指定的接收人，并办理签收手续。 </w:t>
      </w:r>
    </w:p>
    <w:p>
      <w:pPr>
        <w:spacing w:line="490" w:lineRule="exact"/>
        <w:ind w:firstLine="562" w:firstLineChars="200"/>
        <w:outlineLvl w:val="3"/>
        <w:rPr>
          <w:rFonts w:hint="eastAsia" w:ascii="宋体" w:hAnsi="宋体" w:eastAsia="宋体" w:cs="宋体"/>
          <w:b/>
          <w:sz w:val="28"/>
          <w:szCs w:val="28"/>
        </w:rPr>
      </w:pPr>
      <w:bookmarkStart w:id="3025" w:name="_Toc19575"/>
      <w:bookmarkStart w:id="3026" w:name="_Toc502903429"/>
      <w:bookmarkStart w:id="3027" w:name="_Toc57049044"/>
      <w:bookmarkStart w:id="3028" w:name="_Toc52809898"/>
      <w:r>
        <w:rPr>
          <w:rFonts w:hint="eastAsia" w:ascii="宋体" w:hAnsi="宋体" w:eastAsia="宋体" w:cs="宋体"/>
          <w:b/>
          <w:sz w:val="28"/>
          <w:szCs w:val="28"/>
        </w:rPr>
        <w:t>1.8 转让</w:t>
      </w:r>
      <w:bookmarkEnd w:id="3025"/>
      <w:bookmarkEnd w:id="3026"/>
      <w:bookmarkEnd w:id="3027"/>
      <w:bookmarkEnd w:id="302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除专用合同条款另有约定外，未经对方当事人同意，一方当事人不得将合同权利全部或部分转让给第三人，也不得全部或部分转移合同义务。 </w:t>
      </w:r>
    </w:p>
    <w:p>
      <w:pPr>
        <w:spacing w:line="490" w:lineRule="exact"/>
        <w:ind w:firstLine="562" w:firstLineChars="200"/>
        <w:outlineLvl w:val="3"/>
        <w:rPr>
          <w:rFonts w:hint="eastAsia" w:ascii="宋体" w:hAnsi="宋体" w:eastAsia="宋体" w:cs="宋体"/>
          <w:b/>
          <w:sz w:val="28"/>
          <w:szCs w:val="28"/>
        </w:rPr>
      </w:pPr>
      <w:bookmarkStart w:id="3029" w:name="_Toc502903430"/>
      <w:bookmarkStart w:id="3030" w:name="_Toc57049045"/>
      <w:bookmarkStart w:id="3031" w:name="_Toc5883"/>
      <w:bookmarkStart w:id="3032" w:name="_Toc52809899"/>
      <w:r>
        <w:rPr>
          <w:rFonts w:hint="eastAsia" w:ascii="宋体" w:hAnsi="宋体" w:eastAsia="宋体" w:cs="宋体"/>
          <w:b/>
          <w:sz w:val="28"/>
          <w:szCs w:val="28"/>
        </w:rPr>
        <w:t>1.9 严禁贿赂</w:t>
      </w:r>
      <w:bookmarkEnd w:id="3029"/>
      <w:bookmarkEnd w:id="3030"/>
      <w:bookmarkEnd w:id="3031"/>
      <w:bookmarkEnd w:id="303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合同双方当事人不得以贿赂或变相贿赂的方式，谋取不当利益或损害对方权益。因贿赂造成对方当事人损失的，行为人应当赔偿损失，并承担相应的法律责任。 </w:t>
      </w:r>
    </w:p>
    <w:p>
      <w:pPr>
        <w:spacing w:line="490" w:lineRule="exact"/>
        <w:ind w:firstLine="562" w:firstLineChars="200"/>
        <w:outlineLvl w:val="3"/>
        <w:rPr>
          <w:rFonts w:hint="eastAsia" w:ascii="宋体" w:hAnsi="宋体" w:eastAsia="宋体" w:cs="宋体"/>
          <w:b/>
          <w:sz w:val="28"/>
          <w:szCs w:val="28"/>
        </w:rPr>
      </w:pPr>
      <w:bookmarkStart w:id="3033" w:name="_Toc57049046"/>
      <w:bookmarkStart w:id="3034" w:name="_Toc502903431"/>
      <w:bookmarkStart w:id="3035" w:name="_Toc52809900"/>
      <w:bookmarkStart w:id="3036" w:name="_Toc5014"/>
      <w:r>
        <w:rPr>
          <w:rFonts w:hint="eastAsia" w:ascii="宋体" w:hAnsi="宋体" w:eastAsia="宋体" w:cs="宋体"/>
          <w:b/>
          <w:sz w:val="28"/>
          <w:szCs w:val="28"/>
        </w:rPr>
        <w:t>1.10 知识产权</w:t>
      </w:r>
      <w:bookmarkEnd w:id="3033"/>
      <w:bookmarkEnd w:id="3034"/>
      <w:bookmarkEnd w:id="3035"/>
      <w:bookmarkEnd w:id="303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1.10.1 除专用合同条款另有约定外，设计人完成的勘察设计工作成果，除署名权以外的著作权和其他知识产权均归发包人享有。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1.10.2 设计人在从事勘察设计活动时，不得侵犯他人的知识产权。因侵犯专利权或其他知识产权所引起的责任，由设计人自行承担。因发包人提供的勘察设计资料导致侵权的，由发包人承担责任。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1.10.3 设计人在投标文件中采用专利技术、专有技术的，相应的使用费视为已包含在投标报价之中。 </w:t>
      </w:r>
    </w:p>
    <w:p>
      <w:pPr>
        <w:spacing w:line="490" w:lineRule="exact"/>
        <w:ind w:firstLine="562" w:firstLineChars="200"/>
        <w:outlineLvl w:val="3"/>
        <w:rPr>
          <w:rFonts w:hint="eastAsia" w:ascii="宋体" w:hAnsi="宋体" w:eastAsia="宋体" w:cs="宋体"/>
          <w:b/>
          <w:sz w:val="28"/>
          <w:szCs w:val="28"/>
        </w:rPr>
      </w:pPr>
      <w:bookmarkStart w:id="3037" w:name="_Toc502903432"/>
      <w:bookmarkStart w:id="3038" w:name="_Toc14591"/>
      <w:bookmarkStart w:id="3039" w:name="_Toc52809901"/>
      <w:bookmarkStart w:id="3040" w:name="_Toc57049047"/>
      <w:r>
        <w:rPr>
          <w:rFonts w:hint="eastAsia" w:ascii="宋体" w:hAnsi="宋体" w:eastAsia="宋体" w:cs="宋体"/>
          <w:b/>
          <w:sz w:val="28"/>
          <w:szCs w:val="28"/>
        </w:rPr>
        <w:t>1.11 文件及信息的保密</w:t>
      </w:r>
      <w:bookmarkEnd w:id="3037"/>
      <w:bookmarkEnd w:id="3038"/>
      <w:bookmarkEnd w:id="3039"/>
      <w:bookmarkEnd w:id="304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未经对方同意，任何一方当事人不得将有关文件、技术秘密、需要保密的资料和信息泄露给他人或公开发表与引用。 </w:t>
      </w:r>
    </w:p>
    <w:p>
      <w:pPr>
        <w:spacing w:line="490" w:lineRule="exact"/>
        <w:ind w:firstLine="562" w:firstLineChars="200"/>
        <w:outlineLvl w:val="3"/>
        <w:rPr>
          <w:rFonts w:hint="eastAsia" w:ascii="宋体" w:hAnsi="宋体" w:eastAsia="宋体" w:cs="宋体"/>
          <w:b/>
          <w:sz w:val="28"/>
          <w:szCs w:val="28"/>
        </w:rPr>
      </w:pPr>
      <w:bookmarkStart w:id="3041" w:name="_Toc52809902"/>
      <w:bookmarkStart w:id="3042" w:name="_Toc57049048"/>
      <w:bookmarkStart w:id="3043" w:name="_Toc502903433"/>
      <w:bookmarkStart w:id="3044" w:name="_Toc10252"/>
      <w:r>
        <w:rPr>
          <w:rFonts w:hint="eastAsia" w:ascii="宋体" w:hAnsi="宋体" w:eastAsia="宋体" w:cs="宋体"/>
          <w:b/>
          <w:sz w:val="28"/>
          <w:szCs w:val="28"/>
        </w:rPr>
        <w:t>1.12 发包人要求</w:t>
      </w:r>
      <w:bookmarkEnd w:id="3041"/>
      <w:bookmarkEnd w:id="3042"/>
      <w:bookmarkEnd w:id="3043"/>
      <w:bookmarkEnd w:id="304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设计人应认真阅读、复核发包人要求，发现错误的，应及时书面通知发包人。无论是否存在错误，发包人均有权修改发包人要求，并在修改后3天内通知设计人。除专用合同条款另有约定外，由此导致设计人费用增加和(或)周期延误的，发包人应当相应地增加费用和(或) 延长周期。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1.12.2 如果发包人要求违反法律规定，设计人应在发现后及时书面通知发包人，要求其改正。发包人收到通知书后不予改正或不予答复的，设计人有权拒绝履行合同义务，直至解除合同；由此引起的设计人的全部损失由发包人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1.12.3 发包人要求采用国外规范和标准进行勘察设计时，应由发包人负责提供该规范和标准的外国文本和中文译本，提供的时间、份数和其他要求在专用合同条款中约定。 </w:t>
      </w:r>
    </w:p>
    <w:p>
      <w:pPr>
        <w:spacing w:line="490" w:lineRule="exact"/>
        <w:ind w:firstLine="562" w:firstLineChars="200"/>
        <w:outlineLvl w:val="2"/>
        <w:rPr>
          <w:rFonts w:hint="eastAsia" w:ascii="宋体" w:hAnsi="宋体" w:eastAsia="宋体" w:cs="宋体"/>
          <w:b/>
          <w:sz w:val="28"/>
          <w:szCs w:val="28"/>
        </w:rPr>
      </w:pPr>
      <w:bookmarkStart w:id="3045" w:name="_Toc57049973"/>
      <w:bookmarkStart w:id="3046" w:name="_Toc502903434"/>
      <w:bookmarkStart w:id="3047" w:name="_Toc27191"/>
      <w:bookmarkStart w:id="3048" w:name="_Toc57049049"/>
      <w:bookmarkStart w:id="3049" w:name="_Toc15557"/>
      <w:bookmarkStart w:id="3050" w:name="_Toc52809903"/>
      <w:r>
        <w:rPr>
          <w:rFonts w:hint="eastAsia" w:ascii="宋体" w:hAnsi="宋体" w:eastAsia="宋体" w:cs="宋体"/>
          <w:b/>
          <w:sz w:val="28"/>
          <w:szCs w:val="28"/>
        </w:rPr>
        <w:t>2. 发包人义务</w:t>
      </w:r>
      <w:bookmarkEnd w:id="3045"/>
      <w:bookmarkEnd w:id="3046"/>
      <w:bookmarkEnd w:id="3047"/>
      <w:bookmarkEnd w:id="3048"/>
      <w:bookmarkEnd w:id="3049"/>
      <w:bookmarkEnd w:id="3050"/>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051" w:name="_Toc52809904"/>
      <w:bookmarkStart w:id="3052" w:name="_Toc11822"/>
      <w:bookmarkStart w:id="3053" w:name="_Toc57049050"/>
      <w:bookmarkStart w:id="3054" w:name="_Toc502903435"/>
      <w:r>
        <w:rPr>
          <w:rFonts w:hint="eastAsia" w:ascii="宋体" w:hAnsi="宋体" w:eastAsia="宋体" w:cs="宋体"/>
          <w:b/>
          <w:sz w:val="28"/>
          <w:szCs w:val="28"/>
        </w:rPr>
        <w:t>2.1 遵守法律</w:t>
      </w:r>
      <w:bookmarkEnd w:id="3051"/>
      <w:bookmarkEnd w:id="3052"/>
      <w:bookmarkEnd w:id="3053"/>
      <w:bookmarkEnd w:id="305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发包人在履行合同过程中应遵守法律，并保证设计人免于承担因发包人违反法律而引起的任何责任。 </w:t>
      </w:r>
    </w:p>
    <w:p>
      <w:pPr>
        <w:spacing w:line="490" w:lineRule="exact"/>
        <w:ind w:firstLine="562" w:firstLineChars="200"/>
        <w:outlineLvl w:val="3"/>
        <w:rPr>
          <w:rFonts w:hint="eastAsia" w:ascii="宋体" w:hAnsi="宋体" w:eastAsia="宋体" w:cs="宋体"/>
          <w:b/>
          <w:sz w:val="28"/>
          <w:szCs w:val="28"/>
        </w:rPr>
      </w:pPr>
      <w:bookmarkStart w:id="3055" w:name="_Toc22936"/>
      <w:bookmarkStart w:id="3056" w:name="_Toc57049051"/>
      <w:bookmarkStart w:id="3057" w:name="_Toc52809905"/>
      <w:bookmarkStart w:id="3058" w:name="_Toc502903436"/>
      <w:r>
        <w:rPr>
          <w:rFonts w:hint="eastAsia" w:ascii="宋体" w:hAnsi="宋体" w:eastAsia="宋体" w:cs="宋体"/>
          <w:b/>
          <w:sz w:val="28"/>
          <w:szCs w:val="28"/>
        </w:rPr>
        <w:t>2.2 发出开始勘察设计通知</w:t>
      </w:r>
      <w:bookmarkEnd w:id="3055"/>
      <w:bookmarkEnd w:id="3056"/>
      <w:bookmarkEnd w:id="3057"/>
      <w:bookmarkEnd w:id="305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发包人应按第 6.1 款的约定向设计人发出开始勘察设计通知。 </w:t>
      </w:r>
    </w:p>
    <w:p>
      <w:pPr>
        <w:spacing w:line="490" w:lineRule="exact"/>
        <w:ind w:firstLine="562" w:firstLineChars="200"/>
        <w:outlineLvl w:val="3"/>
        <w:rPr>
          <w:rFonts w:hint="eastAsia" w:ascii="宋体" w:hAnsi="宋体" w:eastAsia="宋体" w:cs="宋体"/>
          <w:b/>
          <w:sz w:val="28"/>
          <w:szCs w:val="28"/>
        </w:rPr>
      </w:pPr>
      <w:bookmarkStart w:id="3059" w:name="_Toc27998"/>
      <w:bookmarkStart w:id="3060" w:name="_Toc502903437"/>
      <w:bookmarkStart w:id="3061" w:name="_Toc57049052"/>
      <w:bookmarkStart w:id="3062" w:name="_Toc52809906"/>
      <w:r>
        <w:rPr>
          <w:rFonts w:hint="eastAsia" w:ascii="宋体" w:hAnsi="宋体" w:eastAsia="宋体" w:cs="宋体"/>
          <w:b/>
          <w:sz w:val="28"/>
          <w:szCs w:val="28"/>
        </w:rPr>
        <w:t>2.3 办理证件和批件</w:t>
      </w:r>
      <w:bookmarkEnd w:id="3059"/>
      <w:bookmarkEnd w:id="3060"/>
      <w:bookmarkEnd w:id="3061"/>
      <w:bookmarkEnd w:id="306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法律规定和（或）合同约定由发包人负责办理的工程建设项目必须履行的各类审批、核准或备案手续，发包人应当按时办理，设计人应给予必要的协助。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法律规定和（或）合同约定由设计人负责办理的勘察设计所需的证件和批件，发包人应给予必要的协助。 </w:t>
      </w:r>
    </w:p>
    <w:p>
      <w:pPr>
        <w:spacing w:line="490" w:lineRule="exact"/>
        <w:ind w:firstLine="562" w:firstLineChars="200"/>
        <w:outlineLvl w:val="3"/>
        <w:rPr>
          <w:rFonts w:hint="eastAsia" w:ascii="宋体" w:hAnsi="宋体" w:eastAsia="宋体" w:cs="宋体"/>
          <w:b/>
          <w:sz w:val="28"/>
          <w:szCs w:val="28"/>
        </w:rPr>
      </w:pPr>
      <w:bookmarkStart w:id="3063" w:name="_Toc52809907"/>
      <w:bookmarkStart w:id="3064" w:name="_Toc57049053"/>
      <w:bookmarkStart w:id="3065" w:name="_Toc15403"/>
      <w:bookmarkStart w:id="3066" w:name="_Toc502903438"/>
      <w:r>
        <w:rPr>
          <w:rFonts w:hint="eastAsia" w:ascii="宋体" w:hAnsi="宋体" w:eastAsia="宋体" w:cs="宋体"/>
          <w:b/>
          <w:sz w:val="28"/>
          <w:szCs w:val="28"/>
        </w:rPr>
        <w:t>2.4 支付合同价款</w:t>
      </w:r>
      <w:bookmarkEnd w:id="3063"/>
      <w:bookmarkEnd w:id="3064"/>
      <w:bookmarkEnd w:id="3065"/>
      <w:bookmarkEnd w:id="306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发包人应按合同约定向设计人及时支付合同价款。 </w:t>
      </w:r>
    </w:p>
    <w:p>
      <w:pPr>
        <w:spacing w:line="490" w:lineRule="exact"/>
        <w:ind w:firstLine="562" w:firstLineChars="200"/>
        <w:outlineLvl w:val="3"/>
        <w:rPr>
          <w:rFonts w:hint="eastAsia" w:ascii="宋体" w:hAnsi="宋体" w:eastAsia="宋体" w:cs="宋体"/>
          <w:b/>
          <w:sz w:val="28"/>
          <w:szCs w:val="28"/>
        </w:rPr>
      </w:pPr>
      <w:bookmarkStart w:id="3067" w:name="_Toc3284"/>
      <w:bookmarkStart w:id="3068" w:name="_Toc57049054"/>
      <w:bookmarkStart w:id="3069" w:name="_Toc502903439"/>
      <w:bookmarkStart w:id="3070" w:name="_Toc52809908"/>
      <w:r>
        <w:rPr>
          <w:rFonts w:hint="eastAsia" w:ascii="宋体" w:hAnsi="宋体" w:eastAsia="宋体" w:cs="宋体"/>
          <w:b/>
          <w:sz w:val="28"/>
          <w:szCs w:val="28"/>
        </w:rPr>
        <w:t>2.5 提供勘察设计资料</w:t>
      </w:r>
      <w:bookmarkEnd w:id="3067"/>
      <w:bookmarkEnd w:id="3068"/>
      <w:bookmarkEnd w:id="3069"/>
      <w:bookmarkEnd w:id="307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发包人应按第 1.6.2 项的约定向设计人提供勘察设计资料。 </w:t>
      </w:r>
    </w:p>
    <w:p>
      <w:pPr>
        <w:spacing w:line="490" w:lineRule="exact"/>
        <w:ind w:firstLine="562" w:firstLineChars="200"/>
        <w:outlineLvl w:val="3"/>
        <w:rPr>
          <w:rFonts w:hint="eastAsia" w:ascii="宋体" w:hAnsi="宋体" w:eastAsia="宋体" w:cs="宋体"/>
          <w:b/>
          <w:sz w:val="28"/>
          <w:szCs w:val="28"/>
        </w:rPr>
      </w:pPr>
      <w:bookmarkStart w:id="3071" w:name="_Toc52809909"/>
      <w:bookmarkStart w:id="3072" w:name="_Toc502903440"/>
      <w:bookmarkStart w:id="3073" w:name="_Toc4441"/>
      <w:bookmarkStart w:id="3074" w:name="_Toc57049055"/>
      <w:r>
        <w:rPr>
          <w:rFonts w:hint="eastAsia" w:ascii="宋体" w:hAnsi="宋体" w:eastAsia="宋体" w:cs="宋体"/>
          <w:b/>
          <w:sz w:val="28"/>
          <w:szCs w:val="28"/>
        </w:rPr>
        <w:t>2.6 其他义务</w:t>
      </w:r>
      <w:bookmarkEnd w:id="3071"/>
      <w:bookmarkEnd w:id="3072"/>
      <w:bookmarkEnd w:id="3073"/>
      <w:bookmarkEnd w:id="307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发包人应履行合同约定的其他义务。 </w:t>
      </w:r>
    </w:p>
    <w:p>
      <w:pPr>
        <w:spacing w:line="490" w:lineRule="exact"/>
        <w:ind w:firstLine="562" w:firstLineChars="200"/>
        <w:outlineLvl w:val="2"/>
        <w:rPr>
          <w:rFonts w:hint="eastAsia" w:ascii="宋体" w:hAnsi="宋体" w:eastAsia="宋体" w:cs="宋体"/>
          <w:b/>
          <w:sz w:val="28"/>
          <w:szCs w:val="28"/>
        </w:rPr>
      </w:pPr>
      <w:bookmarkStart w:id="3075" w:name="_Toc502903441"/>
      <w:bookmarkStart w:id="3076" w:name="_Toc52809910"/>
      <w:bookmarkStart w:id="3077" w:name="_Toc10189"/>
      <w:bookmarkStart w:id="3078" w:name="_Toc57049056"/>
      <w:bookmarkStart w:id="3079" w:name="_Toc57049974"/>
      <w:bookmarkStart w:id="3080" w:name="_Toc22327"/>
      <w:r>
        <w:rPr>
          <w:rFonts w:hint="eastAsia" w:ascii="宋体" w:hAnsi="宋体" w:eastAsia="宋体" w:cs="宋体"/>
          <w:b/>
          <w:sz w:val="28"/>
          <w:szCs w:val="28"/>
        </w:rPr>
        <w:t>3．发包人管理</w:t>
      </w:r>
      <w:bookmarkEnd w:id="3075"/>
      <w:bookmarkEnd w:id="3076"/>
      <w:bookmarkEnd w:id="3077"/>
      <w:bookmarkEnd w:id="3078"/>
      <w:bookmarkEnd w:id="3079"/>
      <w:bookmarkEnd w:id="3080"/>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081" w:name="_Toc502903442"/>
      <w:bookmarkStart w:id="3082" w:name="_Toc9862"/>
      <w:bookmarkStart w:id="3083" w:name="_Toc57049057"/>
      <w:bookmarkStart w:id="3084" w:name="_Toc52809911"/>
      <w:r>
        <w:rPr>
          <w:rFonts w:hint="eastAsia" w:ascii="宋体" w:hAnsi="宋体" w:eastAsia="宋体" w:cs="宋体"/>
          <w:b/>
          <w:sz w:val="28"/>
          <w:szCs w:val="28"/>
        </w:rPr>
        <w:t>3.1 发包人代表</w:t>
      </w:r>
      <w:bookmarkEnd w:id="3081"/>
      <w:bookmarkEnd w:id="3082"/>
      <w:bookmarkEnd w:id="3083"/>
      <w:bookmarkEnd w:id="308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3.1.1 除专用合同条款另有约定外，发包人应在合同签订后 14 天内，将发包人代表的姓名、职务、联系方式、授权范围和授权期限书面通知设计人，由发包人代表在其授权范围和授权期限内，代表发包人行使权利、履行义务和处理合同履行中的具体事宜。发包人代表在授权范围内的行为由发包人承担法律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3.1.2 发包人代表违反法律法规、违背职业道德守则或者不按合同约定履行职责及义务，导致合同无法继续正常履行的，设计人有权通知发包人更换发包人代表。发包人收到通知后 7 天内，应当核实完毕并将处理结果通知设计人。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3.1.3 发包人更换发包人代表的，应提前 14 天将更换人员的姓名、职务、联系方式、授权范围和授权期限书面通知设计人。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3.1.4 发包人代表可以授权发包人的其他人员负责执行其指派的一项或多项工作。发包人代表应将被授权人员的姓名及其授权范围通知设计人。被授权人员在授权范围内发出的指示视为已得到发包人代表的同意，与发包人代表发出的指示具有同等效力。 </w:t>
      </w:r>
    </w:p>
    <w:p>
      <w:pPr>
        <w:spacing w:line="490" w:lineRule="exact"/>
        <w:ind w:firstLine="562" w:firstLineChars="200"/>
        <w:outlineLvl w:val="3"/>
        <w:rPr>
          <w:rFonts w:hint="eastAsia" w:ascii="宋体" w:hAnsi="宋体" w:eastAsia="宋体" w:cs="宋体"/>
          <w:b/>
          <w:sz w:val="28"/>
          <w:szCs w:val="28"/>
        </w:rPr>
      </w:pPr>
      <w:bookmarkStart w:id="3085" w:name="_Toc17487"/>
      <w:bookmarkStart w:id="3086" w:name="_Toc502903443"/>
      <w:bookmarkStart w:id="3087" w:name="_Toc52809912"/>
      <w:bookmarkStart w:id="3088" w:name="_Toc57049058"/>
      <w:r>
        <w:rPr>
          <w:rFonts w:hint="eastAsia" w:ascii="宋体" w:hAnsi="宋体" w:eastAsia="宋体" w:cs="宋体"/>
          <w:b/>
          <w:sz w:val="28"/>
          <w:szCs w:val="28"/>
        </w:rPr>
        <w:t>3.2 监理人</w:t>
      </w:r>
      <w:bookmarkEnd w:id="3085"/>
      <w:bookmarkEnd w:id="3086"/>
      <w:bookmarkEnd w:id="3087"/>
      <w:bookmarkEnd w:id="308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3.2.1 发包人可以根据工程建设需要确定是否委托监理人进行勘察设计监理。如果委托监理，则监理人享有合同约定的权力，其所发出的任何指示应视为已得到发包人的批准。监理人的监理范围、职责权限和总监理工程师信息，应在专用合同条款中指明。未经发包人批准，监理人无权修改合同。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3.2.2 合同约定应由设计人承担的义务和责任，不因监理人对设计文件的审查或批准，以及为实施监理作出的指示等职务行为而减轻或解除。</w:t>
      </w:r>
      <w:r>
        <w:rPr>
          <w:rFonts w:hint="eastAsia" w:ascii="宋体" w:hAnsi="宋体" w:eastAsia="宋体" w:cs="宋体"/>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089" w:name="_Toc502903444"/>
      <w:bookmarkStart w:id="3090" w:name="_Toc52809913"/>
      <w:bookmarkStart w:id="3091" w:name="_Toc15491"/>
      <w:bookmarkStart w:id="3092" w:name="_Toc57049059"/>
      <w:r>
        <w:rPr>
          <w:rFonts w:hint="eastAsia" w:ascii="宋体" w:hAnsi="宋体" w:eastAsia="宋体" w:cs="宋体"/>
          <w:b/>
          <w:sz w:val="28"/>
          <w:szCs w:val="28"/>
        </w:rPr>
        <w:t>3.3 发包人的指示</w:t>
      </w:r>
      <w:bookmarkEnd w:id="3089"/>
      <w:bookmarkEnd w:id="3090"/>
      <w:bookmarkEnd w:id="3091"/>
      <w:bookmarkEnd w:id="309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3.3.1 发包人应按合同约定向设计人发出指示，发包人的指示应盖有发包人单位章，并由发包人代表签字确认。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3.3.2 设计人收到发包人作出的指示后应遵照执行。指示构成变更的，应按第 11 条执行。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3.3.3 在紧急情况下，发包人代表或其授权人员可以当场签发临时书面指示，设计人应遵照执行。发包人代表应在临时书面指示发出后 24 小时内发出书面确认函，逾期未发出书面确认函的，该临时书面指示应被视为发包人的正式指示。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3.3.4 除专用合同条款另有约定外，设计人只从发包人代表或按第 3.1.4 项约定的被授权人员处取得指示。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3.3.5 由于发包人未能按合同约定发出指示、指示延误或指示错误而导致设计人费用增加和（或）周期延误的，发包人应承担由此增加的费用和（或）周期延误。 </w:t>
      </w:r>
    </w:p>
    <w:p>
      <w:pPr>
        <w:spacing w:line="490" w:lineRule="exact"/>
        <w:ind w:firstLine="562" w:firstLineChars="200"/>
        <w:outlineLvl w:val="3"/>
        <w:rPr>
          <w:rFonts w:hint="eastAsia" w:ascii="宋体" w:hAnsi="宋体" w:eastAsia="宋体" w:cs="宋体"/>
          <w:b/>
          <w:sz w:val="28"/>
          <w:szCs w:val="28"/>
        </w:rPr>
      </w:pPr>
      <w:bookmarkStart w:id="3093" w:name="_Toc57049060"/>
      <w:bookmarkStart w:id="3094" w:name="_Toc502903445"/>
      <w:bookmarkStart w:id="3095" w:name="_Toc52809914"/>
      <w:bookmarkStart w:id="3096" w:name="_Toc16680"/>
      <w:r>
        <w:rPr>
          <w:rFonts w:hint="eastAsia" w:ascii="宋体" w:hAnsi="宋体" w:eastAsia="宋体" w:cs="宋体"/>
          <w:b/>
          <w:sz w:val="28"/>
          <w:szCs w:val="28"/>
        </w:rPr>
        <w:t>3.4 决定或答复</w:t>
      </w:r>
      <w:bookmarkEnd w:id="3093"/>
      <w:bookmarkEnd w:id="3094"/>
      <w:bookmarkEnd w:id="3095"/>
      <w:bookmarkEnd w:id="309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3.4.1 发包人在法律允许的范围内有权对设计人的勘察设计工作和/或勘察设计文件作出处理决定，设计人应按照发包人的决定执行，涉及勘察设计服务期限或服务费用等问题按第 11 条的约定处理。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3.4.2 发包人应在专用合同条款约定的时间之内，对设计人书面提出的事项作出书面答复；逾期没有做出答复的，视为已获得发包人的批准。 </w:t>
      </w:r>
    </w:p>
    <w:p>
      <w:pPr>
        <w:spacing w:line="490" w:lineRule="exact"/>
        <w:ind w:firstLine="562" w:firstLineChars="200"/>
        <w:outlineLvl w:val="2"/>
        <w:rPr>
          <w:rFonts w:hint="eastAsia" w:ascii="宋体" w:hAnsi="宋体" w:eastAsia="宋体" w:cs="宋体"/>
          <w:b/>
          <w:sz w:val="28"/>
          <w:szCs w:val="28"/>
        </w:rPr>
      </w:pPr>
      <w:bookmarkStart w:id="3097" w:name="_Toc57049975"/>
      <w:bookmarkStart w:id="3098" w:name="_Toc1447"/>
      <w:bookmarkStart w:id="3099" w:name="_Toc57049061"/>
      <w:bookmarkStart w:id="3100" w:name="_Toc32651"/>
      <w:bookmarkStart w:id="3101" w:name="_Toc502903446"/>
      <w:bookmarkStart w:id="3102" w:name="_Toc52809915"/>
      <w:r>
        <w:rPr>
          <w:rFonts w:hint="eastAsia" w:ascii="宋体" w:hAnsi="宋体" w:eastAsia="宋体" w:cs="宋体"/>
          <w:b/>
          <w:sz w:val="28"/>
          <w:szCs w:val="28"/>
        </w:rPr>
        <w:t>4．设计人义务</w:t>
      </w:r>
      <w:bookmarkEnd w:id="3097"/>
      <w:bookmarkEnd w:id="3098"/>
      <w:bookmarkEnd w:id="3099"/>
      <w:bookmarkEnd w:id="3100"/>
      <w:bookmarkEnd w:id="3101"/>
      <w:bookmarkEnd w:id="3102"/>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103" w:name="_Toc57049062"/>
      <w:bookmarkStart w:id="3104" w:name="_Toc52809916"/>
      <w:bookmarkStart w:id="3105" w:name="_Toc12883"/>
      <w:bookmarkStart w:id="3106" w:name="_Toc502903447"/>
      <w:r>
        <w:rPr>
          <w:rFonts w:hint="eastAsia" w:ascii="宋体" w:hAnsi="宋体" w:eastAsia="宋体" w:cs="宋体"/>
          <w:b/>
          <w:sz w:val="28"/>
          <w:szCs w:val="28"/>
        </w:rPr>
        <w:t>4.1 设计人的一般义务</w:t>
      </w:r>
      <w:bookmarkEnd w:id="3103"/>
      <w:bookmarkEnd w:id="3104"/>
      <w:bookmarkEnd w:id="3105"/>
      <w:bookmarkEnd w:id="310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bookmarkStart w:id="3107" w:name="_Toc52809917"/>
      <w:r>
        <w:rPr>
          <w:rFonts w:hint="eastAsia" w:ascii="宋体" w:hAnsi="宋体" w:eastAsia="宋体" w:cs="宋体"/>
          <w:sz w:val="21"/>
          <w:szCs w:val="21"/>
        </w:rPr>
        <w:t>4.1.1 遵守法律</w:t>
      </w:r>
      <w:bookmarkEnd w:id="3107"/>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设计人在履行合同过程中应遵守法律，并保证发包人免于承担因设计人违反法律而引起的任何责任。 </w:t>
      </w:r>
    </w:p>
    <w:p>
      <w:pPr>
        <w:spacing w:line="490" w:lineRule="exact"/>
        <w:ind w:firstLine="420" w:firstLineChars="200"/>
        <w:jc w:val="left"/>
        <w:rPr>
          <w:rFonts w:hint="eastAsia" w:ascii="宋体" w:hAnsi="宋体" w:eastAsia="宋体" w:cs="宋体"/>
          <w:sz w:val="21"/>
          <w:szCs w:val="21"/>
        </w:rPr>
      </w:pPr>
      <w:bookmarkStart w:id="3108" w:name="_Toc52809918"/>
      <w:r>
        <w:rPr>
          <w:rFonts w:hint="eastAsia" w:ascii="宋体" w:hAnsi="宋体" w:eastAsia="宋体" w:cs="宋体"/>
          <w:sz w:val="21"/>
          <w:szCs w:val="21"/>
        </w:rPr>
        <w:t>4.1.2 依法纳税</w:t>
      </w:r>
      <w:bookmarkEnd w:id="3108"/>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设计人应按有关法律规定纳税，应缴纳的税金（含增值税）包括在合同价格之中。 </w:t>
      </w:r>
    </w:p>
    <w:p>
      <w:pPr>
        <w:spacing w:line="490" w:lineRule="exact"/>
        <w:ind w:firstLine="420" w:firstLineChars="200"/>
        <w:jc w:val="left"/>
        <w:rPr>
          <w:rFonts w:hint="eastAsia" w:ascii="宋体" w:hAnsi="宋体" w:eastAsia="宋体" w:cs="宋体"/>
          <w:sz w:val="21"/>
          <w:szCs w:val="21"/>
        </w:rPr>
      </w:pPr>
      <w:bookmarkStart w:id="3109" w:name="_Toc52809919"/>
      <w:r>
        <w:rPr>
          <w:rFonts w:hint="eastAsia" w:ascii="宋体" w:hAnsi="宋体" w:eastAsia="宋体" w:cs="宋体"/>
          <w:sz w:val="21"/>
          <w:szCs w:val="21"/>
        </w:rPr>
        <w:t>4.1.3 完成全部勘察设计工作</w:t>
      </w:r>
      <w:bookmarkEnd w:id="3109"/>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设设计人应按合同约定以及发包人要求，完成合同约定的全部工作，并对工作中的任何缺陷进行整改、完善和修补，使其满足合同约定的目的。设计人应按合同约定提供勘察设计文件和相关服务，以及为完成勘察设计服务所需的劳务、材料、勘察设备、试验设施等，并应自行承担勘探场地临时设施的搭设、维护、管理和拆除。</w:t>
      </w:r>
    </w:p>
    <w:p>
      <w:pPr>
        <w:spacing w:line="490" w:lineRule="exact"/>
        <w:ind w:firstLine="420" w:firstLineChars="200"/>
        <w:jc w:val="left"/>
        <w:rPr>
          <w:rFonts w:hint="eastAsia" w:ascii="宋体" w:hAnsi="宋体" w:eastAsia="宋体" w:cs="宋体"/>
          <w:sz w:val="21"/>
          <w:szCs w:val="21"/>
        </w:rPr>
      </w:pPr>
      <w:bookmarkStart w:id="3110" w:name="_Toc52809920"/>
      <w:r>
        <w:rPr>
          <w:rFonts w:hint="eastAsia" w:ascii="宋体" w:hAnsi="宋体" w:eastAsia="宋体" w:cs="宋体"/>
          <w:sz w:val="21"/>
          <w:szCs w:val="21"/>
        </w:rPr>
        <w:t>4.1.4 保证勘察作业规范、安全和环保</w:t>
      </w:r>
      <w:bookmarkEnd w:id="3110"/>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设计人应按法律、规范标准和发包人要求，采取各项有效措施，确保勘察作业操作规范、安全、文明和环保，在风险性较大的环境中作业时应编制安全防护方案并制定应急预案，防止因勘察作业造成的人身伤害和财产损失。对于设计人在勘察设计过程中发生的人员伤亡或财产损失，或造成第三方的人员伤亡、财产损失，或由此而引起的其他一切损害和损失，发包人均不承担责任。</w:t>
      </w:r>
    </w:p>
    <w:p>
      <w:pPr>
        <w:spacing w:line="490" w:lineRule="exact"/>
        <w:ind w:firstLine="420" w:firstLineChars="200"/>
        <w:jc w:val="left"/>
        <w:rPr>
          <w:rFonts w:hint="eastAsia" w:ascii="宋体" w:hAnsi="宋体" w:eastAsia="宋体" w:cs="宋体"/>
          <w:sz w:val="21"/>
          <w:szCs w:val="21"/>
        </w:rPr>
      </w:pPr>
      <w:bookmarkStart w:id="3111" w:name="_Toc52809921"/>
      <w:r>
        <w:rPr>
          <w:rFonts w:hint="eastAsia" w:ascii="宋体" w:hAnsi="宋体" w:eastAsia="宋体" w:cs="宋体"/>
          <w:sz w:val="21"/>
          <w:szCs w:val="21"/>
        </w:rPr>
        <w:t>4.1.5 避免勘探对公众与他人的利益造成损害</w:t>
      </w:r>
      <w:bookmarkEnd w:id="3111"/>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在进行合同约定的各项工作时，不得侵害发包人与他人使用公用道路、水源、市政管网等公共设施的权利，避免对邻近的公共设施产生干扰，保证勘探场地的周边设施、建构筑物、地下管线、架空线和其他物体的安全运行。设计人占用或使用他人的施工场地，影响他人作业或生活的，应承担相应责任。 </w:t>
      </w:r>
    </w:p>
    <w:p>
      <w:pPr>
        <w:spacing w:line="490" w:lineRule="exact"/>
        <w:ind w:firstLine="420" w:firstLineChars="200"/>
        <w:jc w:val="left"/>
        <w:rPr>
          <w:rFonts w:hint="eastAsia" w:ascii="宋体" w:hAnsi="宋体" w:eastAsia="宋体" w:cs="宋体"/>
          <w:sz w:val="21"/>
          <w:szCs w:val="21"/>
        </w:rPr>
      </w:pPr>
      <w:bookmarkStart w:id="3112" w:name="_Toc52809922"/>
      <w:r>
        <w:rPr>
          <w:rFonts w:hint="eastAsia" w:ascii="宋体" w:hAnsi="宋体" w:eastAsia="宋体" w:cs="宋体"/>
          <w:sz w:val="21"/>
          <w:szCs w:val="21"/>
        </w:rPr>
        <w:t>4.1.6 其他义务</w:t>
      </w:r>
      <w:bookmarkEnd w:id="3112"/>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设计人应履行合同约定的其他义务。 </w:t>
      </w:r>
    </w:p>
    <w:p>
      <w:pPr>
        <w:spacing w:line="490" w:lineRule="exact"/>
        <w:ind w:firstLine="562" w:firstLineChars="200"/>
        <w:outlineLvl w:val="3"/>
        <w:rPr>
          <w:rFonts w:hint="eastAsia" w:ascii="宋体" w:hAnsi="宋体" w:eastAsia="宋体" w:cs="宋体"/>
          <w:b/>
          <w:sz w:val="28"/>
          <w:szCs w:val="28"/>
        </w:rPr>
      </w:pPr>
      <w:bookmarkStart w:id="3113" w:name="_Toc52809923"/>
      <w:bookmarkStart w:id="3114" w:name="_Toc57049063"/>
      <w:bookmarkStart w:id="3115" w:name="_Toc10632"/>
      <w:bookmarkStart w:id="3116" w:name="_Toc502903448"/>
      <w:r>
        <w:rPr>
          <w:rFonts w:hint="eastAsia" w:ascii="宋体" w:hAnsi="宋体" w:eastAsia="宋体" w:cs="宋体"/>
          <w:b/>
          <w:sz w:val="28"/>
          <w:szCs w:val="28"/>
        </w:rPr>
        <w:t>4.2 履约担保</w:t>
      </w:r>
      <w:bookmarkEnd w:id="3113"/>
      <w:bookmarkEnd w:id="3114"/>
      <w:bookmarkEnd w:id="3115"/>
      <w:bookmarkEnd w:id="311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除专用合同条款另有约定外，履约担保自合同生效之日起生效，在发包人签收最后一批勘察设计成果文件之日起 28天后失效。如果设计人不履行合同约定的义务或其履行不符合合同的约定，发包人有权扣划相应金额的履约担保。 </w:t>
      </w:r>
    </w:p>
    <w:p>
      <w:pPr>
        <w:spacing w:line="490" w:lineRule="exact"/>
        <w:ind w:firstLine="562" w:firstLineChars="200"/>
        <w:outlineLvl w:val="3"/>
        <w:rPr>
          <w:rFonts w:hint="eastAsia" w:ascii="宋体" w:hAnsi="宋体" w:eastAsia="宋体" w:cs="宋体"/>
          <w:b/>
          <w:sz w:val="28"/>
          <w:szCs w:val="28"/>
        </w:rPr>
      </w:pPr>
      <w:bookmarkStart w:id="3117" w:name="_Toc57049064"/>
      <w:bookmarkStart w:id="3118" w:name="_Toc18731"/>
      <w:bookmarkStart w:id="3119" w:name="_Toc502903449"/>
      <w:bookmarkStart w:id="3120" w:name="_Toc52809924"/>
      <w:r>
        <w:rPr>
          <w:rFonts w:hint="eastAsia" w:ascii="宋体" w:hAnsi="宋体" w:eastAsia="宋体" w:cs="宋体"/>
          <w:b/>
          <w:sz w:val="28"/>
          <w:szCs w:val="28"/>
        </w:rPr>
        <w:t>4.3 分包和不得转包</w:t>
      </w:r>
      <w:bookmarkEnd w:id="3117"/>
      <w:bookmarkEnd w:id="3118"/>
      <w:bookmarkEnd w:id="3119"/>
      <w:bookmarkEnd w:id="312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4.3.1 设计人不得将其勘察设计的全部工作转包给第三人。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4.3.2 设计人不得将勘察设计的主体、关键性工作分包给第三人。除专用合同条款另有约定外，未经发包人同意，设计人也不得将非主体、非关键性工作分包给第三人。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4.3.3 发包人同意设计人分包工作的，设计人应向发包人提交 1 份分包合同副本，并对分包勘察设计工作质量承担连带责任。除专用合同条款另有约定外，分包人的服务费用由设计人与分包人自行支付。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4.3.4 分包人的资格能力应与其分包工作的标准和规模相适应，包括必要的企业资质、人员、设备和类似业绩等。分包人不得将分包项目再次分包或转包。</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4.3.5 发包人对设计人与各分包人之间的法律和经济纠纷不承担任何责任和义务。</w:t>
      </w:r>
    </w:p>
    <w:p>
      <w:pPr>
        <w:spacing w:line="490" w:lineRule="exact"/>
        <w:ind w:firstLine="562" w:firstLineChars="200"/>
        <w:outlineLvl w:val="3"/>
        <w:rPr>
          <w:rFonts w:hint="eastAsia" w:ascii="宋体" w:hAnsi="宋体" w:eastAsia="宋体" w:cs="宋体"/>
          <w:b/>
          <w:sz w:val="28"/>
          <w:szCs w:val="28"/>
        </w:rPr>
      </w:pPr>
      <w:bookmarkStart w:id="3121" w:name="_Toc9135"/>
      <w:bookmarkStart w:id="3122" w:name="_Toc52809925"/>
      <w:bookmarkStart w:id="3123" w:name="_Toc502903450"/>
      <w:bookmarkStart w:id="3124" w:name="_Toc57049065"/>
      <w:r>
        <w:rPr>
          <w:rFonts w:hint="eastAsia" w:ascii="宋体" w:hAnsi="宋体" w:eastAsia="宋体" w:cs="宋体"/>
          <w:b/>
          <w:sz w:val="28"/>
          <w:szCs w:val="28"/>
        </w:rPr>
        <w:t>4.4 联合体</w:t>
      </w:r>
      <w:bookmarkEnd w:id="3121"/>
      <w:bookmarkEnd w:id="3122"/>
      <w:bookmarkEnd w:id="3123"/>
      <w:bookmarkEnd w:id="312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4.4.1 联合体各方应共同与发包人签订合同。联合体各方应为履行合同承担连带责任。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4.4.2 联合体协议经发包人确认后作为合同附件。在履行合同过程中，未经发包人同意，不得修改联合体协议。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4.4.3 联合体牵头人负责与发包人联系，并接受指示，负责组织联合体各成员全面履行合同。 </w:t>
      </w:r>
    </w:p>
    <w:p>
      <w:pPr>
        <w:spacing w:line="490" w:lineRule="exact"/>
        <w:ind w:firstLine="562" w:firstLineChars="200"/>
        <w:outlineLvl w:val="3"/>
        <w:rPr>
          <w:rFonts w:hint="eastAsia" w:ascii="宋体" w:hAnsi="宋体" w:eastAsia="宋体" w:cs="宋体"/>
          <w:b/>
          <w:sz w:val="28"/>
          <w:szCs w:val="28"/>
        </w:rPr>
      </w:pPr>
      <w:bookmarkStart w:id="3125" w:name="_Toc57049066"/>
      <w:bookmarkStart w:id="3126" w:name="_Toc52809926"/>
      <w:bookmarkStart w:id="3127" w:name="_Toc502903451"/>
      <w:bookmarkStart w:id="3128" w:name="_Toc19528"/>
      <w:r>
        <w:rPr>
          <w:rFonts w:hint="eastAsia" w:ascii="宋体" w:hAnsi="宋体" w:eastAsia="宋体" w:cs="宋体"/>
          <w:b/>
          <w:sz w:val="28"/>
          <w:szCs w:val="28"/>
        </w:rPr>
        <w:t>4.5 项目负责人</w:t>
      </w:r>
      <w:bookmarkEnd w:id="3125"/>
      <w:bookmarkEnd w:id="3126"/>
      <w:bookmarkEnd w:id="3127"/>
      <w:bookmarkEnd w:id="312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4.5.1 设计人应按合同协议书的约定指派项目负责人，并在约定的期限内到职。设计人更换项目负责人应事先征得发包人同意，并应在更换 14 天前将拟更换的项目负责人的姓名和详细资料提交发包人。项目负责人 2 天内不能履行职责的，应事先征得发包人同意，并委派代表代行其职责。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4.5.2 项目负责人应按合同约定以及发包人要求，负责组织合同工作的实施。在情况紧急且无法与发包人取得联系时，可采取保证工程和人员生命财产安全的紧急措施，并在采取措施后24小时内向发包人提交书面报告。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4.5.3 设计人为履行合同发出的一切函件均应盖有设计人单位章，并由设计人的项目负责人签字确认。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4.5.4 按照专用合同条款约定，项目负责人可以授权其下属人员履行其某项职责，但事先应将这些人员的姓名和授权范围书面通知发包人。 </w:t>
      </w:r>
    </w:p>
    <w:p>
      <w:pPr>
        <w:spacing w:line="490" w:lineRule="exact"/>
        <w:ind w:firstLine="562" w:firstLineChars="200"/>
        <w:outlineLvl w:val="3"/>
        <w:rPr>
          <w:rFonts w:hint="eastAsia" w:ascii="宋体" w:hAnsi="宋体" w:eastAsia="宋体" w:cs="宋体"/>
          <w:b/>
          <w:sz w:val="28"/>
          <w:szCs w:val="28"/>
          <w:highlight w:val="none"/>
          <w:lang w:val="en-US" w:eastAsia="zh-CN"/>
        </w:rPr>
      </w:pPr>
      <w:bookmarkStart w:id="3129" w:name="_Toc57049067"/>
      <w:bookmarkStart w:id="3130" w:name="_Toc52809927"/>
      <w:bookmarkStart w:id="3131" w:name="_Toc15551"/>
      <w:bookmarkStart w:id="3132" w:name="_Toc502903452"/>
      <w:r>
        <w:rPr>
          <w:rFonts w:hint="eastAsia" w:ascii="宋体" w:hAnsi="宋体" w:eastAsia="宋体" w:cs="宋体"/>
          <w:b/>
          <w:sz w:val="28"/>
          <w:szCs w:val="28"/>
          <w:highlight w:val="none"/>
        </w:rPr>
        <w:t>4.6 勘察设计人员的管理</w:t>
      </w:r>
      <w:bookmarkEnd w:id="3129"/>
      <w:bookmarkEnd w:id="3130"/>
      <w:bookmarkEnd w:id="3131"/>
      <w:bookmarkEnd w:id="3132"/>
      <w:r>
        <w:rPr>
          <w:rFonts w:hint="eastAsia" w:ascii="宋体" w:hAnsi="宋体" w:eastAsia="宋体" w:cs="宋体"/>
          <w:b/>
          <w:sz w:val="28"/>
          <w:szCs w:val="28"/>
          <w:highlight w:val="none"/>
        </w:rPr>
        <w:t xml:space="preserve"> </w:t>
      </w:r>
      <w:r>
        <w:rPr>
          <w:rFonts w:hint="eastAsia" w:ascii="宋体" w:hAnsi="宋体" w:eastAsia="宋体" w:cs="宋体"/>
          <w:b/>
          <w:sz w:val="28"/>
          <w:szCs w:val="28"/>
          <w:highlight w:val="none"/>
          <w:lang w:val="en-US" w:eastAsia="zh-CN"/>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4.6.1 设计人应在接到开始勘察设计通知之日起7天内，向发包人提交勘察设计项目机构以及人员安排的报告，其内容应包括项目机构设置、主要勘察设计人员和其他人员的名单及资格条件。主要勘察设计人员应相对稳定，更换主要勘察设计人员的，应取得发包人的同意,并向发包人提交继任人员的资格、管理经验等资料。项目负责人的更换，应按照本章第4.5.1项规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4.6.2 除专用合同条款另有约定外，主要勘察设计人员包括项目负责人、专业负责人、审核人、审定人等；其他人员包括勘察作业人员、各专业的设计人员、管理人员等。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4.6.3 设计人应保证其主要勘察设计人员（含分包人）在合同期限内的任何时候， 都能按时参加发包人组织的工作会议。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4.6.4 国家规定应当持证上岗的工作人员均应持有相应的资格证明，发包人有权随时检查。发包人认为有必要时，可以进行现场考核。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4.6.5 设计人的工作进度未达到设计人投标文件中承诺的进度计划时，发包人有权要求设计人增加勘察设计人员，设计人应立即安排，其费用视为已包含在合同价格中。</w:t>
      </w:r>
    </w:p>
    <w:p>
      <w:pPr>
        <w:spacing w:line="490" w:lineRule="exact"/>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rPr>
        <w:t>4.6.6 设计人应根据工程建设需要设立设计代表机构或派驻合格设计代表，及时处理设计问题、办理设计变更，并满足驻场时间要求。</w:t>
      </w:r>
    </w:p>
    <w:p>
      <w:pPr>
        <w:spacing w:line="490" w:lineRule="exact"/>
        <w:ind w:firstLine="562" w:firstLineChars="200"/>
        <w:outlineLvl w:val="3"/>
        <w:rPr>
          <w:rFonts w:hint="eastAsia" w:ascii="宋体" w:hAnsi="宋体" w:eastAsia="宋体" w:cs="宋体"/>
          <w:b/>
          <w:sz w:val="28"/>
          <w:szCs w:val="28"/>
        </w:rPr>
      </w:pPr>
      <w:bookmarkStart w:id="3133" w:name="_Toc52809928"/>
      <w:bookmarkStart w:id="3134" w:name="_Toc502903453"/>
      <w:bookmarkStart w:id="3135" w:name="_Toc13446"/>
      <w:bookmarkStart w:id="3136" w:name="_Toc57049068"/>
      <w:r>
        <w:rPr>
          <w:rFonts w:hint="eastAsia" w:ascii="宋体" w:hAnsi="宋体" w:eastAsia="宋体" w:cs="宋体"/>
          <w:b/>
          <w:sz w:val="28"/>
          <w:szCs w:val="28"/>
        </w:rPr>
        <w:t>4.7 撤换项目负责人和其他人员</w:t>
      </w:r>
      <w:bookmarkEnd w:id="3133"/>
      <w:bookmarkEnd w:id="3134"/>
      <w:bookmarkEnd w:id="3135"/>
      <w:bookmarkEnd w:id="313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设计人应对其项目负责人和其他人员进行有效管理。发包人要求撤换不能胜任本职工作、行为不端或玩忽职守的项目负责人和其他人员的，设计人应予以撤换。 </w:t>
      </w:r>
    </w:p>
    <w:p>
      <w:pPr>
        <w:spacing w:line="490" w:lineRule="exact"/>
        <w:ind w:firstLine="562" w:firstLineChars="200"/>
        <w:outlineLvl w:val="3"/>
        <w:rPr>
          <w:rFonts w:hint="eastAsia" w:ascii="宋体" w:hAnsi="宋体" w:eastAsia="宋体" w:cs="宋体"/>
          <w:b/>
          <w:sz w:val="28"/>
          <w:szCs w:val="28"/>
        </w:rPr>
      </w:pPr>
      <w:bookmarkStart w:id="3137" w:name="_Toc57049069"/>
      <w:bookmarkStart w:id="3138" w:name="_Toc6619"/>
      <w:bookmarkStart w:id="3139" w:name="_Toc502903454"/>
      <w:bookmarkStart w:id="3140" w:name="_Toc52809929"/>
      <w:r>
        <w:rPr>
          <w:rFonts w:hint="eastAsia" w:ascii="宋体" w:hAnsi="宋体" w:eastAsia="宋体" w:cs="宋体"/>
          <w:b/>
          <w:sz w:val="28"/>
          <w:szCs w:val="28"/>
        </w:rPr>
        <w:t>4.8 保障人员的合法权益</w:t>
      </w:r>
      <w:bookmarkEnd w:id="3137"/>
      <w:bookmarkEnd w:id="3138"/>
      <w:bookmarkEnd w:id="3139"/>
      <w:bookmarkEnd w:id="314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4.8.1 设计人应与其雇佣的人员签订劳动合同，并按时发放工资。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4.8.2 设计人应按劳动法的规定安排工作时间，保证其雇佣人员享有休息和休假的权利。因设计需要占用休假日或延长工作时间的，应不超过法律规定的限度，并按法律规定给予补休或付酬。</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4.8.3 设计人应为其现场人员提供必要的食宿条件，以及符合环境保护和卫生要求的生活环境，在远离城镇的勘探场地，还应配备必要的伤病防治和急救设施。</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4.8.4 设计人应按国家有关劳动保护的规定，采取有效的防止粉尘、降低噪声、控制有害气体和保障高温、高寒、高空作业安全等劳动保护措施。其雇用人员在勘探作业中受到伤害的，设计人应立即采取有效措施进行抢救和治疗。</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4.8.5 设计人应按有关法律规定和合同约定，为其雇用人员办理保险。 </w:t>
      </w:r>
    </w:p>
    <w:p>
      <w:pPr>
        <w:spacing w:line="490" w:lineRule="exact"/>
        <w:ind w:firstLine="562" w:firstLineChars="200"/>
        <w:outlineLvl w:val="3"/>
        <w:rPr>
          <w:rFonts w:hint="eastAsia" w:ascii="宋体" w:hAnsi="宋体" w:eastAsia="宋体" w:cs="宋体"/>
          <w:b/>
          <w:sz w:val="28"/>
          <w:szCs w:val="28"/>
        </w:rPr>
      </w:pPr>
      <w:bookmarkStart w:id="3141" w:name="_Toc19276"/>
      <w:bookmarkStart w:id="3142" w:name="_Toc502903455"/>
      <w:bookmarkStart w:id="3143" w:name="_Toc57049070"/>
      <w:bookmarkStart w:id="3144" w:name="_Toc52809930"/>
      <w:r>
        <w:rPr>
          <w:rFonts w:hint="eastAsia" w:ascii="宋体" w:hAnsi="宋体" w:eastAsia="宋体" w:cs="宋体"/>
          <w:b/>
          <w:sz w:val="28"/>
          <w:szCs w:val="28"/>
        </w:rPr>
        <w:t>4.9 合同价款应专款专用</w:t>
      </w:r>
      <w:bookmarkEnd w:id="3141"/>
      <w:bookmarkEnd w:id="3142"/>
      <w:bookmarkEnd w:id="3143"/>
      <w:bookmarkEnd w:id="3144"/>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8"/>
          <w:szCs w:val="28"/>
        </w:rPr>
      </w:pPr>
      <w:r>
        <w:rPr>
          <w:rFonts w:hint="eastAsia" w:ascii="宋体" w:hAnsi="宋体" w:eastAsia="宋体" w:cs="宋体"/>
          <w:sz w:val="21"/>
          <w:szCs w:val="21"/>
        </w:rPr>
        <w:t>发包人按合同约定支付给设计人的各项价款，应专用于合同勘察设计工作。</w:t>
      </w:r>
      <w:r>
        <w:rPr>
          <w:rFonts w:hint="eastAsia" w:ascii="宋体" w:hAnsi="宋体" w:eastAsia="宋体" w:cs="宋体"/>
          <w:sz w:val="28"/>
          <w:szCs w:val="28"/>
        </w:rPr>
        <w:t xml:space="preserve"> </w:t>
      </w:r>
    </w:p>
    <w:p>
      <w:pPr>
        <w:spacing w:line="490" w:lineRule="exact"/>
        <w:ind w:firstLine="562" w:firstLineChars="200"/>
        <w:outlineLvl w:val="2"/>
        <w:rPr>
          <w:rFonts w:hint="eastAsia" w:ascii="宋体" w:hAnsi="宋体" w:eastAsia="宋体" w:cs="宋体"/>
          <w:b/>
          <w:sz w:val="28"/>
          <w:szCs w:val="28"/>
        </w:rPr>
      </w:pPr>
      <w:bookmarkStart w:id="3145" w:name="_Toc31835"/>
      <w:bookmarkStart w:id="3146" w:name="_Toc52809931"/>
      <w:bookmarkStart w:id="3147" w:name="_Toc20222"/>
      <w:bookmarkStart w:id="3148" w:name="_Toc57049976"/>
      <w:bookmarkStart w:id="3149" w:name="_Toc502903456"/>
      <w:bookmarkStart w:id="3150" w:name="_Toc57049071"/>
      <w:r>
        <w:rPr>
          <w:rFonts w:hint="eastAsia" w:ascii="宋体" w:hAnsi="宋体" w:eastAsia="宋体" w:cs="宋体"/>
          <w:b/>
          <w:sz w:val="28"/>
          <w:szCs w:val="28"/>
        </w:rPr>
        <w:t>5．勘察设计要求</w:t>
      </w:r>
      <w:bookmarkEnd w:id="3145"/>
      <w:bookmarkEnd w:id="3146"/>
      <w:bookmarkEnd w:id="3147"/>
      <w:bookmarkEnd w:id="3148"/>
      <w:bookmarkEnd w:id="3149"/>
      <w:bookmarkEnd w:id="3150"/>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151" w:name="_Toc7155"/>
      <w:bookmarkStart w:id="3152" w:name="_Toc52809932"/>
      <w:bookmarkStart w:id="3153" w:name="_Toc502903457"/>
      <w:bookmarkStart w:id="3154" w:name="_Toc57049072"/>
      <w:r>
        <w:rPr>
          <w:rFonts w:hint="eastAsia" w:ascii="宋体" w:hAnsi="宋体" w:eastAsia="宋体" w:cs="宋体"/>
          <w:b/>
          <w:sz w:val="28"/>
          <w:szCs w:val="28"/>
        </w:rPr>
        <w:t>5.1 一般要求</w:t>
      </w:r>
      <w:bookmarkEnd w:id="3151"/>
      <w:bookmarkEnd w:id="3152"/>
      <w:bookmarkEnd w:id="3153"/>
      <w:bookmarkEnd w:id="315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5.1.1 发包人应当遵守法律和规范标准，不得以任何理由要求设计人违反法律和工程质量、安全标准进行勘察设计服务，降低工程质量。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5.1.2 设计人应按照法律规定，以及国家、行业和地方的规范和标准完成勘察设计工作，并应符合发包人要求。各项规范、标准和发包人要求之间如对同一内容的描述不一致时，应以描述更为严格的内容为准。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5.1.3 除专用合同条款另有约定外，设计人完成勘察设计工作所应遵守的法律规定，以及国家、行业和地方的规范和标准，均应视为在基准日适用的版本。基准日之后，前述版本发生重大变化，或者有新的法律，以及国家、行业和地方的规范和标准实施的，设计人应向发包人提出遵守新规定的建议。发包人应在收到建议后 7 天内发出是否遵守新规定的指示。发包人指示遵守新规定的，按照第 11 条约定执行。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5.1.4 设计人在勘察设计服务中选用的材料、设备，应当注明其规格、型号、性能等技术指标及适应性，满足质量、安全、节能、环保等要求，但不得指定生产厂、 供应商和产品品牌。</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5.1.5 设计人必须贯彻“技术先进、安全可靠、适用耐久、经济合理”的基本原则，加强总体设计，重视与城镇建设总体规划、土地开发利用规划、农田水利、森林植被、水土保持、生态环境、特殊设施保护区、其他运输方式和其他建设工程的总体协调和配合，节约资源、保护环境、合理选用技术指标、树立全寿命周期成本的理念，充分发挥工程建设项目经济、社会和环境的综合效益。 </w:t>
      </w:r>
    </w:p>
    <w:p>
      <w:pPr>
        <w:spacing w:line="490" w:lineRule="exact"/>
        <w:ind w:firstLine="562" w:firstLineChars="200"/>
        <w:outlineLvl w:val="3"/>
        <w:rPr>
          <w:rFonts w:hint="eastAsia" w:ascii="宋体" w:hAnsi="宋体" w:eastAsia="宋体" w:cs="宋体"/>
          <w:b/>
          <w:sz w:val="28"/>
          <w:szCs w:val="28"/>
        </w:rPr>
      </w:pPr>
      <w:bookmarkStart w:id="3155" w:name="_Toc57049073"/>
      <w:bookmarkStart w:id="3156" w:name="_Toc502903458"/>
      <w:bookmarkStart w:id="3157" w:name="_Toc52809933"/>
      <w:bookmarkStart w:id="3158" w:name="_Toc23569"/>
      <w:r>
        <w:rPr>
          <w:rFonts w:hint="eastAsia" w:ascii="宋体" w:hAnsi="宋体" w:eastAsia="宋体" w:cs="宋体"/>
          <w:b/>
          <w:sz w:val="28"/>
          <w:szCs w:val="28"/>
        </w:rPr>
        <w:t>5.2 勘察设计依据</w:t>
      </w:r>
      <w:bookmarkEnd w:id="3155"/>
      <w:bookmarkEnd w:id="3156"/>
      <w:bookmarkEnd w:id="3157"/>
      <w:bookmarkEnd w:id="315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除专用合同条款另有约定外，本工程的勘察设计依据如下：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（1）适用的法律、行政法规及部门规章；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（2）与工程有关的规范、标准、规程；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（3）工程基础资料及其他文件；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（4）本勘察设计服务合同及补充合同；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（5）本工程施工需求；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（6）合同履行中与勘察设计服务有关的来往函件；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（7）其他勘察设计依据。 </w:t>
      </w:r>
    </w:p>
    <w:p>
      <w:pPr>
        <w:spacing w:line="490" w:lineRule="exact"/>
        <w:ind w:firstLine="562" w:firstLineChars="200"/>
        <w:outlineLvl w:val="3"/>
        <w:rPr>
          <w:rFonts w:hint="eastAsia" w:ascii="宋体" w:hAnsi="宋体" w:eastAsia="宋体" w:cs="宋体"/>
          <w:b/>
          <w:sz w:val="28"/>
          <w:szCs w:val="28"/>
        </w:rPr>
      </w:pPr>
      <w:bookmarkStart w:id="3159" w:name="_Toc52809934"/>
      <w:bookmarkStart w:id="3160" w:name="_Toc22907"/>
      <w:bookmarkStart w:id="3161" w:name="_Toc57049074"/>
      <w:bookmarkStart w:id="3162" w:name="_Toc502903459"/>
      <w:r>
        <w:rPr>
          <w:rFonts w:hint="eastAsia" w:ascii="宋体" w:hAnsi="宋体" w:eastAsia="宋体" w:cs="宋体"/>
          <w:b/>
          <w:sz w:val="28"/>
          <w:szCs w:val="28"/>
        </w:rPr>
        <w:t>5.3 勘察设计范围</w:t>
      </w:r>
      <w:bookmarkEnd w:id="3159"/>
      <w:bookmarkEnd w:id="3160"/>
      <w:bookmarkEnd w:id="3161"/>
      <w:bookmarkEnd w:id="316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5.3.1 本合同的勘察设计范围包括工程范围、阶段范围和工作范围，具体勘察设计范围应当根据三者之间的关联内容进行确定。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5.3.2 工程范围指所勘察设计工程的建设内容，具体范围在专用合同条款中约定。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5.3.3 阶段范围指工程建设程序中的可行性研究勘察、初步勘察、详细勘察、施工勘察、方案设计、初步设计、扩大初步（招标）设计、施工图设计等阶段中的一个或者多个阶段，具体范围在专用合同条款中约定。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5.3.4 工作范围指工程测量、岩土工程勘察、岩土工程设计（如有）、编制设计文件、编制设计概算、预算、提供技术交底、招标与施工配合、参加试车（试运行）、编制竣工图、竣工验收和发包人委托的其他服务中的一项或者多项工作，具体范围在专用合同条款中约定。</w:t>
      </w:r>
    </w:p>
    <w:p>
      <w:pPr>
        <w:spacing w:line="490" w:lineRule="exact"/>
        <w:ind w:firstLine="562" w:firstLineChars="200"/>
        <w:outlineLvl w:val="3"/>
        <w:rPr>
          <w:rFonts w:hint="eastAsia" w:ascii="宋体" w:hAnsi="宋体" w:eastAsia="宋体" w:cs="宋体"/>
          <w:b/>
          <w:sz w:val="28"/>
          <w:szCs w:val="28"/>
        </w:rPr>
      </w:pPr>
      <w:bookmarkStart w:id="3163" w:name="_Toc57049075"/>
      <w:bookmarkStart w:id="3164" w:name="_Toc52809935"/>
      <w:r>
        <w:rPr>
          <w:rFonts w:hint="eastAsia" w:ascii="宋体" w:hAnsi="宋体" w:eastAsia="宋体" w:cs="宋体"/>
          <w:b/>
          <w:sz w:val="28"/>
          <w:szCs w:val="28"/>
        </w:rPr>
        <w:t>5.4 勘察作业要求</w:t>
      </w:r>
      <w:bookmarkEnd w:id="3163"/>
      <w:bookmarkEnd w:id="316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5.4.1 测绘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（1）除专用合同条款另有约定外，发包人应在开始勘察前 7 天内，向设计人提供测量基准点、水准点和书面资料等；设计人应根据国家测绘基准、测绘系统和工程测量技术规范，按发包人要求的基准点以及合同工程精度要求，进行测绘。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（2）设计人测绘之前，应认真核对测绘数据，保证引用数据和原始数据准确无误。测绘工作应由测量人员如实记录，不得补记、涂改或损坏。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（3）工程勘探之前，设计人应严格按照勘察方案的孔位坐标，进行测量放线并在实地位置定位，埋设带有编号且不易移动的标志桩进行定位控制。</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5.4.2 勘探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（1）设计人应当根据勘察目的和岩土特性，合理选择钻探、井探、槽探、洞探和地球物理勘探等勘探方法，为完成合同约定的勘察任务创造条件。设计人对于勘察方法的正确性、适用性和可靠性完全负责。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布置勘探工作时，应当充分考虑勘探方法对于自然环境、周边设施、建构筑物、地下管线、架空线和其他物体的影响，采用切实有效的措施进行防范控制，不得造成损坏或中断运行，否则由此导致的费用增加和（或）周期延误由设计人自行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（3）设计人应在标定的孔位处进行勘探，不得随意改动位置。勘探方法、勘探机具、勘探 记录、取样编录与描述，孔位标记、孔位封闭等事项，应当严格执行规范标准，按实填写勘探报表和勘探日志。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（4）勘探工作完成后，设计人应当按照规范要求及时封孔，并将封孔记录整理存档，勘探 场地应当地面平整、清洁卫生，并通知发包人、行政主管部门及使用维护单位进行现场验收。 验收通过之后如果发生沉陷，设计人应当及时进行二次封孔和现场验收。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5.4.3 取样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人应当针对不同的岩土地质，按照勘探取样规范规程中的相关规定，根据地层特征、取样深度、设备条件和试验项目的不同，合理选用取样方法和取样工具进行取样，包括并不限于土样、水样、岩芯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取样后的样品应当根据其类别、性质和特点等进行封装、贮存和运输。样品搬运之前，宜用数码相机进行现场拍照；运输途中应当采用柔软材料充填、尽量避免震动和阳光曝晒；装卸之时尽量轻拿轻放，以免样品损坏。</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（3）取样后的样品应当填写和粘贴标签，标签内容包括并不限于工程名称、孔号、样品编号、取样深度、样品名称、取样日期、取样人姓名、施工机组等。</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5.4.4 试验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（1）设计人应当根据岩土条件、设计要求、勘察经验和测试方法特点，选用合适的原位测试方法和勘察设备进行原位测试。原位测试成果应与室内试验数据进行对比分析，检验其可靠性。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（2）设计人的试验室应当通过行业管理部门认可的 CMA 计量认证，具有相应的资格证书、试验人员和试验条件，否则应当委托第三方试验室进行室内试验。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设计人应在试验之前按照要求清点样品数目，认定取样质量及数量是否满足试验需要；勘察设备应当检定合格，性能参数满足试验要求，严格按照规范标准的相应规定进行试验操作；试验之后应在有效期内保留备样，以备复核试验成果之用，并按规范标准规定处理余土和废液，符合环境保护、健康卫生等要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（4）试验报告的格式应当符合CMA计量认证体系要求，加盖CMA章并由试验负责人签字确认；试验负责人应当通过计量认证考核，并由项目负责人授权许可。</w:t>
      </w:r>
    </w:p>
    <w:p>
      <w:pPr>
        <w:spacing w:line="490" w:lineRule="exact"/>
        <w:ind w:firstLine="562" w:firstLineChars="200"/>
        <w:outlineLvl w:val="3"/>
        <w:rPr>
          <w:rFonts w:hint="eastAsia" w:ascii="宋体" w:hAnsi="宋体" w:eastAsia="宋体" w:cs="宋体"/>
          <w:b/>
          <w:sz w:val="28"/>
          <w:szCs w:val="28"/>
        </w:rPr>
      </w:pPr>
      <w:bookmarkStart w:id="3165" w:name="_Toc57049076"/>
      <w:bookmarkStart w:id="3166" w:name="_Toc52809936"/>
      <w:r>
        <w:rPr>
          <w:rFonts w:hint="eastAsia" w:ascii="宋体" w:hAnsi="宋体" w:eastAsia="宋体" w:cs="宋体"/>
          <w:b/>
          <w:sz w:val="28"/>
          <w:szCs w:val="28"/>
        </w:rPr>
        <w:t>5.5 勘察设备要求</w:t>
      </w:r>
      <w:bookmarkEnd w:id="3165"/>
      <w:bookmarkEnd w:id="316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5.5.1 设计人应按合同进度计划的要求，及时配置勘察设备进行作业。设计人更换合同约定的勘察设备的，应报发包人批准。</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5.5.2 设计人应按照规范要求，及时维修、保养或更换勘察设备，包括并不限于钻机、触探仪、全站仪、水准仪、探测仪、测井平台、天平、固结仪、振筛机、干燥箱、直剪仪、收缩仪、膨胀仪、渗透仪等，保证勘察设备能够随时进场使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5.5.3 设计人使用的勘察设备不能满足合同进度计划和（或）质量要求时，发包人有权要求设计人增加或更换勘察设备，设计人应及时增加或更换，由此增加的费用和（或）周期延误由设计人自行承担。</w:t>
      </w:r>
    </w:p>
    <w:p>
      <w:pPr>
        <w:spacing w:line="490" w:lineRule="exact"/>
        <w:ind w:firstLine="562" w:firstLineChars="200"/>
        <w:outlineLvl w:val="3"/>
        <w:rPr>
          <w:rFonts w:hint="eastAsia" w:ascii="宋体" w:hAnsi="宋体" w:eastAsia="宋体" w:cs="宋体"/>
          <w:b/>
          <w:sz w:val="28"/>
          <w:szCs w:val="28"/>
        </w:rPr>
      </w:pPr>
      <w:bookmarkStart w:id="3167" w:name="_Toc52809937"/>
      <w:bookmarkStart w:id="3168" w:name="_Toc57049077"/>
      <w:r>
        <w:rPr>
          <w:rFonts w:hint="eastAsia" w:ascii="宋体" w:hAnsi="宋体" w:eastAsia="宋体" w:cs="宋体"/>
          <w:b/>
          <w:sz w:val="28"/>
          <w:szCs w:val="28"/>
        </w:rPr>
        <w:t>5.6 临时占地和设施要求</w:t>
      </w:r>
      <w:bookmarkEnd w:id="3167"/>
      <w:bookmarkEnd w:id="316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5.6.1 设计人应根据勘察设计服务方案制订临时占地计划，报请发包人批准。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5.6.2 位于本工程区域内的临时占地，由发包人协调提供。位于道路、绿化或者其他市政设施内的临时占地，由设计人向行政管理部门报建申请，按照要求制订占地施工方案，并据此实施。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5.6.3 临时占地使用完毕后，设计人应按照发包人要求或行政管理部门规定恢复临时占地。如果恢复或清理标准不能满足要求的，发包人有权委托他人代为恢复或清理，由此发生的费用从拟支付给设计人的服务费用中扣除。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5.6.4 设计人应配备或搭设足够的临时设施，保证勘探工作能够正常开展。临时设施包括并不限于施工围挡、交通疏导设施、安全防范设施、钻机防护设施、安全文明施工设施、办公生活用房、取样存放场所等。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5.6.5 临时设施应满足规范标准、发包人要求和行政管理部门的规定等。除专用合同条款另有约定外，临时设施的修建、拆除和恢复费用由设计人自行承担。</w:t>
      </w:r>
    </w:p>
    <w:p>
      <w:pPr>
        <w:spacing w:line="490" w:lineRule="exact"/>
        <w:ind w:firstLine="562" w:firstLineChars="200"/>
        <w:outlineLvl w:val="3"/>
        <w:rPr>
          <w:rFonts w:hint="eastAsia" w:ascii="宋体" w:hAnsi="宋体" w:eastAsia="宋体" w:cs="宋体"/>
          <w:b/>
          <w:sz w:val="28"/>
          <w:szCs w:val="28"/>
        </w:rPr>
      </w:pPr>
      <w:bookmarkStart w:id="3169" w:name="_Toc52809938"/>
      <w:bookmarkStart w:id="3170" w:name="_Toc57049078"/>
      <w:r>
        <w:rPr>
          <w:rFonts w:hint="eastAsia" w:ascii="宋体" w:hAnsi="宋体" w:eastAsia="宋体" w:cs="宋体"/>
          <w:b/>
          <w:sz w:val="28"/>
          <w:szCs w:val="28"/>
        </w:rPr>
        <w:t>5.7 安全作业要求</w:t>
      </w:r>
      <w:bookmarkEnd w:id="3169"/>
      <w:bookmarkEnd w:id="3170"/>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5.7.1 设计人应按合同约定履行安全职责，执行发包人有关安全工作的指示，并在专用合同条款约定的期限内，按合同约定的安全工作内容，编制安全措施计划报送发包人批准。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5.7.2 设计人应严格执行操作规程，采取有效措施保证道路、桥梁、交通安全设施、建构筑物、地下管线、架空线和其他周边设施等安全正常地运行。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5.7.3 设计人应按照法律、法规和工程建设强制性标准进行勘察，加强勘察作业安全管理，特别加强易燃、易爆材料、火工器材、有毒与腐蚀性材料和其他危险品的管理。</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5.7.4 设计人应严格按照国家安全标准制定施工安全操作规程，配备必要的安全生产和劳动保护设施，加强对设计人人员的安全教育，并且发放安全工作手册和劳动保护用具。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5.7.5 设计人应按发包人的指示制订应对灾害的紧急预案，报送发包人批准。设计人还应按预案做好安全检查，配置必要的救助物资和器材，切实保护好有关人员的人身和财产安全。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5.7.6 设计人应对其履行合同所雇用的全部人员，包括分包人人员的工伤事故承担责任，但由于发包人原因造成设计人人员工伤事故的，应由发包人承担责任。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5.7.7 由于设计人原因在施工场地内及其毗邻地带造成的第三者人员伤亡和财产损失，由设计人负责赔偿。 </w:t>
      </w:r>
    </w:p>
    <w:p>
      <w:pPr>
        <w:spacing w:line="490" w:lineRule="exact"/>
        <w:ind w:firstLine="562" w:firstLineChars="200"/>
        <w:outlineLvl w:val="3"/>
        <w:rPr>
          <w:rFonts w:hint="eastAsia" w:ascii="宋体" w:hAnsi="宋体" w:eastAsia="宋体" w:cs="宋体"/>
          <w:b/>
          <w:sz w:val="28"/>
          <w:szCs w:val="28"/>
        </w:rPr>
      </w:pPr>
      <w:bookmarkStart w:id="3171" w:name="_Toc57049079"/>
      <w:bookmarkStart w:id="3172" w:name="_Toc52809939"/>
      <w:r>
        <w:rPr>
          <w:rFonts w:hint="eastAsia" w:ascii="宋体" w:hAnsi="宋体" w:eastAsia="宋体" w:cs="宋体"/>
          <w:b/>
          <w:sz w:val="28"/>
          <w:szCs w:val="28"/>
        </w:rPr>
        <w:t>5.8 环境保护要求</w:t>
      </w:r>
      <w:bookmarkEnd w:id="3171"/>
      <w:bookmarkEnd w:id="317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5.8.1 设计人在履行合同过程中，应遵守有关环境保护的法律，履行合同约定的环境保护义务，并对违反法律和合同约定义务所造成的环境破坏、人身伤害和财产损失负责。</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5.8.2 设计人应按合同约定的环保工作内容，编制环保措施计划，报送发包人批准。</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5.8.3 设计人应确保勘探过程中产生的气体排放物、粉尘、噪声、地面排水及排污等，符合法律规定和发包人要求。 </w:t>
      </w:r>
    </w:p>
    <w:p>
      <w:pPr>
        <w:spacing w:line="490" w:lineRule="exact"/>
        <w:ind w:firstLine="562" w:firstLineChars="200"/>
        <w:outlineLvl w:val="3"/>
        <w:rPr>
          <w:rFonts w:hint="eastAsia" w:ascii="宋体" w:hAnsi="宋体" w:eastAsia="宋体" w:cs="宋体"/>
          <w:b/>
          <w:sz w:val="28"/>
          <w:szCs w:val="28"/>
        </w:rPr>
      </w:pPr>
      <w:bookmarkStart w:id="3173" w:name="_Toc52809940"/>
      <w:bookmarkStart w:id="3174" w:name="_Toc57049080"/>
      <w:r>
        <w:rPr>
          <w:rFonts w:hint="eastAsia" w:ascii="宋体" w:hAnsi="宋体" w:eastAsia="宋体" w:cs="宋体"/>
          <w:b/>
          <w:sz w:val="28"/>
          <w:szCs w:val="28"/>
        </w:rPr>
        <w:t>5.9 事故处理要求</w:t>
      </w:r>
      <w:bookmarkEnd w:id="3173"/>
      <w:bookmarkEnd w:id="317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5.9.1 合同履行过程中发生事故的，设计人应立即通知发包人。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5.9.2 发包人和设计人应立即组织人员和设备进行紧急抢救和抢修，减少人员伤 亡和财产损失，防止事故扩大，并保护事故现场。需要移动现场物品时，应作出标 记和书面记录，妥善保管有关证据。发包人和设计人应按国家有关规定，及时如实 地向有关部门报告事故发生的情况，以及正在采取的紧急措施等。 </w:t>
      </w:r>
    </w:p>
    <w:p>
      <w:pPr>
        <w:spacing w:line="490" w:lineRule="exact"/>
        <w:ind w:firstLine="562" w:firstLineChars="200"/>
        <w:outlineLvl w:val="3"/>
        <w:rPr>
          <w:rFonts w:hint="eastAsia" w:ascii="宋体" w:hAnsi="宋体" w:eastAsia="宋体" w:cs="宋体"/>
          <w:b/>
          <w:sz w:val="28"/>
          <w:szCs w:val="28"/>
        </w:rPr>
      </w:pPr>
      <w:bookmarkStart w:id="3175" w:name="_Toc6302"/>
      <w:bookmarkStart w:id="3176" w:name="_Toc52809941"/>
      <w:bookmarkStart w:id="3177" w:name="_Toc57049081"/>
      <w:bookmarkStart w:id="3178" w:name="_Toc502903460"/>
      <w:r>
        <w:rPr>
          <w:rFonts w:hint="eastAsia" w:ascii="宋体" w:hAnsi="宋体" w:eastAsia="宋体" w:cs="宋体"/>
          <w:b/>
          <w:sz w:val="28"/>
          <w:szCs w:val="28"/>
        </w:rPr>
        <w:t>5.10 勘察设计文件要求</w:t>
      </w:r>
      <w:bookmarkEnd w:id="3175"/>
      <w:bookmarkEnd w:id="3176"/>
      <w:bookmarkEnd w:id="3177"/>
      <w:bookmarkEnd w:id="317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5.10.1 勘察设计文件的编制应符合法律法规、规范标准的强制性规定和发包人要求，相关勘察设计依据应完整、准确、可靠，技术服务方案论证充分，计算成果规范可靠，并能够实施。</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5.10.2 勘察设计服务应根据法律、规范标准和发包人要求，保证工程的合理使用寿命年限，并在勘察设计文件中予以注明。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5.10.3 勘察设计文件的深度应满足本合同相应勘察设计阶段的规定要求，满足发包人的下步工作需要，并应符合国家和行业现行规定。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5.10.4 勘察设计文件必须保证工程质量和施工安全等方面的要求，按照有关法律法规规定在勘察设计文件中提出保障施工作业人员安全和预防生产安全事故的措施建议。</w:t>
      </w:r>
    </w:p>
    <w:p>
      <w:pPr>
        <w:spacing w:line="490" w:lineRule="exact"/>
        <w:ind w:firstLine="562" w:firstLineChars="200"/>
        <w:outlineLvl w:val="2"/>
        <w:rPr>
          <w:rFonts w:hint="eastAsia" w:ascii="宋体" w:hAnsi="宋体" w:eastAsia="宋体" w:cs="宋体"/>
          <w:b/>
          <w:sz w:val="28"/>
          <w:szCs w:val="28"/>
        </w:rPr>
      </w:pPr>
      <w:bookmarkStart w:id="3179" w:name="_Toc502903461"/>
      <w:bookmarkStart w:id="3180" w:name="_Toc57049977"/>
      <w:bookmarkStart w:id="3181" w:name="_Toc52809942"/>
      <w:bookmarkStart w:id="3182" w:name="_Toc14607"/>
      <w:bookmarkStart w:id="3183" w:name="_Toc57049082"/>
      <w:bookmarkStart w:id="3184" w:name="_Toc8957"/>
      <w:r>
        <w:rPr>
          <w:rFonts w:hint="eastAsia" w:ascii="宋体" w:hAnsi="宋体" w:eastAsia="宋体" w:cs="宋体"/>
          <w:b/>
          <w:sz w:val="28"/>
          <w:szCs w:val="28"/>
        </w:rPr>
        <w:t>6．开始勘察设计和完成勘察设计</w:t>
      </w:r>
      <w:bookmarkEnd w:id="3179"/>
      <w:bookmarkEnd w:id="3180"/>
      <w:bookmarkEnd w:id="3181"/>
      <w:bookmarkEnd w:id="3182"/>
      <w:bookmarkEnd w:id="3183"/>
      <w:bookmarkEnd w:id="3184"/>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185" w:name="_Toc57049083"/>
      <w:bookmarkStart w:id="3186" w:name="_Toc52809943"/>
      <w:bookmarkStart w:id="3187" w:name="_Toc502903462"/>
      <w:r>
        <w:rPr>
          <w:rFonts w:hint="eastAsia" w:ascii="宋体" w:hAnsi="宋体" w:eastAsia="宋体" w:cs="宋体"/>
          <w:b/>
          <w:sz w:val="28"/>
          <w:szCs w:val="28"/>
        </w:rPr>
        <w:t>6.1 开始勘察设计</w:t>
      </w:r>
      <w:bookmarkEnd w:id="3185"/>
      <w:bookmarkEnd w:id="3186"/>
      <w:bookmarkEnd w:id="318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6.1.1 符合专用合同条款约定的开始勘察设计条件的，发包人应提前7天向设计人发出开始勘察设计通知。勘察设计服务期限自开始勘察设计通知中载明的开始勘察设计日期起计算。勘察设计服务周期安排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6.1.2 除专用合同条款另有约定外，因发包人原因造成合同签订之日起90天内未能发出开始勘察设计通知的，设计人有权提出价格调整要求，或者解除合同。发包人应承担由此增加的费用和（或）周期延误。 </w:t>
      </w:r>
    </w:p>
    <w:p>
      <w:pPr>
        <w:spacing w:line="490" w:lineRule="exact"/>
        <w:ind w:firstLine="562" w:firstLineChars="200"/>
        <w:outlineLvl w:val="3"/>
        <w:rPr>
          <w:rFonts w:hint="eastAsia" w:ascii="宋体" w:hAnsi="宋体" w:eastAsia="宋体" w:cs="宋体"/>
          <w:b/>
          <w:sz w:val="28"/>
          <w:szCs w:val="28"/>
        </w:rPr>
      </w:pPr>
      <w:bookmarkStart w:id="3188" w:name="_Toc9326"/>
      <w:bookmarkStart w:id="3189" w:name="_Toc502903463"/>
      <w:bookmarkStart w:id="3190" w:name="_Toc52809944"/>
      <w:bookmarkStart w:id="3191" w:name="_Toc57049084"/>
      <w:r>
        <w:rPr>
          <w:rFonts w:hint="eastAsia" w:ascii="宋体" w:hAnsi="宋体" w:eastAsia="宋体" w:cs="宋体"/>
          <w:b/>
          <w:sz w:val="28"/>
          <w:szCs w:val="28"/>
        </w:rPr>
        <w:t>6.2 发包人引起的周期延误</w:t>
      </w:r>
      <w:bookmarkEnd w:id="3188"/>
      <w:bookmarkEnd w:id="3189"/>
      <w:bookmarkEnd w:id="3190"/>
      <w:bookmarkEnd w:id="319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在履行合同过程中，由于发包人的下列原因造成勘察设计服务期限延误的，发包人应当延长勘察设计服务期限并增加服务费用，具体方法在专用合同条款中约定。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（1）合同变更；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（2）未按合同约定期限及时答复勘察设计事项；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（3）因发包人原因导致的暂停勘察设计；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（4）未按合同约定及时支付服务费用；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（5）发包人提供的基准资料错误；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（6）未及时按照履行合同约定的相关义务；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（7）未能按照合同约定期限对勘察设计文件进行审查；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（8）发包人造成周期延误的其他原因。 </w:t>
      </w:r>
    </w:p>
    <w:p>
      <w:pPr>
        <w:spacing w:line="490" w:lineRule="exact"/>
        <w:ind w:firstLine="562" w:firstLineChars="200"/>
        <w:outlineLvl w:val="3"/>
        <w:rPr>
          <w:rFonts w:hint="eastAsia" w:ascii="宋体" w:hAnsi="宋体" w:eastAsia="宋体" w:cs="宋体"/>
          <w:b/>
          <w:sz w:val="28"/>
          <w:szCs w:val="28"/>
        </w:rPr>
      </w:pPr>
      <w:bookmarkStart w:id="3192" w:name="_Toc52809945"/>
      <w:bookmarkStart w:id="3193" w:name="_Toc17482"/>
      <w:bookmarkStart w:id="3194" w:name="_Toc57049085"/>
      <w:bookmarkStart w:id="3195" w:name="_Toc502903464"/>
      <w:r>
        <w:rPr>
          <w:rFonts w:hint="eastAsia" w:ascii="宋体" w:hAnsi="宋体" w:eastAsia="宋体" w:cs="宋体"/>
          <w:b/>
          <w:sz w:val="28"/>
          <w:szCs w:val="28"/>
        </w:rPr>
        <w:t>6.3 设计人引起的周期延误</w:t>
      </w:r>
      <w:bookmarkEnd w:id="3192"/>
      <w:bookmarkEnd w:id="3193"/>
      <w:bookmarkEnd w:id="3194"/>
      <w:bookmarkEnd w:id="319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由于设计人原因造成周期延误，设计人应支付逾期违约金。逾期违约金的计算方法和最高限额在专用合同条款中约定。 </w:t>
      </w:r>
    </w:p>
    <w:p>
      <w:pPr>
        <w:spacing w:line="490" w:lineRule="exact"/>
        <w:ind w:firstLine="562" w:firstLineChars="200"/>
        <w:outlineLvl w:val="3"/>
        <w:rPr>
          <w:rFonts w:hint="eastAsia" w:ascii="宋体" w:hAnsi="宋体" w:eastAsia="宋体" w:cs="宋体"/>
          <w:b/>
          <w:sz w:val="28"/>
          <w:szCs w:val="28"/>
        </w:rPr>
      </w:pPr>
      <w:bookmarkStart w:id="3196" w:name="_Toc57049086"/>
      <w:bookmarkStart w:id="3197" w:name="_Toc502903465"/>
      <w:bookmarkStart w:id="3198" w:name="_Toc52809946"/>
      <w:bookmarkStart w:id="3199" w:name="_Toc16045"/>
      <w:r>
        <w:rPr>
          <w:rFonts w:hint="eastAsia" w:ascii="宋体" w:hAnsi="宋体" w:eastAsia="宋体" w:cs="宋体"/>
          <w:b/>
          <w:sz w:val="28"/>
          <w:szCs w:val="28"/>
        </w:rPr>
        <w:t>6.4 行政管理部门引起的周期延误</w:t>
      </w:r>
      <w:bookmarkEnd w:id="3196"/>
      <w:bookmarkEnd w:id="3197"/>
      <w:bookmarkEnd w:id="3198"/>
      <w:bookmarkEnd w:id="319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由于行政管理部门审查延迟原因造成费用增加和（或）周期延误的，由发包人承担。</w:t>
      </w:r>
    </w:p>
    <w:p>
      <w:pPr>
        <w:spacing w:line="490" w:lineRule="exact"/>
        <w:ind w:firstLine="562" w:firstLineChars="200"/>
        <w:outlineLvl w:val="3"/>
        <w:rPr>
          <w:rFonts w:hint="eastAsia" w:ascii="宋体" w:hAnsi="宋体" w:eastAsia="宋体" w:cs="宋体"/>
          <w:b/>
          <w:sz w:val="28"/>
          <w:szCs w:val="28"/>
        </w:rPr>
      </w:pPr>
      <w:bookmarkStart w:id="3200" w:name="_Toc57049087"/>
      <w:bookmarkStart w:id="3201" w:name="_Toc52809947"/>
      <w:r>
        <w:rPr>
          <w:rFonts w:hint="eastAsia" w:ascii="宋体" w:hAnsi="宋体" w:eastAsia="宋体" w:cs="宋体"/>
          <w:b/>
          <w:sz w:val="28"/>
          <w:szCs w:val="28"/>
        </w:rPr>
        <w:t>6.5 非人为因素引起的周期延误</w:t>
      </w:r>
      <w:bookmarkEnd w:id="3200"/>
      <w:bookmarkEnd w:id="320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6.5.1 由于出现专用合同条款规定的异常恶劣气候条件、不利物质条件等因素导致周期延误的，设计人有权要求发包人延长周期和（或）增加费用。</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 6.5.2 设计人发现地下文物或化石时，应按规定及时报告发包人和文物保护部门，并采取有效措施进行保护；设计人有权要求发包人延长周期和（或）增加费用。 </w:t>
      </w:r>
    </w:p>
    <w:p>
      <w:pPr>
        <w:spacing w:line="490" w:lineRule="exact"/>
        <w:ind w:firstLine="562" w:firstLineChars="200"/>
        <w:outlineLvl w:val="3"/>
        <w:rPr>
          <w:rFonts w:hint="eastAsia" w:ascii="宋体" w:hAnsi="宋体" w:eastAsia="宋体" w:cs="宋体"/>
          <w:b/>
          <w:sz w:val="28"/>
          <w:szCs w:val="28"/>
        </w:rPr>
      </w:pPr>
      <w:bookmarkStart w:id="3202" w:name="_Toc502903466"/>
      <w:bookmarkStart w:id="3203" w:name="_Toc9933"/>
      <w:bookmarkStart w:id="3204" w:name="_Toc52809948"/>
      <w:bookmarkStart w:id="3205" w:name="_Toc57049088"/>
      <w:r>
        <w:rPr>
          <w:rFonts w:hint="eastAsia" w:ascii="宋体" w:hAnsi="宋体" w:eastAsia="宋体" w:cs="宋体"/>
          <w:b/>
          <w:sz w:val="28"/>
          <w:szCs w:val="28"/>
        </w:rPr>
        <w:t>6.6 完成勘察设计</w:t>
      </w:r>
      <w:bookmarkEnd w:id="3202"/>
      <w:bookmarkEnd w:id="3203"/>
      <w:bookmarkEnd w:id="3204"/>
      <w:bookmarkEnd w:id="320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6.6.1 设计人完成勘察设计服务之后，应根据法律、规范标准、合同约定和发包人要求编制勘察设计文件。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6.6.2 勘察设计文件是工程勘察设计的最终成果和施工的重要依据，应根据本工程的勘察设计内容和不同阶段的勘察设计任务、目的和要求等进行编制。勘察设计文件的内容和深度应满足对应阶段的规范要求。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6.6.3 除专用合同条款另有约定外，勘察设计文件包括纸质文件和电子文件两种形式，两者若有不一致时，应以纸质文件为准。纸质文件一式八份，应加盖单位章和项目负责人注册执业印章；电子文件中的文字为 WORD 格式、图形为 CAD 格式，并应使用光盘和U盘分别贮存。</w:t>
      </w:r>
    </w:p>
    <w:p>
      <w:pPr>
        <w:spacing w:line="490" w:lineRule="exact"/>
        <w:ind w:firstLine="562" w:firstLineChars="200"/>
        <w:outlineLvl w:val="3"/>
        <w:rPr>
          <w:rFonts w:hint="eastAsia" w:ascii="宋体" w:hAnsi="宋体" w:eastAsia="宋体" w:cs="宋体"/>
          <w:b/>
          <w:sz w:val="28"/>
          <w:szCs w:val="28"/>
        </w:rPr>
      </w:pPr>
      <w:bookmarkStart w:id="3206" w:name="_Toc57049089"/>
      <w:bookmarkStart w:id="3207" w:name="_Toc30977"/>
      <w:bookmarkStart w:id="3208" w:name="_Toc52809949"/>
      <w:bookmarkStart w:id="3209" w:name="_Toc502903467"/>
      <w:r>
        <w:rPr>
          <w:rFonts w:hint="eastAsia" w:ascii="宋体" w:hAnsi="宋体" w:eastAsia="宋体" w:cs="宋体"/>
          <w:b/>
          <w:sz w:val="28"/>
          <w:szCs w:val="28"/>
        </w:rPr>
        <w:t>6.7 提前完成勘察设计</w:t>
      </w:r>
      <w:bookmarkEnd w:id="3206"/>
      <w:bookmarkEnd w:id="3207"/>
      <w:bookmarkEnd w:id="3208"/>
      <w:bookmarkEnd w:id="320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6.7.1 根据发包人要求或者基于专业能力判断，设计人认为能够提前完成勘察设计的，可向发包人递交一份提前完成勘察设计建议书，包括实施方案、提前时间、服务费用变动等内容。除专用合同条款另有约定之外，发包人接受建议书的，不因提前完成勘察设计而减少服务费用；增加服务费用的，所增费用由发包人承担。</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6.7.2 发包人要求提前完成勘察设计但设计人认为无法实施的，应在收到发包人书面指示后7天内提出异议，说明不能提前完成的理由。发包人应在收到异议后7天内予以答复。任何情况下，发包人不得压缩合理的勘察设计服务期限。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6.7.3 由于设计人提前完成勘察设计而给发包人带来经济效益的，发包人可以在专用合同条款中约定设计人因此获得的奖励内容。 </w:t>
      </w:r>
    </w:p>
    <w:p>
      <w:pPr>
        <w:spacing w:line="490" w:lineRule="exact"/>
        <w:ind w:firstLine="562" w:firstLineChars="200"/>
        <w:outlineLvl w:val="2"/>
        <w:rPr>
          <w:rFonts w:hint="eastAsia" w:ascii="宋体" w:hAnsi="宋体" w:eastAsia="宋体" w:cs="宋体"/>
          <w:b/>
          <w:sz w:val="28"/>
          <w:szCs w:val="28"/>
        </w:rPr>
      </w:pPr>
      <w:bookmarkStart w:id="3210" w:name="_Toc57049090"/>
      <w:bookmarkStart w:id="3211" w:name="_Toc52809950"/>
      <w:bookmarkStart w:id="3212" w:name="_Toc7244"/>
      <w:bookmarkStart w:id="3213" w:name="_Toc29017"/>
      <w:bookmarkStart w:id="3214" w:name="_Toc502903468"/>
      <w:bookmarkStart w:id="3215" w:name="_Toc57049978"/>
      <w:r>
        <w:rPr>
          <w:rFonts w:hint="eastAsia" w:ascii="宋体" w:hAnsi="宋体" w:eastAsia="宋体" w:cs="宋体"/>
          <w:b/>
          <w:sz w:val="28"/>
          <w:szCs w:val="28"/>
        </w:rPr>
        <w:t>7．暂停勘察设计</w:t>
      </w:r>
      <w:bookmarkEnd w:id="3210"/>
      <w:bookmarkEnd w:id="3211"/>
      <w:bookmarkEnd w:id="3212"/>
      <w:bookmarkEnd w:id="3213"/>
      <w:bookmarkEnd w:id="3214"/>
      <w:bookmarkEnd w:id="3215"/>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216" w:name="_Toc20326"/>
      <w:bookmarkStart w:id="3217" w:name="_Toc502903469"/>
      <w:bookmarkStart w:id="3218" w:name="_Toc57049091"/>
      <w:bookmarkStart w:id="3219" w:name="_Toc52809951"/>
      <w:r>
        <w:rPr>
          <w:rFonts w:hint="eastAsia" w:ascii="宋体" w:hAnsi="宋体" w:eastAsia="宋体" w:cs="宋体"/>
          <w:b/>
          <w:sz w:val="28"/>
          <w:szCs w:val="28"/>
        </w:rPr>
        <w:t>7.1 发包人原因暂停勘察设计</w:t>
      </w:r>
      <w:bookmarkEnd w:id="3216"/>
      <w:bookmarkEnd w:id="3217"/>
      <w:bookmarkEnd w:id="3218"/>
      <w:bookmarkEnd w:id="321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合同履行中发生下列情形之一的，设计人可向发包人发出通知，要求发包人采取有效措施予以纠正。发包人收到设计人通知后的 28 天内仍不履行合同义务时，设计人有权暂停勘察设计并通知发包人；发包人应承担由此导致的费用增加和（或）周期延误。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（1）发包人违约；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（2）发包人确定暂停勘察设计；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（3）合同约定由发包人承担责任的其他情形。 </w:t>
      </w:r>
    </w:p>
    <w:p>
      <w:pPr>
        <w:spacing w:line="490" w:lineRule="exact"/>
        <w:ind w:firstLine="562" w:firstLineChars="200"/>
        <w:outlineLvl w:val="3"/>
        <w:rPr>
          <w:rFonts w:hint="eastAsia" w:ascii="宋体" w:hAnsi="宋体" w:eastAsia="宋体" w:cs="宋体"/>
          <w:b/>
          <w:sz w:val="28"/>
          <w:szCs w:val="28"/>
        </w:rPr>
      </w:pPr>
      <w:bookmarkStart w:id="3220" w:name="_Toc25651"/>
      <w:bookmarkStart w:id="3221" w:name="_Toc57049092"/>
      <w:bookmarkStart w:id="3222" w:name="_Toc502903470"/>
      <w:bookmarkStart w:id="3223" w:name="_Toc52809952"/>
      <w:r>
        <w:rPr>
          <w:rFonts w:hint="eastAsia" w:ascii="宋体" w:hAnsi="宋体" w:eastAsia="宋体" w:cs="宋体"/>
          <w:b/>
          <w:sz w:val="28"/>
          <w:szCs w:val="28"/>
        </w:rPr>
        <w:t>7.2 设计人原因暂停勘察设计</w:t>
      </w:r>
      <w:bookmarkEnd w:id="3220"/>
      <w:bookmarkEnd w:id="3221"/>
      <w:bookmarkEnd w:id="3222"/>
      <w:bookmarkEnd w:id="322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合同履行中发生下列情形之一的，发包人可向设计人发出通知暂停勘察设计，由此造成费用的增加和（或）周期延误由设计人承担：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（1）设计人违约；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（2）设计人擅自暂停勘察设计；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（3）合同约定由设计人承担责任的其他情形。 </w:t>
      </w:r>
    </w:p>
    <w:p>
      <w:pPr>
        <w:spacing w:line="490" w:lineRule="exact"/>
        <w:ind w:firstLine="562" w:firstLineChars="200"/>
        <w:outlineLvl w:val="3"/>
        <w:rPr>
          <w:rFonts w:hint="eastAsia" w:ascii="宋体" w:hAnsi="宋体" w:eastAsia="宋体" w:cs="宋体"/>
          <w:b/>
          <w:sz w:val="28"/>
          <w:szCs w:val="28"/>
        </w:rPr>
      </w:pPr>
      <w:bookmarkStart w:id="3224" w:name="_Toc52809953"/>
      <w:bookmarkStart w:id="3225" w:name="_Toc57049093"/>
      <w:bookmarkStart w:id="3226" w:name="_Toc19546"/>
      <w:bookmarkStart w:id="3227" w:name="_Toc502903471"/>
      <w:r>
        <w:rPr>
          <w:rFonts w:hint="eastAsia" w:ascii="宋体" w:hAnsi="宋体" w:eastAsia="宋体" w:cs="宋体"/>
          <w:b/>
          <w:sz w:val="28"/>
          <w:szCs w:val="28"/>
        </w:rPr>
        <w:t>7.3 暂停期间的文件照管</w:t>
      </w:r>
      <w:bookmarkEnd w:id="3224"/>
      <w:bookmarkEnd w:id="3225"/>
      <w:bookmarkEnd w:id="3226"/>
      <w:bookmarkEnd w:id="322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不论由于何种原因引起暂停勘察设计的，暂停期间设计人应负责妥善保护已完部分的勘察设计文件，由此增加的费用由责任方承担。 </w:t>
      </w:r>
    </w:p>
    <w:p>
      <w:pPr>
        <w:spacing w:line="490" w:lineRule="exact"/>
        <w:ind w:firstLine="562" w:firstLineChars="200"/>
        <w:outlineLvl w:val="2"/>
        <w:rPr>
          <w:rFonts w:hint="eastAsia" w:ascii="宋体" w:hAnsi="宋体" w:eastAsia="宋体" w:cs="宋体"/>
          <w:b/>
          <w:sz w:val="28"/>
          <w:szCs w:val="28"/>
        </w:rPr>
      </w:pPr>
      <w:bookmarkStart w:id="3228" w:name="_Toc57049979"/>
      <w:bookmarkStart w:id="3229" w:name="_Toc17901"/>
      <w:bookmarkStart w:id="3230" w:name="_Toc502903472"/>
      <w:bookmarkStart w:id="3231" w:name="_Toc57049094"/>
      <w:bookmarkStart w:id="3232" w:name="_Toc52809954"/>
      <w:bookmarkStart w:id="3233" w:name="_Toc20023"/>
      <w:r>
        <w:rPr>
          <w:rFonts w:hint="eastAsia" w:ascii="宋体" w:hAnsi="宋体" w:eastAsia="宋体" w:cs="宋体"/>
          <w:b/>
          <w:sz w:val="28"/>
          <w:szCs w:val="28"/>
        </w:rPr>
        <w:t>8．勘察设计文件</w:t>
      </w:r>
      <w:bookmarkEnd w:id="3228"/>
      <w:bookmarkEnd w:id="3229"/>
      <w:bookmarkEnd w:id="3230"/>
      <w:bookmarkEnd w:id="3231"/>
      <w:bookmarkEnd w:id="3232"/>
      <w:bookmarkEnd w:id="3233"/>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234" w:name="_Toc52809955"/>
      <w:bookmarkStart w:id="3235" w:name="_Toc57049095"/>
      <w:bookmarkStart w:id="3236" w:name="_Toc502903473"/>
      <w:bookmarkStart w:id="3237" w:name="_Toc4622"/>
      <w:r>
        <w:rPr>
          <w:rFonts w:hint="eastAsia" w:ascii="宋体" w:hAnsi="宋体" w:eastAsia="宋体" w:cs="宋体"/>
          <w:b/>
          <w:sz w:val="28"/>
          <w:szCs w:val="28"/>
        </w:rPr>
        <w:t>8.1 勘察设计文件接收</w:t>
      </w:r>
      <w:bookmarkEnd w:id="3234"/>
      <w:bookmarkEnd w:id="3235"/>
      <w:bookmarkEnd w:id="3236"/>
      <w:bookmarkEnd w:id="323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8.1.1 发包人应当及时接收设计人提交的勘察设计文件。如无正当理由拒收的，视为发包人已经接收勘察设计文件。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8.1.2 发包人接收勘察设计文件时，应向设计人出具文件签收凭证，凭证内容包括文件名称、文件内容、文件形式、份数、提交和接收日期、提交人与接收人的亲笔签名等。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8.1.3 勘察设计文件提交的份数、内容、纸幅、装订格式、电子文件、展板、模型、沙盘、动画等要求，在专用合同条款中约定。 </w:t>
      </w:r>
    </w:p>
    <w:p>
      <w:pPr>
        <w:spacing w:line="490" w:lineRule="exact"/>
        <w:ind w:firstLine="562" w:firstLineChars="200"/>
        <w:outlineLvl w:val="3"/>
        <w:rPr>
          <w:rFonts w:hint="eastAsia" w:ascii="宋体" w:hAnsi="宋体" w:eastAsia="宋体" w:cs="宋体"/>
          <w:b/>
          <w:sz w:val="28"/>
          <w:szCs w:val="28"/>
        </w:rPr>
      </w:pPr>
      <w:bookmarkStart w:id="3238" w:name="_Toc502903474"/>
      <w:bookmarkStart w:id="3239" w:name="_Toc52809956"/>
      <w:bookmarkStart w:id="3240" w:name="_Toc22091"/>
      <w:bookmarkStart w:id="3241" w:name="_Toc57049096"/>
      <w:r>
        <w:rPr>
          <w:rFonts w:hint="eastAsia" w:ascii="宋体" w:hAnsi="宋体" w:eastAsia="宋体" w:cs="宋体"/>
          <w:b/>
          <w:sz w:val="28"/>
          <w:szCs w:val="28"/>
        </w:rPr>
        <w:t>8.2 发包人审查勘察设计文件</w:t>
      </w:r>
      <w:bookmarkEnd w:id="3238"/>
      <w:bookmarkEnd w:id="3239"/>
      <w:bookmarkEnd w:id="3240"/>
      <w:bookmarkEnd w:id="3241"/>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8.2.1 发包人接收勘察设计文件之后，可以自行或者组织专家会进行审查，设计人应给予配合。审查标准应符合法律、规范标准、合同约定和发包人要求等；审查的具体范围、明细内容和费用分担原则，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8.2.2 除专用合同条款另有约定外，发包人对于勘察设计文件的审查期限，自文件接收之日起不应超过 14 天。发包人逾期未作出审查结论且未提出异议的，视为设计人的勘察设计文件已经通过发包人审查。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8.2.3 发包人审查后不同意勘察设计文件的，应以书面形式通知设计人，说明审 查不通过的理由及其具体内容。设计人应根据发包人的审查意见修改完善勘察设计 文件，并重新报送发包人审查，审查期限重新起算。 </w:t>
      </w:r>
    </w:p>
    <w:p>
      <w:pPr>
        <w:spacing w:line="490" w:lineRule="exact"/>
        <w:ind w:firstLine="562" w:firstLineChars="200"/>
        <w:outlineLvl w:val="3"/>
        <w:rPr>
          <w:rFonts w:hint="eastAsia" w:ascii="宋体" w:hAnsi="宋体" w:eastAsia="宋体" w:cs="宋体"/>
          <w:b/>
          <w:sz w:val="28"/>
          <w:szCs w:val="28"/>
        </w:rPr>
      </w:pPr>
      <w:bookmarkStart w:id="3242" w:name="_Toc502903475"/>
      <w:bookmarkStart w:id="3243" w:name="_Toc22055"/>
      <w:bookmarkStart w:id="3244" w:name="_Toc57049097"/>
      <w:bookmarkStart w:id="3245" w:name="_Toc52809957"/>
      <w:r>
        <w:rPr>
          <w:rFonts w:hint="eastAsia" w:ascii="宋体" w:hAnsi="宋体" w:eastAsia="宋体" w:cs="宋体"/>
          <w:b/>
          <w:sz w:val="28"/>
          <w:szCs w:val="28"/>
        </w:rPr>
        <w:t>8.3 审查机构审查勘察设计文件</w:t>
      </w:r>
      <w:bookmarkEnd w:id="3242"/>
      <w:bookmarkEnd w:id="3243"/>
      <w:bookmarkEnd w:id="3244"/>
      <w:bookmarkEnd w:id="324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8.3.1 勘察设计文件需经政府有关部门审查或批准的，发包人应在审查同意后，按照有关主管部门要求，将勘察设计文件和相关资料报送审查机构进行审查。发包人的审查和审查机构的审查不减免设计人因为质量问题而应承担的勘察设计责任。</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8.3.2对于有关审查机构的审查意见，如不需要修改发包人要求的，应由设计人按照审查意见修改完善勘察设计文件；如需修改发包人要求的，则由发包人重新修改和提出发包人要求，再由设计人根据新的发包人要求修改完善勘察设计文件。</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8.3.3由于自身原因造成勘察设计文件未通过审查机构审查的，设计人应承担违约责任，采取补救措施直至达到合同约定的质量标准，并自行承担由此导致的费用增加和（或）周期延误。 </w:t>
      </w:r>
    </w:p>
    <w:p>
      <w:pPr>
        <w:spacing w:line="490" w:lineRule="exact"/>
        <w:ind w:firstLine="562" w:firstLineChars="200"/>
        <w:outlineLvl w:val="2"/>
        <w:rPr>
          <w:rFonts w:hint="eastAsia" w:ascii="宋体" w:hAnsi="宋体" w:eastAsia="宋体" w:cs="宋体"/>
          <w:b/>
          <w:sz w:val="28"/>
          <w:szCs w:val="28"/>
        </w:rPr>
      </w:pPr>
      <w:bookmarkStart w:id="3246" w:name="_Toc9663"/>
      <w:bookmarkStart w:id="3247" w:name="_Toc502903476"/>
      <w:bookmarkStart w:id="3248" w:name="_Toc52809958"/>
      <w:bookmarkStart w:id="3249" w:name="_Toc57049098"/>
      <w:bookmarkStart w:id="3250" w:name="_Toc57049980"/>
      <w:bookmarkStart w:id="3251" w:name="_Toc23946"/>
      <w:r>
        <w:rPr>
          <w:rFonts w:hint="eastAsia" w:ascii="宋体" w:hAnsi="宋体" w:eastAsia="宋体" w:cs="宋体"/>
          <w:b/>
          <w:sz w:val="28"/>
          <w:szCs w:val="28"/>
        </w:rPr>
        <w:t>9．勘察设计责任与保险</w:t>
      </w:r>
      <w:bookmarkEnd w:id="3246"/>
      <w:bookmarkEnd w:id="3247"/>
      <w:bookmarkEnd w:id="3248"/>
      <w:bookmarkEnd w:id="3249"/>
      <w:bookmarkEnd w:id="3250"/>
      <w:bookmarkEnd w:id="3251"/>
    </w:p>
    <w:p>
      <w:pPr>
        <w:spacing w:line="490" w:lineRule="exact"/>
        <w:ind w:firstLine="562" w:firstLineChars="200"/>
        <w:outlineLvl w:val="3"/>
        <w:rPr>
          <w:rFonts w:hint="eastAsia" w:ascii="宋体" w:hAnsi="宋体" w:eastAsia="宋体" w:cs="宋体"/>
          <w:b/>
          <w:sz w:val="28"/>
          <w:szCs w:val="28"/>
        </w:rPr>
      </w:pPr>
      <w:bookmarkStart w:id="3252" w:name="_Toc52809959"/>
      <w:bookmarkStart w:id="3253" w:name="_Toc57049099"/>
      <w:bookmarkStart w:id="3254" w:name="_Toc11374"/>
      <w:bookmarkStart w:id="3255" w:name="_Toc502903477"/>
      <w:r>
        <w:rPr>
          <w:rFonts w:hint="eastAsia" w:ascii="宋体" w:hAnsi="宋体" w:eastAsia="宋体" w:cs="宋体"/>
          <w:b/>
          <w:sz w:val="28"/>
          <w:szCs w:val="28"/>
        </w:rPr>
        <w:t>9.1 工作质量责任</w:t>
      </w:r>
      <w:bookmarkEnd w:id="3252"/>
      <w:bookmarkEnd w:id="3253"/>
      <w:bookmarkEnd w:id="3254"/>
      <w:bookmarkEnd w:id="325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9.1.1 勘察设计工作质量应满足法律规定、规范标准、合同约定和发包人要求等。</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9.1.2 设计人应做好勘察设计服务的质量与技术管理工作，建立健全内部质量管理体系和质量责任制度，加强勘察设计服务全过程的质量控制，建立完整的勘察设计文件的设计、复核、审核、会签和批准制度，明确各阶段的责任人。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9.1.3 设计人应强化现场作业质量和试验工作管理，保证原始记录和试验数据的可靠性、真实性和完整性，严禁离开现场进行追记、补记和修改记录。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9.1.4 设计人应按合同约定对勘察设计服务进行全过程的质量检查和检验，并作详细记录，编制勘察设计工作质量报表，报送发包人审查。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9.1.5 发包人有权对勘察设计工作质量进行检查和审核。设计人应为发包人的检查和检验提供方便，包括发包人到勘察设计场地、试验室或合同约定的其他地方进行察看，查阅、审核勘察设计的原始记录和其他文件。发包人的检查和审核，不免除设计人按合同约定应负的责任。</w:t>
      </w:r>
    </w:p>
    <w:p>
      <w:pPr>
        <w:spacing w:line="490" w:lineRule="exact"/>
        <w:ind w:firstLine="562" w:firstLineChars="200"/>
        <w:outlineLvl w:val="3"/>
        <w:rPr>
          <w:rFonts w:hint="eastAsia" w:ascii="宋体" w:hAnsi="宋体" w:eastAsia="宋体" w:cs="宋体"/>
          <w:b/>
          <w:sz w:val="28"/>
          <w:szCs w:val="28"/>
        </w:rPr>
      </w:pPr>
      <w:bookmarkStart w:id="3256" w:name="_Toc502903478"/>
      <w:bookmarkStart w:id="3257" w:name="_Toc52809960"/>
      <w:bookmarkStart w:id="3258" w:name="_Toc25285"/>
      <w:bookmarkStart w:id="3259" w:name="_Toc57049100"/>
      <w:r>
        <w:rPr>
          <w:rFonts w:hint="eastAsia" w:ascii="宋体" w:hAnsi="宋体" w:eastAsia="宋体" w:cs="宋体"/>
          <w:b/>
          <w:sz w:val="28"/>
          <w:szCs w:val="28"/>
        </w:rPr>
        <w:t>9.2 勘察设计文件错误责任</w:t>
      </w:r>
      <w:bookmarkEnd w:id="3256"/>
      <w:bookmarkEnd w:id="3257"/>
      <w:bookmarkEnd w:id="3258"/>
      <w:bookmarkEnd w:id="3259"/>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9.2.1勘察设计文件存在错误、遗漏、含混、矛盾、不充分之处或其他缺陷，无论设计人是否通过了发包人审查或审查机构审查，设计人均应自费对前述问题带来的缺陷和工程问题进行改正，但因第 1.6.2 项约定由发包人提供的文件错误导致的除外。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9.2.2 因设计人原因造成勘察设计文件不合格的，发包人有权要求设计人采取补救措施，直至达到合同要求的质量标准，并按第 14.1 款的约定承担责任。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9.2.3因发包人原因造成勘察设计文件不合格的，设计人应当采取补救措施，直至达到合同要求的质量标准，由此造成的服务费用增加和（或）勘察设计服务期限延误由发包人承担。 </w:t>
      </w:r>
    </w:p>
    <w:p>
      <w:pPr>
        <w:spacing w:line="490" w:lineRule="exact"/>
        <w:ind w:firstLine="562" w:firstLineChars="200"/>
        <w:outlineLvl w:val="3"/>
        <w:rPr>
          <w:rFonts w:hint="eastAsia" w:ascii="宋体" w:hAnsi="宋体" w:eastAsia="宋体" w:cs="宋体"/>
          <w:b/>
          <w:sz w:val="28"/>
          <w:szCs w:val="28"/>
        </w:rPr>
      </w:pPr>
      <w:bookmarkStart w:id="3260" w:name="_Toc502903479"/>
      <w:bookmarkStart w:id="3261" w:name="_Toc52809961"/>
      <w:bookmarkStart w:id="3262" w:name="_Toc8230"/>
      <w:bookmarkStart w:id="3263" w:name="_Toc57049101"/>
      <w:r>
        <w:rPr>
          <w:rFonts w:hint="eastAsia" w:ascii="宋体" w:hAnsi="宋体" w:eastAsia="宋体" w:cs="宋体"/>
          <w:b/>
          <w:sz w:val="28"/>
          <w:szCs w:val="28"/>
        </w:rPr>
        <w:t>9.3 勘察设计责任主体</w:t>
      </w:r>
      <w:bookmarkEnd w:id="3260"/>
      <w:bookmarkEnd w:id="3261"/>
      <w:bookmarkEnd w:id="3262"/>
      <w:bookmarkEnd w:id="3263"/>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9.3.1 设计人应运用一切合理的专业技术、知识技能和项目经验，按照职业道德准则和行业公认标准尽其全部职责，勤勉、谨慎、公正地履行其在本合同项下的责任和义务。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9.3.2 设计责任为设计单位项目负责人终身责任制。项目负责人应当保证设计文件符合法律法规和工程建设强制性标准的要求，对因设计导致的工程质量事故或质量问题承担责任。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9.3.3 项目负责人应当按照有关规定在办理工程质量监督手续前签署工程质量终身责任承诺书，连同法定代表人出具的授权书，报工程质量监督机构备案。 </w:t>
      </w:r>
    </w:p>
    <w:p>
      <w:pPr>
        <w:spacing w:line="490" w:lineRule="exact"/>
        <w:ind w:firstLine="562" w:firstLineChars="200"/>
        <w:outlineLvl w:val="3"/>
        <w:rPr>
          <w:rFonts w:hint="eastAsia" w:ascii="宋体" w:hAnsi="宋体" w:eastAsia="宋体" w:cs="宋体"/>
          <w:b/>
          <w:sz w:val="28"/>
          <w:szCs w:val="28"/>
        </w:rPr>
      </w:pPr>
      <w:bookmarkStart w:id="3264" w:name="_Toc10883"/>
      <w:bookmarkStart w:id="3265" w:name="_Toc502903480"/>
      <w:bookmarkStart w:id="3266" w:name="_Toc52809962"/>
      <w:bookmarkStart w:id="3267" w:name="_Toc57049102"/>
      <w:r>
        <w:rPr>
          <w:rFonts w:hint="eastAsia" w:ascii="宋体" w:hAnsi="宋体" w:eastAsia="宋体" w:cs="宋体"/>
          <w:b/>
          <w:sz w:val="28"/>
          <w:szCs w:val="28"/>
        </w:rPr>
        <w:t>9.4 勘察设计责任保险</w:t>
      </w:r>
      <w:bookmarkEnd w:id="3264"/>
      <w:bookmarkEnd w:id="3265"/>
      <w:bookmarkEnd w:id="3266"/>
      <w:bookmarkEnd w:id="3267"/>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9.4.1 除专用合同条款另有约定外，设计人应具有发包人认可的、履行本合同所需要的工程勘察设计责任险，于合同签订后 28 天内向发包人提交工程勘察设计责任险的保险单副本或者其他有效证明，并在合同履行期间保持足额、有效。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9.4.2 工程勘察设计责任险的保险范围，应当包括由于设计人的疏忽或过失而造成的工程质量事故损失，以及由于事故引发的第三者人身伤亡、财产损失或费用赔偿等。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9.4.3 发生工程勘察设计保险事故后，设计人应按保险人要求进行报告，并负责办理保险理赔业务；保险金不足以补偿损失的，由设计人自行补偿。 </w:t>
      </w:r>
    </w:p>
    <w:p>
      <w:pPr>
        <w:spacing w:line="490" w:lineRule="exact"/>
        <w:ind w:firstLine="562" w:firstLineChars="200"/>
        <w:outlineLvl w:val="2"/>
        <w:rPr>
          <w:rFonts w:hint="eastAsia" w:ascii="宋体" w:hAnsi="宋体" w:eastAsia="宋体" w:cs="宋体"/>
          <w:b/>
          <w:sz w:val="28"/>
          <w:szCs w:val="28"/>
        </w:rPr>
      </w:pPr>
      <w:bookmarkStart w:id="3268" w:name="_Toc57049103"/>
      <w:bookmarkStart w:id="3269" w:name="_Toc52809963"/>
      <w:bookmarkStart w:id="3270" w:name="_Toc502903481"/>
      <w:bookmarkStart w:id="3271" w:name="_Toc5821"/>
      <w:bookmarkStart w:id="3272" w:name="_Toc22748"/>
      <w:bookmarkStart w:id="3273" w:name="_Toc57049981"/>
      <w:r>
        <w:rPr>
          <w:rFonts w:hint="eastAsia" w:ascii="宋体" w:hAnsi="宋体" w:eastAsia="宋体" w:cs="宋体"/>
          <w:b/>
          <w:sz w:val="28"/>
          <w:szCs w:val="28"/>
        </w:rPr>
        <w:t>10．招标和施工期间配合</w:t>
      </w:r>
      <w:bookmarkEnd w:id="3268"/>
      <w:bookmarkEnd w:id="3269"/>
      <w:bookmarkEnd w:id="3270"/>
      <w:bookmarkEnd w:id="3271"/>
      <w:bookmarkEnd w:id="3272"/>
      <w:bookmarkEnd w:id="3273"/>
    </w:p>
    <w:p>
      <w:pPr>
        <w:spacing w:line="490" w:lineRule="exact"/>
        <w:ind w:firstLine="562" w:firstLineChars="200"/>
        <w:outlineLvl w:val="3"/>
        <w:rPr>
          <w:rFonts w:hint="eastAsia" w:ascii="宋体" w:hAnsi="宋体" w:eastAsia="宋体" w:cs="宋体"/>
          <w:b/>
          <w:sz w:val="28"/>
          <w:szCs w:val="28"/>
        </w:rPr>
      </w:pPr>
      <w:bookmarkStart w:id="3274" w:name="_Toc57049104"/>
      <w:bookmarkStart w:id="3275" w:name="_Toc52809964"/>
      <w:r>
        <w:rPr>
          <w:rFonts w:hint="eastAsia" w:ascii="宋体" w:hAnsi="宋体" w:eastAsia="宋体" w:cs="宋体"/>
          <w:b/>
          <w:sz w:val="28"/>
          <w:szCs w:val="28"/>
        </w:rPr>
        <w:t>10.1 招标期间配合</w:t>
      </w:r>
      <w:bookmarkEnd w:id="3274"/>
      <w:bookmarkEnd w:id="3275"/>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10.1.1 招标配合指设计人配合发包人进行各项招标工作。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10.1.2 招标人应按发包人规定的时间提供各标段施工招标所需的工程数量和工程说明；按发包人规定的时间提供各标段的施工招标图纸、工程量清单和参考资料；按发包人要求安排相关人员参加标前会，就有关设计问题进行答疑。</w:t>
      </w:r>
    </w:p>
    <w:p>
      <w:pPr>
        <w:spacing w:line="490" w:lineRule="exact"/>
        <w:ind w:firstLine="562" w:firstLineChars="200"/>
        <w:outlineLvl w:val="3"/>
        <w:rPr>
          <w:rFonts w:hint="eastAsia" w:ascii="宋体" w:hAnsi="宋体" w:eastAsia="宋体" w:cs="宋体"/>
          <w:b/>
          <w:sz w:val="28"/>
          <w:szCs w:val="28"/>
        </w:rPr>
      </w:pPr>
      <w:bookmarkStart w:id="3276" w:name="_Toc52809965"/>
      <w:bookmarkStart w:id="3277" w:name="_Toc57049105"/>
      <w:r>
        <w:rPr>
          <w:rFonts w:hint="eastAsia" w:ascii="宋体" w:hAnsi="宋体" w:eastAsia="宋体" w:cs="宋体"/>
          <w:b/>
          <w:sz w:val="28"/>
          <w:szCs w:val="28"/>
        </w:rPr>
        <w:t>10.2 施工期间配合</w:t>
      </w:r>
      <w:bookmarkEnd w:id="3276"/>
      <w:bookmarkEnd w:id="3277"/>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10.2.1施工配合指设计人配合施工承包人，在施工期间提供的补充勘察、设计服务或其他配合工作，直至工程通过竣工验收为止。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10.2.2 除专用合同条款另有约定外，发包人应为设计人派赴施工现场的工作人员，在施工期间提供办公房间、办公桌椅、互联网接口、冷暖设施、生活设施、进出现场交通服务和其他便利条件。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10.2.3 设计人应在本工程的施工期间，积极提供勘察设计配合服务，包括并不限于设计技术交底、施工现场服务、参与施工过程验收、参与工程竣工验收等工作。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10.2.4 发包人应当组织设计技术交底会，由设计人向发包人、监理人和施工承包人等进行设计交底，对本工程的设计意图、设计文件和施工要求等进行系统地说明和解释。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10.2.5 工程施工完毕后，发包人应当组织投产试车（试运行）和工程竣工验收，设计人参加验收并出具本单位的验收结论。如因勘察设计原因致使工程不合格的，设计人应当承担违约责任，免费修改勘察设计文件和赔偿发包人由此产生的经济损失。</w:t>
      </w:r>
    </w:p>
    <w:p>
      <w:pPr>
        <w:spacing w:line="490" w:lineRule="exact"/>
        <w:ind w:firstLine="562" w:firstLineChars="200"/>
        <w:outlineLvl w:val="2"/>
        <w:rPr>
          <w:rFonts w:hint="eastAsia" w:ascii="宋体" w:hAnsi="宋体" w:eastAsia="宋体" w:cs="宋体"/>
          <w:b/>
          <w:sz w:val="28"/>
          <w:szCs w:val="28"/>
        </w:rPr>
      </w:pPr>
      <w:bookmarkStart w:id="3278" w:name="_Toc52809966"/>
      <w:bookmarkStart w:id="3279" w:name="_Toc57049106"/>
      <w:bookmarkStart w:id="3280" w:name="_Toc24245"/>
      <w:bookmarkStart w:id="3281" w:name="_Toc502903482"/>
      <w:bookmarkStart w:id="3282" w:name="_Toc57049982"/>
      <w:r>
        <w:rPr>
          <w:rFonts w:hint="eastAsia" w:ascii="宋体" w:hAnsi="宋体" w:eastAsia="宋体" w:cs="宋体"/>
          <w:b/>
          <w:sz w:val="28"/>
          <w:szCs w:val="28"/>
        </w:rPr>
        <w:t>11．合同变更</w:t>
      </w:r>
      <w:bookmarkEnd w:id="3278"/>
      <w:bookmarkEnd w:id="3279"/>
      <w:bookmarkEnd w:id="3280"/>
      <w:bookmarkEnd w:id="3281"/>
      <w:bookmarkEnd w:id="3282"/>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283" w:name="_Toc502903483"/>
      <w:bookmarkStart w:id="3284" w:name="_Toc12011"/>
      <w:bookmarkStart w:id="3285" w:name="_Toc57049107"/>
      <w:bookmarkStart w:id="3286" w:name="_Toc52809967"/>
      <w:r>
        <w:rPr>
          <w:rFonts w:hint="eastAsia" w:ascii="宋体" w:hAnsi="宋体" w:eastAsia="宋体" w:cs="宋体"/>
          <w:b/>
          <w:sz w:val="28"/>
          <w:szCs w:val="28"/>
        </w:rPr>
        <w:t>11.1 变更情形</w:t>
      </w:r>
      <w:bookmarkEnd w:id="3283"/>
      <w:bookmarkEnd w:id="3284"/>
      <w:bookmarkEnd w:id="3285"/>
      <w:bookmarkEnd w:id="328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11.1.1 合同履行中发生下述情形时，合同一方均可向对方提出变更请求，经双方协商一致后进行变更，勘察设计服务期限和服务费用的调整方法在专用合同条款中约定。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（1）勘察设计范围发生变化；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（2）除不可抗力外，非设计人的原因引起的周期延误；</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（3）非设计人的原因，对工程同一部分重复进行勘察设计；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（4）非设计人的原因，对工程暂停勘察设计及恢复勘察设计。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11.1.2 基准日后，因颁布新的或修订原有法律、法规、规范和标准等引发合同变更情形的，按照上述约定进行调整。 </w:t>
      </w:r>
    </w:p>
    <w:p>
      <w:pPr>
        <w:spacing w:line="490" w:lineRule="exact"/>
        <w:ind w:firstLine="562" w:firstLineChars="200"/>
        <w:outlineLvl w:val="3"/>
        <w:rPr>
          <w:rFonts w:hint="eastAsia" w:ascii="宋体" w:hAnsi="宋体" w:eastAsia="宋体" w:cs="宋体"/>
          <w:b/>
          <w:sz w:val="28"/>
          <w:szCs w:val="28"/>
        </w:rPr>
      </w:pPr>
      <w:bookmarkStart w:id="3287" w:name="_Toc52809968"/>
      <w:bookmarkStart w:id="3288" w:name="_Toc57049108"/>
      <w:bookmarkStart w:id="3289" w:name="_Toc2994"/>
      <w:bookmarkStart w:id="3290" w:name="_Toc502903484"/>
      <w:r>
        <w:rPr>
          <w:rFonts w:hint="eastAsia" w:ascii="宋体" w:hAnsi="宋体" w:eastAsia="宋体" w:cs="宋体"/>
          <w:b/>
          <w:sz w:val="28"/>
          <w:szCs w:val="28"/>
        </w:rPr>
        <w:t>11.2 合理化建议</w:t>
      </w:r>
      <w:bookmarkEnd w:id="3287"/>
      <w:bookmarkEnd w:id="3288"/>
      <w:bookmarkEnd w:id="3289"/>
      <w:bookmarkEnd w:id="329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11.2.1 合同履行中，设计人可对发包人要求提出合理化建议。合理化建议应以书面形式提交发包人，被发包人采纳并构成变更的，执行第11.1款约定。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 xml:space="preserve">11.2.2 设计人提出的合理化建议降低了工程投资、缩短了施工期限或者提高了工程经济效益的，发包人应按专用合同条款中的约定给予奖励。 </w:t>
      </w:r>
    </w:p>
    <w:p>
      <w:pPr>
        <w:spacing w:line="490" w:lineRule="exact"/>
        <w:ind w:firstLine="562" w:firstLineChars="200"/>
        <w:outlineLvl w:val="2"/>
        <w:rPr>
          <w:rFonts w:hint="eastAsia" w:ascii="宋体" w:hAnsi="宋体" w:eastAsia="宋体" w:cs="宋体"/>
          <w:b/>
          <w:sz w:val="28"/>
          <w:szCs w:val="28"/>
        </w:rPr>
      </w:pPr>
      <w:bookmarkStart w:id="3291" w:name="_Toc52809969"/>
      <w:bookmarkStart w:id="3292" w:name="_Toc57049109"/>
      <w:bookmarkStart w:id="3293" w:name="_Toc57049983"/>
      <w:bookmarkStart w:id="3294" w:name="_Toc502903485"/>
      <w:bookmarkStart w:id="3295" w:name="_Toc28901"/>
      <w:bookmarkStart w:id="3296" w:name="_Toc29975"/>
      <w:r>
        <w:rPr>
          <w:rFonts w:hint="eastAsia" w:ascii="宋体" w:hAnsi="宋体" w:eastAsia="宋体" w:cs="宋体"/>
          <w:b/>
          <w:sz w:val="28"/>
          <w:szCs w:val="28"/>
        </w:rPr>
        <w:t>12. 合同价格与支付</w:t>
      </w:r>
      <w:bookmarkEnd w:id="3291"/>
      <w:bookmarkEnd w:id="3292"/>
      <w:bookmarkEnd w:id="3293"/>
      <w:bookmarkEnd w:id="3294"/>
      <w:bookmarkEnd w:id="3295"/>
      <w:bookmarkEnd w:id="3296"/>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297" w:name="_Toc57049110"/>
      <w:bookmarkStart w:id="3298" w:name="_Toc6634"/>
      <w:bookmarkStart w:id="3299" w:name="_Toc502903486"/>
      <w:bookmarkStart w:id="3300" w:name="_Toc52809970"/>
      <w:r>
        <w:rPr>
          <w:rFonts w:hint="eastAsia" w:ascii="宋体" w:hAnsi="宋体" w:eastAsia="宋体" w:cs="宋体"/>
          <w:b/>
          <w:sz w:val="28"/>
          <w:szCs w:val="28"/>
        </w:rPr>
        <w:t>12.1 合同价格</w:t>
      </w:r>
      <w:bookmarkEnd w:id="3297"/>
      <w:bookmarkEnd w:id="3298"/>
      <w:bookmarkEnd w:id="3299"/>
      <w:bookmarkEnd w:id="330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12.1.1 本合同的价款确定方式、调整方式和风险范围划分，在专用合同条款中约定。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12.1.2服务费用实行发包人签证制度，即设计人完成勘察设计项目后通知发包人进行验收，通过验收后由发包人代表对实施的勘察设计项目、数量、质量和实施时间签字确认，以此作为计算服务费用的依据之一。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12.1.3除专用合同条款另有约定外，合同价格应当包括收集资料，踏勘现场，制订纲要，进行测绘、勘探、取样、试验、测试、分析、设计、评估、审查等，编制勘察设计文件，招标与施工配合，青苗和园林绿化补偿，占地补偿，扰民及民扰，占道施工，安全防护、文明施工、环境保护，农民工工伤保险等全部费用和国家规定的增值税税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12.1.4 发包人要求设计人进行外出考察、试验检测、专项咨询或专家评审时，相应费用不含在合同价格之中，由发包人另行支付。</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12.1.5 设计人为联合体的，发包人应根据勘察设计工作进展向联合体牵头人支付服务费用，由联合体牵头人根据联合体各成员及分包人（如有）实际完成的工作量及完成质量，向联合体各成员及分包人支付合同价款，由此发生的税费等费用统一包含在合同价格内，发包人不另行支付。联合体牵头人提出书面申请时，发包人也可直接向联合体各成员支付合同价款。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12.1.6 发包人向设计人实际支付的勘察设计费，将不高于初步设计审批概算中相应勘察设计费的审批额，除非勘察设计费审批额依法予以调整。勘察设计费超出审批额部分发包人将予以扣除，合同价格相应变更，不足部分发包人将不另行支付。 </w:t>
      </w:r>
    </w:p>
    <w:p>
      <w:pPr>
        <w:spacing w:line="490" w:lineRule="exact"/>
        <w:ind w:firstLine="562" w:firstLineChars="200"/>
        <w:outlineLvl w:val="3"/>
        <w:rPr>
          <w:rFonts w:hint="eastAsia" w:ascii="宋体" w:hAnsi="宋体" w:eastAsia="宋体" w:cs="宋体"/>
          <w:b/>
          <w:sz w:val="28"/>
          <w:szCs w:val="28"/>
        </w:rPr>
      </w:pPr>
      <w:bookmarkStart w:id="3301" w:name="_Toc52809971"/>
      <w:bookmarkStart w:id="3302" w:name="_Toc10206"/>
      <w:bookmarkStart w:id="3303" w:name="_Toc502903487"/>
      <w:bookmarkStart w:id="3304" w:name="_Toc57049111"/>
      <w:r>
        <w:rPr>
          <w:rFonts w:hint="eastAsia" w:ascii="宋体" w:hAnsi="宋体" w:eastAsia="宋体" w:cs="宋体"/>
          <w:b/>
          <w:sz w:val="28"/>
          <w:szCs w:val="28"/>
        </w:rPr>
        <w:t>12.2定金或预付款</w:t>
      </w:r>
      <w:bookmarkEnd w:id="3301"/>
      <w:bookmarkEnd w:id="3302"/>
      <w:bookmarkEnd w:id="3303"/>
      <w:bookmarkEnd w:id="330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12.2.1定金或预付款应专用于本工程的勘察设计。定金或预付款的额度、支付方式及抵扣方式在专用合同条款中约定。</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12.2.2 发包人应在收到定金或预付款支付申请后28天内，将定金或预付款支付给设计人；设计人应当提供等额的增值税专用发票。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12.2.3 设计服务完成之前，由于不可抗力或其他非设计人的原因解除合同时，定金不予退还。 </w:t>
      </w:r>
    </w:p>
    <w:p>
      <w:pPr>
        <w:spacing w:line="490" w:lineRule="exact"/>
        <w:ind w:firstLine="562" w:firstLineChars="200"/>
        <w:outlineLvl w:val="3"/>
        <w:rPr>
          <w:rFonts w:hint="eastAsia" w:ascii="宋体" w:hAnsi="宋体" w:eastAsia="宋体" w:cs="宋体"/>
          <w:b/>
          <w:sz w:val="28"/>
          <w:szCs w:val="28"/>
        </w:rPr>
      </w:pPr>
      <w:bookmarkStart w:id="3305" w:name="_Toc57049112"/>
      <w:bookmarkStart w:id="3306" w:name="_Toc27244"/>
      <w:bookmarkStart w:id="3307" w:name="_Toc502903488"/>
      <w:bookmarkStart w:id="3308" w:name="_Toc52809972"/>
      <w:r>
        <w:rPr>
          <w:rFonts w:hint="eastAsia" w:ascii="宋体" w:hAnsi="宋体" w:eastAsia="宋体" w:cs="宋体"/>
          <w:b/>
          <w:sz w:val="28"/>
          <w:szCs w:val="28"/>
        </w:rPr>
        <w:t>12.3 中期支付</w:t>
      </w:r>
      <w:bookmarkEnd w:id="3305"/>
      <w:bookmarkEnd w:id="3306"/>
      <w:bookmarkEnd w:id="3307"/>
      <w:bookmarkEnd w:id="330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12.3.1 设计人应按发包人批准或专用合同条款约定的格式及份数，向发包人提交中期支付申请，并附相应的支持性证明文件。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 12.3.2 发包人应在收到中期支付申请后的 28 天内，将应付款项支付给设计人；设计人应当提供等额的增值税发票。发包人未能在前述时间内完成审批或不予答复的，视为发包人同意中期支付申请。发包人不按期支付的，按专用合同条款的约定支付逾期付款违约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12.3.3 中期支付涉及政府投资资金的，按照国库集中支付等国家相关规定和专用合同条款的约定执行。 </w:t>
      </w:r>
    </w:p>
    <w:p>
      <w:pPr>
        <w:spacing w:line="490" w:lineRule="exact"/>
        <w:ind w:firstLine="562" w:firstLineChars="200"/>
        <w:outlineLvl w:val="3"/>
        <w:rPr>
          <w:rFonts w:hint="eastAsia" w:ascii="宋体" w:hAnsi="宋体" w:eastAsia="宋体" w:cs="宋体"/>
          <w:b/>
          <w:sz w:val="28"/>
          <w:szCs w:val="28"/>
        </w:rPr>
      </w:pPr>
      <w:bookmarkStart w:id="3309" w:name="_Toc52809973"/>
      <w:bookmarkStart w:id="3310" w:name="_Toc502903489"/>
      <w:bookmarkStart w:id="3311" w:name="_Toc30834"/>
      <w:bookmarkStart w:id="3312" w:name="_Toc57049113"/>
      <w:r>
        <w:rPr>
          <w:rFonts w:hint="eastAsia" w:ascii="宋体" w:hAnsi="宋体" w:eastAsia="宋体" w:cs="宋体"/>
          <w:b/>
          <w:sz w:val="28"/>
          <w:szCs w:val="28"/>
        </w:rPr>
        <w:t>12.4 费用结算</w:t>
      </w:r>
      <w:bookmarkEnd w:id="3309"/>
      <w:bookmarkEnd w:id="3310"/>
      <w:bookmarkEnd w:id="3311"/>
      <w:bookmarkEnd w:id="331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12.4.1 合同工作完成后，设计人可按专用合同条款约定的份数和期限，向发包人提交服务费用结算申请，并提供相关证明材料。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12.4.2 发包人应在收到费用结算申请后的28天内，将应付款项支付给设计人；设计人应当提供等额的增值税发票。发包人未能在前述时间内完成审批或不予答复的，视为发包人同意费用结算申请。发包人不按期支付的，按专用合同条款的约定支付逾期付款违约金。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12.4.3 发包人对费用结算申请内容有异议的，有权要求设计人进行修正和提供补充资料，由设计人重新提交。设计人对此有异议的，按第15条的约定执行。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12.4.4 最终结清付款涉及政府投资资金的，按第 12.3.3 项的约定执行。</w:t>
      </w:r>
    </w:p>
    <w:p>
      <w:pPr>
        <w:spacing w:line="490" w:lineRule="exact"/>
        <w:ind w:firstLine="562" w:firstLineChars="200"/>
        <w:outlineLvl w:val="2"/>
        <w:rPr>
          <w:rFonts w:hint="eastAsia" w:ascii="宋体" w:hAnsi="宋体" w:eastAsia="宋体" w:cs="宋体"/>
          <w:b/>
          <w:sz w:val="28"/>
          <w:szCs w:val="28"/>
        </w:rPr>
      </w:pPr>
      <w:bookmarkStart w:id="3313" w:name="_Toc57049114"/>
      <w:bookmarkStart w:id="3314" w:name="_Toc52809974"/>
      <w:bookmarkStart w:id="3315" w:name="_Toc2872"/>
      <w:bookmarkStart w:id="3316" w:name="_Toc57049984"/>
      <w:bookmarkStart w:id="3317" w:name="_Toc502903490"/>
      <w:bookmarkStart w:id="3318" w:name="_Toc15483"/>
      <w:r>
        <w:rPr>
          <w:rFonts w:hint="eastAsia" w:ascii="宋体" w:hAnsi="宋体" w:eastAsia="宋体" w:cs="宋体"/>
          <w:b/>
          <w:sz w:val="28"/>
          <w:szCs w:val="28"/>
        </w:rPr>
        <w:t>13．不可抗力</w:t>
      </w:r>
      <w:bookmarkEnd w:id="3313"/>
      <w:bookmarkEnd w:id="3314"/>
      <w:bookmarkEnd w:id="3315"/>
      <w:bookmarkEnd w:id="3316"/>
      <w:bookmarkEnd w:id="3317"/>
      <w:bookmarkEnd w:id="3318"/>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319" w:name="_Toc6275"/>
      <w:bookmarkStart w:id="3320" w:name="_Toc52809975"/>
      <w:bookmarkStart w:id="3321" w:name="_Toc57049115"/>
      <w:bookmarkStart w:id="3322" w:name="_Toc502903491"/>
      <w:r>
        <w:rPr>
          <w:rFonts w:hint="eastAsia" w:ascii="宋体" w:hAnsi="宋体" w:eastAsia="宋体" w:cs="宋体"/>
          <w:b/>
          <w:sz w:val="28"/>
          <w:szCs w:val="28"/>
        </w:rPr>
        <w:t>13.1 不可抗力的确认</w:t>
      </w:r>
      <w:bookmarkEnd w:id="3319"/>
      <w:bookmarkEnd w:id="3320"/>
      <w:bookmarkEnd w:id="3321"/>
      <w:bookmarkEnd w:id="332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13.1.1 不可抗力是指设计人和发包人在订立合同时不可预见，在履行合同过程中不可避免发生并不能克服的自然灾害和社会性突发事件，如地震、海啸、瘟疫、水灾、骚乱、暴动、战争和专用合同条款约定的其他情形。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13.1.2 不可抗力发生后，发包人和设计人应及时认真统计所造成的损失，收集不可抗力造成损失的证据。合同双方对是否属于不可抗力或其损失的意见不一致的，由合同双方协商确定。 </w:t>
      </w:r>
    </w:p>
    <w:p>
      <w:pPr>
        <w:spacing w:line="490" w:lineRule="exact"/>
        <w:ind w:firstLine="562" w:firstLineChars="200"/>
        <w:outlineLvl w:val="3"/>
        <w:rPr>
          <w:rFonts w:hint="eastAsia" w:ascii="宋体" w:hAnsi="宋体" w:eastAsia="宋体" w:cs="宋体"/>
          <w:b/>
          <w:sz w:val="28"/>
          <w:szCs w:val="28"/>
        </w:rPr>
      </w:pPr>
      <w:bookmarkStart w:id="3323" w:name="_Toc57049116"/>
      <w:bookmarkStart w:id="3324" w:name="_Toc29876"/>
      <w:bookmarkStart w:id="3325" w:name="_Toc52809976"/>
      <w:bookmarkStart w:id="3326" w:name="_Toc502903492"/>
      <w:r>
        <w:rPr>
          <w:rFonts w:hint="eastAsia" w:ascii="宋体" w:hAnsi="宋体" w:eastAsia="宋体" w:cs="宋体"/>
          <w:b/>
          <w:sz w:val="28"/>
          <w:szCs w:val="28"/>
        </w:rPr>
        <w:t>13.2 不可抗力的通知</w:t>
      </w:r>
      <w:bookmarkEnd w:id="3323"/>
      <w:bookmarkEnd w:id="3324"/>
      <w:bookmarkEnd w:id="3325"/>
      <w:bookmarkEnd w:id="332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13.2.1 合同一方当事人遇到不可抗力事件，使其履行合同义务受到阻碍时，应立即通知合同另一方当事人，书面说明不可抗力和受阻碍的详细情况，并提供必要的证明。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13.2.2 如不可抗力持续发生，合同一方当事人应及时向合同另一方当事人提交中间报告，说明不可抗力和履行合同受阻的情况，并于不可抗力事件结束后 28 天内提交最终报告及有关资料。 </w:t>
      </w:r>
    </w:p>
    <w:p>
      <w:pPr>
        <w:spacing w:line="490" w:lineRule="exact"/>
        <w:ind w:firstLine="562" w:firstLineChars="200"/>
        <w:outlineLvl w:val="3"/>
        <w:rPr>
          <w:rFonts w:hint="eastAsia" w:ascii="宋体" w:hAnsi="宋体" w:eastAsia="宋体" w:cs="宋体"/>
          <w:b/>
          <w:sz w:val="28"/>
          <w:szCs w:val="28"/>
        </w:rPr>
      </w:pPr>
      <w:bookmarkStart w:id="3327" w:name="_Toc52809977"/>
      <w:bookmarkStart w:id="3328" w:name="_Toc57049117"/>
      <w:bookmarkStart w:id="3329" w:name="_Toc5429"/>
      <w:bookmarkStart w:id="3330" w:name="_Toc502903493"/>
      <w:r>
        <w:rPr>
          <w:rFonts w:hint="eastAsia" w:ascii="宋体" w:hAnsi="宋体" w:eastAsia="宋体" w:cs="宋体"/>
          <w:b/>
          <w:sz w:val="28"/>
          <w:szCs w:val="28"/>
        </w:rPr>
        <w:t>13.3 不可抗力后果及其处理</w:t>
      </w:r>
      <w:bookmarkEnd w:id="3327"/>
      <w:bookmarkEnd w:id="3328"/>
      <w:bookmarkEnd w:id="3329"/>
      <w:bookmarkEnd w:id="333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13.3.1 不可抗力引起的后果及其损失，应由合同当事人依据法律规定各自承担。不可抗力发生前已完成的设计工作，应当按照合同约定进行支付。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13.3.2 不可抗力发生后，合同当事人应当采取有效措施避免损失进一步扩大，如未采取有效措施致使损失扩大的，应当自行承担扩大部分的损失。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13.3.3 因一方当事人迟延履行合同义务，致使迟延履行期间遭遇不可抗力的，应由该当事人承担全部损失。 </w:t>
      </w:r>
    </w:p>
    <w:p>
      <w:pPr>
        <w:spacing w:line="490" w:lineRule="exact"/>
        <w:ind w:firstLine="562" w:firstLineChars="200"/>
        <w:outlineLvl w:val="2"/>
        <w:rPr>
          <w:rFonts w:hint="eastAsia" w:ascii="宋体" w:hAnsi="宋体" w:eastAsia="宋体" w:cs="宋体"/>
          <w:b/>
          <w:sz w:val="28"/>
          <w:szCs w:val="28"/>
        </w:rPr>
      </w:pPr>
      <w:bookmarkStart w:id="3331" w:name="_Toc57049985"/>
      <w:bookmarkStart w:id="3332" w:name="_Toc52809978"/>
      <w:bookmarkStart w:id="3333" w:name="_Toc17058"/>
      <w:bookmarkStart w:id="3334" w:name="_Toc502903494"/>
      <w:bookmarkStart w:id="3335" w:name="_Toc57049118"/>
      <w:bookmarkStart w:id="3336" w:name="_Toc23562"/>
      <w:r>
        <w:rPr>
          <w:rFonts w:hint="eastAsia" w:ascii="宋体" w:hAnsi="宋体" w:eastAsia="宋体" w:cs="宋体"/>
          <w:b/>
          <w:sz w:val="28"/>
          <w:szCs w:val="28"/>
        </w:rPr>
        <w:t>14．违约</w:t>
      </w:r>
      <w:bookmarkEnd w:id="3331"/>
      <w:bookmarkEnd w:id="3332"/>
      <w:bookmarkEnd w:id="3333"/>
      <w:bookmarkEnd w:id="3334"/>
      <w:bookmarkEnd w:id="3335"/>
      <w:bookmarkEnd w:id="3336"/>
    </w:p>
    <w:p>
      <w:pPr>
        <w:spacing w:line="490" w:lineRule="exact"/>
        <w:ind w:firstLine="562" w:firstLineChars="200"/>
        <w:outlineLvl w:val="3"/>
        <w:rPr>
          <w:rFonts w:hint="eastAsia" w:ascii="宋体" w:hAnsi="宋体" w:eastAsia="宋体" w:cs="宋体"/>
          <w:b/>
          <w:sz w:val="28"/>
          <w:szCs w:val="28"/>
        </w:rPr>
      </w:pPr>
      <w:bookmarkStart w:id="3337" w:name="_Toc17150"/>
      <w:bookmarkStart w:id="3338" w:name="_Toc57049119"/>
      <w:bookmarkStart w:id="3339" w:name="_Toc502903495"/>
      <w:bookmarkStart w:id="3340" w:name="_Toc52809979"/>
      <w:r>
        <w:rPr>
          <w:rFonts w:hint="eastAsia" w:ascii="宋体" w:hAnsi="宋体" w:eastAsia="宋体" w:cs="宋体"/>
          <w:b/>
          <w:sz w:val="28"/>
          <w:szCs w:val="28"/>
        </w:rPr>
        <w:t>14.1 设计人违约</w:t>
      </w:r>
      <w:bookmarkEnd w:id="3337"/>
      <w:bookmarkEnd w:id="3338"/>
      <w:bookmarkEnd w:id="3339"/>
      <w:bookmarkEnd w:id="334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14.1.1 合同履行中发生下列情况之一的，属设计人违约：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（1）勘察设计文件不符合法律以及合同约定；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（2）设计人转包、违法分包或者未经发包人同意擅自分包；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（3）设计人未按合同计划完成勘察设计，从而造成工程损失；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（4）设计人无法履行或停止履行合同；</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（5）设计人不履行合同约定的其他义务。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14.1.2 设计人发生违约情况时，发包人可向设计人发出整改通知，要求其在限定期限内纠正；逾期仍不纠正的，发包人有权解除合同并向设计人发出解除合同通知。设计人应当承担由于违约所造成的费用增加、周期延误和发包人损失等。</w:t>
      </w:r>
    </w:p>
    <w:p>
      <w:pPr>
        <w:spacing w:line="490" w:lineRule="exact"/>
        <w:ind w:firstLine="562" w:firstLineChars="200"/>
        <w:outlineLvl w:val="3"/>
        <w:rPr>
          <w:rFonts w:hint="eastAsia" w:ascii="宋体" w:hAnsi="宋体" w:eastAsia="宋体" w:cs="宋体"/>
          <w:b/>
          <w:sz w:val="28"/>
          <w:szCs w:val="28"/>
        </w:rPr>
      </w:pPr>
      <w:bookmarkStart w:id="3341" w:name="_Toc502903496"/>
      <w:bookmarkStart w:id="3342" w:name="_Toc57049120"/>
      <w:bookmarkStart w:id="3343" w:name="_Toc18351"/>
      <w:bookmarkStart w:id="3344" w:name="_Toc52809980"/>
      <w:r>
        <w:rPr>
          <w:rFonts w:hint="eastAsia" w:ascii="宋体" w:hAnsi="宋体" w:eastAsia="宋体" w:cs="宋体"/>
          <w:b/>
          <w:sz w:val="28"/>
          <w:szCs w:val="28"/>
        </w:rPr>
        <w:t>14.2 发包人违约</w:t>
      </w:r>
      <w:bookmarkEnd w:id="3341"/>
      <w:bookmarkEnd w:id="3342"/>
      <w:bookmarkEnd w:id="3343"/>
      <w:bookmarkEnd w:id="334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14.2.1 合同履行中发生下列情况之一的，属发包人违约：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（1）发包人未按合同约定支付服务费用；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（2）发包人原因造成勘察设计停止；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（3）发包人无法履行或停止履行合同；</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（4）发包人不履行合同约定的其他义务。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14.2.2 发包人发生违约情况时，设计人可向发包人发出暂停设计通知，要求其在限定期限内纠正；逾期仍不纠正的，设计人有权解除合同并向发包人发出解除合同通知。发包人应当承担由于违约所造成的费用增加、周期延误和设计人损失等。</w:t>
      </w:r>
    </w:p>
    <w:p>
      <w:pPr>
        <w:spacing w:line="490" w:lineRule="exact"/>
        <w:ind w:left="0" w:leftChars="0" w:firstLine="422" w:firstLineChars="150"/>
        <w:outlineLvl w:val="3"/>
        <w:rPr>
          <w:rFonts w:hint="eastAsia" w:ascii="宋体" w:hAnsi="宋体" w:eastAsia="宋体" w:cs="宋体"/>
          <w:b/>
          <w:sz w:val="28"/>
          <w:szCs w:val="28"/>
        </w:rPr>
      </w:pPr>
      <w:bookmarkStart w:id="3345" w:name="_Toc502903497"/>
      <w:bookmarkStart w:id="3346" w:name="_Toc2368"/>
      <w:bookmarkStart w:id="3347" w:name="_Toc52809981"/>
      <w:bookmarkStart w:id="3348" w:name="_Toc57049121"/>
      <w:r>
        <w:rPr>
          <w:rFonts w:hint="eastAsia" w:ascii="宋体" w:hAnsi="宋体" w:eastAsia="宋体" w:cs="宋体"/>
          <w:b/>
          <w:sz w:val="28"/>
          <w:szCs w:val="28"/>
        </w:rPr>
        <w:t>14.3 第三人造成的违约</w:t>
      </w:r>
      <w:bookmarkEnd w:id="3345"/>
      <w:bookmarkEnd w:id="3346"/>
      <w:bookmarkEnd w:id="3347"/>
      <w:bookmarkEnd w:id="334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在履行合同过程中，一方当事人因第三人的原因造成违约的，应当向对方当事人承担违约责任。一方当事人和第三人之间的纠纷，依照法律规定或者按照约定解决。 </w:t>
      </w:r>
    </w:p>
    <w:p>
      <w:pPr>
        <w:spacing w:line="490" w:lineRule="exact"/>
        <w:ind w:left="0" w:leftChars="0" w:firstLine="422" w:firstLineChars="150"/>
        <w:outlineLvl w:val="2"/>
        <w:rPr>
          <w:rFonts w:hint="eastAsia" w:ascii="宋体" w:hAnsi="宋体" w:eastAsia="宋体" w:cs="宋体"/>
          <w:b/>
          <w:sz w:val="28"/>
          <w:szCs w:val="28"/>
        </w:rPr>
      </w:pPr>
      <w:bookmarkStart w:id="3349" w:name="_Toc4836"/>
      <w:bookmarkStart w:id="3350" w:name="_Toc29390"/>
      <w:bookmarkStart w:id="3351" w:name="_Toc52809982"/>
      <w:bookmarkStart w:id="3352" w:name="_Toc502903498"/>
      <w:bookmarkStart w:id="3353" w:name="_Toc57049986"/>
      <w:bookmarkStart w:id="3354" w:name="_Toc57049122"/>
      <w:r>
        <w:rPr>
          <w:rFonts w:hint="eastAsia" w:ascii="宋体" w:hAnsi="宋体" w:eastAsia="宋体" w:cs="宋体"/>
          <w:b/>
          <w:sz w:val="28"/>
          <w:szCs w:val="28"/>
        </w:rPr>
        <w:t>15．争议的解决</w:t>
      </w:r>
      <w:bookmarkEnd w:id="3349"/>
      <w:bookmarkEnd w:id="3350"/>
      <w:bookmarkEnd w:id="3351"/>
      <w:bookmarkEnd w:id="3352"/>
      <w:bookmarkEnd w:id="3353"/>
      <w:bookmarkEnd w:id="335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15.1发包人和设计人在履行合同中发生争议的，可以友好协商解决。合同当事人友好协商解决不成的，可在专用合同条款中约定下列一种方式解决：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（1）向约定的仲裁委员会申请仲裁；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（2）向有管辖权的人民法院提起诉讼。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15.2 采用仲裁方式最终解决争议的项目，仲裁裁决是终局性的并对发包人和设计人双方均具有约束力。全部仲裁费用应由败诉方承担，或按仲裁委员会裁决的比例分担。</w:t>
      </w:r>
    </w:p>
    <w:p>
      <w:pPr>
        <w:spacing w:line="490" w:lineRule="exact"/>
        <w:ind w:firstLine="560" w:firstLineChars="200"/>
        <w:rPr>
          <w:rFonts w:eastAsia="仿宋_GB2312"/>
          <w:sz w:val="28"/>
          <w:szCs w:val="28"/>
        </w:rPr>
      </w:pPr>
    </w:p>
    <w:p>
      <w:pPr>
        <w:spacing w:line="490" w:lineRule="exact"/>
        <w:ind w:firstLine="562" w:firstLineChars="200"/>
        <w:rPr>
          <w:rFonts w:eastAsia="仿宋_GB2312"/>
          <w:b/>
          <w:szCs w:val="32"/>
        </w:rPr>
      </w:pPr>
      <w:bookmarkStart w:id="3355" w:name="_Toc19201"/>
      <w:r>
        <w:rPr>
          <w:rFonts w:eastAsia="仿宋_GB2312"/>
          <w:b/>
          <w:sz w:val="28"/>
          <w:szCs w:val="28"/>
        </w:rPr>
        <w:br w:type="page"/>
      </w:r>
      <w:r>
        <w:rPr>
          <w:rFonts w:eastAsia="仿宋_GB2312"/>
          <w:b/>
          <w:szCs w:val="32"/>
        </w:rPr>
        <w:t>电子招标投标勘察设计招标文件示范文本提供的专用合同条款内容供招标人参考，招标人可根据项目的具体情况修改、补充、完善，除通用合同条款明确专用合同条款可作出不同约定外，专用合同条款及附件补充细化的内容不得与通用合同条款规定相抵触，不得违反法律、法规和行业规章的有关规定和平等、自愿、公平以及诚实信用原则。</w:t>
      </w:r>
    </w:p>
    <w:p>
      <w:pPr>
        <w:spacing w:line="490" w:lineRule="exact"/>
        <w:ind w:firstLine="422" w:firstLineChars="200"/>
        <w:rPr>
          <w:rFonts w:eastAsia="仿宋_GB2312"/>
          <w:b/>
          <w:szCs w:val="32"/>
        </w:rPr>
      </w:pPr>
    </w:p>
    <w:p>
      <w:pPr>
        <w:spacing w:line="490" w:lineRule="exact"/>
        <w:ind w:firstLine="562" w:firstLineChars="200"/>
        <w:rPr>
          <w:rFonts w:eastAsia="黑体"/>
          <w:b/>
          <w:sz w:val="28"/>
          <w:szCs w:val="28"/>
        </w:rPr>
      </w:pPr>
      <w:r>
        <w:rPr>
          <w:rFonts w:eastAsia="黑体"/>
          <w:b/>
          <w:sz w:val="28"/>
          <w:szCs w:val="28"/>
        </w:rPr>
        <w:t>本章第四节“专用合同条款”适用于勘察项目，第五节“专用合同条款”适用于设计项目，第六节“专用合同条款”适用于勘察设计项目。</w:t>
      </w:r>
    </w:p>
    <w:p>
      <w:pPr>
        <w:spacing w:line="490" w:lineRule="exact"/>
        <w:ind w:firstLine="442" w:firstLineChars="200"/>
        <w:rPr>
          <w:rFonts w:eastAsia="黑体"/>
          <w:b/>
          <w:sz w:val="22"/>
        </w:rPr>
      </w:pPr>
    </w:p>
    <w:p>
      <w:pPr>
        <w:spacing w:line="490" w:lineRule="exact"/>
        <w:ind w:firstLine="422" w:firstLineChars="200"/>
        <w:rPr>
          <w:rFonts w:eastAsia="仿宋_GB2312"/>
          <w:b/>
          <w:szCs w:val="32"/>
        </w:rPr>
      </w:pPr>
      <w:bookmarkStart w:id="3356" w:name="_Toc512257491"/>
    </w:p>
    <w:p>
      <w:pPr>
        <w:spacing w:line="490" w:lineRule="exact"/>
        <w:jc w:val="center"/>
        <w:outlineLvl w:val="1"/>
        <w:rPr>
          <w:rFonts w:eastAsia="黑体"/>
          <w:b/>
          <w:sz w:val="30"/>
          <w:szCs w:val="30"/>
        </w:rPr>
      </w:pPr>
      <w:bookmarkStart w:id="3357" w:name="_Toc57049123"/>
      <w:bookmarkStart w:id="3358" w:name="_Toc57048698"/>
      <w:bookmarkStart w:id="3359" w:name="_Toc52809983"/>
      <w:bookmarkStart w:id="3360" w:name="_Toc57049987"/>
      <w:bookmarkStart w:id="3361" w:name="_Toc6228"/>
      <w:r>
        <w:rPr>
          <w:rFonts w:eastAsia="黑体"/>
          <w:b/>
          <w:sz w:val="30"/>
          <w:szCs w:val="30"/>
        </w:rPr>
        <w:t>第四节 专用合同条款</w:t>
      </w:r>
      <w:bookmarkEnd w:id="3355"/>
      <w:bookmarkEnd w:id="3356"/>
      <w:r>
        <w:rPr>
          <w:rFonts w:eastAsia="黑体"/>
          <w:b/>
          <w:sz w:val="30"/>
          <w:szCs w:val="30"/>
        </w:rPr>
        <w:t>（适用于勘察项目）</w:t>
      </w:r>
      <w:bookmarkEnd w:id="3357"/>
      <w:bookmarkEnd w:id="3358"/>
      <w:bookmarkEnd w:id="3359"/>
      <w:bookmarkEnd w:id="3360"/>
      <w:bookmarkEnd w:id="3361"/>
    </w:p>
    <w:p/>
    <w:p>
      <w:pPr>
        <w:spacing w:line="480" w:lineRule="exact"/>
        <w:ind w:firstLine="560" w:firstLineChars="200"/>
        <w:rPr>
          <w:rFonts w:eastAsia="仿宋_GB2312"/>
          <w:sz w:val="28"/>
          <w:szCs w:val="28"/>
        </w:rPr>
      </w:pPr>
    </w:p>
    <w:p>
      <w:pPr>
        <w:spacing w:line="480" w:lineRule="exact"/>
        <w:ind w:firstLine="562" w:firstLineChars="200"/>
        <w:jc w:val="left"/>
        <w:outlineLvl w:val="2"/>
        <w:rPr>
          <w:rFonts w:hint="eastAsia" w:ascii="宋体" w:hAnsi="宋体" w:eastAsia="宋体" w:cs="宋体"/>
          <w:b/>
          <w:sz w:val="28"/>
          <w:szCs w:val="28"/>
        </w:rPr>
      </w:pPr>
      <w:bookmarkStart w:id="3362" w:name="_Toc57049988"/>
      <w:bookmarkStart w:id="3363" w:name="_Toc57049124"/>
      <w:bookmarkStart w:id="3364" w:name="_Toc52809984"/>
      <w:bookmarkStart w:id="3365" w:name="_Toc22587"/>
      <w:r>
        <w:rPr>
          <w:rFonts w:hint="eastAsia" w:ascii="宋体" w:hAnsi="宋体" w:eastAsia="宋体" w:cs="宋体"/>
          <w:b/>
          <w:sz w:val="28"/>
          <w:szCs w:val="28"/>
        </w:rPr>
        <w:t>1．一般约定</w:t>
      </w:r>
      <w:bookmarkEnd w:id="3362"/>
      <w:bookmarkEnd w:id="3363"/>
      <w:bookmarkEnd w:id="3364"/>
      <w:bookmarkEnd w:id="3365"/>
    </w:p>
    <w:p>
      <w:pPr>
        <w:spacing w:line="480" w:lineRule="exact"/>
        <w:ind w:firstLine="562" w:firstLineChars="200"/>
        <w:outlineLvl w:val="3"/>
        <w:rPr>
          <w:rFonts w:hint="eastAsia" w:ascii="宋体" w:hAnsi="宋体" w:eastAsia="宋体" w:cs="宋体"/>
          <w:b/>
          <w:sz w:val="28"/>
          <w:szCs w:val="28"/>
        </w:rPr>
      </w:pPr>
      <w:bookmarkStart w:id="3366" w:name="_Toc57049125"/>
      <w:bookmarkStart w:id="3367" w:name="_Toc52809985"/>
      <w:r>
        <w:rPr>
          <w:rFonts w:hint="eastAsia" w:ascii="宋体" w:hAnsi="宋体" w:eastAsia="宋体" w:cs="宋体"/>
          <w:b/>
          <w:sz w:val="28"/>
          <w:szCs w:val="28"/>
        </w:rPr>
        <w:t>1.1 词语定义</w:t>
      </w:r>
      <w:bookmarkEnd w:id="3366"/>
      <w:bookmarkEnd w:id="3367"/>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 合同当事人和人员</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1.1.2.2 发包人：</w:t>
      </w:r>
      <w:r>
        <w:rPr>
          <w:rFonts w:hint="eastAsia" w:ascii="宋体" w:hAnsi="宋体" w:eastAsia="宋体" w:cs="宋体"/>
          <w:sz w:val="21"/>
          <w:szCs w:val="21"/>
          <w:u w:val="single"/>
        </w:rPr>
        <w:t xml:space="preserve"> （填入发包人的名称）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1.1.2.3 勘察人：</w:t>
      </w:r>
      <w:r>
        <w:rPr>
          <w:rFonts w:hint="eastAsia" w:ascii="宋体" w:hAnsi="宋体" w:eastAsia="宋体" w:cs="宋体"/>
          <w:sz w:val="21"/>
          <w:szCs w:val="21"/>
          <w:u w:val="single"/>
        </w:rPr>
        <w:t xml:space="preserve"> （签约后填入勘察人的名称）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1.1.2.4 发包人代表：</w:t>
      </w:r>
      <w:r>
        <w:rPr>
          <w:rFonts w:hint="eastAsia" w:ascii="宋体" w:hAnsi="宋体" w:eastAsia="宋体" w:cs="宋体"/>
          <w:sz w:val="21"/>
          <w:szCs w:val="21"/>
          <w:u w:val="single"/>
        </w:rPr>
        <w:t xml:space="preserve">（填入发包人代表的名称）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1.1.2.5 项目负责人：</w:t>
      </w:r>
      <w:r>
        <w:rPr>
          <w:rFonts w:hint="eastAsia" w:ascii="宋体" w:hAnsi="宋体" w:eastAsia="宋体" w:cs="宋体"/>
          <w:sz w:val="21"/>
          <w:szCs w:val="21"/>
          <w:u w:val="single"/>
        </w:rPr>
        <w:t xml:space="preserve">（签约后填入项目负责人的姓名、身份证号号码，项目负责人执业证书号码）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1.1.2.6分包人：</w:t>
      </w:r>
      <w:r>
        <w:rPr>
          <w:rFonts w:hint="eastAsia" w:ascii="宋体" w:hAnsi="宋体" w:eastAsia="宋体" w:cs="宋体"/>
          <w:sz w:val="21"/>
          <w:szCs w:val="21"/>
          <w:u w:val="single"/>
        </w:rPr>
        <w:t>（签约后填入分包人的名称）</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 工程和勘察</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1.1.3.1工程：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1.1.3.2勘察服务：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1.1.3.5勘察资料：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1.1.3.6勘察文件：</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 日期</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1.1.4.3勘察服务期限：</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1.1.4.4完成勘察日期：</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80" w:lineRule="exact"/>
        <w:ind w:firstLine="562" w:firstLineChars="200"/>
        <w:outlineLvl w:val="3"/>
        <w:rPr>
          <w:rFonts w:hint="eastAsia" w:ascii="宋体" w:hAnsi="宋体" w:eastAsia="宋体" w:cs="宋体"/>
          <w:b/>
          <w:sz w:val="28"/>
          <w:szCs w:val="28"/>
        </w:rPr>
      </w:pPr>
      <w:bookmarkStart w:id="3368" w:name="_Toc57049126"/>
      <w:bookmarkStart w:id="3369" w:name="_Toc52809986"/>
      <w:r>
        <w:rPr>
          <w:rFonts w:hint="eastAsia" w:ascii="宋体" w:hAnsi="宋体" w:eastAsia="宋体" w:cs="宋体"/>
          <w:b/>
          <w:sz w:val="28"/>
          <w:szCs w:val="28"/>
        </w:rPr>
        <w:t>1.2 语言文字</w:t>
      </w:r>
      <w:bookmarkEnd w:id="3368"/>
      <w:bookmarkEnd w:id="3369"/>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合同使用的语言文字为简体中文。专用术语使用外文的，应附有简体中文注释，汉语为优先解释和说明合同的语言。</w:t>
      </w:r>
    </w:p>
    <w:p>
      <w:pPr>
        <w:spacing w:line="480" w:lineRule="exact"/>
        <w:ind w:firstLine="562" w:firstLineChars="200"/>
        <w:outlineLvl w:val="3"/>
        <w:rPr>
          <w:rFonts w:hint="eastAsia" w:ascii="宋体" w:hAnsi="宋体" w:eastAsia="宋体" w:cs="宋体"/>
          <w:b/>
          <w:sz w:val="28"/>
          <w:szCs w:val="28"/>
        </w:rPr>
      </w:pPr>
      <w:bookmarkStart w:id="3370" w:name="_Toc52809987"/>
      <w:bookmarkStart w:id="3371" w:name="_Toc57049127"/>
      <w:r>
        <w:rPr>
          <w:rFonts w:hint="eastAsia" w:ascii="宋体" w:hAnsi="宋体" w:eastAsia="宋体" w:cs="宋体"/>
          <w:b/>
          <w:sz w:val="28"/>
          <w:szCs w:val="28"/>
        </w:rPr>
        <w:t>1.3 适用法律</w:t>
      </w:r>
      <w:bookmarkEnd w:id="3370"/>
      <w:bookmarkEnd w:id="3371"/>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适用于合同的法律包括中华人民共和国法律、行政法规、部门规章，以及工程所在地的地方性法规、自治条例、单行条例和地方政府规章。 </w:t>
      </w:r>
    </w:p>
    <w:p>
      <w:pPr>
        <w:spacing w:line="48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本合同适用的其他规范性文件包括：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72" w:name="_Toc52809988"/>
      <w:bookmarkStart w:id="3373" w:name="_Toc57049128"/>
      <w:r>
        <w:rPr>
          <w:rFonts w:hint="eastAsia" w:ascii="宋体" w:hAnsi="宋体" w:eastAsia="宋体" w:cs="宋体"/>
          <w:b/>
          <w:sz w:val="28"/>
          <w:szCs w:val="28"/>
        </w:rPr>
        <w:t>1.4 合同文件的优先顺序</w:t>
      </w:r>
      <w:bookmarkEnd w:id="3372"/>
      <w:bookmarkEnd w:id="3373"/>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合同文件组成及解释合同文件的优先顺序：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74" w:name="_Toc57049129"/>
      <w:bookmarkStart w:id="3375" w:name="_Toc52809989"/>
      <w:r>
        <w:rPr>
          <w:rFonts w:hint="eastAsia" w:ascii="宋体" w:hAnsi="宋体" w:eastAsia="宋体" w:cs="宋体"/>
          <w:b/>
          <w:sz w:val="28"/>
          <w:szCs w:val="28"/>
        </w:rPr>
        <w:t>1.6 文件的提供和照管</w:t>
      </w:r>
      <w:bookmarkEnd w:id="3374"/>
      <w:bookmarkEnd w:id="3375"/>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 勘察文件的提供</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勘察人向发包人提供勘察文件的期限：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勘察人向发包人提供勘察文件的份数：</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合同约定勘察文件应经发包人批复的，发包人应当在_____日内批复或提出修改意见。</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1.6.2 发包人提供的文件</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发包人向设计人提供的文件包括：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提供的数量：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其它要求：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76" w:name="_Toc52809990"/>
      <w:bookmarkStart w:id="3377" w:name="_Toc57049130"/>
      <w:r>
        <w:rPr>
          <w:rFonts w:hint="eastAsia" w:ascii="宋体" w:hAnsi="宋体" w:eastAsia="宋体" w:cs="宋体"/>
          <w:b/>
          <w:sz w:val="28"/>
          <w:szCs w:val="28"/>
        </w:rPr>
        <w:t>1.7 联络</w:t>
      </w:r>
      <w:bookmarkEnd w:id="3376"/>
      <w:bookmarkEnd w:id="3377"/>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1.7.2 发包人和勘察人应将与合同有关的通知、批准、证明、证书、指示、要求、请求、同意、意见、确定和决定等来往函件，送达指定的地点和指定的接收人，并办理签收手续。</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指定的地点和接收人如下：</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发包人接收来往函件的指定地点：_________。</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发包人接收来往函件的指定接收人：_________。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发包人指定的联系方式：_________。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勘察人接收来往函件的指定地点：_________。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勘察人指定的联系方式：_________。</w:t>
      </w:r>
    </w:p>
    <w:p>
      <w:pPr>
        <w:spacing w:line="480" w:lineRule="exact"/>
        <w:ind w:firstLine="562" w:firstLineChars="200"/>
        <w:outlineLvl w:val="3"/>
        <w:rPr>
          <w:rFonts w:hint="eastAsia" w:ascii="宋体" w:hAnsi="宋体" w:eastAsia="宋体" w:cs="宋体"/>
          <w:b/>
          <w:sz w:val="28"/>
          <w:szCs w:val="28"/>
        </w:rPr>
      </w:pPr>
      <w:bookmarkStart w:id="3378" w:name="_Toc52809991"/>
      <w:bookmarkStart w:id="3379" w:name="_Toc57049131"/>
      <w:r>
        <w:rPr>
          <w:rFonts w:hint="eastAsia" w:ascii="宋体" w:hAnsi="宋体" w:eastAsia="宋体" w:cs="宋体"/>
          <w:b/>
          <w:sz w:val="28"/>
          <w:szCs w:val="28"/>
        </w:rPr>
        <w:t>1.8 转让</w:t>
      </w:r>
      <w:bookmarkEnd w:id="3378"/>
      <w:bookmarkEnd w:id="3379"/>
    </w:p>
    <w:p>
      <w:pPr>
        <w:spacing w:line="48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关于转让合同权利义务的约定：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80" w:name="_Toc52809992"/>
      <w:bookmarkStart w:id="3381" w:name="_Toc57049132"/>
      <w:r>
        <w:rPr>
          <w:rFonts w:hint="eastAsia" w:ascii="宋体" w:hAnsi="宋体" w:eastAsia="宋体" w:cs="宋体"/>
          <w:b/>
          <w:sz w:val="28"/>
          <w:szCs w:val="28"/>
        </w:rPr>
        <w:t>1.10 知识产权</w:t>
      </w:r>
      <w:bookmarkEnd w:id="3380"/>
      <w:bookmarkEnd w:id="3381"/>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1.10.1 勘察人完成的勘察工作成果，除署名权以外的著作权和其他知识产权归属：</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82" w:name="_Toc57049133"/>
      <w:bookmarkStart w:id="3383" w:name="_Toc52809993"/>
      <w:r>
        <w:rPr>
          <w:rFonts w:hint="eastAsia" w:ascii="宋体" w:hAnsi="宋体" w:eastAsia="宋体" w:cs="宋体"/>
          <w:b/>
          <w:sz w:val="28"/>
          <w:szCs w:val="28"/>
        </w:rPr>
        <w:t>1.11 文件及信息的保密</w:t>
      </w:r>
      <w:bookmarkEnd w:id="3382"/>
      <w:bookmarkEnd w:id="3383"/>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除法律规定或合同另有约定外，未经对方同意，任何一方当事人不得将对方提供的有关文件、技术秘密、声明需要保密的资料和信息泄露给第三方或公开发表与引用。</w:t>
      </w:r>
    </w:p>
    <w:p>
      <w:pPr>
        <w:spacing w:line="480" w:lineRule="exact"/>
        <w:ind w:firstLine="562" w:firstLineChars="200"/>
        <w:outlineLvl w:val="3"/>
        <w:rPr>
          <w:rFonts w:hint="eastAsia" w:ascii="宋体" w:hAnsi="宋体" w:eastAsia="宋体" w:cs="宋体"/>
          <w:b/>
          <w:sz w:val="28"/>
          <w:szCs w:val="28"/>
        </w:rPr>
      </w:pPr>
      <w:bookmarkStart w:id="3384" w:name="_Toc57049134"/>
      <w:bookmarkStart w:id="3385" w:name="_Toc52809994"/>
      <w:r>
        <w:rPr>
          <w:rFonts w:hint="eastAsia" w:ascii="宋体" w:hAnsi="宋体" w:eastAsia="宋体" w:cs="宋体"/>
          <w:b/>
          <w:sz w:val="28"/>
          <w:szCs w:val="28"/>
        </w:rPr>
        <w:t>1.12 发包人要求</w:t>
      </w:r>
      <w:bookmarkEnd w:id="3384"/>
      <w:bookmarkEnd w:id="3385"/>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1.12.1 发包人要求需要修改或存在错误导致勘察人费用增加和(或)勘察服务期限延误的，由______承担由此导致的费用增加和（或）周期延误。 </w:t>
      </w:r>
    </w:p>
    <w:p>
      <w:pPr>
        <w:spacing w:line="480" w:lineRule="exact"/>
        <w:ind w:firstLine="562" w:firstLineChars="200"/>
        <w:outlineLvl w:val="2"/>
        <w:rPr>
          <w:rFonts w:hint="eastAsia" w:ascii="宋体" w:hAnsi="宋体" w:eastAsia="宋体" w:cs="宋体"/>
          <w:b/>
          <w:sz w:val="28"/>
          <w:szCs w:val="28"/>
        </w:rPr>
      </w:pPr>
      <w:bookmarkStart w:id="3386" w:name="_Toc52809995"/>
      <w:bookmarkStart w:id="3387" w:name="_Toc57049989"/>
      <w:bookmarkStart w:id="3388" w:name="_Toc57049135"/>
      <w:bookmarkStart w:id="3389" w:name="_Toc32083"/>
      <w:r>
        <w:rPr>
          <w:rFonts w:hint="eastAsia" w:ascii="宋体" w:hAnsi="宋体" w:eastAsia="宋体" w:cs="宋体"/>
          <w:b/>
          <w:sz w:val="28"/>
          <w:szCs w:val="28"/>
        </w:rPr>
        <w:t>3．发包人管理</w:t>
      </w:r>
      <w:bookmarkEnd w:id="3386"/>
      <w:bookmarkEnd w:id="3387"/>
      <w:bookmarkEnd w:id="3388"/>
      <w:bookmarkEnd w:id="3389"/>
    </w:p>
    <w:p>
      <w:pPr>
        <w:spacing w:line="480" w:lineRule="exact"/>
        <w:ind w:firstLine="562" w:firstLineChars="200"/>
        <w:outlineLvl w:val="3"/>
        <w:rPr>
          <w:rFonts w:hint="eastAsia" w:ascii="宋体" w:hAnsi="宋体" w:eastAsia="宋体" w:cs="宋体"/>
          <w:b/>
          <w:sz w:val="28"/>
          <w:szCs w:val="28"/>
        </w:rPr>
      </w:pPr>
      <w:bookmarkStart w:id="3390" w:name="_Toc57049136"/>
      <w:bookmarkStart w:id="3391" w:name="_Toc52809996"/>
      <w:r>
        <w:rPr>
          <w:rFonts w:hint="eastAsia" w:ascii="宋体" w:hAnsi="宋体" w:eastAsia="宋体" w:cs="宋体"/>
          <w:b/>
          <w:sz w:val="28"/>
          <w:szCs w:val="28"/>
        </w:rPr>
        <w:t>3.1发包人代表</w:t>
      </w:r>
      <w:bookmarkEnd w:id="3390"/>
      <w:bookmarkEnd w:id="3391"/>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3.1.1发包人书面通知勘察人发包人代表的期限：_________。</w:t>
      </w:r>
    </w:p>
    <w:p>
      <w:pPr>
        <w:spacing w:line="480" w:lineRule="exact"/>
        <w:ind w:firstLine="562" w:firstLineChars="200"/>
        <w:outlineLvl w:val="3"/>
        <w:rPr>
          <w:rFonts w:hint="eastAsia" w:ascii="宋体" w:hAnsi="宋体" w:eastAsia="宋体" w:cs="宋体"/>
          <w:b/>
          <w:sz w:val="28"/>
          <w:szCs w:val="28"/>
        </w:rPr>
      </w:pPr>
      <w:bookmarkStart w:id="3392" w:name="_Toc57049137"/>
      <w:bookmarkStart w:id="3393" w:name="_Toc52809997"/>
      <w:r>
        <w:rPr>
          <w:rFonts w:hint="eastAsia" w:ascii="宋体" w:hAnsi="宋体" w:eastAsia="宋体" w:cs="宋体"/>
          <w:b/>
          <w:sz w:val="28"/>
          <w:szCs w:val="28"/>
        </w:rPr>
        <w:t>3.2监理人</w:t>
      </w:r>
      <w:bookmarkEnd w:id="3392"/>
      <w:bookmarkEnd w:id="3393"/>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3.2.1 发包人可以根据工程建设需要确定是否委托监理人进行勘察监理。工程实行监理的，发包人和勘察人应在专用合同条款中明确监理人的监理内容及监理权限等事项。监理人应当根据发包人授权及法律规定，代表发包人检查、查验、审核、验收并签发相关指示，但监理人无权修改合同。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本工程是否委托监理人进行勘察监理：</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如进行勘察监理，监理人的监理范围包括：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；职责权限：</w:t>
      </w:r>
      <w:r>
        <w:rPr>
          <w:rFonts w:hint="eastAsia" w:ascii="宋体" w:hAnsi="宋体" w:eastAsia="宋体" w:cs="宋体"/>
          <w:sz w:val="21"/>
          <w:szCs w:val="21"/>
          <w:u w:val="single"/>
        </w:rPr>
        <w:t xml:space="preserve">                      </w:t>
      </w:r>
      <w:r>
        <w:rPr>
          <w:rFonts w:hint="eastAsia" w:ascii="宋体" w:hAnsi="宋体" w:eastAsia="宋体" w:cs="宋体"/>
          <w:sz w:val="21"/>
          <w:szCs w:val="21"/>
        </w:rPr>
        <w:t>；总监理工程师：</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394" w:name="_Toc52809998"/>
      <w:bookmarkStart w:id="3395" w:name="_Toc57049138"/>
      <w:r>
        <w:rPr>
          <w:rFonts w:hint="eastAsia" w:ascii="宋体" w:hAnsi="宋体" w:eastAsia="宋体" w:cs="宋体"/>
          <w:b/>
          <w:sz w:val="28"/>
          <w:szCs w:val="28"/>
        </w:rPr>
        <w:t>3.3 发包人的指示</w:t>
      </w:r>
      <w:bookmarkEnd w:id="3394"/>
      <w:bookmarkEnd w:id="3395"/>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3.3.4 勘察人除从发包人代表或按第3.1.4项约定的被授权人员处取得指示外，还可从_________处取得指示。</w:t>
      </w:r>
    </w:p>
    <w:p>
      <w:pPr>
        <w:spacing w:line="480" w:lineRule="exact"/>
        <w:ind w:firstLine="562" w:firstLineChars="200"/>
        <w:outlineLvl w:val="3"/>
        <w:rPr>
          <w:rFonts w:hint="eastAsia" w:ascii="宋体" w:hAnsi="宋体" w:eastAsia="宋体" w:cs="宋体"/>
          <w:b/>
          <w:sz w:val="28"/>
          <w:szCs w:val="28"/>
        </w:rPr>
      </w:pPr>
      <w:bookmarkStart w:id="3396" w:name="_Toc57049139"/>
      <w:bookmarkStart w:id="3397" w:name="_Toc52809999"/>
      <w:r>
        <w:rPr>
          <w:rFonts w:hint="eastAsia" w:ascii="宋体" w:hAnsi="宋体" w:eastAsia="宋体" w:cs="宋体"/>
          <w:b/>
          <w:sz w:val="28"/>
          <w:szCs w:val="28"/>
        </w:rPr>
        <w:t>3.4 决定或答复</w:t>
      </w:r>
      <w:bookmarkEnd w:id="3396"/>
      <w:bookmarkEnd w:id="3397"/>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3.4.2发包人应在</w:t>
      </w:r>
      <w:r>
        <w:rPr>
          <w:rFonts w:hint="eastAsia" w:ascii="宋体" w:hAnsi="宋体" w:eastAsia="宋体" w:cs="宋体"/>
          <w:sz w:val="21"/>
          <w:szCs w:val="21"/>
          <w:u w:val="single"/>
        </w:rPr>
        <w:t xml:space="preserve">    </w:t>
      </w:r>
      <w:r>
        <w:rPr>
          <w:rFonts w:hint="eastAsia" w:ascii="宋体" w:hAnsi="宋体" w:eastAsia="宋体" w:cs="宋体"/>
          <w:sz w:val="21"/>
          <w:szCs w:val="21"/>
        </w:rPr>
        <w:t>天内，对勘察人书面提出的事项作出书面答复；逾期没有做出答复的，视为已获得发包人的批准。</w:t>
      </w:r>
    </w:p>
    <w:p>
      <w:pPr>
        <w:spacing w:line="480" w:lineRule="exact"/>
        <w:ind w:firstLine="562" w:firstLineChars="200"/>
        <w:outlineLvl w:val="2"/>
        <w:rPr>
          <w:rFonts w:hint="eastAsia" w:ascii="宋体" w:hAnsi="宋体" w:eastAsia="宋体" w:cs="宋体"/>
          <w:b/>
          <w:sz w:val="28"/>
          <w:szCs w:val="28"/>
        </w:rPr>
      </w:pPr>
      <w:bookmarkStart w:id="3398" w:name="_Toc8021"/>
      <w:bookmarkStart w:id="3399" w:name="_Toc57049140"/>
      <w:bookmarkStart w:id="3400" w:name="_Toc52810000"/>
      <w:bookmarkStart w:id="3401" w:name="_Toc57049990"/>
      <w:r>
        <w:rPr>
          <w:rFonts w:hint="eastAsia" w:ascii="宋体" w:hAnsi="宋体" w:eastAsia="宋体" w:cs="宋体"/>
          <w:b/>
          <w:sz w:val="28"/>
          <w:szCs w:val="28"/>
        </w:rPr>
        <w:t>4．勘察人义务</w:t>
      </w:r>
      <w:bookmarkEnd w:id="3398"/>
      <w:bookmarkEnd w:id="3399"/>
      <w:bookmarkEnd w:id="3400"/>
      <w:bookmarkEnd w:id="3401"/>
    </w:p>
    <w:p>
      <w:pPr>
        <w:spacing w:line="480" w:lineRule="exact"/>
        <w:ind w:firstLine="562" w:firstLineChars="200"/>
        <w:outlineLvl w:val="3"/>
        <w:rPr>
          <w:rFonts w:hint="eastAsia" w:ascii="宋体" w:hAnsi="宋体" w:eastAsia="宋体" w:cs="宋体"/>
          <w:b/>
          <w:sz w:val="28"/>
          <w:szCs w:val="28"/>
        </w:rPr>
      </w:pPr>
      <w:bookmarkStart w:id="3402" w:name="_Toc52810001"/>
      <w:bookmarkStart w:id="3403" w:name="_Toc57049141"/>
      <w:r>
        <w:rPr>
          <w:rFonts w:hint="eastAsia" w:ascii="宋体" w:hAnsi="宋体" w:eastAsia="宋体" w:cs="宋体"/>
          <w:b/>
          <w:sz w:val="28"/>
          <w:szCs w:val="28"/>
        </w:rPr>
        <w:t>4.2 履约担保</w:t>
      </w:r>
      <w:bookmarkEnd w:id="3402"/>
      <w:bookmarkEnd w:id="3403"/>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4.2.1 发包人需要勘察人提交履约担保的，由合同当事人在专用合同条款中约定履约担保的标准、提交方式、提交期限和有效期限。除专用合同条款另有约定外，履约担保自合同生效之日起生效，在最后一批勘察成果文件经上级主管部门批复且勘察人按照合同约定缴纳质量保证金之日起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天后失效。如果勘察人不履行合同约定的义务或其履行不符合合同的约定，发包人有权扣划相应金额的履约担保。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履约担保标准：</w:t>
      </w:r>
      <w:r>
        <w:rPr>
          <w:rFonts w:hint="eastAsia" w:ascii="宋体" w:hAnsi="宋体" w:eastAsia="宋体" w:cs="宋体"/>
          <w:sz w:val="21"/>
          <w:szCs w:val="21"/>
          <w:u w:val="single"/>
        </w:rPr>
        <w:t xml:space="preserve">    </w:t>
      </w:r>
      <w:r>
        <w:rPr>
          <w:rFonts w:hint="eastAsia" w:ascii="宋体" w:hAnsi="宋体" w:eastAsia="宋体" w:cs="宋体"/>
          <w:sz w:val="21"/>
          <w:szCs w:val="21"/>
        </w:rPr>
        <w:t>，提交方式：</w:t>
      </w:r>
      <w:r>
        <w:rPr>
          <w:rFonts w:hint="eastAsia" w:ascii="宋体" w:hAnsi="宋体" w:eastAsia="宋体" w:cs="宋体"/>
          <w:sz w:val="21"/>
          <w:szCs w:val="21"/>
          <w:u w:val="single"/>
        </w:rPr>
        <w:t xml:space="preserve">     </w:t>
      </w:r>
      <w:r>
        <w:rPr>
          <w:rFonts w:hint="eastAsia" w:ascii="宋体" w:hAnsi="宋体" w:eastAsia="宋体" w:cs="宋体"/>
          <w:sz w:val="21"/>
          <w:szCs w:val="21"/>
        </w:rPr>
        <w:t>，提交期限：</w:t>
      </w:r>
      <w:r>
        <w:rPr>
          <w:rFonts w:hint="eastAsia" w:ascii="宋体" w:hAnsi="宋体" w:eastAsia="宋体" w:cs="宋体"/>
          <w:sz w:val="21"/>
          <w:szCs w:val="21"/>
          <w:u w:val="single"/>
        </w:rPr>
        <w:t xml:space="preserve">    </w:t>
      </w:r>
      <w:r>
        <w:rPr>
          <w:rFonts w:hint="eastAsia" w:ascii="宋体" w:hAnsi="宋体" w:eastAsia="宋体" w:cs="宋体"/>
          <w:sz w:val="21"/>
          <w:szCs w:val="21"/>
        </w:rPr>
        <w:t>，有效期限：</w:t>
      </w:r>
      <w:r>
        <w:rPr>
          <w:rFonts w:hint="eastAsia" w:ascii="宋体" w:hAnsi="宋体" w:eastAsia="宋体" w:cs="宋体"/>
          <w:sz w:val="21"/>
          <w:szCs w:val="21"/>
          <w:u w:val="single"/>
        </w:rPr>
        <w:t xml:space="preserve">   </w:t>
      </w:r>
      <w:r>
        <w:rPr>
          <w:rFonts w:hint="eastAsia" w:ascii="宋体" w:hAnsi="宋体" w:eastAsia="宋体" w:cs="宋体"/>
          <w:sz w:val="21"/>
          <w:szCs w:val="21"/>
        </w:rPr>
        <w:t>。 履约担保有效期限的约定：_________。</w:t>
      </w:r>
    </w:p>
    <w:p>
      <w:pPr>
        <w:spacing w:line="480" w:lineRule="exact"/>
        <w:ind w:firstLine="562" w:firstLineChars="200"/>
        <w:outlineLvl w:val="3"/>
        <w:rPr>
          <w:rFonts w:hint="eastAsia" w:ascii="宋体" w:hAnsi="宋体" w:eastAsia="宋体" w:cs="宋体"/>
          <w:b/>
          <w:sz w:val="28"/>
          <w:szCs w:val="28"/>
        </w:rPr>
      </w:pPr>
      <w:bookmarkStart w:id="3404" w:name="_Toc52810002"/>
      <w:bookmarkStart w:id="3405" w:name="_Toc57049142"/>
      <w:r>
        <w:rPr>
          <w:rFonts w:hint="eastAsia" w:ascii="宋体" w:hAnsi="宋体" w:eastAsia="宋体" w:cs="宋体"/>
          <w:b/>
          <w:sz w:val="28"/>
          <w:szCs w:val="28"/>
        </w:rPr>
        <w:t>4.3 分包和不得转包</w:t>
      </w:r>
      <w:bookmarkEnd w:id="3404"/>
      <w:bookmarkEnd w:id="3405"/>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4.3.1 勘察人不得将其勘察的全部工作转包给第三人，或将其承包的全部工程肢解后以分包的名义转包给第三人。</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4.3.2 勘察人不得将勘察的主体、关键性工作及专用合同条款中禁止分包的专业工程分包给第三人。经发包人同意，勘察人可将工程勘察中跨专业或有特殊要求的勘察工作进行分包。未列入投标文件的勘察工作，勘察人不得分包。</w:t>
      </w:r>
    </w:p>
    <w:p>
      <w:pPr>
        <w:spacing w:line="480" w:lineRule="exact"/>
        <w:ind w:firstLine="420" w:firstLineChars="200"/>
        <w:rPr>
          <w:rFonts w:hint="eastAsia" w:ascii="宋体" w:hAnsi="宋体" w:eastAsia="宋体" w:cs="宋体"/>
          <w:sz w:val="28"/>
          <w:szCs w:val="28"/>
        </w:rPr>
      </w:pPr>
      <w:r>
        <w:rPr>
          <w:rFonts w:hint="eastAsia" w:ascii="宋体" w:hAnsi="宋体" w:eastAsia="宋体" w:cs="宋体"/>
          <w:sz w:val="21"/>
          <w:szCs w:val="21"/>
        </w:rPr>
        <w:t>关于分包的约定：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4.3.3 分包人的勘察费用的承担：_________。</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4.3.4 分包人资质：</w:t>
      </w:r>
      <w:r>
        <w:rPr>
          <w:rFonts w:hint="eastAsia" w:ascii="宋体" w:hAnsi="宋体" w:eastAsia="宋体" w:cs="宋体"/>
          <w:sz w:val="21"/>
          <w:szCs w:val="21"/>
          <w:u w:val="single"/>
        </w:rPr>
        <w:t xml:space="preserve">      </w:t>
      </w:r>
      <w:r>
        <w:rPr>
          <w:rFonts w:hint="eastAsia" w:ascii="宋体" w:hAnsi="宋体" w:eastAsia="宋体" w:cs="宋体"/>
          <w:sz w:val="21"/>
          <w:szCs w:val="21"/>
        </w:rPr>
        <w:t>、分包人主要人员要求：</w:t>
      </w:r>
      <w:r>
        <w:rPr>
          <w:rFonts w:hint="eastAsia" w:ascii="宋体" w:hAnsi="宋体" w:eastAsia="宋体" w:cs="宋体"/>
          <w:sz w:val="21"/>
          <w:szCs w:val="21"/>
          <w:u w:val="single"/>
        </w:rPr>
        <w:t xml:space="preserve">     </w:t>
      </w:r>
      <w:r>
        <w:rPr>
          <w:rFonts w:hint="eastAsia" w:ascii="宋体" w:hAnsi="宋体" w:eastAsia="宋体" w:cs="宋体"/>
          <w:sz w:val="21"/>
          <w:szCs w:val="21"/>
        </w:rPr>
        <w:t>、设备要求：</w:t>
      </w:r>
      <w:r>
        <w:rPr>
          <w:rFonts w:hint="eastAsia" w:ascii="宋体" w:hAnsi="宋体" w:eastAsia="宋体" w:cs="宋体"/>
          <w:sz w:val="21"/>
          <w:szCs w:val="21"/>
          <w:u w:val="single"/>
        </w:rPr>
        <w:t xml:space="preserve">     </w:t>
      </w:r>
      <w:r>
        <w:rPr>
          <w:rFonts w:hint="eastAsia" w:ascii="宋体" w:hAnsi="宋体" w:eastAsia="宋体" w:cs="宋体"/>
          <w:sz w:val="21"/>
          <w:szCs w:val="21"/>
        </w:rPr>
        <w:t>、 类似业绩：</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06" w:name="_Toc57049143"/>
      <w:bookmarkStart w:id="3407" w:name="_Toc52810003"/>
      <w:r>
        <w:rPr>
          <w:rFonts w:hint="eastAsia" w:ascii="宋体" w:hAnsi="宋体" w:eastAsia="宋体" w:cs="宋体"/>
          <w:b/>
          <w:sz w:val="28"/>
          <w:szCs w:val="28"/>
        </w:rPr>
        <w:t>4.4 联合体</w:t>
      </w:r>
      <w:bookmarkEnd w:id="3406"/>
      <w:bookmarkEnd w:id="3407"/>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08" w:name="_Toc57049144"/>
      <w:bookmarkStart w:id="3409" w:name="_Toc52810004"/>
      <w:r>
        <w:rPr>
          <w:rFonts w:hint="eastAsia" w:ascii="宋体" w:hAnsi="宋体" w:eastAsia="宋体" w:cs="宋体"/>
          <w:b/>
          <w:sz w:val="28"/>
          <w:szCs w:val="28"/>
        </w:rPr>
        <w:t>4.5 项目负责人</w:t>
      </w:r>
      <w:bookmarkEnd w:id="3408"/>
      <w:bookmarkEnd w:id="3409"/>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4.5.4 项目负责人可以授权其下属人员履行的职责：</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562" w:firstLineChars="200"/>
        <w:outlineLvl w:val="3"/>
        <w:rPr>
          <w:rFonts w:hint="eastAsia" w:ascii="宋体" w:hAnsi="宋体" w:eastAsia="宋体" w:cs="宋体"/>
          <w:b/>
          <w:sz w:val="28"/>
          <w:szCs w:val="28"/>
        </w:rPr>
      </w:pPr>
      <w:bookmarkStart w:id="3410" w:name="_Toc57049145"/>
      <w:bookmarkStart w:id="3411" w:name="_Toc52810005"/>
      <w:r>
        <w:rPr>
          <w:rFonts w:hint="eastAsia" w:ascii="宋体" w:hAnsi="宋体" w:eastAsia="宋体" w:cs="宋体"/>
          <w:b/>
          <w:sz w:val="28"/>
          <w:szCs w:val="28"/>
        </w:rPr>
        <w:t>4.6 勘察人员的管理</w:t>
      </w:r>
      <w:bookmarkEnd w:id="3410"/>
      <w:bookmarkEnd w:id="3411"/>
      <w:r>
        <w:rPr>
          <w:rFonts w:hint="eastAsia" w:ascii="宋体" w:hAnsi="宋体" w:eastAsia="宋体" w:cs="宋体"/>
          <w:b/>
          <w:sz w:val="28"/>
          <w:szCs w:val="28"/>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4.6.2 主要勘察人员包括：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其他人员包括：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2"/>
        <w:rPr>
          <w:rFonts w:hint="eastAsia" w:ascii="宋体" w:hAnsi="宋体" w:eastAsia="宋体" w:cs="宋体"/>
          <w:b/>
          <w:sz w:val="28"/>
          <w:szCs w:val="28"/>
        </w:rPr>
      </w:pPr>
      <w:bookmarkStart w:id="3412" w:name="_Toc57049146"/>
      <w:bookmarkStart w:id="3413" w:name="_Toc57049991"/>
      <w:bookmarkStart w:id="3414" w:name="_Toc52810006"/>
      <w:bookmarkStart w:id="3415" w:name="_Toc1629"/>
      <w:r>
        <w:rPr>
          <w:rFonts w:hint="eastAsia" w:ascii="宋体" w:hAnsi="宋体" w:eastAsia="宋体" w:cs="宋体"/>
          <w:b/>
          <w:sz w:val="28"/>
          <w:szCs w:val="28"/>
        </w:rPr>
        <w:t>5．勘察要求</w:t>
      </w:r>
      <w:bookmarkEnd w:id="3412"/>
      <w:bookmarkEnd w:id="3413"/>
      <w:bookmarkEnd w:id="3414"/>
      <w:bookmarkEnd w:id="3415"/>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16" w:name="_Toc57049147"/>
      <w:bookmarkStart w:id="3417" w:name="_Toc52810007"/>
      <w:r>
        <w:rPr>
          <w:rFonts w:hint="eastAsia" w:ascii="宋体" w:hAnsi="宋体" w:eastAsia="宋体" w:cs="宋体"/>
          <w:b/>
          <w:sz w:val="28"/>
          <w:szCs w:val="28"/>
        </w:rPr>
        <w:t>5.1 一般要求</w:t>
      </w:r>
      <w:bookmarkEnd w:id="3416"/>
      <w:bookmarkEnd w:id="3417"/>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5.1.1 发包人应遵守法律和规范标准，不得以任何理由要求勘察人违反法律和工程质量、安全标准、环保标准进行勘察服务，降低工程质量。</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5.1.3勘察人完成勘察工作所应遵守的其他规定：</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562" w:firstLineChars="200"/>
        <w:outlineLvl w:val="3"/>
        <w:rPr>
          <w:rFonts w:hint="eastAsia" w:ascii="宋体" w:hAnsi="宋体" w:eastAsia="宋体" w:cs="宋体"/>
          <w:b/>
          <w:sz w:val="28"/>
          <w:szCs w:val="28"/>
        </w:rPr>
      </w:pPr>
      <w:bookmarkStart w:id="3418" w:name="_Toc57049148"/>
      <w:bookmarkStart w:id="3419" w:name="_Toc52810008"/>
      <w:r>
        <w:rPr>
          <w:rFonts w:hint="eastAsia" w:ascii="宋体" w:hAnsi="宋体" w:eastAsia="宋体" w:cs="宋体"/>
          <w:b/>
          <w:sz w:val="28"/>
          <w:szCs w:val="28"/>
        </w:rPr>
        <w:t>5.3 勘察范围</w:t>
      </w:r>
      <w:bookmarkEnd w:id="3418"/>
      <w:bookmarkEnd w:id="3419"/>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5.3.2工程范围包括：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5.3.3阶段范围包括：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5.3.4工作范围包括：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20" w:name="_Toc57049149"/>
      <w:bookmarkStart w:id="3421" w:name="_Toc52810009"/>
      <w:r>
        <w:rPr>
          <w:rFonts w:hint="eastAsia" w:ascii="宋体" w:hAnsi="宋体" w:eastAsia="宋体" w:cs="宋体"/>
          <w:b/>
          <w:sz w:val="28"/>
          <w:szCs w:val="28"/>
        </w:rPr>
        <w:t>5.4 勘察作业要求</w:t>
      </w:r>
      <w:bookmarkEnd w:id="3420"/>
      <w:bookmarkEnd w:id="3421"/>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5.4.4 试验</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增加5.4.4 项第（5）条内容：</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p>
    <w:p>
      <w:pPr>
        <w:spacing w:line="480" w:lineRule="exact"/>
        <w:ind w:firstLine="562" w:firstLineChars="200"/>
        <w:outlineLvl w:val="3"/>
        <w:rPr>
          <w:rFonts w:hint="eastAsia" w:ascii="宋体" w:hAnsi="宋体" w:eastAsia="宋体" w:cs="宋体"/>
          <w:b/>
          <w:sz w:val="28"/>
          <w:szCs w:val="28"/>
        </w:rPr>
      </w:pPr>
      <w:bookmarkStart w:id="3422" w:name="_Toc57049150"/>
      <w:bookmarkStart w:id="3423" w:name="_Toc52810010"/>
      <w:r>
        <w:rPr>
          <w:rFonts w:hint="eastAsia" w:ascii="宋体" w:hAnsi="宋体" w:eastAsia="宋体" w:cs="宋体"/>
          <w:b/>
          <w:sz w:val="28"/>
          <w:szCs w:val="28"/>
        </w:rPr>
        <w:t>5.7 安全作业要求</w:t>
      </w:r>
      <w:bookmarkEnd w:id="3422"/>
      <w:bookmarkEnd w:id="3423"/>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5.7.1 勘察人编制安全措施计划的期限：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jc w:val="left"/>
        <w:outlineLvl w:val="2"/>
        <w:rPr>
          <w:rFonts w:hint="eastAsia" w:ascii="宋体" w:hAnsi="宋体" w:eastAsia="宋体" w:cs="宋体"/>
          <w:b/>
          <w:sz w:val="28"/>
          <w:szCs w:val="28"/>
        </w:rPr>
      </w:pPr>
      <w:bookmarkStart w:id="3424" w:name="_Toc57049151"/>
      <w:bookmarkStart w:id="3425" w:name="_Toc57049992"/>
      <w:bookmarkStart w:id="3426" w:name="_Toc52810011"/>
      <w:bookmarkStart w:id="3427" w:name="_Toc19159"/>
      <w:r>
        <w:rPr>
          <w:rFonts w:hint="eastAsia" w:ascii="宋体" w:hAnsi="宋体" w:eastAsia="宋体" w:cs="宋体"/>
          <w:b/>
          <w:sz w:val="28"/>
          <w:szCs w:val="28"/>
        </w:rPr>
        <w:t>6．开始勘察和完成勘察</w:t>
      </w:r>
      <w:bookmarkEnd w:id="3424"/>
      <w:bookmarkEnd w:id="3425"/>
      <w:bookmarkEnd w:id="3426"/>
      <w:bookmarkEnd w:id="3427"/>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28" w:name="_Toc57049152"/>
      <w:bookmarkStart w:id="3429" w:name="_Toc52810012"/>
      <w:r>
        <w:rPr>
          <w:rFonts w:hint="eastAsia" w:ascii="宋体" w:hAnsi="宋体" w:eastAsia="宋体" w:cs="宋体"/>
          <w:b/>
          <w:sz w:val="28"/>
          <w:szCs w:val="28"/>
        </w:rPr>
        <w:t>6.1 开始勘察</w:t>
      </w:r>
      <w:bookmarkEnd w:id="3428"/>
      <w:bookmarkEnd w:id="3429"/>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6.1.1开始勘察应具备的条件：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6.1.2 因发包人原因，自合同协议书中计划开始勘察日期之日起</w:t>
      </w:r>
      <w:r>
        <w:rPr>
          <w:rFonts w:hint="eastAsia" w:ascii="宋体" w:hAnsi="宋体" w:eastAsia="宋体" w:cs="宋体"/>
          <w:sz w:val="21"/>
          <w:szCs w:val="21"/>
          <w:u w:val="single"/>
        </w:rPr>
        <w:t xml:space="preserve">    </w:t>
      </w:r>
      <w:r>
        <w:rPr>
          <w:rFonts w:hint="eastAsia" w:ascii="宋体" w:hAnsi="宋体" w:eastAsia="宋体" w:cs="宋体"/>
          <w:sz w:val="21"/>
          <w:szCs w:val="21"/>
        </w:rPr>
        <w:t>天内未能发出开始勘察通知，对于本合同履行及相关费用、服务期延长承担的约定：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30" w:name="_Toc52810013"/>
      <w:bookmarkStart w:id="3431" w:name="_Toc57049153"/>
      <w:r>
        <w:rPr>
          <w:rFonts w:hint="eastAsia" w:ascii="宋体" w:hAnsi="宋体" w:eastAsia="宋体" w:cs="宋体"/>
          <w:b/>
          <w:sz w:val="28"/>
          <w:szCs w:val="28"/>
        </w:rPr>
        <w:t>6.2 发包人引起的周期延误</w:t>
      </w:r>
      <w:bookmarkEnd w:id="3430"/>
      <w:bookmarkEnd w:id="3431"/>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由于发包人原因造成勘察服务期限延误的，延长勘察服务期限的计算方法：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；增加勘察费用的计算方法：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32" w:name="_Toc57049154"/>
      <w:bookmarkStart w:id="3433" w:name="_Toc52810014"/>
      <w:r>
        <w:rPr>
          <w:rFonts w:hint="eastAsia" w:ascii="宋体" w:hAnsi="宋体" w:eastAsia="宋体" w:cs="宋体"/>
          <w:b/>
          <w:sz w:val="28"/>
          <w:szCs w:val="28"/>
        </w:rPr>
        <w:t>6.3 非人为因素引起的周期延误</w:t>
      </w:r>
      <w:bookmarkEnd w:id="3432"/>
      <w:bookmarkEnd w:id="3433"/>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6.3.1 异常恶劣气候条件包括：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不利物质条件包括：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6.3.3 勘察设计文件的形式：</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；若有不一致时，应以文件为准。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勘察设计文件各种形式的份数和要求：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34" w:name="_Toc52810015"/>
      <w:bookmarkStart w:id="3435" w:name="_Toc57049155"/>
      <w:r>
        <w:rPr>
          <w:rFonts w:hint="eastAsia" w:ascii="宋体" w:hAnsi="宋体" w:eastAsia="宋体" w:cs="宋体"/>
          <w:b/>
          <w:sz w:val="28"/>
          <w:szCs w:val="28"/>
        </w:rPr>
        <w:t>6.4 勘察人引起的周期延误</w:t>
      </w:r>
      <w:bookmarkEnd w:id="3434"/>
      <w:bookmarkEnd w:id="3435"/>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由于勘察人原因造成周期延误，勘察人应支付逾期违约金。</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逾期违约金的计算方法：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逾期违约金的最高限额：</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36" w:name="_Toc502903522"/>
      <w:bookmarkStart w:id="3437" w:name="_Toc52810016"/>
      <w:bookmarkStart w:id="3438" w:name="_Toc57049156"/>
      <w:r>
        <w:rPr>
          <w:rFonts w:hint="eastAsia" w:ascii="宋体" w:hAnsi="宋体" w:eastAsia="宋体" w:cs="宋体"/>
          <w:b/>
          <w:sz w:val="28"/>
          <w:szCs w:val="28"/>
        </w:rPr>
        <w:t>6.6 完成</w:t>
      </w:r>
      <w:bookmarkEnd w:id="3436"/>
      <w:r>
        <w:rPr>
          <w:rFonts w:hint="eastAsia" w:ascii="宋体" w:hAnsi="宋体" w:eastAsia="宋体" w:cs="宋体"/>
          <w:b/>
          <w:sz w:val="28"/>
          <w:szCs w:val="28"/>
        </w:rPr>
        <w:t>勘察</w:t>
      </w:r>
      <w:bookmarkEnd w:id="3437"/>
      <w:bookmarkEnd w:id="3438"/>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6.6.3勘察文件包括纸质文件和电子文件两种形式，两者若有 不一致时，应以纸质文件为准。纸质文件一式</w:t>
      </w:r>
      <w:r>
        <w:rPr>
          <w:rFonts w:hint="eastAsia" w:ascii="宋体" w:hAnsi="宋体" w:eastAsia="宋体" w:cs="宋体"/>
          <w:sz w:val="21"/>
          <w:szCs w:val="21"/>
          <w:u w:val="single"/>
        </w:rPr>
        <w:t xml:space="preserve">      </w:t>
      </w:r>
      <w:r>
        <w:rPr>
          <w:rFonts w:hint="eastAsia" w:ascii="宋体" w:hAnsi="宋体" w:eastAsia="宋体" w:cs="宋体"/>
          <w:sz w:val="21"/>
          <w:szCs w:val="21"/>
        </w:rPr>
        <w:t>份，应当加盖单位章和项目负责人注册执业印章；电子文件中的文字为 WORD 格式、图形为 CAD 格式，并应使用光盘和U盘分别贮存。</w:t>
      </w:r>
    </w:p>
    <w:p>
      <w:pPr>
        <w:spacing w:line="480" w:lineRule="exact"/>
        <w:ind w:firstLine="562" w:firstLineChars="200"/>
        <w:outlineLvl w:val="3"/>
        <w:rPr>
          <w:rFonts w:hint="eastAsia" w:ascii="宋体" w:hAnsi="宋体" w:eastAsia="宋体" w:cs="宋体"/>
          <w:b/>
          <w:sz w:val="28"/>
          <w:szCs w:val="28"/>
        </w:rPr>
      </w:pPr>
      <w:bookmarkStart w:id="3439" w:name="_Toc57049157"/>
      <w:bookmarkStart w:id="3440" w:name="_Toc52810017"/>
      <w:r>
        <w:rPr>
          <w:rFonts w:hint="eastAsia" w:ascii="宋体" w:hAnsi="宋体" w:eastAsia="宋体" w:cs="宋体"/>
          <w:b/>
          <w:sz w:val="28"/>
          <w:szCs w:val="28"/>
        </w:rPr>
        <w:t>6.7 提前完成勘察</w:t>
      </w:r>
      <w:bookmarkEnd w:id="3439"/>
      <w:bookmarkEnd w:id="3440"/>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6.7.1发包人接受建议书的，勘察费用增加或减少部分的承担：</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6.7.3 由于勘察人提前完成勘察而给发包人带来经济效益的，发包人给予勘察人如下奖励：</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562" w:firstLineChars="200"/>
        <w:outlineLvl w:val="2"/>
        <w:rPr>
          <w:rFonts w:hint="eastAsia" w:ascii="宋体" w:hAnsi="宋体" w:eastAsia="宋体" w:cs="宋体"/>
          <w:b/>
          <w:sz w:val="28"/>
          <w:szCs w:val="28"/>
        </w:rPr>
      </w:pPr>
      <w:bookmarkStart w:id="3441" w:name="_Toc57049158"/>
      <w:bookmarkStart w:id="3442" w:name="_Toc57049993"/>
      <w:bookmarkStart w:id="3443" w:name="_Toc52810018"/>
      <w:bookmarkStart w:id="3444" w:name="_Toc29660"/>
      <w:r>
        <w:rPr>
          <w:rFonts w:hint="eastAsia" w:ascii="宋体" w:hAnsi="宋体" w:eastAsia="宋体" w:cs="宋体"/>
          <w:b/>
          <w:sz w:val="28"/>
          <w:szCs w:val="28"/>
        </w:rPr>
        <w:t>8．勘察文件</w:t>
      </w:r>
      <w:bookmarkEnd w:id="3441"/>
      <w:bookmarkEnd w:id="3442"/>
      <w:bookmarkEnd w:id="3443"/>
      <w:bookmarkEnd w:id="3444"/>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45" w:name="_Toc57049159"/>
      <w:bookmarkStart w:id="3446" w:name="_Toc52810019"/>
      <w:r>
        <w:rPr>
          <w:rFonts w:hint="eastAsia" w:ascii="宋体" w:hAnsi="宋体" w:eastAsia="宋体" w:cs="宋体"/>
          <w:b/>
          <w:sz w:val="28"/>
          <w:szCs w:val="28"/>
        </w:rPr>
        <w:t>8.1 勘察文件接收</w:t>
      </w:r>
      <w:bookmarkEnd w:id="3445"/>
      <w:bookmarkEnd w:id="3446"/>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8.1.3 勘察文件提交要求：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47" w:name="_Toc57049160"/>
      <w:bookmarkStart w:id="3448" w:name="_Toc52810020"/>
      <w:r>
        <w:rPr>
          <w:rFonts w:hint="eastAsia" w:ascii="宋体" w:hAnsi="宋体" w:eastAsia="宋体" w:cs="宋体"/>
          <w:b/>
          <w:sz w:val="28"/>
          <w:szCs w:val="28"/>
        </w:rPr>
        <w:t>8.2 发包人审查勘察文件</w:t>
      </w:r>
      <w:bookmarkEnd w:id="3447"/>
      <w:bookmarkEnd w:id="3448"/>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8.2.1 发包人审查勘察文件的具体范围：</w:t>
      </w:r>
      <w:r>
        <w:rPr>
          <w:rFonts w:hint="eastAsia" w:ascii="宋体" w:hAnsi="宋体" w:eastAsia="宋体" w:cs="宋体"/>
          <w:sz w:val="21"/>
          <w:szCs w:val="21"/>
          <w:u w:val="single"/>
        </w:rPr>
        <w:t xml:space="preserve">       </w:t>
      </w:r>
      <w:r>
        <w:rPr>
          <w:rFonts w:hint="eastAsia" w:ascii="宋体" w:hAnsi="宋体" w:eastAsia="宋体" w:cs="宋体"/>
          <w:sz w:val="21"/>
          <w:szCs w:val="21"/>
        </w:rPr>
        <w:t>；明细内容：</w:t>
      </w:r>
      <w:r>
        <w:rPr>
          <w:rFonts w:hint="eastAsia" w:ascii="宋体" w:hAnsi="宋体" w:eastAsia="宋体" w:cs="宋体"/>
          <w:sz w:val="21"/>
          <w:szCs w:val="21"/>
          <w:u w:val="single"/>
        </w:rPr>
        <w:t xml:space="preserve">       </w:t>
      </w:r>
      <w:r>
        <w:rPr>
          <w:rFonts w:hint="eastAsia" w:ascii="宋体" w:hAnsi="宋体" w:eastAsia="宋体" w:cs="宋体"/>
          <w:sz w:val="21"/>
          <w:szCs w:val="21"/>
        </w:rPr>
        <w:t>；费用分担原则：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8.2.2发包人对于勘察文件的审查期限，自文件接收之日起不应超过</w:t>
      </w:r>
      <w:r>
        <w:rPr>
          <w:rFonts w:hint="eastAsia" w:ascii="宋体" w:hAnsi="宋体" w:eastAsia="宋体" w:cs="宋体"/>
          <w:sz w:val="21"/>
          <w:szCs w:val="21"/>
          <w:u w:val="single"/>
        </w:rPr>
        <w:t xml:space="preserve">      </w:t>
      </w:r>
      <w:r>
        <w:rPr>
          <w:rFonts w:hint="eastAsia" w:ascii="宋体" w:hAnsi="宋体" w:eastAsia="宋体" w:cs="宋体"/>
          <w:sz w:val="21"/>
          <w:szCs w:val="21"/>
        </w:rPr>
        <w:t>天。发包人逾期未做出审查结论且未提出异议的，视为勘察人的勘察文件已经通过发包人审查。</w:t>
      </w:r>
    </w:p>
    <w:p>
      <w:pPr>
        <w:spacing w:line="480" w:lineRule="exact"/>
        <w:ind w:firstLine="562" w:firstLineChars="200"/>
        <w:jc w:val="left"/>
        <w:outlineLvl w:val="2"/>
        <w:rPr>
          <w:rFonts w:hint="eastAsia" w:ascii="宋体" w:hAnsi="宋体" w:eastAsia="宋体" w:cs="宋体"/>
          <w:b/>
          <w:sz w:val="28"/>
          <w:szCs w:val="28"/>
        </w:rPr>
      </w:pPr>
      <w:bookmarkStart w:id="3449" w:name="_Toc57049161"/>
      <w:bookmarkStart w:id="3450" w:name="_Toc52810021"/>
      <w:bookmarkStart w:id="3451" w:name="_Toc57049994"/>
      <w:bookmarkStart w:id="3452" w:name="_Toc2517"/>
      <w:r>
        <w:rPr>
          <w:rFonts w:hint="eastAsia" w:ascii="宋体" w:hAnsi="宋体" w:eastAsia="宋体" w:cs="宋体"/>
          <w:b/>
          <w:sz w:val="28"/>
          <w:szCs w:val="28"/>
        </w:rPr>
        <w:t>9．勘察责任与保险</w:t>
      </w:r>
      <w:bookmarkEnd w:id="3449"/>
      <w:bookmarkEnd w:id="3450"/>
      <w:bookmarkEnd w:id="3451"/>
      <w:bookmarkEnd w:id="3452"/>
    </w:p>
    <w:p>
      <w:pPr>
        <w:spacing w:line="480" w:lineRule="exact"/>
        <w:ind w:firstLine="562" w:firstLineChars="200"/>
        <w:outlineLvl w:val="3"/>
        <w:rPr>
          <w:rFonts w:hint="eastAsia" w:ascii="宋体" w:hAnsi="宋体" w:eastAsia="宋体" w:cs="宋体"/>
          <w:b/>
          <w:sz w:val="28"/>
          <w:szCs w:val="28"/>
        </w:rPr>
      </w:pPr>
      <w:bookmarkStart w:id="3453" w:name="_Toc52810022"/>
      <w:bookmarkStart w:id="3454" w:name="_Toc57049162"/>
      <w:r>
        <w:rPr>
          <w:rFonts w:hint="eastAsia" w:ascii="宋体" w:hAnsi="宋体" w:eastAsia="宋体" w:cs="宋体"/>
          <w:b/>
          <w:sz w:val="28"/>
          <w:szCs w:val="28"/>
        </w:rPr>
        <w:t>9.4 勘察责任保险</w:t>
      </w:r>
      <w:bookmarkEnd w:id="3453"/>
      <w:bookmarkEnd w:id="3454"/>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9.4.1 发包人是否要求勘察人提供工程勘察责任险：□否□是。</w:t>
      </w:r>
    </w:p>
    <w:p>
      <w:pPr>
        <w:spacing w:line="480" w:lineRule="exact"/>
        <w:ind w:firstLine="562" w:firstLineChars="200"/>
        <w:jc w:val="left"/>
        <w:outlineLvl w:val="2"/>
        <w:rPr>
          <w:rFonts w:hint="eastAsia" w:ascii="宋体" w:hAnsi="宋体" w:eastAsia="宋体" w:cs="宋体"/>
          <w:b/>
          <w:sz w:val="28"/>
          <w:szCs w:val="28"/>
        </w:rPr>
      </w:pPr>
      <w:bookmarkStart w:id="3455" w:name="_Toc28925"/>
      <w:bookmarkStart w:id="3456" w:name="_Toc52810023"/>
      <w:bookmarkStart w:id="3457" w:name="_Toc57049163"/>
      <w:bookmarkStart w:id="3458" w:name="_Toc57049995"/>
      <w:r>
        <w:rPr>
          <w:rFonts w:hint="eastAsia" w:ascii="宋体" w:hAnsi="宋体" w:eastAsia="宋体" w:cs="宋体"/>
          <w:b/>
          <w:sz w:val="28"/>
          <w:szCs w:val="28"/>
        </w:rPr>
        <w:t>10．设计和施工期间配合</w:t>
      </w:r>
      <w:bookmarkEnd w:id="3455"/>
      <w:bookmarkEnd w:id="3456"/>
      <w:bookmarkEnd w:id="3457"/>
      <w:bookmarkEnd w:id="3458"/>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59" w:name="_Toc57049164"/>
      <w:r>
        <w:rPr>
          <w:rFonts w:hint="eastAsia" w:ascii="宋体" w:hAnsi="宋体" w:eastAsia="宋体" w:cs="宋体"/>
          <w:b/>
          <w:sz w:val="28"/>
          <w:szCs w:val="28"/>
        </w:rPr>
        <w:t>10.2施工期间配合</w:t>
      </w:r>
      <w:bookmarkEnd w:id="3459"/>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10.2.2发包人应为勘察人派赴施工现场的工作人员，在施工期间提供办公房间、办公桌椅、互联网接口、冷暖设施、生活设施、进出现场交通服务和其他便利条件，其中：</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jc w:val="left"/>
        <w:outlineLvl w:val="2"/>
        <w:rPr>
          <w:rFonts w:hint="eastAsia" w:ascii="宋体" w:hAnsi="宋体" w:eastAsia="宋体" w:cs="宋体"/>
          <w:b/>
          <w:sz w:val="28"/>
          <w:szCs w:val="28"/>
        </w:rPr>
      </w:pPr>
      <w:bookmarkStart w:id="3460" w:name="_Toc57049996"/>
      <w:bookmarkStart w:id="3461" w:name="_Toc27579"/>
      <w:bookmarkStart w:id="3462" w:name="_Toc57049165"/>
      <w:bookmarkStart w:id="3463" w:name="_Toc52810024"/>
      <w:r>
        <w:rPr>
          <w:rFonts w:hint="eastAsia" w:ascii="宋体" w:hAnsi="宋体" w:eastAsia="宋体" w:cs="宋体"/>
          <w:b/>
          <w:sz w:val="28"/>
          <w:szCs w:val="28"/>
        </w:rPr>
        <w:t>11．合同变更</w:t>
      </w:r>
      <w:bookmarkEnd w:id="3460"/>
      <w:bookmarkEnd w:id="3461"/>
      <w:bookmarkEnd w:id="3462"/>
      <w:bookmarkEnd w:id="3463"/>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64" w:name="_Toc57049166"/>
      <w:bookmarkStart w:id="3465" w:name="_Toc52810025"/>
      <w:r>
        <w:rPr>
          <w:rFonts w:hint="eastAsia" w:ascii="宋体" w:hAnsi="宋体" w:eastAsia="宋体" w:cs="宋体"/>
          <w:b/>
          <w:sz w:val="28"/>
          <w:szCs w:val="28"/>
        </w:rPr>
        <w:t>11.1 变更情形</w:t>
      </w:r>
      <w:bookmarkEnd w:id="3464"/>
      <w:bookmarkEnd w:id="3465"/>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11.1.1 合同变更时，勘察服务期限的调整方法：</w:t>
      </w:r>
      <w:r>
        <w:rPr>
          <w:rFonts w:hint="eastAsia" w:ascii="宋体" w:hAnsi="宋体" w:eastAsia="宋体" w:cs="宋体"/>
          <w:sz w:val="21"/>
          <w:szCs w:val="21"/>
          <w:u w:val="single"/>
        </w:rPr>
        <w:t xml:space="preserve">      </w:t>
      </w:r>
      <w:r>
        <w:rPr>
          <w:rFonts w:hint="eastAsia" w:ascii="宋体" w:hAnsi="宋体" w:eastAsia="宋体" w:cs="宋体"/>
          <w:sz w:val="21"/>
          <w:szCs w:val="21"/>
        </w:rPr>
        <w:t>；勘察费用的调整方法：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66" w:name="_Toc52810026"/>
      <w:bookmarkStart w:id="3467" w:name="_Toc57049167"/>
      <w:r>
        <w:rPr>
          <w:rFonts w:hint="eastAsia" w:ascii="宋体" w:hAnsi="宋体" w:eastAsia="宋体" w:cs="宋体"/>
          <w:b/>
          <w:sz w:val="28"/>
          <w:szCs w:val="28"/>
        </w:rPr>
        <w:t>11.2 合理化建议</w:t>
      </w:r>
      <w:bookmarkEnd w:id="3466"/>
      <w:bookmarkEnd w:id="3467"/>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11.2.2 勘察人提出的合理化建议降低了工程投资、缩短了施工期限或者提高了工程经济效益的，发包人给予勘察人如下奖励</w:t>
      </w:r>
      <w:r>
        <w:rPr>
          <w:rFonts w:hint="eastAsia" w:ascii="宋体" w:hAnsi="宋体" w:eastAsia="宋体" w:cs="宋体"/>
          <w:kern w:val="0"/>
          <w:sz w:val="21"/>
          <w:szCs w:val="21"/>
        </w:rPr>
        <w:t>：</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w:t>
      </w:r>
      <w:r>
        <w:rPr>
          <w:rFonts w:hint="eastAsia" w:ascii="宋体" w:hAnsi="宋体" w:eastAsia="宋体" w:cs="宋体"/>
          <w:sz w:val="21"/>
          <w:szCs w:val="21"/>
        </w:rPr>
        <w:t xml:space="preserve"> </w:t>
      </w:r>
    </w:p>
    <w:p>
      <w:pPr>
        <w:spacing w:line="480" w:lineRule="exact"/>
        <w:ind w:firstLine="562" w:firstLineChars="200"/>
        <w:jc w:val="left"/>
        <w:outlineLvl w:val="2"/>
        <w:rPr>
          <w:rFonts w:hint="eastAsia" w:ascii="宋体" w:hAnsi="宋体" w:eastAsia="宋体" w:cs="宋体"/>
          <w:b/>
          <w:sz w:val="28"/>
          <w:szCs w:val="28"/>
        </w:rPr>
      </w:pPr>
      <w:bookmarkStart w:id="3468" w:name="_Toc57049997"/>
      <w:bookmarkStart w:id="3469" w:name="_Toc52810027"/>
      <w:bookmarkStart w:id="3470" w:name="_Toc10390"/>
      <w:bookmarkStart w:id="3471" w:name="_Toc57049168"/>
      <w:r>
        <w:rPr>
          <w:rFonts w:hint="eastAsia" w:ascii="宋体" w:hAnsi="宋体" w:eastAsia="宋体" w:cs="宋体"/>
          <w:b/>
          <w:sz w:val="28"/>
          <w:szCs w:val="28"/>
        </w:rPr>
        <w:t>12．合同价格与支付</w:t>
      </w:r>
      <w:bookmarkEnd w:id="3468"/>
      <w:bookmarkEnd w:id="3469"/>
      <w:bookmarkEnd w:id="3470"/>
      <w:bookmarkEnd w:id="3471"/>
      <w:r>
        <w:rPr>
          <w:rFonts w:hint="eastAsia" w:ascii="宋体" w:hAnsi="宋体" w:eastAsia="宋体" w:cs="宋体"/>
          <w:b/>
          <w:sz w:val="28"/>
          <w:szCs w:val="28"/>
        </w:rPr>
        <w:t xml:space="preserve"> </w:t>
      </w:r>
    </w:p>
    <w:p>
      <w:pPr>
        <w:spacing w:line="480" w:lineRule="exact"/>
        <w:ind w:firstLine="562" w:firstLineChars="200"/>
        <w:outlineLvl w:val="3"/>
        <w:rPr>
          <w:rFonts w:hint="eastAsia" w:ascii="宋体" w:hAnsi="宋体" w:eastAsia="宋体" w:cs="宋体"/>
          <w:b/>
          <w:sz w:val="28"/>
          <w:szCs w:val="28"/>
        </w:rPr>
      </w:pPr>
      <w:bookmarkStart w:id="3472" w:name="_Toc52810028"/>
      <w:bookmarkStart w:id="3473" w:name="_Toc57049169"/>
      <w:r>
        <w:rPr>
          <w:rFonts w:hint="eastAsia" w:ascii="宋体" w:hAnsi="宋体" w:eastAsia="宋体" w:cs="宋体"/>
          <w:b/>
          <w:sz w:val="28"/>
          <w:szCs w:val="28"/>
        </w:rPr>
        <w:t>12.1 合同价格</w:t>
      </w:r>
      <w:bookmarkEnd w:id="3472"/>
      <w:bookmarkEnd w:id="3473"/>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12.1.1本合同的价款确定方式：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调整方式：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风险范围划分：</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12.1.3本合同的合同价格包括：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74" w:name="_Toc57049170"/>
      <w:bookmarkStart w:id="3475" w:name="_Toc52810029"/>
      <w:r>
        <w:rPr>
          <w:rFonts w:hint="eastAsia" w:ascii="宋体" w:hAnsi="宋体" w:eastAsia="宋体" w:cs="宋体"/>
          <w:b/>
          <w:sz w:val="28"/>
          <w:szCs w:val="28"/>
        </w:rPr>
        <w:t>12.2 定金或预付款</w:t>
      </w:r>
      <w:bookmarkEnd w:id="3474"/>
      <w:bookmarkEnd w:id="3475"/>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12.2.1定金或预付款应专用于本工程的勘察。定金或预付款的额度：</w:t>
      </w:r>
      <w:r>
        <w:rPr>
          <w:rFonts w:hint="eastAsia" w:ascii="宋体" w:hAnsi="宋体" w:eastAsia="宋体" w:cs="宋体"/>
          <w:sz w:val="21"/>
          <w:szCs w:val="21"/>
          <w:u w:val="single"/>
        </w:rPr>
        <w:t xml:space="preserve">      </w:t>
      </w:r>
      <w:r>
        <w:rPr>
          <w:rFonts w:hint="eastAsia" w:ascii="宋体" w:hAnsi="宋体" w:eastAsia="宋体" w:cs="宋体"/>
          <w:sz w:val="21"/>
          <w:szCs w:val="21"/>
        </w:rPr>
        <w:t>、支付方式：</w:t>
      </w:r>
      <w:r>
        <w:rPr>
          <w:rFonts w:hint="eastAsia" w:ascii="宋体" w:hAnsi="宋体" w:eastAsia="宋体" w:cs="宋体"/>
          <w:sz w:val="21"/>
          <w:szCs w:val="21"/>
          <w:u w:val="single"/>
        </w:rPr>
        <w:t xml:space="preserve">    </w:t>
      </w:r>
      <w:r>
        <w:rPr>
          <w:rFonts w:hint="eastAsia" w:ascii="宋体" w:hAnsi="宋体" w:eastAsia="宋体" w:cs="宋体"/>
          <w:sz w:val="21"/>
          <w:szCs w:val="21"/>
        </w:rPr>
        <w:t>及抵扣方式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76" w:name="_Toc52810030"/>
      <w:bookmarkStart w:id="3477" w:name="_Toc57049171"/>
      <w:r>
        <w:rPr>
          <w:rFonts w:hint="eastAsia" w:ascii="宋体" w:hAnsi="宋体" w:eastAsia="宋体" w:cs="宋体"/>
          <w:b/>
          <w:sz w:val="28"/>
          <w:szCs w:val="28"/>
        </w:rPr>
        <w:t>12.3 中期支付</w:t>
      </w:r>
      <w:bookmarkEnd w:id="3476"/>
      <w:bookmarkEnd w:id="3477"/>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12.3.1 中期支付申请的格式及份数：</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12.3.2 逾期付款违约金：每延期支付1天, 发包人应付给勘察人拖欠金额的</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12.3.3 中期支付涉及政府投资资金的，支付规定如下：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78" w:name="_Toc52810031"/>
      <w:bookmarkStart w:id="3479" w:name="_Toc57049172"/>
      <w:r>
        <w:rPr>
          <w:rFonts w:hint="eastAsia" w:ascii="宋体" w:hAnsi="宋体" w:eastAsia="宋体" w:cs="宋体"/>
          <w:b/>
          <w:sz w:val="28"/>
          <w:szCs w:val="28"/>
        </w:rPr>
        <w:t>12.4 费用结算</w:t>
      </w:r>
      <w:bookmarkEnd w:id="3478"/>
      <w:bookmarkEnd w:id="3479"/>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12.4.1 勘察费用结算申请的份数和提交期限：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12.4.2逾期付款违约金：每延期支付1天, 发包人应付给勘察人拖欠金额的</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w:t>
      </w:r>
    </w:p>
    <w:p>
      <w:pPr>
        <w:spacing w:line="480" w:lineRule="exact"/>
        <w:ind w:firstLine="562" w:firstLineChars="200"/>
        <w:jc w:val="left"/>
        <w:outlineLvl w:val="2"/>
        <w:rPr>
          <w:rFonts w:hint="eastAsia" w:ascii="宋体" w:hAnsi="宋体" w:eastAsia="宋体" w:cs="宋体"/>
          <w:b/>
          <w:sz w:val="28"/>
          <w:szCs w:val="28"/>
        </w:rPr>
      </w:pPr>
      <w:bookmarkStart w:id="3480" w:name="_Toc29109"/>
      <w:bookmarkStart w:id="3481" w:name="_Toc57049998"/>
      <w:bookmarkStart w:id="3482" w:name="_Toc52810032"/>
      <w:bookmarkStart w:id="3483" w:name="_Toc57049173"/>
      <w:r>
        <w:rPr>
          <w:rFonts w:hint="eastAsia" w:ascii="宋体" w:hAnsi="宋体" w:eastAsia="宋体" w:cs="宋体"/>
          <w:b/>
          <w:sz w:val="28"/>
          <w:szCs w:val="28"/>
        </w:rPr>
        <w:t>13．不可抗力</w:t>
      </w:r>
      <w:bookmarkEnd w:id="3480"/>
      <w:bookmarkEnd w:id="3481"/>
      <w:bookmarkEnd w:id="3482"/>
      <w:bookmarkEnd w:id="3483"/>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13.1.1 不可抗力指：</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jc w:val="left"/>
        <w:outlineLvl w:val="2"/>
        <w:rPr>
          <w:rFonts w:hint="eastAsia" w:ascii="宋体" w:hAnsi="宋体" w:eastAsia="宋体" w:cs="宋体"/>
          <w:b/>
          <w:sz w:val="28"/>
          <w:szCs w:val="28"/>
        </w:rPr>
      </w:pPr>
      <w:bookmarkStart w:id="3484" w:name="_Toc17012"/>
      <w:bookmarkStart w:id="3485" w:name="_Toc52810033"/>
      <w:bookmarkStart w:id="3486" w:name="_Toc57049174"/>
      <w:bookmarkStart w:id="3487" w:name="_Toc57049999"/>
      <w:r>
        <w:rPr>
          <w:rFonts w:hint="eastAsia" w:ascii="宋体" w:hAnsi="宋体" w:eastAsia="宋体" w:cs="宋体"/>
          <w:b/>
          <w:sz w:val="28"/>
          <w:szCs w:val="28"/>
        </w:rPr>
        <w:t>14．违约</w:t>
      </w:r>
      <w:bookmarkEnd w:id="3484"/>
      <w:bookmarkEnd w:id="3485"/>
      <w:bookmarkEnd w:id="3486"/>
      <w:bookmarkEnd w:id="3487"/>
    </w:p>
    <w:p>
      <w:pPr>
        <w:spacing w:line="480" w:lineRule="exact"/>
        <w:ind w:firstLine="562" w:firstLineChars="200"/>
        <w:outlineLvl w:val="3"/>
        <w:rPr>
          <w:rFonts w:hint="eastAsia" w:ascii="宋体" w:hAnsi="宋体" w:eastAsia="宋体" w:cs="宋体"/>
          <w:b/>
          <w:sz w:val="28"/>
          <w:szCs w:val="28"/>
        </w:rPr>
      </w:pPr>
      <w:bookmarkStart w:id="3488" w:name="_Toc57049175"/>
      <w:bookmarkStart w:id="3489" w:name="_Toc52810034"/>
      <w:r>
        <w:rPr>
          <w:rFonts w:hint="eastAsia" w:ascii="宋体" w:hAnsi="宋体" w:eastAsia="宋体" w:cs="宋体"/>
          <w:b/>
          <w:sz w:val="28"/>
          <w:szCs w:val="28"/>
        </w:rPr>
        <w:t>14.1 勘察人违约</w:t>
      </w:r>
      <w:bookmarkEnd w:id="3488"/>
      <w:bookmarkEnd w:id="3489"/>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14.1.1 合同履行中发生下列情况之一的，属勘察人违约：</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14.1.2 设计人发生违约情况时，发包人有权向勘察人课以违约金，具体约定如下：</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80" w:lineRule="exact"/>
        <w:ind w:firstLine="562" w:firstLineChars="200"/>
        <w:outlineLvl w:val="3"/>
        <w:rPr>
          <w:rFonts w:hint="eastAsia" w:ascii="宋体" w:hAnsi="宋体" w:eastAsia="宋体" w:cs="宋体"/>
          <w:b/>
          <w:sz w:val="28"/>
          <w:szCs w:val="28"/>
        </w:rPr>
      </w:pPr>
      <w:bookmarkStart w:id="3490" w:name="_Toc52810035"/>
      <w:bookmarkStart w:id="3491" w:name="_Toc57049176"/>
      <w:r>
        <w:rPr>
          <w:rFonts w:hint="eastAsia" w:ascii="宋体" w:hAnsi="宋体" w:eastAsia="宋体" w:cs="宋体"/>
          <w:b/>
          <w:sz w:val="28"/>
          <w:szCs w:val="28"/>
        </w:rPr>
        <w:t>14.2 发包人违约</w:t>
      </w:r>
      <w:bookmarkEnd w:id="3490"/>
      <w:bookmarkEnd w:id="3491"/>
      <w:r>
        <w:rPr>
          <w:rFonts w:hint="eastAsia" w:ascii="宋体" w:hAnsi="宋体" w:eastAsia="宋体" w:cs="宋体"/>
          <w:b/>
          <w:sz w:val="28"/>
          <w:szCs w:val="28"/>
        </w:rPr>
        <w:t xml:space="preserve"> </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14.1.1 合同履行中发生下列情况之一的，属发包人违约：</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w:t>
      </w:r>
    </w:p>
    <w:p>
      <w:pPr>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14.2.2 发包人发生违约情况时，勘察人有权向发包人课以违约金，具体约定如 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80" w:lineRule="exact"/>
        <w:ind w:firstLine="562" w:firstLineChars="200"/>
        <w:outlineLvl w:val="3"/>
        <w:rPr>
          <w:rFonts w:hint="eastAsia" w:ascii="宋体" w:hAnsi="宋体" w:eastAsia="宋体" w:cs="宋体"/>
          <w:b/>
          <w:sz w:val="28"/>
          <w:szCs w:val="28"/>
        </w:rPr>
      </w:pPr>
      <w:bookmarkStart w:id="3492" w:name="_Toc57050000"/>
      <w:bookmarkStart w:id="3493" w:name="_Toc57049177"/>
      <w:bookmarkStart w:id="3494" w:name="_Toc52810036"/>
      <w:r>
        <w:rPr>
          <w:rFonts w:hint="eastAsia" w:ascii="宋体" w:hAnsi="宋体" w:eastAsia="宋体" w:cs="宋体"/>
          <w:b/>
          <w:sz w:val="28"/>
          <w:szCs w:val="28"/>
        </w:rPr>
        <w:t>15．争议的解决</w:t>
      </w:r>
      <w:bookmarkEnd w:id="3492"/>
      <w:bookmarkEnd w:id="3493"/>
      <w:bookmarkEnd w:id="3494"/>
      <w:r>
        <w:rPr>
          <w:rFonts w:hint="eastAsia" w:ascii="宋体" w:hAnsi="宋体" w:eastAsia="宋体" w:cs="宋体"/>
          <w:b/>
          <w:sz w:val="28"/>
          <w:szCs w:val="28"/>
        </w:rPr>
        <w:t xml:space="preserve"> </w:t>
      </w:r>
    </w:p>
    <w:p>
      <w:pPr>
        <w:spacing w:after="15" w:line="363" w:lineRule="auto"/>
        <w:ind w:left="-15" w:right="103" w:firstLine="420"/>
        <w:jc w:val="left"/>
        <w:rPr>
          <w:rFonts w:hint="eastAsia" w:ascii="宋体" w:hAnsi="宋体" w:eastAsia="宋体" w:cs="宋体"/>
          <w:sz w:val="21"/>
          <w:szCs w:val="21"/>
        </w:rPr>
      </w:pPr>
      <w:r>
        <w:rPr>
          <w:rFonts w:hint="eastAsia" w:ascii="宋体" w:hAnsi="宋体" w:eastAsia="宋体" w:cs="宋体"/>
          <w:sz w:val="21"/>
          <w:szCs w:val="21"/>
        </w:rPr>
        <w:t>发包人和勘察人在履行合同中发生争议的，可以友好协商解决。合同当事人友好协商解决不成的，约定的合同争议解决方式：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
      <w:pPr>
        <w:spacing w:line="240" w:lineRule="auto"/>
        <w:jc w:val="left"/>
        <w:outlineLvl w:val="9"/>
      </w:pPr>
      <w:r>
        <w:br w:type="page"/>
      </w:r>
      <w:bookmarkStart w:id="3495" w:name="_Toc52810037"/>
      <w:bookmarkStart w:id="3496" w:name="_Toc57049178"/>
      <w:bookmarkStart w:id="3497" w:name="_Toc57048699"/>
      <w:bookmarkStart w:id="3498" w:name="_Toc57050001"/>
    </w:p>
    <w:p>
      <w:pPr>
        <w:spacing w:line="490" w:lineRule="exact"/>
        <w:jc w:val="center"/>
        <w:outlineLvl w:val="1"/>
        <w:rPr>
          <w:rFonts w:eastAsia="黑体"/>
          <w:b/>
          <w:sz w:val="30"/>
          <w:szCs w:val="30"/>
        </w:rPr>
      </w:pPr>
      <w:bookmarkStart w:id="3499" w:name="_Toc2641"/>
      <w:r>
        <w:rPr>
          <w:rFonts w:eastAsia="黑体"/>
          <w:b/>
          <w:sz w:val="30"/>
          <w:szCs w:val="30"/>
        </w:rPr>
        <w:t>第五节 专用合同条款（适用于设计项目）</w:t>
      </w:r>
      <w:bookmarkEnd w:id="3495"/>
      <w:bookmarkEnd w:id="3496"/>
      <w:bookmarkEnd w:id="3497"/>
      <w:bookmarkEnd w:id="3498"/>
      <w:bookmarkEnd w:id="3499"/>
    </w:p>
    <w:p>
      <w:pPr>
        <w:spacing w:line="490" w:lineRule="exact"/>
      </w:pPr>
    </w:p>
    <w:p>
      <w:pPr>
        <w:spacing w:line="490" w:lineRule="exact"/>
        <w:ind w:firstLine="562" w:firstLineChars="200"/>
        <w:jc w:val="left"/>
        <w:outlineLvl w:val="2"/>
        <w:rPr>
          <w:rFonts w:hint="eastAsia" w:ascii="宋体" w:hAnsi="宋体" w:eastAsia="宋体" w:cs="宋体"/>
          <w:b/>
          <w:sz w:val="28"/>
          <w:szCs w:val="28"/>
        </w:rPr>
      </w:pPr>
      <w:bookmarkStart w:id="3500" w:name="_Toc414519117"/>
      <w:bookmarkStart w:id="3501" w:name="_Toc497142729"/>
      <w:bookmarkStart w:id="3502" w:name="_Toc29049642"/>
      <w:bookmarkStart w:id="3503" w:name="_Toc19601"/>
      <w:bookmarkStart w:id="3504" w:name="_Toc2335"/>
      <w:bookmarkStart w:id="3505" w:name="_Toc57049179"/>
      <w:bookmarkStart w:id="3506" w:name="_Toc52810038"/>
      <w:bookmarkStart w:id="3507" w:name="_Toc57050002"/>
      <w:bookmarkStart w:id="3508" w:name="_Toc7882"/>
      <w:bookmarkStart w:id="3509" w:name="_Toc523"/>
      <w:bookmarkStart w:id="3510" w:name="_Toc502903500"/>
      <w:r>
        <w:rPr>
          <w:rFonts w:eastAsia="黑体"/>
          <w:b/>
          <w:sz w:val="28"/>
          <w:szCs w:val="28"/>
        </w:rPr>
        <w:t>1．</w:t>
      </w:r>
      <w:r>
        <w:rPr>
          <w:rFonts w:hint="eastAsia" w:ascii="宋体" w:hAnsi="宋体" w:eastAsia="宋体" w:cs="宋体"/>
          <w:b/>
          <w:sz w:val="28"/>
          <w:szCs w:val="28"/>
        </w:rPr>
        <w:t>一般约定</w:t>
      </w:r>
      <w:bookmarkEnd w:id="3500"/>
      <w:bookmarkEnd w:id="3501"/>
      <w:bookmarkEnd w:id="3502"/>
      <w:bookmarkEnd w:id="3503"/>
      <w:bookmarkEnd w:id="3504"/>
      <w:bookmarkEnd w:id="3505"/>
      <w:bookmarkEnd w:id="3506"/>
      <w:bookmarkEnd w:id="3507"/>
      <w:bookmarkEnd w:id="3508"/>
      <w:bookmarkEnd w:id="3509"/>
    </w:p>
    <w:p>
      <w:pPr>
        <w:spacing w:line="490" w:lineRule="exact"/>
        <w:ind w:firstLine="562" w:firstLineChars="200"/>
        <w:outlineLvl w:val="3"/>
        <w:rPr>
          <w:rFonts w:hint="eastAsia" w:ascii="宋体" w:hAnsi="宋体" w:eastAsia="宋体" w:cs="宋体"/>
          <w:b/>
          <w:sz w:val="28"/>
          <w:szCs w:val="28"/>
        </w:rPr>
      </w:pPr>
      <w:bookmarkStart w:id="3511" w:name="_Toc52810039"/>
      <w:bookmarkStart w:id="3512" w:name="_Toc26331"/>
      <w:bookmarkStart w:id="3513" w:name="_Toc57049180"/>
      <w:bookmarkStart w:id="3514" w:name="_Toc414519118"/>
      <w:r>
        <w:rPr>
          <w:rFonts w:hint="eastAsia" w:ascii="宋体" w:hAnsi="宋体" w:eastAsia="宋体" w:cs="宋体"/>
          <w:b/>
          <w:sz w:val="28"/>
          <w:szCs w:val="28"/>
        </w:rPr>
        <w:t>1.1 词语定义</w:t>
      </w:r>
      <w:bookmarkEnd w:id="3511"/>
      <w:bookmarkEnd w:id="3512"/>
      <w:bookmarkEnd w:id="3513"/>
      <w:bookmarkEnd w:id="3514"/>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 合同当事人和人员</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1.1.2.2 发包人：</w:t>
      </w:r>
      <w:r>
        <w:rPr>
          <w:rFonts w:hint="eastAsia" w:ascii="宋体" w:hAnsi="宋体" w:eastAsia="宋体" w:cs="宋体"/>
          <w:sz w:val="21"/>
          <w:szCs w:val="21"/>
          <w:u w:val="single"/>
        </w:rPr>
        <w:t xml:space="preserve"> （填入发包人的名称）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1.1.2.3设计人：</w:t>
      </w:r>
      <w:r>
        <w:rPr>
          <w:rFonts w:hint="eastAsia" w:ascii="宋体" w:hAnsi="宋体" w:eastAsia="宋体" w:cs="宋体"/>
          <w:sz w:val="21"/>
          <w:szCs w:val="21"/>
          <w:u w:val="single"/>
        </w:rPr>
        <w:t xml:space="preserve"> （签约后填入设计人的名称）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1.1.2.4 发包人代表：</w:t>
      </w:r>
      <w:r>
        <w:rPr>
          <w:rFonts w:hint="eastAsia" w:ascii="宋体" w:hAnsi="宋体" w:eastAsia="宋体" w:cs="宋体"/>
          <w:sz w:val="21"/>
          <w:szCs w:val="21"/>
          <w:u w:val="single"/>
        </w:rPr>
        <w:t xml:space="preserve">（填入发包人代表的名称）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1.1.2.5 项目负责人：</w:t>
      </w:r>
      <w:r>
        <w:rPr>
          <w:rFonts w:hint="eastAsia" w:ascii="宋体" w:hAnsi="宋体" w:eastAsia="宋体" w:cs="宋体"/>
          <w:sz w:val="21"/>
          <w:szCs w:val="21"/>
          <w:u w:val="single"/>
        </w:rPr>
        <w:t xml:space="preserve">（签约后填入项目负责人的姓名、身份证号号码，项目负责人执业证书号码）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1.1.2.6分包人：</w:t>
      </w:r>
      <w:r>
        <w:rPr>
          <w:rFonts w:hint="eastAsia" w:ascii="宋体" w:hAnsi="宋体" w:eastAsia="宋体" w:cs="宋体"/>
          <w:sz w:val="21"/>
          <w:szCs w:val="21"/>
          <w:u w:val="single"/>
        </w:rPr>
        <w:t>（签约后填入分包人的名称）</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 工程和设计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1.1.3.1工程：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1.1.3.2设计服务：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1.1.3.3设计资料：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1.1.3.4设计文件：</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 日期</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1.1.4.3设计服务期限：</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1.1.4.4完成设计日期：</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90" w:lineRule="exact"/>
        <w:ind w:firstLine="562" w:firstLineChars="200"/>
        <w:outlineLvl w:val="3"/>
        <w:rPr>
          <w:rFonts w:hint="eastAsia" w:ascii="宋体" w:hAnsi="宋体" w:eastAsia="宋体" w:cs="宋体"/>
          <w:b/>
          <w:sz w:val="28"/>
          <w:szCs w:val="28"/>
        </w:rPr>
      </w:pPr>
      <w:bookmarkStart w:id="3515" w:name="_Toc14152"/>
      <w:bookmarkStart w:id="3516" w:name="_Toc15724"/>
      <w:bookmarkStart w:id="3517" w:name="_Toc52810040"/>
      <w:bookmarkStart w:id="3518" w:name="_Toc57049181"/>
      <w:bookmarkStart w:id="3519" w:name="_Toc414519119"/>
      <w:r>
        <w:rPr>
          <w:rFonts w:hint="eastAsia" w:ascii="宋体" w:hAnsi="宋体" w:eastAsia="宋体" w:cs="宋体"/>
          <w:b/>
          <w:sz w:val="28"/>
          <w:szCs w:val="28"/>
        </w:rPr>
        <w:t>1.2 语言文字</w:t>
      </w:r>
      <w:bookmarkEnd w:id="3515"/>
      <w:bookmarkEnd w:id="3516"/>
      <w:bookmarkEnd w:id="3517"/>
      <w:bookmarkEnd w:id="3518"/>
      <w:bookmarkEnd w:id="3519"/>
    </w:p>
    <w:p>
      <w:pPr>
        <w:spacing w:line="490" w:lineRule="exact"/>
        <w:ind w:firstLine="420" w:firstLineChars="200"/>
        <w:rPr>
          <w:rFonts w:hint="eastAsia" w:ascii="宋体" w:hAnsi="宋体" w:eastAsia="宋体" w:cs="宋体"/>
          <w:sz w:val="21"/>
          <w:szCs w:val="21"/>
        </w:rPr>
      </w:pPr>
      <w:bookmarkStart w:id="3520" w:name="_Toc414519120"/>
      <w:bookmarkStart w:id="3521" w:name="_Toc2131"/>
      <w:bookmarkStart w:id="3522" w:name="_Toc5818"/>
      <w:r>
        <w:rPr>
          <w:rFonts w:hint="eastAsia" w:ascii="宋体" w:hAnsi="宋体" w:eastAsia="宋体" w:cs="宋体"/>
          <w:sz w:val="21"/>
          <w:szCs w:val="21"/>
        </w:rPr>
        <w:t>合同使用的语言文字为简体中文。专用术语使用外文的，应附有简体中文注释，汉语为优先解释和说明合同的语言。</w:t>
      </w:r>
    </w:p>
    <w:p>
      <w:pPr>
        <w:spacing w:line="490" w:lineRule="exact"/>
        <w:ind w:firstLine="562" w:firstLineChars="200"/>
        <w:outlineLvl w:val="3"/>
        <w:rPr>
          <w:rFonts w:hint="eastAsia" w:ascii="宋体" w:hAnsi="宋体" w:eastAsia="宋体" w:cs="宋体"/>
          <w:b/>
          <w:sz w:val="28"/>
          <w:szCs w:val="28"/>
        </w:rPr>
      </w:pPr>
      <w:bookmarkStart w:id="3523" w:name="_Toc57049182"/>
      <w:bookmarkStart w:id="3524" w:name="_Toc52810041"/>
      <w:r>
        <w:rPr>
          <w:rFonts w:hint="eastAsia" w:ascii="宋体" w:hAnsi="宋体" w:eastAsia="宋体" w:cs="宋体"/>
          <w:b/>
          <w:sz w:val="28"/>
          <w:szCs w:val="28"/>
        </w:rPr>
        <w:t>1.3 适用法律</w:t>
      </w:r>
      <w:bookmarkEnd w:id="3520"/>
      <w:bookmarkEnd w:id="3521"/>
      <w:bookmarkEnd w:id="3522"/>
      <w:bookmarkEnd w:id="3523"/>
      <w:bookmarkEnd w:id="3524"/>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适用于合同的法律包括中华人民共和国法律、行政法规、部门规章，以及工程所在地的地方性法规、自治条例、单行条例和地方政府规章。 </w:t>
      </w:r>
    </w:p>
    <w:p>
      <w:pPr>
        <w:spacing w:line="490" w:lineRule="exact"/>
        <w:ind w:firstLine="420" w:firstLineChars="200"/>
        <w:rPr>
          <w:rFonts w:hint="eastAsia" w:ascii="宋体" w:hAnsi="宋体" w:eastAsia="宋体" w:cs="宋体"/>
          <w:sz w:val="22"/>
          <w:szCs w:val="22"/>
          <w:u w:val="single"/>
        </w:rPr>
      </w:pPr>
      <w:r>
        <w:rPr>
          <w:rFonts w:hint="eastAsia" w:ascii="宋体" w:hAnsi="宋体" w:eastAsia="宋体" w:cs="宋体"/>
          <w:sz w:val="21"/>
          <w:szCs w:val="21"/>
        </w:rPr>
        <w:t>本合同适用的其他规范性文件包括：</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pPr>
        <w:spacing w:line="490" w:lineRule="exact"/>
        <w:ind w:firstLine="562" w:firstLineChars="200"/>
        <w:outlineLvl w:val="3"/>
        <w:rPr>
          <w:rFonts w:hint="eastAsia" w:ascii="宋体" w:hAnsi="宋体" w:eastAsia="宋体" w:cs="宋体"/>
          <w:b/>
          <w:sz w:val="28"/>
          <w:szCs w:val="28"/>
        </w:rPr>
      </w:pPr>
      <w:bookmarkStart w:id="3525" w:name="_Toc52810042"/>
      <w:bookmarkStart w:id="3526" w:name="_Toc487106368"/>
      <w:bookmarkStart w:id="3527" w:name="_Toc425609533"/>
      <w:bookmarkStart w:id="3528" w:name="_Toc11695"/>
      <w:bookmarkStart w:id="3529" w:name="_Toc57049183"/>
      <w:bookmarkStart w:id="3530" w:name="_Toc30685"/>
      <w:bookmarkStart w:id="3531" w:name="_Toc497142730"/>
      <w:r>
        <w:rPr>
          <w:rFonts w:hint="eastAsia" w:ascii="宋体" w:hAnsi="宋体" w:eastAsia="宋体" w:cs="宋体"/>
          <w:b/>
          <w:sz w:val="28"/>
          <w:szCs w:val="28"/>
        </w:rPr>
        <w:t>1.4 合同文件的优先顺序</w:t>
      </w:r>
      <w:bookmarkEnd w:id="3525"/>
      <w:bookmarkEnd w:id="3526"/>
      <w:bookmarkEnd w:id="3527"/>
      <w:bookmarkEnd w:id="3528"/>
      <w:bookmarkEnd w:id="3529"/>
      <w:bookmarkEnd w:id="3530"/>
      <w:bookmarkEnd w:id="3531"/>
    </w:p>
    <w:p>
      <w:pPr>
        <w:spacing w:line="490" w:lineRule="exact"/>
        <w:ind w:firstLine="420" w:firstLineChars="200"/>
        <w:rPr>
          <w:rFonts w:hint="eastAsia" w:ascii="宋体" w:hAnsi="宋体" w:eastAsia="宋体" w:cs="宋体"/>
          <w:sz w:val="22"/>
          <w:szCs w:val="22"/>
        </w:rPr>
      </w:pPr>
      <w:bookmarkStart w:id="3532" w:name="_Toc425609534"/>
      <w:bookmarkStart w:id="3533" w:name="_Toc487106369"/>
      <w:r>
        <w:rPr>
          <w:rFonts w:hint="eastAsia" w:ascii="宋体" w:hAnsi="宋体" w:eastAsia="宋体" w:cs="宋体"/>
          <w:sz w:val="21"/>
          <w:szCs w:val="21"/>
        </w:rPr>
        <w:t>合同文件组成及解释合同文件的优先顺序：</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pPr>
        <w:spacing w:line="490" w:lineRule="exact"/>
        <w:ind w:firstLine="562" w:firstLineChars="200"/>
        <w:outlineLvl w:val="3"/>
        <w:rPr>
          <w:rFonts w:hint="eastAsia" w:ascii="宋体" w:hAnsi="宋体" w:eastAsia="宋体" w:cs="宋体"/>
          <w:b/>
          <w:sz w:val="28"/>
          <w:szCs w:val="28"/>
        </w:rPr>
      </w:pPr>
      <w:bookmarkStart w:id="3534" w:name="_Toc52810043"/>
      <w:bookmarkStart w:id="3535" w:name="_Toc20688"/>
      <w:bookmarkStart w:id="3536" w:name="_Toc5588"/>
      <w:bookmarkStart w:id="3537" w:name="_Toc57049184"/>
      <w:r>
        <w:rPr>
          <w:rFonts w:hint="eastAsia" w:ascii="宋体" w:hAnsi="宋体" w:eastAsia="宋体" w:cs="宋体"/>
          <w:b/>
          <w:sz w:val="28"/>
          <w:szCs w:val="28"/>
        </w:rPr>
        <w:t>1.6 文件的提供和照管</w:t>
      </w:r>
      <w:bookmarkEnd w:id="3532"/>
      <w:bookmarkEnd w:id="3533"/>
      <w:bookmarkEnd w:id="3534"/>
      <w:bookmarkEnd w:id="3535"/>
      <w:bookmarkEnd w:id="3536"/>
      <w:bookmarkEnd w:id="3537"/>
    </w:p>
    <w:p>
      <w:pPr>
        <w:spacing w:line="490" w:lineRule="exact"/>
        <w:ind w:firstLine="420" w:firstLineChars="200"/>
        <w:rPr>
          <w:rFonts w:hint="eastAsia" w:ascii="宋体" w:hAnsi="宋体" w:eastAsia="宋体" w:cs="宋体"/>
          <w:sz w:val="21"/>
          <w:szCs w:val="21"/>
        </w:rPr>
      </w:pPr>
      <w:bookmarkStart w:id="3538" w:name="_Toc414519123"/>
      <w:r>
        <w:rPr>
          <w:rFonts w:hint="eastAsia" w:ascii="宋体" w:hAnsi="宋体" w:eastAsia="宋体" w:cs="宋体"/>
          <w:sz w:val="21"/>
          <w:szCs w:val="21"/>
        </w:rPr>
        <w:t>1.6.1 设计文件</w:t>
      </w:r>
      <w:bookmarkEnd w:id="3538"/>
      <w:r>
        <w:rPr>
          <w:rFonts w:hint="eastAsia" w:ascii="宋体" w:hAnsi="宋体" w:eastAsia="宋体" w:cs="宋体"/>
          <w:sz w:val="21"/>
          <w:szCs w:val="21"/>
        </w:rPr>
        <w:t>的提供</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设计人向发包人提供设计文件的期限：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设计人向发包人提供设计文件的份数：</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其它要求：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1.6.2 发包人提供的文件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发包人向设计人提供的文件包括：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提供的数量：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其它要求：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539" w:name="_Toc57049185"/>
      <w:bookmarkStart w:id="3540" w:name="_Toc52810044"/>
      <w:bookmarkStart w:id="3541" w:name="_Toc427855953"/>
      <w:bookmarkStart w:id="3542" w:name="_Toc497142731"/>
      <w:bookmarkStart w:id="3543" w:name="_Toc314211786"/>
      <w:bookmarkStart w:id="3544" w:name="_Toc487106371"/>
      <w:bookmarkStart w:id="3545" w:name="_Toc340128279"/>
      <w:r>
        <w:rPr>
          <w:rFonts w:hint="eastAsia" w:ascii="宋体" w:hAnsi="宋体" w:eastAsia="宋体" w:cs="宋体"/>
          <w:b/>
          <w:sz w:val="28"/>
          <w:szCs w:val="28"/>
        </w:rPr>
        <w:t>1.7 联络</w:t>
      </w:r>
      <w:bookmarkEnd w:id="3539"/>
      <w:bookmarkEnd w:id="3540"/>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1.7.2 发包人和设计人应将与合同有关的通知、批准、证明、证书、指示、要求、 请求、同意、意见、确定和决定等来往函件，送达指定的地点和指定的接收人，并办理签收手续。</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指定的地点和接收人如下：</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发包人接收来往函件的指定地点：_________。</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发包人接收来往函件的指定接收人：_________。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发包人指定的联系方式：_________。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设计人接收来往函件的指定地点：_________。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设计人指定的联系方式：_________。</w:t>
      </w:r>
    </w:p>
    <w:p>
      <w:pPr>
        <w:spacing w:line="490" w:lineRule="exact"/>
        <w:ind w:firstLine="562" w:firstLineChars="200"/>
        <w:outlineLvl w:val="3"/>
        <w:rPr>
          <w:rFonts w:hint="eastAsia" w:ascii="宋体" w:hAnsi="宋体" w:eastAsia="宋体" w:cs="宋体"/>
          <w:b/>
          <w:sz w:val="28"/>
          <w:szCs w:val="28"/>
        </w:rPr>
      </w:pPr>
      <w:bookmarkStart w:id="3546" w:name="_Toc57049186"/>
      <w:bookmarkStart w:id="3547" w:name="_Toc52810045"/>
      <w:r>
        <w:rPr>
          <w:rFonts w:hint="eastAsia" w:ascii="宋体" w:hAnsi="宋体" w:eastAsia="宋体" w:cs="宋体"/>
          <w:b/>
          <w:sz w:val="28"/>
          <w:szCs w:val="28"/>
        </w:rPr>
        <w:t>1.8 转让</w:t>
      </w:r>
      <w:bookmarkEnd w:id="3546"/>
      <w:bookmarkEnd w:id="3547"/>
    </w:p>
    <w:p>
      <w:pPr>
        <w:spacing w:line="49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关于转让合同权利义务的约定：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548" w:name="_Toc30444"/>
      <w:bookmarkStart w:id="3549" w:name="_Toc57049187"/>
      <w:bookmarkStart w:id="3550" w:name="_Toc6806"/>
      <w:bookmarkStart w:id="3551" w:name="_Toc52810046"/>
      <w:r>
        <w:rPr>
          <w:rFonts w:hint="eastAsia" w:ascii="宋体" w:hAnsi="宋体" w:eastAsia="宋体" w:cs="宋体"/>
          <w:b/>
          <w:sz w:val="28"/>
          <w:szCs w:val="28"/>
        </w:rPr>
        <w:t>1.10 知识产权</w:t>
      </w:r>
      <w:bookmarkEnd w:id="3548"/>
      <w:bookmarkEnd w:id="3549"/>
      <w:bookmarkEnd w:id="3550"/>
      <w:bookmarkEnd w:id="355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1.10.1 设计人完成的设计工作成果，除署名权以外的著作权和其他知识产权归属：</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552" w:name="_Toc52810047"/>
      <w:bookmarkStart w:id="3553" w:name="_Toc57049188"/>
      <w:r>
        <w:rPr>
          <w:rFonts w:hint="eastAsia" w:ascii="宋体" w:hAnsi="宋体" w:eastAsia="宋体" w:cs="宋体"/>
          <w:b/>
          <w:sz w:val="28"/>
          <w:szCs w:val="28"/>
        </w:rPr>
        <w:t>1.11 文件及信息的保密</w:t>
      </w:r>
      <w:bookmarkEnd w:id="3552"/>
      <w:bookmarkEnd w:id="3553"/>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除法律规定或合同另有约定外，未经对方同意，任何一方当事人不得将对方提供的有关文件、技术秘密、声明需要保密的资料和信息泄露给第三方或公开发表与引用。</w:t>
      </w:r>
    </w:p>
    <w:p>
      <w:pPr>
        <w:spacing w:line="490" w:lineRule="exact"/>
        <w:ind w:firstLine="562" w:firstLineChars="200"/>
        <w:outlineLvl w:val="3"/>
        <w:rPr>
          <w:rFonts w:hint="eastAsia" w:ascii="宋体" w:hAnsi="宋体" w:eastAsia="宋体" w:cs="宋体"/>
          <w:b/>
          <w:sz w:val="28"/>
          <w:szCs w:val="28"/>
        </w:rPr>
      </w:pPr>
      <w:bookmarkStart w:id="3554" w:name="_Toc24157"/>
      <w:bookmarkStart w:id="3555" w:name="_Toc25342"/>
      <w:bookmarkStart w:id="3556" w:name="_Toc57049189"/>
      <w:bookmarkStart w:id="3557" w:name="_Toc52810048"/>
      <w:r>
        <w:rPr>
          <w:rFonts w:hint="eastAsia" w:ascii="宋体" w:hAnsi="宋体" w:eastAsia="宋体" w:cs="宋体"/>
          <w:b/>
          <w:sz w:val="28"/>
          <w:szCs w:val="28"/>
        </w:rPr>
        <w:t>1.12 发包人要求</w:t>
      </w:r>
      <w:bookmarkEnd w:id="3554"/>
      <w:bookmarkEnd w:id="3555"/>
      <w:bookmarkEnd w:id="3556"/>
      <w:bookmarkEnd w:id="355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1.12.1 发包人要求需要修改或存在错误导致设计人费用增加和(或)设计服务期限延误的，由        承担由此导致的费用增加和（或）周期延误。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1.12.3 发包人要求采用国外规范和标准进行设计时，应由发包人负责提供该规范和标准的外国文本和中文译本，提供的时间、份数和其他要求：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bookmarkEnd w:id="3541"/>
    <w:bookmarkEnd w:id="3542"/>
    <w:bookmarkEnd w:id="3543"/>
    <w:bookmarkEnd w:id="3544"/>
    <w:bookmarkEnd w:id="3545"/>
    <w:p>
      <w:pPr>
        <w:spacing w:line="490" w:lineRule="exact"/>
        <w:ind w:firstLine="562" w:firstLineChars="200"/>
        <w:outlineLvl w:val="2"/>
        <w:rPr>
          <w:rFonts w:hint="eastAsia" w:ascii="宋体" w:hAnsi="宋体" w:eastAsia="宋体" w:cs="宋体"/>
          <w:b/>
          <w:sz w:val="28"/>
          <w:szCs w:val="28"/>
        </w:rPr>
      </w:pPr>
      <w:bookmarkStart w:id="3558" w:name="_Toc497142732"/>
      <w:bookmarkStart w:id="3559" w:name="_Toc427855954"/>
      <w:bookmarkStart w:id="3560" w:name="_Toc340128281"/>
      <w:bookmarkStart w:id="3561" w:name="_Toc487106373"/>
      <w:bookmarkStart w:id="3562" w:name="_Toc10382"/>
      <w:bookmarkStart w:id="3563" w:name="_Toc29049644"/>
      <w:bookmarkStart w:id="3564" w:name="_Toc10792"/>
      <w:bookmarkStart w:id="3565" w:name="_Toc52810049"/>
      <w:bookmarkStart w:id="3566" w:name="_Toc15224"/>
      <w:bookmarkStart w:id="3567" w:name="_Toc57049190"/>
      <w:bookmarkStart w:id="3568" w:name="_Toc57050003"/>
      <w:r>
        <w:rPr>
          <w:rFonts w:hint="eastAsia" w:ascii="宋体" w:hAnsi="宋体" w:eastAsia="宋体" w:cs="宋体"/>
          <w:b/>
          <w:sz w:val="28"/>
          <w:szCs w:val="28"/>
        </w:rPr>
        <w:t>3</w:t>
      </w:r>
      <w:bookmarkEnd w:id="3558"/>
      <w:bookmarkEnd w:id="3559"/>
      <w:bookmarkEnd w:id="3560"/>
      <w:bookmarkEnd w:id="3561"/>
      <w:r>
        <w:rPr>
          <w:rFonts w:hint="eastAsia" w:ascii="宋体" w:hAnsi="宋体" w:eastAsia="宋体" w:cs="宋体"/>
          <w:b/>
          <w:sz w:val="28"/>
          <w:szCs w:val="28"/>
        </w:rPr>
        <w:t>．发包人</w:t>
      </w:r>
      <w:bookmarkEnd w:id="3562"/>
      <w:bookmarkEnd w:id="3563"/>
      <w:bookmarkEnd w:id="3564"/>
      <w:r>
        <w:rPr>
          <w:rFonts w:hint="eastAsia" w:ascii="宋体" w:hAnsi="宋体" w:eastAsia="宋体" w:cs="宋体"/>
          <w:b/>
          <w:sz w:val="28"/>
          <w:szCs w:val="28"/>
        </w:rPr>
        <w:t>管理</w:t>
      </w:r>
      <w:bookmarkEnd w:id="3565"/>
      <w:bookmarkEnd w:id="3566"/>
      <w:bookmarkEnd w:id="3567"/>
      <w:bookmarkEnd w:id="3568"/>
    </w:p>
    <w:p>
      <w:pPr>
        <w:spacing w:line="490" w:lineRule="exact"/>
        <w:ind w:firstLine="562" w:firstLineChars="200"/>
        <w:outlineLvl w:val="3"/>
        <w:rPr>
          <w:rFonts w:hint="eastAsia" w:ascii="宋体" w:hAnsi="宋体" w:eastAsia="宋体" w:cs="宋体"/>
          <w:b/>
          <w:sz w:val="28"/>
          <w:szCs w:val="28"/>
        </w:rPr>
      </w:pPr>
      <w:bookmarkStart w:id="3569" w:name="_Toc17123"/>
      <w:bookmarkStart w:id="3570" w:name="_Toc52810050"/>
      <w:bookmarkStart w:id="3571" w:name="_Toc57049191"/>
      <w:bookmarkStart w:id="3572" w:name="_Toc487106375"/>
      <w:r>
        <w:rPr>
          <w:rFonts w:hint="eastAsia" w:ascii="宋体" w:hAnsi="宋体" w:eastAsia="宋体" w:cs="宋体"/>
          <w:b/>
          <w:sz w:val="28"/>
          <w:szCs w:val="28"/>
        </w:rPr>
        <w:t>3.1</w:t>
      </w:r>
      <w:bookmarkEnd w:id="3569"/>
      <w:r>
        <w:rPr>
          <w:rFonts w:hint="eastAsia" w:ascii="宋体" w:hAnsi="宋体" w:eastAsia="宋体" w:cs="宋体"/>
          <w:b/>
          <w:sz w:val="28"/>
          <w:szCs w:val="28"/>
        </w:rPr>
        <w:t>发包人代表</w:t>
      </w:r>
      <w:bookmarkEnd w:id="3570"/>
      <w:bookmarkEnd w:id="357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3.1.1发包人应在合同签订后</w:t>
      </w:r>
      <w:r>
        <w:rPr>
          <w:rFonts w:hint="eastAsia" w:ascii="宋体" w:hAnsi="宋体" w:eastAsia="宋体" w:cs="宋体"/>
          <w:sz w:val="21"/>
          <w:szCs w:val="21"/>
          <w:u w:val="single"/>
        </w:rPr>
        <w:t xml:space="preserve">    </w:t>
      </w:r>
      <w:r>
        <w:rPr>
          <w:rFonts w:hint="eastAsia" w:ascii="宋体" w:hAnsi="宋体" w:eastAsia="宋体" w:cs="宋体"/>
          <w:sz w:val="21"/>
          <w:szCs w:val="21"/>
        </w:rPr>
        <w:t>天内，将发包人代表的姓名、职务、联系方式、授权范围和授权期限书面通知设计人，由发包人代表在其授权范围和授权期限内，代表发包人行使权利、履行义务和处理合同履行中的具体事宜。发包人代表在授权范围内的行为由发包人承担法律责任。</w:t>
      </w:r>
    </w:p>
    <w:p>
      <w:pPr>
        <w:spacing w:line="490" w:lineRule="exact"/>
        <w:ind w:firstLine="562" w:firstLineChars="200"/>
        <w:outlineLvl w:val="3"/>
        <w:rPr>
          <w:rFonts w:hint="eastAsia" w:ascii="宋体" w:hAnsi="宋体" w:eastAsia="宋体" w:cs="宋体"/>
          <w:b/>
          <w:sz w:val="28"/>
          <w:szCs w:val="28"/>
        </w:rPr>
      </w:pPr>
      <w:bookmarkStart w:id="3573" w:name="_Toc57049192"/>
      <w:bookmarkStart w:id="3574" w:name="_Toc52810051"/>
      <w:r>
        <w:rPr>
          <w:rFonts w:hint="eastAsia" w:ascii="宋体" w:hAnsi="宋体" w:eastAsia="宋体" w:cs="宋体"/>
          <w:b/>
          <w:sz w:val="28"/>
          <w:szCs w:val="28"/>
        </w:rPr>
        <w:t>3.2 监理人</w:t>
      </w:r>
      <w:bookmarkEnd w:id="3573"/>
      <w:bookmarkEnd w:id="357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3.2.1 发包人可以根据工程建设需要确定是否委托监理人进行设计监理。工程实行监理的，发包人和设计人应在专用合同条款中明确监理人的监理内容及监理权限等事项。监理人应当根据发包人授权及法律规定，代表发包人检查、查验、审核、验收并签发相关指示，但监理人无权修改合同。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本工程是否委托监理人进行设计监理：</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如进行设计监理，监理人的监理范围包括：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；职责权限：</w:t>
      </w:r>
      <w:r>
        <w:rPr>
          <w:rFonts w:hint="eastAsia" w:ascii="宋体" w:hAnsi="宋体" w:eastAsia="宋体" w:cs="宋体"/>
          <w:sz w:val="21"/>
          <w:szCs w:val="21"/>
          <w:u w:val="single"/>
        </w:rPr>
        <w:t xml:space="preserve">                      </w:t>
      </w:r>
      <w:r>
        <w:rPr>
          <w:rFonts w:hint="eastAsia" w:ascii="宋体" w:hAnsi="宋体" w:eastAsia="宋体" w:cs="宋体"/>
          <w:sz w:val="21"/>
          <w:szCs w:val="21"/>
        </w:rPr>
        <w:t>；总监理工程师：</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575" w:name="_Toc52810052"/>
      <w:bookmarkStart w:id="3576" w:name="_Toc57049193"/>
      <w:r>
        <w:rPr>
          <w:rFonts w:hint="eastAsia" w:ascii="宋体" w:hAnsi="宋体" w:eastAsia="宋体" w:cs="宋体"/>
          <w:b/>
          <w:sz w:val="28"/>
          <w:szCs w:val="28"/>
        </w:rPr>
        <w:t>3.3 发包人的指示</w:t>
      </w:r>
      <w:bookmarkEnd w:id="3575"/>
      <w:bookmarkEnd w:id="3576"/>
      <w:r>
        <w:rPr>
          <w:rFonts w:hint="eastAsia" w:ascii="宋体" w:hAnsi="宋体" w:eastAsia="宋体" w:cs="宋体"/>
          <w:b/>
          <w:sz w:val="28"/>
          <w:szCs w:val="28"/>
        </w:rPr>
        <w:t xml:space="preserve"> </w:t>
      </w:r>
    </w:p>
    <w:p>
      <w:pPr>
        <w:spacing w:line="49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3.3.4 设计人除从发包人代表或按第3.1.4项约定的被授权人员处取得指示外，还可从_________处取得指示。</w:t>
      </w:r>
    </w:p>
    <w:p>
      <w:pPr>
        <w:spacing w:line="490" w:lineRule="exact"/>
        <w:ind w:firstLine="562" w:firstLineChars="200"/>
        <w:outlineLvl w:val="3"/>
        <w:rPr>
          <w:rFonts w:hint="eastAsia" w:ascii="宋体" w:hAnsi="宋体" w:eastAsia="宋体" w:cs="宋体"/>
          <w:b/>
          <w:sz w:val="28"/>
          <w:szCs w:val="28"/>
        </w:rPr>
      </w:pPr>
      <w:bookmarkStart w:id="3577" w:name="_Toc52810053"/>
      <w:bookmarkStart w:id="3578" w:name="_Toc57049194"/>
      <w:r>
        <w:rPr>
          <w:rFonts w:hint="eastAsia" w:ascii="宋体" w:hAnsi="宋体" w:eastAsia="宋体" w:cs="宋体"/>
          <w:b/>
          <w:sz w:val="28"/>
          <w:szCs w:val="28"/>
        </w:rPr>
        <w:t>3.4 决定或答复</w:t>
      </w:r>
      <w:bookmarkEnd w:id="3577"/>
      <w:bookmarkEnd w:id="3578"/>
      <w:r>
        <w:rPr>
          <w:rFonts w:hint="eastAsia" w:ascii="宋体" w:hAnsi="宋体" w:eastAsia="宋体" w:cs="宋体"/>
          <w:b/>
          <w:sz w:val="28"/>
          <w:szCs w:val="28"/>
        </w:rPr>
        <w:t xml:space="preserve"> </w:t>
      </w:r>
    </w:p>
    <w:p>
      <w:pPr>
        <w:spacing w:line="49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3.4.2发包人应在</w:t>
      </w:r>
      <w:r>
        <w:rPr>
          <w:rFonts w:hint="eastAsia" w:ascii="宋体" w:hAnsi="宋体" w:eastAsia="宋体" w:cs="宋体"/>
          <w:sz w:val="28"/>
          <w:szCs w:val="28"/>
          <w:u w:val="single"/>
        </w:rPr>
        <w:t xml:space="preserve">    </w:t>
      </w:r>
      <w:r>
        <w:rPr>
          <w:rFonts w:hint="eastAsia" w:ascii="宋体" w:hAnsi="宋体" w:eastAsia="宋体" w:cs="宋体"/>
          <w:sz w:val="28"/>
          <w:szCs w:val="28"/>
        </w:rPr>
        <w:t>天内，对设计人书面提出的事项作出书面答复；逾期没有做出答复的，视为已获得发包人的批准。</w:t>
      </w:r>
    </w:p>
    <w:p>
      <w:pPr>
        <w:spacing w:line="490" w:lineRule="exact"/>
        <w:ind w:firstLine="562" w:firstLineChars="200"/>
        <w:jc w:val="left"/>
        <w:outlineLvl w:val="2"/>
        <w:rPr>
          <w:rFonts w:hint="eastAsia" w:ascii="宋体" w:hAnsi="宋体" w:eastAsia="宋体" w:cs="宋体"/>
          <w:b/>
          <w:sz w:val="28"/>
          <w:szCs w:val="28"/>
        </w:rPr>
      </w:pPr>
      <w:bookmarkStart w:id="3579" w:name="_Toc52810054"/>
      <w:bookmarkStart w:id="3580" w:name="_Toc57050004"/>
      <w:bookmarkStart w:id="3581" w:name="_Toc16974"/>
      <w:bookmarkStart w:id="3582" w:name="_Toc57049195"/>
      <w:r>
        <w:rPr>
          <w:rFonts w:hint="eastAsia" w:ascii="宋体" w:hAnsi="宋体" w:eastAsia="宋体" w:cs="宋体"/>
          <w:b/>
          <w:sz w:val="28"/>
          <w:szCs w:val="28"/>
        </w:rPr>
        <w:t>4.设计人义务</w:t>
      </w:r>
      <w:bookmarkEnd w:id="3579"/>
      <w:bookmarkEnd w:id="3580"/>
      <w:bookmarkEnd w:id="3581"/>
      <w:bookmarkEnd w:id="3582"/>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583" w:name="_Toc52810055"/>
      <w:bookmarkStart w:id="3584" w:name="_Toc57049196"/>
      <w:r>
        <w:rPr>
          <w:rFonts w:hint="eastAsia" w:ascii="宋体" w:hAnsi="宋体" w:eastAsia="宋体" w:cs="宋体"/>
          <w:b/>
          <w:sz w:val="28"/>
          <w:szCs w:val="28"/>
        </w:rPr>
        <w:t>4.2 履约担保</w:t>
      </w:r>
      <w:bookmarkEnd w:id="3583"/>
      <w:bookmarkEnd w:id="3584"/>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4.2.1 发包人需要设计人提交履约担保的，由合同当事人在专用合同条款中约定履约担保的标准、提交方式、提交期限和有效期限。除专用合同条款另有约定外，履约担保自合同生效之日起生效，在最后一批设计成果文件经上级主管部门批复且设计人按照合同约定缴纳质量保证金之日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天后失效。如果设计人不履行合同约定的义务或其履行不符合合同的约定，发包人有权扣划相应金额的履约担保。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履约担保标准：</w:t>
      </w:r>
      <w:r>
        <w:rPr>
          <w:rFonts w:hint="eastAsia" w:ascii="宋体" w:hAnsi="宋体" w:eastAsia="宋体" w:cs="宋体"/>
          <w:sz w:val="21"/>
          <w:szCs w:val="21"/>
          <w:u w:val="single"/>
        </w:rPr>
        <w:t xml:space="preserve">    </w:t>
      </w:r>
      <w:r>
        <w:rPr>
          <w:rFonts w:hint="eastAsia" w:ascii="宋体" w:hAnsi="宋体" w:eastAsia="宋体" w:cs="宋体"/>
          <w:sz w:val="21"/>
          <w:szCs w:val="21"/>
        </w:rPr>
        <w:t>，提交方式：</w:t>
      </w:r>
      <w:r>
        <w:rPr>
          <w:rFonts w:hint="eastAsia" w:ascii="宋体" w:hAnsi="宋体" w:eastAsia="宋体" w:cs="宋体"/>
          <w:sz w:val="21"/>
          <w:szCs w:val="21"/>
          <w:u w:val="single"/>
        </w:rPr>
        <w:t xml:space="preserve">     </w:t>
      </w:r>
      <w:r>
        <w:rPr>
          <w:rFonts w:hint="eastAsia" w:ascii="宋体" w:hAnsi="宋体" w:eastAsia="宋体" w:cs="宋体"/>
          <w:sz w:val="21"/>
          <w:szCs w:val="21"/>
        </w:rPr>
        <w:t>，提交期限：</w:t>
      </w:r>
      <w:r>
        <w:rPr>
          <w:rFonts w:hint="eastAsia" w:ascii="宋体" w:hAnsi="宋体" w:eastAsia="宋体" w:cs="宋体"/>
          <w:sz w:val="21"/>
          <w:szCs w:val="21"/>
          <w:u w:val="single"/>
        </w:rPr>
        <w:t xml:space="preserve">    </w:t>
      </w:r>
      <w:r>
        <w:rPr>
          <w:rFonts w:hint="eastAsia" w:ascii="宋体" w:hAnsi="宋体" w:eastAsia="宋体" w:cs="宋体"/>
          <w:sz w:val="21"/>
          <w:szCs w:val="21"/>
        </w:rPr>
        <w:t>，有效期限：</w:t>
      </w:r>
      <w:r>
        <w:rPr>
          <w:rFonts w:hint="eastAsia" w:ascii="宋体" w:hAnsi="宋体" w:eastAsia="宋体" w:cs="宋体"/>
          <w:sz w:val="21"/>
          <w:szCs w:val="21"/>
          <w:u w:val="single"/>
        </w:rPr>
        <w:t xml:space="preserve">   </w:t>
      </w:r>
      <w:r>
        <w:rPr>
          <w:rFonts w:hint="eastAsia" w:ascii="宋体" w:hAnsi="宋体" w:eastAsia="宋体" w:cs="宋体"/>
          <w:sz w:val="21"/>
          <w:szCs w:val="21"/>
        </w:rPr>
        <w:t>。 履约担保有效期限的约定：_________。</w:t>
      </w:r>
    </w:p>
    <w:p>
      <w:pPr>
        <w:spacing w:line="490" w:lineRule="exact"/>
        <w:ind w:firstLine="562" w:firstLineChars="200"/>
        <w:outlineLvl w:val="3"/>
        <w:rPr>
          <w:rFonts w:hint="eastAsia" w:ascii="宋体" w:hAnsi="宋体" w:eastAsia="宋体" w:cs="宋体"/>
          <w:b/>
          <w:sz w:val="28"/>
          <w:szCs w:val="28"/>
        </w:rPr>
      </w:pPr>
      <w:bookmarkStart w:id="3585" w:name="_Toc52810056"/>
      <w:bookmarkStart w:id="3586" w:name="_Toc57049197"/>
      <w:r>
        <w:rPr>
          <w:rFonts w:hint="eastAsia" w:ascii="宋体" w:hAnsi="宋体" w:eastAsia="宋体" w:cs="宋体"/>
          <w:b/>
          <w:sz w:val="28"/>
          <w:szCs w:val="28"/>
        </w:rPr>
        <w:t>4.3 分包和不得转包</w:t>
      </w:r>
      <w:bookmarkEnd w:id="3585"/>
      <w:bookmarkEnd w:id="3586"/>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4.3.1 设计人不得将其设计的全部工作转包给第三人，或将其承包的全部工程肢解后以分包的名义转包给第三人。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4.3.2 设计人不得将设计的主体、关键性工作及专用合同条款中禁止分包的专业工程分包给第三人。经发包人同意，设计人可将工程设计中跨专业或有特殊要求的设计工作进行分包。未列入投标文件的设计工作，设计人不得分包。</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关于分包的约定：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4.3.3 分包人的设计费用的承担：_________。</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4.3.4 分包人资质：</w:t>
      </w:r>
      <w:r>
        <w:rPr>
          <w:rFonts w:hint="eastAsia" w:ascii="宋体" w:hAnsi="宋体" w:eastAsia="宋体" w:cs="宋体"/>
          <w:sz w:val="21"/>
          <w:szCs w:val="21"/>
          <w:u w:val="single"/>
        </w:rPr>
        <w:t xml:space="preserve">      </w:t>
      </w:r>
      <w:r>
        <w:rPr>
          <w:rFonts w:hint="eastAsia" w:ascii="宋体" w:hAnsi="宋体" w:eastAsia="宋体" w:cs="宋体"/>
          <w:sz w:val="21"/>
          <w:szCs w:val="21"/>
        </w:rPr>
        <w:t>、分包人主要人员要求：</w:t>
      </w:r>
      <w:r>
        <w:rPr>
          <w:rFonts w:hint="eastAsia" w:ascii="宋体" w:hAnsi="宋体" w:eastAsia="宋体" w:cs="宋体"/>
          <w:sz w:val="21"/>
          <w:szCs w:val="21"/>
          <w:u w:val="single"/>
        </w:rPr>
        <w:t xml:space="preserve">     </w:t>
      </w:r>
      <w:r>
        <w:rPr>
          <w:rFonts w:hint="eastAsia" w:ascii="宋体" w:hAnsi="宋体" w:eastAsia="宋体" w:cs="宋体"/>
          <w:sz w:val="21"/>
          <w:szCs w:val="21"/>
        </w:rPr>
        <w:t>、设备要求：</w:t>
      </w:r>
      <w:r>
        <w:rPr>
          <w:rFonts w:hint="eastAsia" w:ascii="宋体" w:hAnsi="宋体" w:eastAsia="宋体" w:cs="宋体"/>
          <w:sz w:val="21"/>
          <w:szCs w:val="21"/>
          <w:u w:val="single"/>
        </w:rPr>
        <w:t xml:space="preserve">     </w:t>
      </w:r>
      <w:r>
        <w:rPr>
          <w:rFonts w:hint="eastAsia" w:ascii="宋体" w:hAnsi="宋体" w:eastAsia="宋体" w:cs="宋体"/>
          <w:sz w:val="21"/>
          <w:szCs w:val="21"/>
        </w:rPr>
        <w:t>、 类似业绩：</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587" w:name="_Toc57049198"/>
      <w:bookmarkStart w:id="3588" w:name="_Toc52810057"/>
      <w:r>
        <w:rPr>
          <w:rFonts w:hint="eastAsia" w:ascii="宋体" w:hAnsi="宋体" w:eastAsia="宋体" w:cs="宋体"/>
          <w:b/>
          <w:sz w:val="28"/>
          <w:szCs w:val="28"/>
        </w:rPr>
        <w:t>4.4 联合体</w:t>
      </w:r>
      <w:bookmarkEnd w:id="3587"/>
      <w:bookmarkEnd w:id="3588"/>
    </w:p>
    <w:p>
      <w:pPr>
        <w:spacing w:line="49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3"/>
        <w:rPr>
          <w:rFonts w:hint="eastAsia" w:ascii="宋体" w:hAnsi="宋体" w:eastAsia="宋体" w:cs="宋体"/>
          <w:b/>
          <w:sz w:val="28"/>
          <w:szCs w:val="28"/>
        </w:rPr>
      </w:pPr>
      <w:bookmarkStart w:id="3589" w:name="_Toc57049199"/>
      <w:bookmarkStart w:id="3590" w:name="_Toc52810058"/>
      <w:r>
        <w:rPr>
          <w:rFonts w:hint="eastAsia" w:ascii="宋体" w:hAnsi="宋体" w:eastAsia="宋体" w:cs="宋体"/>
          <w:b/>
          <w:sz w:val="28"/>
          <w:szCs w:val="28"/>
        </w:rPr>
        <w:t>4.5 项目负责人</w:t>
      </w:r>
      <w:bookmarkEnd w:id="3589"/>
      <w:bookmarkEnd w:id="3590"/>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4.5.4 项目负责人可以授权其下属人员履行的职责：</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562" w:firstLineChars="200"/>
        <w:outlineLvl w:val="3"/>
        <w:rPr>
          <w:rFonts w:hint="eastAsia" w:ascii="宋体" w:hAnsi="宋体" w:eastAsia="宋体" w:cs="宋体"/>
          <w:b/>
          <w:sz w:val="28"/>
          <w:szCs w:val="28"/>
        </w:rPr>
      </w:pPr>
      <w:bookmarkStart w:id="3591" w:name="_Toc52810059"/>
      <w:bookmarkStart w:id="3592" w:name="_Toc57049200"/>
      <w:r>
        <w:rPr>
          <w:rFonts w:hint="eastAsia" w:ascii="宋体" w:hAnsi="宋体" w:eastAsia="宋体" w:cs="宋体"/>
          <w:b/>
          <w:sz w:val="28"/>
          <w:szCs w:val="28"/>
        </w:rPr>
        <w:t>4.6 设计人员的管理</w:t>
      </w:r>
      <w:bookmarkEnd w:id="3591"/>
      <w:bookmarkEnd w:id="3592"/>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4.6.2 主要设计人员包括：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其他人员包括：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4.6.3 设计人必须根据工程建设需要设立设计代表机构或派驻合格设计代表，及时处理设计问题、办理设计变更，并满足驻场时间要求。派驻人员数量、专业、驻场期限及管理要求由发包人另行明确。</w:t>
      </w:r>
    </w:p>
    <w:p>
      <w:pPr>
        <w:spacing w:line="490" w:lineRule="exact"/>
        <w:ind w:firstLine="562" w:firstLineChars="200"/>
        <w:outlineLvl w:val="2"/>
        <w:rPr>
          <w:rFonts w:hint="eastAsia" w:ascii="宋体" w:hAnsi="宋体" w:eastAsia="宋体" w:cs="宋体"/>
          <w:b/>
          <w:sz w:val="28"/>
          <w:szCs w:val="28"/>
        </w:rPr>
      </w:pPr>
      <w:bookmarkStart w:id="3593" w:name="_Toc5529"/>
      <w:bookmarkStart w:id="3594" w:name="_Toc57049201"/>
      <w:bookmarkStart w:id="3595" w:name="_Toc52810060"/>
      <w:bookmarkStart w:id="3596" w:name="_Toc57050005"/>
      <w:r>
        <w:rPr>
          <w:rFonts w:hint="eastAsia" w:ascii="宋体" w:hAnsi="宋体" w:eastAsia="宋体" w:cs="宋体"/>
          <w:b/>
          <w:sz w:val="28"/>
          <w:szCs w:val="28"/>
        </w:rPr>
        <w:t>5.设计要求</w:t>
      </w:r>
      <w:bookmarkEnd w:id="3593"/>
      <w:bookmarkEnd w:id="3594"/>
      <w:bookmarkEnd w:id="3595"/>
      <w:bookmarkEnd w:id="3596"/>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597" w:name="_Toc52810061"/>
      <w:bookmarkStart w:id="3598" w:name="_Toc57049202"/>
      <w:r>
        <w:rPr>
          <w:rFonts w:hint="eastAsia" w:ascii="宋体" w:hAnsi="宋体" w:eastAsia="宋体" w:cs="宋体"/>
          <w:b/>
          <w:sz w:val="28"/>
          <w:szCs w:val="28"/>
        </w:rPr>
        <w:t>5.1 一般要求</w:t>
      </w:r>
      <w:bookmarkEnd w:id="3597"/>
      <w:bookmarkEnd w:id="359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5.1.1 发包人应遵守法律和规范标准，不得以任何理由要求设计人违反法律和工程质量、安全标准、环保标准进行设计服务，降低工程质量。</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5.1.3设计人完成设计工作所应遵守的其他规定：</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562" w:firstLineChars="200"/>
        <w:outlineLvl w:val="3"/>
        <w:rPr>
          <w:rFonts w:hint="eastAsia" w:ascii="宋体" w:hAnsi="宋体" w:eastAsia="宋体" w:cs="宋体"/>
          <w:b/>
          <w:sz w:val="28"/>
          <w:szCs w:val="28"/>
        </w:rPr>
      </w:pPr>
      <w:bookmarkStart w:id="3599" w:name="_Toc52810062"/>
      <w:bookmarkStart w:id="3600" w:name="_Toc57049203"/>
      <w:r>
        <w:rPr>
          <w:rFonts w:hint="eastAsia" w:ascii="宋体" w:hAnsi="宋体" w:eastAsia="宋体" w:cs="宋体"/>
          <w:b/>
          <w:sz w:val="28"/>
          <w:szCs w:val="28"/>
        </w:rPr>
        <w:t>5.3 设计范围</w:t>
      </w:r>
      <w:bookmarkEnd w:id="3599"/>
      <w:bookmarkEnd w:id="3600"/>
      <w:r>
        <w:rPr>
          <w:rFonts w:hint="eastAsia" w:ascii="宋体" w:hAnsi="宋体" w:eastAsia="宋体" w:cs="宋体"/>
          <w:b/>
          <w:sz w:val="28"/>
          <w:szCs w:val="28"/>
        </w:rPr>
        <w:t xml:space="preserve"> </w:t>
      </w:r>
    </w:p>
    <w:p>
      <w:pPr>
        <w:spacing w:line="49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5.3.2工程范围包括：</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spacing w:line="49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5.3.3阶段范围包括：</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spacing w:line="49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5.3.4工作范围包括：</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2"/>
        <w:rPr>
          <w:rFonts w:hint="eastAsia" w:ascii="宋体" w:hAnsi="宋体" w:eastAsia="宋体" w:cs="宋体"/>
          <w:b/>
          <w:sz w:val="28"/>
          <w:szCs w:val="28"/>
        </w:rPr>
      </w:pPr>
      <w:bookmarkStart w:id="3601" w:name="_Toc57050006"/>
      <w:bookmarkStart w:id="3602" w:name="_Toc57049204"/>
      <w:bookmarkStart w:id="3603" w:name="_Toc24581"/>
      <w:bookmarkStart w:id="3604" w:name="_Toc52810063"/>
      <w:r>
        <w:rPr>
          <w:rFonts w:hint="eastAsia" w:ascii="宋体" w:hAnsi="宋体" w:eastAsia="宋体" w:cs="宋体"/>
          <w:b/>
          <w:sz w:val="28"/>
          <w:szCs w:val="28"/>
        </w:rPr>
        <w:t>6.开始设计和完成设计</w:t>
      </w:r>
      <w:bookmarkEnd w:id="3601"/>
      <w:bookmarkEnd w:id="3602"/>
      <w:bookmarkEnd w:id="3603"/>
      <w:bookmarkEnd w:id="3604"/>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605" w:name="_Toc52810064"/>
      <w:bookmarkStart w:id="3606" w:name="_Toc57049205"/>
      <w:r>
        <w:rPr>
          <w:rFonts w:hint="eastAsia" w:ascii="宋体" w:hAnsi="宋体" w:eastAsia="宋体" w:cs="宋体"/>
          <w:b/>
          <w:sz w:val="28"/>
          <w:szCs w:val="28"/>
        </w:rPr>
        <w:t>6.1 开始设计</w:t>
      </w:r>
      <w:bookmarkEnd w:id="3605"/>
      <w:bookmarkEnd w:id="360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6.1.1开始设计应具备的条件：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6.1.2 因发包人原因，自合同协议书中计划开始设计日期之日起</w:t>
      </w:r>
      <w:r>
        <w:rPr>
          <w:rFonts w:hint="eastAsia" w:ascii="宋体" w:hAnsi="宋体" w:eastAsia="宋体" w:cs="宋体"/>
          <w:sz w:val="21"/>
          <w:szCs w:val="21"/>
          <w:u w:val="single"/>
        </w:rPr>
        <w:t xml:space="preserve">    </w:t>
      </w:r>
      <w:r>
        <w:rPr>
          <w:rFonts w:hint="eastAsia" w:ascii="宋体" w:hAnsi="宋体" w:eastAsia="宋体" w:cs="宋体"/>
          <w:sz w:val="21"/>
          <w:szCs w:val="21"/>
        </w:rPr>
        <w:t>天内未能发出开始设计通知，对于本合同履行及相关费用、服务期延长承担的约定：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607" w:name="_Toc57049206"/>
      <w:bookmarkStart w:id="3608" w:name="_Toc52810065"/>
      <w:r>
        <w:rPr>
          <w:rFonts w:hint="eastAsia" w:ascii="宋体" w:hAnsi="宋体" w:eastAsia="宋体" w:cs="宋体"/>
          <w:b/>
          <w:sz w:val="28"/>
          <w:szCs w:val="28"/>
        </w:rPr>
        <w:t>6.2 发包人引起的周期延误</w:t>
      </w:r>
      <w:bookmarkEnd w:id="3607"/>
      <w:bookmarkEnd w:id="360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由于发包人原因造成设计服务期限延误的，延长设计服务期限的计算方法：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；增加设计费用的计算方法：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09" w:name="_Toc57049207"/>
      <w:bookmarkStart w:id="3610" w:name="_Toc52810066"/>
      <w:r>
        <w:rPr>
          <w:rFonts w:hint="eastAsia" w:ascii="宋体" w:hAnsi="宋体" w:eastAsia="宋体" w:cs="宋体"/>
          <w:b/>
          <w:sz w:val="21"/>
          <w:szCs w:val="21"/>
        </w:rPr>
        <w:t>6.3 设计人引起的周期延误</w:t>
      </w:r>
      <w:bookmarkEnd w:id="3609"/>
      <w:bookmarkEnd w:id="3610"/>
      <w:r>
        <w:rPr>
          <w:rFonts w:hint="eastAsia" w:ascii="宋体" w:hAnsi="宋体" w:eastAsia="宋体" w:cs="宋体"/>
          <w:b/>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由于设计人原因造成周期延误，设计人应支付逾期违约金。</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逾期违约金的计算方法：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逾期违约金的最高限额：</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3"/>
        <w:rPr>
          <w:rFonts w:hint="eastAsia" w:ascii="宋体" w:hAnsi="宋体" w:eastAsia="宋体" w:cs="宋体"/>
          <w:b/>
          <w:sz w:val="28"/>
          <w:szCs w:val="28"/>
        </w:rPr>
      </w:pPr>
      <w:bookmarkStart w:id="3611" w:name="_Toc57049208"/>
      <w:bookmarkStart w:id="3612" w:name="_Toc52810067"/>
      <w:r>
        <w:rPr>
          <w:rFonts w:hint="eastAsia" w:ascii="宋体" w:hAnsi="宋体" w:eastAsia="宋体" w:cs="宋体"/>
          <w:b/>
          <w:sz w:val="28"/>
          <w:szCs w:val="28"/>
        </w:rPr>
        <w:t>6.7 提前完成设计</w:t>
      </w:r>
      <w:bookmarkEnd w:id="3611"/>
      <w:bookmarkEnd w:id="361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6.7.1发包人接受建议书的，设计费用增加或减少部分的承担：</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6.7.3 由于设计人提前完成设计而给发包人带来经济效益的，发包人给予设计人如下奖励：</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562" w:firstLineChars="200"/>
        <w:outlineLvl w:val="2"/>
        <w:rPr>
          <w:rFonts w:hint="eastAsia" w:ascii="宋体" w:hAnsi="宋体" w:eastAsia="宋体" w:cs="宋体"/>
          <w:b/>
          <w:sz w:val="28"/>
          <w:szCs w:val="28"/>
        </w:rPr>
      </w:pPr>
      <w:bookmarkStart w:id="3613" w:name="_Toc197"/>
      <w:bookmarkStart w:id="3614" w:name="_Toc52810068"/>
      <w:bookmarkStart w:id="3615" w:name="_Toc57050007"/>
      <w:bookmarkStart w:id="3616" w:name="_Toc57049209"/>
      <w:r>
        <w:rPr>
          <w:rFonts w:hint="eastAsia" w:ascii="宋体" w:hAnsi="宋体" w:eastAsia="宋体" w:cs="宋体"/>
          <w:b/>
          <w:sz w:val="28"/>
          <w:szCs w:val="28"/>
        </w:rPr>
        <w:t>8.设计文件</w:t>
      </w:r>
      <w:bookmarkEnd w:id="3613"/>
      <w:bookmarkEnd w:id="3614"/>
      <w:bookmarkEnd w:id="3615"/>
      <w:bookmarkEnd w:id="3616"/>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617" w:name="_Toc57049210"/>
      <w:bookmarkStart w:id="3618" w:name="_Toc52810069"/>
      <w:r>
        <w:rPr>
          <w:rFonts w:hint="eastAsia" w:ascii="宋体" w:hAnsi="宋体" w:eastAsia="宋体" w:cs="宋体"/>
          <w:b/>
          <w:sz w:val="28"/>
          <w:szCs w:val="28"/>
        </w:rPr>
        <w:t>8.1 设计文件接收</w:t>
      </w:r>
      <w:bookmarkEnd w:id="3617"/>
      <w:bookmarkEnd w:id="361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8.1.3 设计文件提交要求：</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562" w:firstLineChars="200"/>
        <w:outlineLvl w:val="3"/>
        <w:rPr>
          <w:rFonts w:hint="eastAsia" w:ascii="宋体" w:hAnsi="宋体" w:eastAsia="宋体" w:cs="宋体"/>
          <w:b/>
          <w:sz w:val="28"/>
          <w:szCs w:val="28"/>
        </w:rPr>
      </w:pPr>
      <w:bookmarkStart w:id="3619" w:name="_Toc52810070"/>
      <w:bookmarkStart w:id="3620" w:name="_Toc57049211"/>
      <w:r>
        <w:rPr>
          <w:rFonts w:hint="eastAsia" w:ascii="宋体" w:hAnsi="宋体" w:eastAsia="宋体" w:cs="宋体"/>
          <w:b/>
          <w:sz w:val="28"/>
          <w:szCs w:val="28"/>
        </w:rPr>
        <w:t>8.2 发包人审查设计文件</w:t>
      </w:r>
      <w:bookmarkEnd w:id="3619"/>
      <w:bookmarkEnd w:id="362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8.2.1 发包人审查设计文件的具体范围：</w:t>
      </w:r>
      <w:r>
        <w:rPr>
          <w:rFonts w:hint="eastAsia" w:ascii="宋体" w:hAnsi="宋体" w:eastAsia="宋体" w:cs="宋体"/>
          <w:sz w:val="21"/>
          <w:szCs w:val="21"/>
          <w:u w:val="single"/>
        </w:rPr>
        <w:t xml:space="preserve">        </w:t>
      </w:r>
      <w:r>
        <w:rPr>
          <w:rFonts w:hint="eastAsia" w:ascii="宋体" w:hAnsi="宋体" w:eastAsia="宋体" w:cs="宋体"/>
          <w:sz w:val="21"/>
          <w:szCs w:val="21"/>
        </w:rPr>
        <w:t>；明细内容：</w:t>
      </w:r>
      <w:r>
        <w:rPr>
          <w:rFonts w:hint="eastAsia" w:ascii="宋体" w:hAnsi="宋体" w:eastAsia="宋体" w:cs="宋体"/>
          <w:sz w:val="21"/>
          <w:szCs w:val="21"/>
          <w:u w:val="single"/>
        </w:rPr>
        <w:t xml:space="preserve">        </w:t>
      </w:r>
      <w:r>
        <w:rPr>
          <w:rFonts w:hint="eastAsia" w:ascii="宋体" w:hAnsi="宋体" w:eastAsia="宋体" w:cs="宋体"/>
          <w:sz w:val="21"/>
          <w:szCs w:val="21"/>
        </w:rPr>
        <w:t>； 费用分担原则：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8.2.2发包人对于设计文件的审查期限，自文件接收之日起不应超过      天。发包人逾期未做出审查结论且未提出异议的，视为设计人的设计文件已经通过发包人审查。</w:t>
      </w:r>
    </w:p>
    <w:p>
      <w:pPr>
        <w:spacing w:line="490" w:lineRule="exact"/>
        <w:ind w:firstLine="562" w:firstLineChars="200"/>
        <w:outlineLvl w:val="2"/>
        <w:rPr>
          <w:rFonts w:hint="eastAsia" w:ascii="宋体" w:hAnsi="宋体" w:eastAsia="宋体" w:cs="宋体"/>
          <w:b/>
          <w:sz w:val="28"/>
          <w:szCs w:val="28"/>
        </w:rPr>
      </w:pPr>
      <w:bookmarkStart w:id="3621" w:name="_Toc52810071"/>
      <w:bookmarkStart w:id="3622" w:name="_Toc30632"/>
      <w:bookmarkStart w:id="3623" w:name="_Toc57049212"/>
      <w:bookmarkStart w:id="3624" w:name="_Toc57050008"/>
      <w:r>
        <w:rPr>
          <w:rFonts w:hint="eastAsia" w:ascii="宋体" w:hAnsi="宋体" w:eastAsia="宋体" w:cs="宋体"/>
          <w:b/>
          <w:sz w:val="28"/>
          <w:szCs w:val="28"/>
        </w:rPr>
        <w:t>9．设计责任与保险</w:t>
      </w:r>
      <w:bookmarkEnd w:id="3621"/>
      <w:bookmarkEnd w:id="3622"/>
      <w:bookmarkEnd w:id="3623"/>
      <w:bookmarkEnd w:id="3624"/>
      <w:r>
        <w:rPr>
          <w:rFonts w:hint="eastAsia" w:ascii="宋体" w:hAnsi="宋体" w:eastAsia="宋体" w:cs="宋体"/>
          <w:b/>
          <w:sz w:val="28"/>
          <w:szCs w:val="28"/>
        </w:rPr>
        <w:t xml:space="preserve"> </w:t>
      </w:r>
    </w:p>
    <w:p>
      <w:pPr>
        <w:spacing w:line="490" w:lineRule="exact"/>
        <w:ind w:firstLine="562" w:firstLineChars="200"/>
        <w:jc w:val="left"/>
        <w:rPr>
          <w:rFonts w:hint="eastAsia" w:ascii="宋体" w:hAnsi="宋体" w:eastAsia="宋体" w:cs="宋体"/>
          <w:b/>
          <w:sz w:val="28"/>
          <w:szCs w:val="28"/>
        </w:rPr>
      </w:pPr>
      <w:bookmarkStart w:id="3625" w:name="_Toc57049213"/>
      <w:bookmarkStart w:id="3626" w:name="_Toc52810072"/>
      <w:r>
        <w:rPr>
          <w:rFonts w:hint="eastAsia" w:ascii="宋体" w:hAnsi="宋体" w:eastAsia="宋体" w:cs="宋体"/>
          <w:b/>
          <w:sz w:val="28"/>
          <w:szCs w:val="28"/>
        </w:rPr>
        <w:t>9.4 设计责任保险</w:t>
      </w:r>
      <w:bookmarkEnd w:id="3625"/>
      <w:bookmarkEnd w:id="3626"/>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9.4.1 发包人是否要求设计人提供工程设计责任险：□否□是</w:t>
      </w:r>
      <w:r>
        <w:rPr>
          <w:rFonts w:hint="eastAsia" w:ascii="宋体" w:hAnsi="宋体" w:eastAsia="宋体" w:cs="宋体"/>
          <w:sz w:val="28"/>
          <w:szCs w:val="28"/>
        </w:rPr>
        <w:t>。</w:t>
      </w:r>
    </w:p>
    <w:p>
      <w:pPr>
        <w:spacing w:line="490" w:lineRule="exact"/>
        <w:ind w:firstLine="562" w:firstLineChars="200"/>
        <w:outlineLvl w:val="2"/>
        <w:rPr>
          <w:rFonts w:hint="eastAsia" w:ascii="宋体" w:hAnsi="宋体" w:eastAsia="宋体" w:cs="宋体"/>
          <w:b/>
          <w:sz w:val="28"/>
          <w:szCs w:val="28"/>
        </w:rPr>
      </w:pPr>
      <w:bookmarkStart w:id="3627" w:name="_Toc15368"/>
      <w:bookmarkStart w:id="3628" w:name="_Toc57050009"/>
      <w:bookmarkStart w:id="3629" w:name="_Toc57049214"/>
      <w:bookmarkStart w:id="3630" w:name="_Toc52810073"/>
      <w:r>
        <w:rPr>
          <w:rFonts w:hint="eastAsia" w:ascii="宋体" w:hAnsi="宋体" w:eastAsia="宋体" w:cs="宋体"/>
          <w:b/>
          <w:sz w:val="28"/>
          <w:szCs w:val="28"/>
        </w:rPr>
        <w:t>10．施工期间配合</w:t>
      </w:r>
      <w:bookmarkEnd w:id="3627"/>
      <w:bookmarkEnd w:id="3628"/>
      <w:bookmarkEnd w:id="3629"/>
      <w:bookmarkEnd w:id="363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10.2发包人应为勘察人派赴施工现场的工作人员，在施工期间提供办公房间、办公桌椅、互联网接口、冷暖设施、生活设施、进出现场交通服务和其他便利条件，其中：</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2"/>
        <w:rPr>
          <w:rFonts w:hint="eastAsia" w:ascii="宋体" w:hAnsi="宋体" w:eastAsia="宋体" w:cs="宋体"/>
          <w:b/>
          <w:sz w:val="28"/>
          <w:szCs w:val="28"/>
        </w:rPr>
      </w:pPr>
      <w:bookmarkStart w:id="3631" w:name="_Toc52810074"/>
      <w:bookmarkStart w:id="3632" w:name="_Toc5757"/>
      <w:bookmarkStart w:id="3633" w:name="_Toc57050010"/>
      <w:bookmarkStart w:id="3634" w:name="_Toc57049215"/>
      <w:r>
        <w:rPr>
          <w:rFonts w:hint="eastAsia" w:ascii="宋体" w:hAnsi="宋体" w:eastAsia="宋体" w:cs="宋体"/>
          <w:b/>
          <w:sz w:val="28"/>
          <w:szCs w:val="28"/>
        </w:rPr>
        <w:t>11．合同变更</w:t>
      </w:r>
      <w:bookmarkEnd w:id="3631"/>
      <w:bookmarkEnd w:id="3632"/>
      <w:bookmarkEnd w:id="3633"/>
      <w:bookmarkEnd w:id="3634"/>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635" w:name="_Toc52810075"/>
      <w:bookmarkStart w:id="3636" w:name="_Toc57049216"/>
      <w:r>
        <w:rPr>
          <w:rFonts w:hint="eastAsia" w:ascii="宋体" w:hAnsi="宋体" w:eastAsia="宋体" w:cs="宋体"/>
          <w:b/>
          <w:sz w:val="28"/>
          <w:szCs w:val="28"/>
        </w:rPr>
        <w:t>11.1 变更情形</w:t>
      </w:r>
      <w:bookmarkEnd w:id="3635"/>
      <w:bookmarkEnd w:id="363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11.1.1 合同变更时，设计服务期限的调整方法：      ；设计费用的调整方法：</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3"/>
        <w:rPr>
          <w:rFonts w:hint="eastAsia" w:ascii="宋体" w:hAnsi="宋体" w:eastAsia="宋体" w:cs="宋体"/>
          <w:b/>
          <w:sz w:val="28"/>
          <w:szCs w:val="28"/>
        </w:rPr>
      </w:pPr>
      <w:bookmarkStart w:id="3637" w:name="_Toc52810076"/>
      <w:bookmarkStart w:id="3638" w:name="_Toc57049217"/>
      <w:r>
        <w:rPr>
          <w:rFonts w:hint="eastAsia" w:ascii="宋体" w:hAnsi="宋体" w:eastAsia="宋体" w:cs="宋体"/>
          <w:b/>
          <w:sz w:val="28"/>
          <w:szCs w:val="28"/>
        </w:rPr>
        <w:t>11.2 合理化建议</w:t>
      </w:r>
      <w:bookmarkEnd w:id="3637"/>
      <w:bookmarkEnd w:id="363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11.2.2 设计人提出的合理化建议降低了工程投资、缩短了施工期限或者提高了工程经济效益的，发包人给予设计人如下奖励：</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sz w:val="28"/>
          <w:szCs w:val="28"/>
        </w:rPr>
        <w:t xml:space="preserve"> </w:t>
      </w:r>
    </w:p>
    <w:p>
      <w:pPr>
        <w:spacing w:line="490" w:lineRule="exact"/>
        <w:ind w:firstLine="562" w:firstLineChars="200"/>
        <w:outlineLvl w:val="2"/>
        <w:rPr>
          <w:rFonts w:hint="eastAsia" w:ascii="宋体" w:hAnsi="宋体" w:eastAsia="宋体" w:cs="宋体"/>
          <w:b/>
          <w:sz w:val="28"/>
          <w:szCs w:val="28"/>
        </w:rPr>
      </w:pPr>
      <w:bookmarkStart w:id="3639" w:name="_Toc57049218"/>
      <w:bookmarkStart w:id="3640" w:name="_Toc57050011"/>
      <w:bookmarkStart w:id="3641" w:name="_Toc52810077"/>
      <w:bookmarkStart w:id="3642" w:name="_Toc26702"/>
      <w:r>
        <w:rPr>
          <w:rFonts w:hint="eastAsia" w:ascii="宋体" w:hAnsi="宋体" w:eastAsia="宋体" w:cs="宋体"/>
          <w:b/>
          <w:sz w:val="28"/>
          <w:szCs w:val="28"/>
        </w:rPr>
        <w:t>12．合同价格与支付</w:t>
      </w:r>
      <w:bookmarkEnd w:id="3639"/>
      <w:bookmarkEnd w:id="3640"/>
      <w:bookmarkEnd w:id="3641"/>
      <w:bookmarkEnd w:id="3642"/>
      <w:r>
        <w:rPr>
          <w:rFonts w:hint="eastAsia" w:ascii="宋体" w:hAnsi="宋体" w:eastAsia="宋体" w:cs="宋体"/>
          <w:b/>
          <w:sz w:val="28"/>
          <w:szCs w:val="28"/>
        </w:rPr>
        <w:t xml:space="preserve"> </w:t>
      </w:r>
    </w:p>
    <w:p>
      <w:pPr>
        <w:spacing w:line="490" w:lineRule="exact"/>
        <w:ind w:firstLine="562" w:firstLineChars="200"/>
        <w:outlineLvl w:val="3"/>
        <w:rPr>
          <w:rFonts w:hint="eastAsia" w:ascii="宋体" w:hAnsi="宋体" w:eastAsia="宋体" w:cs="宋体"/>
          <w:b/>
          <w:sz w:val="28"/>
          <w:szCs w:val="28"/>
        </w:rPr>
      </w:pPr>
      <w:bookmarkStart w:id="3643" w:name="_Toc57049219"/>
      <w:bookmarkStart w:id="3644" w:name="_Toc52810078"/>
      <w:r>
        <w:rPr>
          <w:rFonts w:hint="eastAsia" w:ascii="宋体" w:hAnsi="宋体" w:eastAsia="宋体" w:cs="宋体"/>
          <w:b/>
          <w:sz w:val="28"/>
          <w:szCs w:val="28"/>
        </w:rPr>
        <w:t>12.1 合同价格</w:t>
      </w:r>
      <w:bookmarkEnd w:id="3643"/>
      <w:bookmarkEnd w:id="364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12.1.1本合同的价款确定方式：</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调整方式：</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风险范围划分：</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12.1.3本合同的合同价格包括：</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3"/>
        <w:rPr>
          <w:rFonts w:hint="eastAsia" w:ascii="宋体" w:hAnsi="宋体" w:eastAsia="宋体" w:cs="宋体"/>
          <w:b/>
          <w:sz w:val="28"/>
          <w:szCs w:val="28"/>
        </w:rPr>
      </w:pPr>
      <w:bookmarkStart w:id="3645" w:name="_Toc52810079"/>
      <w:bookmarkStart w:id="3646" w:name="_Toc57049220"/>
      <w:r>
        <w:rPr>
          <w:rFonts w:hint="eastAsia" w:ascii="宋体" w:hAnsi="宋体" w:eastAsia="宋体" w:cs="宋体"/>
          <w:b/>
          <w:sz w:val="28"/>
          <w:szCs w:val="28"/>
        </w:rPr>
        <w:t>12.2 定金或预付款</w:t>
      </w:r>
      <w:bookmarkEnd w:id="3645"/>
      <w:bookmarkEnd w:id="3646"/>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12.2.1定金或预付款应专用于本工程的设计。定金或预付款的额度：</w:t>
      </w:r>
      <w:r>
        <w:rPr>
          <w:rFonts w:hint="eastAsia" w:ascii="宋体" w:hAnsi="宋体" w:eastAsia="宋体" w:cs="宋体"/>
          <w:sz w:val="28"/>
          <w:szCs w:val="28"/>
          <w:u w:val="single"/>
        </w:rPr>
        <w:t xml:space="preserve">      </w:t>
      </w:r>
      <w:r>
        <w:rPr>
          <w:rFonts w:hint="eastAsia" w:ascii="宋体" w:hAnsi="宋体" w:eastAsia="宋体" w:cs="宋体"/>
          <w:sz w:val="21"/>
          <w:szCs w:val="21"/>
        </w:rPr>
        <w:t>、支付方式：</w:t>
      </w:r>
      <w:r>
        <w:rPr>
          <w:rFonts w:hint="eastAsia" w:ascii="宋体" w:hAnsi="宋体" w:eastAsia="宋体" w:cs="宋体"/>
          <w:sz w:val="28"/>
          <w:szCs w:val="28"/>
          <w:u w:val="single"/>
        </w:rPr>
        <w:t xml:space="preserve">         </w:t>
      </w:r>
      <w:r>
        <w:rPr>
          <w:rFonts w:hint="eastAsia" w:ascii="宋体" w:hAnsi="宋体" w:eastAsia="宋体" w:cs="宋体"/>
          <w:sz w:val="21"/>
          <w:szCs w:val="21"/>
        </w:rPr>
        <w:t>及抵扣方式</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3"/>
        <w:rPr>
          <w:rFonts w:hint="eastAsia" w:ascii="宋体" w:hAnsi="宋体" w:eastAsia="宋体" w:cs="宋体"/>
          <w:b/>
          <w:sz w:val="28"/>
          <w:szCs w:val="28"/>
        </w:rPr>
      </w:pPr>
      <w:bookmarkStart w:id="3647" w:name="_Toc52810080"/>
      <w:bookmarkStart w:id="3648" w:name="_Toc57049221"/>
      <w:r>
        <w:rPr>
          <w:rFonts w:hint="eastAsia" w:ascii="宋体" w:hAnsi="宋体" w:eastAsia="宋体" w:cs="宋体"/>
          <w:b/>
          <w:sz w:val="28"/>
          <w:szCs w:val="28"/>
        </w:rPr>
        <w:t>12.3 中期支付</w:t>
      </w:r>
      <w:bookmarkEnd w:id="3647"/>
      <w:bookmarkEnd w:id="3648"/>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12.3.1 中期支付申请的格式及份数</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12.3.2 逾期付款违约金：每延期支付1天, 发包人应付给设计人拖欠金额的</w:t>
      </w:r>
      <w:r>
        <w:rPr>
          <w:rFonts w:hint="eastAsia" w:ascii="宋体" w:hAnsi="宋体" w:eastAsia="宋体" w:cs="宋体"/>
          <w:sz w:val="28"/>
          <w:szCs w:val="28"/>
          <w:u w:val="single"/>
        </w:rPr>
        <w:t xml:space="preserve">   </w:t>
      </w:r>
      <w:r>
        <w:rPr>
          <w:rFonts w:hint="eastAsia" w:ascii="宋体" w:hAnsi="宋体" w:eastAsia="宋体" w:cs="宋体"/>
          <w:sz w:val="21"/>
          <w:szCs w:val="21"/>
        </w:rPr>
        <w:t>‰的违约金</w:t>
      </w: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12.3.3 中期支付涉及政府投资资金的，支付规定如下：</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562" w:firstLineChars="200"/>
        <w:outlineLvl w:val="3"/>
        <w:rPr>
          <w:rFonts w:hint="eastAsia" w:ascii="宋体" w:hAnsi="宋体" w:eastAsia="宋体" w:cs="宋体"/>
          <w:b/>
          <w:sz w:val="28"/>
          <w:szCs w:val="28"/>
        </w:rPr>
      </w:pPr>
      <w:bookmarkStart w:id="3649" w:name="_Toc57049222"/>
      <w:bookmarkStart w:id="3650" w:name="_Toc52810081"/>
      <w:r>
        <w:rPr>
          <w:rFonts w:hint="eastAsia" w:ascii="宋体" w:hAnsi="宋体" w:eastAsia="宋体" w:cs="宋体"/>
          <w:b/>
          <w:sz w:val="28"/>
          <w:szCs w:val="28"/>
        </w:rPr>
        <w:t>12.4 费用结算</w:t>
      </w:r>
      <w:bookmarkEnd w:id="3649"/>
      <w:bookmarkEnd w:id="3650"/>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12.4.1 服务费用结算申请的份数和提交期限：</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12.4.2</w:t>
      </w:r>
      <w:r>
        <w:rPr>
          <w:rFonts w:hint="eastAsia" w:ascii="宋体" w:hAnsi="宋体" w:eastAsia="宋体" w:cs="宋体"/>
          <w:sz w:val="28"/>
          <w:szCs w:val="28"/>
        </w:rPr>
        <w:t>逾</w:t>
      </w:r>
      <w:r>
        <w:rPr>
          <w:rFonts w:hint="eastAsia" w:ascii="宋体" w:hAnsi="宋体" w:eastAsia="宋体" w:cs="宋体"/>
          <w:sz w:val="21"/>
          <w:szCs w:val="21"/>
        </w:rPr>
        <w:t>期付款违约金：每延期支付1天, 发包人应付给设计人拖欠金额的</w:t>
      </w:r>
      <w:r>
        <w:rPr>
          <w:rFonts w:hint="eastAsia" w:ascii="宋体" w:hAnsi="宋体" w:eastAsia="宋体" w:cs="宋体"/>
          <w:sz w:val="28"/>
          <w:szCs w:val="28"/>
          <w:u w:val="single"/>
        </w:rPr>
        <w:t xml:space="preserve">     </w:t>
      </w:r>
      <w:r>
        <w:rPr>
          <w:rFonts w:hint="eastAsia" w:ascii="宋体" w:hAnsi="宋体" w:eastAsia="宋体" w:cs="宋体"/>
          <w:sz w:val="21"/>
          <w:szCs w:val="21"/>
        </w:rPr>
        <w:t>‰的违约金</w:t>
      </w:r>
      <w:r>
        <w:rPr>
          <w:rFonts w:hint="eastAsia" w:ascii="宋体" w:hAnsi="宋体" w:eastAsia="宋体" w:cs="宋体"/>
          <w:sz w:val="28"/>
          <w:szCs w:val="28"/>
        </w:rPr>
        <w:t>。</w:t>
      </w:r>
    </w:p>
    <w:p>
      <w:pPr>
        <w:spacing w:line="490" w:lineRule="exact"/>
        <w:ind w:firstLine="562" w:firstLineChars="200"/>
        <w:outlineLvl w:val="2"/>
        <w:rPr>
          <w:rFonts w:hint="eastAsia" w:ascii="宋体" w:hAnsi="宋体" w:eastAsia="宋体" w:cs="宋体"/>
          <w:b/>
          <w:sz w:val="28"/>
          <w:szCs w:val="28"/>
        </w:rPr>
      </w:pPr>
      <w:bookmarkStart w:id="3651" w:name="_Toc52810082"/>
      <w:bookmarkStart w:id="3652" w:name="_Toc57049223"/>
      <w:bookmarkStart w:id="3653" w:name="_Toc1914"/>
      <w:bookmarkStart w:id="3654" w:name="_Toc57050012"/>
      <w:r>
        <w:rPr>
          <w:rFonts w:hint="eastAsia" w:ascii="宋体" w:hAnsi="宋体" w:eastAsia="宋体" w:cs="宋体"/>
          <w:b/>
          <w:sz w:val="28"/>
          <w:szCs w:val="28"/>
        </w:rPr>
        <w:t>13.不可抗力</w:t>
      </w:r>
      <w:bookmarkEnd w:id="3651"/>
      <w:bookmarkEnd w:id="3652"/>
      <w:bookmarkEnd w:id="3653"/>
      <w:bookmarkEnd w:id="3654"/>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13.1.1 不可抗力包括：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562" w:firstLineChars="200"/>
        <w:outlineLvl w:val="2"/>
        <w:rPr>
          <w:rFonts w:hint="eastAsia" w:ascii="宋体" w:hAnsi="宋体" w:eastAsia="宋体" w:cs="宋体"/>
          <w:b/>
          <w:sz w:val="28"/>
          <w:szCs w:val="28"/>
        </w:rPr>
      </w:pPr>
      <w:bookmarkStart w:id="3655" w:name="_Toc57049224"/>
      <w:bookmarkStart w:id="3656" w:name="_Toc905"/>
      <w:bookmarkStart w:id="3657" w:name="_Toc52810083"/>
      <w:bookmarkStart w:id="3658" w:name="_Toc57050013"/>
      <w:r>
        <w:rPr>
          <w:rFonts w:hint="eastAsia" w:ascii="宋体" w:hAnsi="宋体" w:eastAsia="宋体" w:cs="宋体"/>
          <w:b/>
          <w:sz w:val="28"/>
          <w:szCs w:val="28"/>
        </w:rPr>
        <w:t>14．违约</w:t>
      </w:r>
      <w:bookmarkEnd w:id="3655"/>
      <w:bookmarkEnd w:id="3656"/>
      <w:bookmarkEnd w:id="3657"/>
      <w:bookmarkEnd w:id="3658"/>
    </w:p>
    <w:p>
      <w:pPr>
        <w:spacing w:line="490" w:lineRule="exact"/>
        <w:ind w:firstLine="562" w:firstLineChars="200"/>
        <w:outlineLvl w:val="3"/>
        <w:rPr>
          <w:rFonts w:hint="eastAsia" w:ascii="宋体" w:hAnsi="宋体" w:eastAsia="宋体" w:cs="宋体"/>
          <w:b/>
          <w:sz w:val="28"/>
          <w:szCs w:val="28"/>
        </w:rPr>
      </w:pPr>
      <w:bookmarkStart w:id="3659" w:name="_Toc52810084"/>
      <w:bookmarkStart w:id="3660" w:name="_Toc57049225"/>
      <w:r>
        <w:rPr>
          <w:rFonts w:hint="eastAsia" w:ascii="宋体" w:hAnsi="宋体" w:eastAsia="宋体" w:cs="宋体"/>
          <w:b/>
          <w:sz w:val="28"/>
          <w:szCs w:val="28"/>
        </w:rPr>
        <w:t>14.1 设计人违约</w:t>
      </w:r>
      <w:bookmarkEnd w:id="3659"/>
      <w:bookmarkEnd w:id="3660"/>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14.1.1 合同履行中发生下列情况之一的，属设计人违约：</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8"/>
          <w:szCs w:val="28"/>
        </w:rPr>
        <w:t>······</w:t>
      </w:r>
    </w:p>
    <w:p>
      <w:pPr>
        <w:spacing w:line="490" w:lineRule="exact"/>
        <w:ind w:firstLine="560" w:firstLineChars="200"/>
        <w:jc w:val="left"/>
        <w:rPr>
          <w:rFonts w:hint="eastAsia" w:ascii="宋体" w:hAnsi="宋体" w:eastAsia="宋体" w:cs="宋体"/>
          <w:sz w:val="21"/>
          <w:szCs w:val="21"/>
        </w:rPr>
      </w:pP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14.1.2 设计人发生违约情况时，发包人有权向设计人课以违约金，具体约定如下：</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562" w:firstLineChars="200"/>
        <w:outlineLvl w:val="3"/>
        <w:rPr>
          <w:rFonts w:hint="eastAsia" w:ascii="宋体" w:hAnsi="宋体" w:eastAsia="宋体" w:cs="宋体"/>
          <w:b/>
          <w:sz w:val="28"/>
          <w:szCs w:val="28"/>
        </w:rPr>
      </w:pPr>
      <w:bookmarkStart w:id="3661" w:name="_Toc57049226"/>
      <w:bookmarkStart w:id="3662" w:name="_Toc52810085"/>
      <w:r>
        <w:rPr>
          <w:rFonts w:hint="eastAsia" w:ascii="宋体" w:hAnsi="宋体" w:eastAsia="宋体" w:cs="宋体"/>
          <w:b/>
          <w:sz w:val="28"/>
          <w:szCs w:val="28"/>
        </w:rPr>
        <w:t>14.2 发包人违约</w:t>
      </w:r>
      <w:bookmarkEnd w:id="3661"/>
      <w:bookmarkEnd w:id="3662"/>
      <w:r>
        <w:rPr>
          <w:rFonts w:hint="eastAsia" w:ascii="宋体" w:hAnsi="宋体" w:eastAsia="宋体" w:cs="宋体"/>
          <w:b/>
          <w:sz w:val="28"/>
          <w:szCs w:val="28"/>
        </w:rPr>
        <w:t xml:space="preserve"> </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14.1.1 合同履行中发生下列情况之一的，属发包人违约：</w:t>
      </w:r>
    </w:p>
    <w:p>
      <w:pPr>
        <w:spacing w:line="49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8"/>
          <w:szCs w:val="28"/>
        </w:rPr>
        <w:t>······</w:t>
      </w:r>
    </w:p>
    <w:p>
      <w:pPr>
        <w:spacing w:line="49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w:t>
      </w:r>
    </w:p>
    <w:p>
      <w:pPr>
        <w:spacing w:line="490" w:lineRule="exact"/>
        <w:ind w:firstLine="420" w:firstLineChars="200"/>
        <w:jc w:val="left"/>
        <w:rPr>
          <w:rFonts w:hint="eastAsia" w:ascii="宋体" w:hAnsi="宋体" w:eastAsia="宋体" w:cs="宋体"/>
          <w:sz w:val="28"/>
          <w:szCs w:val="28"/>
        </w:rPr>
      </w:pPr>
      <w:r>
        <w:rPr>
          <w:rFonts w:hint="eastAsia" w:ascii="宋体" w:hAnsi="宋体" w:eastAsia="宋体" w:cs="宋体"/>
          <w:sz w:val="21"/>
          <w:szCs w:val="21"/>
        </w:rPr>
        <w:t>14.2.2 发包人发生违约情况时，设计人有权向发包人课以违约金，具体约定如 下：</w:t>
      </w:r>
      <w:r>
        <w:rPr>
          <w:rFonts w:hint="eastAsia" w:ascii="宋体" w:hAnsi="宋体" w:eastAsia="宋体" w:cs="宋体"/>
          <w:sz w:val="21"/>
          <w:szCs w:val="21"/>
          <w:u w:val="single"/>
        </w:rPr>
        <w:t xml:space="preserve">                      </w:t>
      </w:r>
      <w:r>
        <w:rPr>
          <w:rFonts w:hint="eastAsia" w:ascii="宋体" w:hAnsi="宋体" w:eastAsia="宋体" w:cs="宋体"/>
          <w:sz w:val="28"/>
          <w:szCs w:val="28"/>
        </w:rPr>
        <w:t xml:space="preserve">。                </w:t>
      </w:r>
    </w:p>
    <w:p>
      <w:pPr>
        <w:spacing w:line="490" w:lineRule="exact"/>
        <w:ind w:firstLine="562" w:firstLineChars="200"/>
        <w:outlineLvl w:val="2"/>
        <w:rPr>
          <w:rFonts w:hint="eastAsia" w:ascii="宋体" w:hAnsi="宋体" w:eastAsia="宋体" w:cs="宋体"/>
          <w:b/>
          <w:sz w:val="28"/>
          <w:szCs w:val="28"/>
        </w:rPr>
      </w:pPr>
      <w:bookmarkStart w:id="3663" w:name="_Toc52810086"/>
      <w:bookmarkStart w:id="3664" w:name="_Toc31829"/>
      <w:bookmarkStart w:id="3665" w:name="_Toc57050014"/>
      <w:bookmarkStart w:id="3666" w:name="_Toc57049227"/>
      <w:r>
        <w:rPr>
          <w:rFonts w:hint="eastAsia" w:ascii="宋体" w:hAnsi="宋体" w:eastAsia="宋体" w:cs="宋体"/>
          <w:b/>
          <w:sz w:val="28"/>
          <w:szCs w:val="28"/>
        </w:rPr>
        <w:t>15．争议的解决</w:t>
      </w:r>
      <w:bookmarkEnd w:id="3663"/>
      <w:bookmarkEnd w:id="3664"/>
      <w:bookmarkEnd w:id="3665"/>
      <w:bookmarkEnd w:id="3666"/>
      <w:r>
        <w:rPr>
          <w:rFonts w:hint="eastAsia" w:ascii="宋体" w:hAnsi="宋体" w:eastAsia="宋体" w:cs="宋体"/>
          <w:b/>
          <w:sz w:val="28"/>
          <w:szCs w:val="28"/>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发包人和设计人在履行合同中发生争议的，可以友好协商解决。合同当事人友好协商解决不成的，约定的合同争议解决方式：</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after="15" w:line="363" w:lineRule="auto"/>
        <w:ind w:left="-15" w:right="103" w:firstLine="420"/>
        <w:jc w:val="left"/>
        <w:rPr>
          <w:szCs w:val="22"/>
        </w:rPr>
      </w:pPr>
      <w:r>
        <w:rPr>
          <w:szCs w:val="22"/>
        </w:rPr>
        <w:br w:type="page"/>
      </w:r>
    </w:p>
    <w:p>
      <w:pPr>
        <w:jc w:val="center"/>
        <w:outlineLvl w:val="1"/>
        <w:rPr>
          <w:rFonts w:eastAsia="黑体"/>
          <w:b/>
          <w:sz w:val="30"/>
          <w:szCs w:val="30"/>
        </w:rPr>
      </w:pPr>
      <w:bookmarkStart w:id="3667" w:name="_Toc57049228"/>
      <w:bookmarkStart w:id="3668" w:name="_Toc52810087"/>
      <w:bookmarkStart w:id="3669" w:name="_Toc57050015"/>
      <w:bookmarkStart w:id="3670" w:name="_Toc57048700"/>
      <w:bookmarkStart w:id="3671" w:name="_Toc7672"/>
      <w:r>
        <w:rPr>
          <w:rFonts w:eastAsia="黑体"/>
          <w:b/>
          <w:sz w:val="30"/>
          <w:szCs w:val="30"/>
        </w:rPr>
        <w:t>第六节 专用合同条款（适用于勘察设计项目）</w:t>
      </w:r>
      <w:bookmarkEnd w:id="3667"/>
      <w:bookmarkEnd w:id="3668"/>
      <w:bookmarkEnd w:id="3669"/>
      <w:bookmarkEnd w:id="3670"/>
      <w:bookmarkEnd w:id="3671"/>
    </w:p>
    <w:p>
      <w:pPr>
        <w:spacing w:line="490" w:lineRule="exact"/>
        <w:ind w:firstLine="560" w:firstLineChars="200"/>
        <w:rPr>
          <w:rFonts w:eastAsia="仿宋_GB2312"/>
          <w:sz w:val="28"/>
          <w:szCs w:val="28"/>
        </w:rPr>
      </w:pPr>
    </w:p>
    <w:p>
      <w:pPr>
        <w:spacing w:line="490" w:lineRule="exact"/>
        <w:ind w:firstLine="422" w:firstLineChars="200"/>
        <w:outlineLvl w:val="2"/>
        <w:rPr>
          <w:rFonts w:hint="eastAsia" w:ascii="宋体" w:hAnsi="宋体" w:eastAsia="宋体" w:cs="宋体"/>
          <w:b/>
          <w:sz w:val="21"/>
          <w:szCs w:val="21"/>
        </w:rPr>
      </w:pPr>
      <w:bookmarkStart w:id="3672" w:name="_Toc57050016"/>
      <w:bookmarkStart w:id="3673" w:name="_Toc57049229"/>
      <w:bookmarkStart w:id="3674" w:name="_Toc23592"/>
      <w:bookmarkStart w:id="3675" w:name="_Toc52810088"/>
      <w:r>
        <w:rPr>
          <w:rFonts w:hint="eastAsia" w:ascii="宋体" w:hAnsi="宋体" w:eastAsia="宋体" w:cs="宋体"/>
          <w:b/>
          <w:sz w:val="21"/>
          <w:szCs w:val="21"/>
        </w:rPr>
        <w:t>1．一般约定</w:t>
      </w:r>
      <w:bookmarkEnd w:id="3672"/>
      <w:bookmarkEnd w:id="3673"/>
      <w:bookmarkEnd w:id="3674"/>
      <w:bookmarkEnd w:id="3675"/>
    </w:p>
    <w:p>
      <w:pPr>
        <w:spacing w:line="490" w:lineRule="exact"/>
        <w:ind w:firstLine="422" w:firstLineChars="200"/>
        <w:outlineLvl w:val="3"/>
        <w:rPr>
          <w:rFonts w:hint="eastAsia" w:ascii="宋体" w:hAnsi="宋体" w:eastAsia="宋体" w:cs="宋体"/>
          <w:b/>
          <w:sz w:val="21"/>
          <w:szCs w:val="21"/>
        </w:rPr>
      </w:pPr>
      <w:bookmarkStart w:id="3676" w:name="_Toc52810089"/>
      <w:bookmarkStart w:id="3677" w:name="_Toc57049230"/>
      <w:r>
        <w:rPr>
          <w:rFonts w:hint="eastAsia" w:ascii="宋体" w:hAnsi="宋体" w:eastAsia="宋体" w:cs="宋体"/>
          <w:b/>
          <w:sz w:val="21"/>
          <w:szCs w:val="21"/>
        </w:rPr>
        <w:t>1.1 词语定义</w:t>
      </w:r>
      <w:bookmarkEnd w:id="3676"/>
      <w:bookmarkEnd w:id="3677"/>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 合同当事人和人员</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1.1.2.2 发包人：</w:t>
      </w:r>
      <w:r>
        <w:rPr>
          <w:rFonts w:hint="eastAsia" w:ascii="宋体" w:hAnsi="宋体" w:eastAsia="宋体" w:cs="宋体"/>
          <w:sz w:val="21"/>
          <w:szCs w:val="21"/>
          <w:u w:val="single"/>
        </w:rPr>
        <w:t xml:space="preserve">    （填入发包人的名称）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1.1.2.3 设计人：</w:t>
      </w:r>
      <w:r>
        <w:rPr>
          <w:rFonts w:hint="eastAsia" w:ascii="宋体" w:hAnsi="宋体" w:eastAsia="宋体" w:cs="宋体"/>
          <w:sz w:val="21"/>
          <w:szCs w:val="21"/>
          <w:u w:val="single"/>
        </w:rPr>
        <w:t xml:space="preserve"> （签约后填入设计人的名称）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1.1.2.4 发包人代表：</w:t>
      </w:r>
      <w:r>
        <w:rPr>
          <w:rFonts w:hint="eastAsia" w:ascii="宋体" w:hAnsi="宋体" w:eastAsia="宋体" w:cs="宋体"/>
          <w:sz w:val="21"/>
          <w:szCs w:val="21"/>
          <w:u w:val="single"/>
        </w:rPr>
        <w:t xml:space="preserve">（填入发包人代表的名称）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1.1.2.5 项目负责人：</w:t>
      </w:r>
      <w:r>
        <w:rPr>
          <w:rFonts w:hint="eastAsia" w:ascii="宋体" w:hAnsi="宋体" w:eastAsia="宋体" w:cs="宋体"/>
          <w:sz w:val="21"/>
          <w:szCs w:val="21"/>
          <w:u w:val="single"/>
        </w:rPr>
        <w:t xml:space="preserve">（签约后填入项目负责人的姓名、身份证号号码，项目负责人执业证书号码）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1.1.2.6分包人：</w:t>
      </w:r>
      <w:r>
        <w:rPr>
          <w:rFonts w:hint="eastAsia" w:ascii="宋体" w:hAnsi="宋体" w:eastAsia="宋体" w:cs="宋体"/>
          <w:sz w:val="21"/>
          <w:szCs w:val="21"/>
          <w:u w:val="single"/>
        </w:rPr>
        <w:t>（签约后填入分包人的名称）</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 工程和勘察设计</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1.1.3.1工程：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1.1.3.2勘察设计服务：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1.1.3.5勘察设计资料：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1.1.3.6勘察设计文件：</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 日期</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1.1.4.3 勘察设计服务期限：</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1.1.4.5 完成勘察设计日期：</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pPr>
        <w:spacing w:line="490" w:lineRule="exact"/>
        <w:ind w:firstLine="422" w:firstLineChars="200"/>
        <w:outlineLvl w:val="3"/>
        <w:rPr>
          <w:rFonts w:hint="eastAsia" w:ascii="宋体" w:hAnsi="宋体" w:eastAsia="宋体" w:cs="宋体"/>
          <w:b/>
          <w:sz w:val="21"/>
          <w:szCs w:val="21"/>
        </w:rPr>
      </w:pPr>
      <w:bookmarkStart w:id="3678" w:name="_Toc57049231"/>
      <w:bookmarkStart w:id="3679" w:name="_Toc52810090"/>
      <w:r>
        <w:rPr>
          <w:rFonts w:hint="eastAsia" w:ascii="宋体" w:hAnsi="宋体" w:eastAsia="宋体" w:cs="宋体"/>
          <w:b/>
          <w:sz w:val="21"/>
          <w:szCs w:val="21"/>
        </w:rPr>
        <w:t>1.2 语言文字</w:t>
      </w:r>
      <w:bookmarkEnd w:id="3678"/>
      <w:bookmarkEnd w:id="367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合同使用的语言文字为简体中文。专用术语使用外文的，应附有简体中文注释，汉语为优先解释和说明合同的语言。</w:t>
      </w:r>
    </w:p>
    <w:p>
      <w:pPr>
        <w:spacing w:line="490" w:lineRule="exact"/>
        <w:ind w:firstLine="422" w:firstLineChars="200"/>
        <w:outlineLvl w:val="3"/>
        <w:rPr>
          <w:rFonts w:hint="eastAsia" w:ascii="宋体" w:hAnsi="宋体" w:eastAsia="宋体" w:cs="宋体"/>
          <w:b/>
          <w:sz w:val="21"/>
          <w:szCs w:val="21"/>
        </w:rPr>
      </w:pPr>
      <w:bookmarkStart w:id="3680" w:name="_Toc57049232"/>
      <w:bookmarkStart w:id="3681" w:name="_Toc52810091"/>
      <w:r>
        <w:rPr>
          <w:rFonts w:hint="eastAsia" w:ascii="宋体" w:hAnsi="宋体" w:eastAsia="宋体" w:cs="宋体"/>
          <w:b/>
          <w:sz w:val="21"/>
          <w:szCs w:val="21"/>
        </w:rPr>
        <w:t>1.3 适用法律</w:t>
      </w:r>
      <w:bookmarkEnd w:id="3680"/>
      <w:bookmarkEnd w:id="368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适用于合同的法律包括中华人民共和国法律、行政法规、部门规章，以及工程所在地的地方性法规、自治条例、单行条例和地方政府规章。 </w:t>
      </w:r>
    </w:p>
    <w:p>
      <w:pPr>
        <w:spacing w:line="49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本合同适用的其他规范性文件包括：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82" w:name="_Toc57049233"/>
      <w:bookmarkStart w:id="3683" w:name="_Toc52810092"/>
      <w:r>
        <w:rPr>
          <w:rFonts w:hint="eastAsia" w:ascii="宋体" w:hAnsi="宋体" w:eastAsia="宋体" w:cs="宋体"/>
          <w:b/>
          <w:sz w:val="21"/>
          <w:szCs w:val="21"/>
        </w:rPr>
        <w:t>1.4 合同文件的优先顺序</w:t>
      </w:r>
      <w:bookmarkEnd w:id="3682"/>
      <w:bookmarkEnd w:id="368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合同文件组成及解释合同文件的优先顺序：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84" w:name="_Toc52810093"/>
      <w:bookmarkStart w:id="3685" w:name="_Toc57049234"/>
      <w:r>
        <w:rPr>
          <w:rFonts w:hint="eastAsia" w:ascii="宋体" w:hAnsi="宋体" w:eastAsia="宋体" w:cs="宋体"/>
          <w:b/>
          <w:sz w:val="21"/>
          <w:szCs w:val="21"/>
        </w:rPr>
        <w:t>1.6 文件的提供和照管</w:t>
      </w:r>
      <w:bookmarkEnd w:id="3684"/>
      <w:bookmarkEnd w:id="368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 勘察设计文件的提供</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设计人向发包人提供勘察设计文件的期限：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设计人向发包人提供勘察设计文件的份数：</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其它要求：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1.6.2 发包人提供的文件</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发包人向设计人提供的文件包括：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提供的数量：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提供的期限：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其它要求：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86" w:name="_Toc57049235"/>
      <w:bookmarkStart w:id="3687" w:name="_Toc52810094"/>
      <w:r>
        <w:rPr>
          <w:rFonts w:hint="eastAsia" w:ascii="宋体" w:hAnsi="宋体" w:eastAsia="宋体" w:cs="宋体"/>
          <w:b/>
          <w:sz w:val="21"/>
          <w:szCs w:val="21"/>
        </w:rPr>
        <w:t>1.7 联络</w:t>
      </w:r>
      <w:bookmarkEnd w:id="3686"/>
      <w:bookmarkEnd w:id="3687"/>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1.7.2 发包人和设计人应将与合同有关的通知、批准、证明、证书、指示、要求、请求、同意、意见、确定和决定等来往函件，送达指定的地点和指定的接收人，并办理签收手续。</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指定的地点和接收人如下：</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发包人接收来往函件的指定地点：_________。</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发包人接收来往函件的指定接收人：_________。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发包人指定的联系方式：_________。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设计人接收来往函件的指定地点：_________。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设计人指定的联系方式：_________。</w:t>
      </w:r>
    </w:p>
    <w:p>
      <w:pPr>
        <w:spacing w:line="490" w:lineRule="exact"/>
        <w:ind w:firstLine="422" w:firstLineChars="200"/>
        <w:outlineLvl w:val="3"/>
        <w:rPr>
          <w:rFonts w:hint="eastAsia" w:ascii="宋体" w:hAnsi="宋体" w:eastAsia="宋体" w:cs="宋体"/>
          <w:b/>
          <w:sz w:val="21"/>
          <w:szCs w:val="21"/>
        </w:rPr>
      </w:pPr>
      <w:bookmarkStart w:id="3688" w:name="_Toc57049236"/>
      <w:bookmarkStart w:id="3689" w:name="_Toc52810095"/>
      <w:r>
        <w:rPr>
          <w:rFonts w:hint="eastAsia" w:ascii="宋体" w:hAnsi="宋体" w:eastAsia="宋体" w:cs="宋体"/>
          <w:b/>
          <w:sz w:val="21"/>
          <w:szCs w:val="21"/>
        </w:rPr>
        <w:t>1.8 转让</w:t>
      </w:r>
      <w:bookmarkEnd w:id="3688"/>
      <w:bookmarkEnd w:id="3689"/>
    </w:p>
    <w:p>
      <w:pPr>
        <w:spacing w:line="49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关于转让合同权利义务的约定：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90" w:name="_Toc52810096"/>
      <w:bookmarkStart w:id="3691" w:name="_Toc57049237"/>
      <w:r>
        <w:rPr>
          <w:rFonts w:hint="eastAsia" w:ascii="宋体" w:hAnsi="宋体" w:eastAsia="宋体" w:cs="宋体"/>
          <w:b/>
          <w:sz w:val="21"/>
          <w:szCs w:val="21"/>
        </w:rPr>
        <w:t>1.10 知识产权</w:t>
      </w:r>
      <w:bookmarkEnd w:id="3690"/>
      <w:bookmarkEnd w:id="369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1.10.1 设计人完成的勘察设计工作成果，除署名权以外的著作权和其他知识产权归属：</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692" w:name="_Toc52810097"/>
      <w:bookmarkStart w:id="3693" w:name="_Toc57049238"/>
      <w:r>
        <w:rPr>
          <w:rFonts w:hint="eastAsia" w:ascii="宋体" w:hAnsi="宋体" w:eastAsia="宋体" w:cs="宋体"/>
          <w:b/>
          <w:sz w:val="21"/>
          <w:szCs w:val="21"/>
        </w:rPr>
        <w:t>1.11 文件及信息的保密</w:t>
      </w:r>
      <w:bookmarkEnd w:id="3692"/>
      <w:bookmarkEnd w:id="369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除法律规定或合同另有约定外，未经对方同意，任何一方当事人不得将对方提供的有关文件、技术秘密、声明需要保密的资料和信息泄露给第三方或公开发表与引用。</w:t>
      </w:r>
    </w:p>
    <w:p>
      <w:pPr>
        <w:spacing w:line="490" w:lineRule="exact"/>
        <w:ind w:firstLine="422" w:firstLineChars="200"/>
        <w:outlineLvl w:val="3"/>
        <w:rPr>
          <w:rFonts w:hint="eastAsia" w:ascii="宋体" w:hAnsi="宋体" w:eastAsia="宋体" w:cs="宋体"/>
          <w:b/>
          <w:sz w:val="21"/>
          <w:szCs w:val="21"/>
        </w:rPr>
      </w:pPr>
      <w:bookmarkStart w:id="3694" w:name="_Toc57049239"/>
      <w:bookmarkStart w:id="3695" w:name="_Toc52810098"/>
      <w:r>
        <w:rPr>
          <w:rFonts w:hint="eastAsia" w:ascii="宋体" w:hAnsi="宋体" w:eastAsia="宋体" w:cs="宋体"/>
          <w:b/>
          <w:sz w:val="21"/>
          <w:szCs w:val="21"/>
        </w:rPr>
        <w:t>1.12 发包人要求</w:t>
      </w:r>
      <w:bookmarkEnd w:id="3694"/>
      <w:bookmarkEnd w:id="369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1.12.1 发包人要求需要修改或存在错误导致设计人费用增加和(或)勘察设计服务期限延误的，由______承担由此导致的费用增加和（或）周期延误。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1.12.3 发包人要求采用国外规范和标准进行设计时，应由发包人负责提供该规范和标准的外国文本和中文译本，提供的时间、份数和其他要求：_________。</w:t>
      </w:r>
    </w:p>
    <w:p>
      <w:pPr>
        <w:spacing w:line="490" w:lineRule="exact"/>
        <w:ind w:firstLine="422" w:firstLineChars="200"/>
        <w:outlineLvl w:val="2"/>
        <w:rPr>
          <w:rFonts w:hint="eastAsia" w:ascii="宋体" w:hAnsi="宋体" w:eastAsia="宋体" w:cs="宋体"/>
          <w:b/>
          <w:sz w:val="21"/>
          <w:szCs w:val="21"/>
        </w:rPr>
      </w:pPr>
      <w:bookmarkStart w:id="3696" w:name="_Toc8898"/>
      <w:bookmarkStart w:id="3697" w:name="_Toc57050017"/>
      <w:bookmarkStart w:id="3698" w:name="_Toc57049240"/>
      <w:bookmarkStart w:id="3699" w:name="_Toc52810099"/>
      <w:r>
        <w:rPr>
          <w:rFonts w:hint="eastAsia" w:ascii="宋体" w:hAnsi="宋体" w:eastAsia="宋体" w:cs="宋体"/>
          <w:b/>
          <w:sz w:val="21"/>
          <w:szCs w:val="21"/>
        </w:rPr>
        <w:t>3．发包人管理</w:t>
      </w:r>
      <w:bookmarkEnd w:id="3696"/>
      <w:bookmarkEnd w:id="3697"/>
      <w:bookmarkEnd w:id="3698"/>
      <w:bookmarkEnd w:id="3699"/>
    </w:p>
    <w:p>
      <w:pPr>
        <w:spacing w:line="490" w:lineRule="exact"/>
        <w:ind w:firstLine="422" w:firstLineChars="200"/>
        <w:outlineLvl w:val="3"/>
        <w:rPr>
          <w:rFonts w:hint="eastAsia" w:ascii="宋体" w:hAnsi="宋体" w:eastAsia="宋体" w:cs="宋体"/>
          <w:b/>
          <w:sz w:val="21"/>
          <w:szCs w:val="21"/>
        </w:rPr>
      </w:pPr>
      <w:bookmarkStart w:id="3700" w:name="_Toc57049241"/>
      <w:bookmarkStart w:id="3701" w:name="_Toc52810100"/>
      <w:r>
        <w:rPr>
          <w:rFonts w:hint="eastAsia" w:ascii="宋体" w:hAnsi="宋体" w:eastAsia="宋体" w:cs="宋体"/>
          <w:b/>
          <w:sz w:val="21"/>
          <w:szCs w:val="21"/>
        </w:rPr>
        <w:t>3.1 发包人代表</w:t>
      </w:r>
      <w:bookmarkEnd w:id="3700"/>
      <w:bookmarkEnd w:id="370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3.1.1发包人书面通知设计人发包人代表的期限：_________。</w:t>
      </w:r>
    </w:p>
    <w:p>
      <w:pPr>
        <w:spacing w:line="490" w:lineRule="exact"/>
        <w:ind w:firstLine="422" w:firstLineChars="200"/>
        <w:outlineLvl w:val="3"/>
        <w:rPr>
          <w:rFonts w:hint="eastAsia" w:ascii="宋体" w:hAnsi="宋体" w:eastAsia="宋体" w:cs="宋体"/>
          <w:b/>
          <w:sz w:val="21"/>
          <w:szCs w:val="21"/>
        </w:rPr>
      </w:pPr>
      <w:bookmarkStart w:id="3702" w:name="_Toc52810101"/>
      <w:bookmarkStart w:id="3703" w:name="_Toc57049242"/>
      <w:r>
        <w:rPr>
          <w:rFonts w:hint="eastAsia" w:ascii="宋体" w:hAnsi="宋体" w:eastAsia="宋体" w:cs="宋体"/>
          <w:b/>
          <w:sz w:val="21"/>
          <w:szCs w:val="21"/>
        </w:rPr>
        <w:t>3.2 监理人</w:t>
      </w:r>
      <w:bookmarkEnd w:id="3702"/>
      <w:bookmarkEnd w:id="370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3.2.1 发包人可以根据工程建设需要确定是否委托监理人进行勘察设计监理。工程实行监理的，发包人和设计人应在专用合同条款中明确监理人的监理内容及监理权限等事项。监理人应当根据发包人授权及法律规定，代表发包人检查、查验、审核、验收并签发相关指示，但监理人无权修改合同。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本工程是否委托监理人进行勘察设计监理：</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如进行勘察设计监理，监理人的监理范围包括：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；职责权限：</w:t>
      </w:r>
      <w:r>
        <w:rPr>
          <w:rFonts w:hint="eastAsia" w:ascii="宋体" w:hAnsi="宋体" w:eastAsia="宋体" w:cs="宋体"/>
          <w:sz w:val="21"/>
          <w:szCs w:val="21"/>
          <w:u w:val="single"/>
        </w:rPr>
        <w:t xml:space="preserve">                      </w:t>
      </w:r>
      <w:r>
        <w:rPr>
          <w:rFonts w:hint="eastAsia" w:ascii="宋体" w:hAnsi="宋体" w:eastAsia="宋体" w:cs="宋体"/>
          <w:sz w:val="21"/>
          <w:szCs w:val="21"/>
        </w:rPr>
        <w:t>；总监理工程师：</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04" w:name="_Toc57049243"/>
      <w:bookmarkStart w:id="3705" w:name="_Toc52810102"/>
      <w:r>
        <w:rPr>
          <w:rFonts w:hint="eastAsia" w:ascii="宋体" w:hAnsi="宋体" w:eastAsia="宋体" w:cs="宋体"/>
          <w:b/>
          <w:sz w:val="21"/>
          <w:szCs w:val="21"/>
        </w:rPr>
        <w:t>3.3 发包人的指示</w:t>
      </w:r>
      <w:bookmarkEnd w:id="3704"/>
      <w:bookmarkEnd w:id="3705"/>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3.3.4 设计人除从发包人代表或按第3.1.4项约定的被授权人员处取得指示外，还可从_________处取得指示。</w:t>
      </w:r>
    </w:p>
    <w:p>
      <w:pPr>
        <w:spacing w:line="490" w:lineRule="exact"/>
        <w:ind w:firstLine="422" w:firstLineChars="200"/>
        <w:outlineLvl w:val="3"/>
        <w:rPr>
          <w:rFonts w:hint="eastAsia" w:ascii="宋体" w:hAnsi="宋体" w:eastAsia="宋体" w:cs="宋体"/>
          <w:b/>
          <w:sz w:val="21"/>
          <w:szCs w:val="21"/>
        </w:rPr>
      </w:pPr>
      <w:bookmarkStart w:id="3706" w:name="_Toc57049244"/>
      <w:bookmarkStart w:id="3707" w:name="_Toc52810103"/>
      <w:r>
        <w:rPr>
          <w:rFonts w:hint="eastAsia" w:ascii="宋体" w:hAnsi="宋体" w:eastAsia="宋体" w:cs="宋体"/>
          <w:b/>
          <w:sz w:val="21"/>
          <w:szCs w:val="21"/>
        </w:rPr>
        <w:t>3.4 决定或答复</w:t>
      </w:r>
      <w:bookmarkEnd w:id="3706"/>
      <w:bookmarkEnd w:id="3707"/>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3.4.2发包人应在</w:t>
      </w:r>
      <w:r>
        <w:rPr>
          <w:rFonts w:hint="eastAsia" w:ascii="宋体" w:hAnsi="宋体" w:eastAsia="宋体" w:cs="宋体"/>
          <w:sz w:val="21"/>
          <w:szCs w:val="21"/>
          <w:u w:val="single"/>
        </w:rPr>
        <w:t xml:space="preserve">    </w:t>
      </w:r>
      <w:r>
        <w:rPr>
          <w:rFonts w:hint="eastAsia" w:ascii="宋体" w:hAnsi="宋体" w:eastAsia="宋体" w:cs="宋体"/>
          <w:sz w:val="21"/>
          <w:szCs w:val="21"/>
        </w:rPr>
        <w:t>天内，对设计人书面提出的事项作出书面答复；逾期没有做出答复的，视为已获得发包人的批准。</w:t>
      </w:r>
    </w:p>
    <w:p>
      <w:pPr>
        <w:spacing w:line="490" w:lineRule="exact"/>
        <w:ind w:firstLine="422" w:firstLineChars="200"/>
        <w:outlineLvl w:val="2"/>
        <w:rPr>
          <w:rFonts w:hint="eastAsia" w:ascii="宋体" w:hAnsi="宋体" w:eastAsia="宋体" w:cs="宋体"/>
          <w:b/>
          <w:sz w:val="21"/>
          <w:szCs w:val="21"/>
        </w:rPr>
      </w:pPr>
      <w:bookmarkStart w:id="3708" w:name="_Toc52810104"/>
      <w:bookmarkStart w:id="3709" w:name="_Toc19498"/>
      <w:bookmarkStart w:id="3710" w:name="_Toc57050018"/>
      <w:bookmarkStart w:id="3711" w:name="_Toc57049245"/>
      <w:r>
        <w:rPr>
          <w:rFonts w:hint="eastAsia" w:ascii="宋体" w:hAnsi="宋体" w:eastAsia="宋体" w:cs="宋体"/>
          <w:b/>
          <w:sz w:val="21"/>
          <w:szCs w:val="21"/>
        </w:rPr>
        <w:t>4. 设计人义务</w:t>
      </w:r>
      <w:bookmarkEnd w:id="3708"/>
      <w:bookmarkEnd w:id="3709"/>
      <w:bookmarkEnd w:id="3710"/>
      <w:bookmarkEnd w:id="3711"/>
      <w:r>
        <w:rPr>
          <w:rFonts w:hint="eastAsia" w:ascii="宋体" w:hAnsi="宋体" w:eastAsia="宋体" w:cs="宋体"/>
          <w:b/>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12" w:name="_Toc57049246"/>
      <w:bookmarkStart w:id="3713" w:name="_Toc52810105"/>
      <w:r>
        <w:rPr>
          <w:rFonts w:hint="eastAsia" w:ascii="宋体" w:hAnsi="宋体" w:eastAsia="宋体" w:cs="宋体"/>
          <w:b/>
          <w:sz w:val="21"/>
          <w:szCs w:val="21"/>
        </w:rPr>
        <w:t>4.1 设计人的一般义务</w:t>
      </w:r>
      <w:bookmarkEnd w:id="3712"/>
      <w:bookmarkEnd w:id="371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4.1.3 完成全部勘察设计工作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设计人应按合同约定以及发包人要求，完成合同约定的全部勘察设计工作，提供勘察设计文件和相关服务，以及为完成勘察设计服务所需的劳务、材料、勘察设备、试验设施等，并应自行承担勘探场地临时设施的搭设、维护、管理和拆除，自行或按发包人要求对设计工作任何缺陷进行整改、完善和修补，使其满足合同约定的目的。</w:t>
      </w:r>
    </w:p>
    <w:p>
      <w:pPr>
        <w:spacing w:line="490" w:lineRule="exact"/>
        <w:ind w:firstLine="422" w:firstLineChars="200"/>
        <w:outlineLvl w:val="3"/>
        <w:rPr>
          <w:rFonts w:hint="eastAsia" w:ascii="宋体" w:hAnsi="宋体" w:eastAsia="宋体" w:cs="宋体"/>
          <w:b/>
          <w:sz w:val="21"/>
          <w:szCs w:val="21"/>
        </w:rPr>
      </w:pPr>
      <w:bookmarkStart w:id="3714" w:name="_Toc52810106"/>
      <w:bookmarkStart w:id="3715" w:name="_Toc57049247"/>
      <w:r>
        <w:rPr>
          <w:rFonts w:hint="eastAsia" w:ascii="宋体" w:hAnsi="宋体" w:eastAsia="宋体" w:cs="宋体"/>
          <w:b/>
          <w:sz w:val="21"/>
          <w:szCs w:val="21"/>
        </w:rPr>
        <w:t>4.2 履约担保</w:t>
      </w:r>
      <w:bookmarkEnd w:id="3714"/>
      <w:bookmarkEnd w:id="371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4.2.1 发包人需要设计人提交履约担保的，由合同当事人在专用合同条款中约定履约担保的标准、提交方式、提交期限和有效期限。除专用合同条款另有约定外，履约担保自合同生效之日起生效，在最后一批勘察设计成果文件经上级主管部门批复且设计人按照合同约定缴纳质量保证金之日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天后失效。如果设计人不履行合同约定的义务或其履行不符合合同的约定，发包人有权扣划相应金额的履约担保。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履约担保标准：</w:t>
      </w:r>
      <w:r>
        <w:rPr>
          <w:rFonts w:hint="eastAsia" w:ascii="宋体" w:hAnsi="宋体" w:eastAsia="宋体" w:cs="宋体"/>
          <w:sz w:val="21"/>
          <w:szCs w:val="21"/>
          <w:u w:val="single"/>
        </w:rPr>
        <w:t xml:space="preserve">       </w:t>
      </w:r>
      <w:r>
        <w:rPr>
          <w:rFonts w:hint="eastAsia" w:ascii="宋体" w:hAnsi="宋体" w:eastAsia="宋体" w:cs="宋体"/>
          <w:sz w:val="21"/>
          <w:szCs w:val="21"/>
        </w:rPr>
        <w:t>，提交方式：</w:t>
      </w:r>
      <w:r>
        <w:rPr>
          <w:rFonts w:hint="eastAsia" w:ascii="宋体" w:hAnsi="宋体" w:eastAsia="宋体" w:cs="宋体"/>
          <w:sz w:val="21"/>
          <w:szCs w:val="21"/>
          <w:u w:val="single"/>
        </w:rPr>
        <w:t xml:space="preserve">     </w:t>
      </w:r>
      <w:r>
        <w:rPr>
          <w:rFonts w:hint="eastAsia" w:ascii="宋体" w:hAnsi="宋体" w:eastAsia="宋体" w:cs="宋体"/>
          <w:sz w:val="21"/>
          <w:szCs w:val="21"/>
        </w:rPr>
        <w:t>，提交期限：</w:t>
      </w:r>
      <w:r>
        <w:rPr>
          <w:rFonts w:hint="eastAsia" w:ascii="宋体" w:hAnsi="宋体" w:eastAsia="宋体" w:cs="宋体"/>
          <w:sz w:val="21"/>
          <w:szCs w:val="21"/>
          <w:u w:val="single"/>
        </w:rPr>
        <w:t xml:space="preserve">      </w:t>
      </w:r>
      <w:r>
        <w:rPr>
          <w:rFonts w:hint="eastAsia" w:ascii="宋体" w:hAnsi="宋体" w:eastAsia="宋体" w:cs="宋体"/>
          <w:sz w:val="21"/>
          <w:szCs w:val="21"/>
        </w:rPr>
        <w:t>，有效期限：</w:t>
      </w:r>
      <w:r>
        <w:rPr>
          <w:rFonts w:hint="eastAsia" w:ascii="宋体" w:hAnsi="宋体" w:eastAsia="宋体" w:cs="宋体"/>
          <w:sz w:val="21"/>
          <w:szCs w:val="21"/>
          <w:u w:val="single"/>
        </w:rPr>
        <w:t xml:space="preserve">       </w:t>
      </w:r>
      <w:r>
        <w:rPr>
          <w:rFonts w:hint="eastAsia" w:ascii="宋体" w:hAnsi="宋体" w:eastAsia="宋体" w:cs="宋体"/>
          <w:sz w:val="21"/>
          <w:szCs w:val="21"/>
        </w:rPr>
        <w:t>。履约担保有效期限的约定：_________。</w:t>
      </w:r>
    </w:p>
    <w:p>
      <w:pPr>
        <w:spacing w:line="490" w:lineRule="exact"/>
        <w:ind w:firstLine="422" w:firstLineChars="200"/>
        <w:outlineLvl w:val="3"/>
        <w:rPr>
          <w:rFonts w:hint="eastAsia" w:ascii="宋体" w:hAnsi="宋体" w:eastAsia="宋体" w:cs="宋体"/>
          <w:b/>
          <w:sz w:val="21"/>
          <w:szCs w:val="21"/>
        </w:rPr>
      </w:pPr>
      <w:bookmarkStart w:id="3716" w:name="_Toc52810107"/>
      <w:bookmarkStart w:id="3717" w:name="_Toc57049248"/>
      <w:r>
        <w:rPr>
          <w:rFonts w:hint="eastAsia" w:ascii="宋体" w:hAnsi="宋体" w:eastAsia="宋体" w:cs="宋体"/>
          <w:b/>
          <w:sz w:val="21"/>
          <w:szCs w:val="21"/>
        </w:rPr>
        <w:t>4.3 分包和不得转包</w:t>
      </w:r>
      <w:bookmarkEnd w:id="3716"/>
      <w:bookmarkEnd w:id="3717"/>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4.3.1 设计人不得将其勘察设计的全部工作转包给第三人，或将其承包的全部工程肢解后以分包的名义转包给第三人。</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4.3.2 设计人不得将勘察设计的主体、关键性工作及专用合同条款中禁止分包的专业工程分包给第三人。经发包人同意，设计人可将工程设计中跨专业或有特殊要求的勘察、设计工作进行分包。未列入投标文件的勘察设计工作，设计人不得分包。</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关于分包的约定：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4.3.3 分包人的设计费用的承担：_________。</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4.3.4 分包人资质：</w:t>
      </w:r>
      <w:r>
        <w:rPr>
          <w:rFonts w:hint="eastAsia" w:ascii="宋体" w:hAnsi="宋体" w:eastAsia="宋体" w:cs="宋体"/>
          <w:sz w:val="21"/>
          <w:szCs w:val="21"/>
          <w:u w:val="single"/>
        </w:rPr>
        <w:t xml:space="preserve">      </w:t>
      </w:r>
      <w:r>
        <w:rPr>
          <w:rFonts w:hint="eastAsia" w:ascii="宋体" w:hAnsi="宋体" w:eastAsia="宋体" w:cs="宋体"/>
          <w:sz w:val="21"/>
          <w:szCs w:val="21"/>
        </w:rPr>
        <w:t>、分包人主要人员要求：</w:t>
      </w:r>
      <w:r>
        <w:rPr>
          <w:rFonts w:hint="eastAsia" w:ascii="宋体" w:hAnsi="宋体" w:eastAsia="宋体" w:cs="宋体"/>
          <w:sz w:val="21"/>
          <w:szCs w:val="21"/>
          <w:u w:val="single"/>
        </w:rPr>
        <w:t xml:space="preserve">        </w:t>
      </w:r>
      <w:r>
        <w:rPr>
          <w:rFonts w:hint="eastAsia" w:ascii="宋体" w:hAnsi="宋体" w:eastAsia="宋体" w:cs="宋体"/>
          <w:sz w:val="21"/>
          <w:szCs w:val="21"/>
        </w:rPr>
        <w:t>、设备要求：</w:t>
      </w:r>
      <w:r>
        <w:rPr>
          <w:rFonts w:hint="eastAsia" w:ascii="宋体" w:hAnsi="宋体" w:eastAsia="宋体" w:cs="宋体"/>
          <w:sz w:val="21"/>
          <w:szCs w:val="21"/>
          <w:u w:val="single"/>
        </w:rPr>
        <w:t xml:space="preserve">       </w:t>
      </w:r>
      <w:r>
        <w:rPr>
          <w:rFonts w:hint="eastAsia" w:ascii="宋体" w:hAnsi="宋体" w:eastAsia="宋体" w:cs="宋体"/>
          <w:sz w:val="21"/>
          <w:szCs w:val="21"/>
        </w:rPr>
        <w:t>、类似业绩：</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18" w:name="_Toc52810108"/>
      <w:bookmarkStart w:id="3719" w:name="_Toc57049249"/>
      <w:r>
        <w:rPr>
          <w:rFonts w:hint="eastAsia" w:ascii="宋体" w:hAnsi="宋体" w:eastAsia="宋体" w:cs="宋体"/>
          <w:b/>
          <w:sz w:val="21"/>
          <w:szCs w:val="21"/>
        </w:rPr>
        <w:t>4.4 联合体</w:t>
      </w:r>
      <w:bookmarkEnd w:id="3718"/>
      <w:bookmarkEnd w:id="371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20" w:name="_Toc57049250"/>
      <w:bookmarkStart w:id="3721" w:name="_Toc52810109"/>
      <w:r>
        <w:rPr>
          <w:rFonts w:hint="eastAsia" w:ascii="宋体" w:hAnsi="宋体" w:eastAsia="宋体" w:cs="宋体"/>
          <w:b/>
          <w:sz w:val="21"/>
          <w:szCs w:val="21"/>
        </w:rPr>
        <w:t>4.5 项目负责人</w:t>
      </w:r>
      <w:bookmarkEnd w:id="3720"/>
      <w:bookmarkEnd w:id="372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4.5.4 项目负责人可以授权其下属人员履行的职责：</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22" w:name="_Toc52810110"/>
      <w:bookmarkStart w:id="3723" w:name="_Toc57049251"/>
      <w:r>
        <w:rPr>
          <w:rFonts w:hint="eastAsia" w:ascii="宋体" w:hAnsi="宋体" w:eastAsia="宋体" w:cs="宋体"/>
          <w:b/>
          <w:sz w:val="21"/>
          <w:szCs w:val="21"/>
        </w:rPr>
        <w:t>4.6 设计人员的管理</w:t>
      </w:r>
      <w:bookmarkEnd w:id="3722"/>
      <w:bookmarkEnd w:id="3723"/>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4.6.2 主要设计人员包括：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其他人员包括：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4.6.3 设计人必须根据工程建设需要设立设计代表机构或派驻合格设计代表，及时处理设计问题、办理设计变更，并满足驻场时间要求。派驻人员数量、专业、驻场期限及管理要求由发包人另行明确。</w:t>
      </w:r>
    </w:p>
    <w:p>
      <w:pPr>
        <w:spacing w:line="490" w:lineRule="exact"/>
        <w:ind w:firstLine="422" w:firstLineChars="200"/>
        <w:outlineLvl w:val="2"/>
        <w:rPr>
          <w:rFonts w:hint="eastAsia" w:ascii="宋体" w:hAnsi="宋体" w:eastAsia="宋体" w:cs="宋体"/>
          <w:b/>
          <w:sz w:val="21"/>
          <w:szCs w:val="21"/>
        </w:rPr>
      </w:pPr>
      <w:bookmarkStart w:id="3724" w:name="_Toc57050019"/>
      <w:bookmarkStart w:id="3725" w:name="_Toc5692"/>
      <w:bookmarkStart w:id="3726" w:name="_Toc57049252"/>
      <w:bookmarkStart w:id="3727" w:name="_Toc52810111"/>
      <w:r>
        <w:rPr>
          <w:rFonts w:hint="eastAsia" w:ascii="宋体" w:hAnsi="宋体" w:eastAsia="宋体" w:cs="宋体"/>
          <w:b/>
          <w:sz w:val="21"/>
          <w:szCs w:val="21"/>
        </w:rPr>
        <w:t>5．勘察设计要求</w:t>
      </w:r>
      <w:bookmarkEnd w:id="3724"/>
      <w:bookmarkEnd w:id="3725"/>
      <w:bookmarkEnd w:id="3726"/>
      <w:bookmarkEnd w:id="3727"/>
      <w:r>
        <w:rPr>
          <w:rFonts w:hint="eastAsia" w:ascii="宋体" w:hAnsi="宋体" w:eastAsia="宋体" w:cs="宋体"/>
          <w:b/>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28" w:name="_Toc52810112"/>
      <w:bookmarkStart w:id="3729" w:name="_Toc57049253"/>
      <w:r>
        <w:rPr>
          <w:rFonts w:hint="eastAsia" w:ascii="宋体" w:hAnsi="宋体" w:eastAsia="宋体" w:cs="宋体"/>
          <w:b/>
          <w:sz w:val="21"/>
          <w:szCs w:val="21"/>
        </w:rPr>
        <w:t>5.1 一般要求</w:t>
      </w:r>
      <w:bookmarkEnd w:id="3728"/>
      <w:bookmarkEnd w:id="372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5.1.1 发包人应遵守法律和规范标准，不得以任何理由要求设计人违反法律和工程质量、安全标准、环保标准进行勘察设计服务，降低工程质量。</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5.1.3 设计人完成勘察设计工作所应遵守的其他规定：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30" w:name="_Toc57049254"/>
      <w:bookmarkStart w:id="3731" w:name="_Toc52810113"/>
      <w:r>
        <w:rPr>
          <w:rFonts w:hint="eastAsia" w:ascii="宋体" w:hAnsi="宋体" w:eastAsia="宋体" w:cs="宋体"/>
          <w:b/>
          <w:sz w:val="21"/>
          <w:szCs w:val="21"/>
        </w:rPr>
        <w:t>5.3 勘察设计范围</w:t>
      </w:r>
      <w:bookmarkEnd w:id="3730"/>
      <w:bookmarkEnd w:id="3731"/>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5.3.2 工程范围包括：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5.3.3 阶段范围包括：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5.3.4 工作范围包括：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32" w:name="_Toc52810114"/>
      <w:bookmarkStart w:id="3733" w:name="_Toc57049255"/>
      <w:r>
        <w:rPr>
          <w:rFonts w:hint="eastAsia" w:ascii="宋体" w:hAnsi="宋体" w:eastAsia="宋体" w:cs="宋体"/>
          <w:b/>
          <w:sz w:val="21"/>
          <w:szCs w:val="21"/>
        </w:rPr>
        <w:t>5.4 勘察作业要求</w:t>
      </w:r>
      <w:bookmarkEnd w:id="3732"/>
      <w:bookmarkEnd w:id="373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5.4.4 试验</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增加5.4.4 项第（5）条内容：</w:t>
      </w:r>
    </w:p>
    <w:p>
      <w:pPr>
        <w:spacing w:line="490" w:lineRule="exact"/>
        <w:ind w:firstLine="420" w:firstLineChars="200"/>
        <w:rPr>
          <w:rFonts w:hint="eastAsia" w:ascii="宋体" w:hAnsi="宋体" w:eastAsia="宋体" w:cs="宋体"/>
          <w:strike w:val="0"/>
          <w:sz w:val="21"/>
          <w:szCs w:val="21"/>
          <w:highlight w:val="none"/>
        </w:rPr>
      </w:pPr>
      <w:r>
        <w:rPr>
          <w:rFonts w:hint="eastAsia" w:ascii="宋体" w:hAnsi="宋体" w:eastAsia="宋体" w:cs="宋体"/>
          <w:strike w:val="0"/>
          <w:dstrike w:val="0"/>
          <w:sz w:val="21"/>
          <w:szCs w:val="21"/>
          <w:highlight w:val="none"/>
        </w:rPr>
        <w:t>（5）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r>
        <w:rPr>
          <w:rFonts w:hint="eastAsia" w:ascii="宋体" w:hAnsi="宋体" w:eastAsia="宋体" w:cs="宋体"/>
          <w:strike w:val="0"/>
          <w:sz w:val="21"/>
          <w:szCs w:val="21"/>
          <w:highlight w:val="none"/>
        </w:rPr>
        <w:t>。</w:t>
      </w:r>
    </w:p>
    <w:p>
      <w:pPr>
        <w:spacing w:line="490" w:lineRule="exact"/>
        <w:ind w:firstLine="422" w:firstLineChars="200"/>
        <w:outlineLvl w:val="3"/>
        <w:rPr>
          <w:rFonts w:hint="eastAsia" w:ascii="宋体" w:hAnsi="宋体" w:eastAsia="宋体" w:cs="宋体"/>
          <w:b/>
          <w:sz w:val="21"/>
          <w:szCs w:val="21"/>
        </w:rPr>
      </w:pPr>
      <w:bookmarkStart w:id="3734" w:name="_Toc52810115"/>
      <w:bookmarkStart w:id="3735" w:name="_Toc57049256"/>
      <w:r>
        <w:rPr>
          <w:rFonts w:hint="eastAsia" w:ascii="宋体" w:hAnsi="宋体" w:eastAsia="宋体" w:cs="宋体"/>
          <w:b/>
          <w:sz w:val="21"/>
          <w:szCs w:val="21"/>
        </w:rPr>
        <w:t>5.7 安全作业要求</w:t>
      </w:r>
      <w:bookmarkEnd w:id="3734"/>
      <w:bookmarkEnd w:id="3735"/>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5.7.1 设计人编制安全措施计划的期限：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2"/>
        <w:rPr>
          <w:rFonts w:hint="eastAsia" w:ascii="宋体" w:hAnsi="宋体" w:eastAsia="宋体" w:cs="宋体"/>
          <w:b/>
          <w:sz w:val="21"/>
          <w:szCs w:val="21"/>
        </w:rPr>
      </w:pPr>
      <w:bookmarkStart w:id="3736" w:name="_Toc52810116"/>
      <w:bookmarkStart w:id="3737" w:name="_Toc57050020"/>
      <w:bookmarkStart w:id="3738" w:name="_Toc57049257"/>
      <w:bookmarkStart w:id="3739" w:name="_Toc27475"/>
      <w:r>
        <w:rPr>
          <w:rFonts w:hint="eastAsia" w:ascii="宋体" w:hAnsi="宋体" w:eastAsia="宋体" w:cs="宋体"/>
          <w:b/>
          <w:sz w:val="21"/>
          <w:szCs w:val="21"/>
        </w:rPr>
        <w:t>6．开始勘察设计和完成勘察设计</w:t>
      </w:r>
      <w:bookmarkEnd w:id="3736"/>
      <w:bookmarkEnd w:id="3737"/>
      <w:bookmarkEnd w:id="3738"/>
      <w:bookmarkEnd w:id="3739"/>
    </w:p>
    <w:p>
      <w:pPr>
        <w:spacing w:line="490" w:lineRule="exact"/>
        <w:ind w:firstLine="422" w:firstLineChars="200"/>
        <w:outlineLvl w:val="3"/>
        <w:rPr>
          <w:rFonts w:hint="eastAsia" w:ascii="宋体" w:hAnsi="宋体" w:eastAsia="宋体" w:cs="宋体"/>
          <w:b/>
          <w:sz w:val="21"/>
          <w:szCs w:val="21"/>
        </w:rPr>
      </w:pPr>
      <w:bookmarkStart w:id="3740" w:name="_Toc52810117"/>
      <w:bookmarkStart w:id="3741" w:name="_Toc57049258"/>
      <w:r>
        <w:rPr>
          <w:rFonts w:hint="eastAsia" w:ascii="宋体" w:hAnsi="宋体" w:eastAsia="宋体" w:cs="宋体"/>
          <w:b/>
          <w:sz w:val="21"/>
          <w:szCs w:val="21"/>
        </w:rPr>
        <w:t>6.1 开始勘察设计</w:t>
      </w:r>
      <w:bookmarkEnd w:id="3740"/>
      <w:bookmarkEnd w:id="3741"/>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6.1.1开始勘察设计应具备的条件：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6.1.2 因发包人原因，自合同协议书中计划开始勘察设计日期之日起    天内未能发出开始勘察设计通知，对于本合同履行及相关费用、服务期延长承担的约定：     。</w:t>
      </w:r>
    </w:p>
    <w:p>
      <w:pPr>
        <w:spacing w:line="490" w:lineRule="exact"/>
        <w:ind w:firstLine="422" w:firstLineChars="200"/>
        <w:outlineLvl w:val="3"/>
        <w:rPr>
          <w:rFonts w:hint="eastAsia" w:ascii="宋体" w:hAnsi="宋体" w:eastAsia="宋体" w:cs="宋体"/>
          <w:b/>
          <w:sz w:val="21"/>
          <w:szCs w:val="21"/>
        </w:rPr>
      </w:pPr>
      <w:bookmarkStart w:id="3742" w:name="_Toc57049259"/>
      <w:bookmarkStart w:id="3743" w:name="_Toc52810118"/>
      <w:r>
        <w:rPr>
          <w:rFonts w:hint="eastAsia" w:ascii="宋体" w:hAnsi="宋体" w:eastAsia="宋体" w:cs="宋体"/>
          <w:b/>
          <w:sz w:val="21"/>
          <w:szCs w:val="21"/>
        </w:rPr>
        <w:t>6.2 发包人引起的周期延误</w:t>
      </w:r>
      <w:bookmarkEnd w:id="3742"/>
      <w:bookmarkEnd w:id="3743"/>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由于发包人原因造成勘察设计服务期限延误的，延长勘察设计服务期限的计算方法：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；增加勘察设计费用的计算方法：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44" w:name="_Toc52810119"/>
      <w:bookmarkStart w:id="3745" w:name="_Toc57049260"/>
      <w:r>
        <w:rPr>
          <w:rFonts w:hint="eastAsia" w:ascii="宋体" w:hAnsi="宋体" w:eastAsia="宋体" w:cs="宋体"/>
          <w:b/>
          <w:sz w:val="21"/>
          <w:szCs w:val="21"/>
        </w:rPr>
        <w:t>6.3 设计人引起的周期延误</w:t>
      </w:r>
      <w:bookmarkEnd w:id="3744"/>
      <w:bookmarkEnd w:id="3745"/>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由于设计人原因造成周期延误，设计人应支付逾期违约金。</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逾期违约金的计算方法：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逾期违约金的最高限额：</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46" w:name="_Toc57049261"/>
      <w:bookmarkStart w:id="3747" w:name="_Toc52810120"/>
      <w:r>
        <w:rPr>
          <w:rFonts w:hint="eastAsia" w:ascii="宋体" w:hAnsi="宋体" w:eastAsia="宋体" w:cs="宋体"/>
          <w:b/>
          <w:sz w:val="21"/>
          <w:szCs w:val="21"/>
        </w:rPr>
        <w:t>6.5 非人为因素引起的周期延误</w:t>
      </w:r>
      <w:bookmarkEnd w:id="3746"/>
      <w:bookmarkEnd w:id="3747"/>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6.5.1 异常恶劣气候条件包括：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不利物质条件包括：</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6.5.3 勘察设计文件的形式：</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；若有不一致时，应以文件为准。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勘察设计文件各种形式的份数和要求：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48" w:name="_Toc52810121"/>
      <w:bookmarkStart w:id="3749" w:name="_Toc57049262"/>
      <w:r>
        <w:rPr>
          <w:rFonts w:hint="eastAsia" w:ascii="宋体" w:hAnsi="宋体" w:eastAsia="宋体" w:cs="宋体"/>
          <w:b/>
          <w:sz w:val="21"/>
          <w:szCs w:val="21"/>
        </w:rPr>
        <w:t>6.7 提前完成勘察设计</w:t>
      </w:r>
      <w:bookmarkEnd w:id="3748"/>
      <w:bookmarkEnd w:id="3749"/>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6.7.1发包人接受建议书的，设计费用增加或减少部分的承担：</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bookmarkStart w:id="3750" w:name="_Toc52810122"/>
      <w:r>
        <w:rPr>
          <w:rFonts w:hint="eastAsia" w:ascii="宋体" w:hAnsi="宋体" w:eastAsia="宋体" w:cs="宋体"/>
          <w:sz w:val="21"/>
          <w:szCs w:val="21"/>
        </w:rPr>
        <w:t>6.7.3 由于设计人提前完成勘察设计而给发包人带来经济效益的，发包人给予设计人如下奖励：</w:t>
      </w:r>
      <w:r>
        <w:rPr>
          <w:rFonts w:hint="eastAsia" w:ascii="宋体" w:hAnsi="宋体" w:eastAsia="宋体" w:cs="宋体"/>
          <w:sz w:val="21"/>
          <w:szCs w:val="21"/>
          <w:u w:val="single"/>
        </w:rPr>
        <w:t xml:space="preserve">           </w:t>
      </w:r>
      <w:r>
        <w:rPr>
          <w:rFonts w:hint="eastAsia" w:ascii="宋体" w:hAnsi="宋体" w:eastAsia="宋体" w:cs="宋体"/>
          <w:sz w:val="21"/>
          <w:szCs w:val="21"/>
        </w:rPr>
        <w:t>。</w:t>
      </w:r>
      <w:bookmarkEnd w:id="3750"/>
      <w:r>
        <w:rPr>
          <w:rFonts w:hint="eastAsia" w:ascii="宋体" w:hAnsi="宋体" w:eastAsia="宋体" w:cs="宋体"/>
          <w:sz w:val="21"/>
          <w:szCs w:val="21"/>
        </w:rPr>
        <w:t xml:space="preserve"> </w:t>
      </w:r>
    </w:p>
    <w:p>
      <w:pPr>
        <w:spacing w:line="490" w:lineRule="exact"/>
        <w:ind w:firstLine="422" w:firstLineChars="200"/>
        <w:outlineLvl w:val="2"/>
        <w:rPr>
          <w:rFonts w:hint="eastAsia" w:ascii="宋体" w:hAnsi="宋体" w:eastAsia="宋体" w:cs="宋体"/>
          <w:b/>
          <w:sz w:val="21"/>
          <w:szCs w:val="21"/>
        </w:rPr>
      </w:pPr>
      <w:bookmarkStart w:id="3751" w:name="_Toc32664"/>
      <w:bookmarkStart w:id="3752" w:name="_Toc57049263"/>
      <w:bookmarkStart w:id="3753" w:name="_Toc52810123"/>
      <w:bookmarkStart w:id="3754" w:name="_Toc57050021"/>
      <w:r>
        <w:rPr>
          <w:rFonts w:hint="eastAsia" w:ascii="宋体" w:hAnsi="宋体" w:eastAsia="宋体" w:cs="宋体"/>
          <w:b/>
          <w:sz w:val="21"/>
          <w:szCs w:val="21"/>
        </w:rPr>
        <w:t>8．勘察设计文件</w:t>
      </w:r>
      <w:bookmarkEnd w:id="3751"/>
      <w:bookmarkEnd w:id="3752"/>
      <w:bookmarkEnd w:id="3753"/>
      <w:bookmarkEnd w:id="3754"/>
      <w:r>
        <w:rPr>
          <w:rFonts w:hint="eastAsia" w:ascii="宋体" w:hAnsi="宋体" w:eastAsia="宋体" w:cs="宋体"/>
          <w:b/>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55" w:name="_Toc52810124"/>
      <w:bookmarkStart w:id="3756" w:name="_Toc57049264"/>
      <w:r>
        <w:rPr>
          <w:rFonts w:hint="eastAsia" w:ascii="宋体" w:hAnsi="宋体" w:eastAsia="宋体" w:cs="宋体"/>
          <w:b/>
          <w:sz w:val="21"/>
          <w:szCs w:val="21"/>
        </w:rPr>
        <w:t>8.1 勘察设计文件接收</w:t>
      </w:r>
      <w:bookmarkEnd w:id="3755"/>
      <w:bookmarkEnd w:id="3756"/>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8.1.3 勘察设计文件提交要求：</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57" w:name="_Toc52810125"/>
      <w:bookmarkStart w:id="3758" w:name="_Toc57049265"/>
      <w:r>
        <w:rPr>
          <w:rFonts w:hint="eastAsia" w:ascii="宋体" w:hAnsi="宋体" w:eastAsia="宋体" w:cs="宋体"/>
          <w:b/>
          <w:sz w:val="21"/>
          <w:szCs w:val="21"/>
        </w:rPr>
        <w:t>8.2 发包人审查勘察设计文件</w:t>
      </w:r>
      <w:bookmarkEnd w:id="3757"/>
      <w:bookmarkEnd w:id="3758"/>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8.2.1 发包人审查勘察设计文件的具体范围：</w:t>
      </w:r>
      <w:r>
        <w:rPr>
          <w:rFonts w:hint="eastAsia" w:ascii="宋体" w:hAnsi="宋体" w:eastAsia="宋体" w:cs="宋体"/>
          <w:sz w:val="21"/>
          <w:szCs w:val="21"/>
          <w:u w:val="single"/>
        </w:rPr>
        <w:t xml:space="preserve">        </w:t>
      </w:r>
      <w:r>
        <w:rPr>
          <w:rFonts w:hint="eastAsia" w:ascii="宋体" w:hAnsi="宋体" w:eastAsia="宋体" w:cs="宋体"/>
          <w:sz w:val="21"/>
          <w:szCs w:val="21"/>
        </w:rPr>
        <w:t>；明细内容：</w:t>
      </w:r>
      <w:r>
        <w:rPr>
          <w:rFonts w:hint="eastAsia" w:ascii="宋体" w:hAnsi="宋体" w:eastAsia="宋体" w:cs="宋体"/>
          <w:sz w:val="21"/>
          <w:szCs w:val="21"/>
          <w:u w:val="single"/>
        </w:rPr>
        <w:t xml:space="preserve">        </w:t>
      </w:r>
      <w:r>
        <w:rPr>
          <w:rFonts w:hint="eastAsia" w:ascii="宋体" w:hAnsi="宋体" w:eastAsia="宋体" w:cs="宋体"/>
          <w:sz w:val="21"/>
          <w:szCs w:val="21"/>
        </w:rPr>
        <w:t>；费用分担原则：</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8.2.2发包人对于勘察设计文件的审查期限，自文件接收之日起不应超过</w:t>
      </w:r>
      <w:r>
        <w:rPr>
          <w:rFonts w:hint="eastAsia" w:ascii="宋体" w:hAnsi="宋体" w:eastAsia="宋体" w:cs="宋体"/>
          <w:sz w:val="21"/>
          <w:szCs w:val="21"/>
          <w:u w:val="single"/>
        </w:rPr>
        <w:t xml:space="preserve">      </w:t>
      </w:r>
      <w:r>
        <w:rPr>
          <w:rFonts w:hint="eastAsia" w:ascii="宋体" w:hAnsi="宋体" w:eastAsia="宋体" w:cs="宋体"/>
          <w:sz w:val="21"/>
          <w:szCs w:val="21"/>
        </w:rPr>
        <w:t>天。发包人逾期未做出审查结论且未提出异议的，视为设计人的勘察设计文件已经通过发包人审查。</w:t>
      </w:r>
    </w:p>
    <w:p>
      <w:pPr>
        <w:spacing w:line="490" w:lineRule="exact"/>
        <w:ind w:firstLine="422" w:firstLineChars="200"/>
        <w:outlineLvl w:val="2"/>
        <w:rPr>
          <w:rFonts w:hint="eastAsia" w:ascii="宋体" w:hAnsi="宋体" w:eastAsia="宋体" w:cs="宋体"/>
          <w:b/>
          <w:sz w:val="21"/>
          <w:szCs w:val="21"/>
        </w:rPr>
      </w:pPr>
      <w:bookmarkStart w:id="3759" w:name="_Toc16347"/>
      <w:bookmarkStart w:id="3760" w:name="_Toc57050022"/>
      <w:bookmarkStart w:id="3761" w:name="_Toc52810126"/>
      <w:bookmarkStart w:id="3762" w:name="_Toc57049266"/>
      <w:r>
        <w:rPr>
          <w:rFonts w:hint="eastAsia" w:ascii="宋体" w:hAnsi="宋体" w:eastAsia="宋体" w:cs="宋体"/>
          <w:b/>
          <w:sz w:val="21"/>
          <w:szCs w:val="21"/>
        </w:rPr>
        <w:t>9．勘察设计责任与保险</w:t>
      </w:r>
      <w:bookmarkEnd w:id="3759"/>
      <w:bookmarkEnd w:id="3760"/>
      <w:bookmarkEnd w:id="3761"/>
      <w:bookmarkEnd w:id="3762"/>
      <w:r>
        <w:rPr>
          <w:rFonts w:hint="eastAsia" w:ascii="宋体" w:hAnsi="宋体" w:eastAsia="宋体" w:cs="宋体"/>
          <w:b/>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63" w:name="_Toc57049267"/>
      <w:bookmarkStart w:id="3764" w:name="_Toc52810127"/>
      <w:r>
        <w:rPr>
          <w:rFonts w:hint="eastAsia" w:ascii="宋体" w:hAnsi="宋体" w:eastAsia="宋体" w:cs="宋体"/>
          <w:b/>
          <w:sz w:val="21"/>
          <w:szCs w:val="21"/>
        </w:rPr>
        <w:t>9.4 勘察设计责任保险</w:t>
      </w:r>
      <w:bookmarkEnd w:id="3763"/>
      <w:bookmarkEnd w:id="3764"/>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9.4.1 发包人是否要求设计人提供工程勘察设计责任险：□否□是。</w:t>
      </w:r>
    </w:p>
    <w:p>
      <w:pPr>
        <w:spacing w:line="490" w:lineRule="exact"/>
        <w:ind w:firstLine="422" w:firstLineChars="200"/>
        <w:outlineLvl w:val="2"/>
        <w:rPr>
          <w:rFonts w:hint="eastAsia" w:ascii="宋体" w:hAnsi="宋体" w:eastAsia="宋体" w:cs="宋体"/>
          <w:b/>
          <w:sz w:val="21"/>
          <w:szCs w:val="21"/>
        </w:rPr>
      </w:pPr>
      <w:bookmarkStart w:id="3765" w:name="_Toc57049268"/>
      <w:bookmarkStart w:id="3766" w:name="_Toc8397"/>
      <w:bookmarkStart w:id="3767" w:name="_Toc57050023"/>
      <w:bookmarkStart w:id="3768" w:name="_Toc52810128"/>
      <w:r>
        <w:rPr>
          <w:rFonts w:hint="eastAsia" w:ascii="宋体" w:hAnsi="宋体" w:eastAsia="宋体" w:cs="宋体"/>
          <w:b/>
          <w:sz w:val="21"/>
          <w:szCs w:val="21"/>
        </w:rPr>
        <w:t>10．招标和施工期间配合</w:t>
      </w:r>
      <w:bookmarkEnd w:id="3765"/>
      <w:bookmarkEnd w:id="3766"/>
      <w:bookmarkEnd w:id="3767"/>
      <w:bookmarkEnd w:id="3768"/>
    </w:p>
    <w:p>
      <w:pPr>
        <w:spacing w:line="490" w:lineRule="exact"/>
        <w:ind w:firstLine="422" w:firstLineChars="200"/>
        <w:outlineLvl w:val="3"/>
        <w:rPr>
          <w:rFonts w:hint="eastAsia" w:ascii="宋体" w:hAnsi="宋体" w:eastAsia="宋体" w:cs="宋体"/>
          <w:b/>
          <w:sz w:val="21"/>
          <w:szCs w:val="21"/>
        </w:rPr>
      </w:pPr>
      <w:bookmarkStart w:id="3769" w:name="_Toc52810129"/>
      <w:bookmarkStart w:id="3770" w:name="_Toc57049269"/>
      <w:r>
        <w:rPr>
          <w:rFonts w:hint="eastAsia" w:ascii="宋体" w:hAnsi="宋体" w:eastAsia="宋体" w:cs="宋体"/>
          <w:b/>
          <w:sz w:val="21"/>
          <w:szCs w:val="21"/>
        </w:rPr>
        <w:t>10.2 施工期间配合</w:t>
      </w:r>
      <w:bookmarkEnd w:id="3769"/>
      <w:bookmarkEnd w:id="3770"/>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10.2.2 发包人应为勘察人派赴施工现场的工作人员，在施工期间提供办公房间、办公桌椅、互联网接口、冷暖设施、生活设施、进出现场交通服务和其他便利条件，其中：</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2"/>
        <w:rPr>
          <w:rFonts w:hint="eastAsia" w:ascii="宋体" w:hAnsi="宋体" w:eastAsia="宋体" w:cs="宋体"/>
          <w:b/>
          <w:sz w:val="21"/>
          <w:szCs w:val="21"/>
        </w:rPr>
      </w:pPr>
      <w:bookmarkStart w:id="3771" w:name="_Toc52810130"/>
      <w:bookmarkStart w:id="3772" w:name="_Toc57050024"/>
      <w:bookmarkStart w:id="3773" w:name="_Toc57049270"/>
      <w:bookmarkStart w:id="3774" w:name="_Toc3573"/>
      <w:r>
        <w:rPr>
          <w:rFonts w:hint="eastAsia" w:ascii="宋体" w:hAnsi="宋体" w:eastAsia="宋体" w:cs="宋体"/>
          <w:b/>
          <w:sz w:val="21"/>
          <w:szCs w:val="21"/>
        </w:rPr>
        <w:t>11．合同变更</w:t>
      </w:r>
      <w:bookmarkEnd w:id="3771"/>
      <w:bookmarkEnd w:id="3772"/>
      <w:bookmarkEnd w:id="3773"/>
      <w:bookmarkEnd w:id="3774"/>
      <w:r>
        <w:rPr>
          <w:rFonts w:hint="eastAsia" w:ascii="宋体" w:hAnsi="宋体" w:eastAsia="宋体" w:cs="宋体"/>
          <w:b/>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75" w:name="_Toc52810131"/>
      <w:bookmarkStart w:id="3776" w:name="_Toc57049271"/>
      <w:r>
        <w:rPr>
          <w:rFonts w:hint="eastAsia" w:ascii="宋体" w:hAnsi="宋体" w:eastAsia="宋体" w:cs="宋体"/>
          <w:b/>
          <w:sz w:val="21"/>
          <w:szCs w:val="21"/>
        </w:rPr>
        <w:t>11.1 变更情形</w:t>
      </w:r>
      <w:bookmarkEnd w:id="3775"/>
      <w:bookmarkEnd w:id="3776"/>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11.1.1 合同变更时，勘察设计服务期限的调整方法：</w:t>
      </w:r>
      <w:r>
        <w:rPr>
          <w:rFonts w:hint="eastAsia" w:ascii="宋体" w:hAnsi="宋体" w:eastAsia="宋体" w:cs="宋体"/>
          <w:sz w:val="21"/>
          <w:szCs w:val="21"/>
          <w:u w:val="single"/>
        </w:rPr>
        <w:t xml:space="preserve">      </w:t>
      </w:r>
      <w:r>
        <w:rPr>
          <w:rFonts w:hint="eastAsia" w:ascii="宋体" w:hAnsi="宋体" w:eastAsia="宋体" w:cs="宋体"/>
          <w:sz w:val="21"/>
          <w:szCs w:val="21"/>
        </w:rPr>
        <w:t>；勘察设计费用的调整方法：</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77" w:name="_Toc57049272"/>
      <w:bookmarkStart w:id="3778" w:name="_Toc52810132"/>
      <w:r>
        <w:rPr>
          <w:rFonts w:hint="eastAsia" w:ascii="宋体" w:hAnsi="宋体" w:eastAsia="宋体" w:cs="宋体"/>
          <w:b/>
          <w:sz w:val="21"/>
          <w:szCs w:val="21"/>
        </w:rPr>
        <w:t>11.2 合理化建议</w:t>
      </w:r>
      <w:bookmarkEnd w:id="3777"/>
      <w:bookmarkEnd w:id="3778"/>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11.2.2 设计人提出的合理化建议降低了工程投资、缩短了施工期限或者提高了工程经济效益的，发包人给予设计人如下奖励</w:t>
      </w:r>
      <w:r>
        <w:rPr>
          <w:rFonts w:hint="eastAsia" w:ascii="宋体" w:hAnsi="宋体" w:eastAsia="宋体" w:cs="宋体"/>
          <w:kern w:val="0"/>
          <w:sz w:val="21"/>
          <w:szCs w:val="21"/>
        </w:rPr>
        <w:t>：</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w:t>
      </w:r>
      <w:r>
        <w:rPr>
          <w:rFonts w:hint="eastAsia" w:ascii="宋体" w:hAnsi="宋体" w:eastAsia="宋体" w:cs="宋体"/>
          <w:sz w:val="21"/>
          <w:szCs w:val="21"/>
        </w:rPr>
        <w:t xml:space="preserve"> </w:t>
      </w:r>
    </w:p>
    <w:p>
      <w:pPr>
        <w:spacing w:line="490" w:lineRule="exact"/>
        <w:ind w:firstLine="422" w:firstLineChars="200"/>
        <w:outlineLvl w:val="2"/>
        <w:rPr>
          <w:rFonts w:hint="eastAsia" w:ascii="宋体" w:hAnsi="宋体" w:eastAsia="宋体" w:cs="宋体"/>
          <w:b/>
          <w:sz w:val="21"/>
          <w:szCs w:val="21"/>
        </w:rPr>
      </w:pPr>
      <w:bookmarkStart w:id="3779" w:name="_Toc57049273"/>
      <w:bookmarkStart w:id="3780" w:name="_Toc57050025"/>
      <w:bookmarkStart w:id="3781" w:name="_Toc52810133"/>
      <w:bookmarkStart w:id="3782" w:name="_Toc30453"/>
      <w:r>
        <w:rPr>
          <w:rFonts w:hint="eastAsia" w:ascii="宋体" w:hAnsi="宋体" w:eastAsia="宋体" w:cs="宋体"/>
          <w:b/>
          <w:sz w:val="21"/>
          <w:szCs w:val="21"/>
        </w:rPr>
        <w:t>12．合同价格与支付</w:t>
      </w:r>
      <w:bookmarkEnd w:id="3779"/>
      <w:bookmarkEnd w:id="3780"/>
      <w:bookmarkEnd w:id="3781"/>
      <w:bookmarkEnd w:id="3782"/>
    </w:p>
    <w:p>
      <w:pPr>
        <w:spacing w:line="490" w:lineRule="exact"/>
        <w:ind w:firstLine="422" w:firstLineChars="200"/>
        <w:outlineLvl w:val="3"/>
        <w:rPr>
          <w:rFonts w:hint="eastAsia" w:ascii="宋体" w:hAnsi="宋体" w:eastAsia="宋体" w:cs="宋体"/>
          <w:b/>
          <w:sz w:val="21"/>
          <w:szCs w:val="21"/>
        </w:rPr>
      </w:pPr>
      <w:bookmarkStart w:id="3783" w:name="_Toc52810134"/>
      <w:bookmarkStart w:id="3784" w:name="_Toc57049274"/>
      <w:r>
        <w:rPr>
          <w:rFonts w:hint="eastAsia" w:ascii="宋体" w:hAnsi="宋体" w:eastAsia="宋体" w:cs="宋体"/>
          <w:b/>
          <w:sz w:val="21"/>
          <w:szCs w:val="21"/>
        </w:rPr>
        <w:t>12.1 合同价格</w:t>
      </w:r>
      <w:bookmarkEnd w:id="3783"/>
      <w:bookmarkEnd w:id="3784"/>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12.1.1本合同的价款确定方式：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调整方式：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风险范围划分：</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12.1.3本合同的合同价格包括：</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785" w:name="_Toc57049275"/>
      <w:bookmarkStart w:id="3786" w:name="_Toc52810135"/>
      <w:r>
        <w:rPr>
          <w:rFonts w:hint="eastAsia" w:ascii="宋体" w:hAnsi="宋体" w:eastAsia="宋体" w:cs="宋体"/>
          <w:b/>
          <w:sz w:val="21"/>
          <w:szCs w:val="21"/>
        </w:rPr>
        <w:t>12.2 定金或预付款</w:t>
      </w:r>
      <w:bookmarkEnd w:id="3785"/>
      <w:bookmarkEnd w:id="3786"/>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12.2.1定金或预付款应专用于本工程的设计。定金或预付款的额度：</w:t>
      </w:r>
      <w:r>
        <w:rPr>
          <w:rFonts w:hint="eastAsia" w:ascii="宋体" w:hAnsi="宋体" w:eastAsia="宋体" w:cs="宋体"/>
          <w:sz w:val="21"/>
          <w:szCs w:val="21"/>
          <w:u w:val="single"/>
        </w:rPr>
        <w:t xml:space="preserve">      </w:t>
      </w:r>
      <w:r>
        <w:rPr>
          <w:rFonts w:hint="eastAsia" w:ascii="宋体" w:hAnsi="宋体" w:eastAsia="宋体" w:cs="宋体"/>
          <w:sz w:val="21"/>
          <w:szCs w:val="21"/>
        </w:rPr>
        <w:t>、支付方式：</w:t>
      </w:r>
      <w:r>
        <w:rPr>
          <w:rFonts w:hint="eastAsia" w:ascii="宋体" w:hAnsi="宋体" w:eastAsia="宋体" w:cs="宋体"/>
          <w:sz w:val="21"/>
          <w:szCs w:val="21"/>
          <w:u w:val="single"/>
        </w:rPr>
        <w:t xml:space="preserve">         </w:t>
      </w:r>
      <w:r>
        <w:rPr>
          <w:rFonts w:hint="eastAsia" w:ascii="宋体" w:hAnsi="宋体" w:eastAsia="宋体" w:cs="宋体"/>
          <w:sz w:val="21"/>
          <w:szCs w:val="21"/>
        </w:rPr>
        <w:t>及抵扣方式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87" w:name="_Toc52810136"/>
      <w:bookmarkStart w:id="3788" w:name="_Toc57049276"/>
      <w:r>
        <w:rPr>
          <w:rFonts w:hint="eastAsia" w:ascii="宋体" w:hAnsi="宋体" w:eastAsia="宋体" w:cs="宋体"/>
          <w:b/>
          <w:sz w:val="21"/>
          <w:szCs w:val="21"/>
        </w:rPr>
        <w:t>12.3 中期支付</w:t>
      </w:r>
      <w:bookmarkEnd w:id="3787"/>
      <w:bookmarkEnd w:id="3788"/>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12.3.1 中期支付申请的格式及份数：</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12.3.2 逾期付款违约金：每延期支付1天, 发包人应付给设计人拖欠金额的</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12.3.3 中期支付涉及政府投资资金的，支付规定如下：</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3"/>
        <w:rPr>
          <w:rFonts w:hint="eastAsia" w:ascii="宋体" w:hAnsi="宋体" w:eastAsia="宋体" w:cs="宋体"/>
          <w:b/>
          <w:sz w:val="21"/>
          <w:szCs w:val="21"/>
        </w:rPr>
      </w:pPr>
      <w:bookmarkStart w:id="3789" w:name="_Toc52810137"/>
      <w:bookmarkStart w:id="3790" w:name="_Toc57049277"/>
      <w:r>
        <w:rPr>
          <w:rFonts w:hint="eastAsia" w:ascii="宋体" w:hAnsi="宋体" w:eastAsia="宋体" w:cs="宋体"/>
          <w:b/>
          <w:sz w:val="21"/>
          <w:szCs w:val="21"/>
        </w:rPr>
        <w:t>12.4 费用结算</w:t>
      </w:r>
      <w:bookmarkEnd w:id="3789"/>
      <w:bookmarkEnd w:id="3790"/>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12.4.1 勘察设计费用结算申请的份数和提交期限：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12.4.2逾期付款违约金：每延期支付1天, 发包人应付给设计人拖欠金额的</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w:t>
      </w:r>
    </w:p>
    <w:p>
      <w:pPr>
        <w:spacing w:line="490" w:lineRule="exact"/>
        <w:ind w:firstLine="422" w:firstLineChars="200"/>
        <w:outlineLvl w:val="2"/>
        <w:rPr>
          <w:rFonts w:hint="eastAsia" w:ascii="宋体" w:hAnsi="宋体" w:eastAsia="宋体" w:cs="宋体"/>
          <w:b/>
          <w:sz w:val="21"/>
          <w:szCs w:val="21"/>
        </w:rPr>
      </w:pPr>
      <w:bookmarkStart w:id="3791" w:name="_Toc52810138"/>
      <w:bookmarkStart w:id="3792" w:name="_Toc57050026"/>
      <w:bookmarkStart w:id="3793" w:name="_Toc18749"/>
      <w:bookmarkStart w:id="3794" w:name="_Toc57049278"/>
      <w:r>
        <w:rPr>
          <w:rFonts w:hint="eastAsia" w:ascii="宋体" w:hAnsi="宋体" w:eastAsia="宋体" w:cs="宋体"/>
          <w:b/>
          <w:sz w:val="21"/>
          <w:szCs w:val="21"/>
        </w:rPr>
        <w:t>13．不可抗力</w:t>
      </w:r>
      <w:bookmarkEnd w:id="3791"/>
      <w:bookmarkEnd w:id="3792"/>
      <w:bookmarkEnd w:id="3793"/>
      <w:bookmarkEnd w:id="3794"/>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13.1.1 不可抗力指：</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spacing w:line="490" w:lineRule="exact"/>
        <w:ind w:firstLine="422" w:firstLineChars="200"/>
        <w:outlineLvl w:val="2"/>
        <w:rPr>
          <w:rFonts w:hint="eastAsia" w:ascii="宋体" w:hAnsi="宋体" w:eastAsia="宋体" w:cs="宋体"/>
          <w:b/>
          <w:sz w:val="21"/>
          <w:szCs w:val="21"/>
        </w:rPr>
      </w:pPr>
      <w:bookmarkStart w:id="3795" w:name="_Toc57049279"/>
      <w:bookmarkStart w:id="3796" w:name="_Toc3707"/>
      <w:bookmarkStart w:id="3797" w:name="_Toc57050027"/>
      <w:bookmarkStart w:id="3798" w:name="_Toc52810139"/>
      <w:r>
        <w:rPr>
          <w:rFonts w:hint="eastAsia" w:ascii="宋体" w:hAnsi="宋体" w:eastAsia="宋体" w:cs="宋体"/>
          <w:b/>
          <w:sz w:val="21"/>
          <w:szCs w:val="21"/>
        </w:rPr>
        <w:t>14．违约</w:t>
      </w:r>
      <w:bookmarkEnd w:id="3795"/>
      <w:bookmarkEnd w:id="3796"/>
      <w:bookmarkEnd w:id="3797"/>
      <w:bookmarkEnd w:id="3798"/>
    </w:p>
    <w:p>
      <w:pPr>
        <w:spacing w:line="490" w:lineRule="exact"/>
        <w:ind w:firstLine="422" w:firstLineChars="200"/>
        <w:outlineLvl w:val="3"/>
        <w:rPr>
          <w:rFonts w:hint="eastAsia" w:ascii="宋体" w:hAnsi="宋体" w:eastAsia="宋体" w:cs="宋体"/>
          <w:b/>
          <w:sz w:val="21"/>
          <w:szCs w:val="21"/>
        </w:rPr>
      </w:pPr>
      <w:bookmarkStart w:id="3799" w:name="_Toc52810140"/>
      <w:bookmarkStart w:id="3800" w:name="_Toc57049280"/>
      <w:r>
        <w:rPr>
          <w:rFonts w:hint="eastAsia" w:ascii="宋体" w:hAnsi="宋体" w:eastAsia="宋体" w:cs="宋体"/>
          <w:b/>
          <w:sz w:val="21"/>
          <w:szCs w:val="21"/>
        </w:rPr>
        <w:t>14.1 设计人违约</w:t>
      </w:r>
      <w:bookmarkEnd w:id="3799"/>
      <w:bookmarkEnd w:id="3800"/>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14.1.1 合同履行中发生下列情况之一的，属设计人违约：</w:t>
      </w:r>
    </w:p>
    <w:p>
      <w:pPr>
        <w:spacing w:line="490" w:lineRule="exact"/>
        <w:ind w:firstLine="420" w:firstLineChars="200"/>
        <w:rPr>
          <w:rFonts w:hint="eastAsia" w:ascii="宋体" w:hAnsi="宋体" w:eastAsia="宋体" w:cs="宋体"/>
          <w:b w:val="0"/>
          <w:bCs w:val="0"/>
          <w:sz w:val="21"/>
          <w:szCs w:val="21"/>
        </w:rPr>
      </w:pPr>
      <w:r>
        <w:rPr>
          <w:rFonts w:hint="eastAsia" w:ascii="宋体" w:hAnsi="宋体" w:eastAsia="宋体" w:cs="宋体"/>
          <w:sz w:val="21"/>
          <w:szCs w:val="21"/>
        </w:rPr>
        <w:t>（1）</w:t>
      </w:r>
      <w:r>
        <w:rPr>
          <w:rFonts w:eastAsia="仿宋_GB2312"/>
          <w:sz w:val="28"/>
          <w:szCs w:val="28"/>
        </w:rPr>
        <w:t>······</w:t>
      </w:r>
    </w:p>
    <w:p>
      <w:pPr>
        <w:spacing w:line="490" w:lineRule="exact"/>
        <w:ind w:firstLine="560" w:firstLineChars="200"/>
        <w:rPr>
          <w:rFonts w:hint="eastAsia" w:ascii="宋体" w:hAnsi="宋体" w:eastAsia="宋体" w:cs="宋体"/>
          <w:sz w:val="21"/>
          <w:szCs w:val="21"/>
        </w:rPr>
      </w:pPr>
      <w:r>
        <w:rPr>
          <w:rFonts w:eastAsia="仿宋_GB2312"/>
          <w:sz w:val="28"/>
          <w:szCs w:val="28"/>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14.1.2 设计人发生违约情况时，发包人有权向设计人课以违约金，具体约定如下：</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2" w:firstLineChars="200"/>
        <w:outlineLvl w:val="3"/>
        <w:rPr>
          <w:rFonts w:hint="eastAsia" w:ascii="宋体" w:hAnsi="宋体" w:eastAsia="宋体" w:cs="宋体"/>
          <w:b/>
          <w:sz w:val="21"/>
          <w:szCs w:val="21"/>
        </w:rPr>
      </w:pPr>
      <w:bookmarkStart w:id="3801" w:name="_Toc57049281"/>
      <w:bookmarkStart w:id="3802" w:name="_Toc52810141"/>
      <w:r>
        <w:rPr>
          <w:rFonts w:hint="eastAsia" w:ascii="宋体" w:hAnsi="宋体" w:eastAsia="宋体" w:cs="宋体"/>
          <w:b/>
          <w:sz w:val="21"/>
          <w:szCs w:val="21"/>
        </w:rPr>
        <w:t>14.2 发包人违约</w:t>
      </w:r>
      <w:bookmarkEnd w:id="3801"/>
      <w:bookmarkEnd w:id="3802"/>
      <w:r>
        <w:rPr>
          <w:rFonts w:hint="eastAsia" w:ascii="宋体" w:hAnsi="宋体" w:eastAsia="宋体" w:cs="宋体"/>
          <w:b/>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14.1.1 合同履行中发生下列情况之一的，属发包人违约：</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eastAsia="仿宋_GB2312"/>
          <w:sz w:val="28"/>
          <w:szCs w:val="28"/>
        </w:rPr>
        <w:t>······</w:t>
      </w:r>
    </w:p>
    <w:p>
      <w:pPr>
        <w:spacing w:line="490" w:lineRule="exact"/>
        <w:ind w:firstLine="560" w:firstLineChars="200"/>
        <w:rPr>
          <w:rFonts w:hint="eastAsia" w:ascii="宋体" w:hAnsi="宋体" w:eastAsia="宋体" w:cs="宋体"/>
          <w:sz w:val="21"/>
          <w:szCs w:val="21"/>
        </w:rPr>
      </w:pPr>
      <w:r>
        <w:rPr>
          <w:rFonts w:eastAsia="仿宋_GB2312"/>
          <w:sz w:val="28"/>
          <w:szCs w:val="28"/>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14.2.2 发包人发生违约情况时，设计人有权向发包人课以违约金，具体约定如 下：</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pPr>
        <w:spacing w:line="490" w:lineRule="exact"/>
        <w:ind w:firstLine="422" w:firstLineChars="200"/>
        <w:outlineLvl w:val="2"/>
        <w:rPr>
          <w:rFonts w:hint="eastAsia" w:ascii="宋体" w:hAnsi="宋体" w:eastAsia="宋体" w:cs="宋体"/>
          <w:b/>
          <w:sz w:val="21"/>
          <w:szCs w:val="21"/>
        </w:rPr>
      </w:pPr>
      <w:bookmarkStart w:id="3803" w:name="_Toc57049282"/>
      <w:bookmarkStart w:id="3804" w:name="_Toc52810142"/>
      <w:bookmarkStart w:id="3805" w:name="_Toc7853"/>
      <w:bookmarkStart w:id="3806" w:name="_Toc57050028"/>
      <w:r>
        <w:rPr>
          <w:rFonts w:hint="eastAsia" w:ascii="宋体" w:hAnsi="宋体" w:eastAsia="宋体" w:cs="宋体"/>
          <w:b/>
          <w:sz w:val="21"/>
          <w:szCs w:val="21"/>
        </w:rPr>
        <w:t>15．争议的解决</w:t>
      </w:r>
      <w:bookmarkEnd w:id="3803"/>
      <w:bookmarkEnd w:id="3804"/>
      <w:bookmarkEnd w:id="3805"/>
      <w:bookmarkEnd w:id="3806"/>
    </w:p>
    <w:p>
      <w:pPr>
        <w:spacing w:line="490" w:lineRule="exact"/>
        <w:ind w:firstLine="560"/>
        <w:rPr>
          <w:rFonts w:hint="eastAsia" w:ascii="宋体" w:hAnsi="宋体" w:eastAsia="宋体" w:cs="宋体"/>
          <w:sz w:val="16"/>
          <w:szCs w:val="18"/>
        </w:rPr>
      </w:pPr>
      <w:r>
        <w:rPr>
          <w:rFonts w:hint="eastAsia" w:ascii="宋体" w:hAnsi="宋体" w:eastAsia="宋体" w:cs="宋体"/>
          <w:sz w:val="21"/>
          <w:szCs w:val="21"/>
        </w:rPr>
        <w:t>发包人和设计人在履行合同中发生争议的，可以友好协商解决。合同当事人友好协商解决不成的，约定的合同争议解决方式：</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bookmarkEnd w:id="3510"/>
    <w:bookmarkEnd w:id="3572"/>
    <w:p>
      <w:pPr>
        <w:spacing w:line="490" w:lineRule="exact"/>
        <w:ind w:firstLine="560" w:firstLineChars="200"/>
        <w:rPr>
          <w:sz w:val="22"/>
        </w:rPr>
      </w:pPr>
      <w:bookmarkStart w:id="3807" w:name="_Toc26866"/>
      <w:r>
        <w:rPr>
          <w:rFonts w:eastAsia="仿宋_GB2312"/>
          <w:sz w:val="28"/>
          <w:szCs w:val="32"/>
        </w:rPr>
        <w:br w:type="page"/>
      </w:r>
    </w:p>
    <w:p>
      <w:pPr>
        <w:spacing w:line="490" w:lineRule="exact"/>
        <w:jc w:val="center"/>
        <w:outlineLvl w:val="1"/>
        <w:rPr>
          <w:rFonts w:eastAsia="黑体"/>
          <w:b/>
          <w:sz w:val="30"/>
          <w:szCs w:val="30"/>
        </w:rPr>
      </w:pPr>
      <w:bookmarkStart w:id="3808" w:name="_Toc52810143"/>
      <w:bookmarkStart w:id="3809" w:name="_Toc57049283"/>
      <w:bookmarkStart w:id="3810" w:name="_Toc57050029"/>
      <w:bookmarkStart w:id="3811" w:name="_Toc20936"/>
      <w:bookmarkStart w:id="3812" w:name="_Toc512257492"/>
      <w:bookmarkStart w:id="3813" w:name="_Toc57048701"/>
      <w:r>
        <w:rPr>
          <w:rFonts w:eastAsia="黑体"/>
          <w:b/>
          <w:sz w:val="30"/>
          <w:szCs w:val="30"/>
        </w:rPr>
        <w:t>第七节 合同附件格式</w:t>
      </w:r>
      <w:bookmarkEnd w:id="3808"/>
      <w:bookmarkEnd w:id="3809"/>
      <w:bookmarkEnd w:id="3810"/>
      <w:bookmarkEnd w:id="3811"/>
      <w:bookmarkEnd w:id="3812"/>
      <w:bookmarkEnd w:id="3813"/>
    </w:p>
    <w:p>
      <w:pPr>
        <w:spacing w:line="490" w:lineRule="exact"/>
        <w:rPr>
          <w:rFonts w:eastAsia="黑体"/>
          <w:sz w:val="22"/>
        </w:rPr>
      </w:pPr>
    </w:p>
    <w:bookmarkEnd w:id="3807"/>
    <w:p>
      <w:pPr>
        <w:spacing w:line="490" w:lineRule="exact"/>
        <w:ind w:left="136" w:hanging="11"/>
        <w:jc w:val="left"/>
        <w:outlineLvl w:val="2"/>
        <w:rPr>
          <w:rFonts w:eastAsia="黑体"/>
          <w:sz w:val="28"/>
          <w:szCs w:val="22"/>
        </w:rPr>
      </w:pPr>
      <w:bookmarkStart w:id="3814" w:name="_Toc57049284"/>
      <w:bookmarkStart w:id="3815" w:name="_Toc502903537"/>
      <w:bookmarkStart w:id="3816" w:name="_Toc52810144"/>
      <w:bookmarkStart w:id="3817" w:name="_Toc25073"/>
      <w:bookmarkStart w:id="3818" w:name="_Toc17169"/>
      <w:bookmarkStart w:id="3819" w:name="_Toc57050030"/>
      <w:r>
        <w:rPr>
          <w:rFonts w:eastAsia="黑体"/>
          <w:sz w:val="28"/>
          <w:szCs w:val="22"/>
        </w:rPr>
        <w:t>附件一：合同协议书</w:t>
      </w:r>
      <w:bookmarkEnd w:id="3814"/>
      <w:bookmarkEnd w:id="3815"/>
      <w:bookmarkEnd w:id="3816"/>
      <w:bookmarkEnd w:id="3817"/>
      <w:bookmarkEnd w:id="3818"/>
      <w:bookmarkEnd w:id="3819"/>
      <w:r>
        <w:rPr>
          <w:rFonts w:eastAsia="Times New Roman"/>
          <w:sz w:val="28"/>
          <w:szCs w:val="22"/>
        </w:rPr>
        <w:t xml:space="preserve"> </w:t>
      </w:r>
    </w:p>
    <w:p>
      <w:pPr>
        <w:spacing w:line="490" w:lineRule="exact"/>
        <w:jc w:val="left"/>
        <w:rPr>
          <w:rFonts w:eastAsia="Calibri"/>
          <w:sz w:val="22"/>
          <w:szCs w:val="22"/>
        </w:rPr>
      </w:pPr>
      <w:r>
        <w:rPr>
          <w:rFonts w:eastAsia="Times New Roman"/>
          <w:szCs w:val="22"/>
        </w:rPr>
        <w:t xml:space="preserve"> </w:t>
      </w:r>
    </w:p>
    <w:p>
      <w:pPr>
        <w:spacing w:line="490" w:lineRule="exact"/>
        <w:ind w:left="10" w:right="214" w:hanging="10"/>
        <w:jc w:val="center"/>
        <w:rPr>
          <w:rFonts w:hint="eastAsia" w:ascii="宋体" w:hAnsi="宋体" w:eastAsia="宋体" w:cs="宋体"/>
          <w:b/>
          <w:bCs/>
          <w:sz w:val="28"/>
          <w:szCs w:val="28"/>
        </w:rPr>
      </w:pPr>
      <w:r>
        <w:rPr>
          <w:rFonts w:hint="eastAsia" w:ascii="宋体" w:hAnsi="宋体" w:eastAsia="宋体" w:cs="宋体"/>
          <w:b/>
          <w:bCs/>
          <w:sz w:val="28"/>
          <w:szCs w:val="28"/>
        </w:rPr>
        <w:t xml:space="preserve">合同协议书 </w:t>
      </w:r>
    </w:p>
    <w:p>
      <w:pPr>
        <w:spacing w:line="490" w:lineRule="exact"/>
        <w:jc w:val="left"/>
        <w:rPr>
          <w:rFonts w:hint="eastAsia" w:ascii="宋体" w:hAnsi="宋体" w:eastAsia="宋体" w:cs="宋体"/>
          <w:sz w:val="21"/>
          <w:szCs w:val="21"/>
        </w:rPr>
      </w:pPr>
      <w:r>
        <w:rPr>
          <w:rFonts w:hint="eastAsia" w:ascii="宋体" w:hAnsi="宋体" w:eastAsia="宋体" w:cs="宋体"/>
          <w:sz w:val="21"/>
          <w:szCs w:val="21"/>
        </w:rPr>
        <w:t xml:space="preserve"> </w:t>
      </w:r>
    </w:p>
    <w:p>
      <w:pPr>
        <w:spacing w:line="360" w:lineRule="auto"/>
        <w:ind w:left="11" w:right="204" w:firstLine="609" w:firstLineChars="290"/>
        <w:rPr>
          <w:rFonts w:hint="eastAsia" w:ascii="宋体" w:hAnsi="宋体" w:eastAsia="宋体" w:cs="宋体"/>
          <w:sz w:val="21"/>
          <w:szCs w:val="21"/>
        </w:rPr>
      </w:pPr>
      <w:r>
        <w:rPr>
          <w:rFonts w:hint="eastAsia" w:ascii="宋体" w:hAnsi="宋体" w:eastAsia="宋体" w:cs="宋体"/>
          <w:sz w:val="21"/>
          <w:szCs w:val="21"/>
          <w:u w:val="single" w:color="000000"/>
        </w:rPr>
        <w:t xml:space="preserve">                     </w:t>
      </w:r>
      <w:r>
        <w:rPr>
          <w:rFonts w:hint="eastAsia" w:ascii="宋体" w:hAnsi="宋体" w:eastAsia="宋体" w:cs="宋体"/>
          <w:sz w:val="21"/>
          <w:szCs w:val="21"/>
        </w:rPr>
        <w:t>（发包人名称，以下简称“发包人”）为实施</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（项目名称），已接受</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（勘察人或设计人或勘察设计人名称，以下简称“承包人”）对该项目</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（勘察或设计或勘察设计）的投标。发包人和设计人共同达成如下协议。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1．下列文件应视为构成合同文件的组成部分：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（1）本合同协议书及各种合同附件（含评标期间和合同谈判过程中的澄清文件和补充资料；设计人提交的经发包人审核通过的勘察设计详细工作大纲及进度计 划、专题研究详细工作大纲等）；</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（2）中标通知书；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（3）投标函及投标函附录；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（4）专用合同条款；</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（5）通用合同条款；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（6）发包人要求；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（7）服务费用清单；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（8）技术服务方案；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（9）其他合同文件。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 xml:space="preserve">2．上述合同文件互相补充和解释。如果合同文件之间存在矛盾或不一致之处，以上述文件的排列顺序在先者为准。 </w:t>
      </w:r>
    </w:p>
    <w:p>
      <w:pPr>
        <w:spacing w:line="360" w:lineRule="auto"/>
        <w:ind w:right="103" w:firstLine="420"/>
        <w:jc w:val="left"/>
        <w:rPr>
          <w:rFonts w:hint="eastAsia" w:ascii="宋体" w:hAnsi="宋体" w:eastAsia="宋体" w:cs="宋体"/>
          <w:sz w:val="21"/>
          <w:szCs w:val="21"/>
        </w:rPr>
      </w:pPr>
      <w:r>
        <w:rPr>
          <w:rFonts w:hint="eastAsia" w:ascii="宋体" w:hAnsi="宋体" w:eastAsia="宋体" w:cs="宋体"/>
          <w:sz w:val="21"/>
          <w:szCs w:val="21"/>
        </w:rPr>
        <w:t>3．签约合同价：</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或</w:t>
      </w:r>
      <w:r>
        <w:rPr>
          <w:rFonts w:hint="eastAsia" w:ascii="宋体" w:hAnsi="宋体" w:eastAsia="宋体" w:cs="宋体"/>
          <w:sz w:val="21"/>
          <w:szCs w:val="21"/>
        </w:rPr>
        <w:t>¥</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4．项目负责人：</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 xml:space="preserve">。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5．服务工作质量符合的标准和要求：</w:t>
      </w:r>
      <w:r>
        <w:rPr>
          <w:rFonts w:hint="eastAsia" w:ascii="宋体" w:hAnsi="宋体" w:eastAsia="宋体" w:cs="宋体"/>
          <w:sz w:val="21"/>
          <w:szCs w:val="21"/>
          <w:u w:val="single" w:color="000000"/>
        </w:rPr>
        <w:t xml:space="preserve">                       </w:t>
      </w:r>
      <w:r>
        <w:rPr>
          <w:rFonts w:hint="eastAsia" w:ascii="宋体" w:hAnsi="宋体" w:eastAsia="宋体" w:cs="宋体"/>
          <w:sz w:val="21"/>
          <w:szCs w:val="21"/>
        </w:rPr>
        <w:t>。</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6．承包人承诺按合同约定承担工程的</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（勘察或设计或勘察设计）工作。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7．发包人承诺按合同约定的条件、时间和方式向设计人支付合同价款。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8．设计人计划开始</w:t>
      </w:r>
      <w:r>
        <w:rPr>
          <w:rFonts w:hint="eastAsia" w:ascii="宋体" w:hAnsi="宋体" w:eastAsia="宋体" w:cs="宋体"/>
          <w:sz w:val="21"/>
          <w:szCs w:val="21"/>
          <w:u w:val="single"/>
        </w:rPr>
        <w:t xml:space="preserve">     </w:t>
      </w:r>
      <w:r>
        <w:rPr>
          <w:rFonts w:hint="eastAsia" w:ascii="宋体" w:hAnsi="宋体" w:eastAsia="宋体" w:cs="宋体"/>
          <w:sz w:val="21"/>
          <w:szCs w:val="21"/>
        </w:rPr>
        <w:t>（勘察或设计或勘察设计）日期：</w:t>
      </w:r>
      <w:r>
        <w:rPr>
          <w:rFonts w:hint="eastAsia" w:ascii="宋体" w:hAnsi="宋体" w:eastAsia="宋体" w:cs="宋体"/>
          <w:sz w:val="21"/>
          <w:szCs w:val="21"/>
          <w:u w:val="single"/>
        </w:rPr>
        <w:t xml:space="preserve">        </w:t>
      </w:r>
      <w:r>
        <w:rPr>
          <w:rFonts w:hint="eastAsia" w:ascii="宋体" w:hAnsi="宋体" w:eastAsia="宋体" w:cs="宋体"/>
          <w:sz w:val="21"/>
          <w:szCs w:val="21"/>
        </w:rPr>
        <w:t>，实际日期按照发包人在开始</w:t>
      </w:r>
      <w:r>
        <w:rPr>
          <w:rFonts w:hint="eastAsia" w:ascii="宋体" w:hAnsi="宋体" w:eastAsia="宋体" w:cs="宋体"/>
          <w:sz w:val="21"/>
          <w:szCs w:val="21"/>
          <w:u w:val="single"/>
        </w:rPr>
        <w:t xml:space="preserve">     </w:t>
      </w:r>
      <w:r>
        <w:rPr>
          <w:rFonts w:hint="eastAsia" w:ascii="宋体" w:hAnsi="宋体" w:eastAsia="宋体" w:cs="宋体"/>
          <w:sz w:val="21"/>
          <w:szCs w:val="21"/>
        </w:rPr>
        <w:t>（勘察或设计或勘察设计）通知中载明的开始</w:t>
      </w:r>
      <w:r>
        <w:rPr>
          <w:rFonts w:hint="eastAsia" w:ascii="宋体" w:hAnsi="宋体" w:eastAsia="宋体" w:cs="宋体"/>
          <w:sz w:val="21"/>
          <w:szCs w:val="21"/>
          <w:u w:val="single"/>
        </w:rPr>
        <w:t xml:space="preserve">     </w:t>
      </w:r>
      <w:r>
        <w:rPr>
          <w:rFonts w:hint="eastAsia" w:ascii="宋体" w:hAnsi="宋体" w:eastAsia="宋体" w:cs="宋体"/>
          <w:sz w:val="21"/>
          <w:szCs w:val="21"/>
        </w:rPr>
        <w:t>（勘察或设计或勘察设计）日期为准。服务期限为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天。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9．本协议书在设计人提供履约担保后，由双方法定代表人或其委托代理人签署并加盖单位章后生效。承包人人完成全部</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（勘察或设计或勘察设计）工作且服务费用结清后终止。 </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10．本协议书正本二份、副本</w:t>
      </w:r>
      <w:r>
        <w:rPr>
          <w:rFonts w:hint="eastAsia" w:ascii="宋体" w:hAnsi="宋体" w:eastAsia="宋体" w:cs="宋体"/>
          <w:sz w:val="21"/>
          <w:szCs w:val="21"/>
          <w:u w:val="single"/>
        </w:rPr>
        <w:t xml:space="preserve">     </w:t>
      </w:r>
      <w:r>
        <w:rPr>
          <w:rFonts w:hint="eastAsia" w:ascii="宋体" w:hAnsi="宋体" w:eastAsia="宋体" w:cs="宋体"/>
          <w:sz w:val="21"/>
          <w:szCs w:val="21"/>
        </w:rPr>
        <w:t>份，合同双方各执正本一份，副本</w:t>
      </w:r>
      <w:r>
        <w:rPr>
          <w:rFonts w:hint="eastAsia" w:ascii="宋体" w:hAnsi="宋体" w:eastAsia="宋体" w:cs="宋体"/>
          <w:sz w:val="21"/>
          <w:szCs w:val="21"/>
          <w:u w:val="single"/>
        </w:rPr>
        <w:t xml:space="preserve">    </w:t>
      </w:r>
      <w:r>
        <w:rPr>
          <w:rFonts w:hint="eastAsia" w:ascii="宋体" w:hAnsi="宋体" w:eastAsia="宋体" w:cs="宋体"/>
          <w:sz w:val="21"/>
          <w:szCs w:val="21"/>
        </w:rPr>
        <w:t>份，当正本与副本的内容不一致时，以正本为准。</w:t>
      </w:r>
    </w:p>
    <w:p>
      <w:pPr>
        <w:spacing w:line="49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11．合同未尽事宜，双方另行签订补充协议。补充协议是合同的组成部分。</w:t>
      </w:r>
    </w:p>
    <w:p>
      <w:pPr>
        <w:spacing w:line="259" w:lineRule="auto"/>
        <w:ind w:left="420"/>
        <w:jc w:val="left"/>
        <w:rPr>
          <w:rFonts w:eastAsia="仿宋_GB2312"/>
          <w:sz w:val="28"/>
          <w:szCs w:val="28"/>
        </w:rPr>
      </w:pPr>
    </w:p>
    <w:p>
      <w:pPr>
        <w:spacing w:line="490" w:lineRule="exact"/>
        <w:ind w:firstLine="640" w:firstLineChars="200"/>
        <w:jc w:val="left"/>
        <w:rPr>
          <w:rFonts w:eastAsia="仿宋_GB2312"/>
          <w:sz w:val="32"/>
          <w:szCs w:val="28"/>
        </w:rPr>
      </w:pPr>
      <w:r>
        <w:rPr>
          <w:rFonts w:eastAsia="仿宋_GB2312"/>
          <w:sz w:val="32"/>
          <w:szCs w:val="28"/>
        </w:rPr>
        <w:t xml:space="preserve"> </w:t>
      </w:r>
    </w:p>
    <w:p>
      <w:pPr>
        <w:spacing w:line="490" w:lineRule="exact"/>
        <w:rPr>
          <w:rFonts w:hint="eastAsia" w:ascii="宋体" w:hAnsi="宋体" w:eastAsia="宋体" w:cs="宋体"/>
          <w:szCs w:val="24"/>
        </w:rPr>
      </w:pPr>
      <w:r>
        <w:rPr>
          <w:rFonts w:hint="eastAsia" w:ascii="宋体" w:hAnsi="宋体" w:eastAsia="宋体" w:cs="宋体"/>
          <w:szCs w:val="24"/>
        </w:rPr>
        <w:t>发包人：</w:t>
      </w:r>
      <w:r>
        <w:rPr>
          <w:rFonts w:hint="eastAsia" w:ascii="宋体" w:hAnsi="宋体" w:eastAsia="宋体" w:cs="宋体"/>
          <w:szCs w:val="24"/>
          <w:u w:val="single" w:color="000000"/>
        </w:rPr>
        <w:t xml:space="preserve">                </w:t>
      </w:r>
      <w:r>
        <w:rPr>
          <w:rFonts w:hint="eastAsia" w:ascii="宋体" w:hAnsi="宋体" w:eastAsia="宋体" w:cs="宋体"/>
          <w:szCs w:val="24"/>
        </w:rPr>
        <w:t>（盖单位</w:t>
      </w:r>
      <w:r>
        <w:rPr>
          <w:rFonts w:hint="eastAsia" w:ascii="宋体" w:hAnsi="宋体" w:eastAsia="宋体" w:cs="宋体"/>
          <w:szCs w:val="24"/>
          <w:lang w:val="en-US" w:eastAsia="zh-CN"/>
        </w:rPr>
        <w:t>公</w:t>
      </w:r>
      <w:r>
        <w:rPr>
          <w:rFonts w:hint="eastAsia" w:ascii="宋体" w:hAnsi="宋体" w:eastAsia="宋体" w:cs="宋体"/>
          <w:szCs w:val="24"/>
        </w:rPr>
        <w:t xml:space="preserve">章）  </w:t>
      </w:r>
      <w:r>
        <w:rPr>
          <w:rFonts w:hint="eastAsia" w:ascii="宋体" w:hAnsi="宋体" w:eastAsia="宋体" w:cs="宋体"/>
          <w:szCs w:val="24"/>
          <w:lang w:val="en-US" w:eastAsia="zh-CN"/>
        </w:rPr>
        <w:t xml:space="preserve">     </w:t>
      </w:r>
      <w:r>
        <w:rPr>
          <w:rFonts w:hint="eastAsia" w:ascii="宋体" w:hAnsi="宋体" w:eastAsia="宋体" w:cs="宋体"/>
          <w:szCs w:val="24"/>
        </w:rPr>
        <w:t xml:space="preserve">  承包人：</w:t>
      </w:r>
      <w:r>
        <w:rPr>
          <w:rFonts w:hint="eastAsia" w:ascii="宋体" w:hAnsi="宋体" w:eastAsia="宋体" w:cs="宋体"/>
          <w:szCs w:val="24"/>
          <w:u w:val="single" w:color="000000"/>
        </w:rPr>
        <w:t xml:space="preserve">             </w:t>
      </w:r>
      <w:r>
        <w:rPr>
          <w:rFonts w:hint="eastAsia" w:ascii="宋体" w:hAnsi="宋体" w:eastAsia="宋体" w:cs="宋体"/>
          <w:szCs w:val="24"/>
        </w:rPr>
        <w:t>（盖单位</w:t>
      </w:r>
      <w:r>
        <w:rPr>
          <w:rFonts w:hint="eastAsia" w:ascii="宋体" w:hAnsi="宋体" w:eastAsia="宋体" w:cs="宋体"/>
          <w:szCs w:val="24"/>
          <w:lang w:val="en-US" w:eastAsia="zh-CN"/>
        </w:rPr>
        <w:t>公</w:t>
      </w:r>
      <w:r>
        <w:rPr>
          <w:rFonts w:hint="eastAsia" w:ascii="宋体" w:hAnsi="宋体" w:eastAsia="宋体" w:cs="宋体"/>
          <w:szCs w:val="24"/>
        </w:rPr>
        <w:t>章）</w:t>
      </w:r>
    </w:p>
    <w:p>
      <w:pPr>
        <w:spacing w:line="490" w:lineRule="exact"/>
        <w:rPr>
          <w:rFonts w:hint="eastAsia" w:ascii="宋体" w:hAnsi="宋体" w:eastAsia="宋体" w:cs="宋体"/>
          <w:szCs w:val="24"/>
          <w:u w:val="single"/>
        </w:rPr>
      </w:pPr>
      <w:r>
        <w:rPr>
          <w:rFonts w:hint="eastAsia" w:ascii="宋体" w:hAnsi="宋体" w:eastAsia="宋体" w:cs="宋体"/>
          <w:szCs w:val="24"/>
        </w:rPr>
        <w:t>法定代表人或其委托代理人：</w:t>
      </w:r>
      <w:r>
        <w:rPr>
          <w:rFonts w:hint="eastAsia" w:ascii="宋体" w:hAnsi="宋体" w:eastAsia="宋体" w:cs="宋体"/>
          <w:szCs w:val="24"/>
          <w:u w:val="single"/>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u w:val="single"/>
        </w:rPr>
        <w:t xml:space="preserve">（签字） </w:t>
      </w:r>
      <w:r>
        <w:rPr>
          <w:rFonts w:hint="eastAsia" w:ascii="宋体" w:hAnsi="宋体" w:eastAsia="宋体" w:cs="宋体"/>
          <w:szCs w:val="24"/>
        </w:rPr>
        <w:t xml:space="preserve">  </w:t>
      </w:r>
      <w:r>
        <w:rPr>
          <w:rFonts w:hint="eastAsia" w:ascii="宋体" w:hAnsi="宋体" w:eastAsia="宋体" w:cs="宋体"/>
          <w:szCs w:val="24"/>
          <w:lang w:val="en-US" w:eastAsia="zh-CN"/>
        </w:rPr>
        <w:t xml:space="preserve">     </w:t>
      </w:r>
      <w:r>
        <w:rPr>
          <w:rFonts w:hint="eastAsia" w:ascii="宋体" w:hAnsi="宋体" w:eastAsia="宋体" w:cs="宋体"/>
          <w:szCs w:val="24"/>
        </w:rPr>
        <w:t xml:space="preserve">  法定代表人或其委托代理人：</w:t>
      </w:r>
      <w:r>
        <w:rPr>
          <w:rFonts w:hint="eastAsia" w:ascii="宋体" w:hAnsi="宋体" w:eastAsia="宋体" w:cs="宋体"/>
          <w:szCs w:val="24"/>
          <w:u w:val="single"/>
          <w:lang w:val="en-US" w:eastAsia="zh-CN"/>
        </w:rPr>
        <w:t xml:space="preserve">   </w:t>
      </w:r>
      <w:r>
        <w:rPr>
          <w:rFonts w:hint="eastAsia" w:ascii="宋体" w:hAnsi="宋体" w:eastAsia="宋体" w:cs="宋体"/>
          <w:szCs w:val="24"/>
          <w:u w:val="single"/>
        </w:rPr>
        <w:t xml:space="preserve">（签字） </w:t>
      </w:r>
    </w:p>
    <w:p>
      <w:pPr>
        <w:spacing w:line="490" w:lineRule="exact"/>
        <w:jc w:val="center"/>
        <w:rPr>
          <w:rFonts w:hint="eastAsia" w:ascii="宋体" w:hAnsi="宋体" w:eastAsia="宋体" w:cs="宋体"/>
          <w:szCs w:val="24"/>
        </w:rPr>
      </w:pPr>
      <w:r>
        <w:rPr>
          <w:rFonts w:hint="eastAsia" w:ascii="宋体" w:hAnsi="宋体" w:eastAsia="宋体" w:cs="宋体"/>
          <w:szCs w:val="24"/>
          <w:u w:val="single"/>
        </w:rPr>
        <w:t xml:space="preserve">       </w:t>
      </w:r>
      <w:r>
        <w:rPr>
          <w:rFonts w:hint="eastAsia" w:ascii="宋体" w:hAnsi="宋体" w:eastAsia="宋体" w:cs="宋体"/>
          <w:szCs w:val="24"/>
        </w:rPr>
        <w:t>年</w:t>
      </w:r>
      <w:r>
        <w:rPr>
          <w:rFonts w:hint="eastAsia" w:ascii="宋体" w:hAnsi="宋体" w:eastAsia="宋体" w:cs="宋体"/>
          <w:szCs w:val="24"/>
          <w:u w:val="single" w:color="000000"/>
        </w:rPr>
        <w:t xml:space="preserve">     </w:t>
      </w:r>
      <w:r>
        <w:rPr>
          <w:rFonts w:hint="eastAsia" w:ascii="宋体" w:hAnsi="宋体" w:eastAsia="宋体" w:cs="宋体"/>
          <w:szCs w:val="24"/>
        </w:rPr>
        <w:t xml:space="preserve">月 </w:t>
      </w:r>
      <w:r>
        <w:rPr>
          <w:rFonts w:hint="eastAsia" w:ascii="宋体" w:hAnsi="宋体" w:eastAsia="宋体" w:cs="宋体"/>
          <w:szCs w:val="24"/>
          <w:u w:val="single" w:color="000000"/>
        </w:rPr>
        <w:t xml:space="preserve">     </w:t>
      </w:r>
      <w:r>
        <w:rPr>
          <w:rFonts w:hint="eastAsia" w:ascii="宋体" w:hAnsi="宋体" w:eastAsia="宋体" w:cs="宋体"/>
          <w:szCs w:val="24"/>
        </w:rPr>
        <w:t xml:space="preserve"> 日          </w:t>
      </w:r>
      <w:r>
        <w:rPr>
          <w:rFonts w:hint="eastAsia" w:ascii="宋体" w:hAnsi="宋体" w:eastAsia="宋体" w:cs="宋体"/>
          <w:szCs w:val="24"/>
          <w:u w:val="single" w:color="000000"/>
        </w:rPr>
        <w:t xml:space="preserve">       </w:t>
      </w:r>
      <w:r>
        <w:rPr>
          <w:rFonts w:hint="eastAsia" w:ascii="宋体" w:hAnsi="宋体" w:eastAsia="宋体" w:cs="宋体"/>
          <w:szCs w:val="24"/>
        </w:rPr>
        <w:t>年</w:t>
      </w:r>
      <w:r>
        <w:rPr>
          <w:rFonts w:hint="eastAsia" w:ascii="宋体" w:hAnsi="宋体" w:eastAsia="宋体" w:cs="宋体"/>
          <w:szCs w:val="24"/>
          <w:u w:val="single" w:color="000000"/>
        </w:rPr>
        <w:t xml:space="preserve">     </w:t>
      </w:r>
      <w:r>
        <w:rPr>
          <w:rFonts w:hint="eastAsia" w:ascii="宋体" w:hAnsi="宋体" w:eastAsia="宋体" w:cs="宋体"/>
          <w:szCs w:val="24"/>
        </w:rPr>
        <w:t xml:space="preserve">月 </w:t>
      </w:r>
      <w:r>
        <w:rPr>
          <w:rFonts w:hint="eastAsia" w:ascii="宋体" w:hAnsi="宋体" w:eastAsia="宋体" w:cs="宋体"/>
          <w:szCs w:val="24"/>
          <w:u w:val="single" w:color="000000"/>
        </w:rPr>
        <w:t xml:space="preserve">     </w:t>
      </w:r>
      <w:r>
        <w:rPr>
          <w:rFonts w:hint="eastAsia" w:ascii="宋体" w:hAnsi="宋体" w:eastAsia="宋体" w:cs="宋体"/>
          <w:szCs w:val="24"/>
        </w:rPr>
        <w:t>日</w:t>
      </w:r>
    </w:p>
    <w:p>
      <w:pPr>
        <w:spacing w:line="490" w:lineRule="exact"/>
        <w:ind w:firstLine="640" w:firstLineChars="200"/>
        <w:rPr>
          <w:rFonts w:eastAsia="仿宋_GB2312"/>
          <w:sz w:val="32"/>
          <w:szCs w:val="32"/>
        </w:rPr>
      </w:pPr>
    </w:p>
    <w:p>
      <w:pPr>
        <w:spacing w:line="490" w:lineRule="exact"/>
        <w:ind w:firstLine="560" w:firstLineChars="200"/>
        <w:rPr>
          <w:rFonts w:eastAsia="仿宋_GB2312"/>
          <w:sz w:val="28"/>
          <w:szCs w:val="32"/>
        </w:rPr>
      </w:pPr>
    </w:p>
    <w:p>
      <w:pPr>
        <w:spacing w:line="490" w:lineRule="exact"/>
        <w:rPr>
          <w:sz w:val="20"/>
          <w:szCs w:val="21"/>
        </w:rPr>
      </w:pPr>
    </w:p>
    <w:p>
      <w:pPr>
        <w:spacing w:after="14" w:line="490" w:lineRule="exact"/>
        <w:rPr>
          <w:sz w:val="22"/>
        </w:rPr>
      </w:pPr>
    </w:p>
    <w:p>
      <w:pPr>
        <w:spacing w:after="538" w:line="264" w:lineRule="auto"/>
        <w:ind w:left="136" w:hanging="11"/>
        <w:jc w:val="left"/>
        <w:outlineLvl w:val="2"/>
        <w:rPr>
          <w:rFonts w:eastAsia="黑体"/>
          <w:sz w:val="28"/>
          <w:szCs w:val="22"/>
        </w:rPr>
      </w:pPr>
      <w:r>
        <w:rPr>
          <w:sz w:val="28"/>
        </w:rPr>
        <w:br w:type="page"/>
      </w:r>
      <w:bookmarkStart w:id="3820" w:name="_Toc57049285"/>
      <w:bookmarkStart w:id="3821" w:name="_Toc28247"/>
      <w:bookmarkStart w:id="3822" w:name="_Toc8698"/>
      <w:bookmarkStart w:id="3823" w:name="_Toc57050031"/>
      <w:bookmarkStart w:id="3824" w:name="_Toc52810145"/>
      <w:r>
        <w:rPr>
          <w:rFonts w:eastAsia="黑体"/>
          <w:sz w:val="28"/>
          <w:szCs w:val="22"/>
        </w:rPr>
        <w:t>附件二：履约担保格式</w:t>
      </w:r>
      <w:bookmarkEnd w:id="3820"/>
      <w:bookmarkEnd w:id="3821"/>
      <w:bookmarkEnd w:id="3822"/>
      <w:bookmarkEnd w:id="3823"/>
      <w:bookmarkEnd w:id="3824"/>
      <w:r>
        <w:rPr>
          <w:rFonts w:eastAsia="黑体"/>
          <w:sz w:val="28"/>
          <w:szCs w:val="22"/>
        </w:rPr>
        <w:t xml:space="preserve"> </w:t>
      </w:r>
    </w:p>
    <w:p>
      <w:pPr>
        <w:spacing w:line="490" w:lineRule="exact"/>
        <w:rPr>
          <w:rFonts w:hint="eastAsia" w:ascii="宋体" w:hAnsi="宋体" w:eastAsia="宋体" w:cs="宋体"/>
          <w:b w:val="0"/>
          <w:bCs w:val="0"/>
          <w:sz w:val="24"/>
          <w:szCs w:val="28"/>
        </w:rPr>
      </w:pPr>
      <w:r>
        <w:rPr>
          <w:rFonts w:hint="eastAsia" w:ascii="宋体" w:hAnsi="宋体" w:eastAsia="宋体" w:cs="宋体"/>
          <w:b w:val="0"/>
          <w:bCs w:val="0"/>
          <w:sz w:val="24"/>
          <w:szCs w:val="28"/>
        </w:rPr>
        <w:t>如采用保函，格式如下。</w:t>
      </w:r>
    </w:p>
    <w:p>
      <w:pPr>
        <w:spacing w:line="490" w:lineRule="exact"/>
        <w:jc w:val="center"/>
        <w:rPr>
          <w:rFonts w:eastAsia="方正小标宋_GBK"/>
          <w:b/>
          <w:sz w:val="40"/>
          <w:szCs w:val="44"/>
        </w:rPr>
      </w:pPr>
    </w:p>
    <w:p>
      <w:pPr>
        <w:spacing w:line="490" w:lineRule="exact"/>
        <w:jc w:val="center"/>
        <w:rPr>
          <w:rFonts w:hint="eastAsia" w:ascii="宋体" w:hAnsi="宋体" w:eastAsia="宋体" w:cs="宋体"/>
          <w:b/>
          <w:sz w:val="32"/>
          <w:szCs w:val="36"/>
        </w:rPr>
      </w:pPr>
      <w:r>
        <w:rPr>
          <w:rFonts w:hint="eastAsia" w:ascii="宋体" w:hAnsi="宋体" w:eastAsia="宋体" w:cs="宋体"/>
          <w:b/>
          <w:sz w:val="32"/>
          <w:szCs w:val="36"/>
        </w:rPr>
        <w:t>履约担保</w:t>
      </w:r>
    </w:p>
    <w:p>
      <w:pPr>
        <w:spacing w:line="490" w:lineRule="exact"/>
        <w:jc w:val="center"/>
        <w:rPr>
          <w:rFonts w:eastAsia="方正小标宋_GBK"/>
          <w:b/>
          <w:sz w:val="40"/>
          <w:szCs w:val="44"/>
        </w:rPr>
      </w:pPr>
    </w:p>
    <w:p>
      <w:pPr>
        <w:spacing w:line="490" w:lineRule="exact"/>
        <w:rPr>
          <w:rFonts w:hint="eastAsia" w:ascii="宋体" w:hAnsi="宋体" w:eastAsia="宋体" w:cs="宋体"/>
          <w:sz w:val="21"/>
          <w:szCs w:val="22"/>
        </w:rPr>
      </w:pPr>
      <w:r>
        <w:rPr>
          <w:rFonts w:hint="eastAsia" w:ascii="宋体" w:hAnsi="宋体" w:eastAsia="宋体" w:cs="宋体"/>
          <w:sz w:val="21"/>
          <w:szCs w:val="22"/>
          <w:u w:val="single" w:color="000000"/>
        </w:rPr>
        <w:t xml:space="preserve">                     </w:t>
      </w:r>
      <w:r>
        <w:rPr>
          <w:rFonts w:hint="eastAsia" w:ascii="宋体" w:hAnsi="宋体" w:eastAsia="宋体" w:cs="宋体"/>
          <w:sz w:val="21"/>
          <w:szCs w:val="22"/>
        </w:rPr>
        <w:t xml:space="preserve">（发包人名称）： </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鉴于（发包人名称，以下简称“发包人”）接受</w:t>
      </w:r>
      <w:r>
        <w:rPr>
          <w:rFonts w:hint="eastAsia" w:ascii="宋体" w:hAnsi="宋体" w:eastAsia="宋体" w:cs="宋体"/>
          <w:sz w:val="21"/>
          <w:szCs w:val="22"/>
          <w:u w:val="single"/>
        </w:rPr>
        <w:t xml:space="preserve">          </w:t>
      </w:r>
      <w:r>
        <w:rPr>
          <w:rFonts w:hint="eastAsia" w:ascii="宋体" w:hAnsi="宋体" w:eastAsia="宋体" w:cs="宋体"/>
          <w:sz w:val="21"/>
          <w:szCs w:val="22"/>
        </w:rPr>
        <w:t>（勘察人或设计人或勘察设计人名称，以下简称“承包人”）于</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年</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月</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日参加</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（项目名称）</w:t>
      </w:r>
      <w:r>
        <w:rPr>
          <w:rFonts w:hint="eastAsia" w:ascii="宋体" w:hAnsi="宋体" w:eastAsia="宋体" w:cs="宋体"/>
          <w:sz w:val="21"/>
          <w:szCs w:val="22"/>
          <w:u w:val="single"/>
        </w:rPr>
        <w:t xml:space="preserve">     </w:t>
      </w:r>
      <w:r>
        <w:rPr>
          <w:rFonts w:hint="eastAsia" w:ascii="宋体" w:hAnsi="宋体" w:eastAsia="宋体" w:cs="宋体"/>
          <w:sz w:val="21"/>
          <w:szCs w:val="22"/>
        </w:rPr>
        <w:t xml:space="preserve">（勘察或设计或勘察设计）招标项目的投标。我方愿意无条件地、不可撤销地就承包人履行与你方订立的合同，向你方提供担保。 </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1、担保金额人民币（大写）</w:t>
      </w:r>
      <w:r>
        <w:rPr>
          <w:rFonts w:hint="eastAsia" w:ascii="宋体" w:hAnsi="宋体" w:eastAsia="宋体" w:cs="宋体"/>
          <w:sz w:val="21"/>
          <w:szCs w:val="22"/>
          <w:u w:val="single"/>
        </w:rPr>
        <w:t xml:space="preserve">            </w:t>
      </w:r>
      <w:r>
        <w:rPr>
          <w:rFonts w:hint="eastAsia" w:ascii="宋体" w:hAnsi="宋体" w:eastAsia="宋体" w:cs="宋体"/>
          <w:sz w:val="21"/>
          <w:szCs w:val="22"/>
        </w:rPr>
        <w:t>（¥）</w:t>
      </w:r>
      <w:r>
        <w:rPr>
          <w:rFonts w:hint="eastAsia" w:ascii="宋体" w:hAnsi="宋体" w:eastAsia="宋体" w:cs="宋体"/>
          <w:sz w:val="21"/>
          <w:szCs w:val="22"/>
          <w:u w:val="single"/>
        </w:rPr>
        <w:t xml:space="preserve">              </w:t>
      </w:r>
      <w:r>
        <w:rPr>
          <w:rFonts w:hint="eastAsia" w:ascii="宋体" w:hAnsi="宋体" w:eastAsia="宋体" w:cs="宋体"/>
          <w:sz w:val="21"/>
          <w:szCs w:val="22"/>
        </w:rPr>
        <w:t>。</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2、担保有效期自发包人与承包人签订的合同生效之日起至发包人签收最后一批</w:t>
      </w:r>
      <w:r>
        <w:rPr>
          <w:rFonts w:hint="eastAsia" w:ascii="宋体" w:hAnsi="宋体" w:eastAsia="宋体" w:cs="宋体"/>
          <w:sz w:val="21"/>
          <w:szCs w:val="22"/>
          <w:u w:val="single"/>
        </w:rPr>
        <w:t xml:space="preserve">     </w:t>
      </w:r>
      <w:r>
        <w:rPr>
          <w:rFonts w:hint="eastAsia" w:ascii="宋体" w:hAnsi="宋体" w:eastAsia="宋体" w:cs="宋体"/>
          <w:sz w:val="21"/>
          <w:szCs w:val="22"/>
        </w:rPr>
        <w:t xml:space="preserve">（勘察或设计或勘察设计）成果文件之日起28日后失效。 </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 xml:space="preserve">3、在本担保有效期内，如果承包人不履行合同约定的义务或其履行不符合合同的约定，我方在收到你方以书面形式提出的在担保金额内的赔偿要求后，在7日内无条件支付。 </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4、发包人和承包人变更合同时，无论我方是否收到该变更，我方承担本担保规定的义务不变。</w:t>
      </w:r>
    </w:p>
    <w:p>
      <w:pPr>
        <w:spacing w:line="490" w:lineRule="exact"/>
        <w:ind w:firstLine="420" w:firstLineChars="200"/>
        <w:rPr>
          <w:rFonts w:hint="eastAsia" w:ascii="宋体" w:hAnsi="宋体" w:eastAsia="宋体" w:cs="宋体"/>
          <w:sz w:val="21"/>
          <w:szCs w:val="22"/>
        </w:rPr>
      </w:pPr>
    </w:p>
    <w:p>
      <w:pPr>
        <w:spacing w:line="490" w:lineRule="exact"/>
        <w:ind w:left="3360" w:leftChars="0" w:firstLine="420" w:firstLineChars="0"/>
        <w:rPr>
          <w:rFonts w:hint="eastAsia" w:ascii="宋体" w:hAnsi="宋体" w:eastAsia="宋体" w:cs="宋体"/>
          <w:sz w:val="21"/>
          <w:szCs w:val="22"/>
        </w:rPr>
      </w:pPr>
      <w:r>
        <w:rPr>
          <w:rFonts w:hint="eastAsia" w:ascii="宋体" w:hAnsi="宋体" w:eastAsia="宋体" w:cs="宋体"/>
          <w:sz w:val="21"/>
          <w:szCs w:val="22"/>
        </w:rPr>
        <w:t>担保人名称 ：</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（盖单位章）</w:t>
      </w:r>
    </w:p>
    <w:p>
      <w:pPr>
        <w:spacing w:line="490" w:lineRule="exact"/>
        <w:ind w:left="3360" w:leftChars="0" w:firstLine="420" w:firstLineChars="0"/>
        <w:rPr>
          <w:rFonts w:hint="eastAsia" w:ascii="宋体" w:hAnsi="宋体" w:eastAsia="宋体" w:cs="宋体"/>
          <w:sz w:val="21"/>
          <w:szCs w:val="22"/>
        </w:rPr>
      </w:pPr>
      <w:r>
        <w:rPr>
          <w:rFonts w:hint="eastAsia" w:ascii="宋体" w:hAnsi="宋体" w:eastAsia="宋体" w:cs="宋体"/>
          <w:sz w:val="21"/>
          <w:szCs w:val="22"/>
        </w:rPr>
        <w:t>法定代表人或其委托代理人：</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（签字）</w:t>
      </w:r>
    </w:p>
    <w:p>
      <w:pPr>
        <w:spacing w:line="490" w:lineRule="exact"/>
        <w:ind w:left="3360" w:leftChars="0" w:firstLine="420" w:firstLineChars="0"/>
        <w:rPr>
          <w:rFonts w:hint="eastAsia" w:ascii="宋体" w:hAnsi="宋体" w:eastAsia="宋体" w:cs="宋体"/>
          <w:sz w:val="21"/>
          <w:szCs w:val="22"/>
          <w:u w:val="single" w:color="000000"/>
        </w:rPr>
      </w:pPr>
      <w:r>
        <w:rPr>
          <w:rFonts w:hint="eastAsia" w:ascii="宋体" w:hAnsi="宋体" w:eastAsia="宋体" w:cs="宋体"/>
          <w:sz w:val="21"/>
          <w:szCs w:val="22"/>
        </w:rPr>
        <w:t>地    址：</w:t>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lang w:val="en-US" w:eastAsia="zh-CN"/>
        </w:rPr>
        <w:t xml:space="preserve">    </w:t>
      </w:r>
      <w:r>
        <w:rPr>
          <w:rFonts w:hint="eastAsia" w:ascii="宋体" w:hAnsi="宋体" w:eastAsia="宋体" w:cs="宋体"/>
          <w:sz w:val="21"/>
          <w:szCs w:val="22"/>
          <w:u w:val="single" w:color="000000"/>
        </w:rPr>
        <w:t xml:space="preserve">    </w:t>
      </w:r>
    </w:p>
    <w:p>
      <w:pPr>
        <w:spacing w:line="490" w:lineRule="exact"/>
        <w:ind w:left="3360" w:leftChars="0" w:firstLine="420" w:firstLineChars="0"/>
        <w:rPr>
          <w:rFonts w:hint="eastAsia" w:ascii="宋体" w:hAnsi="宋体" w:eastAsia="宋体" w:cs="宋体"/>
          <w:sz w:val="21"/>
          <w:szCs w:val="22"/>
        </w:rPr>
      </w:pPr>
      <w:r>
        <w:rPr>
          <w:rFonts w:hint="eastAsia" w:ascii="宋体" w:hAnsi="宋体" w:eastAsia="宋体" w:cs="宋体"/>
          <w:sz w:val="21"/>
          <w:szCs w:val="22"/>
        </w:rPr>
        <w:t>邮政编码：</w:t>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rPr>
        <w:tab/>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rPr>
        <w:tab/>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rPr>
        <w:tab/>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rPr>
        <w:tab/>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rPr>
        <w:tab/>
      </w:r>
      <w:r>
        <w:rPr>
          <w:rFonts w:hint="eastAsia" w:ascii="宋体" w:hAnsi="宋体" w:eastAsia="宋体" w:cs="宋体"/>
          <w:sz w:val="21"/>
          <w:szCs w:val="22"/>
          <w:u w:val="single" w:color="000000"/>
        </w:rPr>
        <w:t xml:space="preserve">           </w:t>
      </w:r>
    </w:p>
    <w:p>
      <w:pPr>
        <w:spacing w:line="490" w:lineRule="exact"/>
        <w:ind w:left="3360" w:leftChars="0" w:firstLine="420" w:firstLineChars="0"/>
        <w:rPr>
          <w:rFonts w:hint="eastAsia" w:ascii="宋体" w:hAnsi="宋体" w:eastAsia="宋体" w:cs="宋体"/>
          <w:sz w:val="21"/>
          <w:szCs w:val="22"/>
        </w:rPr>
      </w:pPr>
      <w:r>
        <w:rPr>
          <w:rFonts w:hint="eastAsia" w:ascii="宋体" w:hAnsi="宋体" w:eastAsia="宋体" w:cs="宋体"/>
          <w:sz w:val="21"/>
          <w:szCs w:val="22"/>
        </w:rPr>
        <w:t>电     话：</w:t>
      </w:r>
      <w:r>
        <w:rPr>
          <w:rFonts w:hint="eastAsia" w:ascii="宋体" w:hAnsi="宋体" w:eastAsia="宋体" w:cs="宋体"/>
          <w:sz w:val="21"/>
          <w:szCs w:val="22"/>
          <w:u w:val="single" w:color="000000"/>
        </w:rPr>
        <w:t xml:space="preserve">                     </w:t>
      </w:r>
      <w:r>
        <w:rPr>
          <w:rFonts w:hint="eastAsia" w:ascii="宋体" w:hAnsi="宋体" w:eastAsia="宋体" w:cs="宋体"/>
          <w:sz w:val="21"/>
          <w:szCs w:val="22"/>
          <w:u w:val="single" w:color="000000"/>
          <w:lang w:val="en-US" w:eastAsia="zh-CN"/>
        </w:rPr>
        <w:t xml:space="preserve">   </w:t>
      </w:r>
      <w:r>
        <w:rPr>
          <w:rFonts w:hint="eastAsia" w:ascii="宋体" w:hAnsi="宋体" w:eastAsia="宋体" w:cs="宋体"/>
          <w:sz w:val="21"/>
          <w:szCs w:val="22"/>
          <w:u w:val="single" w:color="000000"/>
        </w:rPr>
        <w:t xml:space="preserve">        </w:t>
      </w:r>
    </w:p>
    <w:p>
      <w:pPr>
        <w:spacing w:line="490" w:lineRule="exact"/>
        <w:ind w:right="561" w:firstLine="5670" w:firstLineChars="2700"/>
        <w:rPr>
          <w:rFonts w:hint="eastAsia" w:ascii="宋体" w:hAnsi="宋体" w:eastAsia="宋体" w:cs="宋体"/>
          <w:sz w:val="21"/>
          <w:szCs w:val="22"/>
        </w:rPr>
        <w:sectPr>
          <w:footerReference r:id="rId9" w:type="default"/>
          <w:pgSz w:w="11906" w:h="16838"/>
          <w:pgMar w:top="1474" w:right="1474" w:bottom="1474" w:left="1474" w:header="1021" w:footer="1021" w:gutter="0"/>
          <w:pgNumType w:fmt="decimal"/>
          <w:cols w:space="720" w:num="1"/>
          <w:docGrid w:linePitch="326" w:charSpace="0"/>
        </w:sectPr>
      </w:pPr>
      <w:r>
        <w:rPr>
          <w:rFonts w:hint="eastAsia" w:ascii="宋体" w:hAnsi="宋体" w:eastAsia="宋体" w:cs="宋体"/>
          <w:sz w:val="21"/>
          <w:szCs w:val="22"/>
          <w:u w:val="single" w:color="000000"/>
        </w:rPr>
        <w:t xml:space="preserve">         </w:t>
      </w:r>
      <w:r>
        <w:rPr>
          <w:rFonts w:hint="eastAsia" w:ascii="宋体" w:hAnsi="宋体" w:eastAsia="宋体" w:cs="宋体"/>
          <w:sz w:val="21"/>
          <w:szCs w:val="22"/>
        </w:rPr>
        <w:t>年</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月</w:t>
      </w:r>
      <w:r>
        <w:rPr>
          <w:rFonts w:hint="eastAsia" w:ascii="宋体" w:hAnsi="宋体" w:eastAsia="宋体" w:cs="宋体"/>
          <w:sz w:val="21"/>
          <w:szCs w:val="22"/>
          <w:u w:val="single" w:color="000000"/>
        </w:rPr>
        <w:t xml:space="preserve">     </w:t>
      </w:r>
      <w:r>
        <w:rPr>
          <w:rFonts w:hint="eastAsia" w:ascii="宋体" w:hAnsi="宋体" w:eastAsia="宋体" w:cs="宋体"/>
          <w:sz w:val="21"/>
          <w:szCs w:val="22"/>
        </w:rPr>
        <w:t>日</w:t>
      </w:r>
    </w:p>
    <w:p>
      <w:pPr>
        <w:spacing w:after="538" w:line="264" w:lineRule="auto"/>
        <w:ind w:left="136" w:hanging="11"/>
        <w:jc w:val="left"/>
        <w:outlineLvl w:val="2"/>
        <w:rPr>
          <w:rFonts w:eastAsia="黑体"/>
          <w:sz w:val="28"/>
          <w:szCs w:val="22"/>
        </w:rPr>
      </w:pPr>
      <w:bookmarkStart w:id="3825" w:name="_Toc52810146"/>
      <w:bookmarkStart w:id="3826" w:name="_Toc21079"/>
      <w:bookmarkStart w:id="3827" w:name="_Toc57049286"/>
      <w:bookmarkStart w:id="3828" w:name="_Toc57050032"/>
      <w:r>
        <w:rPr>
          <w:rFonts w:eastAsia="黑体"/>
          <w:sz w:val="28"/>
          <w:szCs w:val="22"/>
        </w:rPr>
        <w:t>附件三：法定代表人授权书</w:t>
      </w:r>
      <w:bookmarkEnd w:id="3825"/>
      <w:bookmarkEnd w:id="3826"/>
      <w:bookmarkEnd w:id="3827"/>
      <w:bookmarkEnd w:id="3828"/>
    </w:p>
    <w:p>
      <w:pPr>
        <w:spacing w:line="490" w:lineRule="exact"/>
        <w:jc w:val="center"/>
        <w:rPr>
          <w:rFonts w:hint="eastAsia" w:ascii="宋体" w:hAnsi="宋体" w:eastAsia="宋体" w:cs="宋体"/>
          <w:b/>
          <w:sz w:val="32"/>
          <w:szCs w:val="36"/>
        </w:rPr>
      </w:pPr>
      <w:r>
        <w:rPr>
          <w:rFonts w:hint="eastAsia" w:ascii="宋体" w:hAnsi="宋体" w:eastAsia="宋体" w:cs="宋体"/>
          <w:b/>
          <w:sz w:val="32"/>
          <w:szCs w:val="36"/>
        </w:rPr>
        <w:t>法定代表人授权书</w:t>
      </w:r>
    </w:p>
    <w:p>
      <w:pPr>
        <w:spacing w:line="490" w:lineRule="exact"/>
        <w:jc w:val="center"/>
        <w:rPr>
          <w:rFonts w:eastAsia="方正小标宋_GBK"/>
          <w:b/>
          <w:sz w:val="40"/>
          <w:szCs w:val="44"/>
        </w:rPr>
      </w:pP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兹授权我单位</w:t>
      </w:r>
      <w:r>
        <w:rPr>
          <w:rFonts w:hint="eastAsia" w:ascii="宋体" w:hAnsi="宋体" w:eastAsia="宋体" w:cs="宋体"/>
          <w:sz w:val="21"/>
          <w:szCs w:val="22"/>
          <w:u w:val="single"/>
        </w:rPr>
        <w:t xml:space="preserve">      </w:t>
      </w:r>
      <w:r>
        <w:rPr>
          <w:rFonts w:hint="eastAsia" w:ascii="宋体" w:hAnsi="宋体" w:eastAsia="宋体" w:cs="宋体"/>
          <w:sz w:val="21"/>
          <w:szCs w:val="22"/>
        </w:rPr>
        <w:t>担任</w:t>
      </w:r>
      <w:r>
        <w:rPr>
          <w:rFonts w:hint="eastAsia" w:ascii="宋体" w:hAnsi="宋体" w:eastAsia="宋体" w:cs="宋体"/>
          <w:sz w:val="21"/>
          <w:szCs w:val="22"/>
          <w:u w:val="single"/>
        </w:rPr>
        <w:t xml:space="preserve">             </w:t>
      </w:r>
      <w:r>
        <w:rPr>
          <w:rFonts w:hint="eastAsia" w:ascii="宋体" w:hAnsi="宋体" w:eastAsia="宋体" w:cs="宋体"/>
          <w:sz w:val="21"/>
          <w:szCs w:val="22"/>
        </w:rPr>
        <w:t>工程项目负责人，对该工程项目的</w:t>
      </w:r>
      <w:r>
        <w:rPr>
          <w:rFonts w:hint="eastAsia" w:ascii="宋体" w:hAnsi="宋体" w:eastAsia="宋体" w:cs="宋体"/>
          <w:sz w:val="21"/>
          <w:szCs w:val="22"/>
          <w:u w:val="single"/>
        </w:rPr>
        <w:t xml:space="preserve">    </w:t>
      </w:r>
      <w:r>
        <w:rPr>
          <w:rFonts w:hint="eastAsia" w:ascii="宋体" w:hAnsi="宋体" w:eastAsia="宋体" w:cs="宋体"/>
          <w:sz w:val="21"/>
          <w:szCs w:val="22"/>
          <w:u w:val="none"/>
        </w:rPr>
        <w:t xml:space="preserve"> （勘察或设计或勘察设计）</w:t>
      </w:r>
      <w:r>
        <w:rPr>
          <w:rFonts w:hint="eastAsia" w:ascii="宋体" w:hAnsi="宋体" w:eastAsia="宋体" w:cs="宋体"/>
          <w:sz w:val="21"/>
          <w:szCs w:val="22"/>
        </w:rPr>
        <w:t>工作实施组织管理，依据国家有关法律法规及标准规范履行职责，并依法对设计使用年限内的工程质量承担相应终身责任。</w:t>
      </w:r>
    </w:p>
    <w:p>
      <w:pPr>
        <w:spacing w:line="49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本授权书自授权之日起生效。</w:t>
      </w:r>
    </w:p>
    <w:p>
      <w:pPr>
        <w:spacing w:line="360" w:lineRule="auto"/>
        <w:ind w:firstLine="420" w:firstLineChars="200"/>
        <w:rPr>
          <w:sz w:val="21"/>
          <w:szCs w:val="21"/>
        </w:rPr>
      </w:pPr>
    </w:p>
    <w:tbl>
      <w:tblPr>
        <w:tblStyle w:val="29"/>
        <w:tblW w:w="87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5"/>
        <w:gridCol w:w="2188"/>
        <w:gridCol w:w="2170"/>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8785" w:type="dxa"/>
            <w:gridSpan w:val="4"/>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2215"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姓名</w:t>
            </w:r>
          </w:p>
        </w:tc>
        <w:tc>
          <w:tcPr>
            <w:tcW w:w="2188" w:type="dxa"/>
            <w:vAlign w:val="center"/>
          </w:tcPr>
          <w:p>
            <w:pPr>
              <w:rPr>
                <w:rFonts w:hint="eastAsia" w:ascii="宋体" w:hAnsi="宋体" w:eastAsia="宋体" w:cs="宋体"/>
                <w:sz w:val="21"/>
                <w:szCs w:val="21"/>
              </w:rPr>
            </w:pPr>
          </w:p>
        </w:tc>
        <w:tc>
          <w:tcPr>
            <w:tcW w:w="2170"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身份证号</w:t>
            </w:r>
          </w:p>
        </w:tc>
        <w:tc>
          <w:tcPr>
            <w:tcW w:w="2212" w:type="dxa"/>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215" w:type="dxa"/>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rPr>
              <w:t>注册执业资格</w:t>
            </w:r>
            <w:r>
              <w:rPr>
                <w:rFonts w:hint="eastAsia" w:ascii="宋体" w:hAnsi="宋体" w:eastAsia="宋体" w:cs="宋体"/>
                <w:sz w:val="21"/>
                <w:szCs w:val="21"/>
                <w:lang w:val="en-US" w:eastAsia="zh-CN"/>
              </w:rPr>
              <w:t>/职称</w:t>
            </w:r>
          </w:p>
        </w:tc>
        <w:tc>
          <w:tcPr>
            <w:tcW w:w="2188" w:type="dxa"/>
            <w:vAlign w:val="center"/>
          </w:tcPr>
          <w:p>
            <w:pPr>
              <w:rPr>
                <w:rFonts w:hint="eastAsia" w:ascii="宋体" w:hAnsi="宋体" w:eastAsia="宋体" w:cs="宋体"/>
                <w:sz w:val="21"/>
                <w:szCs w:val="21"/>
              </w:rPr>
            </w:pPr>
          </w:p>
        </w:tc>
        <w:tc>
          <w:tcPr>
            <w:tcW w:w="2170" w:type="dxa"/>
            <w:vAlign w:val="center"/>
          </w:tcPr>
          <w:p>
            <w:pPr>
              <w:jc w:val="center"/>
              <w:rPr>
                <w:rFonts w:hint="eastAsia" w:ascii="宋体" w:hAnsi="宋体" w:eastAsia="宋体" w:cs="宋体"/>
                <w:sz w:val="21"/>
                <w:szCs w:val="21"/>
              </w:rPr>
            </w:pPr>
            <w:r>
              <w:rPr>
                <w:rFonts w:hint="eastAsia" w:ascii="宋体" w:hAnsi="宋体" w:eastAsia="宋体" w:cs="宋体"/>
                <w:sz w:val="21"/>
                <w:szCs w:val="21"/>
                <w:lang w:val="en-US" w:eastAsia="zh-CN"/>
              </w:rPr>
              <w:t>职称/</w:t>
            </w:r>
            <w:r>
              <w:rPr>
                <w:rFonts w:hint="eastAsia" w:ascii="宋体" w:hAnsi="宋体" w:eastAsia="宋体" w:cs="宋体"/>
                <w:sz w:val="21"/>
                <w:szCs w:val="21"/>
              </w:rPr>
              <w:t>注册执业证号</w:t>
            </w:r>
          </w:p>
        </w:tc>
        <w:tc>
          <w:tcPr>
            <w:tcW w:w="2212" w:type="dxa"/>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2215"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专业</w:t>
            </w:r>
          </w:p>
        </w:tc>
        <w:tc>
          <w:tcPr>
            <w:tcW w:w="6570" w:type="dxa"/>
            <w:gridSpan w:val="3"/>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8785" w:type="dxa"/>
            <w:gridSpan w:val="4"/>
            <w:vAlign w:val="center"/>
          </w:tcPr>
          <w:p>
            <w:pPr>
              <w:ind w:firstLine="5040" w:firstLineChars="2400"/>
              <w:rPr>
                <w:rFonts w:hint="eastAsia" w:ascii="宋体" w:hAnsi="宋体" w:eastAsia="宋体" w:cs="宋体"/>
                <w:sz w:val="21"/>
                <w:szCs w:val="21"/>
              </w:rPr>
            </w:pPr>
            <w:r>
              <w:rPr>
                <w:rFonts w:hint="eastAsia" w:ascii="宋体" w:hAnsi="宋体" w:eastAsia="宋体" w:cs="宋体"/>
                <w:sz w:val="21"/>
                <w:szCs w:val="21"/>
              </w:rPr>
              <w:t>被授权人签字：</w:t>
            </w:r>
          </w:p>
        </w:tc>
      </w:tr>
    </w:tbl>
    <w:p>
      <w:pPr>
        <w:spacing w:line="360" w:lineRule="auto"/>
        <w:ind w:firstLine="420" w:firstLineChars="200"/>
        <w:rPr>
          <w:sz w:val="21"/>
          <w:szCs w:val="21"/>
        </w:rPr>
      </w:pPr>
    </w:p>
    <w:p>
      <w:pPr>
        <w:spacing w:line="360" w:lineRule="auto"/>
        <w:ind w:firstLine="420" w:firstLineChars="200"/>
        <w:rPr>
          <w:sz w:val="21"/>
          <w:szCs w:val="21"/>
        </w:rPr>
      </w:pPr>
    </w:p>
    <w:p>
      <w:pPr>
        <w:spacing w:line="490" w:lineRule="exact"/>
        <w:ind w:left="3780" w:leftChars="0" w:firstLine="420" w:firstLineChars="0"/>
        <w:rPr>
          <w:rFonts w:hint="eastAsia" w:ascii="宋体" w:hAnsi="宋体" w:eastAsia="宋体" w:cs="宋体"/>
          <w:sz w:val="21"/>
          <w:szCs w:val="22"/>
          <w:u w:val="single"/>
        </w:rPr>
      </w:pPr>
      <w:r>
        <w:rPr>
          <w:rFonts w:hint="eastAsia" w:ascii="宋体" w:hAnsi="宋体" w:eastAsia="宋体" w:cs="宋体"/>
          <w:sz w:val="21"/>
          <w:szCs w:val="22"/>
        </w:rPr>
        <w:t>授权单位（（盖单位公章））：</w:t>
      </w:r>
      <w:r>
        <w:rPr>
          <w:rFonts w:hint="eastAsia" w:ascii="宋体" w:hAnsi="宋体" w:eastAsia="宋体" w:cs="宋体"/>
          <w:kern w:val="0"/>
          <w:sz w:val="21"/>
          <w:szCs w:val="22"/>
          <w:u w:val="single"/>
        </w:rPr>
        <w:t xml:space="preserve">            </w:t>
      </w:r>
    </w:p>
    <w:p>
      <w:pPr>
        <w:spacing w:line="490" w:lineRule="exact"/>
        <w:ind w:left="3780" w:leftChars="0" w:firstLine="420" w:firstLineChars="0"/>
        <w:rPr>
          <w:rFonts w:hint="eastAsia" w:ascii="宋体" w:hAnsi="宋体" w:eastAsia="宋体" w:cs="宋体"/>
          <w:kern w:val="0"/>
          <w:sz w:val="21"/>
          <w:szCs w:val="22"/>
          <w:u w:val="single"/>
        </w:rPr>
      </w:pPr>
      <w:r>
        <w:rPr>
          <w:rFonts w:hint="eastAsia" w:ascii="宋体" w:hAnsi="宋体" w:eastAsia="宋体" w:cs="宋体"/>
          <w:sz w:val="21"/>
          <w:szCs w:val="22"/>
        </w:rPr>
        <w:t>法定代表人（签字）：</w:t>
      </w:r>
      <w:r>
        <w:rPr>
          <w:rFonts w:hint="eastAsia" w:ascii="宋体" w:hAnsi="宋体" w:eastAsia="宋体" w:cs="宋体"/>
          <w:kern w:val="0"/>
          <w:sz w:val="21"/>
          <w:szCs w:val="22"/>
          <w:u w:val="single"/>
        </w:rPr>
        <w:t xml:space="preserve">           </w:t>
      </w:r>
      <w:r>
        <w:rPr>
          <w:rFonts w:hint="eastAsia" w:ascii="宋体" w:hAnsi="宋体" w:eastAsia="宋体" w:cs="宋体"/>
          <w:kern w:val="0"/>
          <w:sz w:val="21"/>
          <w:szCs w:val="22"/>
          <w:u w:val="single"/>
          <w:lang w:val="en-US" w:eastAsia="zh-CN"/>
        </w:rPr>
        <w:t xml:space="preserve">    </w:t>
      </w:r>
      <w:r>
        <w:rPr>
          <w:rFonts w:hint="eastAsia" w:ascii="宋体" w:hAnsi="宋体" w:eastAsia="宋体" w:cs="宋体"/>
          <w:kern w:val="0"/>
          <w:sz w:val="21"/>
          <w:szCs w:val="22"/>
          <w:u w:val="single"/>
        </w:rPr>
        <w:t xml:space="preserve">     </w:t>
      </w:r>
    </w:p>
    <w:p>
      <w:pPr>
        <w:spacing w:line="490" w:lineRule="exact"/>
        <w:ind w:left="3780" w:leftChars="0" w:firstLine="420" w:firstLineChars="0"/>
        <w:rPr>
          <w:rFonts w:hint="eastAsia" w:ascii="宋体" w:hAnsi="宋体" w:eastAsia="宋体" w:cs="宋体"/>
          <w:sz w:val="21"/>
          <w:szCs w:val="22"/>
        </w:rPr>
      </w:pPr>
      <w:r>
        <w:rPr>
          <w:rFonts w:hint="eastAsia" w:ascii="宋体" w:hAnsi="宋体" w:eastAsia="宋体" w:cs="宋体"/>
          <w:sz w:val="21"/>
          <w:szCs w:val="22"/>
        </w:rPr>
        <w:t>授  权  日  期：</w:t>
      </w:r>
      <w:r>
        <w:rPr>
          <w:rFonts w:hint="eastAsia" w:ascii="宋体" w:hAnsi="宋体" w:eastAsia="宋体" w:cs="宋体"/>
          <w:kern w:val="0"/>
          <w:sz w:val="21"/>
          <w:szCs w:val="22"/>
          <w:u w:val="single"/>
        </w:rPr>
        <w:t xml:space="preserve">      </w:t>
      </w:r>
      <w:r>
        <w:rPr>
          <w:rFonts w:hint="eastAsia" w:ascii="宋体" w:hAnsi="宋体" w:eastAsia="宋体" w:cs="宋体"/>
          <w:sz w:val="21"/>
          <w:szCs w:val="22"/>
        </w:rPr>
        <w:t>年</w:t>
      </w:r>
      <w:r>
        <w:rPr>
          <w:rFonts w:hint="eastAsia" w:ascii="宋体" w:hAnsi="宋体" w:eastAsia="宋体" w:cs="宋体"/>
          <w:sz w:val="21"/>
          <w:szCs w:val="22"/>
          <w:u w:val="single"/>
        </w:rPr>
        <w:t xml:space="preserve">    </w:t>
      </w:r>
      <w:r>
        <w:rPr>
          <w:rFonts w:hint="eastAsia" w:ascii="宋体" w:hAnsi="宋体" w:eastAsia="宋体" w:cs="宋体"/>
          <w:sz w:val="21"/>
          <w:szCs w:val="22"/>
        </w:rPr>
        <w:t>月</w:t>
      </w:r>
      <w:r>
        <w:rPr>
          <w:rFonts w:hint="eastAsia" w:ascii="宋体" w:hAnsi="宋体" w:eastAsia="宋体" w:cs="宋体"/>
          <w:sz w:val="21"/>
          <w:szCs w:val="22"/>
          <w:u w:val="single"/>
        </w:rPr>
        <w:t xml:space="preserve">    </w:t>
      </w:r>
      <w:r>
        <w:rPr>
          <w:rFonts w:hint="eastAsia" w:ascii="宋体" w:hAnsi="宋体" w:eastAsia="宋体" w:cs="宋体"/>
          <w:sz w:val="21"/>
          <w:szCs w:val="22"/>
        </w:rPr>
        <w:t>日</w:t>
      </w:r>
    </w:p>
    <w:p>
      <w:pPr>
        <w:spacing w:line="490" w:lineRule="exact"/>
        <w:ind w:left="3780" w:leftChars="0" w:firstLine="420" w:firstLineChars="0"/>
        <w:rPr>
          <w:rFonts w:hint="eastAsia" w:ascii="宋体" w:hAnsi="宋体" w:eastAsia="宋体" w:cs="宋体"/>
          <w:sz w:val="21"/>
          <w:szCs w:val="22"/>
        </w:rPr>
      </w:pPr>
    </w:p>
    <w:p>
      <w:pPr>
        <w:spacing w:line="490" w:lineRule="exact"/>
        <w:ind w:left="3780" w:leftChars="0" w:firstLine="420" w:firstLineChars="0"/>
        <w:rPr>
          <w:rFonts w:hint="eastAsia" w:ascii="宋体" w:hAnsi="宋体" w:eastAsia="宋体" w:cs="宋体"/>
          <w:sz w:val="21"/>
          <w:szCs w:val="22"/>
        </w:rPr>
      </w:pPr>
    </w:p>
    <w:p>
      <w:pPr>
        <w:spacing w:line="490" w:lineRule="exact"/>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身份证</w:t>
      </w:r>
      <w:bookmarkStart w:id="4579" w:name="_GoBack"/>
      <w:bookmarkEnd w:id="4579"/>
    </w:p>
    <w:p>
      <w:pPr>
        <w:spacing w:line="490" w:lineRule="exact"/>
        <w:ind w:left="3780" w:leftChars="0" w:firstLine="420" w:firstLineChars="0"/>
        <w:rPr>
          <w:rFonts w:hint="eastAsia" w:ascii="宋体" w:hAnsi="宋体" w:eastAsia="宋体" w:cs="宋体"/>
          <w:sz w:val="21"/>
          <w:szCs w:val="22"/>
        </w:rPr>
      </w:pPr>
    </w:p>
    <w:p>
      <w:pPr>
        <w:spacing w:after="538" w:line="264" w:lineRule="auto"/>
        <w:ind w:left="136" w:hanging="11"/>
        <w:jc w:val="left"/>
        <w:outlineLvl w:val="2"/>
        <w:rPr>
          <w:rFonts w:eastAsia="黑体"/>
          <w:sz w:val="28"/>
          <w:szCs w:val="22"/>
        </w:rPr>
        <w:sectPr>
          <w:footerReference r:id="rId10" w:type="default"/>
          <w:pgSz w:w="11906" w:h="16838"/>
          <w:pgMar w:top="1440" w:right="1531" w:bottom="1440" w:left="1531" w:header="851" w:footer="850" w:gutter="0"/>
          <w:pgNumType w:fmt="decimal"/>
          <w:cols w:space="425" w:num="1"/>
          <w:docGrid w:type="lines" w:linePitch="312" w:charSpace="0"/>
        </w:sectPr>
      </w:pPr>
      <w:bookmarkStart w:id="3829" w:name="_Toc57050033"/>
      <w:bookmarkStart w:id="3830" w:name="_Toc52810147"/>
      <w:bookmarkStart w:id="3831" w:name="_Toc57049287"/>
    </w:p>
    <w:p>
      <w:pPr>
        <w:spacing w:after="538" w:line="264" w:lineRule="auto"/>
        <w:ind w:left="136" w:hanging="11"/>
        <w:jc w:val="left"/>
        <w:outlineLvl w:val="2"/>
        <w:rPr>
          <w:rFonts w:eastAsia="黑体"/>
          <w:sz w:val="28"/>
          <w:szCs w:val="22"/>
        </w:rPr>
      </w:pPr>
      <w:bookmarkStart w:id="3832" w:name="_Toc2894"/>
      <w:r>
        <w:rPr>
          <w:rFonts w:eastAsia="黑体"/>
          <w:sz w:val="28"/>
          <w:szCs w:val="22"/>
        </w:rPr>
        <w:t>附件四：项目负责人质量终身责任承诺书</w:t>
      </w:r>
      <w:bookmarkEnd w:id="3829"/>
      <w:bookmarkEnd w:id="3830"/>
      <w:bookmarkEnd w:id="3831"/>
      <w:bookmarkEnd w:id="3832"/>
    </w:p>
    <w:p>
      <w:pPr>
        <w:spacing w:line="490" w:lineRule="exact"/>
        <w:jc w:val="center"/>
        <w:rPr>
          <w:rFonts w:hint="eastAsia" w:asciiTheme="majorEastAsia" w:hAnsiTheme="majorEastAsia" w:eastAsiaTheme="majorEastAsia" w:cstheme="majorEastAsia"/>
          <w:b/>
          <w:sz w:val="32"/>
          <w:szCs w:val="40"/>
          <w:lang w:val="zh-CN"/>
        </w:rPr>
      </w:pPr>
      <w:r>
        <w:rPr>
          <w:rFonts w:hint="eastAsia" w:asciiTheme="majorEastAsia" w:hAnsiTheme="majorEastAsia" w:eastAsiaTheme="majorEastAsia" w:cstheme="majorEastAsia"/>
          <w:b/>
          <w:sz w:val="32"/>
          <w:szCs w:val="40"/>
          <w:lang w:val="zh-CN"/>
        </w:rPr>
        <w:t>项目负责人质量终身责任承诺书</w:t>
      </w:r>
    </w:p>
    <w:p>
      <w:pPr>
        <w:spacing w:line="490" w:lineRule="exact"/>
        <w:jc w:val="center"/>
        <w:rPr>
          <w:rFonts w:hint="eastAsia" w:asciiTheme="majorEastAsia" w:hAnsiTheme="majorEastAsia" w:eastAsiaTheme="majorEastAsia" w:cstheme="majorEastAsia"/>
          <w:b/>
          <w:sz w:val="32"/>
          <w:szCs w:val="40"/>
          <w:lang w:val="zh-CN"/>
        </w:rPr>
      </w:pPr>
      <w:r>
        <w:rPr>
          <w:rFonts w:hint="eastAsia" w:asciiTheme="majorEastAsia" w:hAnsiTheme="majorEastAsia" w:eastAsiaTheme="majorEastAsia" w:cstheme="majorEastAsia"/>
          <w:b/>
          <w:sz w:val="32"/>
          <w:szCs w:val="40"/>
          <w:lang w:val="zh-CN"/>
        </w:rPr>
        <w:t>（适用于勘察项目）</w:t>
      </w:r>
    </w:p>
    <w:p>
      <w:pPr>
        <w:spacing w:line="490" w:lineRule="exact"/>
        <w:jc w:val="center"/>
        <w:rPr>
          <w:rFonts w:eastAsia="方正小标宋_GBK"/>
          <w:b/>
          <w:bCs/>
          <w:sz w:val="40"/>
          <w:szCs w:val="44"/>
        </w:rPr>
      </w:pP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本人承诺在该工程建设过程中认真履行下列相应职责，并对勘察原因造成的质量问题承担相应终身质量责任。</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1．不转让所承揽的勘察业务，严格按照有关法律法规、规范标准、相关规章制度和勘察合同组织开展勘察工作。</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2．确保承担勘察项目的人员符合相应的职称或注册执业资格要求，具备相应的专业技术能力。</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3．组织建立或落实勘察质量管理体系，建立健全规章制度。</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4．对勘察成果的真实性和准确性负责，保证勘察文件符合规定的深度要求，审核相关勘察成果文件并签字、加盖公章。</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5．组织做好勘察后期服务工作，及时解决工程设计和施工中与勘察工作有关问题；根据工程需要，参加重要隐蔽单元工程验收，出具地质编录，就是否满足设计要求提出明确结论；参加法人验收和政府验收，就勘察相关工作提出建议和结论，并在验收成果文件上签字、盖章。</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6．确保工程勘察资料收集真实、准确、完整，签章手续齐全，及时整理移交并归档。</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7．履行其他法律法规和规程规范中规定的职责。</w:t>
      </w:r>
    </w:p>
    <w:p>
      <w:pPr>
        <w:tabs>
          <w:tab w:val="left" w:pos="-180"/>
        </w:tabs>
        <w:spacing w:line="520" w:lineRule="exact"/>
        <w:ind w:firstLine="420" w:firstLineChars="200"/>
        <w:rPr>
          <w:rFonts w:hint="eastAsia" w:ascii="宋体" w:hAnsi="宋体" w:eastAsia="宋体" w:cs="宋体"/>
          <w:sz w:val="21"/>
          <w:szCs w:val="22"/>
        </w:rPr>
      </w:pPr>
      <w:r>
        <w:rPr>
          <w:rFonts w:hint="eastAsia" w:ascii="宋体" w:hAnsi="宋体" w:eastAsia="宋体" w:cs="宋体"/>
          <w:sz w:val="21"/>
          <w:szCs w:val="22"/>
        </w:rPr>
        <w:t>本承诺书一式四份，一份在办理质量监督手续时提交质量监督机构；一份在竣工验收时提交竣工验收主持单位，与竣工验收鉴定书等资料一起作为永久档案保存；一份由项目法人作为工程建设永久档案进行归档保存；一份由承诺人自行保存。</w:t>
      </w:r>
    </w:p>
    <w:p>
      <w:pPr>
        <w:tabs>
          <w:tab w:val="left" w:pos="-180"/>
        </w:tabs>
        <w:spacing w:line="520" w:lineRule="exact"/>
        <w:ind w:firstLine="420" w:firstLineChars="200"/>
        <w:rPr>
          <w:rFonts w:hint="eastAsia" w:ascii="宋体" w:hAnsi="宋体" w:eastAsia="宋体" w:cs="宋体"/>
          <w:sz w:val="21"/>
          <w:szCs w:val="22"/>
        </w:rPr>
      </w:pPr>
    </w:p>
    <w:p>
      <w:pPr>
        <w:tabs>
          <w:tab w:val="left" w:pos="-180"/>
        </w:tabs>
        <w:spacing w:line="520" w:lineRule="exact"/>
        <w:rPr>
          <w:rFonts w:hint="eastAsia" w:ascii="宋体" w:hAnsi="宋体" w:eastAsia="宋体" w:cs="宋体"/>
          <w:sz w:val="21"/>
          <w:szCs w:val="22"/>
        </w:rPr>
      </w:pP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rPr>
        <w:t>承诺人签字</w:t>
      </w:r>
      <w:r>
        <w:rPr>
          <w:rFonts w:hint="eastAsia" w:ascii="宋体" w:hAnsi="宋体" w:eastAsia="宋体" w:cs="宋体"/>
          <w:sz w:val="21"/>
          <w:szCs w:val="22"/>
        </w:rPr>
        <w:t>：</w:t>
      </w:r>
      <w:r>
        <w:rPr>
          <w:rFonts w:hint="eastAsia" w:ascii="宋体" w:hAnsi="宋体" w:eastAsia="宋体" w:cs="宋体"/>
          <w:sz w:val="21"/>
          <w:szCs w:val="22"/>
          <w:u w:val="single"/>
        </w:rPr>
        <w:t xml:space="preserve">                   </w:t>
      </w:r>
    </w:p>
    <w:p>
      <w:pPr>
        <w:tabs>
          <w:tab w:val="left" w:pos="-180"/>
        </w:tabs>
        <w:spacing w:line="520" w:lineRule="exact"/>
        <w:ind w:firstLine="3850" w:firstLineChars="1100"/>
        <w:rPr>
          <w:rFonts w:hint="eastAsia" w:ascii="宋体" w:hAnsi="宋体" w:eastAsia="宋体" w:cs="宋体"/>
          <w:spacing w:val="40"/>
          <w:sz w:val="21"/>
          <w:szCs w:val="22"/>
        </w:rPr>
      </w:pP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rPr>
        <w:t>身份证号</w:t>
      </w:r>
      <w:r>
        <w:rPr>
          <w:rFonts w:hint="eastAsia" w:ascii="宋体" w:hAnsi="宋体" w:eastAsia="宋体" w:cs="宋体"/>
          <w:sz w:val="21"/>
          <w:szCs w:val="22"/>
        </w:rPr>
        <w:t>：</w:t>
      </w:r>
      <w:r>
        <w:rPr>
          <w:rFonts w:hint="eastAsia" w:ascii="宋体" w:hAnsi="宋体" w:eastAsia="宋体" w:cs="宋体"/>
          <w:sz w:val="21"/>
          <w:szCs w:val="22"/>
          <w:u w:val="single"/>
        </w:rPr>
        <w:t xml:space="preserve">                   </w:t>
      </w:r>
    </w:p>
    <w:p>
      <w:pPr>
        <w:tabs>
          <w:tab w:val="left" w:pos="-180"/>
        </w:tabs>
        <w:spacing w:line="520" w:lineRule="exact"/>
        <w:rPr>
          <w:rFonts w:hint="eastAsia" w:ascii="宋体" w:hAnsi="宋体" w:eastAsia="宋体" w:cs="宋体"/>
          <w:sz w:val="21"/>
          <w:szCs w:val="22"/>
        </w:rPr>
      </w:pP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rPr>
        <w:t>注册执业资格：</w:t>
      </w:r>
      <w:r>
        <w:rPr>
          <w:rFonts w:hint="eastAsia" w:ascii="宋体" w:hAnsi="宋体" w:eastAsia="宋体" w:cs="宋体"/>
          <w:sz w:val="21"/>
          <w:szCs w:val="22"/>
          <w:u w:val="single"/>
        </w:rPr>
        <w:t xml:space="preserve">                   </w:t>
      </w:r>
    </w:p>
    <w:p>
      <w:pPr>
        <w:tabs>
          <w:tab w:val="left" w:pos="-180"/>
        </w:tabs>
        <w:spacing w:line="520" w:lineRule="exact"/>
        <w:rPr>
          <w:rFonts w:hint="eastAsia" w:ascii="宋体" w:hAnsi="宋体" w:eastAsia="宋体" w:cs="宋体"/>
          <w:sz w:val="21"/>
          <w:szCs w:val="22"/>
        </w:rPr>
      </w:pP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lang w:val="en-US" w:eastAsia="zh-CN"/>
        </w:rPr>
        <w:tab/>
      </w:r>
      <w:r>
        <w:rPr>
          <w:rFonts w:hint="eastAsia" w:ascii="宋体" w:hAnsi="宋体" w:eastAsia="宋体" w:cs="宋体"/>
          <w:sz w:val="21"/>
          <w:szCs w:val="22"/>
        </w:rPr>
        <w:t>注册执业证号：</w:t>
      </w:r>
      <w:r>
        <w:rPr>
          <w:rFonts w:hint="eastAsia" w:ascii="宋体" w:hAnsi="宋体" w:eastAsia="宋体" w:cs="宋体"/>
          <w:sz w:val="21"/>
          <w:szCs w:val="22"/>
          <w:u w:val="single"/>
        </w:rPr>
        <w:t xml:space="preserve">                   </w:t>
      </w:r>
    </w:p>
    <w:p>
      <w:pPr>
        <w:tabs>
          <w:tab w:val="left" w:pos="-180"/>
        </w:tabs>
        <w:spacing w:line="520" w:lineRule="exact"/>
        <w:rPr>
          <w:rFonts w:hint="eastAsia" w:ascii="宋体" w:hAnsi="宋体" w:eastAsia="宋体" w:cs="宋体"/>
          <w:sz w:val="21"/>
          <w:szCs w:val="22"/>
          <w:u w:val="single"/>
        </w:rPr>
      </w:pP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lang w:val="en-US" w:eastAsia="zh-CN"/>
        </w:rPr>
        <w:tab/>
      </w:r>
      <w:r>
        <w:rPr>
          <w:rFonts w:hint="eastAsia" w:ascii="宋体" w:hAnsi="宋体" w:eastAsia="宋体" w:cs="宋体"/>
          <w:spacing w:val="28"/>
          <w:sz w:val="21"/>
          <w:szCs w:val="22"/>
        </w:rPr>
        <w:t>职称及专业</w:t>
      </w:r>
      <w:r>
        <w:rPr>
          <w:rFonts w:hint="eastAsia" w:ascii="宋体" w:hAnsi="宋体" w:eastAsia="宋体" w:cs="宋体"/>
          <w:sz w:val="21"/>
          <w:szCs w:val="22"/>
        </w:rPr>
        <w:t>：</w:t>
      </w:r>
      <w:r>
        <w:rPr>
          <w:rFonts w:hint="eastAsia" w:ascii="宋体" w:hAnsi="宋体" w:eastAsia="宋体" w:cs="宋体"/>
          <w:sz w:val="21"/>
          <w:szCs w:val="22"/>
          <w:u w:val="single"/>
        </w:rPr>
        <w:t xml:space="preserve">                   </w:t>
      </w:r>
    </w:p>
    <w:p>
      <w:pPr>
        <w:tabs>
          <w:tab w:val="left" w:pos="-180"/>
        </w:tabs>
        <w:spacing w:line="520" w:lineRule="exact"/>
        <w:rPr>
          <w:rFonts w:hint="eastAsia" w:ascii="宋体" w:hAnsi="宋体" w:eastAsia="宋体" w:cs="宋体"/>
          <w:sz w:val="21"/>
          <w:szCs w:val="22"/>
        </w:rPr>
      </w:pP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lang w:val="en-US" w:eastAsia="zh-CN"/>
        </w:rPr>
        <w:tab/>
      </w:r>
      <w:r>
        <w:rPr>
          <w:rFonts w:hint="eastAsia" w:ascii="宋体" w:hAnsi="宋体" w:eastAsia="宋体" w:cs="宋体"/>
          <w:spacing w:val="70"/>
          <w:sz w:val="21"/>
          <w:szCs w:val="22"/>
        </w:rPr>
        <w:t>签字日期</w:t>
      </w:r>
      <w:r>
        <w:rPr>
          <w:rFonts w:hint="eastAsia" w:ascii="宋体" w:hAnsi="宋体" w:eastAsia="宋体" w:cs="宋体"/>
          <w:sz w:val="21"/>
          <w:szCs w:val="22"/>
        </w:rPr>
        <w:t>：</w:t>
      </w:r>
      <w:r>
        <w:rPr>
          <w:rFonts w:hint="eastAsia" w:ascii="宋体" w:hAnsi="宋体" w:eastAsia="宋体" w:cs="宋体"/>
          <w:sz w:val="21"/>
          <w:szCs w:val="22"/>
          <w:u w:val="single"/>
        </w:rPr>
        <w:t xml:space="preserve">      </w:t>
      </w:r>
      <w:r>
        <w:rPr>
          <w:rFonts w:hint="eastAsia" w:ascii="宋体" w:hAnsi="宋体" w:eastAsia="宋体" w:cs="宋体"/>
          <w:sz w:val="21"/>
          <w:szCs w:val="22"/>
        </w:rPr>
        <w:t>年</w:t>
      </w:r>
      <w:r>
        <w:rPr>
          <w:rFonts w:hint="eastAsia" w:ascii="宋体" w:hAnsi="宋体" w:eastAsia="宋体" w:cs="宋体"/>
          <w:sz w:val="21"/>
          <w:szCs w:val="22"/>
          <w:u w:val="single"/>
        </w:rPr>
        <w:t xml:space="preserve">    </w:t>
      </w:r>
      <w:r>
        <w:rPr>
          <w:rFonts w:hint="eastAsia" w:ascii="宋体" w:hAnsi="宋体" w:eastAsia="宋体" w:cs="宋体"/>
          <w:sz w:val="21"/>
          <w:szCs w:val="22"/>
        </w:rPr>
        <w:t>月</w:t>
      </w:r>
      <w:r>
        <w:rPr>
          <w:rFonts w:hint="eastAsia" w:ascii="宋体" w:hAnsi="宋体" w:eastAsia="宋体" w:cs="宋体"/>
          <w:sz w:val="21"/>
          <w:szCs w:val="22"/>
          <w:u w:val="single"/>
        </w:rPr>
        <w:t xml:space="preserve">    </w:t>
      </w:r>
      <w:r>
        <w:rPr>
          <w:rFonts w:hint="eastAsia" w:ascii="宋体" w:hAnsi="宋体" w:eastAsia="宋体" w:cs="宋体"/>
          <w:sz w:val="21"/>
          <w:szCs w:val="22"/>
        </w:rPr>
        <w:t>日</w:t>
      </w:r>
    </w:p>
    <w:p>
      <w:pPr>
        <w:tabs>
          <w:tab w:val="left" w:pos="-180"/>
        </w:tabs>
        <w:spacing w:line="490" w:lineRule="exact"/>
        <w:ind w:firstLine="2878" w:firstLineChars="1028"/>
        <w:rPr>
          <w:rFonts w:eastAsia="仿宋_GB2312"/>
          <w:sz w:val="28"/>
          <w:szCs w:val="32"/>
        </w:rPr>
      </w:pPr>
    </w:p>
    <w:p>
      <w:pPr>
        <w:spacing w:line="490" w:lineRule="exact"/>
        <w:jc w:val="center"/>
        <w:rPr>
          <w:rFonts w:eastAsia="仿宋_GB2312"/>
          <w:sz w:val="28"/>
          <w:szCs w:val="32"/>
        </w:rPr>
      </w:pPr>
      <w:r>
        <w:rPr>
          <w:rFonts w:eastAsia="仿宋_GB2312"/>
          <w:sz w:val="28"/>
          <w:szCs w:val="32"/>
        </w:rPr>
        <w:br w:type="page"/>
      </w:r>
    </w:p>
    <w:p>
      <w:pPr>
        <w:spacing w:line="490" w:lineRule="exact"/>
        <w:jc w:val="center"/>
        <w:rPr>
          <w:rFonts w:hint="eastAsia" w:ascii="宋体" w:hAnsi="宋体" w:eastAsia="宋体" w:cs="宋体"/>
          <w:b/>
          <w:sz w:val="32"/>
          <w:szCs w:val="40"/>
          <w:lang w:val="zh-CN"/>
        </w:rPr>
      </w:pPr>
      <w:r>
        <w:rPr>
          <w:rFonts w:hint="eastAsia" w:ascii="宋体" w:hAnsi="宋体" w:eastAsia="宋体" w:cs="宋体"/>
          <w:b/>
          <w:sz w:val="32"/>
          <w:szCs w:val="40"/>
          <w:lang w:val="zh-CN"/>
        </w:rPr>
        <w:t>项目负责人质量终身责任承诺书</w:t>
      </w:r>
    </w:p>
    <w:p>
      <w:pPr>
        <w:spacing w:line="490" w:lineRule="exact"/>
        <w:jc w:val="center"/>
        <w:rPr>
          <w:rFonts w:hint="eastAsia" w:ascii="宋体" w:hAnsi="宋体" w:eastAsia="宋体" w:cs="宋体"/>
          <w:b/>
          <w:sz w:val="32"/>
          <w:szCs w:val="40"/>
          <w:lang w:val="zh-CN"/>
        </w:rPr>
      </w:pPr>
      <w:r>
        <w:rPr>
          <w:rFonts w:hint="eastAsia" w:ascii="宋体" w:hAnsi="宋体" w:eastAsia="宋体" w:cs="宋体"/>
          <w:b/>
          <w:sz w:val="32"/>
          <w:szCs w:val="40"/>
          <w:lang w:val="zh-CN"/>
        </w:rPr>
        <w:t>（适用于设计项目）</w:t>
      </w:r>
    </w:p>
    <w:p>
      <w:pPr>
        <w:spacing w:line="490" w:lineRule="exact"/>
        <w:jc w:val="center"/>
        <w:rPr>
          <w:rFonts w:eastAsia="方正小标宋_GBK"/>
          <w:b/>
          <w:bCs/>
          <w:sz w:val="40"/>
          <w:szCs w:val="44"/>
        </w:rPr>
      </w:pPr>
    </w:p>
    <w:p>
      <w:pPr>
        <w:tabs>
          <w:tab w:val="left" w:pos="-180"/>
        </w:tabs>
        <w:spacing w:line="360" w:lineRule="auto"/>
        <w:ind w:firstLine="420" w:firstLineChars="200"/>
        <w:rPr>
          <w:rFonts w:eastAsia="仿宋_GB2312"/>
          <w:sz w:val="21"/>
          <w:szCs w:val="22"/>
        </w:rPr>
      </w:pPr>
      <w:r>
        <w:rPr>
          <w:rFonts w:eastAsia="仿宋_GB2312"/>
          <w:sz w:val="21"/>
          <w:szCs w:val="22"/>
        </w:rPr>
        <w:t>本人承诺在该工程建设过程中认真履行下列相应职责，并对设计原因造成的质量问题承担相应终身质量责任。</w:t>
      </w:r>
    </w:p>
    <w:p>
      <w:pPr>
        <w:tabs>
          <w:tab w:val="left" w:pos="-180"/>
        </w:tabs>
        <w:spacing w:line="360" w:lineRule="auto"/>
        <w:ind w:firstLine="420" w:firstLineChars="200"/>
        <w:rPr>
          <w:rFonts w:eastAsia="仿宋_GB2312"/>
          <w:sz w:val="21"/>
          <w:szCs w:val="22"/>
        </w:rPr>
      </w:pPr>
      <w:r>
        <w:rPr>
          <w:rFonts w:eastAsia="仿宋_GB2312"/>
          <w:sz w:val="21"/>
          <w:szCs w:val="22"/>
        </w:rPr>
        <w:t>1．不转让所承揽的设计业务，严格按照有关法律法规、规范标准、相关规章制度和设计合同组织开展设计工作。</w:t>
      </w:r>
    </w:p>
    <w:p>
      <w:pPr>
        <w:tabs>
          <w:tab w:val="left" w:pos="-180"/>
        </w:tabs>
        <w:spacing w:line="360" w:lineRule="auto"/>
        <w:ind w:firstLine="420" w:firstLineChars="200"/>
        <w:rPr>
          <w:rFonts w:eastAsia="仿宋_GB2312"/>
          <w:sz w:val="21"/>
          <w:szCs w:val="22"/>
        </w:rPr>
      </w:pPr>
      <w:r>
        <w:rPr>
          <w:rFonts w:eastAsia="仿宋_GB2312"/>
          <w:sz w:val="21"/>
          <w:szCs w:val="22"/>
        </w:rPr>
        <w:t>2．确保承担设计项目的人员符合相应的职称或注册执业资格要求，具备相应的专业技术能力；需派驻现场设计代表机构的项目，选派符合工程建设需要的各类专业技术人员派驻现场提供设计服务。</w:t>
      </w:r>
    </w:p>
    <w:p>
      <w:pPr>
        <w:tabs>
          <w:tab w:val="left" w:pos="-180"/>
        </w:tabs>
        <w:spacing w:line="360" w:lineRule="auto"/>
        <w:ind w:firstLine="420" w:firstLineChars="200"/>
        <w:rPr>
          <w:rFonts w:eastAsia="仿宋_GB2312"/>
          <w:sz w:val="21"/>
          <w:szCs w:val="22"/>
        </w:rPr>
      </w:pPr>
      <w:r>
        <w:rPr>
          <w:rFonts w:eastAsia="仿宋_GB2312"/>
          <w:sz w:val="21"/>
          <w:szCs w:val="22"/>
        </w:rPr>
        <w:t>3．组织建立或落实设计质量管理体系，完善图纸、技术要求等设计成果审签制度。</w:t>
      </w:r>
    </w:p>
    <w:p>
      <w:pPr>
        <w:tabs>
          <w:tab w:val="left" w:pos="-180"/>
        </w:tabs>
        <w:spacing w:line="360" w:lineRule="auto"/>
        <w:ind w:firstLine="420" w:firstLineChars="200"/>
        <w:rPr>
          <w:rFonts w:eastAsia="仿宋_GB2312"/>
          <w:sz w:val="21"/>
          <w:szCs w:val="22"/>
        </w:rPr>
      </w:pPr>
      <w:r>
        <w:rPr>
          <w:rFonts w:eastAsia="仿宋_GB2312"/>
          <w:sz w:val="21"/>
          <w:szCs w:val="22"/>
        </w:rPr>
        <w:t>4．对设计成果的深度和准确性负责，审核图纸、设计文件等设计成果并签字、加盖公章，尽量避免实施期间出现较大设计变更。</w:t>
      </w:r>
    </w:p>
    <w:p>
      <w:pPr>
        <w:tabs>
          <w:tab w:val="left" w:pos="-180"/>
        </w:tabs>
        <w:spacing w:line="360" w:lineRule="auto"/>
        <w:ind w:firstLine="420" w:firstLineChars="200"/>
        <w:rPr>
          <w:rFonts w:eastAsia="仿宋_GB2312"/>
          <w:sz w:val="21"/>
          <w:szCs w:val="22"/>
        </w:rPr>
      </w:pPr>
      <w:r>
        <w:rPr>
          <w:rFonts w:eastAsia="仿宋_GB2312"/>
          <w:sz w:val="21"/>
          <w:szCs w:val="22"/>
        </w:rPr>
        <w:t>5．要求设计人员在设计文件或图纸中注明工程合理使用年限，标明采用的原材料、中间产品和工程设备的规格、性能等技术指标，明确各专业工程施工方法、实体质量检查方式和技术指标要求，上述质量要求必须符合国家规定的标准及水利工程的功能需求。</w:t>
      </w:r>
    </w:p>
    <w:p>
      <w:pPr>
        <w:tabs>
          <w:tab w:val="left" w:pos="-180"/>
        </w:tabs>
        <w:spacing w:line="360" w:lineRule="auto"/>
        <w:ind w:firstLine="420" w:firstLineChars="200"/>
        <w:rPr>
          <w:rFonts w:eastAsia="仿宋_GB2312"/>
          <w:sz w:val="21"/>
          <w:szCs w:val="22"/>
        </w:rPr>
      </w:pPr>
      <w:r>
        <w:rPr>
          <w:rFonts w:eastAsia="仿宋_GB2312"/>
          <w:sz w:val="21"/>
          <w:szCs w:val="22"/>
        </w:rPr>
        <w:t>6．组织做好设计后期服务工作，包括在工程开工前，向监理和施工等单位进行技术交底，并解答设计相关问题；解决施工中的设计问题，按照规定要求办理设计变更手续；参加法人验收和政府验收，主持编写设计工作报告并审核签字，就工程是否满足设计要求提出明确结论，并在验收成果文件上签字、盖章。</w:t>
      </w:r>
    </w:p>
    <w:p>
      <w:pPr>
        <w:tabs>
          <w:tab w:val="left" w:pos="-180"/>
        </w:tabs>
        <w:spacing w:line="360" w:lineRule="auto"/>
        <w:ind w:firstLine="420" w:firstLineChars="200"/>
        <w:rPr>
          <w:rFonts w:eastAsia="仿宋_GB2312"/>
          <w:sz w:val="21"/>
          <w:szCs w:val="22"/>
        </w:rPr>
      </w:pPr>
      <w:r>
        <w:rPr>
          <w:rFonts w:eastAsia="仿宋_GB2312"/>
          <w:sz w:val="21"/>
          <w:szCs w:val="22"/>
        </w:rPr>
        <w:t>7．确保工程设计资料收集真实、准确、完整，签章手续齐全，及时整理移交并归档。</w:t>
      </w:r>
    </w:p>
    <w:p>
      <w:pPr>
        <w:tabs>
          <w:tab w:val="left" w:pos="-180"/>
        </w:tabs>
        <w:spacing w:line="360" w:lineRule="auto"/>
        <w:ind w:firstLine="420" w:firstLineChars="200"/>
        <w:rPr>
          <w:rFonts w:eastAsia="仿宋_GB2312"/>
          <w:sz w:val="21"/>
          <w:szCs w:val="22"/>
        </w:rPr>
      </w:pPr>
      <w:r>
        <w:rPr>
          <w:rFonts w:eastAsia="仿宋_GB2312"/>
          <w:sz w:val="21"/>
          <w:szCs w:val="22"/>
        </w:rPr>
        <w:t>8．履行其他法律法规和规程规范中规定的职责。</w:t>
      </w:r>
    </w:p>
    <w:p>
      <w:pPr>
        <w:tabs>
          <w:tab w:val="left" w:pos="-180"/>
        </w:tabs>
        <w:spacing w:line="360" w:lineRule="auto"/>
        <w:ind w:firstLine="420" w:firstLineChars="200"/>
        <w:rPr>
          <w:rFonts w:eastAsia="仿宋_GB2312"/>
          <w:sz w:val="21"/>
          <w:szCs w:val="22"/>
        </w:rPr>
      </w:pPr>
      <w:r>
        <w:rPr>
          <w:rFonts w:eastAsia="仿宋_GB2312"/>
          <w:sz w:val="21"/>
          <w:szCs w:val="22"/>
        </w:rPr>
        <w:t>本承诺书一式四份，一份在办理质量监督手续时提交质量监督机构；一份在竣工验收时提交竣工验收主持单位，与竣工验收鉴定书等资料一起作为永久档案保存；一份由项目法人作为工程建设永久档案进行归档保存；一份由承诺人自行保存。</w:t>
      </w:r>
    </w:p>
    <w:p>
      <w:pPr>
        <w:tabs>
          <w:tab w:val="left" w:pos="-180"/>
        </w:tabs>
        <w:spacing w:line="360" w:lineRule="auto"/>
        <w:ind w:firstLine="420" w:firstLineChars="200"/>
        <w:rPr>
          <w:rFonts w:eastAsia="仿宋_GB2312"/>
          <w:sz w:val="21"/>
          <w:szCs w:val="22"/>
        </w:rPr>
      </w:pPr>
    </w:p>
    <w:p>
      <w:pPr>
        <w:tabs>
          <w:tab w:val="left" w:pos="-180"/>
        </w:tabs>
        <w:spacing w:line="360" w:lineRule="auto"/>
        <w:ind w:firstLine="420" w:firstLineChars="200"/>
        <w:rPr>
          <w:rFonts w:eastAsia="仿宋_GB2312"/>
          <w:sz w:val="21"/>
          <w:szCs w:val="22"/>
        </w:rPr>
      </w:pPr>
    </w:p>
    <w:p>
      <w:pPr>
        <w:tabs>
          <w:tab w:val="left" w:pos="-180"/>
        </w:tabs>
        <w:spacing w:line="360" w:lineRule="auto"/>
        <w:ind w:firstLine="420" w:firstLineChars="200"/>
        <w:rPr>
          <w:rFonts w:eastAsia="仿宋_GB2312"/>
          <w:sz w:val="21"/>
          <w:szCs w:val="22"/>
          <w:u w:val="single"/>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承诺人签字：</w:t>
      </w:r>
      <w:r>
        <w:rPr>
          <w:rFonts w:eastAsia="仿宋_GB2312"/>
          <w:sz w:val="21"/>
          <w:szCs w:val="22"/>
          <w:u w:val="single"/>
        </w:rPr>
        <w:t xml:space="preserve">                   </w:t>
      </w:r>
    </w:p>
    <w:p>
      <w:pPr>
        <w:tabs>
          <w:tab w:val="left" w:pos="-180"/>
        </w:tabs>
        <w:spacing w:line="360" w:lineRule="auto"/>
        <w:ind w:firstLine="420" w:firstLineChars="200"/>
        <w:rPr>
          <w:rFonts w:eastAsia="仿宋_GB2312"/>
          <w:sz w:val="21"/>
          <w:szCs w:val="22"/>
          <w:u w:val="single"/>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身份证号：</w:t>
      </w:r>
      <w:r>
        <w:rPr>
          <w:rFonts w:eastAsia="仿宋_GB2312"/>
          <w:sz w:val="21"/>
          <w:szCs w:val="22"/>
          <w:u w:val="single"/>
        </w:rPr>
        <w:t xml:space="preserve">                   </w:t>
      </w:r>
    </w:p>
    <w:p>
      <w:pPr>
        <w:tabs>
          <w:tab w:val="left" w:pos="-180"/>
        </w:tabs>
        <w:spacing w:line="360" w:lineRule="auto"/>
        <w:ind w:firstLine="420" w:firstLineChars="200"/>
        <w:rPr>
          <w:rFonts w:eastAsia="仿宋_GB2312"/>
          <w:sz w:val="21"/>
          <w:szCs w:val="22"/>
          <w:u w:val="single"/>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注册执业资格：</w:t>
      </w:r>
      <w:r>
        <w:rPr>
          <w:rFonts w:eastAsia="仿宋_GB2312"/>
          <w:sz w:val="21"/>
          <w:szCs w:val="22"/>
          <w:u w:val="single"/>
        </w:rPr>
        <w:t xml:space="preserve">               </w:t>
      </w:r>
    </w:p>
    <w:p>
      <w:pPr>
        <w:tabs>
          <w:tab w:val="left" w:pos="-180"/>
        </w:tabs>
        <w:spacing w:line="360" w:lineRule="auto"/>
        <w:ind w:firstLine="420" w:firstLineChars="200"/>
        <w:rPr>
          <w:rFonts w:eastAsia="仿宋_GB2312"/>
          <w:sz w:val="21"/>
          <w:szCs w:val="22"/>
          <w:u w:val="single"/>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注册执业证号：</w:t>
      </w:r>
      <w:r>
        <w:rPr>
          <w:rFonts w:eastAsia="仿宋_GB2312"/>
          <w:sz w:val="21"/>
          <w:szCs w:val="22"/>
          <w:u w:val="single"/>
        </w:rPr>
        <w:t xml:space="preserve">               </w:t>
      </w:r>
    </w:p>
    <w:p>
      <w:pPr>
        <w:tabs>
          <w:tab w:val="left" w:pos="-180"/>
        </w:tabs>
        <w:spacing w:line="360" w:lineRule="auto"/>
        <w:ind w:firstLine="420" w:firstLineChars="200"/>
        <w:rPr>
          <w:rFonts w:eastAsia="仿宋_GB2312"/>
          <w:sz w:val="21"/>
          <w:szCs w:val="22"/>
          <w:u w:val="single"/>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职称及专业：</w:t>
      </w:r>
      <w:r>
        <w:rPr>
          <w:rFonts w:eastAsia="仿宋_GB2312"/>
          <w:sz w:val="21"/>
          <w:szCs w:val="22"/>
          <w:u w:val="single"/>
        </w:rPr>
        <w:t xml:space="preserve">                 </w:t>
      </w:r>
    </w:p>
    <w:p>
      <w:pPr>
        <w:tabs>
          <w:tab w:val="left" w:pos="-180"/>
        </w:tabs>
        <w:spacing w:line="360" w:lineRule="auto"/>
        <w:ind w:firstLine="420" w:firstLineChars="200"/>
        <w:rPr>
          <w:rFonts w:eastAsia="仿宋_GB2312"/>
          <w:sz w:val="21"/>
          <w:szCs w:val="22"/>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签字日期：</w:t>
      </w:r>
      <w:r>
        <w:rPr>
          <w:rFonts w:eastAsia="仿宋_GB2312"/>
          <w:sz w:val="21"/>
          <w:szCs w:val="22"/>
          <w:u w:val="single"/>
        </w:rPr>
        <w:t xml:space="preserve">   </w:t>
      </w:r>
      <w:r>
        <w:rPr>
          <w:rFonts w:hint="eastAsia" w:eastAsia="仿宋_GB2312"/>
          <w:sz w:val="21"/>
          <w:szCs w:val="22"/>
          <w:u w:val="single"/>
          <w:lang w:val="en-US" w:eastAsia="zh-CN"/>
        </w:rPr>
        <w:t xml:space="preserve"> </w:t>
      </w:r>
      <w:r>
        <w:rPr>
          <w:rFonts w:eastAsia="仿宋_GB2312"/>
          <w:sz w:val="21"/>
          <w:szCs w:val="22"/>
          <w:u w:val="single"/>
        </w:rPr>
        <w:t xml:space="preserve">  </w:t>
      </w:r>
      <w:r>
        <w:rPr>
          <w:rFonts w:eastAsia="仿宋_GB2312"/>
          <w:sz w:val="21"/>
          <w:szCs w:val="22"/>
        </w:rPr>
        <w:t>年</w:t>
      </w:r>
      <w:r>
        <w:rPr>
          <w:rFonts w:eastAsia="仿宋_GB2312"/>
          <w:sz w:val="21"/>
          <w:szCs w:val="22"/>
          <w:u w:val="single"/>
        </w:rPr>
        <w:t xml:space="preserve">    </w:t>
      </w:r>
      <w:r>
        <w:rPr>
          <w:rFonts w:eastAsia="仿宋_GB2312"/>
          <w:sz w:val="21"/>
          <w:szCs w:val="22"/>
        </w:rPr>
        <w:t>月</w:t>
      </w:r>
      <w:r>
        <w:rPr>
          <w:rFonts w:eastAsia="仿宋_GB2312"/>
          <w:sz w:val="21"/>
          <w:szCs w:val="22"/>
          <w:u w:val="single"/>
        </w:rPr>
        <w:t xml:space="preserve">    </w:t>
      </w:r>
      <w:r>
        <w:rPr>
          <w:rFonts w:eastAsia="仿宋_GB2312"/>
          <w:sz w:val="21"/>
          <w:szCs w:val="22"/>
        </w:rPr>
        <w:t>日</w:t>
      </w:r>
    </w:p>
    <w:p>
      <w:pPr>
        <w:spacing w:line="490" w:lineRule="exact"/>
        <w:jc w:val="center"/>
        <w:rPr>
          <w:rFonts w:eastAsia="仿宋_GB2312"/>
          <w:sz w:val="28"/>
          <w:szCs w:val="32"/>
        </w:rPr>
      </w:pPr>
      <w:r>
        <w:rPr>
          <w:rFonts w:eastAsia="仿宋_GB2312"/>
          <w:sz w:val="28"/>
          <w:szCs w:val="32"/>
        </w:rPr>
        <w:br w:type="page"/>
      </w:r>
    </w:p>
    <w:p>
      <w:pPr>
        <w:spacing w:line="490" w:lineRule="exact"/>
        <w:jc w:val="center"/>
        <w:rPr>
          <w:rFonts w:hint="eastAsia" w:ascii="宋体" w:hAnsi="宋体" w:eastAsia="宋体" w:cs="宋体"/>
          <w:b/>
          <w:sz w:val="32"/>
          <w:szCs w:val="32"/>
          <w:lang w:val="zh-CN"/>
        </w:rPr>
      </w:pPr>
      <w:r>
        <w:rPr>
          <w:rFonts w:hint="eastAsia" w:ascii="宋体" w:hAnsi="宋体" w:eastAsia="宋体" w:cs="宋体"/>
          <w:b/>
          <w:sz w:val="32"/>
          <w:szCs w:val="32"/>
          <w:lang w:val="zh-CN"/>
        </w:rPr>
        <w:t>项目负责人质量终身责任承诺书</w:t>
      </w:r>
    </w:p>
    <w:p>
      <w:pPr>
        <w:spacing w:line="490" w:lineRule="exact"/>
        <w:jc w:val="center"/>
        <w:rPr>
          <w:rFonts w:hint="eastAsia" w:ascii="宋体" w:hAnsi="宋体" w:eastAsia="宋体" w:cs="宋体"/>
          <w:b/>
          <w:bCs/>
          <w:sz w:val="32"/>
          <w:szCs w:val="32"/>
        </w:rPr>
      </w:pPr>
      <w:r>
        <w:rPr>
          <w:rFonts w:hint="eastAsia" w:ascii="宋体" w:hAnsi="宋体" w:eastAsia="宋体" w:cs="宋体"/>
          <w:b/>
          <w:sz w:val="32"/>
          <w:szCs w:val="32"/>
          <w:lang w:val="zh-CN"/>
        </w:rPr>
        <w:t>（适用于勘察设计项目）</w:t>
      </w:r>
    </w:p>
    <w:p>
      <w:pPr>
        <w:spacing w:line="490" w:lineRule="exact"/>
        <w:jc w:val="center"/>
        <w:rPr>
          <w:rFonts w:eastAsia="方正小标宋_GBK"/>
          <w:b/>
          <w:bCs/>
          <w:sz w:val="40"/>
          <w:szCs w:val="44"/>
        </w:rPr>
      </w:pPr>
    </w:p>
    <w:p>
      <w:pPr>
        <w:tabs>
          <w:tab w:val="left" w:pos="-180"/>
        </w:tabs>
        <w:spacing w:line="360" w:lineRule="auto"/>
        <w:ind w:firstLine="420" w:firstLineChars="200"/>
        <w:rPr>
          <w:rFonts w:eastAsia="仿宋_GB2312"/>
          <w:sz w:val="21"/>
          <w:szCs w:val="22"/>
        </w:rPr>
      </w:pPr>
      <w:r>
        <w:rPr>
          <w:rFonts w:eastAsia="仿宋_GB2312"/>
          <w:sz w:val="21"/>
          <w:szCs w:val="22"/>
        </w:rPr>
        <w:t>本人承诺在该工程建设过程中认真履行下列相应职责，并对勘察设计原因造成的质量问题承担相应终身质量责任。</w:t>
      </w:r>
    </w:p>
    <w:p>
      <w:pPr>
        <w:tabs>
          <w:tab w:val="left" w:pos="-180"/>
        </w:tabs>
        <w:spacing w:line="360" w:lineRule="auto"/>
        <w:ind w:firstLine="420" w:firstLineChars="200"/>
        <w:rPr>
          <w:rFonts w:eastAsia="仿宋_GB2312"/>
          <w:sz w:val="21"/>
          <w:szCs w:val="22"/>
        </w:rPr>
      </w:pPr>
      <w:r>
        <w:rPr>
          <w:rFonts w:eastAsia="仿宋_GB2312"/>
          <w:sz w:val="21"/>
          <w:szCs w:val="22"/>
        </w:rPr>
        <w:t>1．不转让所承揽的勘察设计业务，严格按照有关法律法规、规范标准、相关规章制度和勘察设计合同组织开展勘察设计工作。</w:t>
      </w:r>
    </w:p>
    <w:p>
      <w:pPr>
        <w:tabs>
          <w:tab w:val="left" w:pos="-180"/>
        </w:tabs>
        <w:spacing w:line="360" w:lineRule="auto"/>
        <w:ind w:firstLine="420" w:firstLineChars="200"/>
        <w:rPr>
          <w:rFonts w:eastAsia="仿宋_GB2312"/>
          <w:sz w:val="21"/>
          <w:szCs w:val="22"/>
        </w:rPr>
      </w:pPr>
      <w:r>
        <w:rPr>
          <w:rFonts w:eastAsia="仿宋_GB2312"/>
          <w:sz w:val="21"/>
          <w:szCs w:val="22"/>
        </w:rPr>
        <w:t>2．确保承担勘察设计项目的人员符合相应的职称或注册执业资格要求，具备相应的专业技术能力；需派驻现场设计代表机构的项目，选派符合工程建设需要的各类专业技术人员派驻现场提供设计服务。</w:t>
      </w:r>
    </w:p>
    <w:p>
      <w:pPr>
        <w:tabs>
          <w:tab w:val="left" w:pos="-180"/>
        </w:tabs>
        <w:spacing w:line="360" w:lineRule="auto"/>
        <w:ind w:firstLine="420" w:firstLineChars="200"/>
        <w:rPr>
          <w:rFonts w:eastAsia="仿宋_GB2312"/>
          <w:sz w:val="21"/>
          <w:szCs w:val="22"/>
        </w:rPr>
      </w:pPr>
      <w:r>
        <w:rPr>
          <w:rFonts w:eastAsia="仿宋_GB2312"/>
          <w:sz w:val="21"/>
          <w:szCs w:val="22"/>
        </w:rPr>
        <w:t>3．组织建立或落实勘察设计质量管理体系，建立健全规章制度，完善图纸、技术要求等勘察设计成果审签制度。</w:t>
      </w:r>
    </w:p>
    <w:p>
      <w:pPr>
        <w:tabs>
          <w:tab w:val="left" w:pos="-180"/>
        </w:tabs>
        <w:spacing w:line="360" w:lineRule="auto"/>
        <w:ind w:firstLine="420" w:firstLineChars="200"/>
        <w:rPr>
          <w:rFonts w:eastAsia="仿宋_GB2312"/>
          <w:sz w:val="21"/>
          <w:szCs w:val="22"/>
        </w:rPr>
      </w:pPr>
      <w:r>
        <w:rPr>
          <w:rFonts w:eastAsia="仿宋_GB2312"/>
          <w:sz w:val="21"/>
          <w:szCs w:val="22"/>
        </w:rPr>
        <w:t>4．对勘察设计成果的深度和准确性负责，保证勘察设计文件符合规定的深度要求，审核图纸、勘察设计文件等勘察设计成果并签字、加盖公章，尽量避免实施期间出现较大勘察设计变更。</w:t>
      </w:r>
    </w:p>
    <w:p>
      <w:pPr>
        <w:tabs>
          <w:tab w:val="left" w:pos="-180"/>
        </w:tabs>
        <w:spacing w:line="360" w:lineRule="auto"/>
        <w:ind w:firstLine="420" w:firstLineChars="200"/>
        <w:rPr>
          <w:rFonts w:eastAsia="仿宋_GB2312"/>
          <w:sz w:val="21"/>
          <w:szCs w:val="22"/>
        </w:rPr>
      </w:pPr>
      <w:r>
        <w:rPr>
          <w:rFonts w:eastAsia="仿宋_GB2312"/>
          <w:sz w:val="21"/>
          <w:szCs w:val="22"/>
        </w:rPr>
        <w:t>5．要求设计人员在设计文件或图纸中注明工程合理使用年限，标明采用的原材料、中间产品和工程设备的规格、性能等技术指标，明确各专业工程施工方法、实体质量检查方式和技术指标要求，上述质量要求必须符合国家规定的标准及水利工程的功能需求。</w:t>
      </w:r>
    </w:p>
    <w:p>
      <w:pPr>
        <w:tabs>
          <w:tab w:val="left" w:pos="-180"/>
        </w:tabs>
        <w:spacing w:line="360" w:lineRule="auto"/>
        <w:ind w:firstLine="420" w:firstLineChars="200"/>
        <w:rPr>
          <w:rFonts w:eastAsia="仿宋_GB2312"/>
          <w:sz w:val="21"/>
          <w:szCs w:val="22"/>
        </w:rPr>
      </w:pPr>
      <w:r>
        <w:rPr>
          <w:rFonts w:eastAsia="仿宋_GB2312"/>
          <w:sz w:val="21"/>
          <w:szCs w:val="22"/>
        </w:rPr>
        <w:t>6．组织做好勘察设计后期服务工作，及时解决工程施工中与勘察设计工作有关问题；根据工程需要，参加重要隐蔽单元工程验收，出具地质编录，包括在工程开工前，向监理和施工等单位进行技术交底，并解答勘察设计相关问题；解决施工中的勘察设计问题，按照规定要求办理设计变更手续；参加法人验收和政府验收，主持编写勘察设计工作报告并审核签字，就工程是否满足设计要求提出明确结论，并在验收成果文件上签字、盖章。</w:t>
      </w:r>
    </w:p>
    <w:p>
      <w:pPr>
        <w:tabs>
          <w:tab w:val="left" w:pos="-180"/>
        </w:tabs>
        <w:spacing w:line="360" w:lineRule="auto"/>
        <w:ind w:firstLine="420" w:firstLineChars="200"/>
        <w:rPr>
          <w:rFonts w:eastAsia="仿宋_GB2312"/>
          <w:sz w:val="21"/>
          <w:szCs w:val="22"/>
        </w:rPr>
      </w:pPr>
      <w:r>
        <w:rPr>
          <w:rFonts w:eastAsia="仿宋_GB2312"/>
          <w:sz w:val="21"/>
          <w:szCs w:val="22"/>
        </w:rPr>
        <w:t>7．确保工程勘察设计资料收集真实、准确、完整，签章手续齐全，及时整理移交并归档。</w:t>
      </w:r>
    </w:p>
    <w:p>
      <w:pPr>
        <w:tabs>
          <w:tab w:val="left" w:pos="-180"/>
        </w:tabs>
        <w:spacing w:line="360" w:lineRule="auto"/>
        <w:ind w:firstLine="420" w:firstLineChars="200"/>
        <w:rPr>
          <w:rFonts w:eastAsia="仿宋_GB2312"/>
          <w:sz w:val="21"/>
          <w:szCs w:val="22"/>
        </w:rPr>
      </w:pPr>
      <w:r>
        <w:rPr>
          <w:rFonts w:eastAsia="仿宋_GB2312"/>
          <w:sz w:val="21"/>
          <w:szCs w:val="22"/>
        </w:rPr>
        <w:t>8．履行其他法律法规和规程规范中规定的职责。</w:t>
      </w:r>
    </w:p>
    <w:p>
      <w:pPr>
        <w:tabs>
          <w:tab w:val="left" w:pos="-180"/>
        </w:tabs>
        <w:spacing w:line="360" w:lineRule="auto"/>
        <w:ind w:firstLine="420" w:firstLineChars="200"/>
        <w:rPr>
          <w:rFonts w:eastAsia="仿宋_GB2312"/>
          <w:sz w:val="21"/>
          <w:szCs w:val="22"/>
        </w:rPr>
      </w:pPr>
      <w:r>
        <w:rPr>
          <w:rFonts w:eastAsia="仿宋_GB2312"/>
          <w:sz w:val="21"/>
          <w:szCs w:val="22"/>
        </w:rPr>
        <w:t>本承诺书一式四份，一份在办理质量监督手续时提交质量监督机构；一份在竣工验收时提交竣工验收主持单位，与竣工验收鉴定书等资料一起作为永久档案保存；一份由项目法人作为工程建设永久档案进行归档保存；一份由承诺人自行保存。</w:t>
      </w:r>
    </w:p>
    <w:p>
      <w:pPr>
        <w:tabs>
          <w:tab w:val="left" w:pos="-180"/>
        </w:tabs>
        <w:spacing w:line="360" w:lineRule="auto"/>
        <w:ind w:firstLine="3418" w:firstLineChars="1285"/>
        <w:rPr>
          <w:rFonts w:eastAsia="仿宋_GB2312"/>
          <w:spacing w:val="28"/>
          <w:sz w:val="21"/>
          <w:szCs w:val="22"/>
        </w:rPr>
      </w:pPr>
    </w:p>
    <w:p>
      <w:pPr>
        <w:tabs>
          <w:tab w:val="left" w:pos="-180"/>
        </w:tabs>
        <w:spacing w:line="360" w:lineRule="auto"/>
        <w:ind w:firstLine="3418" w:firstLineChars="1285"/>
        <w:rPr>
          <w:rFonts w:eastAsia="仿宋_GB2312"/>
          <w:sz w:val="21"/>
          <w:szCs w:val="22"/>
        </w:rPr>
      </w:pP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eastAsia="仿宋_GB2312"/>
          <w:spacing w:val="28"/>
          <w:sz w:val="21"/>
          <w:szCs w:val="22"/>
        </w:rPr>
        <w:t>承诺人签字</w:t>
      </w:r>
      <w:r>
        <w:rPr>
          <w:rFonts w:eastAsia="仿宋_GB2312"/>
          <w:sz w:val="21"/>
          <w:szCs w:val="22"/>
        </w:rPr>
        <w:t>：</w:t>
      </w:r>
      <w:r>
        <w:rPr>
          <w:rFonts w:eastAsia="仿宋_GB2312"/>
          <w:sz w:val="21"/>
          <w:szCs w:val="22"/>
          <w:u w:val="single"/>
        </w:rPr>
        <w:t xml:space="preserve">                   </w:t>
      </w:r>
    </w:p>
    <w:p>
      <w:pPr>
        <w:tabs>
          <w:tab w:val="left" w:pos="-180"/>
        </w:tabs>
        <w:spacing w:line="360" w:lineRule="auto"/>
        <w:ind w:firstLine="3598" w:firstLineChars="1028"/>
        <w:rPr>
          <w:rFonts w:eastAsia="仿宋_GB2312"/>
          <w:spacing w:val="40"/>
          <w:sz w:val="21"/>
          <w:szCs w:val="22"/>
        </w:rPr>
      </w:pP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eastAsia="仿宋_GB2312"/>
          <w:spacing w:val="70"/>
          <w:sz w:val="21"/>
          <w:szCs w:val="22"/>
        </w:rPr>
        <w:t>身份证号</w:t>
      </w:r>
      <w:r>
        <w:rPr>
          <w:rFonts w:eastAsia="仿宋_GB2312"/>
          <w:sz w:val="21"/>
          <w:szCs w:val="22"/>
        </w:rPr>
        <w:t>：</w:t>
      </w:r>
      <w:r>
        <w:rPr>
          <w:rFonts w:eastAsia="仿宋_GB2312"/>
          <w:sz w:val="21"/>
          <w:szCs w:val="22"/>
          <w:u w:val="single"/>
        </w:rPr>
        <w:t xml:space="preserve">                   </w:t>
      </w:r>
    </w:p>
    <w:p>
      <w:pPr>
        <w:tabs>
          <w:tab w:val="left" w:pos="-180"/>
        </w:tabs>
        <w:spacing w:line="360" w:lineRule="auto"/>
        <w:ind w:firstLine="3238" w:firstLineChars="1542"/>
        <w:rPr>
          <w:rFonts w:eastAsia="仿宋_GB2312"/>
          <w:sz w:val="21"/>
          <w:szCs w:val="22"/>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注册执业资格：</w:t>
      </w:r>
      <w:r>
        <w:rPr>
          <w:rFonts w:eastAsia="仿宋_GB2312"/>
          <w:sz w:val="21"/>
          <w:szCs w:val="22"/>
          <w:u w:val="single"/>
        </w:rPr>
        <w:t xml:space="preserve">        </w:t>
      </w:r>
      <w:r>
        <w:rPr>
          <w:rFonts w:hint="eastAsia" w:eastAsia="仿宋_GB2312"/>
          <w:sz w:val="21"/>
          <w:szCs w:val="22"/>
          <w:u w:val="single"/>
          <w:lang w:val="en-US" w:eastAsia="zh-CN"/>
        </w:rPr>
        <w:t xml:space="preserve">  </w:t>
      </w:r>
      <w:r>
        <w:rPr>
          <w:rFonts w:eastAsia="仿宋_GB2312"/>
          <w:sz w:val="21"/>
          <w:szCs w:val="22"/>
          <w:u w:val="single"/>
        </w:rPr>
        <w:t xml:space="preserve">           </w:t>
      </w:r>
    </w:p>
    <w:p>
      <w:pPr>
        <w:tabs>
          <w:tab w:val="left" w:pos="-180"/>
        </w:tabs>
        <w:spacing w:line="360" w:lineRule="auto"/>
        <w:ind w:firstLine="3238" w:firstLineChars="1542"/>
        <w:rPr>
          <w:rFonts w:eastAsia="仿宋_GB2312"/>
          <w:sz w:val="21"/>
          <w:szCs w:val="22"/>
        </w:rPr>
      </w:pP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hint="eastAsia" w:eastAsia="仿宋_GB2312"/>
          <w:sz w:val="21"/>
          <w:szCs w:val="22"/>
          <w:lang w:val="en-US" w:eastAsia="zh-CN"/>
        </w:rPr>
        <w:tab/>
      </w:r>
      <w:r>
        <w:rPr>
          <w:rFonts w:eastAsia="仿宋_GB2312"/>
          <w:sz w:val="21"/>
          <w:szCs w:val="22"/>
        </w:rPr>
        <w:t>注册执业证号：</w:t>
      </w:r>
      <w:r>
        <w:rPr>
          <w:rFonts w:eastAsia="仿宋_GB2312"/>
          <w:sz w:val="21"/>
          <w:szCs w:val="22"/>
          <w:u w:val="single"/>
        </w:rPr>
        <w:t xml:space="preserve">        </w:t>
      </w:r>
      <w:r>
        <w:rPr>
          <w:rFonts w:hint="eastAsia" w:eastAsia="仿宋_GB2312"/>
          <w:sz w:val="21"/>
          <w:szCs w:val="22"/>
          <w:u w:val="single"/>
          <w:lang w:val="en-US" w:eastAsia="zh-CN"/>
        </w:rPr>
        <w:t xml:space="preserve">  </w:t>
      </w:r>
      <w:r>
        <w:rPr>
          <w:rFonts w:eastAsia="仿宋_GB2312"/>
          <w:sz w:val="21"/>
          <w:szCs w:val="22"/>
          <w:u w:val="single"/>
        </w:rPr>
        <w:t xml:space="preserve">           </w:t>
      </w:r>
    </w:p>
    <w:p>
      <w:pPr>
        <w:tabs>
          <w:tab w:val="left" w:pos="-180"/>
        </w:tabs>
        <w:spacing w:line="360" w:lineRule="auto"/>
        <w:ind w:firstLine="3418" w:firstLineChars="1285"/>
        <w:rPr>
          <w:rFonts w:eastAsia="仿宋_GB2312"/>
          <w:sz w:val="21"/>
          <w:szCs w:val="22"/>
          <w:u w:val="single"/>
        </w:rPr>
      </w:pP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hint="eastAsia" w:eastAsia="仿宋_GB2312"/>
          <w:spacing w:val="28"/>
          <w:sz w:val="21"/>
          <w:szCs w:val="22"/>
          <w:lang w:val="en-US" w:eastAsia="zh-CN"/>
        </w:rPr>
        <w:tab/>
      </w:r>
      <w:r>
        <w:rPr>
          <w:rFonts w:eastAsia="仿宋_GB2312"/>
          <w:spacing w:val="28"/>
          <w:sz w:val="21"/>
          <w:szCs w:val="22"/>
        </w:rPr>
        <w:t>职称及专业</w:t>
      </w:r>
      <w:r>
        <w:rPr>
          <w:rFonts w:eastAsia="仿宋_GB2312"/>
          <w:sz w:val="21"/>
          <w:szCs w:val="22"/>
        </w:rPr>
        <w:t>：</w:t>
      </w:r>
      <w:r>
        <w:rPr>
          <w:rFonts w:eastAsia="仿宋_GB2312"/>
          <w:sz w:val="21"/>
          <w:szCs w:val="22"/>
          <w:u w:val="single"/>
        </w:rPr>
        <w:t xml:space="preserve">     </w:t>
      </w:r>
      <w:r>
        <w:rPr>
          <w:rFonts w:hint="eastAsia" w:eastAsia="仿宋_GB2312"/>
          <w:sz w:val="21"/>
          <w:szCs w:val="22"/>
          <w:u w:val="single"/>
          <w:lang w:val="en-US" w:eastAsia="zh-CN"/>
        </w:rPr>
        <w:t xml:space="preserve">  </w:t>
      </w:r>
      <w:r>
        <w:rPr>
          <w:rFonts w:eastAsia="仿宋_GB2312"/>
          <w:sz w:val="21"/>
          <w:szCs w:val="22"/>
          <w:u w:val="single"/>
        </w:rPr>
        <w:t xml:space="preserve">              </w:t>
      </w:r>
    </w:p>
    <w:p>
      <w:pPr>
        <w:tabs>
          <w:tab w:val="left" w:pos="-180"/>
        </w:tabs>
        <w:spacing w:line="360" w:lineRule="auto"/>
        <w:ind w:firstLine="3598" w:firstLineChars="1028"/>
        <w:rPr>
          <w:rFonts w:eastAsia="仿宋_GB2312"/>
          <w:sz w:val="21"/>
          <w:szCs w:val="22"/>
        </w:rPr>
      </w:pP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hint="eastAsia" w:eastAsia="仿宋_GB2312"/>
          <w:spacing w:val="70"/>
          <w:sz w:val="21"/>
          <w:szCs w:val="22"/>
          <w:lang w:val="en-US" w:eastAsia="zh-CN"/>
        </w:rPr>
        <w:tab/>
      </w:r>
      <w:r>
        <w:rPr>
          <w:rFonts w:eastAsia="仿宋_GB2312"/>
          <w:spacing w:val="70"/>
          <w:sz w:val="21"/>
          <w:szCs w:val="22"/>
        </w:rPr>
        <w:t>签字日期</w:t>
      </w:r>
      <w:r>
        <w:rPr>
          <w:rFonts w:eastAsia="仿宋_GB2312"/>
          <w:sz w:val="21"/>
          <w:szCs w:val="22"/>
        </w:rPr>
        <w:t>：</w:t>
      </w:r>
      <w:r>
        <w:rPr>
          <w:rFonts w:eastAsia="仿宋_GB2312"/>
          <w:sz w:val="21"/>
          <w:szCs w:val="22"/>
          <w:u w:val="single"/>
        </w:rPr>
        <w:t xml:space="preserve">      </w:t>
      </w:r>
      <w:r>
        <w:rPr>
          <w:rFonts w:eastAsia="仿宋_GB2312"/>
          <w:sz w:val="21"/>
          <w:szCs w:val="22"/>
        </w:rPr>
        <w:t>年</w:t>
      </w:r>
      <w:r>
        <w:rPr>
          <w:rFonts w:eastAsia="仿宋_GB2312"/>
          <w:sz w:val="21"/>
          <w:szCs w:val="22"/>
          <w:u w:val="single"/>
        </w:rPr>
        <w:t xml:space="preserve">    </w:t>
      </w:r>
      <w:r>
        <w:rPr>
          <w:rFonts w:eastAsia="仿宋_GB2312"/>
          <w:sz w:val="21"/>
          <w:szCs w:val="22"/>
        </w:rPr>
        <w:t>月</w:t>
      </w:r>
      <w:r>
        <w:rPr>
          <w:rFonts w:eastAsia="仿宋_GB2312"/>
          <w:sz w:val="21"/>
          <w:szCs w:val="22"/>
          <w:u w:val="single"/>
        </w:rPr>
        <w:t xml:space="preserve">  </w:t>
      </w:r>
      <w:r>
        <w:rPr>
          <w:rFonts w:hint="eastAsia" w:eastAsia="仿宋_GB2312"/>
          <w:sz w:val="21"/>
          <w:szCs w:val="22"/>
          <w:u w:val="single"/>
          <w:lang w:val="en-US" w:eastAsia="zh-CN"/>
        </w:rPr>
        <w:t xml:space="preserve"> </w:t>
      </w:r>
      <w:r>
        <w:rPr>
          <w:rFonts w:eastAsia="仿宋_GB2312"/>
          <w:sz w:val="21"/>
          <w:szCs w:val="22"/>
          <w:u w:val="single"/>
        </w:rPr>
        <w:t xml:space="preserve">  </w:t>
      </w:r>
      <w:r>
        <w:rPr>
          <w:rFonts w:eastAsia="仿宋_GB2312"/>
          <w:sz w:val="21"/>
          <w:szCs w:val="22"/>
        </w:rPr>
        <w:t>日</w:t>
      </w:r>
    </w:p>
    <w:p>
      <w:pPr>
        <w:bidi w:val="0"/>
      </w:pPr>
      <w:r>
        <w:br w:type="page"/>
      </w:r>
      <w:bookmarkStart w:id="3833" w:name="_Toc515440844"/>
      <w:bookmarkStart w:id="3834" w:name="_Toc688604789"/>
      <w:bookmarkStart w:id="3835" w:name="_Toc1205736227"/>
      <w:bookmarkStart w:id="3836" w:name="_Toc9836"/>
      <w:bookmarkStart w:id="3837" w:name="_Toc401982543"/>
      <w:bookmarkStart w:id="3838" w:name="_Toc11827"/>
      <w:bookmarkStart w:id="3839" w:name="_Toc1417943166"/>
      <w:bookmarkStart w:id="3840" w:name="_Toc545895923"/>
      <w:bookmarkStart w:id="3841" w:name="_Toc30310"/>
      <w:bookmarkStart w:id="3842" w:name="_Toc7186587"/>
      <w:bookmarkStart w:id="3843" w:name="_Toc245584203"/>
      <w:bookmarkStart w:id="3844" w:name="_Toc973334237"/>
      <w:bookmarkStart w:id="3845" w:name="_Toc851245947"/>
      <w:bookmarkStart w:id="3846" w:name="_Toc27648"/>
      <w:bookmarkStart w:id="3847" w:name="_Toc1789328135"/>
      <w:bookmarkStart w:id="3848" w:name="_Toc662764650"/>
      <w:bookmarkStart w:id="3849" w:name="_Toc6693"/>
      <w:bookmarkStart w:id="3850" w:name="_Toc516823083"/>
      <w:bookmarkStart w:id="3851" w:name="_Toc2224"/>
      <w:bookmarkStart w:id="3852" w:name="_Toc511396197"/>
      <w:bookmarkStart w:id="3853" w:name="_Toc19705"/>
      <w:bookmarkStart w:id="3854" w:name="_Toc698431263"/>
      <w:bookmarkStart w:id="3855" w:name="_Toc444293822"/>
      <w:bookmarkStart w:id="3856" w:name="_Toc2841"/>
      <w:bookmarkStart w:id="3857" w:name="_Toc303576092"/>
      <w:bookmarkStart w:id="3858" w:name="_Toc1428169667"/>
    </w:p>
    <w:p>
      <w:pPr>
        <w:bidi w:val="0"/>
      </w:pPr>
    </w:p>
    <w:p>
      <w:pPr>
        <w:bidi w:val="0"/>
      </w:pPr>
    </w:p>
    <w:p>
      <w:pPr>
        <w:bidi w:val="0"/>
      </w:pPr>
    </w:p>
    <w:p>
      <w:pPr>
        <w:pStyle w:val="25"/>
        <w:rPr>
          <w:rFonts w:asciiTheme="majorEastAsia" w:hAnsiTheme="majorEastAsia" w:eastAsiaTheme="majorEastAsia"/>
          <w:sz w:val="52"/>
          <w:szCs w:val="52"/>
        </w:rPr>
      </w:pPr>
      <w:r>
        <w:rPr>
          <w:rFonts w:hint="eastAsia" w:asciiTheme="majorEastAsia" w:hAnsiTheme="majorEastAsia" w:eastAsiaTheme="majorEastAsia"/>
          <w:sz w:val="52"/>
          <w:szCs w:val="52"/>
        </w:rPr>
        <w:t>第二卷</w:t>
      </w:r>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pStyle w:val="2"/>
        <w:spacing w:before="0" w:after="0" w:line="520" w:lineRule="exact"/>
        <w:jc w:val="center"/>
        <w:rPr>
          <w:rFonts w:asciiTheme="majorEastAsia" w:hAnsiTheme="majorEastAsia" w:eastAsiaTheme="majorEastAsia"/>
          <w:sz w:val="36"/>
          <w:szCs w:val="36"/>
        </w:rPr>
      </w:pPr>
      <w:bookmarkStart w:id="3859" w:name="_Toc9752"/>
      <w:bookmarkStart w:id="3860" w:name="_Toc354574915"/>
      <w:bookmarkStart w:id="3861" w:name="_Toc1929716619"/>
      <w:bookmarkStart w:id="3862" w:name="_Toc445625735"/>
      <w:bookmarkStart w:id="3863" w:name="_Toc515440845"/>
      <w:bookmarkStart w:id="3864" w:name="_Toc25250"/>
      <w:bookmarkStart w:id="3865" w:name="_Toc137046739"/>
      <w:bookmarkStart w:id="3866" w:name="_Toc87795561"/>
      <w:bookmarkStart w:id="3867" w:name="_Toc2024456004"/>
      <w:bookmarkStart w:id="3868" w:name="_Toc388622739"/>
      <w:bookmarkStart w:id="3869" w:name="_Toc744760203"/>
      <w:bookmarkStart w:id="3870" w:name="_Toc70130287"/>
      <w:bookmarkStart w:id="3871" w:name="_Toc511396198"/>
      <w:bookmarkStart w:id="3872" w:name="_Toc3694"/>
      <w:bookmarkStart w:id="3873" w:name="_Toc7186588"/>
      <w:bookmarkStart w:id="3874" w:name="_Toc1445582060"/>
      <w:bookmarkStart w:id="3875" w:name="_Toc822637877"/>
      <w:bookmarkStart w:id="3876" w:name="_Toc19141"/>
      <w:bookmarkStart w:id="3877" w:name="_Toc30548"/>
      <w:bookmarkStart w:id="3878" w:name="_Toc28385"/>
      <w:bookmarkStart w:id="3879" w:name="_Toc516823084"/>
      <w:bookmarkStart w:id="3880" w:name="_Toc1153074097"/>
      <w:bookmarkStart w:id="3881" w:name="_Toc132"/>
      <w:bookmarkStart w:id="3882" w:name="_Toc7344"/>
      <w:bookmarkStart w:id="3883" w:name="_Toc822870750"/>
      <w:bookmarkStart w:id="3884" w:name="_Toc591315040"/>
      <w:r>
        <w:rPr>
          <w:rFonts w:hint="eastAsia" w:asciiTheme="majorEastAsia" w:hAnsiTheme="majorEastAsia" w:eastAsiaTheme="majorEastAsia"/>
          <w:sz w:val="36"/>
          <w:szCs w:val="36"/>
        </w:rPr>
        <w:t>第五章 发包人要求</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left="0" w:leftChars="0" w:firstLine="0" w:firstLineChars="0"/>
        <w:jc w:val="center"/>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发包人要求</w:t>
      </w:r>
    </w:p>
    <w:p>
      <w:pPr>
        <w:widowControl/>
        <w:shd w:val="clear" w:color="auto" w:fill="FFFFFF"/>
        <w:snapToGrid w:val="0"/>
        <w:ind w:firstLine="420" w:firstLineChars="200"/>
        <w:jc w:val="left"/>
        <w:rPr>
          <w:rFonts w:hint="eastAsia" w:asciiTheme="minorEastAsia" w:hAnsiTheme="minorEastAsia"/>
          <w:b w:val="0"/>
          <w:bCs/>
          <w:szCs w:val="21"/>
        </w:rPr>
      </w:pPr>
    </w:p>
    <w:p>
      <w:pPr>
        <w:widowControl/>
        <w:shd w:val="clear" w:color="auto" w:fill="FFFFFF"/>
        <w:snapToGrid w:val="0"/>
        <w:ind w:firstLine="422" w:firstLineChars="200"/>
        <w:jc w:val="left"/>
        <w:rPr>
          <w:rFonts w:hint="eastAsia" w:asciiTheme="minorEastAsia" w:hAnsiTheme="minorEastAsia" w:eastAsiaTheme="minorEastAsia"/>
          <w:b/>
          <w:bCs w:val="0"/>
          <w:szCs w:val="21"/>
          <w:lang w:eastAsia="zh-CN"/>
        </w:rPr>
      </w:pPr>
      <w:r>
        <w:rPr>
          <w:rFonts w:hint="eastAsia" w:asciiTheme="minorEastAsia" w:hAnsiTheme="minorEastAsia"/>
          <w:b/>
          <w:bCs w:val="0"/>
          <w:szCs w:val="21"/>
        </w:rPr>
        <w:t>本章大纲内容仅供参考，招标人可根据项目实际情况和具体特点自行编写。但不得违反法律、法规和行业规章的有关规定，或与招标文件其他内容相抵触，应依据平等、自愿、公平以及诚实信用的原则</w:t>
      </w:r>
      <w:r>
        <w:rPr>
          <w:rFonts w:hint="eastAsia" w:asciiTheme="minorEastAsia" w:hAnsiTheme="minorEastAsia"/>
          <w:b/>
          <w:bCs w:val="0"/>
          <w:szCs w:val="21"/>
          <w:lang w:eastAsia="zh-CN"/>
        </w:rPr>
        <w:t>。</w:t>
      </w:r>
    </w:p>
    <w:p>
      <w:pPr>
        <w:widowControl/>
        <w:shd w:val="clear" w:color="auto" w:fill="FFFFFF"/>
        <w:snapToGrid w:val="0"/>
        <w:ind w:firstLine="420" w:firstLineChars="200"/>
        <w:jc w:val="left"/>
        <w:rPr>
          <w:rFonts w:hint="eastAsia" w:asciiTheme="minorEastAsia" w:hAnsiTheme="minorEastAsia"/>
          <w:b w:val="0"/>
          <w:bCs/>
          <w:szCs w:val="21"/>
        </w:rPr>
      </w:pPr>
    </w:p>
    <w:p>
      <w:pPr>
        <w:widowControl/>
        <w:shd w:val="clear" w:color="auto" w:fill="FFFFFF"/>
        <w:snapToGrid w:val="0"/>
        <w:ind w:firstLine="420" w:firstLineChars="200"/>
        <w:jc w:val="left"/>
        <w:rPr>
          <w:rFonts w:hint="eastAsia" w:asciiTheme="minorEastAsia" w:hAnsiTheme="minorEastAsia"/>
          <w:b w:val="0"/>
          <w:bCs/>
          <w:szCs w:val="21"/>
        </w:rPr>
      </w:pPr>
      <w:r>
        <w:rPr>
          <w:rFonts w:hint="eastAsia" w:asciiTheme="minorEastAsia" w:hAnsiTheme="minorEastAsia"/>
          <w:b w:val="0"/>
          <w:bCs/>
          <w:szCs w:val="21"/>
        </w:rPr>
        <w:t>发包人要求应尽可能清晰准确，对于可以进行定量评估的工作，发包人要求不仅应明确规定其功能、用途、质量、环境、安全，并且要规定偏差的范围和计算方法，以及检验、试验、试运行的具体要求。对于设计人负责提供的有关服务，在发包人要求中应一并明确规定。</w:t>
      </w:r>
    </w:p>
    <w:p>
      <w:pPr>
        <w:widowControl/>
        <w:shd w:val="clear" w:color="auto" w:fill="FFFFFF"/>
        <w:snapToGrid w:val="0"/>
        <w:ind w:firstLine="420" w:firstLineChars="200"/>
        <w:jc w:val="left"/>
        <w:rPr>
          <w:rFonts w:hint="eastAsia" w:asciiTheme="minorEastAsia" w:hAnsiTheme="minorEastAsia"/>
          <w:b w:val="0"/>
          <w:bCs/>
          <w:szCs w:val="21"/>
        </w:rPr>
      </w:pPr>
      <w:r>
        <w:rPr>
          <w:rFonts w:hint="eastAsia" w:asciiTheme="minorEastAsia" w:hAnsiTheme="minorEastAsia"/>
          <w:b w:val="0"/>
          <w:bCs/>
          <w:szCs w:val="21"/>
        </w:rPr>
        <w:t>发包人要求通常包括但不限于以下内容:</w:t>
      </w:r>
    </w:p>
    <w:p>
      <w:pPr>
        <w:widowControl/>
        <w:shd w:val="clear" w:color="auto" w:fill="FFFFFF"/>
        <w:snapToGrid w:val="0"/>
        <w:ind w:firstLine="420" w:firstLineChars="200"/>
        <w:jc w:val="left"/>
        <w:rPr>
          <w:rFonts w:hint="eastAsia" w:asciiTheme="minorEastAsia" w:hAnsiTheme="minorEastAsia" w:eastAsiaTheme="minorEastAsia"/>
          <w:b w:val="0"/>
          <w:bCs/>
          <w:szCs w:val="21"/>
          <w:lang w:eastAsia="zh-CN"/>
        </w:rPr>
      </w:pPr>
      <w:r>
        <w:rPr>
          <w:rFonts w:hint="eastAsia" w:asciiTheme="minorEastAsia" w:hAnsiTheme="minorEastAsia"/>
          <w:b w:val="0"/>
          <w:bCs/>
          <w:szCs w:val="21"/>
          <w:lang w:eastAsia="zh-CN"/>
        </w:rPr>
        <w:t>（</w:t>
      </w:r>
      <w:r>
        <w:rPr>
          <w:rFonts w:hint="eastAsia" w:asciiTheme="minorEastAsia" w:hAnsiTheme="minorEastAsia"/>
          <w:b w:val="0"/>
          <w:bCs/>
          <w:szCs w:val="21"/>
          <w:lang w:val="en-US" w:eastAsia="zh-CN"/>
        </w:rPr>
        <w:t>由发包人自行补充</w:t>
      </w:r>
      <w:r>
        <w:rPr>
          <w:rFonts w:hint="eastAsia" w:asciiTheme="minorEastAsia" w:hAnsiTheme="minorEastAsia"/>
          <w:b w:val="0"/>
          <w:bCs/>
          <w:szCs w:val="21"/>
          <w:lang w:eastAsia="zh-CN"/>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一、要求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招标人应当根据项目情况在本章中明确相应的</w:t>
      </w:r>
      <w:r>
        <w:rPr>
          <w:rFonts w:hint="eastAsia" w:asciiTheme="minorEastAsia" w:hAnsiTheme="minorEastAsia"/>
          <w:b w:val="0"/>
          <w:bCs/>
          <w:szCs w:val="21"/>
          <w:u w:val="single"/>
        </w:rPr>
        <w:t>□勘察</w:t>
      </w:r>
      <w:r>
        <w:rPr>
          <w:rFonts w:hint="eastAsia" w:asciiTheme="minorEastAsia" w:hAnsiTheme="minorEastAsia"/>
          <w:b w:val="0"/>
          <w:bCs/>
          <w:szCs w:val="21"/>
          <w:u w:val="single"/>
          <w:lang w:eastAsia="zh-CN"/>
        </w:rPr>
        <w:t>□</w:t>
      </w:r>
      <w:r>
        <w:rPr>
          <w:rFonts w:hint="eastAsia" w:asciiTheme="minorEastAsia" w:hAnsiTheme="minorEastAsia"/>
          <w:b w:val="0"/>
          <w:bCs/>
          <w:szCs w:val="21"/>
          <w:u w:val="single"/>
        </w:rPr>
        <w:t>设计□勘察设计</w:t>
      </w:r>
      <w:r>
        <w:rPr>
          <w:rFonts w:hint="eastAsia" w:asciiTheme="minorEastAsia" w:hAnsiTheme="minorEastAsia"/>
          <w:b w:val="0"/>
          <w:bCs/>
          <w:szCs w:val="21"/>
        </w:rPr>
        <w:t xml:space="preserve">要求，一般应包括以下内容：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1．项目概况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包括项目名称、建设单位、建设规模、技术标准、项目地理位置、周边环境、树木情况、文物情况、地质地貌、水文、气候及气象条件、道路交通状况、市政情况等。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2．服务范围及内容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3．工作依据</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4．基础资料（适用于有勘察项目的情况）</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5．项目使用功能的要求</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6．人员和设备（设备适用于有勘察项目的情况）要求</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7．其他要求</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二、适用规范标准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1．国家、行业、项目所在地规范名录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2．国家、行业、项目所在地标准名录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3．国家、行业、项目所在地规程名录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三、成果文件要求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1．成果文件的组成：工作说明、图纸等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2．成果文件的深度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3．成果文件的格式要求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4．成果文件的份数要求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5．成果文件的载体要求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（1）纸质版的要求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（2）电子版的要求</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（3）其他要求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6．成果文件的展板、模型、沙盘、动画要求（适用于有设计项目的情况</w:t>
      </w:r>
      <w:r>
        <w:rPr>
          <w:rFonts w:hint="eastAsia" w:asciiTheme="minorEastAsia" w:hAnsiTheme="minorEastAsia"/>
          <w:b w:val="0"/>
          <w:bCs/>
          <w:szCs w:val="21"/>
          <w:lang w:eastAsia="zh-CN"/>
        </w:rPr>
        <w:t>，</w:t>
      </w:r>
      <w:r>
        <w:rPr>
          <w:rFonts w:hint="eastAsia" w:asciiTheme="minorEastAsia" w:hAnsiTheme="minorEastAsia"/>
          <w:b w:val="0"/>
          <w:bCs/>
          <w:szCs w:val="21"/>
          <w:lang w:val="en-US" w:eastAsia="zh-CN"/>
        </w:rPr>
        <w:t>如有</w:t>
      </w:r>
      <w:r>
        <w:rPr>
          <w:rFonts w:hint="eastAsia" w:asciiTheme="minorEastAsia" w:hAnsiTheme="minorEastAsia"/>
          <w:b w:val="0"/>
          <w:bCs/>
          <w:szCs w:val="21"/>
        </w:rPr>
        <w:t xml:space="preserve">）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7．成果文件的其他要求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四、发包人财产清单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（一）发包人提供的设备、设施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 发包人提供的办公房屋及冷暖设施：如办公室数量及面积、空调等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 发包人提供的设备清单：如电脑、投影、打印机、复印机等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3. 发包人提供的设施清单：如办公桌椅、文件柜等</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 ……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（二）发包人提供的资料</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1．施工场地及毗邻区域内的供水、排水、供电、供气、供热、通信、广播电视等地下管线 资料、气象和水文观测资料，相邻建筑物和构筑物、地下工程的有关资料，以及其他与建设工 程有关的原始资料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2．定位放线的基准点、基准线和基准标高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3．发包人取得的有关审批、核准和备案材料，如规划许可证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4．发包人提供的勘察资料（适用于有设计项目的情况）</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5．前一阶段研究或设计的成果文件及相应的批件（适用于有勘察设计项目的情况）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6．发包人提供的技术标准、规范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7．其他资料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（三）发包人财产使用要求及退还要求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1．发包人财产使用要求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2．发包人财产退还要求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五、发包人提供的便利条件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1．发包人提供的生活条件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2．发包人提供的交通条件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3．发包人提供的网络、通讯条件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4．发包人提供的协助人员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六、设计人需要自备的工作条件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1．设计人自备的工作手册：如本项目必备的规范标准、图集等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2．设计人自备的办公设备：如计算机、软件、投影、打印机、复印机、照相机等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3．设计人自备的交通工具：如出行车辆等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4．设计人自备的现场办公设施：如办公桌椅、文件柜等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5．设计人自备的安全设施：如安全帽、安全鞋、手电筒等</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6．设计人自备的勘察检测仪器、设备、工具</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 xml:space="preserve">七、发包人的其他要求 </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b w:val="0"/>
          <w:bCs/>
          <w:szCs w:val="21"/>
        </w:rPr>
      </w:pPr>
      <w:r>
        <w:rPr>
          <w:rFonts w:hint="eastAsia" w:asciiTheme="minorEastAsia" w:hAnsiTheme="minorEastAsia"/>
          <w:b w:val="0"/>
          <w:bCs/>
          <w:szCs w:val="21"/>
        </w:rPr>
        <w:t>……</w:t>
      </w: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rPr>
          <w:rFonts w:asciiTheme="minorEastAsia" w:hAnsiTheme="minorEastAsia"/>
          <w:b/>
          <w:szCs w:val="21"/>
        </w:rPr>
      </w:pPr>
      <w:r>
        <w:rPr>
          <w:rFonts w:asciiTheme="minorEastAsia" w:hAnsiTheme="minorEastAsia"/>
          <w:b/>
          <w:szCs w:val="21"/>
        </w:rPr>
        <w:br w:type="page"/>
      </w: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widowControl/>
        <w:shd w:val="clear" w:color="auto" w:fill="FFFFFF"/>
        <w:snapToGrid w:val="0"/>
        <w:ind w:firstLine="422" w:firstLineChars="200"/>
        <w:jc w:val="left"/>
        <w:rPr>
          <w:rFonts w:asciiTheme="minorEastAsia" w:hAnsiTheme="minorEastAsia"/>
          <w:b/>
          <w:szCs w:val="21"/>
        </w:rPr>
      </w:pPr>
    </w:p>
    <w:p>
      <w:pPr>
        <w:pStyle w:val="25"/>
        <w:rPr>
          <w:rFonts w:asciiTheme="majorEastAsia" w:hAnsiTheme="majorEastAsia" w:eastAsiaTheme="majorEastAsia"/>
          <w:sz w:val="52"/>
          <w:szCs w:val="52"/>
        </w:rPr>
      </w:pPr>
      <w:bookmarkStart w:id="3885" w:name="_Toc511396199"/>
      <w:bookmarkStart w:id="3886" w:name="_Toc10495"/>
      <w:bookmarkStart w:id="3887" w:name="_Toc516823085"/>
      <w:bookmarkStart w:id="3888" w:name="_Toc1650037105"/>
      <w:bookmarkStart w:id="3889" w:name="_Toc1449178539"/>
      <w:bookmarkStart w:id="3890" w:name="_Toc575079353"/>
      <w:bookmarkStart w:id="3891" w:name="_Toc194008570"/>
      <w:bookmarkStart w:id="3892" w:name="_Toc258728238"/>
      <w:bookmarkStart w:id="3893" w:name="_Toc73475980"/>
      <w:bookmarkStart w:id="3894" w:name="_Toc32480"/>
      <w:bookmarkStart w:id="3895" w:name="_Toc7186589"/>
      <w:bookmarkStart w:id="3896" w:name="_Toc823917751"/>
      <w:bookmarkStart w:id="3897" w:name="_Toc22105"/>
      <w:bookmarkStart w:id="3898" w:name="_Toc31230"/>
      <w:bookmarkStart w:id="3899" w:name="_Toc515440846"/>
      <w:bookmarkStart w:id="3900" w:name="_Toc1084603846"/>
      <w:bookmarkStart w:id="3901" w:name="_Toc25492"/>
      <w:bookmarkStart w:id="3902" w:name="_Toc27014"/>
      <w:bookmarkStart w:id="3903" w:name="_Toc31021"/>
      <w:bookmarkStart w:id="3904" w:name="_Toc1356251056"/>
      <w:bookmarkStart w:id="3905" w:name="_Toc1825042611"/>
      <w:bookmarkStart w:id="3906" w:name="_Toc301156160"/>
      <w:bookmarkStart w:id="3907" w:name="_Toc1242072789"/>
      <w:bookmarkStart w:id="3908" w:name="_Toc1415183909"/>
      <w:bookmarkStart w:id="3909" w:name="_Toc9317"/>
      <w:bookmarkStart w:id="3910" w:name="_Toc1858695053"/>
      <w:r>
        <w:rPr>
          <w:rFonts w:hint="eastAsia" w:asciiTheme="majorEastAsia" w:hAnsiTheme="majorEastAsia" w:eastAsiaTheme="majorEastAsia"/>
          <w:sz w:val="52"/>
          <w:szCs w:val="52"/>
        </w:rPr>
        <w:t>第三卷</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rPr>
          <w:rFonts w:asciiTheme="minorEastAsia" w:hAnsiTheme="minorEastAsia"/>
          <w:b/>
          <w:sz w:val="44"/>
          <w:szCs w:val="44"/>
        </w:rPr>
      </w:pPr>
      <w:r>
        <w:rPr>
          <w:rFonts w:asciiTheme="minorEastAsia" w:hAnsiTheme="minorEastAsia"/>
          <w:b/>
          <w:sz w:val="44"/>
          <w:szCs w:val="44"/>
        </w:rPr>
        <w:br w:type="page"/>
      </w:r>
    </w:p>
    <w:p>
      <w:pPr>
        <w:pStyle w:val="2"/>
        <w:spacing w:before="0" w:after="0" w:line="520" w:lineRule="exact"/>
        <w:jc w:val="center"/>
        <w:rPr>
          <w:rFonts w:asciiTheme="majorEastAsia" w:hAnsiTheme="majorEastAsia" w:eastAsiaTheme="majorEastAsia"/>
          <w:sz w:val="36"/>
          <w:szCs w:val="36"/>
        </w:rPr>
      </w:pPr>
      <w:bookmarkStart w:id="3911" w:name="_Toc1790626509"/>
      <w:bookmarkStart w:id="3912" w:name="_Toc13535"/>
      <w:bookmarkStart w:id="3913" w:name="_Toc24171"/>
      <w:bookmarkStart w:id="3914" w:name="_Toc1717290024"/>
      <w:bookmarkStart w:id="3915" w:name="_Toc1682274371"/>
      <w:bookmarkStart w:id="3916" w:name="_Toc7186590"/>
      <w:bookmarkStart w:id="3917" w:name="_Toc821859844"/>
      <w:bookmarkStart w:id="3918" w:name="_Toc5455"/>
      <w:bookmarkStart w:id="3919" w:name="_Toc511396200"/>
      <w:bookmarkStart w:id="3920" w:name="_Toc1938594538"/>
      <w:bookmarkStart w:id="3921" w:name="_Toc2060108788"/>
      <w:bookmarkStart w:id="3922" w:name="_Toc1095643986"/>
      <w:bookmarkStart w:id="3923" w:name="_Toc11750"/>
      <w:bookmarkStart w:id="3924" w:name="_Toc7560"/>
      <w:bookmarkStart w:id="3925" w:name="_Toc22115"/>
      <w:bookmarkStart w:id="3926" w:name="_Toc1731664346"/>
      <w:bookmarkStart w:id="3927" w:name="_Toc1614568038"/>
      <w:bookmarkStart w:id="3928" w:name="_Toc515440847"/>
      <w:bookmarkStart w:id="3929" w:name="_Toc107698835"/>
      <w:bookmarkStart w:id="3930" w:name="_Toc20244"/>
      <w:bookmarkStart w:id="3931" w:name="_Toc28058"/>
      <w:bookmarkStart w:id="3932" w:name="_Toc1976315883"/>
      <w:bookmarkStart w:id="3933" w:name="_Toc982232976"/>
      <w:bookmarkStart w:id="3934" w:name="_Toc516823086"/>
      <w:bookmarkStart w:id="3935" w:name="_Toc611085201"/>
      <w:bookmarkStart w:id="3936" w:name="_Toc1120068934"/>
      <w:r>
        <w:rPr>
          <w:rFonts w:hint="eastAsia" w:asciiTheme="majorEastAsia" w:hAnsiTheme="majorEastAsia" w:eastAsiaTheme="majorEastAsia"/>
          <w:sz w:val="36"/>
          <w:szCs w:val="36"/>
        </w:rPr>
        <w:t>第六章</w:t>
      </w:r>
      <w:r>
        <w:rPr>
          <w:rFonts w:hint="eastAsia" w:asciiTheme="majorEastAsia" w:hAnsiTheme="majorEastAsia" w:eastAsiaTheme="majorEastAsia"/>
          <w:sz w:val="36"/>
          <w:szCs w:val="36"/>
          <w:lang w:val="en-US" w:eastAsia="zh-CN"/>
        </w:rPr>
        <w:t xml:space="preserve"> </w:t>
      </w:r>
      <w:r>
        <w:rPr>
          <w:rFonts w:hint="eastAsia" w:asciiTheme="majorEastAsia" w:hAnsiTheme="majorEastAsia" w:eastAsiaTheme="majorEastAsia"/>
          <w:sz w:val="36"/>
          <w:szCs w:val="36"/>
        </w:rPr>
        <w:t>投标文件格式</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pPr>
        <w:widowControl/>
        <w:shd w:val="clear" w:color="auto" w:fill="FFFFFF"/>
        <w:snapToGrid w:val="0"/>
        <w:ind w:firstLine="883" w:firstLineChars="200"/>
        <w:jc w:val="center"/>
        <w:rPr>
          <w:rFonts w:asciiTheme="minorEastAsia" w:hAnsiTheme="minorEastAsia"/>
          <w:b/>
          <w:sz w:val="44"/>
          <w:szCs w:val="44"/>
        </w:rPr>
      </w:pP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b w:val="0"/>
          <w:bCs/>
          <w:szCs w:val="21"/>
          <w:highlight w:val="green"/>
        </w:rPr>
      </w:pPr>
      <w:r>
        <w:rPr>
          <w:rFonts w:hint="eastAsia" w:asciiTheme="minorEastAsia" w:hAnsiTheme="minorEastAsia"/>
          <w:b w:val="0"/>
          <w:bCs/>
          <w:szCs w:val="21"/>
          <w:highlight w:val="green"/>
        </w:rPr>
        <w:t>1.投标人应按本章规定格式编制提交资格文件、商务文件、技术方案。</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b w:val="0"/>
          <w:bCs/>
          <w:szCs w:val="21"/>
          <w:highlight w:val="green"/>
        </w:rPr>
        <w:t>2.</w:t>
      </w:r>
      <w:r>
        <w:rPr>
          <w:rFonts w:hint="eastAsia" w:ascii="宋体" w:hAnsi="宋体" w:cs="宋体"/>
          <w:b w:val="0"/>
          <w:bCs/>
          <w:szCs w:val="21"/>
          <w:highlight w:val="green"/>
        </w:rPr>
        <w:t>本章格式文件中要求盖单位公章处是指加盖投标人的电子单位公章，个人签字处是指加盖相应人员的电子姓名章。</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3.本章格式文件中除另有说明外，投标格式中的盖投标人单位公章系指盖独立投标人或联合体牵头人单位公章。</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4.下划线后括号内的填写说明，如盖单位电子公章、签字、电子签名、项目名称、招标人名称、投标人名称、联合体名称、姓名等，以及“封面”“格式”等文字，投标人在编制投标文件时，可以删除，也可以保留。</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5.投标人参加投标，可以由法定代表人亲自进行，也可以由其授权的委托代理人进行。</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法定代表人亲自参加投标而不委托代理人投标的，按“法定代表人身份证明”的格式和要求由投标人单位出具证明。</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委托代理人投标的，按“授权委托书”的格式和要求由法定代表人签署授权委托书并附有关证明。</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6.针对招标文件中没有要求提供的内容，投标人在编制投标文件时，可以删除“投标文件格式”中对应格式内容部分，章节序号相应调整。</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val="0"/>
          <w:bCs/>
          <w:szCs w:val="21"/>
          <w:highlight w:val="green"/>
        </w:rPr>
      </w:pPr>
      <w:r>
        <w:rPr>
          <w:rFonts w:hint="eastAsia" w:ascii="宋体" w:hAnsi="宋体" w:cs="宋体"/>
          <w:b w:val="0"/>
          <w:bCs/>
          <w:szCs w:val="21"/>
          <w:highlight w:val="green"/>
        </w:rPr>
        <w:t>7.本章中与投标人有关的“注”或说明，招标人在编制招标文件时，都保留（已删除内容除外）；投标人在编制投标文件时，可以删除，也可以保留。</w:t>
      </w:r>
    </w:p>
    <w:p>
      <w:pPr>
        <w:rPr>
          <w:rFonts w:hint="eastAsia" w:ascii="宋体" w:hAnsi="宋体" w:cs="宋体"/>
          <w:b w:val="0"/>
          <w:bCs/>
          <w:szCs w:val="21"/>
        </w:rPr>
      </w:pPr>
      <w:r>
        <w:rPr>
          <w:rFonts w:hint="eastAsia" w:ascii="宋体" w:hAnsi="宋体" w:cs="宋体"/>
          <w:b w:val="0"/>
          <w:bCs/>
          <w:szCs w:val="21"/>
        </w:rPr>
        <w:br w:type="page"/>
      </w: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widowControl/>
        <w:shd w:val="clear" w:color="auto" w:fill="FFFFFF"/>
        <w:snapToGrid w:val="0"/>
        <w:ind w:firstLine="883" w:firstLineChars="200"/>
        <w:jc w:val="center"/>
        <w:rPr>
          <w:rFonts w:asciiTheme="minorEastAsia" w:hAnsiTheme="minorEastAsia"/>
          <w:b/>
          <w:sz w:val="44"/>
          <w:szCs w:val="44"/>
        </w:rPr>
      </w:pPr>
    </w:p>
    <w:p>
      <w:pPr>
        <w:pStyle w:val="3"/>
        <w:spacing w:before="0" w:after="0" w:line="520" w:lineRule="exact"/>
        <w:jc w:val="center"/>
        <w:rPr>
          <w:sz w:val="36"/>
          <w:szCs w:val="36"/>
        </w:rPr>
      </w:pPr>
      <w:bookmarkStart w:id="3937" w:name="_Toc441651174"/>
      <w:bookmarkStart w:id="3938" w:name="_Toc511396201"/>
      <w:bookmarkStart w:id="3939" w:name="_Toc313217688"/>
      <w:bookmarkStart w:id="3940" w:name="_Toc369559335"/>
      <w:bookmarkStart w:id="3941" w:name="_Toc1963683324"/>
      <w:bookmarkStart w:id="3942" w:name="_Toc383580604"/>
      <w:bookmarkStart w:id="3943" w:name="_Toc1913089071"/>
      <w:bookmarkStart w:id="3944" w:name="_Toc215656995"/>
      <w:bookmarkStart w:id="3945" w:name="_Toc14202"/>
      <w:bookmarkStart w:id="3946" w:name="_Toc7186591"/>
      <w:bookmarkStart w:id="3947" w:name="_Toc1242173253"/>
      <w:bookmarkStart w:id="3948" w:name="_Toc516823087"/>
      <w:bookmarkStart w:id="3949" w:name="_Toc27069"/>
      <w:bookmarkStart w:id="3950" w:name="_Toc156924136"/>
      <w:bookmarkStart w:id="3951" w:name="_Toc13248"/>
      <w:bookmarkStart w:id="3952" w:name="_Toc24230"/>
      <w:bookmarkStart w:id="3953" w:name="_Toc223907705"/>
      <w:bookmarkStart w:id="3954" w:name="_Toc26047"/>
      <w:bookmarkStart w:id="3955" w:name="_Toc336507882"/>
      <w:bookmarkStart w:id="3956" w:name="_Toc1384279078"/>
      <w:bookmarkStart w:id="3957" w:name="_Toc515440848"/>
      <w:bookmarkStart w:id="3958" w:name="_Toc14750"/>
      <w:bookmarkStart w:id="3959" w:name="_Toc17459"/>
      <w:bookmarkStart w:id="3960" w:name="_Toc11951"/>
      <w:bookmarkStart w:id="3961" w:name="_Toc811477432"/>
      <w:bookmarkStart w:id="3962" w:name="_Toc682833143"/>
      <w:r>
        <w:rPr>
          <w:rFonts w:hint="eastAsia"/>
          <w:sz w:val="36"/>
          <w:szCs w:val="36"/>
        </w:rPr>
        <w:t>第一节 资格文件格式</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rPr>
          <w:rFonts w:asciiTheme="minorEastAsia" w:hAnsiTheme="minorEastAsia"/>
          <w:b/>
          <w:sz w:val="32"/>
          <w:szCs w:val="32"/>
        </w:rPr>
      </w:pPr>
      <w:r>
        <w:rPr>
          <w:rFonts w:asciiTheme="minorEastAsia" w:hAnsiTheme="minorEastAsia"/>
          <w:b/>
          <w:sz w:val="32"/>
          <w:szCs w:val="32"/>
        </w:rPr>
        <w:br w:type="page"/>
      </w:r>
    </w:p>
    <w:p>
      <w:pPr>
        <w:widowControl/>
        <w:shd w:val="clear" w:color="auto" w:fill="FFFFFF"/>
        <w:snapToGrid w:val="0"/>
        <w:ind w:firstLine="643" w:firstLineChars="200"/>
        <w:jc w:val="center"/>
        <w:rPr>
          <w:rFonts w:asciiTheme="minorEastAsia" w:hAnsiTheme="minorEastAsia"/>
          <w:b/>
          <w:sz w:val="32"/>
          <w:szCs w:val="32"/>
        </w:rPr>
      </w:pPr>
    </w:p>
    <w:p>
      <w:pPr>
        <w:pStyle w:val="4"/>
        <w:spacing w:before="0" w:after="0" w:line="520" w:lineRule="exact"/>
        <w:rPr>
          <w:sz w:val="28"/>
          <w:szCs w:val="28"/>
        </w:rPr>
      </w:pPr>
      <w:bookmarkStart w:id="3963" w:name="_Toc9292"/>
      <w:bookmarkStart w:id="3964" w:name="_Toc1127797386"/>
      <w:bookmarkStart w:id="3965" w:name="_Toc7233"/>
      <w:bookmarkStart w:id="3966" w:name="_Toc825448391"/>
      <w:bookmarkStart w:id="3967" w:name="_Toc1363530223"/>
      <w:bookmarkStart w:id="3968" w:name="_Toc1888115995"/>
      <w:bookmarkStart w:id="3969" w:name="_Toc661036221"/>
      <w:bookmarkStart w:id="3970" w:name="_Toc1742202476"/>
      <w:bookmarkStart w:id="3971" w:name="_Toc1162853413"/>
      <w:bookmarkStart w:id="3972" w:name="_Toc1096939372"/>
      <w:bookmarkStart w:id="3973" w:name="_Toc516823088"/>
      <w:bookmarkStart w:id="3974" w:name="_Toc224024833"/>
      <w:bookmarkStart w:id="3975" w:name="_Toc767263419"/>
      <w:bookmarkStart w:id="3976" w:name="_Toc27287"/>
      <w:bookmarkStart w:id="3977" w:name="_Toc21898"/>
      <w:bookmarkStart w:id="3978" w:name="_Toc4756"/>
      <w:bookmarkStart w:id="3979" w:name="_Toc515440849"/>
      <w:bookmarkStart w:id="3980" w:name="_Toc6823"/>
      <w:bookmarkStart w:id="3981" w:name="_Toc1517330684"/>
      <w:bookmarkStart w:id="3982" w:name="_Toc27725"/>
      <w:bookmarkStart w:id="3983" w:name="_Toc7186592"/>
      <w:bookmarkStart w:id="3984" w:name="_Toc314035236"/>
      <w:bookmarkStart w:id="3985" w:name="_Toc93303134"/>
      <w:bookmarkStart w:id="3986" w:name="_Toc17496"/>
      <w:bookmarkStart w:id="3987" w:name="_Toc1980041174"/>
      <w:r>
        <w:rPr>
          <w:rFonts w:hint="eastAsia"/>
          <w:sz w:val="28"/>
          <w:szCs w:val="28"/>
        </w:rPr>
        <w:t>投标文件（一）（</w:t>
      </w:r>
      <w:r>
        <w:rPr>
          <w:rFonts w:hint="eastAsia"/>
          <w:sz w:val="28"/>
          <w:szCs w:val="28"/>
          <w:lang w:val="en-US" w:eastAsia="zh-CN"/>
        </w:rPr>
        <w:t>参考</w:t>
      </w:r>
      <w:r>
        <w:rPr>
          <w:rFonts w:hint="eastAsia"/>
          <w:sz w:val="28"/>
          <w:szCs w:val="28"/>
        </w:rPr>
        <w:t>格式）</w:t>
      </w:r>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36"/>
          <w:szCs w:val="36"/>
        </w:rPr>
      </w:pPr>
      <w:r>
        <w:rPr>
          <w:rFonts w:hint="default"/>
          <w:color w:val="auto"/>
          <w:sz w:val="36"/>
          <w:szCs w:val="36"/>
          <w:u w:val="single"/>
        </w:rPr>
        <w:t xml:space="preserve">       </w:t>
      </w:r>
      <w:r>
        <w:rPr>
          <w:rFonts w:hint="eastAsia" w:eastAsia="宋体" w:cs="Times New Roman"/>
          <w:color w:val="auto"/>
          <w:sz w:val="36"/>
          <w:szCs w:val="36"/>
          <w:u w:val="single" w:color="auto"/>
        </w:rPr>
        <w:t>（项目名称）</w:t>
      </w:r>
      <w:r>
        <w:rPr>
          <w:rFonts w:hint="default" w:eastAsia="宋体" w:cs="Times New Roman"/>
          <w:color w:val="auto"/>
          <w:sz w:val="36"/>
          <w:szCs w:val="36"/>
          <w:u w:val="single" w:color="auto"/>
        </w:rPr>
        <w:t xml:space="preserve">      </w:t>
      </w:r>
      <w:r>
        <w:rPr>
          <w:rFonts w:hint="eastAsia" w:asciiTheme="minorEastAsia" w:hAnsiTheme="minorEastAsia"/>
          <w:b/>
          <w:sz w:val="36"/>
          <w:szCs w:val="36"/>
        </w:rPr>
        <w:t>招标</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0" w:firstLineChars="0"/>
        <w:jc w:val="center"/>
        <w:rPr>
          <w:rFonts w:asciiTheme="minorEastAsia" w:hAnsiTheme="minorEastAsia"/>
          <w:b/>
          <w:sz w:val="32"/>
          <w:szCs w:val="32"/>
        </w:rPr>
      </w:pPr>
      <w:r>
        <w:rPr>
          <w:rFonts w:hint="eastAsia" w:ascii="宋体" w:hAnsi="宋体"/>
          <w:b/>
          <w:sz w:val="32"/>
          <w:szCs w:val="32"/>
        </w:rPr>
        <w:t>招标</w:t>
      </w:r>
      <w:r>
        <w:rPr>
          <w:rFonts w:hint="eastAsia" w:ascii="宋体" w:hAnsi="宋体"/>
          <w:b/>
          <w:sz w:val="32"/>
          <w:szCs w:val="32"/>
          <w:lang w:val="en-US" w:eastAsia="zh-Hans"/>
        </w:rPr>
        <w:t>项目</w:t>
      </w:r>
      <w:r>
        <w:rPr>
          <w:rFonts w:hint="eastAsia" w:ascii="宋体" w:hAnsi="宋体"/>
          <w:b/>
          <w:sz w:val="32"/>
          <w:szCs w:val="32"/>
        </w:rPr>
        <w:t>编号：</w:t>
      </w:r>
      <w:r>
        <w:rPr>
          <w:rFonts w:hint="eastAsia" w:ascii="宋体" w:hAnsi="宋体"/>
          <w:sz w:val="36"/>
          <w:szCs w:val="36"/>
        </w:rPr>
        <w:t>________</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52"/>
          <w:szCs w:val="52"/>
        </w:rPr>
      </w:pPr>
      <w:r>
        <w:rPr>
          <w:rFonts w:hint="eastAsia" w:asciiTheme="minorEastAsia" w:hAnsiTheme="minorEastAsia"/>
          <w:b/>
          <w:sz w:val="52"/>
          <w:szCs w:val="52"/>
        </w:rPr>
        <w:t>投标文件（一）</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1928" w:firstLineChars="600"/>
        <w:jc w:val="left"/>
        <w:rPr>
          <w:rFonts w:asciiTheme="minorEastAsia" w:hAnsiTheme="minorEastAsia"/>
          <w:b/>
          <w:sz w:val="32"/>
          <w:szCs w:val="32"/>
          <w:u w:val="single"/>
        </w:rPr>
      </w:pPr>
      <w:r>
        <w:rPr>
          <w:rFonts w:hint="eastAsia" w:asciiTheme="minorEastAsia" w:hAnsiTheme="minorEastAsia"/>
          <w:b/>
          <w:sz w:val="32"/>
          <w:szCs w:val="32"/>
        </w:rPr>
        <w:t>投标文件内容：</w:t>
      </w:r>
      <w:r>
        <w:rPr>
          <w:rFonts w:hint="eastAsia" w:asciiTheme="minorEastAsia" w:hAnsiTheme="minorEastAsia"/>
          <w:b/>
          <w:sz w:val="32"/>
          <w:szCs w:val="32"/>
          <w:u w:val="single"/>
        </w:rPr>
        <w:t>资格文件</w:t>
      </w:r>
    </w:p>
    <w:p>
      <w:pPr>
        <w:widowControl/>
        <w:shd w:val="clear" w:color="auto" w:fill="FFFFFF"/>
        <w:snapToGrid w:val="0"/>
        <w:ind w:firstLine="1928" w:firstLineChars="600"/>
        <w:jc w:val="left"/>
        <w:rPr>
          <w:rFonts w:asciiTheme="minorEastAsia" w:hAnsiTheme="minorEastAsia"/>
          <w:b/>
          <w:sz w:val="32"/>
          <w:szCs w:val="32"/>
        </w:rPr>
      </w:pPr>
      <w:r>
        <w:rPr>
          <w:rFonts w:hint="eastAsia" w:asciiTheme="minorEastAsia" w:hAnsiTheme="minorEastAsia"/>
          <w:b/>
          <w:sz w:val="32"/>
          <w:szCs w:val="32"/>
        </w:rPr>
        <w:t>投标人：</w:t>
      </w:r>
      <w:r>
        <w:rPr>
          <w:rFonts w:hint="eastAsia" w:asciiTheme="minorEastAsia" w:hAnsiTheme="minorEastAsia"/>
          <w:szCs w:val="21"/>
        </w:rPr>
        <w:t>_______________________</w:t>
      </w:r>
      <w:r>
        <w:rPr>
          <w:rFonts w:hint="eastAsia" w:asciiTheme="minorEastAsia" w:hAnsiTheme="minorEastAsia"/>
          <w:b/>
          <w:sz w:val="32"/>
          <w:szCs w:val="32"/>
        </w:rPr>
        <w:t>（盖单位</w:t>
      </w:r>
      <w:r>
        <w:rPr>
          <w:rFonts w:hint="eastAsia" w:asciiTheme="minorEastAsia" w:hAnsiTheme="minorEastAsia"/>
          <w:b/>
          <w:sz w:val="32"/>
          <w:szCs w:val="32"/>
          <w:lang w:val="en-US" w:eastAsia="zh-CN"/>
        </w:rPr>
        <w:t>公</w:t>
      </w:r>
      <w:r>
        <w:rPr>
          <w:rFonts w:hint="eastAsia" w:asciiTheme="minorEastAsia" w:hAnsiTheme="minorEastAsia"/>
          <w:b/>
          <w:sz w:val="32"/>
          <w:szCs w:val="32"/>
        </w:rPr>
        <w:t>章）</w:t>
      </w:r>
    </w:p>
    <w:p>
      <w:pPr>
        <w:widowControl/>
        <w:shd w:val="clear" w:color="auto" w:fill="FFFFFF"/>
        <w:snapToGrid w:val="0"/>
        <w:ind w:firstLine="1928" w:firstLineChars="600"/>
        <w:jc w:val="left"/>
        <w:rPr>
          <w:rFonts w:ascii="宋体" w:hAnsi="宋体"/>
          <w:b/>
          <w:sz w:val="32"/>
          <w:szCs w:val="32"/>
        </w:rPr>
      </w:pPr>
      <w:r>
        <w:rPr>
          <w:rFonts w:hint="eastAsia" w:ascii="宋体" w:hAnsi="宋体"/>
          <w:b/>
          <w:sz w:val="32"/>
          <w:szCs w:val="32"/>
        </w:rPr>
        <w:t>日</w:t>
      </w:r>
      <w:r>
        <w:rPr>
          <w:rFonts w:hint="default" w:ascii="宋体" w:hAnsi="宋体"/>
          <w:b/>
          <w:sz w:val="32"/>
          <w:szCs w:val="32"/>
        </w:rPr>
        <w:t xml:space="preserve">  </w:t>
      </w:r>
      <w:r>
        <w:rPr>
          <w:rFonts w:hint="eastAsia" w:ascii="宋体" w:hAnsi="宋体"/>
          <w:b/>
          <w:sz w:val="32"/>
          <w:szCs w:val="32"/>
        </w:rPr>
        <w:t>期：</w:t>
      </w:r>
      <w:r>
        <w:rPr>
          <w:rFonts w:hint="default" w:eastAsia="宋体" w:cs="Times New Roman"/>
          <w:color w:val="auto"/>
          <w:szCs w:val="21"/>
          <w:u w:val="single" w:color="auto"/>
        </w:rPr>
        <w:t xml:space="preserve">           </w:t>
      </w:r>
      <w:r>
        <w:rPr>
          <w:rFonts w:hint="eastAsia" w:ascii="宋体" w:hAnsi="宋体"/>
          <w:b/>
          <w:sz w:val="32"/>
          <w:szCs w:val="32"/>
        </w:rPr>
        <w:t>年</w:t>
      </w:r>
      <w:r>
        <w:rPr>
          <w:rFonts w:hint="default" w:eastAsia="宋体" w:cs="Times New Roman"/>
          <w:color w:val="auto"/>
          <w:szCs w:val="21"/>
          <w:u w:val="single" w:color="auto"/>
        </w:rPr>
        <w:t xml:space="preserve">       </w:t>
      </w:r>
      <w:r>
        <w:rPr>
          <w:rFonts w:hint="eastAsia" w:ascii="宋体" w:hAnsi="宋体"/>
          <w:b/>
          <w:sz w:val="32"/>
          <w:szCs w:val="32"/>
        </w:rPr>
        <w:t>月</w:t>
      </w:r>
      <w:r>
        <w:rPr>
          <w:rFonts w:hint="default" w:eastAsia="宋体" w:cs="Times New Roman"/>
          <w:color w:val="auto"/>
          <w:szCs w:val="21"/>
          <w:u w:val="single" w:color="auto"/>
        </w:rPr>
        <w:t xml:space="preserve">       </w:t>
      </w:r>
      <w:r>
        <w:rPr>
          <w:rFonts w:hint="eastAsia" w:ascii="宋体" w:hAnsi="宋体"/>
          <w:b/>
          <w:sz w:val="32"/>
          <w:szCs w:val="32"/>
        </w:rPr>
        <w:t>日</w:t>
      </w:r>
    </w:p>
    <w:p>
      <w:pPr>
        <w:widowControl/>
        <w:shd w:val="clear" w:color="auto" w:fill="FFFFFF"/>
        <w:snapToGrid w:val="0"/>
        <w:ind w:firstLine="1928" w:firstLineChars="600"/>
        <w:jc w:val="left"/>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pStyle w:val="4"/>
        <w:spacing w:before="0" w:after="0" w:line="520" w:lineRule="exact"/>
        <w:rPr>
          <w:sz w:val="28"/>
          <w:szCs w:val="28"/>
        </w:rPr>
      </w:pPr>
      <w:bookmarkStart w:id="3988" w:name="_Toc4788"/>
      <w:bookmarkStart w:id="3989" w:name="_Toc15355"/>
      <w:bookmarkStart w:id="3990" w:name="_Toc112915709"/>
      <w:bookmarkStart w:id="3991" w:name="_Toc1904466545"/>
      <w:bookmarkStart w:id="3992" w:name="_Toc257487287"/>
      <w:bookmarkStart w:id="3993" w:name="_Toc482710828"/>
      <w:bookmarkStart w:id="3994" w:name="_Toc646535040"/>
      <w:bookmarkStart w:id="3995" w:name="_Toc516823089"/>
      <w:bookmarkStart w:id="3996" w:name="_Toc1145417506"/>
      <w:bookmarkStart w:id="3997" w:name="_Toc199676246"/>
      <w:bookmarkStart w:id="3998" w:name="_Toc7186593"/>
      <w:bookmarkStart w:id="3999" w:name="_Toc1976124591"/>
      <w:bookmarkStart w:id="4000" w:name="_Toc27720"/>
      <w:bookmarkStart w:id="4001" w:name="_Toc16686"/>
      <w:bookmarkStart w:id="4002" w:name="_Toc1199998080"/>
      <w:bookmarkStart w:id="4003" w:name="_Toc515440850"/>
      <w:bookmarkStart w:id="4004" w:name="_Toc13319"/>
      <w:bookmarkStart w:id="4005" w:name="_Toc1102860416"/>
      <w:bookmarkStart w:id="4006" w:name="_Toc24187"/>
      <w:bookmarkStart w:id="4007" w:name="_Toc19710"/>
      <w:bookmarkStart w:id="4008" w:name="_Toc1622890773"/>
      <w:bookmarkStart w:id="4009" w:name="_Toc566747917"/>
      <w:bookmarkStart w:id="4010" w:name="_Toc408497863"/>
      <w:bookmarkStart w:id="4011" w:name="_Toc1054460824"/>
      <w:bookmarkStart w:id="4012" w:name="_Toc26083"/>
      <w:r>
        <w:rPr>
          <w:rFonts w:hint="eastAsia"/>
          <w:sz w:val="28"/>
          <w:szCs w:val="28"/>
        </w:rPr>
        <w:t>目录（</w:t>
      </w:r>
      <w:r>
        <w:rPr>
          <w:rFonts w:hint="eastAsia"/>
          <w:sz w:val="28"/>
          <w:szCs w:val="28"/>
          <w:lang w:val="en-US" w:eastAsia="zh-CN"/>
        </w:rPr>
        <w:t>参考</w:t>
      </w:r>
      <w:r>
        <w:rPr>
          <w:rFonts w:hint="eastAsia"/>
          <w:sz w:val="28"/>
          <w:szCs w:val="28"/>
        </w:rPr>
        <w:t>格式）</w:t>
      </w:r>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p>
    <w:p>
      <w:pPr>
        <w:widowControl/>
        <w:shd w:val="clear" w:color="auto" w:fill="FFFFFF"/>
        <w:snapToGrid w:val="0"/>
        <w:jc w:val="center"/>
        <w:rPr>
          <w:rFonts w:asciiTheme="minorEastAsia" w:hAnsiTheme="minorEastAsia"/>
          <w:b/>
          <w:sz w:val="36"/>
          <w:szCs w:val="36"/>
        </w:rPr>
      </w:pPr>
      <w:r>
        <w:rPr>
          <w:rFonts w:hint="eastAsia" w:asciiTheme="minorEastAsia" w:hAnsiTheme="minorEastAsia"/>
          <w:b/>
          <w:sz w:val="36"/>
          <w:szCs w:val="36"/>
        </w:rPr>
        <w:t>目录</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一、资格审查申请函</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二、投标人基本情况表</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三、法定代表人身份证明(适用于无委托代理人的情况)</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四、授权委托书(适用于有委托代理人的情况)</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五、联合体协议书(适用于联合体的情况)</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六、投标保证金</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七、保函开立人出具的到账证明</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八、近年财务状况表</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九、近年发生的诉讼及仲裁情况表</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十、投标人承诺书</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十一、拟任项目负责人承诺书</w:t>
      </w:r>
    </w:p>
    <w:p>
      <w:pPr>
        <w:widowControl/>
        <w:numPr>
          <w:ilvl w:val="0"/>
          <w:numId w:val="15"/>
        </w:numPr>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项目负责人质量终身责任承诺书</w:t>
      </w:r>
    </w:p>
    <w:p>
      <w:pPr>
        <w:widowControl/>
        <w:numPr>
          <w:ilvl w:val="0"/>
          <w:numId w:val="15"/>
        </w:numPr>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其他资格材料(如有)</w:t>
      </w:r>
    </w:p>
    <w:p>
      <w:pPr>
        <w:widowControl/>
        <w:shd w:val="clear" w:color="auto" w:fill="FFFFFF"/>
        <w:snapToGrid w:val="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0" w:firstLineChars="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rPr>
          <w:rFonts w:hint="eastAsia"/>
          <w:sz w:val="28"/>
          <w:szCs w:val="28"/>
        </w:rPr>
      </w:pPr>
      <w:bookmarkStart w:id="4013" w:name="_Toc511396202"/>
      <w:bookmarkStart w:id="4014" w:name="_Toc1288013924"/>
      <w:bookmarkStart w:id="4015" w:name="_Toc988611634"/>
      <w:bookmarkStart w:id="4016" w:name="_Toc516823090"/>
      <w:bookmarkStart w:id="4017" w:name="_Toc843654455"/>
      <w:bookmarkStart w:id="4018" w:name="_Toc1242266574"/>
      <w:bookmarkStart w:id="4019" w:name="_Toc8334"/>
      <w:bookmarkStart w:id="4020" w:name="_Toc118363982"/>
      <w:bookmarkStart w:id="4021" w:name="_Toc4453"/>
      <w:bookmarkStart w:id="4022" w:name="_Toc1546260862"/>
      <w:bookmarkStart w:id="4023" w:name="_Toc735421264"/>
      <w:bookmarkStart w:id="4024" w:name="_Toc125463280"/>
      <w:bookmarkStart w:id="4025" w:name="_Toc464"/>
      <w:bookmarkStart w:id="4026" w:name="_Toc7186594"/>
      <w:bookmarkStart w:id="4027" w:name="_Toc1875151477"/>
      <w:bookmarkStart w:id="4028" w:name="_Toc26653"/>
      <w:bookmarkStart w:id="4029" w:name="_Toc409283904"/>
      <w:bookmarkStart w:id="4030" w:name="_Toc1589209908"/>
      <w:bookmarkStart w:id="4031" w:name="_Toc47163460"/>
      <w:bookmarkStart w:id="4032" w:name="_Toc14547"/>
      <w:bookmarkStart w:id="4033" w:name="_Toc515440851"/>
      <w:bookmarkStart w:id="4034" w:name="_Toc2277"/>
      <w:bookmarkStart w:id="4035" w:name="_Toc1348801583"/>
      <w:bookmarkStart w:id="4036" w:name="_Toc28780"/>
      <w:bookmarkStart w:id="4037" w:name="_Toc1891400082"/>
      <w:r>
        <w:rPr>
          <w:rFonts w:hint="eastAsia"/>
          <w:sz w:val="28"/>
          <w:szCs w:val="28"/>
        </w:rPr>
        <w:br w:type="page"/>
      </w:r>
    </w:p>
    <w:p>
      <w:pPr>
        <w:pStyle w:val="4"/>
        <w:spacing w:before="0" w:after="0" w:line="520" w:lineRule="exact"/>
        <w:rPr>
          <w:rFonts w:hint="eastAsia"/>
          <w:sz w:val="28"/>
          <w:szCs w:val="28"/>
        </w:rPr>
      </w:pPr>
      <w:bookmarkStart w:id="4038" w:name="_Toc16233"/>
      <w:r>
        <w:rPr>
          <w:rFonts w:hint="eastAsia"/>
          <w:sz w:val="28"/>
          <w:szCs w:val="28"/>
        </w:rPr>
        <w:t>一、资格审查申请函</w:t>
      </w:r>
      <w:bookmarkEnd w:id="4013"/>
      <w:r>
        <w:rPr>
          <w:rFonts w:hint="eastAsia"/>
          <w:sz w:val="28"/>
          <w:szCs w:val="28"/>
        </w:rPr>
        <w:t>（参考格式）</w:t>
      </w:r>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
      <w:pPr>
        <w:widowControl/>
        <w:shd w:val="clear" w:color="auto" w:fill="FFFFFF"/>
        <w:snapToGrid w:val="0"/>
        <w:ind w:firstLine="0" w:firstLineChars="0"/>
        <w:jc w:val="center"/>
        <w:rPr>
          <w:rFonts w:asciiTheme="minorEastAsia" w:hAnsiTheme="minorEastAsia"/>
          <w:b/>
          <w:sz w:val="32"/>
          <w:szCs w:val="32"/>
        </w:rPr>
      </w:pPr>
      <w:r>
        <w:rPr>
          <w:rFonts w:hint="eastAsia" w:asciiTheme="minorEastAsia" w:hAnsiTheme="minorEastAsia"/>
          <w:b/>
          <w:sz w:val="32"/>
          <w:szCs w:val="32"/>
        </w:rPr>
        <w:t>资格审查申请函</w:t>
      </w:r>
    </w:p>
    <w:p>
      <w:pPr>
        <w:widowControl/>
        <w:shd w:val="clear" w:color="auto" w:fill="FFFFFF"/>
        <w:snapToGrid w:val="0"/>
        <w:jc w:val="left"/>
        <w:rPr>
          <w:rFonts w:asciiTheme="minorEastAsia" w:hAnsiTheme="minorEastAsia"/>
          <w:szCs w:val="21"/>
        </w:rPr>
      </w:pP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jc w:val="left"/>
        <w:textAlignment w:val="auto"/>
        <w:rPr>
          <w:rFonts w:asciiTheme="minorEastAsia" w:hAnsiTheme="minorEastAsia"/>
          <w:szCs w:val="21"/>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招标人名称</w:t>
      </w:r>
      <w:r>
        <w:rPr>
          <w:rFonts w:hint="eastAsia" w:eastAsia="宋体" w:cs="Times New Roman"/>
          <w:color w:val="auto"/>
          <w:szCs w:val="21"/>
          <w:u w:val="single" w:color="auto"/>
          <w:lang w:eastAsia="zh-Hans"/>
        </w:rPr>
        <w:t>）</w:t>
      </w:r>
      <w:r>
        <w:rPr>
          <w:rFonts w:hint="eastAsia" w:asciiTheme="minorEastAsia" w:hAnsiTheme="minorEastAsia"/>
          <w:szCs w:val="21"/>
        </w:rPr>
        <w:t>：</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1.经研究并充分理解招标文件投标人须知中关于资格审查文件的各项条款及要求后，我方愿根据该文件的要求提交所需的资格审查申请材料，对</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项目名称及标段</w:t>
      </w:r>
      <w:r>
        <w:rPr>
          <w:rFonts w:hint="eastAsia" w:eastAsia="宋体" w:cs="Times New Roman"/>
          <w:color w:val="auto"/>
          <w:szCs w:val="21"/>
          <w:u w:val="single" w:color="auto"/>
          <w:lang w:eastAsia="zh-Hans"/>
        </w:rPr>
        <w:t>）</w:t>
      </w:r>
      <w:r>
        <w:rPr>
          <w:rFonts w:hint="eastAsia" w:asciiTheme="minorEastAsia" w:hAnsiTheme="minorEastAsia"/>
          <w:szCs w:val="21"/>
        </w:rPr>
        <w:t>招标项目的投标提出申请，并接受招标人对我方进行的资格审查。</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2.按招标文件的要求，你方授权代表可调查、审核我方提交的与本申请函相关的声明、文件和资料，并通过我方的开户银行和客户，澄清本申请中有关财务和技术方面的问题。本申请函还将授权给有关的任何机构及其授权代表，按你方的要求，提供必要的相关资料，以核实本申请函中提交的或与本申请人的资金来源、经验和能力有关的声明和资料。</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3.我方保证本申请函中所提交的声明和资料在各方面都是完整、真实和准确的。</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4.我方保证：我方不存在招标文件第二章投标人须知第1.4.3款规定的任一情形。</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5.我方将接受并遵守招标文件所规定的各项条款。</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宋体" w:hAnsi="宋体"/>
          <w:szCs w:val="21"/>
        </w:rPr>
      </w:pPr>
      <w:r>
        <w:rPr>
          <w:rFonts w:hint="eastAsia" w:asciiTheme="minorEastAsia" w:hAnsiTheme="minorEastAsia"/>
          <w:szCs w:val="21"/>
        </w:rPr>
        <w:t>6.我方</w:t>
      </w:r>
      <w:r>
        <w:rPr>
          <w:rFonts w:hint="eastAsia" w:ascii="宋体" w:hAnsi="宋体"/>
          <w:szCs w:val="21"/>
        </w:rPr>
        <w:t>将派出</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项目</w:t>
      </w:r>
      <w:r>
        <w:rPr>
          <w:rFonts w:hint="eastAsia" w:eastAsia="宋体" w:cs="Times New Roman"/>
          <w:color w:val="auto"/>
          <w:szCs w:val="21"/>
          <w:u w:val="single" w:color="auto"/>
          <w:lang w:val="en-US" w:eastAsia="zh-CN"/>
        </w:rPr>
        <w:t>负责人</w:t>
      </w:r>
      <w:r>
        <w:rPr>
          <w:rFonts w:hint="eastAsia" w:eastAsia="宋体" w:cs="Times New Roman"/>
          <w:color w:val="auto"/>
          <w:szCs w:val="21"/>
          <w:u w:val="single" w:color="auto"/>
          <w:lang w:val="en-US" w:eastAsia="zh-Hans"/>
        </w:rPr>
        <w:t>姓名</w:t>
      </w:r>
      <w:r>
        <w:rPr>
          <w:rFonts w:hint="eastAsia" w:eastAsia="宋体" w:cs="Times New Roman"/>
          <w:color w:val="auto"/>
          <w:szCs w:val="21"/>
          <w:u w:val="single" w:color="auto"/>
          <w:lang w:eastAsia="zh-Hans"/>
        </w:rPr>
        <w:t>）</w:t>
      </w:r>
      <w:r>
        <w:rPr>
          <w:rFonts w:hint="eastAsia" w:eastAsia="宋体" w:cs="Times New Roman"/>
          <w:color w:val="auto"/>
          <w:szCs w:val="21"/>
          <w:u w:val="none" w:color="auto"/>
          <w:lang w:eastAsia="zh-Hans"/>
        </w:rPr>
        <w:t>，</w:t>
      </w:r>
      <w:r>
        <w:rPr>
          <w:rFonts w:hint="eastAsia" w:eastAsia="宋体" w:cs="Times New Roman"/>
          <w:color w:val="auto"/>
          <w:szCs w:val="21"/>
          <w:u w:val="none" w:color="auto"/>
          <w:lang w:val="en-US" w:eastAsia="zh-Hans"/>
        </w:rPr>
        <w:t>身份证号</w:t>
      </w:r>
      <w:r>
        <w:rPr>
          <w:rFonts w:hint="default" w:eastAsia="宋体" w:cs="Times New Roman"/>
          <w:color w:val="auto"/>
          <w:szCs w:val="21"/>
          <w:u w:val="single" w:color="auto"/>
          <w:lang w:eastAsia="zh-Hans"/>
        </w:rPr>
        <w:t xml:space="preserve">        </w:t>
      </w:r>
      <w:r>
        <w:rPr>
          <w:rFonts w:hint="default" w:eastAsia="宋体" w:cs="Times New Roman"/>
          <w:color w:val="auto"/>
          <w:szCs w:val="21"/>
          <w:u w:val="single" w:color="auto"/>
        </w:rPr>
        <w:t xml:space="preserve">      </w:t>
      </w:r>
      <w:r>
        <w:rPr>
          <w:rFonts w:hint="eastAsia" w:ascii="宋体" w:hAnsi="宋体"/>
          <w:szCs w:val="21"/>
        </w:rPr>
        <w:t>为本项目的项目负责人。</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asciiTheme="minorEastAsia" w:hAnsiTheme="minorEastAsia"/>
          <w:szCs w:val="21"/>
        </w:rPr>
      </w:pPr>
      <w:r>
        <w:rPr>
          <w:rFonts w:hint="eastAsia" w:asciiTheme="minorEastAsia" w:hAnsiTheme="minorEastAsia"/>
          <w:szCs w:val="21"/>
        </w:rPr>
        <w:t>7.我方的金额为人民币_____________元的投标保证金以_____________形式与本资格审查申请书同时递交。。</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2940" w:leftChars="0" w:firstLine="420" w:firstLineChars="200"/>
        <w:jc w:val="center"/>
        <w:textAlignment w:val="auto"/>
        <w:rPr>
          <w:rFonts w:asciiTheme="minorEastAsia" w:hAnsiTheme="minorEastAsia"/>
          <w:szCs w:val="21"/>
        </w:rPr>
      </w:pPr>
      <w:r>
        <w:rPr>
          <w:rFonts w:hint="eastAsia" w:asciiTheme="minorEastAsia" w:hAnsiTheme="minorEastAsia"/>
          <w:szCs w:val="21"/>
        </w:rPr>
        <w:t>投 标 人：</w:t>
      </w:r>
      <w:r>
        <w:rPr>
          <w:rFonts w:hint="eastAsia" w:asciiTheme="minorEastAsia" w:hAnsiTheme="minorEastAsia"/>
          <w:szCs w:val="21"/>
          <w:u w:val="single"/>
          <w:lang w:val="en-US" w:eastAsia="zh-CN"/>
        </w:rPr>
        <w:t xml:space="preserve">                           </w:t>
      </w:r>
      <w:r>
        <w:rPr>
          <w:rFonts w:hint="eastAsia" w:asciiTheme="minorEastAsia" w:hAnsiTheme="minorEastAsia"/>
          <w:szCs w:val="21"/>
        </w:rPr>
        <w:t>（盖单位</w:t>
      </w:r>
      <w:r>
        <w:rPr>
          <w:rFonts w:hint="eastAsia" w:asciiTheme="minorEastAsia" w:hAnsiTheme="minorEastAsia"/>
          <w:szCs w:val="21"/>
          <w:lang w:val="en-US" w:eastAsia="zh-CN"/>
        </w:rPr>
        <w:t>公</w:t>
      </w:r>
      <w:r>
        <w:rPr>
          <w:rFonts w:hint="eastAsia" w:asciiTheme="minorEastAsia" w:hAnsiTheme="minorEastAsia"/>
          <w:szCs w:val="21"/>
        </w:rPr>
        <w:t>章）</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2940" w:leftChars="0" w:firstLine="420" w:firstLineChars="0"/>
        <w:jc w:val="both"/>
        <w:textAlignment w:val="auto"/>
        <w:rPr>
          <w:rFonts w:asciiTheme="minorEastAsia" w:hAnsiTheme="minorEastAsia"/>
          <w:szCs w:val="21"/>
        </w:rPr>
      </w:pPr>
      <w:r>
        <w:rPr>
          <w:rFonts w:hint="eastAsia" w:asciiTheme="minorEastAsia" w:hAnsiTheme="minorEastAsia"/>
          <w:szCs w:val="21"/>
        </w:rPr>
        <w:t>地     址：__________________________________________</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2940" w:leftChars="0" w:firstLine="420" w:firstLineChars="0"/>
        <w:jc w:val="both"/>
        <w:textAlignment w:val="auto"/>
        <w:rPr>
          <w:rFonts w:asciiTheme="minorEastAsia" w:hAnsiTheme="minorEastAsia"/>
          <w:szCs w:val="21"/>
        </w:rPr>
      </w:pPr>
      <w:r>
        <w:rPr>
          <w:rFonts w:hint="eastAsia" w:asciiTheme="minorEastAsia" w:hAnsiTheme="minorEastAsia"/>
          <w:szCs w:val="21"/>
        </w:rPr>
        <w:t>电     话：__________________________________________</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2940" w:leftChars="0" w:firstLine="420" w:firstLineChars="200"/>
        <w:jc w:val="both"/>
        <w:textAlignment w:val="auto"/>
        <w:rPr>
          <w:rFonts w:asciiTheme="minorEastAsia" w:hAnsiTheme="minorEastAsia"/>
          <w:szCs w:val="21"/>
        </w:rPr>
      </w:pPr>
      <w:r>
        <w:rPr>
          <w:rFonts w:hint="eastAsia" w:asciiTheme="minorEastAsia" w:hAnsiTheme="minorEastAsia"/>
          <w:szCs w:val="21"/>
        </w:rPr>
        <w:t>传     真：__________________________________________</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left="2940" w:leftChars="0" w:firstLine="420" w:firstLineChars="200"/>
        <w:jc w:val="both"/>
        <w:textAlignment w:val="auto"/>
        <w:rPr>
          <w:rFonts w:asciiTheme="minorEastAsia" w:hAnsiTheme="minorEastAsia"/>
          <w:szCs w:val="21"/>
        </w:rPr>
      </w:pPr>
      <w:r>
        <w:rPr>
          <w:rFonts w:hint="eastAsia" w:asciiTheme="minorEastAsia" w:hAnsiTheme="minorEastAsia"/>
          <w:szCs w:val="21"/>
        </w:rPr>
        <w:t>邮政编码：___________________________________________</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right"/>
        <w:textAlignment w:val="auto"/>
        <w:rPr>
          <w:rFonts w:hint="eastAsia" w:asciiTheme="minorEastAsia" w:hAnsiTheme="minorEastAsia"/>
          <w:szCs w:val="21"/>
        </w:rPr>
      </w:pPr>
      <w:r>
        <w:rPr>
          <w:rFonts w:hint="eastAsia" w:asciiTheme="minorEastAsia" w:hAnsiTheme="minorEastAsia"/>
          <w:szCs w:val="21"/>
        </w:rPr>
        <w:t>__________年_____月_____日</w:t>
      </w:r>
    </w:p>
    <w:p>
      <w:pPr>
        <w:rPr>
          <w:rFonts w:hint="eastAsia" w:asciiTheme="minorEastAsia" w:hAnsiTheme="minorEastAsia"/>
          <w:szCs w:val="21"/>
        </w:rPr>
      </w:pPr>
      <w:r>
        <w:rPr>
          <w:rFonts w:hint="eastAsia" w:asciiTheme="minorEastAsia" w:hAnsiTheme="minorEastAsia"/>
          <w:szCs w:val="21"/>
        </w:rPr>
        <w:br w:type="page"/>
      </w:r>
    </w:p>
    <w:p>
      <w:pPr>
        <w:widowControl/>
        <w:shd w:val="clear" w:color="auto" w:fill="FFFFFF"/>
        <w:snapToGrid w:val="0"/>
        <w:ind w:firstLine="420" w:firstLineChars="200"/>
        <w:jc w:val="right"/>
        <w:rPr>
          <w:rFonts w:hint="eastAsia" w:asciiTheme="minorEastAsia" w:hAnsiTheme="minorEastAsia"/>
          <w:szCs w:val="21"/>
        </w:rPr>
      </w:pPr>
    </w:p>
    <w:p>
      <w:pPr>
        <w:pStyle w:val="4"/>
        <w:spacing w:before="0" w:after="0" w:line="520" w:lineRule="exact"/>
        <w:rPr>
          <w:rFonts w:hint="eastAsia"/>
          <w:sz w:val="28"/>
          <w:szCs w:val="28"/>
        </w:rPr>
      </w:pPr>
      <w:bookmarkStart w:id="4039" w:name="_Toc511396203"/>
      <w:bookmarkStart w:id="4040" w:name="_Toc254806477"/>
      <w:bookmarkStart w:id="4041" w:name="_Toc1306695287"/>
      <w:bookmarkStart w:id="4042" w:name="_Toc516823091"/>
      <w:bookmarkStart w:id="4043" w:name="_Toc444453187"/>
      <w:bookmarkStart w:id="4044" w:name="_Toc1613387691"/>
      <w:bookmarkStart w:id="4045" w:name="_Toc773588352"/>
      <w:bookmarkStart w:id="4046" w:name="_Toc3075"/>
      <w:bookmarkStart w:id="4047" w:name="_Toc470827749"/>
      <w:bookmarkStart w:id="4048" w:name="_Toc21872"/>
      <w:bookmarkStart w:id="4049" w:name="_Toc18296"/>
      <w:bookmarkStart w:id="4050" w:name="_Toc1014858908"/>
      <w:bookmarkStart w:id="4051" w:name="_Toc938293084"/>
      <w:bookmarkStart w:id="4052" w:name="_Toc1348354214"/>
      <w:bookmarkStart w:id="4053" w:name="_Toc1456795563"/>
      <w:bookmarkStart w:id="4054" w:name="_Toc515440852"/>
      <w:bookmarkStart w:id="4055" w:name="_Toc514755799"/>
      <w:bookmarkStart w:id="4056" w:name="_Toc20389"/>
      <w:bookmarkStart w:id="4057" w:name="_Toc1708235280"/>
      <w:bookmarkStart w:id="4058" w:name="_Toc7232"/>
      <w:bookmarkStart w:id="4059" w:name="_Toc22132"/>
      <w:bookmarkStart w:id="4060" w:name="_Toc2701"/>
      <w:bookmarkStart w:id="4061" w:name="_Toc1596806017"/>
      <w:bookmarkStart w:id="4062" w:name="_Toc1979889253"/>
      <w:bookmarkStart w:id="4063" w:name="_Toc24942"/>
      <w:bookmarkStart w:id="4064" w:name="_Toc7186595"/>
      <w:r>
        <w:rPr>
          <w:rFonts w:hint="eastAsia"/>
          <w:sz w:val="28"/>
          <w:szCs w:val="28"/>
        </w:rPr>
        <w:t>二、投标人基本情况表</w:t>
      </w:r>
      <w:bookmarkEnd w:id="4039"/>
      <w:r>
        <w:rPr>
          <w:rFonts w:hint="eastAsia"/>
          <w:sz w:val="28"/>
          <w:szCs w:val="28"/>
        </w:rPr>
        <w:t>（参考格式）</w:t>
      </w:r>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p>
    <w:p/>
    <w:p>
      <w:pPr>
        <w:widowControl/>
        <w:shd w:val="clear" w:color="auto" w:fill="FFFFFF"/>
        <w:snapToGrid w:val="0"/>
        <w:ind w:firstLine="0" w:firstLineChars="0"/>
        <w:jc w:val="center"/>
        <w:rPr>
          <w:rFonts w:asciiTheme="minorEastAsia" w:hAnsiTheme="minorEastAsia"/>
          <w:b/>
          <w:sz w:val="32"/>
          <w:szCs w:val="32"/>
        </w:rPr>
      </w:pPr>
      <w:r>
        <w:rPr>
          <w:rFonts w:hint="eastAsia" w:asciiTheme="minorEastAsia" w:hAnsiTheme="minorEastAsia"/>
          <w:b/>
          <w:sz w:val="32"/>
          <w:szCs w:val="32"/>
        </w:rPr>
        <w:t>投标人基本情况表</w:t>
      </w:r>
    </w:p>
    <w:p>
      <w:pPr>
        <w:widowControl/>
        <w:shd w:val="clear" w:color="auto" w:fill="FFFFFF"/>
        <w:snapToGrid w:val="0"/>
        <w:ind w:firstLine="422" w:firstLineChars="200"/>
        <w:jc w:val="left"/>
        <w:rPr>
          <w:rFonts w:asciiTheme="minorEastAsia" w:hAnsiTheme="minorEastAsia"/>
          <w:b/>
          <w:szCs w:val="21"/>
        </w:rPr>
      </w:pPr>
    </w:p>
    <w:tbl>
      <w:tblPr>
        <w:tblStyle w:val="30"/>
        <w:tblW w:w="895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83"/>
        <w:gridCol w:w="991"/>
        <w:gridCol w:w="1134"/>
        <w:gridCol w:w="1134"/>
        <w:gridCol w:w="567"/>
        <w:gridCol w:w="567"/>
        <w:gridCol w:w="992"/>
        <w:gridCol w:w="108"/>
        <w:gridCol w:w="34"/>
        <w:gridCol w:w="14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投标人名称</w:t>
            </w:r>
          </w:p>
        </w:tc>
        <w:tc>
          <w:tcPr>
            <w:tcW w:w="6969" w:type="dxa"/>
            <w:gridSpan w:val="9"/>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注册地址</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color w:val="00B0F0"/>
                <w:szCs w:val="21"/>
              </w:rPr>
            </w:pPr>
          </w:p>
        </w:tc>
        <w:tc>
          <w:tcPr>
            <w:tcW w:w="2234" w:type="dxa"/>
            <w:gridSpan w:val="4"/>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邮政编码</w:t>
            </w:r>
          </w:p>
        </w:tc>
        <w:tc>
          <w:tcPr>
            <w:tcW w:w="1476" w:type="dxa"/>
            <w:gridSpan w:val="2"/>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9" w:hRule="atLeast"/>
        </w:trPr>
        <w:tc>
          <w:tcPr>
            <w:tcW w:w="1983" w:type="dxa"/>
            <w:vMerge w:val="restart"/>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联系方式</w:t>
            </w:r>
          </w:p>
        </w:tc>
        <w:tc>
          <w:tcPr>
            <w:tcW w:w="991" w:type="dxa"/>
            <w:tcBorders>
              <w:bottom w:val="single" w:color="auto" w:sz="4" w:space="0"/>
              <w:right w:val="single" w:color="auto" w:sz="4" w:space="0"/>
            </w:tcBorders>
            <w:vAlign w:val="center"/>
          </w:tcPr>
          <w:p>
            <w:pPr>
              <w:spacing w:line="360" w:lineRule="auto"/>
              <w:jc w:val="center"/>
              <w:rPr>
                <w:rFonts w:asciiTheme="minorEastAsia" w:hAnsiTheme="minorEastAsia"/>
                <w:szCs w:val="21"/>
              </w:rPr>
            </w:pPr>
            <w:r>
              <w:rPr>
                <w:rFonts w:hint="eastAsia" w:asciiTheme="minorEastAsia" w:hAnsiTheme="minorEastAsia"/>
                <w:szCs w:val="21"/>
              </w:rPr>
              <w:t>联系人</w:t>
            </w:r>
          </w:p>
        </w:tc>
        <w:tc>
          <w:tcPr>
            <w:tcW w:w="2268" w:type="dxa"/>
            <w:gridSpan w:val="2"/>
            <w:tcBorders>
              <w:bottom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134" w:type="dxa"/>
            <w:gridSpan w:val="2"/>
            <w:tcBorders>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电话</w:t>
            </w:r>
          </w:p>
        </w:tc>
        <w:tc>
          <w:tcPr>
            <w:tcW w:w="2576" w:type="dxa"/>
            <w:gridSpan w:val="4"/>
            <w:tcBorders>
              <w:left w:val="single" w:color="auto" w:sz="4" w:space="0"/>
              <w:bottom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0" w:hRule="atLeast"/>
        </w:trPr>
        <w:tc>
          <w:tcPr>
            <w:tcW w:w="1983" w:type="dxa"/>
            <w:vMerge w:val="continue"/>
            <w:vAlign w:val="center"/>
          </w:tcPr>
          <w:p>
            <w:pPr>
              <w:widowControl/>
              <w:spacing w:line="360" w:lineRule="auto"/>
              <w:jc w:val="center"/>
              <w:rPr>
                <w:rFonts w:asciiTheme="minorEastAsia" w:hAnsiTheme="minorEastAsia"/>
                <w:szCs w:val="21"/>
              </w:rPr>
            </w:pPr>
          </w:p>
        </w:tc>
        <w:tc>
          <w:tcPr>
            <w:tcW w:w="991" w:type="dxa"/>
            <w:tcBorders>
              <w:top w:val="single" w:color="auto" w:sz="4" w:space="0"/>
              <w:right w:val="single" w:color="auto" w:sz="4" w:space="0"/>
            </w:tcBorders>
            <w:vAlign w:val="center"/>
          </w:tcPr>
          <w:p>
            <w:pPr>
              <w:spacing w:line="360" w:lineRule="auto"/>
              <w:jc w:val="center"/>
              <w:rPr>
                <w:rFonts w:asciiTheme="minorEastAsia" w:hAnsiTheme="minorEastAsia"/>
                <w:szCs w:val="21"/>
              </w:rPr>
            </w:pPr>
            <w:r>
              <w:rPr>
                <w:rFonts w:hint="eastAsia" w:asciiTheme="minorEastAsia" w:hAnsiTheme="minorEastAsia"/>
                <w:szCs w:val="21"/>
              </w:rPr>
              <w:t>传  真</w:t>
            </w:r>
          </w:p>
        </w:tc>
        <w:tc>
          <w:tcPr>
            <w:tcW w:w="2268" w:type="dxa"/>
            <w:gridSpan w:val="2"/>
            <w:tcBorders>
              <w:top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134" w:type="dxa"/>
            <w:gridSpan w:val="2"/>
            <w:tcBorders>
              <w:top w:val="single" w:color="auto" w:sz="4" w:space="0"/>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网址</w:t>
            </w:r>
          </w:p>
        </w:tc>
        <w:tc>
          <w:tcPr>
            <w:tcW w:w="2576" w:type="dxa"/>
            <w:gridSpan w:val="4"/>
            <w:tcBorders>
              <w:top w:val="single" w:color="auto" w:sz="4" w:space="0"/>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法定代表人</w:t>
            </w:r>
          </w:p>
        </w:tc>
        <w:tc>
          <w:tcPr>
            <w:tcW w:w="991"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姓名</w:t>
            </w:r>
          </w:p>
        </w:tc>
        <w:tc>
          <w:tcPr>
            <w:tcW w:w="1134" w:type="dxa"/>
            <w:tcBorders>
              <w:right w:val="single" w:color="auto" w:sz="4" w:space="0"/>
            </w:tcBorders>
            <w:vAlign w:val="center"/>
          </w:tcPr>
          <w:p>
            <w:pPr>
              <w:widowControl/>
              <w:spacing w:line="360" w:lineRule="auto"/>
              <w:jc w:val="center"/>
              <w:rPr>
                <w:rFonts w:asciiTheme="minorEastAsia" w:hAnsiTheme="minorEastAsia"/>
                <w:szCs w:val="21"/>
              </w:rPr>
            </w:pPr>
          </w:p>
        </w:tc>
        <w:tc>
          <w:tcPr>
            <w:tcW w:w="1134"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技术职称</w:t>
            </w:r>
          </w:p>
        </w:tc>
        <w:tc>
          <w:tcPr>
            <w:tcW w:w="1134"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134" w:type="dxa"/>
            <w:gridSpan w:val="3"/>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电话</w:t>
            </w:r>
          </w:p>
        </w:tc>
        <w:tc>
          <w:tcPr>
            <w:tcW w:w="1442" w:type="dxa"/>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技术负责人</w:t>
            </w:r>
          </w:p>
        </w:tc>
        <w:tc>
          <w:tcPr>
            <w:tcW w:w="991"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姓名</w:t>
            </w:r>
          </w:p>
        </w:tc>
        <w:tc>
          <w:tcPr>
            <w:tcW w:w="1134" w:type="dxa"/>
            <w:tcBorders>
              <w:right w:val="single" w:color="auto" w:sz="4" w:space="0"/>
            </w:tcBorders>
            <w:vAlign w:val="center"/>
          </w:tcPr>
          <w:p>
            <w:pPr>
              <w:widowControl/>
              <w:spacing w:line="360" w:lineRule="auto"/>
              <w:jc w:val="center"/>
              <w:rPr>
                <w:rFonts w:asciiTheme="minorEastAsia" w:hAnsiTheme="minorEastAsia"/>
                <w:szCs w:val="21"/>
              </w:rPr>
            </w:pPr>
          </w:p>
        </w:tc>
        <w:tc>
          <w:tcPr>
            <w:tcW w:w="1134"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技术职称</w:t>
            </w:r>
          </w:p>
        </w:tc>
        <w:tc>
          <w:tcPr>
            <w:tcW w:w="1134"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134" w:type="dxa"/>
            <w:gridSpan w:val="3"/>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电话</w:t>
            </w:r>
          </w:p>
        </w:tc>
        <w:tc>
          <w:tcPr>
            <w:tcW w:w="1442" w:type="dxa"/>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成立日期</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3710" w:type="dxa"/>
            <w:gridSpan w:val="6"/>
            <w:tcBorders>
              <w:left w:val="single" w:color="auto" w:sz="4" w:space="0"/>
            </w:tcBorders>
            <w:vAlign w:val="center"/>
          </w:tcPr>
          <w:p>
            <w:pPr>
              <w:widowControl/>
              <w:spacing w:line="360" w:lineRule="auto"/>
              <w:jc w:val="left"/>
              <w:rPr>
                <w:rFonts w:asciiTheme="minorEastAsia" w:hAnsiTheme="minorEastAsia"/>
                <w:szCs w:val="21"/>
              </w:rPr>
            </w:pPr>
            <w:r>
              <w:rPr>
                <w:rFonts w:hint="eastAsia" w:asciiTheme="minorEastAsia" w:hAnsiTheme="minorEastAsia"/>
                <w:szCs w:val="21"/>
              </w:rPr>
              <w:t>员工总人数：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营业执照号</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567" w:type="dxa"/>
            <w:vMerge w:val="restart"/>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其</w:t>
            </w:r>
          </w:p>
          <w:p>
            <w:pPr>
              <w:widowControl/>
              <w:spacing w:line="360" w:lineRule="auto"/>
              <w:jc w:val="center"/>
              <w:rPr>
                <w:rFonts w:asciiTheme="minorEastAsia" w:hAnsiTheme="minorEastAsia"/>
                <w:szCs w:val="21"/>
              </w:rPr>
            </w:pPr>
            <w:r>
              <w:rPr>
                <w:rFonts w:hint="eastAsia" w:asciiTheme="minorEastAsia" w:hAnsiTheme="minorEastAsia"/>
                <w:szCs w:val="21"/>
              </w:rPr>
              <w:t>中</w:t>
            </w:r>
          </w:p>
        </w:tc>
        <w:tc>
          <w:tcPr>
            <w:tcW w:w="1559"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高级职称人员</w:t>
            </w:r>
          </w:p>
        </w:tc>
        <w:tc>
          <w:tcPr>
            <w:tcW w:w="1584" w:type="dxa"/>
            <w:gridSpan w:val="3"/>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资质等级</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567"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559"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中级职称人员</w:t>
            </w:r>
          </w:p>
        </w:tc>
        <w:tc>
          <w:tcPr>
            <w:tcW w:w="1584" w:type="dxa"/>
            <w:gridSpan w:val="3"/>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注册资本</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567"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559"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技术人员数量</w:t>
            </w:r>
          </w:p>
        </w:tc>
        <w:tc>
          <w:tcPr>
            <w:tcW w:w="1584" w:type="dxa"/>
            <w:gridSpan w:val="3"/>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基本账户开户银行</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567"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559"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各类注册人员</w:t>
            </w:r>
          </w:p>
        </w:tc>
        <w:tc>
          <w:tcPr>
            <w:tcW w:w="1584" w:type="dxa"/>
            <w:gridSpan w:val="3"/>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基本账户银行账号</w:t>
            </w:r>
          </w:p>
        </w:tc>
        <w:tc>
          <w:tcPr>
            <w:tcW w:w="3259" w:type="dxa"/>
            <w:gridSpan w:val="3"/>
            <w:tcBorders>
              <w:right w:val="single" w:color="auto" w:sz="4" w:space="0"/>
            </w:tcBorders>
            <w:vAlign w:val="center"/>
          </w:tcPr>
          <w:p>
            <w:pPr>
              <w:widowControl/>
              <w:spacing w:line="360" w:lineRule="auto"/>
              <w:jc w:val="center"/>
              <w:rPr>
                <w:rFonts w:asciiTheme="minorEastAsia" w:hAnsiTheme="minorEastAsia"/>
                <w:szCs w:val="21"/>
              </w:rPr>
            </w:pPr>
          </w:p>
        </w:tc>
        <w:tc>
          <w:tcPr>
            <w:tcW w:w="567"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559" w:type="dxa"/>
            <w:gridSpan w:val="2"/>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584" w:type="dxa"/>
            <w:gridSpan w:val="3"/>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经营范围</w:t>
            </w:r>
          </w:p>
        </w:tc>
        <w:tc>
          <w:tcPr>
            <w:tcW w:w="6969" w:type="dxa"/>
            <w:gridSpan w:val="9"/>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投标人关联企业情况（包括但不限于与投标人法定代表人为同一人或者存在控股、管理关系的不同单位）</w:t>
            </w:r>
          </w:p>
        </w:tc>
        <w:tc>
          <w:tcPr>
            <w:tcW w:w="6969" w:type="dxa"/>
            <w:gridSpan w:val="9"/>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983"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备注</w:t>
            </w:r>
          </w:p>
        </w:tc>
        <w:tc>
          <w:tcPr>
            <w:tcW w:w="6969" w:type="dxa"/>
            <w:gridSpan w:val="9"/>
            <w:vAlign w:val="center"/>
          </w:tcPr>
          <w:p>
            <w:pPr>
              <w:widowControl/>
              <w:spacing w:line="360" w:lineRule="auto"/>
              <w:jc w:val="center"/>
              <w:rPr>
                <w:rFonts w:asciiTheme="minorEastAsia" w:hAnsiTheme="minorEastAsia"/>
                <w:szCs w:val="21"/>
              </w:rPr>
            </w:pPr>
          </w:p>
        </w:tc>
      </w:tr>
    </w:tbl>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注：投标人应在本表后附投标人营业执照、</w:t>
      </w:r>
      <w:r>
        <w:rPr>
          <w:rFonts w:hint="eastAsia" w:ascii="宋体" w:hAnsi="宋体"/>
          <w:szCs w:val="21"/>
        </w:rPr>
        <w:t>投标人须知前附表第1.4.1项</w:t>
      </w:r>
      <w:r>
        <w:rPr>
          <w:rFonts w:hint="eastAsia" w:ascii="宋体" w:hAnsi="宋体"/>
          <w:szCs w:val="21"/>
          <w:lang w:val="en-US" w:eastAsia="zh-Hans"/>
        </w:rPr>
        <w:t>资质</w:t>
      </w:r>
      <w:r>
        <w:rPr>
          <w:rFonts w:hint="eastAsia" w:ascii="宋体" w:hAnsi="宋体"/>
          <w:szCs w:val="21"/>
        </w:rPr>
        <w:t>要求的</w:t>
      </w:r>
      <w:r>
        <w:rPr>
          <w:rFonts w:hint="eastAsia" w:ascii="宋体" w:hAnsi="宋体"/>
          <w:szCs w:val="21"/>
          <w:lang w:val="en-US" w:eastAsia="zh-Hans"/>
        </w:rPr>
        <w:t>相关证件</w:t>
      </w:r>
      <w:r>
        <w:rPr>
          <w:rFonts w:hint="eastAsia" w:asciiTheme="minorEastAsia" w:hAnsiTheme="minorEastAsia"/>
          <w:szCs w:val="21"/>
        </w:rPr>
        <w:t>等材料的扫描件。</w:t>
      </w: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rFonts w:hint="eastAsia"/>
          <w:sz w:val="28"/>
          <w:szCs w:val="28"/>
        </w:rPr>
      </w:pPr>
      <w:bookmarkStart w:id="4065" w:name="_Toc511396204"/>
      <w:bookmarkStart w:id="4066" w:name="_Toc919442867"/>
      <w:bookmarkStart w:id="4067" w:name="_Toc2078395615"/>
      <w:bookmarkStart w:id="4068" w:name="_Toc515440853"/>
      <w:bookmarkStart w:id="4069" w:name="_Toc901967894"/>
      <w:bookmarkStart w:id="4070" w:name="_Toc1418542282"/>
      <w:bookmarkStart w:id="4071" w:name="_Toc976589643"/>
      <w:bookmarkStart w:id="4072" w:name="_Toc20648"/>
      <w:bookmarkStart w:id="4073" w:name="_Toc19529"/>
      <w:bookmarkStart w:id="4074" w:name="_Toc516823092"/>
      <w:bookmarkStart w:id="4075" w:name="_Toc739564906"/>
      <w:bookmarkStart w:id="4076" w:name="_Toc601474217"/>
      <w:bookmarkStart w:id="4077" w:name="_Toc28037"/>
      <w:bookmarkStart w:id="4078" w:name="_Toc1541831554"/>
      <w:bookmarkStart w:id="4079" w:name="_Toc1459914387"/>
      <w:bookmarkStart w:id="4080" w:name="_Toc450066821"/>
      <w:bookmarkStart w:id="4081" w:name="_Toc1872221895"/>
      <w:bookmarkStart w:id="4082" w:name="_Toc1436583677"/>
      <w:bookmarkStart w:id="4083" w:name="_Toc21"/>
      <w:bookmarkStart w:id="4084" w:name="_Toc833433126"/>
      <w:bookmarkStart w:id="4085" w:name="_Toc415591160"/>
      <w:bookmarkStart w:id="4086" w:name="_Toc7186596"/>
      <w:bookmarkStart w:id="4087" w:name="_Toc21403"/>
      <w:bookmarkStart w:id="4088" w:name="_Toc29278"/>
      <w:bookmarkStart w:id="4089" w:name="_Toc2450"/>
      <w:bookmarkStart w:id="4090" w:name="_Toc14916"/>
      <w:r>
        <w:rPr>
          <w:rFonts w:hint="eastAsia"/>
          <w:sz w:val="28"/>
          <w:szCs w:val="28"/>
        </w:rPr>
        <w:t>三、法定代表人身份证明（适用于无委托代理人的情况）</w:t>
      </w:r>
      <w:bookmarkEnd w:id="4065"/>
      <w:r>
        <w:rPr>
          <w:rFonts w:hint="eastAsia"/>
          <w:sz w:val="28"/>
          <w:szCs w:val="28"/>
        </w:rPr>
        <w:t>（参考格式）</w:t>
      </w:r>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p>
    <w:p/>
    <w:p>
      <w:pPr>
        <w:widowControl/>
        <w:shd w:val="clear" w:color="auto" w:fill="FFFFFF"/>
        <w:snapToGrid w:val="0"/>
        <w:ind w:firstLine="0" w:firstLineChars="0"/>
        <w:jc w:val="center"/>
        <w:rPr>
          <w:rFonts w:asciiTheme="minorEastAsia" w:hAnsiTheme="minorEastAsia"/>
          <w:b/>
          <w:sz w:val="32"/>
          <w:szCs w:val="32"/>
        </w:rPr>
      </w:pPr>
      <w:r>
        <w:rPr>
          <w:rFonts w:hint="eastAsia" w:asciiTheme="minorEastAsia" w:hAnsiTheme="minorEastAsia"/>
          <w:b/>
          <w:sz w:val="32"/>
          <w:szCs w:val="32"/>
        </w:rPr>
        <w:t>法定代表人身份证明</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jc w:val="left"/>
        <w:rPr>
          <w:rFonts w:hint="default" w:asciiTheme="minorEastAsia" w:hAnsiTheme="minorEastAsia" w:eastAsiaTheme="minorEastAsia"/>
          <w:szCs w:val="21"/>
          <w:u w:val="single"/>
          <w:lang w:val="en-US" w:eastAsia="zh-CN"/>
        </w:rPr>
      </w:pPr>
      <w:r>
        <w:rPr>
          <w:rFonts w:hint="eastAsia" w:asciiTheme="minorEastAsia" w:hAnsiTheme="minorEastAsia"/>
          <w:szCs w:val="21"/>
        </w:rPr>
        <w:t>投标人名称：</w:t>
      </w:r>
      <w:r>
        <w:rPr>
          <w:rFonts w:hint="eastAsia" w:asciiTheme="minorEastAsia" w:hAnsiTheme="minorEastAsia"/>
          <w:szCs w:val="21"/>
          <w:u w:val="single"/>
          <w:lang w:val="en-US" w:eastAsia="zh-CN"/>
        </w:rPr>
        <w:t xml:space="preserve">                     </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姓名：</w:t>
      </w:r>
      <w:r>
        <w:rPr>
          <w:rFonts w:hint="eastAsia" w:asciiTheme="minorEastAsia" w:hAnsiTheme="minorEastAsia"/>
          <w:szCs w:val="21"/>
          <w:u w:val="single"/>
          <w:lang w:val="en-US" w:eastAsia="zh-CN"/>
        </w:rPr>
        <w:t xml:space="preserve">             </w:t>
      </w:r>
      <w:r>
        <w:rPr>
          <w:rFonts w:hint="eastAsia" w:asciiTheme="minorEastAsia" w:hAnsiTheme="minorEastAsia"/>
          <w:szCs w:val="21"/>
          <w:lang w:val="en-US" w:eastAsia="zh-CN"/>
        </w:rPr>
        <w:t xml:space="preserve"> </w:t>
      </w:r>
      <w:r>
        <w:rPr>
          <w:rFonts w:hint="eastAsia" w:asciiTheme="minorEastAsia" w:hAnsiTheme="minorEastAsia"/>
          <w:szCs w:val="21"/>
        </w:rPr>
        <w:t>性别：</w:t>
      </w:r>
      <w:r>
        <w:rPr>
          <w:rFonts w:hint="eastAsia" w:asciiTheme="minorEastAsia" w:hAnsiTheme="minorEastAsia"/>
          <w:szCs w:val="21"/>
          <w:u w:val="single"/>
          <w:lang w:val="en-US" w:eastAsia="zh-CN"/>
        </w:rPr>
        <w:t xml:space="preserve">        </w:t>
      </w:r>
      <w:r>
        <w:rPr>
          <w:rFonts w:hint="eastAsia" w:asciiTheme="minorEastAsia" w:hAnsiTheme="minorEastAsia"/>
          <w:szCs w:val="21"/>
        </w:rPr>
        <w:t>年龄：</w:t>
      </w:r>
      <w:r>
        <w:rPr>
          <w:rFonts w:hint="eastAsia" w:asciiTheme="minorEastAsia" w:hAnsiTheme="minorEastAsia"/>
          <w:szCs w:val="21"/>
          <w:u w:val="single"/>
          <w:lang w:val="en-US" w:eastAsia="zh-CN"/>
        </w:rPr>
        <w:t xml:space="preserve">            </w:t>
      </w:r>
      <w:r>
        <w:rPr>
          <w:rFonts w:hint="eastAsia" w:asciiTheme="minorEastAsia" w:hAnsiTheme="minorEastAsia"/>
          <w:szCs w:val="21"/>
        </w:rPr>
        <w:t>职务：</w:t>
      </w:r>
      <w:r>
        <w:rPr>
          <w:rFonts w:hint="eastAsia" w:asciiTheme="minorEastAsia" w:hAnsiTheme="minorEastAsia"/>
          <w:szCs w:val="21"/>
          <w:u w:val="single"/>
          <w:lang w:val="en-US" w:eastAsia="zh-CN"/>
        </w:rPr>
        <w:t xml:space="preserve">            </w:t>
      </w:r>
      <w:r>
        <w:rPr>
          <w:rFonts w:hint="eastAsia" w:asciiTheme="minorEastAsia" w:hAnsiTheme="minorEastAsia"/>
          <w:szCs w:val="21"/>
        </w:rPr>
        <w:t>系</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投标人名称</w:t>
      </w:r>
      <w:r>
        <w:rPr>
          <w:rFonts w:hint="eastAsia" w:eastAsia="宋体" w:cs="Times New Roman"/>
          <w:color w:val="auto"/>
          <w:szCs w:val="21"/>
          <w:u w:val="single" w:color="auto"/>
          <w:lang w:eastAsia="zh-Hans"/>
        </w:rPr>
        <w:t>）</w:t>
      </w:r>
      <w:r>
        <w:rPr>
          <w:rFonts w:hint="eastAsia" w:asciiTheme="minorEastAsia" w:hAnsiTheme="minorEastAsia"/>
          <w:szCs w:val="21"/>
        </w:rPr>
        <w:t>的法定代表人。</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特此证明。</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注：在本证明后附法定代表人身份证扫描件，扫描件盖单位章。</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highlight w:val="none"/>
        </w:rPr>
      </w:pPr>
      <w:r>
        <w:rPr>
          <w:rFonts w:hint="eastAsia" w:asciiTheme="minorEastAsia" w:hAnsiTheme="minorEastAsia"/>
          <w:szCs w:val="21"/>
          <w:highlight w:val="none"/>
        </w:rPr>
        <w:t>投标人：</w:t>
      </w:r>
      <w:r>
        <w:rPr>
          <w:rFonts w:hint="eastAsia" w:asciiTheme="minorEastAsia" w:hAnsiTheme="minorEastAsia"/>
          <w:szCs w:val="21"/>
          <w:highlight w:val="none"/>
          <w:u w:val="single"/>
          <w:lang w:val="en-US" w:eastAsia="zh-CN"/>
        </w:rPr>
        <w:t xml:space="preserve">            </w:t>
      </w:r>
      <w:r>
        <w:rPr>
          <w:rFonts w:hint="eastAsia" w:asciiTheme="minorEastAsia" w:hAnsiTheme="minorEastAsia"/>
          <w:szCs w:val="21"/>
          <w:highlight w:val="none"/>
        </w:rPr>
        <w:t>（盖单位</w:t>
      </w:r>
      <w:r>
        <w:rPr>
          <w:rFonts w:hint="eastAsia" w:asciiTheme="minorEastAsia" w:hAnsiTheme="minorEastAsia"/>
          <w:szCs w:val="21"/>
          <w:highlight w:val="none"/>
          <w:lang w:val="en-US" w:eastAsia="zh-CN"/>
        </w:rPr>
        <w:t>公</w:t>
      </w:r>
      <w:r>
        <w:rPr>
          <w:rFonts w:hint="eastAsia" w:asciiTheme="minorEastAsia" w:hAnsiTheme="minorEastAsia"/>
          <w:szCs w:val="21"/>
          <w:highlight w:val="none"/>
        </w:rPr>
        <w:t>章）</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u w:val="single"/>
          <w:lang w:val="en-US" w:eastAsia="zh-CN"/>
        </w:rPr>
        <w:t xml:space="preserve">         </w:t>
      </w:r>
      <w:r>
        <w:rPr>
          <w:rFonts w:hint="eastAsia" w:asciiTheme="minorEastAsia" w:hAnsiTheme="minorEastAsia"/>
          <w:szCs w:val="21"/>
        </w:rPr>
        <w:t>年</w:t>
      </w:r>
      <w:r>
        <w:rPr>
          <w:rFonts w:hint="eastAsia" w:asciiTheme="minorEastAsia" w:hAnsiTheme="minorEastAsia"/>
          <w:szCs w:val="21"/>
          <w:u w:val="single"/>
          <w:lang w:val="en-US" w:eastAsia="zh-CN"/>
        </w:rPr>
        <w:t xml:space="preserve">     </w:t>
      </w:r>
      <w:r>
        <w:rPr>
          <w:rFonts w:hint="eastAsia" w:asciiTheme="minorEastAsia" w:hAnsiTheme="minorEastAsia"/>
          <w:szCs w:val="21"/>
        </w:rPr>
        <w:t>月</w:t>
      </w:r>
      <w:r>
        <w:rPr>
          <w:rFonts w:hint="eastAsia" w:asciiTheme="minorEastAsia" w:hAnsiTheme="minorEastAsia"/>
          <w:szCs w:val="21"/>
          <w:u w:val="single"/>
          <w:lang w:val="en-US" w:eastAsia="zh-CN"/>
        </w:rPr>
        <w:t xml:space="preserve">     </w:t>
      </w:r>
      <w:r>
        <w:rPr>
          <w:rFonts w:hint="eastAsia" w:asciiTheme="minorEastAsia" w:hAnsiTheme="minorEastAsia"/>
          <w:szCs w:val="21"/>
        </w:rPr>
        <w:t>日</w:t>
      </w: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p>
    <w:p>
      <w:pPr>
        <w:pStyle w:val="4"/>
        <w:spacing w:before="0" w:after="0" w:line="520" w:lineRule="exact"/>
        <w:rPr>
          <w:rFonts w:hint="eastAsia"/>
          <w:sz w:val="28"/>
          <w:szCs w:val="28"/>
        </w:rPr>
      </w:pPr>
      <w:bookmarkStart w:id="4091" w:name="_Toc511396205"/>
      <w:bookmarkStart w:id="4092" w:name="_Toc515440854"/>
      <w:bookmarkStart w:id="4093" w:name="_Toc232026306"/>
      <w:bookmarkStart w:id="4094" w:name="_Toc1502993421"/>
      <w:bookmarkStart w:id="4095" w:name="_Toc12495"/>
      <w:bookmarkStart w:id="4096" w:name="_Toc29890"/>
      <w:bookmarkStart w:id="4097" w:name="_Toc516823093"/>
      <w:bookmarkStart w:id="4098" w:name="_Toc1622202948"/>
      <w:bookmarkStart w:id="4099" w:name="_Toc1223806076"/>
      <w:bookmarkStart w:id="4100" w:name="_Toc22689"/>
      <w:bookmarkStart w:id="4101" w:name="_Toc287330285"/>
      <w:bookmarkStart w:id="4102" w:name="_Toc10586"/>
      <w:bookmarkStart w:id="4103" w:name="_Toc12555"/>
      <w:bookmarkStart w:id="4104" w:name="_Toc2025243376"/>
      <w:bookmarkStart w:id="4105" w:name="_Toc76684580"/>
      <w:bookmarkStart w:id="4106" w:name="_Toc771638690"/>
      <w:bookmarkStart w:id="4107" w:name="_Toc7186597"/>
      <w:bookmarkStart w:id="4108" w:name="_Toc835655813"/>
      <w:bookmarkStart w:id="4109" w:name="_Toc626099203"/>
      <w:bookmarkStart w:id="4110" w:name="_Toc2683"/>
      <w:bookmarkStart w:id="4111" w:name="_Toc13495"/>
      <w:bookmarkStart w:id="4112" w:name="_Toc503216118"/>
      <w:bookmarkStart w:id="4113" w:name="_Toc1931425504"/>
      <w:bookmarkStart w:id="4114" w:name="_Toc1780435334"/>
      <w:bookmarkStart w:id="4115" w:name="_Toc324615880"/>
      <w:bookmarkStart w:id="4116" w:name="_Toc15304"/>
      <w:r>
        <w:rPr>
          <w:rFonts w:hint="eastAsia"/>
          <w:sz w:val="28"/>
          <w:szCs w:val="28"/>
        </w:rPr>
        <w:t>四、授权委托书（适用于有委托代理人的情况）</w:t>
      </w:r>
      <w:bookmarkEnd w:id="4091"/>
      <w:r>
        <w:rPr>
          <w:rFonts w:hint="eastAsia"/>
          <w:sz w:val="28"/>
          <w:szCs w:val="28"/>
        </w:rPr>
        <w:t>（参考格式）</w:t>
      </w:r>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p>
    <w:p/>
    <w:p>
      <w:pPr>
        <w:widowControl/>
        <w:shd w:val="clear" w:color="auto" w:fill="FFFFFF"/>
        <w:snapToGrid w:val="0"/>
        <w:ind w:firstLine="0" w:firstLineChars="0"/>
        <w:jc w:val="center"/>
        <w:rPr>
          <w:rFonts w:asciiTheme="minorEastAsia" w:hAnsiTheme="minorEastAsia"/>
          <w:b/>
          <w:sz w:val="32"/>
          <w:szCs w:val="32"/>
        </w:rPr>
      </w:pPr>
      <w:r>
        <w:rPr>
          <w:rFonts w:hint="eastAsia" w:asciiTheme="minorEastAsia" w:hAnsiTheme="minorEastAsia"/>
          <w:b/>
          <w:sz w:val="32"/>
          <w:szCs w:val="32"/>
        </w:rPr>
        <w:t>授权委托书</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本人</w:t>
      </w:r>
      <w:r>
        <w:rPr>
          <w:rFonts w:hint="eastAsia" w:ascii="宋体" w:hAnsi="宋体"/>
          <w:szCs w:val="21"/>
          <w:u w:val="single"/>
        </w:rPr>
        <w:t xml:space="preserve">      （姓名）</w:t>
      </w:r>
      <w:r>
        <w:rPr>
          <w:rFonts w:hint="default" w:ascii="宋体" w:hAnsi="宋体"/>
          <w:szCs w:val="21"/>
          <w:u w:val="single"/>
        </w:rPr>
        <w:t xml:space="preserve">    </w:t>
      </w:r>
      <w:r>
        <w:rPr>
          <w:rFonts w:hint="eastAsia" w:asciiTheme="minorEastAsia" w:hAnsiTheme="minorEastAsia"/>
          <w:szCs w:val="21"/>
        </w:rPr>
        <w:t>系</w:t>
      </w:r>
      <w:r>
        <w:rPr>
          <w:rFonts w:hint="eastAsia" w:ascii="宋体" w:hAnsi="宋体"/>
          <w:szCs w:val="21"/>
          <w:u w:val="single"/>
        </w:rPr>
        <w:t xml:space="preserve">    </w:t>
      </w:r>
      <w:r>
        <w:rPr>
          <w:rFonts w:hint="default" w:ascii="宋体" w:hAnsi="宋体"/>
          <w:szCs w:val="21"/>
          <w:u w:val="single"/>
        </w:rPr>
        <w:t xml:space="preserve">     </w:t>
      </w:r>
      <w:r>
        <w:rPr>
          <w:rFonts w:hint="eastAsia" w:ascii="宋体" w:hAnsi="宋体"/>
          <w:szCs w:val="21"/>
          <w:u w:val="single"/>
        </w:rPr>
        <w:t xml:space="preserve">  （</w:t>
      </w:r>
      <w:r>
        <w:rPr>
          <w:rFonts w:hint="eastAsia" w:ascii="宋体" w:hAnsi="宋体"/>
          <w:szCs w:val="21"/>
          <w:u w:val="single"/>
          <w:lang w:val="en-US" w:eastAsia="zh-Hans"/>
        </w:rPr>
        <w:t>投标人名称</w:t>
      </w:r>
      <w:r>
        <w:rPr>
          <w:rFonts w:hint="eastAsia" w:ascii="宋体" w:hAnsi="宋体"/>
          <w:szCs w:val="21"/>
          <w:u w:val="single"/>
        </w:rPr>
        <w:t>）</w:t>
      </w:r>
      <w:r>
        <w:rPr>
          <w:rFonts w:hint="default" w:ascii="宋体" w:hAnsi="宋体"/>
          <w:szCs w:val="21"/>
          <w:u w:val="single"/>
        </w:rPr>
        <w:t xml:space="preserve">        </w:t>
      </w:r>
      <w:r>
        <w:rPr>
          <w:rFonts w:hint="eastAsia" w:asciiTheme="minorEastAsia" w:hAnsiTheme="minorEastAsia"/>
          <w:szCs w:val="21"/>
        </w:rPr>
        <w:t>的法定代表人，现委托</w:t>
      </w:r>
      <w:r>
        <w:rPr>
          <w:rFonts w:hint="eastAsia" w:ascii="宋体" w:hAnsi="宋体"/>
          <w:szCs w:val="21"/>
          <w:lang w:val="en-US" w:eastAsia="zh-Hans"/>
        </w:rPr>
        <w:t>本单位在岗人员</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姓名</w:t>
      </w:r>
      <w:r>
        <w:rPr>
          <w:rFonts w:hint="eastAsia" w:eastAsia="宋体" w:cs="Times New Roman"/>
          <w:color w:val="auto"/>
          <w:szCs w:val="21"/>
          <w:u w:val="single" w:color="auto"/>
          <w:lang w:eastAsia="zh-Hans"/>
        </w:rPr>
        <w:t>）</w:t>
      </w:r>
      <w:r>
        <w:rPr>
          <w:rFonts w:hint="eastAsia" w:asciiTheme="minorEastAsia" w:hAnsiTheme="minorEastAsia"/>
          <w:szCs w:val="21"/>
        </w:rPr>
        <w:t>为我方代理人。代理人根据授权，以我方名义签署、澄清确认、递交、撤回、修改</w:t>
      </w:r>
      <w:r>
        <w:rPr>
          <w:rFonts w:hint="eastAsia" w:ascii="宋体" w:hAnsi="宋体"/>
          <w:szCs w:val="21"/>
          <w:u w:val="single"/>
        </w:rPr>
        <w:t xml:space="preserve"> </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项目名称</w:t>
      </w:r>
      <w:r>
        <w:rPr>
          <w:rFonts w:hint="eastAsia" w:eastAsia="宋体" w:cs="Times New Roman"/>
          <w:color w:val="auto"/>
          <w:szCs w:val="21"/>
          <w:u w:val="single" w:color="auto"/>
          <w:lang w:eastAsia="zh-Hans"/>
        </w:rPr>
        <w:t>）</w:t>
      </w:r>
      <w:r>
        <w:rPr>
          <w:rFonts w:hint="eastAsia" w:asciiTheme="minorEastAsia" w:hAnsiTheme="minorEastAsia"/>
          <w:szCs w:val="21"/>
        </w:rPr>
        <w:t>招标项目投标文件、签订合同和处理有关事宜，其法律后果由我方承担。</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委托期限：_____________________。</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代理人无转委托权。</w:t>
      </w:r>
    </w:p>
    <w:p>
      <w:pPr>
        <w:pStyle w:val="17"/>
      </w:pPr>
    </w:p>
    <w:p>
      <w:pPr>
        <w:shd w:val="clear" w:color="auto" w:fill="FFFFFF"/>
        <w:snapToGrid w:val="0"/>
        <w:ind w:firstLine="420"/>
        <w:rPr>
          <w:rFonts w:hint="eastAsia" w:ascii="宋体" w:hAnsi="宋体" w:eastAsia="宋体" w:cs="Times New Roman"/>
          <w:sz w:val="21"/>
          <w:szCs w:val="21"/>
          <w:lang w:eastAsia="zh-Hans"/>
        </w:rPr>
      </w:pPr>
      <w:r>
        <w:rPr>
          <w:rFonts w:hint="eastAsia" w:ascii="宋体" w:hAnsi="宋体" w:eastAsia="宋体" w:cs="Times New Roman"/>
          <w:sz w:val="21"/>
          <w:szCs w:val="21"/>
          <w:lang w:eastAsia="zh-Hans"/>
        </w:rPr>
        <w:t>附</w:t>
      </w:r>
      <w:r>
        <w:rPr>
          <w:rFonts w:hint="eastAsia" w:ascii="宋体" w:hAnsi="宋体" w:eastAsia="宋体" w:cs="Times New Roman"/>
          <w:sz w:val="21"/>
          <w:szCs w:val="21"/>
          <w:highlight w:val="none"/>
          <w:lang w:eastAsia="zh-Hans"/>
        </w:rPr>
        <w:t>：1.</w:t>
      </w:r>
      <w:r>
        <w:rPr>
          <w:rFonts w:hint="eastAsia" w:ascii="宋体" w:hAnsi="宋体" w:eastAsia="宋体" w:cs="Times New Roman"/>
          <w:sz w:val="21"/>
          <w:szCs w:val="21"/>
          <w:highlight w:val="none"/>
          <w:lang w:val="en-US" w:eastAsia="zh-Hans"/>
        </w:rPr>
        <w:t>法定代表人及</w:t>
      </w:r>
      <w:r>
        <w:rPr>
          <w:rFonts w:hint="eastAsia" w:ascii="宋体" w:hAnsi="宋体" w:eastAsia="宋体" w:cs="Times New Roman"/>
          <w:sz w:val="21"/>
          <w:szCs w:val="21"/>
          <w:highlight w:val="none"/>
          <w:lang w:eastAsia="zh-Hans"/>
        </w:rPr>
        <w:t>委托代理人身份证扫描件，</w:t>
      </w:r>
      <w:r>
        <w:rPr>
          <w:rFonts w:hint="eastAsia" w:ascii="宋体" w:hAnsi="宋体" w:eastAsia="宋体" w:cs="Times New Roman"/>
          <w:sz w:val="21"/>
          <w:szCs w:val="21"/>
          <w:highlight w:val="none"/>
          <w:lang w:val="en-US" w:eastAsia="zh-Hans"/>
        </w:rPr>
        <w:t>扫描件盖单位章</w:t>
      </w:r>
      <w:r>
        <w:rPr>
          <w:rFonts w:hint="eastAsia" w:ascii="宋体" w:hAnsi="宋体" w:eastAsia="宋体" w:cs="Times New Roman"/>
          <w:sz w:val="21"/>
          <w:szCs w:val="21"/>
          <w:highlight w:val="none"/>
          <w:lang w:eastAsia="zh-Hans"/>
        </w:rPr>
        <w:t>。</w:t>
      </w:r>
    </w:p>
    <w:p>
      <w:pPr>
        <w:widowControl/>
        <w:shd w:val="clear" w:color="auto" w:fill="FFFFFF"/>
        <w:snapToGrid w:val="0"/>
        <w:ind w:firstLine="840" w:firstLineChars="400"/>
        <w:jc w:val="left"/>
        <w:rPr>
          <w:rFonts w:hint="eastAsia" w:ascii="宋体" w:hAnsi="宋体" w:eastAsia="宋体" w:cs="Times New Roman"/>
          <w:szCs w:val="21"/>
          <w:lang w:eastAsia="zh-Hans"/>
        </w:rPr>
      </w:pPr>
      <w:r>
        <w:rPr>
          <w:rFonts w:hint="eastAsia" w:ascii="宋体" w:hAnsi="宋体" w:eastAsia="宋体" w:cs="Times New Roman"/>
          <w:sz w:val="21"/>
          <w:szCs w:val="21"/>
          <w:lang w:eastAsia="zh-Hans"/>
        </w:rPr>
        <w:t>2.委托代理人系投标人本单位在岗员工</w:t>
      </w:r>
      <w:r>
        <w:rPr>
          <w:rFonts w:hint="eastAsia" w:ascii="宋体" w:hAnsi="宋体" w:eastAsia="宋体" w:cs="Times New Roman"/>
          <w:sz w:val="21"/>
          <w:szCs w:val="21"/>
          <w:lang w:val="en-US" w:eastAsia="zh-Hans"/>
        </w:rPr>
        <w:t>证明材料（以社保部门出具的自本招标项目投标截止之日的上一个月为始点并往前追溯连续缴费累计三个月及以上扫描件所署单位为准，</w:t>
      </w:r>
      <w:r>
        <w:rPr>
          <w:rFonts w:hint="eastAsia" w:asciiTheme="minorEastAsia" w:hAnsiTheme="minorEastAsia"/>
          <w:szCs w:val="21"/>
        </w:rPr>
        <w:t>“五险一金”须由本单位缴纳；属于离（退）休人员的，应提供社保部门的离（退）休证明和本单位聘用合同。</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投  标  人：</w:t>
      </w:r>
      <w:r>
        <w:rPr>
          <w:rFonts w:hint="eastAsia" w:asciiTheme="minorEastAsia" w:hAnsiTheme="minorEastAsia"/>
          <w:szCs w:val="21"/>
          <w:u w:val="single"/>
          <w:lang w:val="en-US" w:eastAsia="zh-CN"/>
        </w:rPr>
        <w:t xml:space="preserve">                 </w:t>
      </w:r>
      <w:r>
        <w:rPr>
          <w:rFonts w:hint="eastAsia" w:asciiTheme="minorEastAsia" w:hAnsiTheme="minorEastAsia"/>
          <w:szCs w:val="21"/>
        </w:rPr>
        <w:t>（盖单位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法定代表人：</w:t>
      </w:r>
      <w:r>
        <w:rPr>
          <w:rFonts w:hint="eastAsia" w:asciiTheme="minorEastAsia" w:hAnsiTheme="minorEastAsia"/>
          <w:szCs w:val="21"/>
          <w:u w:val="single"/>
          <w:lang w:val="en-US" w:eastAsia="zh-CN"/>
        </w:rPr>
        <w:t xml:space="preserve">                     </w:t>
      </w:r>
      <w:r>
        <w:rPr>
          <w:rFonts w:hint="eastAsia" w:asciiTheme="minorEastAsia" w:hAnsiTheme="minorEastAsia"/>
          <w:szCs w:val="21"/>
        </w:rPr>
        <w:t>（签字）</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身份证号码：_____________________________</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委托代理人：_____________________（签字）</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身份证号码：_____________________________</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_________年_______月_______ 日</w:t>
      </w:r>
    </w:p>
    <w:p>
      <w:pPr>
        <w:widowControl/>
        <w:shd w:val="clear" w:color="auto" w:fill="FFFFFF"/>
        <w:snapToGrid w:val="0"/>
        <w:ind w:firstLine="420" w:firstLineChars="200"/>
        <w:jc w:val="left"/>
        <w:rPr>
          <w:rFonts w:hint="eastAsia" w:ascii="宋体" w:hAnsi="宋体" w:eastAsia="宋体" w:cs="Times New Roman"/>
          <w:b w:val="0"/>
          <w:sz w:val="21"/>
          <w:szCs w:val="21"/>
          <w:u w:val="none"/>
        </w:rPr>
      </w:pPr>
      <w:r>
        <w:rPr>
          <w:rFonts w:hint="eastAsia" w:ascii="宋体" w:hAnsi="宋体" w:eastAsia="宋体" w:cs="Times New Roman"/>
          <w:b w:val="0"/>
          <w:sz w:val="21"/>
          <w:szCs w:val="21"/>
          <w:lang w:val="en-US" w:eastAsia="zh-Hans"/>
        </w:rPr>
        <w:t>注：</w:t>
      </w:r>
      <w:r>
        <w:rPr>
          <w:rFonts w:hint="eastAsia" w:ascii="宋体" w:hAnsi="宋体" w:eastAsia="宋体" w:cs="Times New Roman"/>
          <w:b w:val="0"/>
          <w:sz w:val="21"/>
          <w:szCs w:val="21"/>
          <w:u w:val="none"/>
        </w:rPr>
        <w:t>联合体投标的，若委托代理人由非联合体牵头人派出，则本委托书应额外加盖派出委托代理人的联合体成员单位公章。</w:t>
      </w:r>
    </w:p>
    <w:p>
      <w:pPr>
        <w:rPr>
          <w:rFonts w:hint="eastAsia" w:ascii="宋体" w:hAnsi="宋体" w:eastAsia="宋体" w:cs="Times New Roman"/>
          <w:b w:val="0"/>
          <w:sz w:val="21"/>
          <w:szCs w:val="21"/>
          <w:u w:val="none"/>
        </w:rPr>
      </w:pPr>
      <w:r>
        <w:rPr>
          <w:rFonts w:hint="eastAsia" w:ascii="宋体" w:hAnsi="宋体" w:eastAsia="宋体" w:cs="Times New Roman"/>
          <w:b w:val="0"/>
          <w:sz w:val="21"/>
          <w:szCs w:val="21"/>
          <w:u w:val="none"/>
        </w:rPr>
        <w:br w:type="page"/>
      </w:r>
    </w:p>
    <w:p>
      <w:pPr>
        <w:pStyle w:val="4"/>
        <w:spacing w:before="0" w:after="0" w:line="520" w:lineRule="exact"/>
        <w:rPr>
          <w:rFonts w:hint="eastAsia"/>
          <w:sz w:val="28"/>
          <w:szCs w:val="28"/>
        </w:rPr>
      </w:pPr>
      <w:bookmarkStart w:id="4117" w:name="_Toc511396206"/>
      <w:bookmarkStart w:id="4118" w:name="_Toc324197711"/>
      <w:bookmarkStart w:id="4119" w:name="_Toc14145"/>
      <w:bookmarkStart w:id="4120" w:name="_Toc20298"/>
      <w:bookmarkStart w:id="4121" w:name="_Toc516823094"/>
      <w:bookmarkStart w:id="4122" w:name="_Toc347547860"/>
      <w:bookmarkStart w:id="4123" w:name="_Toc739521240"/>
      <w:bookmarkStart w:id="4124" w:name="_Toc762693340"/>
      <w:bookmarkStart w:id="4125" w:name="_Toc2060048371"/>
      <w:bookmarkStart w:id="4126" w:name="_Toc649615482"/>
      <w:bookmarkStart w:id="4127" w:name="_Toc1210631780"/>
      <w:bookmarkStart w:id="4128" w:name="_Toc515440855"/>
      <w:bookmarkStart w:id="4129" w:name="_Toc20920"/>
      <w:bookmarkStart w:id="4130" w:name="_Toc7186598"/>
      <w:bookmarkStart w:id="4131" w:name="_Toc24954"/>
      <w:bookmarkStart w:id="4132" w:name="_Toc179434521"/>
      <w:bookmarkStart w:id="4133" w:name="_Toc25882"/>
      <w:bookmarkStart w:id="4134" w:name="_Toc1983305637"/>
      <w:bookmarkStart w:id="4135" w:name="_Toc105637676"/>
      <w:bookmarkStart w:id="4136" w:name="_Toc25088"/>
      <w:bookmarkStart w:id="4137" w:name="_Toc2057832013"/>
      <w:bookmarkStart w:id="4138" w:name="_Toc2107770733"/>
      <w:bookmarkStart w:id="4139" w:name="_Toc32691"/>
      <w:bookmarkStart w:id="4140" w:name="_Toc1616861539"/>
      <w:bookmarkStart w:id="4141" w:name="_Toc18469"/>
      <w:bookmarkStart w:id="4142" w:name="_Toc277718597"/>
      <w:r>
        <w:rPr>
          <w:rFonts w:hint="eastAsia"/>
          <w:sz w:val="28"/>
          <w:szCs w:val="28"/>
        </w:rPr>
        <w:t>五、联合体协议书（适用于联合体的情况）</w:t>
      </w:r>
      <w:bookmarkEnd w:id="4117"/>
      <w:r>
        <w:rPr>
          <w:rFonts w:hint="eastAsia"/>
          <w:sz w:val="28"/>
          <w:szCs w:val="28"/>
        </w:rPr>
        <w:t>（参考格式）</w:t>
      </w:r>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p>
    <w:p/>
    <w:p>
      <w:pPr>
        <w:widowControl/>
        <w:shd w:val="clear" w:color="auto" w:fill="FFFFFF"/>
        <w:snapToGrid w:val="0"/>
        <w:ind w:firstLine="643" w:firstLineChars="200"/>
        <w:jc w:val="center"/>
        <w:rPr>
          <w:rFonts w:asciiTheme="minorEastAsia" w:hAnsiTheme="minorEastAsia"/>
          <w:b/>
          <w:sz w:val="32"/>
          <w:szCs w:val="32"/>
        </w:rPr>
      </w:pPr>
      <w:r>
        <w:rPr>
          <w:rFonts w:hint="eastAsia" w:asciiTheme="minorEastAsia" w:hAnsiTheme="minorEastAsia"/>
          <w:b/>
          <w:sz w:val="32"/>
          <w:szCs w:val="32"/>
        </w:rPr>
        <w:t>联合体协议书</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所有成员单位名称</w:t>
      </w:r>
      <w:r>
        <w:rPr>
          <w:rFonts w:hint="eastAsia" w:eastAsia="宋体" w:cs="Times New Roman"/>
          <w:color w:val="auto"/>
          <w:szCs w:val="21"/>
          <w:u w:val="single" w:color="auto"/>
          <w:lang w:eastAsia="zh-Hans"/>
        </w:rPr>
        <w:t>）</w:t>
      </w:r>
      <w:r>
        <w:rPr>
          <w:rFonts w:hint="eastAsia" w:asciiTheme="minorEastAsia" w:hAnsiTheme="minorEastAsia"/>
          <w:szCs w:val="21"/>
        </w:rPr>
        <w:t>自愿组成</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联合体名称</w:t>
      </w:r>
      <w:r>
        <w:rPr>
          <w:rFonts w:hint="eastAsia" w:eastAsia="宋体" w:cs="Times New Roman"/>
          <w:color w:val="auto"/>
          <w:szCs w:val="21"/>
          <w:u w:val="single" w:color="auto"/>
          <w:lang w:eastAsia="zh-Hans"/>
        </w:rPr>
        <w:t>）</w:t>
      </w:r>
      <w:r>
        <w:rPr>
          <w:rFonts w:hint="eastAsia" w:asciiTheme="minorEastAsia" w:hAnsiTheme="minorEastAsia"/>
          <w:szCs w:val="21"/>
        </w:rPr>
        <w:t>联合体，共同参加</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项目名称</w:t>
      </w:r>
      <w:r>
        <w:rPr>
          <w:rFonts w:hint="eastAsia" w:eastAsia="宋体" w:cs="Times New Roman"/>
          <w:color w:val="auto"/>
          <w:szCs w:val="21"/>
          <w:u w:val="single" w:color="auto"/>
          <w:lang w:eastAsia="zh-Hans"/>
        </w:rPr>
        <w:t>）</w:t>
      </w:r>
      <w:r>
        <w:rPr>
          <w:rFonts w:hint="eastAsia" w:asciiTheme="minorEastAsia" w:hAnsiTheme="minorEastAsia"/>
          <w:szCs w:val="21"/>
        </w:rPr>
        <w:t>招标项目投标。现就联合体投标事宜订立如下协议。</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1.</w:t>
      </w:r>
      <w:r>
        <w:rPr>
          <w:rFonts w:hint="default" w:asciiTheme="minorEastAsia" w:hAnsiTheme="minorEastAsia"/>
          <w:szCs w:val="21"/>
          <w:u w:val="single"/>
        </w:rPr>
        <w:t xml:space="preserve"> </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某成员单位名称</w:t>
      </w:r>
      <w:r>
        <w:rPr>
          <w:rFonts w:hint="eastAsia" w:eastAsia="宋体" w:cs="Times New Roman"/>
          <w:color w:val="auto"/>
          <w:szCs w:val="21"/>
          <w:u w:val="single" w:color="auto"/>
          <w:lang w:eastAsia="zh-Hans"/>
        </w:rPr>
        <w:t>）</w:t>
      </w:r>
      <w:r>
        <w:rPr>
          <w:rFonts w:hint="eastAsia" w:asciiTheme="minorEastAsia" w:hAnsiTheme="minorEastAsia"/>
          <w:szCs w:val="21"/>
        </w:rPr>
        <w:t>为</w:t>
      </w:r>
      <w:r>
        <w:rPr>
          <w:rFonts w:hint="default" w:asciiTheme="minorEastAsia" w:hAnsiTheme="minorEastAsia"/>
          <w:szCs w:val="21"/>
          <w:u w:val="single"/>
        </w:rPr>
        <w:t xml:space="preserve"> </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联合体名称</w:t>
      </w:r>
      <w:r>
        <w:rPr>
          <w:rFonts w:hint="eastAsia" w:eastAsia="宋体" w:cs="Times New Roman"/>
          <w:color w:val="auto"/>
          <w:szCs w:val="21"/>
          <w:u w:val="single" w:color="auto"/>
          <w:lang w:eastAsia="zh-Hans"/>
        </w:rPr>
        <w:t>）</w:t>
      </w:r>
      <w:r>
        <w:rPr>
          <w:rFonts w:hint="eastAsia" w:asciiTheme="minorEastAsia" w:hAnsiTheme="minorEastAsia"/>
          <w:szCs w:val="21"/>
        </w:rPr>
        <w:t>牵头人。</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2. 联合体各成员授权牵头人代表联合体参加投标活动，签署文件，提交和接收相关的资料、信息及指示，进行合同谈判活动，负责合同实施阶段的组织和协调工作，以及处理与本招标项目有关的一切事宜。</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3. 联合体牵头人在本项目中签署的一切文件和处理的一切事宜，联合体各成员均予以承认。联合体各成员将严格按照招标文件、投标文件和合同的要求全面履行义务，并向招标人承担连带责任。</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4. 联合体各成员单位内部的职责分工如下：____________________________________。</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5. 本协议书自所有成员单位法定代表人或其委托代理人签字，并盖单位章之日起生效，合同履行完毕后自动失效。</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6. 本协议书一式____份，联合体成员和招标人各执一份。</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注：1、由法定代表人签字的，应在本协议书后附法定代表人身份证明；</w:t>
      </w:r>
    </w:p>
    <w:p>
      <w:pPr>
        <w:widowControl/>
        <w:shd w:val="clear" w:color="auto" w:fill="FFFFFF"/>
        <w:snapToGrid w:val="0"/>
        <w:ind w:firstLine="840" w:firstLineChars="400"/>
        <w:jc w:val="left"/>
        <w:rPr>
          <w:rFonts w:asciiTheme="minorEastAsia" w:hAnsiTheme="minorEastAsia"/>
          <w:szCs w:val="21"/>
        </w:rPr>
      </w:pPr>
      <w:r>
        <w:rPr>
          <w:rFonts w:hint="eastAsia" w:asciiTheme="minorEastAsia" w:hAnsiTheme="minorEastAsia"/>
          <w:szCs w:val="21"/>
        </w:rPr>
        <w:t>2、由委托代理人签字的，应在本协议书后附授权委托书。</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联合体牵头人名称：__________________________（盖单位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法定代表人或其委托代理人：______________________（签字）</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联合体成员名称：____________________________（盖单位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法定代表人或其委托代理人：______________________（签字）</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w:t>
      </w:r>
    </w:p>
    <w:p>
      <w:pPr>
        <w:widowControl/>
        <w:shd w:val="clear" w:color="auto" w:fill="FFFFFF"/>
        <w:snapToGrid w:val="0"/>
        <w:ind w:firstLine="420" w:firstLineChars="200"/>
        <w:jc w:val="right"/>
        <w:rPr>
          <w:rFonts w:hint="eastAsia" w:asciiTheme="minorEastAsia" w:hAnsiTheme="minorEastAsia"/>
          <w:szCs w:val="21"/>
        </w:rPr>
      </w:pPr>
      <w:r>
        <w:rPr>
          <w:rFonts w:hint="eastAsia" w:asciiTheme="minorEastAsia" w:hAnsiTheme="minorEastAsia"/>
          <w:szCs w:val="21"/>
        </w:rPr>
        <w:t>_________年_____月_____日</w:t>
      </w:r>
    </w:p>
    <w:p>
      <w:pPr>
        <w:rPr>
          <w:rFonts w:hint="eastAsia" w:asciiTheme="minorEastAsia" w:hAnsiTheme="minorEastAsia"/>
          <w:szCs w:val="21"/>
        </w:rPr>
      </w:pPr>
      <w:r>
        <w:rPr>
          <w:rFonts w:hint="eastAsia" w:asciiTheme="minorEastAsia" w:hAnsiTheme="minorEastAsia"/>
          <w:szCs w:val="21"/>
        </w:rPr>
        <w:br w:type="page"/>
      </w:r>
    </w:p>
    <w:p>
      <w:pPr>
        <w:widowControl/>
        <w:shd w:val="clear" w:color="auto" w:fill="FFFFFF"/>
        <w:snapToGrid w:val="0"/>
        <w:ind w:firstLine="420" w:firstLineChars="200"/>
        <w:jc w:val="right"/>
        <w:rPr>
          <w:rFonts w:hint="eastAsia" w:asciiTheme="minorEastAsia" w:hAnsiTheme="minorEastAsia"/>
          <w:szCs w:val="21"/>
        </w:rPr>
      </w:pPr>
    </w:p>
    <w:p>
      <w:pPr>
        <w:pStyle w:val="4"/>
        <w:spacing w:before="0" w:after="0" w:line="520" w:lineRule="exact"/>
        <w:rPr>
          <w:sz w:val="28"/>
          <w:szCs w:val="28"/>
        </w:rPr>
      </w:pPr>
      <w:bookmarkStart w:id="4143" w:name="_Toc511396207"/>
      <w:bookmarkStart w:id="4144" w:name="_Toc19888"/>
      <w:bookmarkStart w:id="4145" w:name="_Toc624916338"/>
      <w:bookmarkStart w:id="4146" w:name="_Toc1630928110"/>
      <w:bookmarkStart w:id="4147" w:name="_Toc7186599"/>
      <w:bookmarkStart w:id="4148" w:name="_Toc257076437"/>
      <w:bookmarkStart w:id="4149" w:name="_Toc81363180"/>
      <w:bookmarkStart w:id="4150" w:name="_Toc516823095"/>
      <w:bookmarkStart w:id="4151" w:name="_Toc3168"/>
      <w:bookmarkStart w:id="4152" w:name="_Toc176672325"/>
      <w:bookmarkStart w:id="4153" w:name="_Toc333816835"/>
      <w:bookmarkStart w:id="4154" w:name="_Toc688954059"/>
      <w:bookmarkStart w:id="4155" w:name="_Toc1828254782"/>
      <w:bookmarkStart w:id="4156" w:name="_Toc1134494848"/>
      <w:bookmarkStart w:id="4157" w:name="_Toc6137"/>
      <w:bookmarkStart w:id="4158" w:name="_Toc412468619"/>
      <w:bookmarkStart w:id="4159" w:name="_Toc23542"/>
      <w:bookmarkStart w:id="4160" w:name="_Toc758507556"/>
      <w:bookmarkStart w:id="4161" w:name="_Toc21274"/>
      <w:bookmarkStart w:id="4162" w:name="_Toc19806"/>
      <w:bookmarkStart w:id="4163" w:name="_Toc1645615491"/>
      <w:bookmarkStart w:id="4164" w:name="_Toc19222"/>
      <w:bookmarkStart w:id="4165" w:name="_Toc280544626"/>
      <w:bookmarkStart w:id="4166" w:name="_Toc13499"/>
      <w:bookmarkStart w:id="4167" w:name="_Toc1501614463"/>
      <w:bookmarkStart w:id="4168" w:name="_Toc515440856"/>
      <w:r>
        <w:rPr>
          <w:rFonts w:hint="eastAsia"/>
          <w:sz w:val="28"/>
          <w:szCs w:val="28"/>
        </w:rPr>
        <w:t>六、投标保证金</w:t>
      </w:r>
      <w:bookmarkEnd w:id="4143"/>
      <w:r>
        <w:rPr>
          <w:rFonts w:hint="eastAsia"/>
          <w:sz w:val="28"/>
          <w:szCs w:val="28"/>
        </w:rPr>
        <w:t>（</w:t>
      </w:r>
      <w:r>
        <w:rPr>
          <w:rFonts w:hint="eastAsia"/>
          <w:sz w:val="28"/>
          <w:szCs w:val="28"/>
          <w:lang w:val="en-US" w:eastAsia="zh-CN"/>
        </w:rPr>
        <w:t>参考</w:t>
      </w:r>
      <w:r>
        <w:rPr>
          <w:rFonts w:hint="eastAsia"/>
          <w:sz w:val="28"/>
          <w:szCs w:val="28"/>
        </w:rPr>
        <w:t>格式）</w:t>
      </w:r>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如采用现金或支票，投标人应在此提供凭证的扫描件，扫描件盖单位章；如采用银行保函，格式如下。</w:t>
      </w:r>
    </w:p>
    <w:p>
      <w:pPr>
        <w:widowControl/>
        <w:shd w:val="clear" w:color="auto" w:fill="FFFFFF"/>
        <w:snapToGrid w:val="0"/>
        <w:jc w:val="left"/>
        <w:rPr>
          <w:rFonts w:asciiTheme="minorEastAsia" w:hAnsiTheme="minorEastAsia"/>
          <w:b/>
          <w:sz w:val="28"/>
          <w:szCs w:val="28"/>
        </w:rPr>
      </w:pPr>
    </w:p>
    <w:p>
      <w:pPr>
        <w:widowControl/>
        <w:shd w:val="clear" w:color="auto" w:fill="FFFFFF"/>
        <w:snapToGrid w:val="0"/>
        <w:ind w:firstLine="420" w:firstLineChars="200"/>
        <w:jc w:val="right"/>
        <w:rPr>
          <w:rFonts w:ascii="宋体" w:hAnsi="宋体"/>
          <w:szCs w:val="21"/>
        </w:rPr>
      </w:pPr>
    </w:p>
    <w:p>
      <w:pPr>
        <w:spacing w:line="360" w:lineRule="auto"/>
        <w:jc w:val="center"/>
        <w:rPr>
          <w:rFonts w:hint="eastAsia" w:ascii="宋体" w:hAnsi="宋体" w:cs="宋体"/>
          <w:b/>
          <w:bCs/>
          <w:color w:val="auto"/>
          <w:sz w:val="32"/>
          <w:szCs w:val="32"/>
          <w:highlight w:val="none"/>
        </w:rPr>
      </w:pPr>
      <w:r>
        <w:rPr>
          <w:rFonts w:hint="eastAsia" w:ascii="宋体" w:hAnsi="宋体"/>
          <w:b/>
          <w:bCs/>
          <w:color w:val="auto"/>
          <w:sz w:val="32"/>
          <w:szCs w:val="32"/>
          <w:highlight w:val="none"/>
        </w:rPr>
        <w:t>投标保函</w:t>
      </w:r>
    </w:p>
    <w:p>
      <w:pPr>
        <w:spacing w:line="360" w:lineRule="auto"/>
        <w:jc w:val="right"/>
        <w:rPr>
          <w:rFonts w:hint="eastAsia" w:ascii="宋体" w:hAnsi="宋体" w:cs="宋体"/>
          <w:b/>
          <w:bCs/>
          <w:color w:val="auto"/>
          <w:sz w:val="21"/>
          <w:szCs w:val="21"/>
          <w:highlight w:val="none"/>
        </w:rPr>
      </w:pPr>
      <w:r>
        <w:rPr>
          <w:rFonts w:hint="eastAsia" w:ascii="宋体" w:hAnsi="宋体" w:cs="宋体"/>
          <w:color w:val="auto"/>
          <w:sz w:val="21"/>
          <w:szCs w:val="21"/>
          <w:highlight w:val="none"/>
        </w:rPr>
        <w:t>编号：</w:t>
      </w:r>
      <w:r>
        <w:rPr>
          <w:rFonts w:hint="eastAsia" w:ascii="宋体" w:hAnsi="宋体" w:cs="宋体"/>
          <w:color w:val="auto"/>
          <w:sz w:val="21"/>
          <w:szCs w:val="21"/>
          <w:highlight w:val="none"/>
          <w:u w:val="single"/>
          <w:lang w:bidi="ar"/>
        </w:rPr>
        <w:t>(保函开立人自行编号)</w:t>
      </w:r>
    </w:p>
    <w:p>
      <w:pPr>
        <w:wordWrap w:val="0"/>
        <w:spacing w:line="360" w:lineRule="auto"/>
        <w:jc w:val="both"/>
        <w:rPr>
          <w:rFonts w:ascii="宋体" w:hAnsi="宋体"/>
          <w:color w:val="auto"/>
          <w:sz w:val="21"/>
          <w:szCs w:val="21"/>
          <w:highlight w:val="none"/>
        </w:rPr>
      </w:pPr>
    </w:p>
    <w:p>
      <w:pPr>
        <w:spacing w:line="360" w:lineRule="auto"/>
        <w:ind w:left="0" w:leftChars="0" w:firstLine="420" w:firstLineChars="200"/>
        <w:rPr>
          <w:rFonts w:ascii="宋体" w:hAnsi="宋体"/>
          <w:color w:val="auto"/>
          <w:sz w:val="21"/>
          <w:szCs w:val="21"/>
          <w:highlight w:val="none"/>
        </w:rPr>
      </w:pPr>
      <w:bookmarkStart w:id="4169" w:name="_Hlk40303117"/>
      <w:r>
        <w:rPr>
          <w:rFonts w:hint="eastAsia" w:ascii="宋体" w:hAnsi="宋体"/>
          <w:color w:val="auto"/>
          <w:sz w:val="21"/>
          <w:szCs w:val="21"/>
          <w:highlight w:val="none"/>
        </w:rPr>
        <w:t>申请人：</w:t>
      </w:r>
    </w:p>
    <w:p>
      <w:pPr>
        <w:spacing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地址</w:t>
      </w:r>
      <w:r>
        <w:rPr>
          <w:rFonts w:ascii="宋体" w:hAnsi="宋体"/>
          <w:color w:val="auto"/>
          <w:sz w:val="21"/>
          <w:szCs w:val="21"/>
          <w:highlight w:val="none"/>
        </w:rPr>
        <w:t>：</w:t>
      </w:r>
    </w:p>
    <w:p>
      <w:pPr>
        <w:spacing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受益人：</w:t>
      </w:r>
      <w:r>
        <w:rPr>
          <w:rFonts w:ascii="宋体" w:hAnsi="宋体"/>
          <w:color w:val="auto"/>
          <w:sz w:val="21"/>
          <w:szCs w:val="21"/>
          <w:highlight w:val="none"/>
        </w:rPr>
        <w:t xml:space="preserve"> </w:t>
      </w:r>
    </w:p>
    <w:p>
      <w:pPr>
        <w:spacing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地址：</w:t>
      </w:r>
    </w:p>
    <w:p>
      <w:pPr>
        <w:spacing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开立人：</w:t>
      </w:r>
    </w:p>
    <w:bookmarkEnd w:id="4169"/>
    <w:p>
      <w:pPr>
        <w:spacing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地址：</w:t>
      </w:r>
    </w:p>
    <w:p>
      <w:pPr>
        <w:spacing w:line="360" w:lineRule="auto"/>
        <w:rPr>
          <w:rFonts w:ascii="宋体" w:hAnsi="宋体"/>
          <w:color w:val="auto"/>
          <w:sz w:val="21"/>
          <w:szCs w:val="21"/>
          <w:highlight w:val="none"/>
        </w:rPr>
      </w:pPr>
    </w:p>
    <w:p>
      <w:pPr>
        <w:spacing w:line="360" w:lineRule="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（受益人名称）</w:t>
      </w:r>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我方（即“开立人”）已获得通知，本保函申请人（即“投标人”）已响应贵方于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日就</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（以下简称“本工程”）发出的招标文件，并已向招标人（即“受益人”）提交了投标文件（即“基础交易”）。</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一、我方理解根据招标条件，投标人必须提交一份投标保函（以下简称“本保函”），以担保投标人诚信履行其在上述基础交易中承担的投标人义务。鉴此，应申请人要求，我方在此同意向贵方出具此投标保函，本保函担保金额最高不超过</w:t>
      </w:r>
      <w:r>
        <w:rPr>
          <w:rFonts w:ascii="宋体" w:hAnsi="宋体"/>
          <w:color w:val="auto"/>
          <w:sz w:val="21"/>
          <w:szCs w:val="21"/>
          <w:highlight w:val="none"/>
        </w:rPr>
        <w:t>人民币（大写）</w:t>
      </w:r>
      <w:r>
        <w:rPr>
          <w:rFonts w:ascii="宋体" w:hAnsi="宋体"/>
          <w:color w:val="auto"/>
          <w:sz w:val="21"/>
          <w:szCs w:val="21"/>
          <w:highlight w:val="none"/>
          <w:u w:val="single"/>
        </w:rPr>
        <w:t xml:space="preserve">      </w:t>
      </w:r>
      <w:r>
        <w:rPr>
          <w:rFonts w:ascii="宋体" w:hAnsi="宋体"/>
          <w:color w:val="auto"/>
          <w:sz w:val="21"/>
          <w:szCs w:val="21"/>
          <w:highlight w:val="none"/>
        </w:rPr>
        <w:t>元（¥</w:t>
      </w:r>
      <w:r>
        <w:rPr>
          <w:rFonts w:ascii="宋体" w:hAnsi="宋体"/>
          <w:color w:val="auto"/>
          <w:sz w:val="21"/>
          <w:szCs w:val="21"/>
          <w:highlight w:val="none"/>
          <w:u w:val="single"/>
        </w:rPr>
        <w:t xml:space="preserve">       </w:t>
      </w:r>
      <w:r>
        <w:rPr>
          <w:rFonts w:ascii="宋体" w:hAnsi="宋体"/>
          <w:color w:val="auto"/>
          <w:sz w:val="21"/>
          <w:szCs w:val="21"/>
          <w:highlight w:val="none"/>
        </w:rPr>
        <w:t>）。</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二、我方在投标人发生以下情形时承担保证担保责任：</w:t>
      </w:r>
      <w:r>
        <w:rPr>
          <w:rFonts w:ascii="宋体" w:hAnsi="宋体"/>
          <w:color w:val="auto"/>
          <w:sz w:val="21"/>
          <w:szCs w:val="21"/>
          <w:highlight w:val="none"/>
        </w:rPr>
        <w:t xml:space="preserve"> </w:t>
      </w:r>
    </w:p>
    <w:p>
      <w:pPr>
        <w:pStyle w:val="44"/>
        <w:spacing w:line="360" w:lineRule="auto"/>
        <w:ind w:left="480" w:firstLine="0" w:firstLineChars="0"/>
        <w:rPr>
          <w:rFonts w:ascii="宋体" w:hAnsi="宋体"/>
          <w:color w:val="auto"/>
          <w:sz w:val="21"/>
          <w:szCs w:val="21"/>
          <w:highlight w:val="none"/>
        </w:rPr>
      </w:pPr>
      <w:r>
        <w:rPr>
          <w:rFonts w:hint="eastAsia" w:ascii="宋体" w:hAnsi="宋体"/>
          <w:color w:val="auto"/>
          <w:kern w:val="2"/>
          <w:sz w:val="21"/>
          <w:szCs w:val="21"/>
          <w:highlight w:val="none"/>
        </w:rPr>
        <w:t>（1）投标</w:t>
      </w:r>
      <w:r>
        <w:rPr>
          <w:rFonts w:ascii="宋体" w:hAnsi="宋体"/>
          <w:color w:val="auto"/>
          <w:sz w:val="21"/>
          <w:szCs w:val="21"/>
          <w:highlight w:val="none"/>
        </w:rPr>
        <w:t xml:space="preserve">人在开标后和投标有效期满之前撤销投标的； </w:t>
      </w:r>
    </w:p>
    <w:p>
      <w:pPr>
        <w:pStyle w:val="44"/>
        <w:spacing w:line="360" w:lineRule="auto"/>
        <w:ind w:firstLine="480" w:firstLineChars="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投标人在收到中标通知后，</w:t>
      </w:r>
      <w:r>
        <w:rPr>
          <w:rFonts w:hint="eastAsia" w:ascii="宋体" w:hAnsi="宋体"/>
          <w:color w:val="auto"/>
          <w:sz w:val="21"/>
          <w:szCs w:val="21"/>
          <w:highlight w:val="none"/>
        </w:rPr>
        <w:t>不能或拒绝</w:t>
      </w:r>
      <w:r>
        <w:rPr>
          <w:rFonts w:ascii="宋体" w:hAnsi="宋体"/>
          <w:color w:val="auto"/>
          <w:sz w:val="21"/>
          <w:szCs w:val="21"/>
          <w:highlight w:val="none"/>
        </w:rPr>
        <w:t xml:space="preserve">在中标通知书规定的时间内与贵方签订合同； </w:t>
      </w:r>
    </w:p>
    <w:p>
      <w:pPr>
        <w:pStyle w:val="44"/>
        <w:spacing w:line="360" w:lineRule="auto"/>
        <w:ind w:firstLine="480" w:firstLineChars="0"/>
        <w:rPr>
          <w:rFonts w:hint="eastAsia" w:ascii="宋体" w:hAnsi="宋体"/>
          <w:color w:val="auto"/>
          <w:sz w:val="21"/>
          <w:szCs w:val="21"/>
          <w:highlight w:val="none"/>
        </w:rPr>
      </w:pPr>
      <w:r>
        <w:rPr>
          <w:rFonts w:hint="eastAsia" w:ascii="宋体" w:hAnsi="宋体"/>
          <w:color w:val="auto"/>
          <w:sz w:val="21"/>
          <w:szCs w:val="21"/>
          <w:highlight w:val="none"/>
        </w:rPr>
        <w:t>（3）投标人在与贵方签订合同后，未在规定的时间内提交符合招标文件要求的履约担保；</w:t>
      </w:r>
    </w:p>
    <w:p>
      <w:pPr>
        <w:pStyle w:val="44"/>
        <w:spacing w:line="360" w:lineRule="auto"/>
        <w:ind w:firstLine="480" w:firstLineChars="0"/>
        <w:rPr>
          <w:rFonts w:ascii="宋体" w:hAnsi="宋体"/>
          <w:color w:val="auto"/>
          <w:sz w:val="21"/>
          <w:szCs w:val="21"/>
          <w:highlight w:val="none"/>
        </w:rPr>
      </w:pPr>
      <w:r>
        <w:rPr>
          <w:rFonts w:hint="eastAsia" w:ascii="宋体" w:hAnsi="宋体"/>
          <w:color w:val="auto"/>
          <w:sz w:val="21"/>
          <w:szCs w:val="21"/>
          <w:highlight w:val="none"/>
        </w:rPr>
        <w:t>（4）投标人</w:t>
      </w:r>
      <w:r>
        <w:rPr>
          <w:rFonts w:hint="eastAsia" w:ascii="宋体" w:hAnsi="宋体"/>
          <w:color w:val="auto"/>
          <w:sz w:val="21"/>
          <w:szCs w:val="21"/>
          <w:highlight w:val="none"/>
          <w:lang w:val="en-US" w:eastAsia="zh-CN"/>
        </w:rPr>
        <w:t>存在</w:t>
      </w:r>
      <w:r>
        <w:rPr>
          <w:rFonts w:ascii="宋体" w:hAnsi="宋体"/>
          <w:color w:val="auto"/>
          <w:sz w:val="21"/>
          <w:szCs w:val="21"/>
          <w:highlight w:val="none"/>
        </w:rPr>
        <w:t>招标文件规定</w:t>
      </w:r>
      <w:r>
        <w:rPr>
          <w:rFonts w:hint="eastAsia" w:ascii="宋体" w:hAnsi="宋体" w:cs="宋体"/>
          <w:color w:val="auto"/>
          <w:sz w:val="21"/>
          <w:szCs w:val="21"/>
          <w:highlight w:val="none"/>
        </w:rPr>
        <w:t>投标保证金不予退还</w:t>
      </w:r>
      <w:r>
        <w:rPr>
          <w:rFonts w:hint="eastAsia" w:ascii="宋体" w:hAnsi="宋体"/>
          <w:color w:val="auto"/>
          <w:sz w:val="21"/>
          <w:szCs w:val="21"/>
          <w:highlight w:val="none"/>
        </w:rPr>
        <w:t>的其他</w:t>
      </w:r>
      <w:r>
        <w:rPr>
          <w:rFonts w:ascii="宋体" w:hAnsi="宋体"/>
          <w:color w:val="auto"/>
          <w:sz w:val="21"/>
          <w:szCs w:val="21"/>
          <w:highlight w:val="none"/>
        </w:rPr>
        <w:t>情形。</w:t>
      </w:r>
    </w:p>
    <w:p>
      <w:pPr>
        <w:pStyle w:val="44"/>
        <w:spacing w:line="360" w:lineRule="auto"/>
        <w:ind w:firstLine="480" w:firstLineChars="0"/>
        <w:rPr>
          <w:rFonts w:ascii="宋体" w:hAnsi="宋体"/>
          <w:color w:val="auto"/>
          <w:sz w:val="21"/>
          <w:szCs w:val="21"/>
          <w:highlight w:val="none"/>
        </w:rPr>
      </w:pPr>
      <w:r>
        <w:rPr>
          <w:rFonts w:hint="eastAsia" w:ascii="宋体" w:hAnsi="宋体"/>
          <w:color w:val="auto"/>
          <w:sz w:val="21"/>
          <w:szCs w:val="21"/>
          <w:highlight w:val="none"/>
        </w:rPr>
        <w:t>三、本保函为</w:t>
      </w:r>
      <w:r>
        <w:rPr>
          <w:rFonts w:ascii="宋体" w:hAnsi="宋体"/>
          <w:color w:val="auto"/>
          <w:sz w:val="21"/>
          <w:szCs w:val="21"/>
          <w:highlight w:val="none"/>
        </w:rPr>
        <w:t>不可撤销、</w:t>
      </w:r>
      <w:r>
        <w:rPr>
          <w:rFonts w:hint="eastAsia" w:ascii="宋体" w:hAnsi="宋体"/>
          <w:color w:val="auto"/>
          <w:sz w:val="21"/>
          <w:szCs w:val="21"/>
          <w:highlight w:val="none"/>
        </w:rPr>
        <w:t>不可转让的见索即付</w:t>
      </w:r>
      <w:r>
        <w:rPr>
          <w:rFonts w:ascii="宋体" w:hAnsi="宋体"/>
          <w:color w:val="auto"/>
          <w:sz w:val="21"/>
          <w:szCs w:val="21"/>
          <w:highlight w:val="none"/>
        </w:rPr>
        <w:t>独立</w:t>
      </w:r>
      <w:r>
        <w:rPr>
          <w:rFonts w:hint="eastAsia" w:ascii="宋体" w:hAnsi="宋体"/>
          <w:color w:val="auto"/>
          <w:sz w:val="21"/>
          <w:szCs w:val="21"/>
          <w:highlight w:val="none"/>
        </w:rPr>
        <w:t>保函</w:t>
      </w:r>
      <w:r>
        <w:rPr>
          <w:rFonts w:ascii="宋体" w:hAnsi="宋体"/>
          <w:color w:val="auto"/>
          <w:sz w:val="21"/>
          <w:szCs w:val="21"/>
          <w:highlight w:val="none"/>
        </w:rPr>
        <w:t>。</w:t>
      </w:r>
      <w:r>
        <w:rPr>
          <w:rFonts w:hint="eastAsia" w:ascii="宋体" w:hAnsi="宋体"/>
          <w:color w:val="auto"/>
          <w:sz w:val="21"/>
          <w:szCs w:val="21"/>
          <w:highlight w:val="none"/>
        </w:rPr>
        <w:t>本保函</w:t>
      </w:r>
      <w:r>
        <w:rPr>
          <w:rFonts w:ascii="宋体" w:hAnsi="宋体"/>
          <w:color w:val="auto"/>
          <w:sz w:val="21"/>
          <w:szCs w:val="21"/>
          <w:highlight w:val="none"/>
        </w:rPr>
        <w:t>有效期自</w:t>
      </w:r>
      <w:r>
        <w:rPr>
          <w:rFonts w:hint="eastAsia" w:ascii="宋体" w:hAnsi="宋体"/>
          <w:color w:val="auto"/>
          <w:sz w:val="21"/>
          <w:szCs w:val="21"/>
          <w:highlight w:val="none"/>
        </w:rPr>
        <w:t>开立之日起</w:t>
      </w:r>
      <w:r>
        <w:rPr>
          <w:rFonts w:ascii="宋体" w:hAnsi="宋体"/>
          <w:color w:val="auto"/>
          <w:sz w:val="21"/>
          <w:szCs w:val="21"/>
          <w:highlight w:val="none"/>
        </w:rPr>
        <w:t>至</w:t>
      </w:r>
      <w:r>
        <w:rPr>
          <w:rFonts w:hint="eastAsia" w:ascii="宋体" w:hAnsi="宋体"/>
          <w:color w:val="auto"/>
          <w:sz w:val="21"/>
          <w:szCs w:val="21"/>
          <w:highlight w:val="none"/>
        </w:rPr>
        <w:t>投标有效期届满之日后的</w:t>
      </w:r>
      <w:r>
        <w:rPr>
          <w:rFonts w:hint="eastAsia" w:ascii="宋体" w:hAnsi="宋体"/>
          <w:color w:val="auto"/>
          <w:sz w:val="21"/>
          <w:szCs w:val="21"/>
          <w:highlight w:val="none"/>
          <w:u w:val="single"/>
        </w:rPr>
        <w:t>28</w:t>
      </w:r>
      <w:r>
        <w:rPr>
          <w:rFonts w:hint="eastAsia" w:ascii="宋体" w:hAnsi="宋体"/>
          <w:color w:val="auto"/>
          <w:sz w:val="21"/>
          <w:szCs w:val="21"/>
          <w:highlight w:val="none"/>
        </w:rPr>
        <w:t>日（含）</w:t>
      </w:r>
      <w:r>
        <w:rPr>
          <w:rFonts w:ascii="宋体" w:hAnsi="宋体"/>
          <w:color w:val="auto"/>
          <w:sz w:val="21"/>
          <w:szCs w:val="21"/>
          <w:highlight w:val="none"/>
        </w:rPr>
        <w:t>。</w:t>
      </w:r>
    </w:p>
    <w:p>
      <w:pPr>
        <w:pStyle w:val="44"/>
        <w:spacing w:line="360" w:lineRule="auto"/>
        <w:ind w:firstLine="480" w:firstLineChars="0"/>
        <w:rPr>
          <w:rFonts w:ascii="宋体" w:hAnsi="宋体"/>
          <w:color w:val="auto"/>
          <w:sz w:val="21"/>
          <w:szCs w:val="21"/>
          <w:highlight w:val="none"/>
        </w:rPr>
      </w:pPr>
      <w:r>
        <w:rPr>
          <w:rFonts w:hint="eastAsia" w:ascii="宋体" w:hAnsi="宋体"/>
          <w:color w:val="auto"/>
          <w:sz w:val="21"/>
          <w:szCs w:val="21"/>
          <w:highlight w:val="none"/>
        </w:rPr>
        <w:t>投标有效期延长的，本保函有效期相应顺延</w:t>
      </w:r>
      <w:bookmarkStart w:id="4170" w:name="_Hlk58489417"/>
      <w:r>
        <w:rPr>
          <w:rFonts w:hint="eastAsia" w:ascii="宋体" w:hAnsi="宋体"/>
          <w:color w:val="auto"/>
          <w:sz w:val="21"/>
          <w:szCs w:val="21"/>
          <w:highlight w:val="none"/>
        </w:rPr>
        <w:t>，最迟不超过</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日</w:t>
      </w:r>
      <w:bookmarkEnd w:id="4170"/>
      <w:r>
        <w:rPr>
          <w:rFonts w:hint="eastAsia" w:ascii="宋体" w:hAnsi="宋体"/>
          <w:color w:val="auto"/>
          <w:sz w:val="21"/>
          <w:szCs w:val="21"/>
          <w:highlight w:val="none"/>
        </w:rPr>
        <w:t>。</w:t>
      </w:r>
    </w:p>
    <w:p>
      <w:pPr>
        <w:spacing w:line="360" w:lineRule="auto"/>
        <w:ind w:firstLine="480"/>
        <w:rPr>
          <w:rFonts w:ascii="宋体" w:hAnsi="宋体"/>
          <w:color w:val="auto"/>
          <w:sz w:val="21"/>
          <w:szCs w:val="21"/>
          <w:highlight w:val="none"/>
        </w:rPr>
      </w:pPr>
      <w:bookmarkStart w:id="4171" w:name="_Hlk40302764"/>
      <w:r>
        <w:rPr>
          <w:rFonts w:hint="eastAsia" w:ascii="宋体" w:hAnsi="宋体"/>
          <w:color w:val="auto"/>
          <w:sz w:val="21"/>
          <w:szCs w:val="21"/>
          <w:highlight w:val="none"/>
        </w:rPr>
        <w:t>四、我方承诺，在收到受益人发来的书面付款通知后的</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日内无条件支付，前述书面付款通知即为付款要求之单据，且应满足以下要求：</w:t>
      </w:r>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（1）付款通知到达的日期在本保函的有效期内；</w:t>
      </w:r>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（2）载明要求支付的金额；</w:t>
      </w:r>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（3）</w:t>
      </w:r>
      <w:bookmarkStart w:id="4172" w:name="_Hlk40354215"/>
      <w:r>
        <w:rPr>
          <w:rFonts w:hint="eastAsia" w:ascii="宋体" w:hAnsi="宋体"/>
          <w:color w:val="auto"/>
          <w:sz w:val="21"/>
          <w:szCs w:val="21"/>
          <w:highlight w:val="none"/>
        </w:rPr>
        <w:t>载明申请人违反招</w:t>
      </w:r>
      <w:r>
        <w:rPr>
          <w:rFonts w:hint="eastAsia" w:ascii="宋体" w:hAnsi="宋体"/>
          <w:color w:val="auto"/>
          <w:sz w:val="21"/>
          <w:szCs w:val="21"/>
          <w:highlight w:val="none"/>
          <w:lang w:val="en-US" w:eastAsia="zh-Hans"/>
        </w:rPr>
        <w:t>标</w:t>
      </w:r>
      <w:r>
        <w:rPr>
          <w:rFonts w:hint="eastAsia" w:ascii="宋体" w:hAnsi="宋体"/>
          <w:color w:val="auto"/>
          <w:sz w:val="21"/>
          <w:szCs w:val="21"/>
          <w:highlight w:val="none"/>
        </w:rPr>
        <w:t>投标文件规定的义务内容和具体条款；</w:t>
      </w:r>
      <w:bookmarkEnd w:id="4172"/>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（4）</w:t>
      </w:r>
      <w:bookmarkStart w:id="4173" w:name="_Hlk40354839"/>
      <w:r>
        <w:rPr>
          <w:rFonts w:hint="eastAsia" w:ascii="宋体" w:hAnsi="宋体"/>
          <w:color w:val="auto"/>
          <w:sz w:val="21"/>
          <w:szCs w:val="21"/>
          <w:highlight w:val="none"/>
        </w:rPr>
        <w:t>声明不存在招标文件规定或我国法律规定免除申请人或我方支付责任的情形；</w:t>
      </w:r>
      <w:bookmarkEnd w:id="4173"/>
    </w:p>
    <w:p>
      <w:pPr>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（5）书面付款通知应在本保函有效期内到达的地址是：</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p>
    <w:bookmarkEnd w:id="4171"/>
    <w:p>
      <w:pPr>
        <w:spacing w:line="360" w:lineRule="auto"/>
        <w:ind w:firstLine="420" w:firstLineChars="200"/>
        <w:rPr>
          <w:rFonts w:ascii="宋体" w:hAnsi="宋体"/>
          <w:color w:val="auto"/>
          <w:sz w:val="21"/>
          <w:szCs w:val="21"/>
          <w:highlight w:val="none"/>
        </w:rPr>
      </w:pPr>
      <w:bookmarkStart w:id="4174" w:name="_Hlk40303486"/>
      <w:r>
        <w:rPr>
          <w:rFonts w:hint="eastAsia" w:ascii="宋体" w:hAnsi="宋体"/>
          <w:color w:val="auto"/>
          <w:sz w:val="21"/>
          <w:szCs w:val="21"/>
          <w:highlight w:val="none"/>
        </w:rPr>
        <w:t>受益人发出的书面付款通知应由其为鉴明受益人法定代表人（负责人）或授权代理人签字并加盖公章。</w:t>
      </w:r>
      <w:bookmarkEnd w:id="4174"/>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五、</w:t>
      </w:r>
      <w:r>
        <w:rPr>
          <w:rFonts w:ascii="宋体" w:hAnsi="宋体"/>
          <w:color w:val="auto"/>
          <w:sz w:val="21"/>
          <w:szCs w:val="21"/>
          <w:highlight w:val="none"/>
        </w:rPr>
        <w:t>本保函项下的权利不得转让，不得设定担保。</w:t>
      </w:r>
      <w:r>
        <w:rPr>
          <w:rFonts w:hint="eastAsia" w:ascii="宋体" w:hAnsi="宋体"/>
          <w:color w:val="auto"/>
          <w:sz w:val="21"/>
          <w:szCs w:val="21"/>
          <w:highlight w:val="none"/>
        </w:rPr>
        <w:t>贵方</w:t>
      </w:r>
      <w:r>
        <w:rPr>
          <w:rFonts w:ascii="宋体" w:hAnsi="宋体"/>
          <w:color w:val="auto"/>
          <w:sz w:val="21"/>
          <w:szCs w:val="21"/>
          <w:highlight w:val="none"/>
        </w:rPr>
        <w:t>未经我方书面同意转让本保函或其项下任何权利，</w:t>
      </w:r>
      <w:r>
        <w:rPr>
          <w:rFonts w:hint="eastAsia" w:ascii="宋体" w:hAnsi="宋体"/>
          <w:color w:val="auto"/>
          <w:sz w:val="21"/>
          <w:szCs w:val="21"/>
          <w:highlight w:val="none"/>
        </w:rPr>
        <w:t>对我方不发生法律效力</w:t>
      </w:r>
      <w:r>
        <w:rPr>
          <w:rFonts w:ascii="宋体" w:hAnsi="宋体"/>
          <w:color w:val="auto"/>
          <w:sz w:val="21"/>
          <w:szCs w:val="21"/>
          <w:highlight w:val="none"/>
        </w:rPr>
        <w:t xml:space="preserve">。 </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六、</w:t>
      </w:r>
      <w:r>
        <w:rPr>
          <w:rFonts w:ascii="宋体" w:hAnsi="宋体"/>
          <w:color w:val="auto"/>
          <w:sz w:val="21"/>
          <w:szCs w:val="21"/>
          <w:highlight w:val="none"/>
        </w:rPr>
        <w:t xml:space="preserve">本保函项下的基础交易不成立、不生效、无效、被撤销、被解除，不影响本保函的独立有效。 </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七、受益人</w:t>
      </w:r>
      <w:r>
        <w:rPr>
          <w:rFonts w:ascii="宋体" w:hAnsi="宋体"/>
          <w:color w:val="auto"/>
          <w:sz w:val="21"/>
          <w:szCs w:val="21"/>
          <w:highlight w:val="none"/>
        </w:rPr>
        <w:t>应在本保函到期后的</w:t>
      </w:r>
      <w:r>
        <w:rPr>
          <w:rFonts w:hint="eastAsia" w:ascii="宋体" w:hAnsi="宋体"/>
          <w:color w:val="auto"/>
          <w:sz w:val="21"/>
          <w:szCs w:val="21"/>
          <w:highlight w:val="none"/>
        </w:rPr>
        <w:t>七</w:t>
      </w:r>
      <w:r>
        <w:rPr>
          <w:rFonts w:ascii="宋体" w:hAnsi="宋体"/>
          <w:color w:val="auto"/>
          <w:sz w:val="21"/>
          <w:szCs w:val="21"/>
          <w:highlight w:val="none"/>
        </w:rPr>
        <w:t>日内将本保函正本退回我方</w:t>
      </w:r>
      <w:r>
        <w:rPr>
          <w:rFonts w:hint="eastAsia" w:ascii="宋体" w:hAnsi="宋体"/>
          <w:color w:val="auto"/>
          <w:sz w:val="21"/>
          <w:szCs w:val="21"/>
          <w:highlight w:val="none"/>
        </w:rPr>
        <w:t>注销</w:t>
      </w:r>
      <w:r>
        <w:rPr>
          <w:rFonts w:ascii="宋体" w:hAnsi="宋体"/>
          <w:color w:val="auto"/>
          <w:sz w:val="21"/>
          <w:szCs w:val="21"/>
          <w:highlight w:val="none"/>
        </w:rPr>
        <w:t>，但是不论</w:t>
      </w:r>
      <w:r>
        <w:rPr>
          <w:rFonts w:hint="eastAsia" w:ascii="宋体" w:hAnsi="宋体"/>
          <w:color w:val="auto"/>
          <w:sz w:val="21"/>
          <w:szCs w:val="21"/>
          <w:highlight w:val="none"/>
        </w:rPr>
        <w:t>受益人</w:t>
      </w:r>
      <w:r>
        <w:rPr>
          <w:rFonts w:ascii="宋体" w:hAnsi="宋体"/>
          <w:color w:val="auto"/>
          <w:sz w:val="21"/>
          <w:szCs w:val="21"/>
          <w:highlight w:val="none"/>
        </w:rPr>
        <w:t>是否按此要求将本保函正本退回我方，我方在本保函项下的义务和责任均在保函</w:t>
      </w:r>
      <w:r>
        <w:rPr>
          <w:rFonts w:hint="eastAsia" w:ascii="宋体" w:hAnsi="宋体"/>
          <w:color w:val="auto"/>
          <w:sz w:val="21"/>
          <w:szCs w:val="21"/>
          <w:highlight w:val="none"/>
        </w:rPr>
        <w:t>有效期</w:t>
      </w:r>
      <w:r>
        <w:rPr>
          <w:rFonts w:ascii="宋体" w:hAnsi="宋体"/>
          <w:color w:val="auto"/>
          <w:sz w:val="21"/>
          <w:szCs w:val="21"/>
          <w:highlight w:val="none"/>
        </w:rPr>
        <w:t xml:space="preserve">到期后自动消灭。 </w:t>
      </w:r>
    </w:p>
    <w:p>
      <w:pPr>
        <w:spacing w:line="360" w:lineRule="auto"/>
        <w:ind w:firstLine="420" w:firstLineChars="200"/>
        <w:rPr>
          <w:rFonts w:ascii="宋体" w:hAnsi="宋体"/>
          <w:color w:val="auto"/>
          <w:sz w:val="21"/>
          <w:szCs w:val="21"/>
          <w:highlight w:val="none"/>
        </w:rPr>
      </w:pPr>
      <w:bookmarkStart w:id="4175" w:name="_Hlk40303383"/>
      <w:bookmarkStart w:id="4176" w:name="_Hlk40354981"/>
      <w:r>
        <w:rPr>
          <w:rFonts w:hint="eastAsia" w:ascii="宋体" w:hAnsi="宋体"/>
          <w:color w:val="auto"/>
          <w:sz w:val="21"/>
          <w:szCs w:val="21"/>
          <w:highlight w:val="none"/>
        </w:rPr>
        <w:t>八、</w:t>
      </w:r>
      <w:r>
        <w:rPr>
          <w:rFonts w:ascii="宋体" w:hAnsi="宋体"/>
          <w:color w:val="auto"/>
          <w:sz w:val="21"/>
          <w:szCs w:val="21"/>
          <w:highlight w:val="none"/>
        </w:rPr>
        <w:t>本保函</w:t>
      </w:r>
      <w:r>
        <w:rPr>
          <w:rFonts w:hint="eastAsia" w:ascii="宋体" w:hAnsi="宋体"/>
          <w:color w:val="auto"/>
          <w:sz w:val="21"/>
          <w:szCs w:val="21"/>
          <w:highlight w:val="none"/>
        </w:rPr>
        <w:t>适用的法律为中华人民共和国法律，争议裁判管辖地为中华人民共和国</w:t>
      </w:r>
      <w:bookmarkEnd w:id="4175"/>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default"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r>
        <w:rPr>
          <w:rFonts w:ascii="宋体" w:hAnsi="宋体"/>
          <w:color w:val="auto"/>
          <w:sz w:val="21"/>
          <w:szCs w:val="21"/>
          <w:highlight w:val="none"/>
        </w:rPr>
        <w:t xml:space="preserve"> </w:t>
      </w:r>
    </w:p>
    <w:bookmarkEnd w:id="4176"/>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九、</w:t>
      </w:r>
      <w:r>
        <w:rPr>
          <w:rFonts w:ascii="宋体" w:hAnsi="宋体"/>
          <w:color w:val="auto"/>
          <w:sz w:val="21"/>
          <w:szCs w:val="21"/>
          <w:highlight w:val="none"/>
        </w:rPr>
        <w:t>本保函自我方法定代表人</w:t>
      </w:r>
      <w:r>
        <w:rPr>
          <w:rFonts w:hint="eastAsia" w:ascii="宋体" w:hAnsi="宋体"/>
          <w:color w:val="auto"/>
          <w:sz w:val="21"/>
          <w:szCs w:val="21"/>
          <w:highlight w:val="none"/>
        </w:rPr>
        <w:t>或授权代表</w:t>
      </w:r>
      <w:r>
        <w:rPr>
          <w:rFonts w:ascii="宋体" w:hAnsi="宋体"/>
          <w:color w:val="auto"/>
          <w:sz w:val="21"/>
          <w:szCs w:val="21"/>
          <w:highlight w:val="none"/>
        </w:rPr>
        <w:t>签字</w:t>
      </w:r>
      <w:r>
        <w:rPr>
          <w:rFonts w:hint="eastAsia" w:ascii="宋体" w:hAnsi="宋体"/>
          <w:color w:val="auto"/>
          <w:sz w:val="21"/>
          <w:szCs w:val="21"/>
          <w:highlight w:val="none"/>
        </w:rPr>
        <w:t>并</w:t>
      </w:r>
      <w:r>
        <w:rPr>
          <w:rFonts w:ascii="宋体" w:hAnsi="宋体"/>
          <w:color w:val="auto"/>
          <w:sz w:val="21"/>
          <w:szCs w:val="21"/>
          <w:highlight w:val="none"/>
        </w:rPr>
        <w:t xml:space="preserve">加盖公章之日起生效。 </w:t>
      </w:r>
    </w:p>
    <w:p>
      <w:pPr>
        <w:spacing w:line="360" w:lineRule="auto"/>
        <w:ind w:firstLine="420" w:firstLineChars="200"/>
        <w:rPr>
          <w:rFonts w:hint="default" w:ascii="宋体" w:hAnsi="宋体"/>
          <w:color w:val="auto"/>
          <w:sz w:val="21"/>
          <w:szCs w:val="21"/>
          <w:highlight w:val="none"/>
        </w:rPr>
      </w:pPr>
      <w:r>
        <w:rPr>
          <w:rFonts w:hint="eastAsia" w:ascii="宋体" w:hAnsi="宋体" w:cs="宋体"/>
          <w:color w:val="auto"/>
          <w:sz w:val="21"/>
          <w:szCs w:val="21"/>
          <w:highlight w:val="none"/>
        </w:rPr>
        <w:t>查验保函网址：</w:t>
      </w:r>
      <w:r>
        <w:rPr>
          <w:rFonts w:hint="eastAsia" w:ascii="宋体" w:hAnsi="宋体" w:cs="宋体"/>
          <w:color w:val="auto"/>
          <w:sz w:val="21"/>
          <w:szCs w:val="21"/>
          <w:highlight w:val="none"/>
          <w:u w:val="single"/>
        </w:rPr>
        <w:t xml:space="preserve">            （必填）</w:t>
      </w:r>
      <w:r>
        <w:rPr>
          <w:rFonts w:hint="default" w:ascii="宋体" w:hAnsi="宋体" w:cs="宋体"/>
          <w:color w:val="auto"/>
          <w:sz w:val="21"/>
          <w:szCs w:val="21"/>
          <w:highlight w:val="none"/>
          <w:u w:val="single"/>
        </w:rPr>
        <w:t xml:space="preserve">               </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开 立 人</w:t>
      </w:r>
      <w:r>
        <w:rPr>
          <w:rFonts w:ascii="宋体" w:hAnsi="宋体"/>
          <w:color w:val="auto"/>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ascii="宋体" w:hAnsi="宋体"/>
          <w:color w:val="auto"/>
          <w:sz w:val="21"/>
          <w:szCs w:val="21"/>
          <w:highlight w:val="none"/>
        </w:rPr>
        <w:t>（</w:t>
      </w:r>
      <w:r>
        <w:rPr>
          <w:rFonts w:hint="eastAsia" w:ascii="宋体" w:hAnsi="宋体"/>
          <w:color w:val="auto"/>
          <w:sz w:val="21"/>
          <w:szCs w:val="21"/>
          <w:highlight w:val="none"/>
        </w:rPr>
        <w:t>公</w:t>
      </w:r>
      <w:r>
        <w:rPr>
          <w:rFonts w:ascii="宋体" w:hAnsi="宋体"/>
          <w:color w:val="auto"/>
          <w:sz w:val="21"/>
          <w:szCs w:val="21"/>
          <w:highlight w:val="none"/>
        </w:rPr>
        <w:t xml:space="preserve">章） </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法定代表人（或授权代表） ：</w:t>
      </w:r>
      <w:r>
        <w:rPr>
          <w:rFonts w:ascii="宋体" w:hAnsi="宋体"/>
          <w:color w:val="auto"/>
          <w:sz w:val="21"/>
          <w:szCs w:val="21"/>
          <w:highlight w:val="none"/>
          <w:u w:val="single"/>
        </w:rPr>
        <w:t xml:space="preserve">               </w:t>
      </w:r>
      <w:r>
        <w:rPr>
          <w:rFonts w:ascii="宋体" w:hAnsi="宋体"/>
          <w:color w:val="auto"/>
          <w:sz w:val="21"/>
          <w:szCs w:val="21"/>
          <w:highlight w:val="none"/>
        </w:rPr>
        <w:t xml:space="preserve">（签字） </w:t>
      </w:r>
    </w:p>
    <w:p>
      <w:pPr>
        <w:spacing w:line="360" w:lineRule="auto"/>
        <w:ind w:firstLine="420" w:firstLineChars="200"/>
        <w:rPr>
          <w:rFonts w:ascii="宋体" w:hAnsi="宋体"/>
          <w:color w:val="auto"/>
          <w:sz w:val="21"/>
          <w:szCs w:val="21"/>
          <w:highlight w:val="none"/>
          <w:u w:val="single"/>
        </w:rPr>
      </w:pPr>
      <w:r>
        <w:rPr>
          <w:rFonts w:hint="eastAsia" w:ascii="宋体" w:hAnsi="宋体"/>
          <w:color w:val="auto"/>
          <w:sz w:val="21"/>
          <w:szCs w:val="21"/>
          <w:highlight w:val="none"/>
        </w:rPr>
        <w:t>地</w:t>
      </w:r>
      <w:r>
        <w:rPr>
          <w:rFonts w:ascii="宋体" w:hAnsi="宋体"/>
          <w:color w:val="auto"/>
          <w:sz w:val="21"/>
          <w:szCs w:val="21"/>
          <w:highlight w:val="none"/>
        </w:rPr>
        <w:t xml:space="preserve">    址：</w:t>
      </w:r>
      <w:r>
        <w:rPr>
          <w:rFonts w:ascii="宋体" w:hAnsi="宋体"/>
          <w:color w:val="auto"/>
          <w:sz w:val="21"/>
          <w:szCs w:val="21"/>
          <w:highlight w:val="none"/>
          <w:u w:val="single"/>
        </w:rPr>
        <w:t xml:space="preserve">                                       </w:t>
      </w:r>
    </w:p>
    <w:p>
      <w:pPr>
        <w:spacing w:line="360" w:lineRule="auto"/>
        <w:ind w:firstLine="420" w:firstLineChars="200"/>
        <w:rPr>
          <w:rFonts w:ascii="宋体" w:hAnsi="宋体"/>
          <w:color w:val="auto"/>
          <w:sz w:val="21"/>
          <w:szCs w:val="21"/>
          <w:highlight w:val="none"/>
          <w:u w:val="single"/>
        </w:rPr>
      </w:pPr>
      <w:r>
        <w:rPr>
          <w:rFonts w:hint="eastAsia" w:ascii="宋体" w:hAnsi="宋体"/>
          <w:color w:val="auto"/>
          <w:sz w:val="21"/>
          <w:szCs w:val="21"/>
          <w:highlight w:val="none"/>
        </w:rPr>
        <w:t>邮政编码：</w:t>
      </w:r>
      <w:r>
        <w:rPr>
          <w:rFonts w:ascii="宋体" w:hAnsi="宋体"/>
          <w:color w:val="auto"/>
          <w:sz w:val="21"/>
          <w:szCs w:val="21"/>
          <w:highlight w:val="none"/>
          <w:u w:val="single"/>
        </w:rPr>
        <w:t xml:space="preserve">                 </w:t>
      </w:r>
    </w:p>
    <w:p>
      <w:pPr>
        <w:spacing w:line="360" w:lineRule="auto"/>
        <w:ind w:firstLine="420" w:firstLineChars="200"/>
        <w:rPr>
          <w:rFonts w:ascii="宋体" w:hAnsi="宋体"/>
          <w:color w:val="auto"/>
          <w:sz w:val="21"/>
          <w:szCs w:val="21"/>
          <w:highlight w:val="none"/>
          <w:u w:val="single"/>
        </w:rPr>
      </w:pPr>
      <w:r>
        <w:rPr>
          <w:rFonts w:hint="eastAsia" w:ascii="宋体" w:hAnsi="宋体"/>
          <w:color w:val="auto"/>
          <w:sz w:val="21"/>
          <w:szCs w:val="21"/>
          <w:highlight w:val="none"/>
        </w:rPr>
        <w:t>电</w:t>
      </w:r>
      <w:r>
        <w:rPr>
          <w:rFonts w:ascii="宋体" w:hAnsi="宋体"/>
          <w:color w:val="auto"/>
          <w:sz w:val="21"/>
          <w:szCs w:val="21"/>
          <w:highlight w:val="none"/>
        </w:rPr>
        <w:t xml:space="preserve">    话：</w:t>
      </w:r>
      <w:r>
        <w:rPr>
          <w:rFonts w:ascii="宋体" w:hAnsi="宋体"/>
          <w:color w:val="auto"/>
          <w:sz w:val="21"/>
          <w:szCs w:val="21"/>
          <w:highlight w:val="none"/>
          <w:u w:val="single"/>
        </w:rPr>
        <w:t xml:space="preserve">                 </w:t>
      </w:r>
    </w:p>
    <w:p>
      <w:pPr>
        <w:spacing w:line="360" w:lineRule="auto"/>
        <w:ind w:firstLine="420" w:firstLineChars="200"/>
        <w:rPr>
          <w:rFonts w:ascii="宋体" w:hAnsi="宋体"/>
          <w:color w:val="auto"/>
          <w:sz w:val="21"/>
          <w:szCs w:val="21"/>
          <w:highlight w:val="none"/>
          <w:u w:val="single"/>
        </w:rPr>
      </w:pPr>
      <w:r>
        <w:rPr>
          <w:rFonts w:hint="eastAsia" w:ascii="宋体" w:hAnsi="宋体"/>
          <w:color w:val="auto"/>
          <w:sz w:val="21"/>
          <w:szCs w:val="21"/>
          <w:highlight w:val="none"/>
        </w:rPr>
        <w:t>传</w:t>
      </w:r>
      <w:r>
        <w:rPr>
          <w:rFonts w:ascii="宋体" w:hAnsi="宋体"/>
          <w:color w:val="auto"/>
          <w:sz w:val="21"/>
          <w:szCs w:val="21"/>
          <w:highlight w:val="none"/>
        </w:rPr>
        <w:t xml:space="preserve">    真：</w:t>
      </w:r>
      <w:r>
        <w:rPr>
          <w:rFonts w:ascii="宋体" w:hAnsi="宋体"/>
          <w:color w:val="auto"/>
          <w:sz w:val="21"/>
          <w:szCs w:val="21"/>
          <w:highlight w:val="none"/>
          <w:u w:val="single"/>
        </w:rPr>
        <w:t xml:space="preserve">                 </w:t>
      </w:r>
    </w:p>
    <w:p>
      <w:pPr>
        <w:ind w:firstLine="420" w:firstLineChars="200"/>
        <w:rPr>
          <w:rFonts w:hint="eastAsia" w:ascii="宋体" w:hAnsi="宋体" w:cs="宋体"/>
          <w:b/>
          <w:color w:val="auto"/>
          <w:sz w:val="21"/>
          <w:szCs w:val="21"/>
          <w:highlight w:val="none"/>
        </w:rPr>
      </w:pPr>
      <w:r>
        <w:rPr>
          <w:rFonts w:hint="eastAsia" w:ascii="宋体" w:hAnsi="宋体"/>
          <w:color w:val="auto"/>
          <w:sz w:val="21"/>
          <w:szCs w:val="21"/>
          <w:highlight w:val="none"/>
        </w:rPr>
        <w:t>开立时间：</w:t>
      </w:r>
      <w:r>
        <w:rPr>
          <w:rFonts w:ascii="宋体" w:hAnsi="宋体"/>
          <w:color w:val="auto"/>
          <w:sz w:val="21"/>
          <w:szCs w:val="21"/>
          <w:highlight w:val="none"/>
          <w:u w:val="single"/>
        </w:rPr>
        <w:t xml:space="preserve">      </w:t>
      </w:r>
      <w:r>
        <w:rPr>
          <w:rFonts w:ascii="宋体" w:hAnsi="宋体"/>
          <w:color w:val="auto"/>
          <w:sz w:val="21"/>
          <w:szCs w:val="21"/>
          <w:highlight w:val="none"/>
        </w:rPr>
        <w:t>年</w:t>
      </w:r>
      <w:r>
        <w:rPr>
          <w:rFonts w:ascii="宋体" w:hAnsi="宋体"/>
          <w:color w:val="auto"/>
          <w:sz w:val="21"/>
          <w:szCs w:val="21"/>
          <w:highlight w:val="none"/>
          <w:u w:val="single"/>
        </w:rPr>
        <w:t xml:space="preserve">      </w:t>
      </w:r>
      <w:r>
        <w:rPr>
          <w:rFonts w:ascii="宋体" w:hAnsi="宋体"/>
          <w:color w:val="auto"/>
          <w:sz w:val="21"/>
          <w:szCs w:val="21"/>
          <w:highlight w:val="none"/>
        </w:rPr>
        <w:t>月</w:t>
      </w:r>
      <w:r>
        <w:rPr>
          <w:rFonts w:ascii="宋体" w:hAnsi="宋体"/>
          <w:color w:val="auto"/>
          <w:sz w:val="21"/>
          <w:szCs w:val="21"/>
          <w:highlight w:val="none"/>
          <w:u w:val="single"/>
        </w:rPr>
        <w:t xml:space="preserve">  </w:t>
      </w:r>
      <w:r>
        <w:rPr>
          <w:rFonts w:hint="default"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日</w:t>
      </w:r>
    </w:p>
    <w:p>
      <w:pPr>
        <w:pStyle w:val="17"/>
        <w:rPr>
          <w:rFonts w:hint="eastAsia"/>
        </w:rPr>
      </w:pPr>
    </w:p>
    <w:p>
      <w:pPr>
        <w:pStyle w:val="4"/>
        <w:spacing w:before="0" w:after="0" w:line="520" w:lineRule="exact"/>
        <w:rPr>
          <w:rFonts w:hint="eastAsia"/>
          <w:sz w:val="28"/>
          <w:szCs w:val="28"/>
        </w:rPr>
      </w:pPr>
      <w:bookmarkStart w:id="4177" w:name="_Toc24150"/>
      <w:bookmarkStart w:id="4178" w:name="_Toc12622"/>
      <w:bookmarkStart w:id="4179" w:name="_Toc1282099798"/>
      <w:bookmarkStart w:id="4180" w:name="_Toc10563"/>
      <w:bookmarkStart w:id="4181" w:name="_Toc23121"/>
      <w:bookmarkStart w:id="4182" w:name="_Toc4936"/>
      <w:bookmarkStart w:id="4183" w:name="_Toc3706"/>
      <w:bookmarkStart w:id="4184" w:name="_Toc406460097"/>
      <w:bookmarkStart w:id="4185" w:name="_Toc773565100"/>
      <w:bookmarkStart w:id="4186" w:name="_Toc5631"/>
      <w:bookmarkStart w:id="4187" w:name="_Toc19452"/>
      <w:bookmarkStart w:id="4188" w:name="_Toc282867017"/>
      <w:bookmarkStart w:id="4189" w:name="_Toc511396208"/>
      <w:bookmarkStart w:id="4190" w:name="_Toc515440857"/>
      <w:bookmarkStart w:id="4191" w:name="_Toc7186600"/>
      <w:bookmarkStart w:id="4192" w:name="_Toc516823096"/>
      <w:r>
        <w:rPr>
          <w:rFonts w:hint="eastAsia"/>
          <w:sz w:val="28"/>
          <w:szCs w:val="28"/>
          <w:lang w:val="en-US" w:eastAsia="zh-Hans"/>
        </w:rPr>
        <w:t>七</w:t>
      </w:r>
      <w:r>
        <w:rPr>
          <w:rFonts w:hint="eastAsia"/>
          <w:sz w:val="28"/>
          <w:szCs w:val="28"/>
        </w:rPr>
        <w:t>、</w:t>
      </w:r>
      <w:r>
        <w:rPr>
          <w:rFonts w:hint="eastAsia"/>
          <w:sz w:val="28"/>
          <w:szCs w:val="28"/>
          <w:lang w:val="en-US" w:eastAsia="zh-Hans"/>
        </w:rPr>
        <w:t>保函开立人出具的到账证明</w:t>
      </w:r>
      <w:r>
        <w:rPr>
          <w:rFonts w:hint="eastAsia"/>
          <w:sz w:val="28"/>
          <w:szCs w:val="28"/>
        </w:rPr>
        <w:t>（</w:t>
      </w:r>
      <w:r>
        <w:rPr>
          <w:rFonts w:hint="eastAsia"/>
          <w:sz w:val="28"/>
          <w:szCs w:val="28"/>
          <w:lang w:val="en-US" w:eastAsia="zh-CN"/>
        </w:rPr>
        <w:t>参考</w:t>
      </w:r>
      <w:r>
        <w:rPr>
          <w:rFonts w:hint="eastAsia"/>
          <w:sz w:val="28"/>
          <w:szCs w:val="28"/>
        </w:rPr>
        <w:t>格式）</w:t>
      </w:r>
      <w:bookmarkEnd w:id="4177"/>
      <w:bookmarkEnd w:id="4178"/>
      <w:bookmarkEnd w:id="4179"/>
      <w:bookmarkEnd w:id="4180"/>
      <w:bookmarkEnd w:id="4181"/>
      <w:bookmarkEnd w:id="4182"/>
      <w:bookmarkEnd w:id="4183"/>
      <w:bookmarkEnd w:id="4184"/>
      <w:bookmarkEnd w:id="4185"/>
      <w:bookmarkEnd w:id="4186"/>
      <w:bookmarkEnd w:id="4187"/>
      <w:bookmarkEnd w:id="4188"/>
    </w:p>
    <w:p>
      <w:pPr>
        <w:spacing w:line="360" w:lineRule="auto"/>
        <w:jc w:val="center"/>
        <w:rPr>
          <w:b/>
          <w:bCs/>
          <w:color w:val="auto"/>
          <w:sz w:val="44"/>
          <w:szCs w:val="44"/>
          <w:highlight w:val="none"/>
        </w:rPr>
      </w:pPr>
    </w:p>
    <w:p>
      <w:pPr>
        <w:spacing w:after="312" w:afterLines="100"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到账证明</w:t>
      </w:r>
    </w:p>
    <w:p>
      <w:pPr>
        <w:spacing w:line="360" w:lineRule="auto"/>
        <w:jc w:val="center"/>
        <w:rPr>
          <w:rFonts w:eastAsia="仿宋_GB2312"/>
          <w:color w:val="auto"/>
          <w:sz w:val="32"/>
          <w:szCs w:val="32"/>
          <w:highlight w:val="none"/>
        </w:rPr>
      </w:pPr>
    </w:p>
    <w:p>
      <w:pPr>
        <w:spacing w:line="360" w:lineRule="auto"/>
        <w:jc w:val="center"/>
        <w:rPr>
          <w:rFonts w:hint="eastAsia" w:ascii="宋体" w:hAnsi="宋体" w:cs="宋体"/>
          <w:b/>
          <w:bCs/>
          <w:color w:val="auto"/>
          <w:sz w:val="21"/>
          <w:szCs w:val="21"/>
          <w:highlight w:val="none"/>
        </w:rPr>
      </w:pPr>
    </w:p>
    <w:p>
      <w:pPr>
        <w:widowControl/>
        <w:spacing w:line="48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u w:val="single"/>
          <w:lang w:bidi="ar"/>
        </w:rPr>
        <w:t>（招标人名称）</w:t>
      </w:r>
      <w:r>
        <w:rPr>
          <w:rFonts w:hint="eastAsia" w:ascii="宋体" w:hAnsi="宋体" w:cs="宋体"/>
          <w:color w:val="auto"/>
          <w:sz w:val="21"/>
          <w:szCs w:val="21"/>
          <w:highlight w:val="none"/>
          <w:lang w:bidi="ar"/>
        </w:rPr>
        <w:t xml:space="preserve">： </w:t>
      </w:r>
    </w:p>
    <w:p>
      <w:pPr>
        <w:widowControl/>
        <w:spacing w:line="480" w:lineRule="auto"/>
        <w:ind w:firstLine="420" w:firstLineChars="200"/>
        <w:jc w:val="left"/>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就</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（投标人名称）</w:t>
      </w:r>
      <w:r>
        <w:rPr>
          <w:rFonts w:hint="eastAsia" w:ascii="宋体" w:hAnsi="宋体" w:cs="宋体"/>
          <w:color w:val="auto"/>
          <w:sz w:val="21"/>
          <w:szCs w:val="21"/>
          <w:highlight w:val="none"/>
        </w:rPr>
        <w:t>申请开立招标项目编号为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（招标项目编号）</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（招标项目名称）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（保函金额）</w:t>
      </w:r>
      <w:r>
        <w:rPr>
          <w:rFonts w:hint="eastAsia" w:ascii="宋体" w:hAnsi="宋体" w:cs="宋体"/>
          <w:color w:val="auto"/>
          <w:sz w:val="21"/>
          <w:szCs w:val="21"/>
          <w:highlight w:val="none"/>
        </w:rPr>
        <w:t>元投标保函</w:t>
      </w:r>
      <w:r>
        <w:rPr>
          <w:rFonts w:hint="eastAsia" w:ascii="宋体" w:hAnsi="宋体" w:cs="宋体"/>
          <w:color w:val="auto"/>
          <w:sz w:val="21"/>
          <w:szCs w:val="21"/>
          <w:highlight w:val="none"/>
          <w:lang w:bidi="ar"/>
        </w:rPr>
        <w:t>，我方收款账号为</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（保函开立人收款账号）</w:t>
      </w:r>
      <w:r>
        <w:rPr>
          <w:rFonts w:hint="eastAsia" w:ascii="宋体" w:hAnsi="宋体" w:cs="宋体"/>
          <w:color w:val="auto"/>
          <w:sz w:val="21"/>
          <w:szCs w:val="21"/>
          <w:highlight w:val="none"/>
          <w:lang w:bidi="ar"/>
        </w:rPr>
        <w:t>的收款账户，已于</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lang w:bidi="ar"/>
        </w:rPr>
        <w:t>年</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 xml:space="preserve"> </w:t>
      </w:r>
      <w:r>
        <w:rPr>
          <w:rFonts w:hint="eastAsia" w:ascii="宋体" w:hAnsi="宋体" w:cs="宋体"/>
          <w:color w:val="auto"/>
          <w:sz w:val="21"/>
          <w:szCs w:val="21"/>
          <w:highlight w:val="none"/>
          <w:lang w:bidi="ar"/>
        </w:rPr>
        <w:t>日收到该投标人通过付款账号:</w:t>
      </w:r>
      <w:r>
        <w:rPr>
          <w:rFonts w:hint="eastAsia" w:ascii="宋体" w:hAnsi="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bidi="ar"/>
        </w:rPr>
        <w:t>（投标人付款账号）</w:t>
      </w:r>
      <w:r>
        <w:rPr>
          <w:rFonts w:hint="eastAsia" w:ascii="宋体" w:hAnsi="宋体" w:cs="宋体"/>
          <w:color w:val="auto"/>
          <w:sz w:val="21"/>
          <w:szCs w:val="21"/>
          <w:highlight w:val="none"/>
          <w:lang w:bidi="ar"/>
        </w:rPr>
        <w:t>的付</w:t>
      </w:r>
      <w:r>
        <w:rPr>
          <w:rFonts w:hint="eastAsia" w:ascii="宋体" w:hAnsi="宋体" w:cs="宋体"/>
          <w:color w:val="auto"/>
          <w:sz w:val="21"/>
          <w:szCs w:val="21"/>
          <w:highlight w:val="none"/>
        </w:rPr>
        <w:t>款账户支付的保函费用</w:t>
      </w:r>
      <w:r>
        <w:rPr>
          <w:rFonts w:hint="eastAsia" w:ascii="宋体" w:hAnsi="宋体" w:cs="宋体"/>
          <w:color w:val="auto"/>
          <w:sz w:val="21"/>
          <w:szCs w:val="21"/>
          <w:highlight w:val="none"/>
          <w:lang w:bidi="ar"/>
        </w:rPr>
        <w:t>。</w:t>
      </w:r>
    </w:p>
    <w:p>
      <w:pPr>
        <w:widowControl/>
        <w:spacing w:line="480" w:lineRule="auto"/>
        <w:ind w:firstLine="420" w:firstLineChars="200"/>
        <w:jc w:val="left"/>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特此证明。</w:t>
      </w:r>
    </w:p>
    <w:p>
      <w:pPr>
        <w:widowControl/>
        <w:spacing w:line="480" w:lineRule="auto"/>
        <w:ind w:firstLine="420" w:firstLineChars="200"/>
        <w:jc w:val="left"/>
        <w:rPr>
          <w:rFonts w:hint="eastAsia" w:ascii="宋体" w:hAnsi="宋体" w:cs="宋体"/>
          <w:color w:val="auto"/>
          <w:sz w:val="21"/>
          <w:szCs w:val="21"/>
          <w:highlight w:val="none"/>
          <w:lang w:bidi="ar"/>
        </w:rPr>
      </w:pPr>
    </w:p>
    <w:p>
      <w:pPr>
        <w:widowControl/>
        <w:spacing w:line="480" w:lineRule="auto"/>
        <w:ind w:firstLine="420" w:firstLineChars="200"/>
        <w:jc w:val="left"/>
        <w:rPr>
          <w:rFonts w:hint="eastAsia" w:ascii="宋体" w:hAnsi="宋体" w:cs="宋体"/>
          <w:color w:val="auto"/>
          <w:sz w:val="21"/>
          <w:szCs w:val="21"/>
          <w:highlight w:val="none"/>
          <w:lang w:bidi="ar"/>
        </w:rPr>
      </w:pPr>
    </w:p>
    <w:p>
      <w:pPr>
        <w:spacing w:line="480" w:lineRule="auto"/>
        <w:ind w:firstLine="210" w:firstLineChars="100"/>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保函开立人：</w:t>
      </w:r>
      <w:r>
        <w:rPr>
          <w:rFonts w:hint="default" w:ascii="宋体" w:hAnsi="宋体" w:cs="宋体"/>
          <w:color w:val="auto"/>
          <w:sz w:val="21"/>
          <w:szCs w:val="21"/>
          <w:highlight w:val="none"/>
          <w:u w:val="single"/>
        </w:rPr>
        <w:t xml:space="preserve">              </w:t>
      </w:r>
      <w:r>
        <w:rPr>
          <w:rFonts w:hint="eastAsia" w:ascii="宋体" w:hAnsi="宋体" w:cs="宋体"/>
          <w:color w:val="auto"/>
          <w:sz w:val="21"/>
          <w:szCs w:val="21"/>
          <w:highlight w:val="none"/>
        </w:rPr>
        <w:t>（盖</w:t>
      </w:r>
      <w:r>
        <w:rPr>
          <w:rFonts w:hint="eastAsia" w:ascii="宋体" w:hAnsi="宋体" w:cs="宋体"/>
          <w:color w:val="auto"/>
          <w:sz w:val="21"/>
          <w:szCs w:val="21"/>
          <w:highlight w:val="none"/>
          <w:lang w:val="en-US" w:eastAsia="zh-Hans"/>
        </w:rPr>
        <w:t>单位</w:t>
      </w:r>
      <w:r>
        <w:rPr>
          <w:rFonts w:hint="eastAsia" w:ascii="宋体" w:hAnsi="宋体" w:cs="宋体"/>
          <w:color w:val="auto"/>
          <w:sz w:val="21"/>
          <w:szCs w:val="21"/>
          <w:highlight w:val="none"/>
          <w:lang w:val="en-US" w:eastAsia="zh-CN"/>
        </w:rPr>
        <w:t>公</w:t>
      </w:r>
      <w:r>
        <w:rPr>
          <w:rFonts w:hint="eastAsia" w:ascii="宋体" w:hAnsi="宋体" w:cs="宋体"/>
          <w:color w:val="auto"/>
          <w:sz w:val="21"/>
          <w:szCs w:val="21"/>
          <w:highlight w:val="none"/>
        </w:rPr>
        <w:t xml:space="preserve">章） </w:t>
      </w:r>
    </w:p>
    <w:p>
      <w:pPr>
        <w:spacing w:line="420" w:lineRule="exact"/>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pPr>
        <w:pStyle w:val="17"/>
        <w:rPr>
          <w:rFonts w:ascii="宋体" w:hAnsi="宋体"/>
          <w:szCs w:val="21"/>
        </w:rPr>
      </w:pPr>
    </w:p>
    <w:p>
      <w:pPr>
        <w:pStyle w:val="17"/>
        <w:rPr>
          <w:rFonts w:ascii="宋体" w:hAnsi="宋体"/>
          <w:szCs w:val="21"/>
        </w:rPr>
      </w:pPr>
    </w:p>
    <w:p>
      <w:pPr>
        <w:pStyle w:val="17"/>
        <w:rPr>
          <w:rFonts w:ascii="宋体" w:hAnsi="宋体"/>
          <w:szCs w:val="21"/>
        </w:rPr>
      </w:pPr>
    </w:p>
    <w:p>
      <w:pPr>
        <w:pStyle w:val="17"/>
        <w:rPr>
          <w:rFonts w:ascii="宋体" w:hAnsi="宋体"/>
          <w:szCs w:val="21"/>
        </w:rPr>
      </w:pPr>
    </w:p>
    <w:p>
      <w:pPr>
        <w:pStyle w:val="17"/>
        <w:rPr>
          <w:rFonts w:ascii="宋体" w:hAnsi="宋体"/>
          <w:szCs w:val="21"/>
        </w:rPr>
      </w:pPr>
    </w:p>
    <w:p>
      <w:pPr>
        <w:pStyle w:val="17"/>
        <w:rPr>
          <w:rFonts w:ascii="宋体" w:hAnsi="宋体"/>
          <w:szCs w:val="21"/>
        </w:rPr>
      </w:pPr>
    </w:p>
    <w:p>
      <w:pPr>
        <w:pStyle w:val="4"/>
        <w:spacing w:before="0" w:after="0" w:line="520" w:lineRule="exact"/>
        <w:rPr>
          <w:rFonts w:hint="eastAsia"/>
          <w:sz w:val="28"/>
          <w:szCs w:val="28"/>
        </w:rPr>
      </w:pPr>
      <w:bookmarkStart w:id="4193" w:name="_Toc12499"/>
      <w:bookmarkStart w:id="4194" w:name="_Toc1671366768"/>
      <w:bookmarkStart w:id="4195" w:name="_Toc21941"/>
      <w:bookmarkStart w:id="4196" w:name="_Toc22844"/>
      <w:bookmarkStart w:id="4197" w:name="_Toc1509366121"/>
      <w:bookmarkStart w:id="4198" w:name="_Toc1764643908"/>
      <w:bookmarkStart w:id="4199" w:name="_Toc1232259881"/>
      <w:bookmarkStart w:id="4200" w:name="_Toc20498"/>
      <w:bookmarkStart w:id="4201" w:name="_Toc400390988"/>
      <w:bookmarkStart w:id="4202" w:name="_Toc20353"/>
      <w:bookmarkStart w:id="4203" w:name="_Toc1773858936"/>
      <w:bookmarkStart w:id="4204" w:name="_Toc663"/>
      <w:bookmarkStart w:id="4205" w:name="_Toc2226"/>
      <w:bookmarkStart w:id="4206" w:name="_Toc527474462"/>
      <w:bookmarkStart w:id="4207" w:name="_Toc1386924017"/>
      <w:bookmarkStart w:id="4208" w:name="_Toc19044989"/>
      <w:bookmarkStart w:id="4209" w:name="_Toc442636762"/>
      <w:bookmarkStart w:id="4210" w:name="_Toc2094062542"/>
      <w:bookmarkStart w:id="4211" w:name="_Toc229369172"/>
      <w:bookmarkStart w:id="4212" w:name="_Toc2095092270"/>
      <w:bookmarkStart w:id="4213" w:name="_Toc417667524"/>
      <w:bookmarkStart w:id="4214" w:name="_Toc19751"/>
      <w:r>
        <w:rPr>
          <w:rFonts w:hint="eastAsia"/>
          <w:sz w:val="28"/>
          <w:szCs w:val="28"/>
          <w:lang w:val="en-US" w:eastAsia="zh-Hans"/>
        </w:rPr>
        <w:t>八</w:t>
      </w:r>
      <w:r>
        <w:rPr>
          <w:rFonts w:hint="eastAsia"/>
          <w:sz w:val="28"/>
          <w:szCs w:val="28"/>
        </w:rPr>
        <w:t>、近年财务状况表</w:t>
      </w:r>
      <w:bookmarkEnd w:id="4189"/>
      <w:r>
        <w:rPr>
          <w:rFonts w:hint="eastAsia"/>
          <w:sz w:val="28"/>
          <w:szCs w:val="28"/>
        </w:rPr>
        <w:t>（</w:t>
      </w:r>
      <w:r>
        <w:rPr>
          <w:rFonts w:hint="eastAsia"/>
          <w:sz w:val="28"/>
          <w:szCs w:val="28"/>
          <w:lang w:val="en-US" w:eastAsia="zh-CN"/>
        </w:rPr>
        <w:t>参考</w:t>
      </w:r>
      <w:r>
        <w:rPr>
          <w:rFonts w:hint="eastAsia"/>
          <w:sz w:val="28"/>
          <w:szCs w:val="28"/>
        </w:rPr>
        <w:t>格式）</w:t>
      </w:r>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p>
      <w:pPr>
        <w:widowControl/>
        <w:shd w:val="clear" w:color="auto" w:fill="FFFFFF"/>
        <w:snapToGrid w:val="0"/>
        <w:jc w:val="center"/>
        <w:rPr>
          <w:rFonts w:asciiTheme="minorEastAsia" w:hAnsiTheme="minorEastAsia"/>
          <w:b/>
          <w:sz w:val="32"/>
          <w:szCs w:val="32"/>
        </w:rPr>
      </w:pPr>
      <w:r>
        <w:rPr>
          <w:rFonts w:hint="eastAsia" w:asciiTheme="minorEastAsia" w:hAnsiTheme="minorEastAsia"/>
          <w:b/>
          <w:sz w:val="32"/>
          <w:szCs w:val="32"/>
        </w:rPr>
        <w:t>近年财务状况表</w:t>
      </w:r>
    </w:p>
    <w:p>
      <w:pPr>
        <w:widowControl/>
        <w:shd w:val="clear" w:color="auto" w:fill="FFFFFF"/>
        <w:snapToGrid w:val="0"/>
        <w:ind w:firstLine="420" w:firstLineChars="200"/>
        <w:jc w:val="left"/>
        <w:rPr>
          <w:rFonts w:asciiTheme="minorEastAsia" w:hAnsiTheme="minorEastAsia"/>
          <w:szCs w:val="21"/>
        </w:rPr>
      </w:pPr>
    </w:p>
    <w:tbl>
      <w:tblPr>
        <w:tblStyle w:val="30"/>
        <w:tblW w:w="889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09"/>
        <w:gridCol w:w="1211"/>
        <w:gridCol w:w="1341"/>
        <w:gridCol w:w="1417"/>
        <w:gridCol w:w="1418"/>
        <w:gridCol w:w="17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名   称</w:t>
            </w:r>
          </w:p>
        </w:tc>
        <w:tc>
          <w:tcPr>
            <w:tcW w:w="1211"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单位</w:t>
            </w:r>
          </w:p>
        </w:tc>
        <w:tc>
          <w:tcPr>
            <w:tcW w:w="1341"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______年</w:t>
            </w:r>
          </w:p>
        </w:tc>
        <w:tc>
          <w:tcPr>
            <w:tcW w:w="1417"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______年</w:t>
            </w:r>
          </w:p>
        </w:tc>
        <w:tc>
          <w:tcPr>
            <w:tcW w:w="1418"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______年</w:t>
            </w:r>
          </w:p>
        </w:tc>
        <w:tc>
          <w:tcPr>
            <w:tcW w:w="1701"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一、注册资金</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二、净资产</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三、总资产</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四、固定资产</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五、流动资产</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六、流动负债</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七、负债合计</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八、营业收入</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九、净利润</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09" w:type="dxa"/>
          </w:tcPr>
          <w:p>
            <w:pPr>
              <w:widowControl/>
              <w:shd w:val="clear" w:color="auto" w:fill="FFFFFF"/>
              <w:snapToGrid w:val="0"/>
              <w:jc w:val="center"/>
              <w:rPr>
                <w:rFonts w:asciiTheme="minorEastAsia" w:hAnsiTheme="minorEastAsia"/>
                <w:szCs w:val="21"/>
              </w:rPr>
            </w:pPr>
            <w:r>
              <w:rPr>
                <w:rFonts w:hint="eastAsia" w:asciiTheme="minorEastAsia" w:hAnsiTheme="minorEastAsia"/>
                <w:szCs w:val="21"/>
              </w:rPr>
              <w:t>......</w:t>
            </w:r>
          </w:p>
        </w:tc>
        <w:tc>
          <w:tcPr>
            <w:tcW w:w="1211" w:type="dxa"/>
          </w:tcPr>
          <w:p>
            <w:pPr>
              <w:widowControl/>
              <w:shd w:val="clear" w:color="auto" w:fill="FFFFFF"/>
              <w:snapToGrid w:val="0"/>
              <w:jc w:val="center"/>
              <w:rPr>
                <w:rFonts w:asciiTheme="minorEastAsia" w:hAnsiTheme="minorEastAsia"/>
                <w:szCs w:val="21"/>
              </w:rPr>
            </w:pPr>
          </w:p>
        </w:tc>
        <w:tc>
          <w:tcPr>
            <w:tcW w:w="1341" w:type="dxa"/>
          </w:tcPr>
          <w:p>
            <w:pPr>
              <w:widowControl/>
              <w:shd w:val="clear" w:color="auto" w:fill="FFFFFF"/>
              <w:snapToGrid w:val="0"/>
              <w:jc w:val="center"/>
              <w:rPr>
                <w:rFonts w:asciiTheme="minorEastAsia" w:hAnsiTheme="minorEastAsia"/>
                <w:szCs w:val="21"/>
              </w:rPr>
            </w:pPr>
          </w:p>
        </w:tc>
        <w:tc>
          <w:tcPr>
            <w:tcW w:w="1417" w:type="dxa"/>
          </w:tcPr>
          <w:p>
            <w:pPr>
              <w:widowControl/>
              <w:shd w:val="clear" w:color="auto" w:fill="FFFFFF"/>
              <w:snapToGrid w:val="0"/>
              <w:jc w:val="center"/>
              <w:rPr>
                <w:rFonts w:asciiTheme="minorEastAsia" w:hAnsiTheme="minorEastAsia"/>
                <w:szCs w:val="21"/>
              </w:rPr>
            </w:pPr>
          </w:p>
        </w:tc>
        <w:tc>
          <w:tcPr>
            <w:tcW w:w="1418" w:type="dxa"/>
          </w:tcPr>
          <w:p>
            <w:pPr>
              <w:widowControl/>
              <w:shd w:val="clear" w:color="auto" w:fill="FFFFFF"/>
              <w:snapToGrid w:val="0"/>
              <w:jc w:val="center"/>
              <w:rPr>
                <w:rFonts w:asciiTheme="minorEastAsia" w:hAnsiTheme="minorEastAsia"/>
                <w:szCs w:val="21"/>
              </w:rPr>
            </w:pPr>
          </w:p>
        </w:tc>
        <w:tc>
          <w:tcPr>
            <w:tcW w:w="1701" w:type="dxa"/>
          </w:tcPr>
          <w:p>
            <w:pPr>
              <w:widowControl/>
              <w:shd w:val="clear" w:color="auto" w:fill="FFFFFF"/>
              <w:snapToGrid w:val="0"/>
              <w:jc w:val="center"/>
              <w:rPr>
                <w:rFonts w:asciiTheme="minorEastAsia" w:hAnsiTheme="minorEastAsia"/>
                <w:szCs w:val="21"/>
              </w:rPr>
            </w:pPr>
          </w:p>
        </w:tc>
      </w:tr>
    </w:tbl>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注：投标人应在本表后附经会计师事务所或审计机构审计的财务会计报表，包括资产负债表、现金流量表、利润表和财务情况说明书的扫描件，具体年份要求见投标人须知前附表第3.5.2项（投标人的成立时间少于投标人须知前附表规定年份的，应提供成立以来的相应财务会计报表）。</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pStyle w:val="4"/>
        <w:rPr>
          <w:rFonts w:hint="eastAsia"/>
          <w:highlight w:val="none"/>
          <w:lang w:eastAsia="zh-Hans"/>
        </w:rPr>
      </w:pPr>
      <w:bookmarkStart w:id="4215" w:name="_Toc1598716319"/>
      <w:bookmarkStart w:id="4216" w:name="_Toc361791955"/>
      <w:bookmarkStart w:id="4217" w:name="_Toc1741395753"/>
      <w:bookmarkStart w:id="4218" w:name="_Toc2013982124"/>
      <w:bookmarkStart w:id="4219" w:name="_Toc18872"/>
      <w:bookmarkStart w:id="4220" w:name="_Toc24728"/>
      <w:bookmarkStart w:id="4221" w:name="_Toc1235397964"/>
      <w:bookmarkStart w:id="4222" w:name="_Toc1737661756"/>
      <w:bookmarkStart w:id="4223" w:name="_Toc237657707"/>
      <w:bookmarkStart w:id="4224" w:name="_Toc18009"/>
      <w:bookmarkStart w:id="4225" w:name="_Toc16142"/>
      <w:bookmarkStart w:id="4226" w:name="_Toc5236"/>
      <w:bookmarkStart w:id="4227" w:name="_Toc106398932"/>
      <w:bookmarkStart w:id="4228" w:name="_Toc577135020"/>
      <w:bookmarkStart w:id="4229" w:name="_Toc1055977157"/>
      <w:bookmarkStart w:id="4230" w:name="_Toc1355126972"/>
      <w:bookmarkStart w:id="4231" w:name="_Toc11573"/>
      <w:bookmarkStart w:id="4232" w:name="_Toc6053"/>
      <w:bookmarkStart w:id="4233" w:name="_Toc17245"/>
      <w:bookmarkStart w:id="4234" w:name="_Toc1857184284"/>
      <w:bookmarkStart w:id="4235" w:name="_Toc357290255"/>
      <w:bookmarkStart w:id="4236" w:name="_Toc1506832467"/>
      <w:bookmarkStart w:id="4237" w:name="_Toc882655085"/>
      <w:bookmarkStart w:id="4238" w:name="_Toc1425591068"/>
      <w:r>
        <w:rPr>
          <w:rFonts w:hint="eastAsia" w:eastAsia="宋体"/>
          <w:b/>
          <w:bCs/>
          <w:sz w:val="28"/>
          <w:szCs w:val="28"/>
          <w:highlight w:val="none"/>
          <w:lang w:val="en-US" w:eastAsia="zh-CN"/>
        </w:rPr>
        <w:t>九</w:t>
      </w:r>
      <w:r>
        <w:rPr>
          <w:rFonts w:hint="eastAsia" w:eastAsia="宋体"/>
          <w:b/>
          <w:bCs/>
          <w:sz w:val="28"/>
          <w:szCs w:val="28"/>
          <w:highlight w:val="none"/>
          <w:lang w:val="en-US" w:eastAsia="zh-Hans"/>
        </w:rPr>
        <w:t>、</w:t>
      </w:r>
      <w:r>
        <w:rPr>
          <w:rFonts w:hint="eastAsia" w:ascii="宋体" w:hAnsi="宋体" w:eastAsia="宋体"/>
          <w:b/>
          <w:bCs/>
          <w:sz w:val="28"/>
          <w:szCs w:val="28"/>
          <w:highlight w:val="none"/>
          <w:lang w:eastAsia="zh-Hans"/>
        </w:rPr>
        <w:t>近年发生的诉讼及仲裁情况表</w:t>
      </w:r>
      <w:r>
        <w:rPr>
          <w:rFonts w:hint="eastAsia" w:eastAsia="宋体"/>
          <w:b/>
          <w:bCs/>
          <w:sz w:val="28"/>
          <w:szCs w:val="28"/>
          <w:highlight w:val="none"/>
          <w:lang w:eastAsia="zh-Hans"/>
        </w:rPr>
        <w:t>（</w:t>
      </w:r>
      <w:r>
        <w:rPr>
          <w:rFonts w:hint="eastAsia"/>
          <w:sz w:val="28"/>
          <w:szCs w:val="28"/>
          <w:lang w:val="en-US" w:eastAsia="zh-CN"/>
        </w:rPr>
        <w:t>参考</w:t>
      </w:r>
      <w:r>
        <w:rPr>
          <w:rFonts w:hint="eastAsia" w:eastAsia="宋体"/>
          <w:b/>
          <w:bCs/>
          <w:sz w:val="28"/>
          <w:szCs w:val="28"/>
          <w:highlight w:val="none"/>
          <w:lang w:val="en-US" w:eastAsia="zh-Hans"/>
        </w:rPr>
        <w:t>格式</w:t>
      </w:r>
      <w:r>
        <w:rPr>
          <w:rFonts w:hint="eastAsia" w:eastAsia="宋体"/>
          <w:b/>
          <w:bCs/>
          <w:sz w:val="28"/>
          <w:szCs w:val="28"/>
          <w:highlight w:val="none"/>
          <w:lang w:eastAsia="zh-Hans"/>
        </w:rPr>
        <w:t>）</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24"/>
        <w:keepNext w:val="0"/>
        <w:keepLines w:val="0"/>
        <w:widowControl/>
        <w:suppressLineNumbers w:val="0"/>
        <w:jc w:val="center"/>
        <w:rPr>
          <w:rFonts w:hint="eastAsia" w:ascii="宋体" w:hAnsi="宋体" w:eastAsia="宋体" w:cs="Times New Roman"/>
          <w:b/>
          <w:bCs w:val="0"/>
          <w:kern w:val="2"/>
          <w:sz w:val="32"/>
          <w:szCs w:val="32"/>
          <w:highlight w:val="none"/>
          <w:lang w:bidi="ar-SA"/>
        </w:rPr>
      </w:pPr>
      <w:r>
        <w:rPr>
          <w:rFonts w:hint="eastAsia" w:ascii="宋体" w:hAnsi="宋体" w:eastAsia="宋体" w:cs="Times New Roman"/>
          <w:b/>
          <w:bCs w:val="0"/>
          <w:kern w:val="2"/>
          <w:sz w:val="32"/>
          <w:szCs w:val="32"/>
          <w:highlight w:val="none"/>
          <w:lang w:bidi="ar-SA"/>
        </w:rPr>
        <w:t>近年发生的诉讼及仲裁情况表</w:t>
      </w:r>
    </w:p>
    <w:tbl>
      <w:tblPr>
        <w:tblStyle w:val="3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030"/>
        <w:gridCol w:w="1510"/>
        <w:gridCol w:w="1510"/>
        <w:gridCol w:w="1510"/>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序号</w:t>
            </w:r>
          </w:p>
        </w:tc>
        <w:tc>
          <w:tcPr>
            <w:tcW w:w="203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诉讼或仲裁事项</w:t>
            </w:r>
          </w:p>
        </w:tc>
        <w:tc>
          <w:tcPr>
            <w:tcW w:w="151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诉讼或仲裁中的地位</w:t>
            </w:r>
          </w:p>
        </w:tc>
        <w:tc>
          <w:tcPr>
            <w:tcW w:w="151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缘由</w:t>
            </w:r>
          </w:p>
        </w:tc>
        <w:tc>
          <w:tcPr>
            <w:tcW w:w="151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结果</w:t>
            </w:r>
          </w:p>
        </w:tc>
        <w:tc>
          <w:tcPr>
            <w:tcW w:w="1510" w:type="dxa"/>
            <w:vAlign w:val="center"/>
          </w:tcPr>
          <w:p>
            <w:pPr>
              <w:pStyle w:val="17"/>
              <w:ind w:left="0" w:leftChars="0" w:firstLine="0"/>
              <w:jc w:val="center"/>
              <w:rPr>
                <w:rFonts w:hint="eastAsia" w:ascii="宋体" w:hAnsi="宋体" w:eastAsia="宋体" w:cs="宋体"/>
                <w:sz w:val="21"/>
                <w:szCs w:val="21"/>
                <w:vertAlign w:val="baseline"/>
                <w:lang w:val="en-US" w:eastAsia="zh-Hans"/>
              </w:rPr>
            </w:pPr>
            <w:r>
              <w:rPr>
                <w:rFonts w:hint="eastAsia" w:ascii="宋体" w:hAnsi="宋体" w:eastAsia="宋体" w:cs="宋体"/>
                <w:sz w:val="21"/>
                <w:szCs w:val="21"/>
                <w:vertAlign w:val="baseline"/>
                <w:lang w:val="en-US"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060" w:type="dxa"/>
            <w:gridSpan w:val="6"/>
            <w:vAlign w:val="center"/>
          </w:tcPr>
          <w:p>
            <w:pPr>
              <w:pStyle w:val="17"/>
              <w:ind w:left="0" w:leftChars="0" w:firstLine="0"/>
              <w:jc w:val="left"/>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Hans"/>
              </w:rPr>
              <w:t>一、诉讼事项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060" w:type="dxa"/>
            <w:gridSpan w:val="6"/>
            <w:vAlign w:val="center"/>
          </w:tcPr>
          <w:p>
            <w:pPr>
              <w:pStyle w:val="17"/>
              <w:ind w:left="0" w:leftChars="0" w:firstLine="0"/>
              <w:jc w:val="left"/>
              <w:rPr>
                <w:rFonts w:ascii="宋体" w:hAnsi="宋体"/>
                <w:sz w:val="21"/>
                <w:szCs w:val="21"/>
                <w:vertAlign w:val="baseline"/>
              </w:rPr>
            </w:pPr>
            <w:r>
              <w:rPr>
                <w:rFonts w:hint="eastAsia" w:ascii="宋体" w:hAnsi="宋体" w:eastAsia="宋体" w:cs="宋体"/>
                <w:sz w:val="21"/>
                <w:szCs w:val="21"/>
                <w:vertAlign w:val="baseline"/>
                <w:lang w:val="en-US" w:eastAsia="zh-Hans"/>
              </w:rPr>
              <w:t>二、仲裁事项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990" w:type="dxa"/>
            <w:vAlign w:val="center"/>
          </w:tcPr>
          <w:p>
            <w:pPr>
              <w:pStyle w:val="17"/>
              <w:jc w:val="center"/>
              <w:rPr>
                <w:rFonts w:ascii="宋体" w:hAnsi="宋体"/>
                <w:sz w:val="21"/>
                <w:szCs w:val="21"/>
                <w:vertAlign w:val="baseline"/>
              </w:rPr>
            </w:pPr>
          </w:p>
        </w:tc>
        <w:tc>
          <w:tcPr>
            <w:tcW w:w="203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c>
          <w:tcPr>
            <w:tcW w:w="1510" w:type="dxa"/>
            <w:vAlign w:val="center"/>
          </w:tcPr>
          <w:p>
            <w:pPr>
              <w:pStyle w:val="17"/>
              <w:jc w:val="center"/>
              <w:rPr>
                <w:rFonts w:ascii="宋体" w:hAnsi="宋体"/>
                <w:sz w:val="21"/>
                <w:szCs w:val="21"/>
                <w:vertAlign w:val="baseline"/>
              </w:rPr>
            </w:pPr>
          </w:p>
        </w:tc>
      </w:tr>
    </w:tbl>
    <w:p>
      <w:pPr>
        <w:pStyle w:val="17"/>
        <w:ind w:left="0" w:leftChars="0" w:firstLine="420" w:firstLineChars="200"/>
        <w:rPr>
          <w:rFonts w:hint="eastAsia" w:ascii="宋体" w:hAnsi="宋体" w:eastAsia="宋体"/>
          <w:kern w:val="2"/>
          <w:sz w:val="21"/>
          <w:szCs w:val="21"/>
        </w:rPr>
      </w:pP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kern w:val="2"/>
          <w:sz w:val="21"/>
          <w:szCs w:val="21"/>
          <w:lang w:eastAsia="zh-Hans"/>
        </w:rPr>
      </w:pPr>
      <w:r>
        <w:rPr>
          <w:rFonts w:hint="eastAsia" w:ascii="宋体" w:hAnsi="宋体" w:eastAsia="宋体"/>
          <w:kern w:val="2"/>
          <w:sz w:val="21"/>
          <w:szCs w:val="21"/>
        </w:rPr>
        <w:t>注：</w:t>
      </w:r>
      <w:r>
        <w:rPr>
          <w:rFonts w:hint="eastAsia" w:ascii="宋体" w:hAnsi="宋体" w:eastAsia="宋体"/>
          <w:kern w:val="2"/>
          <w:sz w:val="21"/>
          <w:szCs w:val="21"/>
          <w:lang w:eastAsia="zh-Hans"/>
        </w:rPr>
        <w:t>（</w:t>
      </w:r>
      <w:r>
        <w:rPr>
          <w:rFonts w:hint="default" w:ascii="宋体" w:hAnsi="宋体" w:eastAsia="宋体"/>
          <w:kern w:val="2"/>
          <w:sz w:val="21"/>
          <w:szCs w:val="21"/>
          <w:lang w:eastAsia="zh-Hans"/>
        </w:rPr>
        <w:t>1</w:t>
      </w:r>
      <w:r>
        <w:rPr>
          <w:rFonts w:hint="eastAsia" w:ascii="宋体" w:hAnsi="宋体" w:eastAsia="宋体"/>
          <w:kern w:val="2"/>
          <w:sz w:val="21"/>
          <w:szCs w:val="21"/>
          <w:lang w:eastAsia="zh-Hans"/>
        </w:rPr>
        <w:t>）</w:t>
      </w:r>
      <w:r>
        <w:rPr>
          <w:rFonts w:hint="eastAsia" w:ascii="宋体" w:hAnsi="宋体" w:eastAsia="宋体"/>
          <w:kern w:val="2"/>
          <w:sz w:val="21"/>
          <w:szCs w:val="21"/>
        </w:rPr>
        <w:t>投标人应根据投标人须知前附表第</w:t>
      </w:r>
      <w:r>
        <w:rPr>
          <w:rFonts w:hint="default" w:ascii="宋体" w:hAnsi="宋体" w:eastAsia="宋体"/>
          <w:kern w:val="2"/>
          <w:sz w:val="21"/>
          <w:szCs w:val="21"/>
        </w:rPr>
        <w:t>3.5.5</w:t>
      </w:r>
      <w:r>
        <w:rPr>
          <w:rFonts w:hint="eastAsia" w:ascii="宋体" w:hAnsi="宋体" w:eastAsia="宋体"/>
          <w:kern w:val="2"/>
          <w:sz w:val="21"/>
          <w:szCs w:val="21"/>
        </w:rPr>
        <w:t>项的要求</w:t>
      </w:r>
      <w:r>
        <w:rPr>
          <w:rFonts w:hint="eastAsia" w:ascii="宋体" w:hAnsi="宋体" w:eastAsia="宋体"/>
          <w:kern w:val="2"/>
          <w:sz w:val="21"/>
          <w:szCs w:val="21"/>
          <w:lang w:val="en-US" w:eastAsia="zh-Hans"/>
        </w:rPr>
        <w:t>填写此表</w:t>
      </w:r>
      <w:r>
        <w:rPr>
          <w:rFonts w:hint="eastAsia" w:ascii="宋体" w:hAnsi="宋体" w:eastAsia="宋体"/>
          <w:kern w:val="2"/>
          <w:sz w:val="21"/>
          <w:szCs w:val="21"/>
        </w:rPr>
        <w:t>，并</w:t>
      </w:r>
      <w:r>
        <w:rPr>
          <w:rFonts w:hint="eastAsia" w:ascii="宋体" w:hAnsi="宋体" w:eastAsia="宋体"/>
          <w:kern w:val="2"/>
          <w:sz w:val="21"/>
          <w:szCs w:val="21"/>
          <w:lang w:val="en-US" w:eastAsia="zh-Hans"/>
        </w:rPr>
        <w:t>在本表后</w:t>
      </w:r>
      <w:r>
        <w:rPr>
          <w:rFonts w:hint="eastAsia" w:ascii="宋体" w:hAnsi="宋体" w:eastAsia="宋体"/>
          <w:kern w:val="2"/>
          <w:sz w:val="21"/>
          <w:szCs w:val="21"/>
        </w:rPr>
        <w:t>附</w:t>
      </w:r>
      <w:r>
        <w:rPr>
          <w:rFonts w:hint="eastAsia" w:ascii="宋体" w:hAnsi="宋体" w:eastAsia="宋体"/>
          <w:kern w:val="2"/>
          <w:sz w:val="21"/>
          <w:szCs w:val="21"/>
          <w:lang w:val="en-US" w:eastAsia="zh-Hans"/>
        </w:rPr>
        <w:t>已</w:t>
      </w:r>
      <w:r>
        <w:rPr>
          <w:rFonts w:hint="eastAsia" w:ascii="宋体" w:hAnsi="宋体" w:eastAsia="宋体"/>
          <w:kern w:val="2"/>
          <w:sz w:val="21"/>
          <w:szCs w:val="21"/>
        </w:rPr>
        <w:t>终审判决或最终裁决</w:t>
      </w:r>
      <w:r>
        <w:rPr>
          <w:rFonts w:hint="eastAsia" w:ascii="宋体" w:hAnsi="宋体" w:eastAsia="宋体"/>
          <w:kern w:val="2"/>
          <w:sz w:val="21"/>
          <w:szCs w:val="21"/>
          <w:lang w:val="en-US" w:eastAsia="zh-Hans"/>
        </w:rPr>
        <w:t>结果</w:t>
      </w:r>
      <w:r>
        <w:rPr>
          <w:rFonts w:hint="eastAsia" w:ascii="宋体" w:hAnsi="宋体" w:eastAsia="宋体"/>
          <w:kern w:val="2"/>
          <w:sz w:val="21"/>
          <w:szCs w:val="21"/>
        </w:rPr>
        <w:t>材料</w:t>
      </w:r>
      <w:r>
        <w:rPr>
          <w:rFonts w:hint="eastAsia" w:ascii="宋体" w:hAnsi="宋体" w:eastAsia="宋体"/>
          <w:kern w:val="2"/>
          <w:sz w:val="21"/>
          <w:szCs w:val="21"/>
          <w:lang w:val="en-US" w:eastAsia="zh-Hans"/>
        </w:rPr>
        <w:t>的原件</w:t>
      </w:r>
      <w:r>
        <w:rPr>
          <w:rFonts w:hint="eastAsia" w:ascii="宋体" w:hAnsi="宋体" w:eastAsia="宋体"/>
          <w:kern w:val="2"/>
          <w:sz w:val="21"/>
          <w:szCs w:val="21"/>
        </w:rPr>
        <w:t>扫描件</w:t>
      </w:r>
      <w:r>
        <w:rPr>
          <w:rFonts w:hint="eastAsia" w:ascii="宋体" w:hAnsi="宋体" w:eastAsia="宋体"/>
          <w:kern w:val="2"/>
          <w:sz w:val="21"/>
          <w:szCs w:val="21"/>
          <w:lang w:eastAsia="zh-Hans"/>
        </w:rPr>
        <w:t>。</w:t>
      </w:r>
    </w:p>
    <w:p>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kern w:val="2"/>
          <w:sz w:val="21"/>
          <w:szCs w:val="21"/>
        </w:rPr>
      </w:pPr>
      <w:r>
        <w:rPr>
          <w:rFonts w:hint="eastAsia" w:ascii="宋体" w:hAnsi="宋体" w:eastAsia="宋体"/>
          <w:kern w:val="2"/>
          <w:sz w:val="21"/>
          <w:szCs w:val="21"/>
        </w:rPr>
        <w:t>（</w:t>
      </w:r>
      <w:r>
        <w:rPr>
          <w:rFonts w:hint="default" w:ascii="宋体" w:hAnsi="宋体" w:eastAsia="宋体"/>
          <w:kern w:val="2"/>
          <w:sz w:val="21"/>
          <w:szCs w:val="21"/>
        </w:rPr>
        <w:t>2</w:t>
      </w:r>
      <w:r>
        <w:rPr>
          <w:rFonts w:hint="eastAsia" w:ascii="宋体" w:hAnsi="宋体" w:eastAsia="宋体"/>
          <w:kern w:val="2"/>
          <w:sz w:val="21"/>
          <w:szCs w:val="21"/>
        </w:rPr>
        <w:t>）诉讼及仲裁情况是指与履行</w:t>
      </w:r>
      <w:r>
        <w:rPr>
          <w:rFonts w:hint="eastAsia" w:ascii="宋体" w:hAnsi="宋体" w:eastAsia="宋体"/>
          <w:kern w:val="2"/>
          <w:sz w:val="21"/>
          <w:szCs w:val="21"/>
          <w:lang w:val="en-US" w:eastAsia="zh-CN"/>
        </w:rPr>
        <w:t>勘察设计</w:t>
      </w:r>
      <w:r>
        <w:rPr>
          <w:rFonts w:hint="eastAsia" w:ascii="宋体" w:hAnsi="宋体" w:eastAsia="宋体"/>
          <w:kern w:val="2"/>
          <w:sz w:val="21"/>
          <w:szCs w:val="21"/>
        </w:rPr>
        <w:t>合同有关的法律败诉案件，不包括调解结案以及未裁决的仲裁或未终审判决的诉讼。在投标文件递交截止时间之前，涉及投标人有关的、处于诉讼或仲裁程序中仍未终审判决或最终裁决的诉讼无需填入上表中。</w:t>
      </w:r>
    </w:p>
    <w:p>
      <w:pPr>
        <w:rPr>
          <w:rFonts w:hint="eastAsia" w:ascii="宋体" w:hAnsi="宋体" w:eastAsia="宋体"/>
          <w:kern w:val="2"/>
          <w:sz w:val="21"/>
          <w:szCs w:val="21"/>
        </w:rPr>
      </w:pPr>
      <w:r>
        <w:rPr>
          <w:rFonts w:hint="eastAsia" w:ascii="宋体" w:hAnsi="宋体" w:eastAsia="宋体"/>
          <w:kern w:val="2"/>
          <w:sz w:val="21"/>
          <w:szCs w:val="21"/>
        </w:rPr>
        <w:br w:type="page"/>
      </w:r>
    </w:p>
    <w:p>
      <w:pPr>
        <w:pStyle w:val="4"/>
        <w:spacing w:before="0" w:after="0" w:line="520" w:lineRule="exact"/>
        <w:rPr>
          <w:rFonts w:hint="eastAsia"/>
          <w:sz w:val="28"/>
          <w:szCs w:val="28"/>
        </w:rPr>
      </w:pPr>
      <w:bookmarkStart w:id="4239" w:name="_Toc511396214"/>
      <w:bookmarkStart w:id="4240" w:name="_Toc1268546156"/>
      <w:bookmarkStart w:id="4241" w:name="_Toc1852755920"/>
      <w:bookmarkStart w:id="4242" w:name="_Toc9504"/>
      <w:bookmarkStart w:id="4243" w:name="_Toc1326116752"/>
      <w:bookmarkStart w:id="4244" w:name="_Toc11604"/>
      <w:bookmarkStart w:id="4245" w:name="_Toc874221187"/>
      <w:bookmarkStart w:id="4246" w:name="_Toc22076"/>
      <w:bookmarkStart w:id="4247" w:name="_Toc1910385621"/>
      <w:bookmarkStart w:id="4248" w:name="_Toc1666633163"/>
      <w:bookmarkStart w:id="4249" w:name="_Toc560936786"/>
      <w:bookmarkStart w:id="4250" w:name="_Toc786406192"/>
      <w:bookmarkStart w:id="4251" w:name="_Toc1434893720"/>
      <w:bookmarkStart w:id="4252" w:name="_Toc9669"/>
      <w:bookmarkStart w:id="4253" w:name="_Toc425876308"/>
      <w:bookmarkStart w:id="4254" w:name="_Toc516823102"/>
      <w:bookmarkStart w:id="4255" w:name="_Toc1239291667"/>
      <w:bookmarkStart w:id="4256" w:name="_Toc20494"/>
      <w:bookmarkStart w:id="4257" w:name="_Toc515440863"/>
      <w:bookmarkStart w:id="4258" w:name="_Toc382581393"/>
      <w:bookmarkStart w:id="4259" w:name="_Toc1348045377"/>
      <w:bookmarkStart w:id="4260" w:name="_Toc32315"/>
      <w:bookmarkStart w:id="4261" w:name="_Toc13439"/>
      <w:bookmarkStart w:id="4262" w:name="_Toc452492301"/>
      <w:bookmarkStart w:id="4263" w:name="_Toc32615"/>
      <w:bookmarkStart w:id="4264" w:name="_Toc7186606"/>
      <w:r>
        <w:rPr>
          <w:rFonts w:hint="eastAsia"/>
          <w:sz w:val="28"/>
          <w:szCs w:val="28"/>
        </w:rPr>
        <w:t>十、投标人承诺书</w:t>
      </w:r>
      <w:bookmarkEnd w:id="4239"/>
      <w:r>
        <w:rPr>
          <w:rFonts w:hint="eastAsia"/>
          <w:sz w:val="28"/>
          <w:szCs w:val="28"/>
        </w:rPr>
        <w:t>（</w:t>
      </w:r>
      <w:r>
        <w:rPr>
          <w:rFonts w:hint="eastAsia"/>
          <w:sz w:val="28"/>
          <w:szCs w:val="28"/>
          <w:lang w:val="en-US" w:eastAsia="zh-CN"/>
        </w:rPr>
        <w:t>参考</w:t>
      </w:r>
      <w:r>
        <w:rPr>
          <w:rFonts w:hint="eastAsia"/>
          <w:sz w:val="28"/>
          <w:szCs w:val="28"/>
        </w:rPr>
        <w:t>格式）</w:t>
      </w:r>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p>
    <w:p/>
    <w:p>
      <w:pPr>
        <w:widowControl/>
        <w:shd w:val="clear" w:color="auto" w:fill="FFFFFF"/>
        <w:snapToGrid w:val="0"/>
        <w:ind w:firstLine="643" w:firstLineChars="200"/>
        <w:jc w:val="center"/>
        <w:rPr>
          <w:rFonts w:asciiTheme="minorEastAsia" w:hAnsiTheme="minorEastAsia"/>
          <w:b/>
          <w:sz w:val="32"/>
          <w:szCs w:val="32"/>
        </w:rPr>
      </w:pPr>
      <w:r>
        <w:rPr>
          <w:rFonts w:hint="eastAsia" w:asciiTheme="minorEastAsia" w:hAnsiTheme="minorEastAsia"/>
          <w:b/>
          <w:sz w:val="32"/>
          <w:szCs w:val="32"/>
        </w:rPr>
        <w:t>投标人承诺书</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jc w:val="left"/>
        <w:rPr>
          <w:rFonts w:asciiTheme="minorEastAsia" w:hAnsiTheme="minorEastAsia"/>
          <w:szCs w:val="21"/>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招标人名称</w:t>
      </w:r>
      <w:r>
        <w:rPr>
          <w:rFonts w:hint="eastAsia" w:eastAsia="宋体" w:cs="Times New Roman"/>
          <w:color w:val="auto"/>
          <w:szCs w:val="21"/>
          <w:u w:val="single" w:color="auto"/>
          <w:lang w:eastAsia="zh-Hans"/>
        </w:rPr>
        <w:t>）</w:t>
      </w:r>
      <w:r>
        <w:rPr>
          <w:rFonts w:hint="default" w:eastAsia="宋体" w:cs="Times New Roman"/>
          <w:color w:val="auto"/>
          <w:szCs w:val="21"/>
          <w:u w:val="single" w:color="auto"/>
        </w:rPr>
        <w:t xml:space="preserve">       </w:t>
      </w:r>
      <w:r>
        <w:rPr>
          <w:rFonts w:hint="eastAsia" w:ascii="宋体" w:hAnsi="宋体"/>
          <w:szCs w:val="21"/>
        </w:rPr>
        <w:t>：</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本人</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姓名</w:t>
      </w:r>
      <w:r>
        <w:rPr>
          <w:rFonts w:hint="eastAsia" w:eastAsia="宋体" w:cs="Times New Roman"/>
          <w:color w:val="auto"/>
          <w:szCs w:val="21"/>
          <w:u w:val="single" w:color="auto"/>
          <w:lang w:eastAsia="zh-Hans"/>
        </w:rPr>
        <w:t>）</w:t>
      </w:r>
      <w:r>
        <w:rPr>
          <w:rFonts w:hint="default" w:eastAsia="宋体" w:cs="Times New Roman"/>
          <w:color w:val="auto"/>
          <w:szCs w:val="21"/>
          <w:u w:val="single" w:color="auto"/>
        </w:rPr>
        <w:t xml:space="preserve">   </w:t>
      </w:r>
      <w:r>
        <w:rPr>
          <w:rFonts w:hint="eastAsia" w:asciiTheme="minorEastAsia" w:hAnsiTheme="minorEastAsia"/>
          <w:szCs w:val="21"/>
        </w:rPr>
        <w:t>系</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投标人名称</w:t>
      </w:r>
      <w:r>
        <w:rPr>
          <w:rFonts w:hint="eastAsia" w:eastAsia="宋体" w:cs="Times New Roman"/>
          <w:color w:val="auto"/>
          <w:szCs w:val="21"/>
          <w:u w:val="single" w:color="auto"/>
          <w:lang w:eastAsia="zh-Hans"/>
        </w:rPr>
        <w:t>）</w:t>
      </w:r>
      <w:r>
        <w:rPr>
          <w:rFonts w:hint="default" w:eastAsia="宋体" w:cs="Times New Roman"/>
          <w:color w:val="auto"/>
          <w:szCs w:val="21"/>
          <w:u w:val="single" w:color="auto"/>
        </w:rPr>
        <w:t xml:space="preserve">      </w:t>
      </w:r>
      <w:r>
        <w:rPr>
          <w:rFonts w:hint="eastAsia" w:asciiTheme="minorEastAsia" w:hAnsiTheme="minorEastAsia"/>
          <w:szCs w:val="21"/>
        </w:rPr>
        <w:t>的法定代表人，现承诺：我单位参加本项目的工程投标，将积极响应有关投标人承诺制的精神，按照招</w:t>
      </w:r>
      <w:r>
        <w:rPr>
          <w:rFonts w:hint="eastAsia" w:asciiTheme="minorEastAsia" w:hAnsiTheme="minorEastAsia"/>
          <w:szCs w:val="21"/>
          <w:lang w:val="en-US" w:eastAsia="zh-Hans"/>
        </w:rPr>
        <w:t>标</w:t>
      </w:r>
      <w:r>
        <w:rPr>
          <w:rFonts w:hint="eastAsia" w:asciiTheme="minorEastAsia" w:hAnsiTheme="minorEastAsia"/>
          <w:szCs w:val="21"/>
        </w:rPr>
        <w:t>投标法律法规和有关规范性文件要求，保证所递交</w:t>
      </w:r>
      <w:r>
        <w:rPr>
          <w:rFonts w:hint="eastAsia" w:ascii="宋体" w:hAnsi="宋体"/>
          <w:szCs w:val="21"/>
        </w:rPr>
        <w:t>的投标文件及有关资料内容完整、真实和准确，且不存在第二章“投标人须知”第1.4.3项规定的任何一种情形。</w:t>
      </w:r>
      <w:r>
        <w:rPr>
          <w:rFonts w:hint="eastAsia" w:asciiTheme="minorEastAsia" w:hAnsiTheme="minorEastAsia"/>
          <w:szCs w:val="21"/>
        </w:rPr>
        <w:t>保证不出现转包、挂靠、虚假文件证明等违法违规行为。如违反承诺，我单位将接受招标人解除合同的处理，并按照本招标文件和监理合同承担违约责任。该违法行为可作为不良记录，并受到相应惩戒。</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特此承诺。</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投标人：__________________（盖单位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法定代表人或其委托代理人：____________（签字）</w:t>
      </w: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__________年_______月______日</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jc w:val="left"/>
        <w:rPr>
          <w:rFonts w:hint="default" w:asciiTheme="minorEastAsia" w:hAnsiTheme="minorEastAsia"/>
          <w:szCs w:val="21"/>
          <w:highlight w:val="yellow"/>
          <w:lang w:val="en-US" w:eastAsia="zh-CN"/>
        </w:rPr>
      </w:pPr>
    </w:p>
    <w:p>
      <w:pPr>
        <w:widowControl/>
        <w:shd w:val="clear" w:color="auto" w:fill="FFFFFF"/>
        <w:snapToGrid w:val="0"/>
        <w:ind w:firstLine="0" w:firstLineChars="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rPr>
          <w:rFonts w:asciiTheme="minorEastAsia" w:hAnsiTheme="minorEastAsia"/>
          <w:szCs w:val="21"/>
        </w:rPr>
      </w:pPr>
      <w:r>
        <w:rPr>
          <w:rFonts w:asciiTheme="minorEastAsia" w:hAnsiTheme="minorEastAsia"/>
          <w:szCs w:val="21"/>
        </w:rPr>
        <w:br w:type="page"/>
      </w:r>
    </w:p>
    <w:p>
      <w:pPr>
        <w:numPr>
          <w:ilvl w:val="0"/>
          <w:numId w:val="16"/>
        </w:numPr>
        <w:rPr>
          <w:rFonts w:hint="eastAsia"/>
          <w:b/>
          <w:bCs/>
          <w:sz w:val="28"/>
          <w:szCs w:val="28"/>
          <w:lang w:eastAsia="zh-CN"/>
        </w:rPr>
      </w:pPr>
      <w:bookmarkStart w:id="4265" w:name="_Toc511396215"/>
      <w:bookmarkStart w:id="4266" w:name="_Toc29396"/>
      <w:bookmarkStart w:id="4267" w:name="_Toc1514505306"/>
      <w:bookmarkStart w:id="4268" w:name="_Toc1474362720"/>
      <w:bookmarkStart w:id="4269" w:name="_Toc28124"/>
      <w:bookmarkStart w:id="4270" w:name="_Toc755865940"/>
      <w:bookmarkStart w:id="4271" w:name="_Toc1458962298"/>
      <w:bookmarkStart w:id="4272" w:name="_Toc798508880"/>
      <w:bookmarkStart w:id="4273" w:name="_Toc2099860782"/>
      <w:bookmarkStart w:id="4274" w:name="_Toc516823103"/>
      <w:bookmarkStart w:id="4275" w:name="_Toc515440864"/>
      <w:bookmarkStart w:id="4276" w:name="_Toc479433033"/>
      <w:bookmarkStart w:id="4277" w:name="_Toc27453"/>
      <w:bookmarkStart w:id="4278" w:name="_Toc237596476"/>
      <w:bookmarkStart w:id="4279" w:name="_Toc823125850"/>
      <w:bookmarkStart w:id="4280" w:name="_Toc7186607"/>
      <w:bookmarkStart w:id="4281" w:name="_Toc646175389"/>
      <w:bookmarkStart w:id="4282" w:name="_Toc30557"/>
      <w:bookmarkStart w:id="4283" w:name="_Toc211351972"/>
      <w:bookmarkStart w:id="4284" w:name="_Toc17396230"/>
      <w:bookmarkStart w:id="4285" w:name="_Toc17654"/>
      <w:bookmarkStart w:id="4286" w:name="_Toc22980"/>
      <w:bookmarkStart w:id="4287" w:name="_Toc31507"/>
      <w:bookmarkStart w:id="4288" w:name="_Toc140113105"/>
      <w:bookmarkStart w:id="4289" w:name="_Toc331155016"/>
      <w:r>
        <w:rPr>
          <w:rFonts w:hint="eastAsia"/>
          <w:b/>
          <w:bCs/>
          <w:sz w:val="28"/>
          <w:szCs w:val="28"/>
          <w:lang w:eastAsia="zh-Hans"/>
        </w:rPr>
        <w:t>拟任项目负责人承诺书</w:t>
      </w:r>
      <w:r>
        <w:rPr>
          <w:rFonts w:hint="eastAsia"/>
          <w:b/>
          <w:bCs/>
          <w:sz w:val="28"/>
          <w:szCs w:val="28"/>
          <w:lang w:eastAsia="zh-CN"/>
        </w:rPr>
        <w:t>（</w:t>
      </w:r>
      <w:r>
        <w:rPr>
          <w:rFonts w:hint="eastAsia"/>
          <w:b/>
          <w:bCs/>
          <w:sz w:val="28"/>
          <w:szCs w:val="28"/>
          <w:lang w:val="en-US" w:eastAsia="zh-CN"/>
        </w:rPr>
        <w:t>格式</w:t>
      </w:r>
      <w:r>
        <w:rPr>
          <w:rFonts w:hint="eastAsia"/>
          <w:b/>
          <w:bCs/>
          <w:sz w:val="28"/>
          <w:szCs w:val="28"/>
          <w:lang w:eastAsia="zh-CN"/>
        </w:rPr>
        <w:t>）</w:t>
      </w:r>
    </w:p>
    <w:p>
      <w:pPr>
        <w:numPr>
          <w:ilvl w:val="0"/>
          <w:numId w:val="0"/>
        </w:numPr>
        <w:rPr>
          <w:rFonts w:hint="eastAsia"/>
          <w:b/>
          <w:bCs/>
          <w:sz w:val="28"/>
          <w:szCs w:val="28"/>
          <w:lang w:eastAsia="zh-Hans"/>
        </w:rPr>
      </w:pPr>
    </w:p>
    <w:p>
      <w:pPr>
        <w:widowControl/>
        <w:shd w:val="clear" w:color="auto" w:fill="FFFFFF"/>
        <w:adjustRightInd w:val="0"/>
        <w:snapToGrid w:val="0"/>
        <w:jc w:val="center"/>
        <w:rPr>
          <w:rFonts w:hint="eastAsia" w:asciiTheme="minorEastAsia" w:hAnsiTheme="minorEastAsia"/>
          <w:b/>
          <w:sz w:val="36"/>
          <w:szCs w:val="36"/>
          <w:lang w:eastAsia="zh-Hans"/>
        </w:rPr>
      </w:pPr>
      <w:r>
        <w:rPr>
          <w:rFonts w:hint="eastAsia" w:asciiTheme="minorEastAsia" w:hAnsiTheme="minorEastAsia"/>
          <w:b/>
          <w:sz w:val="36"/>
          <w:szCs w:val="36"/>
          <w:lang w:eastAsia="zh-Hans"/>
        </w:rPr>
        <w:t>拟任项目负责人承诺书</w:t>
      </w:r>
    </w:p>
    <w:p>
      <w:pPr>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single"/>
          <w:lang w:eastAsia="zh-CN"/>
        </w:rPr>
      </w:pPr>
      <w:r>
        <w:rPr>
          <w:rFonts w:hint="eastAsia" w:ascii="宋体" w:hAnsi="宋体" w:eastAsia="宋体" w:cs="宋体"/>
          <w:sz w:val="21"/>
          <w:szCs w:val="21"/>
        </w:rPr>
        <w:t>致：</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rPr>
        <w:t>招标人名称</w:t>
      </w:r>
      <w:r>
        <w:rPr>
          <w:rFonts w:hint="eastAsia" w:ascii="宋体" w:hAnsi="宋体" w:eastAsia="宋体" w:cs="宋体"/>
          <w:sz w:val="21"/>
          <w:szCs w:val="21"/>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我方已仔细研读〔项目名称〕勘察设计招标文件全部内容，现就拟任本项目</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rPr>
        <w:t>项目</w:t>
      </w:r>
      <w:r>
        <w:rPr>
          <w:rFonts w:hint="eastAsia" w:ascii="宋体" w:hAnsi="宋体" w:eastAsia="宋体" w:cs="宋体"/>
          <w:sz w:val="21"/>
          <w:szCs w:val="21"/>
          <w:u w:val="single"/>
          <w:lang w:val="en-US" w:eastAsia="zh-CN"/>
        </w:rPr>
        <w:t>及标段名称）</w:t>
      </w:r>
      <w:r>
        <w:rPr>
          <w:rFonts w:hint="eastAsia" w:ascii="宋体" w:hAnsi="宋体" w:eastAsia="宋体" w:cs="宋体"/>
          <w:sz w:val="21"/>
          <w:szCs w:val="21"/>
          <w:lang w:val="en-US" w:eastAsia="zh-CN"/>
        </w:rPr>
        <w:t>的项目</w:t>
      </w:r>
      <w:r>
        <w:rPr>
          <w:rFonts w:hint="eastAsia" w:ascii="宋体" w:hAnsi="宋体" w:eastAsia="宋体" w:cs="宋体"/>
          <w:sz w:val="21"/>
          <w:szCs w:val="21"/>
        </w:rPr>
        <w:t>负责人（项目总设计师）</w:t>
      </w:r>
      <w:r>
        <w:rPr>
          <w:rFonts w:hint="eastAsia" w:ascii="宋体" w:hAnsi="宋体" w:eastAsia="宋体" w:cs="宋体"/>
          <w:sz w:val="21"/>
          <w:szCs w:val="21"/>
          <w:u w:val="single"/>
          <w:lang w:val="en-US" w:eastAsia="zh-CN"/>
        </w:rPr>
        <w:t xml:space="preserve">            （姓名及身份证号）</w:t>
      </w:r>
      <w:r>
        <w:rPr>
          <w:rFonts w:hint="eastAsia" w:ascii="宋体" w:hAnsi="宋体" w:eastAsia="宋体" w:cs="宋体"/>
          <w:sz w:val="21"/>
          <w:szCs w:val="21"/>
          <w:u w:val="none"/>
          <w:lang w:val="en-US" w:eastAsia="zh-CN"/>
        </w:rPr>
        <w:t>的</w:t>
      </w:r>
      <w:r>
        <w:rPr>
          <w:rFonts w:hint="eastAsia" w:ascii="宋体" w:hAnsi="宋体" w:eastAsia="宋体" w:cs="宋体"/>
          <w:sz w:val="21"/>
          <w:szCs w:val="21"/>
        </w:rPr>
        <w:t>相关事宜，郑重作出如下不可撤销承诺：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资格真实有效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我方承诺拟任项目负责人满足招标文件规定的职称、执业资格、类似业绩、</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五险一金”</w:t>
      </w:r>
      <w:r>
        <w:rPr>
          <w:rFonts w:hint="eastAsia" w:ascii="宋体" w:hAnsi="宋体" w:eastAsia="宋体" w:cs="宋体"/>
          <w:sz w:val="21"/>
          <w:szCs w:val="21"/>
        </w:rPr>
        <w:t>缴纳等全部资格要求，所提供证件、业绩、证明材料均真实、合法、有效，无伪造、变造、挂靠等弄虚作假行为。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严格遵守人员不更换要求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自投标之日起至发出中标通知书、签订合同及合同履行完毕前，未经招标人书面同意，我方绝不擅自更换、撤离项目负责人。确因死亡、重大疾病、调离、违法违规、不可抗力等特殊情况必须更换的，我方将严格按招标文件规定履行审批程序，且更换后的项目负责人资格条件不低于原拟任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全面履职到位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项目负责人承诺全面负责本项目勘察设计全过程管理，按要求驻场服务、参加工程会议、处理设计问题、办理设计变更、落实质量安全责任，确保勘察设计成果质量与服务满足合同及发包人要求。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承担质量终身责任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我方及项目负责人承诺严格执行工程建设强制性标准，对本项目勘察设计质量承担终身责任，签署《项目负责人质量终身责任承诺书》并接受行业主管部门监督。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接受违约处理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若我方违反上述任何一项承诺，自愿接受取消投标资格、取消中标资格、没收投标保证金、记入不良行为记录等处理，并承担由此给招标人造成的全部损失及相应法律责任。</w:t>
      </w:r>
    </w:p>
    <w:p>
      <w:pPr>
        <w:keepNext w:val="0"/>
        <w:keepLines w:val="0"/>
        <w:pageBreakBefore w:val="0"/>
        <w:widowControl w:val="0"/>
        <w:kinsoku/>
        <w:wordWrap/>
        <w:overflowPunct/>
        <w:topLinePunct w:val="0"/>
        <w:autoSpaceDE/>
        <w:autoSpaceDN/>
        <w:bidi w:val="0"/>
        <w:adjustRightInd/>
        <w:snapToGrid/>
        <w:spacing w:line="360" w:lineRule="auto"/>
        <w:ind w:left="3360" w:leftChars="0" w:firstLine="420" w:firstLineChars="0"/>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3360" w:leftChars="0"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投标人：________________________（盖</w:t>
      </w:r>
      <w:r>
        <w:rPr>
          <w:rFonts w:hint="eastAsia" w:ascii="宋体" w:hAnsi="宋体" w:eastAsia="宋体" w:cs="宋体"/>
          <w:sz w:val="21"/>
          <w:szCs w:val="21"/>
          <w:lang w:val="en-US" w:eastAsia="zh-CN"/>
        </w:rPr>
        <w:t>单位公</w:t>
      </w:r>
      <w:r>
        <w:rPr>
          <w:rFonts w:hint="eastAsia" w:ascii="宋体" w:hAnsi="宋体" w:eastAsia="宋体" w:cs="宋体"/>
          <w:sz w:val="21"/>
          <w:szCs w:val="21"/>
        </w:rPr>
        <w:t>章）</w:t>
      </w:r>
    </w:p>
    <w:p>
      <w:pPr>
        <w:keepNext w:val="0"/>
        <w:keepLines w:val="0"/>
        <w:pageBreakBefore w:val="0"/>
        <w:widowControl w:val="0"/>
        <w:kinsoku/>
        <w:wordWrap/>
        <w:overflowPunct/>
        <w:topLinePunct w:val="0"/>
        <w:autoSpaceDE/>
        <w:autoSpaceDN/>
        <w:bidi w:val="0"/>
        <w:adjustRightInd/>
        <w:snapToGrid/>
        <w:spacing w:line="360" w:lineRule="auto"/>
        <w:ind w:left="3360" w:leftChars="0"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法定代表人：__________________（签字/电子签章）</w:t>
      </w:r>
    </w:p>
    <w:p>
      <w:pPr>
        <w:keepNext w:val="0"/>
        <w:keepLines w:val="0"/>
        <w:pageBreakBefore w:val="0"/>
        <w:widowControl w:val="0"/>
        <w:kinsoku/>
        <w:wordWrap/>
        <w:overflowPunct/>
        <w:topLinePunct w:val="0"/>
        <w:autoSpaceDE/>
        <w:autoSpaceDN/>
        <w:bidi w:val="0"/>
        <w:adjustRightInd/>
        <w:snapToGrid/>
        <w:spacing w:line="360" w:lineRule="auto"/>
        <w:ind w:left="3360" w:leftChars="0"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拟任项目负责人：______________（签字/电子签章）</w:t>
      </w:r>
    </w:p>
    <w:p>
      <w:pPr>
        <w:keepNext w:val="0"/>
        <w:keepLines w:val="0"/>
        <w:pageBreakBefore w:val="0"/>
        <w:widowControl w:val="0"/>
        <w:kinsoku/>
        <w:wordWrap/>
        <w:overflowPunct/>
        <w:topLinePunct w:val="0"/>
        <w:autoSpaceDE/>
        <w:autoSpaceDN/>
        <w:bidi w:val="0"/>
        <w:adjustRightInd/>
        <w:snapToGrid/>
        <w:spacing w:line="360" w:lineRule="auto"/>
        <w:ind w:left="3360" w:leftChars="0" w:firstLine="420" w:firstLineChars="0"/>
        <w:textAlignment w:val="auto"/>
        <w:rPr>
          <w:rFonts w:ascii="宋体" w:hAnsi="宋体" w:eastAsia="宋体" w:cs="宋体"/>
          <w:sz w:val="24"/>
          <w:szCs w:val="24"/>
        </w:rPr>
      </w:pPr>
      <w:r>
        <w:rPr>
          <w:rFonts w:hint="eastAsia" w:ascii="宋体" w:hAnsi="宋体" w:eastAsia="宋体" w:cs="宋体"/>
          <w:sz w:val="21"/>
          <w:szCs w:val="21"/>
        </w:rPr>
        <w:t>日期：______年____月____日</w:t>
      </w:r>
      <w:r>
        <w:rPr>
          <w:rFonts w:ascii="宋体" w:hAnsi="宋体" w:eastAsia="宋体" w:cs="宋体"/>
          <w:sz w:val="21"/>
          <w:szCs w:val="21"/>
        </w:rPr>
        <w:br w:type="page"/>
      </w:r>
    </w:p>
    <w:p>
      <w:pPr>
        <w:pStyle w:val="4"/>
        <w:numPr>
          <w:ilvl w:val="0"/>
          <w:numId w:val="17"/>
        </w:numPr>
        <w:rPr>
          <w:rFonts w:ascii="宋体" w:hAnsi="宋体" w:eastAsia="宋体" w:cs="宋体"/>
          <w:sz w:val="24"/>
          <w:szCs w:val="24"/>
        </w:rPr>
      </w:pPr>
      <w:bookmarkStart w:id="4290" w:name="_Toc28873"/>
      <w:r>
        <w:rPr>
          <w:rFonts w:hint="eastAsia"/>
          <w:lang w:eastAsia="zh-Hans"/>
        </w:rPr>
        <w:t>项目负责人质量终身责任承诺书</w:t>
      </w:r>
      <w:r>
        <w:rPr>
          <w:rFonts w:hint="eastAsia"/>
          <w:lang w:eastAsia="zh-CN"/>
        </w:rPr>
        <w:t>（</w:t>
      </w:r>
      <w:r>
        <w:rPr>
          <w:rFonts w:hint="eastAsia"/>
          <w:sz w:val="28"/>
          <w:szCs w:val="28"/>
          <w:lang w:val="en-US" w:eastAsia="zh-CN"/>
        </w:rPr>
        <w:t>参考</w:t>
      </w:r>
      <w:r>
        <w:rPr>
          <w:rFonts w:hint="eastAsia"/>
          <w:lang w:val="en-US" w:eastAsia="zh-CN"/>
        </w:rPr>
        <w:t>格式</w:t>
      </w:r>
      <w:r>
        <w:rPr>
          <w:rFonts w:hint="eastAsia"/>
          <w:lang w:eastAsia="zh-CN"/>
        </w:rPr>
        <w:t>）</w:t>
      </w:r>
      <w:bookmarkEnd w:id="4290"/>
    </w:p>
    <w:p>
      <w:pPr>
        <w:widowControl/>
        <w:shd w:val="clear" w:color="auto" w:fill="FFFFFF"/>
        <w:adjustRightInd w:val="0"/>
        <w:snapToGrid w:val="0"/>
        <w:jc w:val="center"/>
        <w:rPr>
          <w:rFonts w:hint="eastAsia" w:asciiTheme="minorEastAsia" w:hAnsiTheme="minorEastAsia"/>
          <w:b/>
          <w:sz w:val="32"/>
          <w:szCs w:val="32"/>
          <w:lang w:eastAsia="zh-Hans"/>
        </w:rPr>
      </w:pPr>
      <w:r>
        <w:rPr>
          <w:rFonts w:hint="eastAsia" w:asciiTheme="minorEastAsia" w:hAnsiTheme="minorEastAsia"/>
          <w:b/>
          <w:sz w:val="32"/>
          <w:szCs w:val="32"/>
          <w:lang w:eastAsia="zh-Hans"/>
        </w:rPr>
        <w:t>项目负责人质量终身责任承诺书</w:t>
      </w:r>
    </w:p>
    <w:p>
      <w:pPr>
        <w:widowControl/>
        <w:shd w:val="clear" w:color="auto" w:fill="FFFFFF"/>
        <w:adjustRightInd w:val="0"/>
        <w:snapToGrid w:val="0"/>
        <w:jc w:val="center"/>
        <w:rPr>
          <w:rFonts w:hint="eastAsia" w:asciiTheme="minorEastAsia" w:hAnsiTheme="minorEastAsia"/>
          <w:b/>
          <w:sz w:val="36"/>
          <w:szCs w:val="36"/>
          <w:lang w:eastAsia="zh-Hans"/>
        </w:rPr>
      </w:pP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致：</w:t>
      </w:r>
      <w:r>
        <w:rPr>
          <w:rFonts w:hint="eastAsia" w:asciiTheme="minorEastAsia" w:hAnsiTheme="minorEastAsia"/>
          <w:b w:val="0"/>
          <w:bCs/>
          <w:sz w:val="21"/>
          <w:szCs w:val="21"/>
          <w:u w:val="single"/>
          <w:lang w:val="en-US" w:eastAsia="zh-CN"/>
        </w:rPr>
        <w:t xml:space="preserve">         </w:t>
      </w:r>
      <w:r>
        <w:rPr>
          <w:rFonts w:hint="eastAsia" w:asciiTheme="minorEastAsia" w:hAnsiTheme="minorEastAsia"/>
          <w:b w:val="0"/>
          <w:bCs/>
          <w:sz w:val="21"/>
          <w:szCs w:val="21"/>
          <w:u w:val="single"/>
          <w:lang w:eastAsia="zh-Hans"/>
        </w:rPr>
        <w:t>（招标人名称）</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本人作为</w:t>
      </w:r>
      <w:r>
        <w:rPr>
          <w:rFonts w:hint="eastAsia" w:asciiTheme="minorEastAsia" w:hAnsiTheme="minorEastAsia"/>
          <w:b w:val="0"/>
          <w:bCs/>
          <w:sz w:val="21"/>
          <w:szCs w:val="21"/>
          <w:u w:val="single"/>
          <w:lang w:eastAsia="zh-Hans"/>
        </w:rPr>
        <w:t xml:space="preserve"> </w:t>
      </w:r>
      <w:r>
        <w:rPr>
          <w:rFonts w:hint="eastAsia" w:asciiTheme="minorEastAsia" w:hAnsiTheme="minorEastAsia"/>
          <w:b w:val="0"/>
          <w:bCs/>
          <w:sz w:val="21"/>
          <w:szCs w:val="21"/>
          <w:u w:val="single"/>
          <w:lang w:val="en-US" w:eastAsia="zh-CN"/>
        </w:rPr>
        <w:t xml:space="preserve">            </w:t>
      </w:r>
      <w:r>
        <w:rPr>
          <w:rFonts w:hint="eastAsia" w:asciiTheme="minorEastAsia" w:hAnsiTheme="minorEastAsia"/>
          <w:b w:val="0"/>
          <w:bCs/>
          <w:sz w:val="21"/>
          <w:szCs w:val="21"/>
          <w:u w:val="single"/>
          <w:lang w:eastAsia="zh-Hans"/>
        </w:rPr>
        <w:t>（项目名称）</w:t>
      </w:r>
      <w:r>
        <w:rPr>
          <w:rFonts w:hint="eastAsia" w:asciiTheme="minorEastAsia" w:hAnsiTheme="minorEastAsia"/>
          <w:b w:val="0"/>
          <w:bCs/>
          <w:sz w:val="21"/>
          <w:szCs w:val="21"/>
          <w:lang w:eastAsia="zh-Hans"/>
        </w:rPr>
        <w:t>勘察设计项目的项目负责人（项目总设计师），就本项目勘察设计质量与安全责任，郑重作出如下终身责任承诺：</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1、</w:t>
      </w:r>
      <w:r>
        <w:rPr>
          <w:rFonts w:hint="eastAsia" w:asciiTheme="minorEastAsia" w:hAnsiTheme="minorEastAsia"/>
          <w:b w:val="0"/>
          <w:bCs/>
          <w:sz w:val="21"/>
          <w:szCs w:val="21"/>
          <w:lang w:eastAsia="zh-Hans"/>
        </w:rPr>
        <w:t>依法履职，恪守标准</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严格遵守《建设工程质量管理条例》《水利工程质量管理规定》及国家、自治区现行水利工程勘察设计相关法律法规、强制性标准和招标文件要求，依法履行项目负责人职责，对本项目勘察设计质量负全面终身责任。</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2、</w:t>
      </w:r>
      <w:r>
        <w:rPr>
          <w:rFonts w:hint="eastAsia" w:asciiTheme="minorEastAsia" w:hAnsiTheme="minorEastAsia"/>
          <w:b w:val="0"/>
          <w:bCs/>
          <w:sz w:val="21"/>
          <w:szCs w:val="21"/>
          <w:lang w:eastAsia="zh-Hans"/>
        </w:rPr>
        <w:t>确保成果真实合规</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本人保证勘察设计依据充分、成果真实准确、设计方案安全可靠，严格执行工程建设强制性条文，不降低质量标准，不违反安全规定，确保勘察设计文件满足项目使用功能、安全运行及生态环保要求。</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3、</w:t>
      </w:r>
      <w:r>
        <w:rPr>
          <w:rFonts w:hint="eastAsia" w:asciiTheme="minorEastAsia" w:hAnsiTheme="minorEastAsia"/>
          <w:b w:val="0"/>
          <w:bCs/>
          <w:sz w:val="21"/>
          <w:szCs w:val="21"/>
          <w:lang w:eastAsia="zh-Hans"/>
        </w:rPr>
        <w:t>坚守岗位，严禁擅自更换</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自投标至</w:t>
      </w:r>
      <w:r>
        <w:rPr>
          <w:rFonts w:hint="eastAsia"/>
          <w:lang w:val="en-US" w:eastAsia="zh-CN"/>
        </w:rPr>
        <w:t>合同履行完毕前</w:t>
      </w:r>
      <w:r>
        <w:rPr>
          <w:rFonts w:hint="eastAsia" w:asciiTheme="minorEastAsia" w:hAnsiTheme="minorEastAsia"/>
          <w:b w:val="0"/>
          <w:bCs/>
          <w:sz w:val="21"/>
          <w:szCs w:val="21"/>
          <w:lang w:eastAsia="zh-Hans"/>
        </w:rPr>
        <w:t>，未经招标人书面同意，本人不擅自离岗、不更换。确需更换的，严格按招标文件及合同约定执行，且更换后人员资格不低于原承诺条件。</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4、</w:t>
      </w:r>
      <w:r>
        <w:rPr>
          <w:rFonts w:hint="eastAsia" w:asciiTheme="minorEastAsia" w:hAnsiTheme="minorEastAsia"/>
          <w:b w:val="0"/>
          <w:bCs/>
          <w:sz w:val="21"/>
          <w:szCs w:val="21"/>
          <w:lang w:eastAsia="zh-Hans"/>
        </w:rPr>
        <w:t>全程服务，及时处置问题</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本人承诺按要求驻场服务，及时处理设计问题、办理设计变更、参加技术交底、隐蔽工程验收、阶段验收与竣工验收，对勘察设计质量缺陷及时组织整改并承担责任。</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5、</w:t>
      </w:r>
      <w:r>
        <w:rPr>
          <w:rFonts w:hint="eastAsia" w:asciiTheme="minorEastAsia" w:hAnsiTheme="minorEastAsia"/>
          <w:b w:val="0"/>
          <w:bCs/>
          <w:sz w:val="21"/>
          <w:szCs w:val="21"/>
          <w:lang w:eastAsia="zh-Hans"/>
        </w:rPr>
        <w:t>承担终身追责责任</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本人承诺在工程合理使用年限内，对因勘察设计原因造成的质量问题、安全事故，依法承担终身责任，接受行业主管部门监管与追责，自愿接受取消投标 / 中标资格、记入信用档案、行政处罚等处理。</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val="en-US" w:eastAsia="zh-CN"/>
        </w:rPr>
        <w:t>6、</w:t>
      </w:r>
      <w:r>
        <w:rPr>
          <w:rFonts w:hint="eastAsia" w:asciiTheme="minorEastAsia" w:hAnsiTheme="minorEastAsia"/>
          <w:b w:val="0"/>
          <w:bCs/>
          <w:sz w:val="21"/>
          <w:szCs w:val="21"/>
          <w:lang w:eastAsia="zh-Hans"/>
        </w:rPr>
        <w:t>诚信承诺</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本人承诺所提供的资格、业绩、社保等材料真实有效，无弄虚作假、无挂靠、无围标串标等违法违规行为。</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本承诺书为不可撤销承诺，自签署之日起生效</w:t>
      </w:r>
      <w:r>
        <w:rPr>
          <w:rFonts w:hint="eastAsia" w:asciiTheme="minorEastAsia" w:hAnsiTheme="minorEastAsia"/>
          <w:b w:val="0"/>
          <w:bCs/>
          <w:sz w:val="21"/>
          <w:szCs w:val="21"/>
          <w:lang w:eastAsia="zh-CN"/>
        </w:rPr>
        <w:t>，</w:t>
      </w:r>
      <w:r>
        <w:rPr>
          <w:rFonts w:hint="eastAsia" w:asciiTheme="minorEastAsia" w:hAnsiTheme="minorEastAsia"/>
          <w:b w:val="0"/>
          <w:bCs/>
          <w:sz w:val="21"/>
          <w:szCs w:val="21"/>
          <w:lang w:eastAsia="zh-Hans"/>
        </w:rPr>
        <w:t>在工程合理使用年限内持续有效。</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jc w:val="both"/>
        <w:textAlignment w:val="auto"/>
        <w:rPr>
          <w:rFonts w:hint="eastAsia" w:asciiTheme="minorEastAsia" w:hAnsiTheme="minorEastAsia"/>
          <w:b w:val="0"/>
          <w:bCs/>
          <w:sz w:val="21"/>
          <w:szCs w:val="21"/>
          <w:lang w:eastAsia="zh-Hans"/>
        </w:rPr>
      </w:pP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200"/>
        <w:jc w:val="both"/>
        <w:textAlignment w:val="auto"/>
        <w:rPr>
          <w:rFonts w:hint="default" w:asciiTheme="minorEastAsia" w:hAnsiTheme="minorEastAsia" w:eastAsiaTheme="minorEastAsia"/>
          <w:b w:val="0"/>
          <w:bCs/>
          <w:sz w:val="21"/>
          <w:szCs w:val="21"/>
          <w:u w:val="single"/>
          <w:lang w:val="en-US" w:eastAsia="zh-CN"/>
        </w:rPr>
      </w:pPr>
      <w:r>
        <w:rPr>
          <w:rFonts w:hint="eastAsia" w:asciiTheme="minorEastAsia" w:hAnsiTheme="minorEastAsia"/>
          <w:b w:val="0"/>
          <w:bCs/>
          <w:sz w:val="21"/>
          <w:szCs w:val="21"/>
          <w:lang w:eastAsia="zh-Hans"/>
        </w:rPr>
        <w:t>承诺人（项目负责人签字）：</w:t>
      </w:r>
      <w:r>
        <w:rPr>
          <w:rFonts w:hint="eastAsia" w:asciiTheme="minorEastAsia" w:hAnsiTheme="minorEastAsia"/>
          <w:b w:val="0"/>
          <w:bCs/>
          <w:sz w:val="21"/>
          <w:szCs w:val="21"/>
          <w:u w:val="single"/>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200"/>
        <w:jc w:val="both"/>
        <w:textAlignment w:val="auto"/>
        <w:rPr>
          <w:rFonts w:hint="default" w:asciiTheme="minorEastAsia" w:hAnsiTheme="minorEastAsia" w:eastAsiaTheme="minorEastAsia"/>
          <w:b w:val="0"/>
          <w:bCs/>
          <w:sz w:val="21"/>
          <w:szCs w:val="21"/>
          <w:u w:val="single"/>
          <w:lang w:val="en-US" w:eastAsia="zh-CN"/>
        </w:rPr>
      </w:pPr>
      <w:r>
        <w:rPr>
          <w:rFonts w:hint="eastAsia" w:asciiTheme="minorEastAsia" w:hAnsiTheme="minorEastAsia"/>
          <w:b w:val="0"/>
          <w:bCs/>
          <w:sz w:val="21"/>
          <w:szCs w:val="21"/>
          <w:lang w:eastAsia="zh-Hans"/>
        </w:rPr>
        <w:t>身份证号：</w:t>
      </w:r>
      <w:r>
        <w:rPr>
          <w:rFonts w:hint="eastAsia" w:asciiTheme="minorEastAsia" w:hAnsiTheme="minorEastAsia"/>
          <w:b w:val="0"/>
          <w:bCs/>
          <w:sz w:val="21"/>
          <w:szCs w:val="21"/>
          <w:u w:val="single"/>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200"/>
        <w:jc w:val="both"/>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b w:val="0"/>
          <w:bCs/>
          <w:sz w:val="21"/>
          <w:szCs w:val="21"/>
          <w:lang w:eastAsia="zh-Hans"/>
        </w:rPr>
        <w:t>职称/执业资格：</w:t>
      </w:r>
      <w:r>
        <w:rPr>
          <w:rFonts w:hint="eastAsia" w:asciiTheme="minorEastAsia" w:hAnsiTheme="minorEastAsia"/>
          <w:b w:val="0"/>
          <w:bCs/>
          <w:sz w:val="21"/>
          <w:szCs w:val="21"/>
          <w:u w:val="single"/>
          <w:lang w:val="en-US" w:eastAsia="zh-CN"/>
        </w:rPr>
        <w:t xml:space="preserve">                       </w:t>
      </w:r>
      <w:r>
        <w:rPr>
          <w:rFonts w:hint="eastAsia" w:asciiTheme="minorEastAsia" w:hAnsiTheme="minorEastAsia"/>
          <w:b w:val="0"/>
          <w:bCs/>
          <w:sz w:val="21"/>
          <w:szCs w:val="21"/>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0"/>
        <w:jc w:val="both"/>
        <w:textAlignment w:val="auto"/>
        <w:rPr>
          <w:rFonts w:hint="default" w:asciiTheme="minorEastAsia" w:hAnsiTheme="minorEastAsia" w:eastAsiaTheme="minorEastAsia"/>
          <w:b w:val="0"/>
          <w:bCs/>
          <w:sz w:val="21"/>
          <w:szCs w:val="21"/>
          <w:lang w:val="en-US" w:eastAsia="zh-CN"/>
        </w:rPr>
      </w:pPr>
      <w:r>
        <w:rPr>
          <w:rFonts w:hint="eastAsia" w:asciiTheme="minorEastAsia" w:hAnsiTheme="minorEastAsia"/>
          <w:b w:val="0"/>
          <w:bCs/>
          <w:sz w:val="21"/>
          <w:szCs w:val="21"/>
          <w:lang w:eastAsia="zh-Hans"/>
        </w:rPr>
        <w:t>联系电话：</w:t>
      </w:r>
      <w:r>
        <w:rPr>
          <w:rFonts w:hint="eastAsia" w:asciiTheme="minorEastAsia" w:hAnsiTheme="minorEastAsia"/>
          <w:b w:val="0"/>
          <w:bCs/>
          <w:sz w:val="21"/>
          <w:szCs w:val="21"/>
          <w:u w:val="single"/>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投标人：</w:t>
      </w:r>
      <w:r>
        <w:rPr>
          <w:rFonts w:hint="eastAsia" w:asciiTheme="minorEastAsia" w:hAnsiTheme="minorEastAsia"/>
          <w:b w:val="0"/>
          <w:bCs/>
          <w:sz w:val="21"/>
          <w:szCs w:val="21"/>
          <w:u w:val="single"/>
          <w:lang w:val="en-US" w:eastAsia="zh-CN"/>
        </w:rPr>
        <w:t xml:space="preserve">                 </w:t>
      </w:r>
      <w:r>
        <w:rPr>
          <w:rFonts w:hint="eastAsia" w:asciiTheme="minorEastAsia" w:hAnsiTheme="minorEastAsia"/>
          <w:b w:val="0"/>
          <w:bCs/>
          <w:sz w:val="21"/>
          <w:szCs w:val="21"/>
          <w:lang w:eastAsia="zh-Hans"/>
        </w:rPr>
        <w:t>（盖</w:t>
      </w:r>
      <w:r>
        <w:rPr>
          <w:rFonts w:hint="eastAsia" w:asciiTheme="minorEastAsia" w:hAnsiTheme="minorEastAsia"/>
          <w:b w:val="0"/>
          <w:bCs/>
          <w:sz w:val="21"/>
          <w:szCs w:val="21"/>
          <w:lang w:val="en-US" w:eastAsia="zh-CN"/>
        </w:rPr>
        <w:t>单位</w:t>
      </w:r>
      <w:r>
        <w:rPr>
          <w:rFonts w:hint="eastAsia" w:asciiTheme="minorEastAsia" w:hAnsiTheme="minorEastAsia"/>
          <w:b w:val="0"/>
          <w:bCs/>
          <w:sz w:val="21"/>
          <w:szCs w:val="21"/>
          <w:lang w:eastAsia="zh-Hans"/>
        </w:rPr>
        <w:t>电子公章）</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法定代表人：</w:t>
      </w:r>
      <w:r>
        <w:rPr>
          <w:rFonts w:hint="eastAsia" w:asciiTheme="minorEastAsia" w:hAnsiTheme="minorEastAsia"/>
          <w:b w:val="0"/>
          <w:bCs/>
          <w:sz w:val="21"/>
          <w:szCs w:val="21"/>
          <w:u w:val="single"/>
          <w:lang w:val="en-US" w:eastAsia="zh-CN"/>
        </w:rPr>
        <w:t xml:space="preserve">            </w:t>
      </w:r>
      <w:r>
        <w:rPr>
          <w:rFonts w:hint="eastAsia" w:asciiTheme="minorEastAsia" w:hAnsiTheme="minorEastAsia"/>
          <w:b w:val="0"/>
          <w:bCs/>
          <w:sz w:val="21"/>
          <w:szCs w:val="21"/>
          <w:lang w:eastAsia="zh-Hans"/>
        </w:rPr>
        <w:t>（签字/电子签章）</w:t>
      </w:r>
    </w:p>
    <w:p>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4200" w:leftChars="0" w:firstLine="420" w:firstLineChars="0"/>
        <w:jc w:val="both"/>
        <w:textAlignment w:val="auto"/>
        <w:rPr>
          <w:rFonts w:hint="eastAsia" w:asciiTheme="minorEastAsia" w:hAnsiTheme="minorEastAsia"/>
          <w:b w:val="0"/>
          <w:bCs/>
          <w:sz w:val="21"/>
          <w:szCs w:val="21"/>
          <w:lang w:eastAsia="zh-Hans"/>
        </w:rPr>
      </w:pPr>
      <w:r>
        <w:rPr>
          <w:rFonts w:hint="eastAsia" w:asciiTheme="minorEastAsia" w:hAnsiTheme="minorEastAsia"/>
          <w:b w:val="0"/>
          <w:bCs/>
          <w:sz w:val="21"/>
          <w:szCs w:val="21"/>
          <w:lang w:eastAsia="zh-Hans"/>
        </w:rPr>
        <w:t>日期：______年____月____日</w:t>
      </w:r>
    </w:p>
    <w:p>
      <w:pPr>
        <w:pStyle w:val="4"/>
        <w:numPr>
          <w:ilvl w:val="0"/>
          <w:numId w:val="17"/>
        </w:numPr>
        <w:rPr>
          <w:rFonts w:hint="eastAsia"/>
          <w:sz w:val="28"/>
          <w:szCs w:val="28"/>
        </w:rPr>
      </w:pPr>
      <w:r>
        <w:rPr>
          <w:rFonts w:ascii="宋体" w:hAnsi="宋体" w:eastAsia="宋体" w:cs="宋体"/>
          <w:sz w:val="24"/>
          <w:szCs w:val="24"/>
        </w:rPr>
        <w:br w:type="page"/>
      </w:r>
      <w:bookmarkStart w:id="4291" w:name="_Toc13572"/>
      <w:r>
        <w:rPr>
          <w:sz w:val="28"/>
          <w:szCs w:val="28"/>
        </w:rPr>
        <w:t>其他资格材料</w:t>
      </w:r>
      <w:r>
        <w:rPr>
          <w:rFonts w:hint="eastAsia"/>
          <w:sz w:val="28"/>
          <w:szCs w:val="28"/>
        </w:rPr>
        <w:t>（如有）</w:t>
      </w:r>
      <w:bookmarkEnd w:id="4265"/>
      <w:r>
        <w:rPr>
          <w:rFonts w:hint="eastAsia"/>
          <w:sz w:val="28"/>
          <w:szCs w:val="28"/>
        </w:rPr>
        <w:t>（</w:t>
      </w:r>
      <w:r>
        <w:rPr>
          <w:rFonts w:hint="eastAsia"/>
          <w:sz w:val="28"/>
          <w:szCs w:val="28"/>
          <w:lang w:val="en-US" w:eastAsia="zh-CN"/>
        </w:rPr>
        <w:t>参考</w:t>
      </w:r>
      <w:r>
        <w:rPr>
          <w:rFonts w:hint="eastAsia"/>
          <w:sz w:val="28"/>
          <w:szCs w:val="28"/>
        </w:rPr>
        <w:t>格式）</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1"/>
    </w:p>
    <w:p/>
    <w:p>
      <w:pPr>
        <w:widowControl/>
        <w:shd w:val="clear" w:color="auto" w:fill="FFFFFF"/>
        <w:adjustRightInd w:val="0"/>
        <w:snapToGrid w:val="0"/>
        <w:jc w:val="center"/>
        <w:rPr>
          <w:rFonts w:asciiTheme="minorEastAsia" w:hAnsiTheme="minorEastAsia"/>
          <w:b/>
          <w:sz w:val="32"/>
          <w:szCs w:val="32"/>
        </w:rPr>
      </w:pPr>
      <w:r>
        <w:rPr>
          <w:rFonts w:asciiTheme="minorEastAsia" w:hAnsiTheme="minorEastAsia"/>
          <w:b/>
          <w:sz w:val="32"/>
          <w:szCs w:val="32"/>
        </w:rPr>
        <w:t>其他</w:t>
      </w:r>
      <w:r>
        <w:rPr>
          <w:rFonts w:hint="eastAsia" w:asciiTheme="minorEastAsia" w:hAnsiTheme="minorEastAsia"/>
          <w:b/>
          <w:sz w:val="32"/>
          <w:szCs w:val="32"/>
        </w:rPr>
        <w:t>资格</w:t>
      </w:r>
      <w:r>
        <w:rPr>
          <w:rFonts w:asciiTheme="minorEastAsia" w:hAnsiTheme="minorEastAsia"/>
          <w:b/>
          <w:sz w:val="32"/>
          <w:szCs w:val="32"/>
        </w:rPr>
        <w:t>材料</w:t>
      </w:r>
    </w:p>
    <w:p>
      <w:pPr>
        <w:widowControl/>
        <w:shd w:val="clear" w:color="auto" w:fill="FFFFFF"/>
        <w:adjustRightInd w:val="0"/>
        <w:snapToGrid w:val="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r>
        <w:rPr>
          <w:rFonts w:hint="eastAsia" w:asciiTheme="minorEastAsia" w:hAnsiTheme="minorEastAsia"/>
          <w:szCs w:val="21"/>
        </w:rPr>
        <w:t>注：投标人应根据投标人须知前附表第1</w:t>
      </w:r>
      <w:r>
        <w:rPr>
          <w:rFonts w:asciiTheme="minorEastAsia" w:hAnsiTheme="minorEastAsia"/>
          <w:szCs w:val="21"/>
        </w:rPr>
        <w:t>.</w:t>
      </w:r>
      <w:r>
        <w:rPr>
          <w:rFonts w:hint="eastAsia" w:asciiTheme="minorEastAsia" w:hAnsiTheme="minorEastAsia"/>
          <w:szCs w:val="21"/>
        </w:rPr>
        <w:t>4</w:t>
      </w:r>
      <w:r>
        <w:rPr>
          <w:rFonts w:asciiTheme="minorEastAsia" w:hAnsiTheme="minorEastAsia"/>
          <w:szCs w:val="21"/>
        </w:rPr>
        <w:t>.</w:t>
      </w:r>
      <w:r>
        <w:rPr>
          <w:rFonts w:hint="eastAsia" w:asciiTheme="minorEastAsia" w:hAnsiTheme="minorEastAsia"/>
          <w:szCs w:val="21"/>
        </w:rPr>
        <w:t>1</w:t>
      </w:r>
      <w:r>
        <w:rPr>
          <w:rFonts w:asciiTheme="minorEastAsia" w:hAnsiTheme="minorEastAsia"/>
          <w:szCs w:val="21"/>
        </w:rPr>
        <w:t>项</w:t>
      </w:r>
      <w:r>
        <w:rPr>
          <w:szCs w:val="21"/>
        </w:rPr>
        <w:t>的</w:t>
      </w:r>
      <w:r>
        <w:rPr>
          <w:rFonts w:hint="eastAsia" w:asciiTheme="minorEastAsia" w:hAnsiTheme="minorEastAsia"/>
          <w:szCs w:val="21"/>
        </w:rPr>
        <w:t>要求，在此说明并附其他资格材料扫描件（如有）。</w:t>
      </w: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p>
    <w:p>
      <w:pPr>
        <w:pStyle w:val="3"/>
        <w:spacing w:before="0" w:after="0" w:line="520" w:lineRule="exact"/>
        <w:jc w:val="center"/>
        <w:rPr>
          <w:sz w:val="36"/>
          <w:szCs w:val="36"/>
        </w:rPr>
      </w:pPr>
      <w:bookmarkStart w:id="4292" w:name="_Toc1111872359"/>
      <w:bookmarkStart w:id="4293" w:name="_Toc515440865"/>
      <w:bookmarkStart w:id="4294" w:name="_Toc254641266"/>
      <w:bookmarkStart w:id="4295" w:name="_Toc516823104"/>
      <w:bookmarkStart w:id="4296" w:name="_Toc320661618"/>
      <w:bookmarkStart w:id="4297" w:name="_Toc613908276"/>
      <w:bookmarkStart w:id="4298" w:name="_Toc1947915954"/>
      <w:bookmarkStart w:id="4299" w:name="_Toc1592224535"/>
      <w:bookmarkStart w:id="4300" w:name="_Toc32239"/>
      <w:bookmarkStart w:id="4301" w:name="_Toc14266"/>
      <w:bookmarkStart w:id="4302" w:name="_Toc15896"/>
      <w:bookmarkStart w:id="4303" w:name="_Toc1473081575"/>
      <w:bookmarkStart w:id="4304" w:name="_Toc3495"/>
      <w:bookmarkStart w:id="4305" w:name="_Toc444960044"/>
      <w:bookmarkStart w:id="4306" w:name="_Toc811061040"/>
      <w:bookmarkStart w:id="4307" w:name="_Toc4478"/>
      <w:bookmarkStart w:id="4308" w:name="_Toc27185"/>
      <w:bookmarkStart w:id="4309" w:name="_Toc167010051"/>
      <w:bookmarkStart w:id="4310" w:name="_Toc1238878623"/>
      <w:bookmarkStart w:id="4311" w:name="_Toc7186608"/>
      <w:bookmarkStart w:id="4312" w:name="_Toc186506976"/>
      <w:bookmarkStart w:id="4313" w:name="_Toc913436057"/>
      <w:bookmarkStart w:id="4314" w:name="_Toc511396216"/>
      <w:bookmarkStart w:id="4315" w:name="_Toc10283"/>
      <w:bookmarkStart w:id="4316" w:name="_Toc12327"/>
      <w:bookmarkStart w:id="4317" w:name="_Toc472342087"/>
      <w:r>
        <w:rPr>
          <w:rFonts w:hint="eastAsia"/>
          <w:sz w:val="36"/>
          <w:szCs w:val="36"/>
        </w:rPr>
        <w:t>第二节 商务文件格式</w:t>
      </w:r>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sz w:val="28"/>
          <w:szCs w:val="28"/>
        </w:rPr>
      </w:pPr>
      <w:bookmarkStart w:id="4318" w:name="_Toc4030"/>
      <w:bookmarkStart w:id="4319" w:name="_Toc17533"/>
      <w:bookmarkStart w:id="4320" w:name="_Toc1983525166"/>
      <w:bookmarkStart w:id="4321" w:name="_Toc515440866"/>
      <w:bookmarkStart w:id="4322" w:name="_Toc724034478"/>
      <w:bookmarkStart w:id="4323" w:name="_Toc1553896897"/>
      <w:bookmarkStart w:id="4324" w:name="_Toc1890548409"/>
      <w:bookmarkStart w:id="4325" w:name="_Toc176800528"/>
      <w:bookmarkStart w:id="4326" w:name="_Toc5229"/>
      <w:bookmarkStart w:id="4327" w:name="_Toc7186609"/>
      <w:bookmarkStart w:id="4328" w:name="_Toc1323343403"/>
      <w:bookmarkStart w:id="4329" w:name="_Toc516823105"/>
      <w:bookmarkStart w:id="4330" w:name="_Toc9402"/>
      <w:bookmarkStart w:id="4331" w:name="_Toc1906701243"/>
      <w:bookmarkStart w:id="4332" w:name="_Toc3209"/>
      <w:bookmarkStart w:id="4333" w:name="_Toc1424191771"/>
      <w:bookmarkStart w:id="4334" w:name="_Toc905400654"/>
      <w:bookmarkStart w:id="4335" w:name="_Toc1968332838"/>
      <w:bookmarkStart w:id="4336" w:name="_Toc1979059096"/>
      <w:bookmarkStart w:id="4337" w:name="_Toc18688"/>
      <w:bookmarkStart w:id="4338" w:name="_Toc1444954544"/>
      <w:bookmarkStart w:id="4339" w:name="_Toc235240363"/>
      <w:bookmarkStart w:id="4340" w:name="_Toc15127"/>
      <w:bookmarkStart w:id="4341" w:name="_Toc16415"/>
      <w:bookmarkStart w:id="4342" w:name="_Toc1444104659"/>
      <w:r>
        <w:rPr>
          <w:rFonts w:hint="eastAsia"/>
          <w:sz w:val="28"/>
          <w:szCs w:val="28"/>
        </w:rPr>
        <w:t>投标文件（二）（</w:t>
      </w:r>
      <w:r>
        <w:rPr>
          <w:rFonts w:hint="eastAsia"/>
          <w:sz w:val="28"/>
          <w:szCs w:val="28"/>
          <w:lang w:val="en-US" w:eastAsia="zh-CN"/>
        </w:rPr>
        <w:t>参考</w:t>
      </w:r>
      <w:r>
        <w:rPr>
          <w:rFonts w:hint="eastAsia"/>
          <w:sz w:val="28"/>
          <w:szCs w:val="28"/>
        </w:rPr>
        <w:t>格式）</w:t>
      </w:r>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36"/>
          <w:szCs w:val="36"/>
        </w:rPr>
      </w:pPr>
      <w:r>
        <w:rPr>
          <w:rFonts w:hint="default"/>
          <w:color w:val="auto"/>
          <w:sz w:val="36"/>
          <w:szCs w:val="36"/>
          <w:u w:val="single"/>
        </w:rPr>
        <w:t xml:space="preserve">       </w:t>
      </w:r>
      <w:r>
        <w:rPr>
          <w:rFonts w:hint="eastAsia" w:eastAsia="宋体" w:cs="Times New Roman"/>
          <w:color w:val="auto"/>
          <w:sz w:val="36"/>
          <w:szCs w:val="36"/>
          <w:u w:val="single" w:color="auto"/>
        </w:rPr>
        <w:t>（项目名称）</w:t>
      </w:r>
      <w:r>
        <w:rPr>
          <w:rFonts w:hint="default" w:eastAsia="宋体" w:cs="Times New Roman"/>
          <w:color w:val="auto"/>
          <w:sz w:val="36"/>
          <w:szCs w:val="36"/>
          <w:u w:val="single" w:color="auto"/>
        </w:rPr>
        <w:t xml:space="preserve">      </w:t>
      </w:r>
      <w:r>
        <w:rPr>
          <w:rFonts w:hint="eastAsia" w:asciiTheme="minorEastAsia" w:hAnsiTheme="minorEastAsia"/>
          <w:b/>
          <w:sz w:val="36"/>
          <w:szCs w:val="36"/>
        </w:rPr>
        <w:t>招标项目</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0" w:firstLineChars="0"/>
        <w:jc w:val="center"/>
        <w:rPr>
          <w:rFonts w:asciiTheme="minorEastAsia" w:hAnsiTheme="minorEastAsia"/>
          <w:b/>
          <w:sz w:val="32"/>
          <w:szCs w:val="32"/>
        </w:rPr>
      </w:pPr>
      <w:r>
        <w:rPr>
          <w:rFonts w:hint="eastAsia" w:ascii="宋体" w:hAnsi="宋体"/>
          <w:b/>
          <w:sz w:val="32"/>
          <w:szCs w:val="32"/>
        </w:rPr>
        <w:t>招标</w:t>
      </w:r>
      <w:r>
        <w:rPr>
          <w:rFonts w:hint="eastAsia" w:ascii="宋体" w:hAnsi="宋体"/>
          <w:b/>
          <w:sz w:val="32"/>
          <w:szCs w:val="32"/>
          <w:lang w:val="en-US" w:eastAsia="zh-Hans"/>
        </w:rPr>
        <w:t>项目</w:t>
      </w:r>
      <w:r>
        <w:rPr>
          <w:rFonts w:hint="eastAsia" w:ascii="宋体" w:hAnsi="宋体"/>
          <w:b/>
          <w:sz w:val="32"/>
          <w:szCs w:val="32"/>
        </w:rPr>
        <w:t>编号：</w:t>
      </w:r>
      <w:r>
        <w:rPr>
          <w:rFonts w:hint="eastAsia" w:ascii="宋体" w:hAnsi="宋体"/>
          <w:sz w:val="36"/>
          <w:szCs w:val="36"/>
        </w:rPr>
        <w:t>________</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52"/>
          <w:szCs w:val="52"/>
        </w:rPr>
      </w:pPr>
      <w:r>
        <w:rPr>
          <w:rFonts w:hint="eastAsia" w:asciiTheme="minorEastAsia" w:hAnsiTheme="minorEastAsia"/>
          <w:b/>
          <w:sz w:val="52"/>
          <w:szCs w:val="52"/>
        </w:rPr>
        <w:t>投标文件（二）</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1928" w:firstLineChars="600"/>
        <w:jc w:val="left"/>
        <w:rPr>
          <w:rFonts w:asciiTheme="minorEastAsia" w:hAnsiTheme="minorEastAsia"/>
          <w:b/>
          <w:sz w:val="32"/>
          <w:szCs w:val="32"/>
          <w:u w:val="single"/>
        </w:rPr>
      </w:pPr>
      <w:r>
        <w:rPr>
          <w:rFonts w:hint="eastAsia" w:asciiTheme="minorEastAsia" w:hAnsiTheme="minorEastAsia"/>
          <w:b/>
          <w:sz w:val="32"/>
          <w:szCs w:val="32"/>
        </w:rPr>
        <w:t>投标文件内容：</w:t>
      </w:r>
      <w:r>
        <w:rPr>
          <w:rFonts w:hint="eastAsia" w:asciiTheme="minorEastAsia" w:hAnsiTheme="minorEastAsia"/>
          <w:b/>
          <w:sz w:val="32"/>
          <w:szCs w:val="32"/>
          <w:u w:val="single"/>
        </w:rPr>
        <w:t>商务文件</w:t>
      </w:r>
    </w:p>
    <w:p>
      <w:pPr>
        <w:widowControl/>
        <w:shd w:val="clear" w:color="auto" w:fill="FFFFFF"/>
        <w:snapToGrid w:val="0"/>
        <w:ind w:firstLine="1928" w:firstLineChars="600"/>
        <w:jc w:val="left"/>
        <w:rPr>
          <w:rFonts w:hint="eastAsia" w:asciiTheme="minorEastAsia" w:hAnsiTheme="minorEastAsia"/>
          <w:b/>
          <w:sz w:val="32"/>
          <w:szCs w:val="32"/>
        </w:rPr>
      </w:pPr>
      <w:r>
        <w:rPr>
          <w:rFonts w:hint="eastAsia" w:asciiTheme="minorEastAsia" w:hAnsiTheme="minorEastAsia"/>
          <w:b/>
          <w:sz w:val="32"/>
          <w:szCs w:val="32"/>
        </w:rPr>
        <w:t>投标人：</w:t>
      </w:r>
      <w:r>
        <w:rPr>
          <w:rFonts w:hint="eastAsia" w:asciiTheme="minorEastAsia" w:hAnsiTheme="minorEastAsia"/>
          <w:szCs w:val="21"/>
        </w:rPr>
        <w:t>_______________________</w:t>
      </w:r>
      <w:r>
        <w:rPr>
          <w:rFonts w:hint="eastAsia" w:asciiTheme="minorEastAsia" w:hAnsiTheme="minorEastAsia"/>
          <w:b/>
          <w:sz w:val="32"/>
          <w:szCs w:val="32"/>
        </w:rPr>
        <w:t>（盖单位</w:t>
      </w:r>
      <w:r>
        <w:rPr>
          <w:rFonts w:hint="eastAsia" w:asciiTheme="minorEastAsia" w:hAnsiTheme="minorEastAsia"/>
          <w:b/>
          <w:sz w:val="32"/>
          <w:szCs w:val="32"/>
          <w:lang w:val="en-US" w:eastAsia="zh-CN"/>
        </w:rPr>
        <w:t>公</w:t>
      </w:r>
      <w:r>
        <w:rPr>
          <w:rFonts w:hint="eastAsia" w:asciiTheme="minorEastAsia" w:hAnsiTheme="minorEastAsia"/>
          <w:b/>
          <w:sz w:val="32"/>
          <w:szCs w:val="32"/>
        </w:rPr>
        <w:t>章）</w:t>
      </w:r>
    </w:p>
    <w:p>
      <w:pPr>
        <w:widowControl/>
        <w:shd w:val="clear" w:color="auto" w:fill="FFFFFF"/>
        <w:snapToGrid w:val="0"/>
        <w:ind w:firstLine="1928" w:firstLineChars="600"/>
        <w:jc w:val="left"/>
        <w:rPr>
          <w:rFonts w:hint="eastAsia" w:ascii="宋体" w:hAnsi="宋体"/>
          <w:b/>
          <w:sz w:val="32"/>
          <w:szCs w:val="32"/>
        </w:rPr>
      </w:pPr>
      <w:r>
        <w:rPr>
          <w:rFonts w:hint="eastAsia" w:ascii="宋体" w:hAnsi="宋体"/>
          <w:b/>
          <w:sz w:val="32"/>
          <w:szCs w:val="32"/>
        </w:rPr>
        <w:t>日</w:t>
      </w:r>
      <w:r>
        <w:rPr>
          <w:rFonts w:hint="default" w:ascii="宋体" w:hAnsi="宋体"/>
          <w:b/>
          <w:sz w:val="32"/>
          <w:szCs w:val="32"/>
        </w:rPr>
        <w:t xml:space="preserve">  </w:t>
      </w:r>
      <w:r>
        <w:rPr>
          <w:rFonts w:hint="eastAsia" w:ascii="宋体" w:hAnsi="宋体"/>
          <w:b/>
          <w:sz w:val="32"/>
          <w:szCs w:val="32"/>
        </w:rPr>
        <w:t>期：</w:t>
      </w:r>
      <w:r>
        <w:rPr>
          <w:rFonts w:hint="default" w:eastAsia="宋体" w:cs="Times New Roman"/>
          <w:color w:val="auto"/>
          <w:szCs w:val="21"/>
          <w:u w:val="single" w:color="auto"/>
        </w:rPr>
        <w:t xml:space="preserve">           </w:t>
      </w:r>
      <w:r>
        <w:rPr>
          <w:rFonts w:hint="eastAsia" w:ascii="宋体" w:hAnsi="宋体"/>
          <w:b/>
          <w:sz w:val="32"/>
          <w:szCs w:val="32"/>
        </w:rPr>
        <w:t>年</w:t>
      </w:r>
      <w:r>
        <w:rPr>
          <w:rFonts w:hint="default" w:eastAsia="宋体" w:cs="Times New Roman"/>
          <w:color w:val="auto"/>
          <w:szCs w:val="21"/>
          <w:u w:val="single" w:color="auto"/>
        </w:rPr>
        <w:t xml:space="preserve">       </w:t>
      </w:r>
      <w:r>
        <w:rPr>
          <w:rFonts w:hint="eastAsia" w:ascii="宋体" w:hAnsi="宋体"/>
          <w:b/>
          <w:sz w:val="32"/>
          <w:szCs w:val="32"/>
        </w:rPr>
        <w:t>月</w:t>
      </w:r>
      <w:r>
        <w:rPr>
          <w:rFonts w:hint="default" w:eastAsia="宋体" w:cs="Times New Roman"/>
          <w:color w:val="auto"/>
          <w:szCs w:val="21"/>
          <w:u w:val="single" w:color="auto"/>
        </w:rPr>
        <w:t xml:space="preserve">       </w:t>
      </w:r>
      <w:r>
        <w:rPr>
          <w:rFonts w:hint="eastAsia" w:ascii="宋体" w:hAnsi="宋体"/>
          <w:b/>
          <w:sz w:val="32"/>
          <w:szCs w:val="32"/>
        </w:rPr>
        <w:t>日</w:t>
      </w:r>
    </w:p>
    <w:p>
      <w:pPr>
        <w:pStyle w:val="17"/>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723" w:firstLineChars="200"/>
        <w:jc w:val="center"/>
        <w:rPr>
          <w:rFonts w:asciiTheme="minorEastAsia" w:hAnsiTheme="minorEastAsia"/>
          <w:b/>
          <w:sz w:val="36"/>
          <w:szCs w:val="36"/>
        </w:rPr>
      </w:pPr>
      <w:r>
        <w:rPr>
          <w:rFonts w:hint="eastAsia" w:asciiTheme="minorEastAsia" w:hAnsiTheme="minorEastAsia"/>
          <w:b/>
          <w:sz w:val="36"/>
          <w:szCs w:val="36"/>
        </w:rPr>
        <w:t>目录</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hint="eastAsia" w:asciiTheme="minorEastAsia" w:hAnsiTheme="minorEastAsia" w:eastAsiaTheme="minorEastAsia"/>
          <w:szCs w:val="21"/>
          <w:lang w:eastAsia="zh-CN"/>
        </w:rPr>
      </w:pPr>
      <w:r>
        <w:rPr>
          <w:rFonts w:hint="eastAsia" w:asciiTheme="minorEastAsia" w:hAnsiTheme="minorEastAsia"/>
          <w:szCs w:val="21"/>
        </w:rPr>
        <w:t>一、投标函及投标函附录</w:t>
      </w:r>
      <w:r>
        <w:rPr>
          <w:rFonts w:hint="eastAsia" w:asciiTheme="minorEastAsia" w:hAnsiTheme="minorEastAsia"/>
          <w:szCs w:val="21"/>
          <w:lang w:eastAsia="zh-CN"/>
        </w:rPr>
        <w:t>（</w:t>
      </w:r>
      <w:r>
        <w:rPr>
          <w:rFonts w:hint="eastAsia" w:asciiTheme="minorEastAsia" w:hAnsiTheme="minorEastAsia"/>
          <w:szCs w:val="21"/>
        </w:rPr>
        <w:t>格式</w:t>
      </w:r>
      <w:r>
        <w:rPr>
          <w:rFonts w:hint="eastAsia" w:asciiTheme="minorEastAsia" w:hAnsiTheme="minorEastAsia"/>
          <w:szCs w:val="21"/>
          <w:lang w:eastAsia="zh-CN"/>
        </w:rPr>
        <w:t>）</w:t>
      </w:r>
    </w:p>
    <w:p>
      <w:pPr>
        <w:widowControl/>
        <w:shd w:val="clear" w:color="auto" w:fill="FFFFFF"/>
        <w:snapToGrid w:val="0"/>
        <w:ind w:firstLine="420" w:firstLineChars="200"/>
        <w:jc w:val="left"/>
        <w:rPr>
          <w:rFonts w:hint="eastAsia" w:asciiTheme="minorEastAsia" w:hAnsiTheme="minorEastAsia" w:eastAsiaTheme="minorEastAsia"/>
          <w:szCs w:val="21"/>
          <w:lang w:eastAsia="zh-CN"/>
        </w:rPr>
      </w:pPr>
      <w:r>
        <w:rPr>
          <w:rFonts w:hint="eastAsia" w:asciiTheme="minorEastAsia" w:hAnsiTheme="minorEastAsia"/>
          <w:szCs w:val="21"/>
        </w:rPr>
        <w:t>二、服务费用清单</w:t>
      </w:r>
      <w:r>
        <w:rPr>
          <w:rFonts w:hint="eastAsia" w:asciiTheme="minorEastAsia" w:hAnsiTheme="minorEastAsia"/>
          <w:szCs w:val="21"/>
          <w:lang w:eastAsia="zh-CN"/>
        </w:rPr>
        <w:t>（</w:t>
      </w:r>
      <w:r>
        <w:rPr>
          <w:rFonts w:hint="eastAsia" w:asciiTheme="minorEastAsia" w:hAnsiTheme="minorEastAsia"/>
          <w:szCs w:val="21"/>
        </w:rPr>
        <w:t>格式</w:t>
      </w:r>
      <w:r>
        <w:rPr>
          <w:rFonts w:hint="eastAsia" w:asciiTheme="minorEastAsia" w:hAnsiTheme="minorEastAsia"/>
          <w:szCs w:val="21"/>
          <w:lang w:eastAsia="zh-CN"/>
        </w:rPr>
        <w:t>）</w:t>
      </w:r>
    </w:p>
    <w:p>
      <w:pPr>
        <w:widowControl/>
        <w:shd w:val="clear" w:color="auto" w:fill="FFFFFF"/>
        <w:snapToGrid w:val="0"/>
        <w:ind w:firstLine="420" w:firstLineChars="200"/>
        <w:jc w:val="left"/>
        <w:rPr>
          <w:rFonts w:hint="eastAsia" w:asciiTheme="minorEastAsia" w:hAnsiTheme="minorEastAsia" w:eastAsiaTheme="minorEastAsia"/>
          <w:szCs w:val="21"/>
          <w:lang w:eastAsia="zh-CN"/>
        </w:rPr>
      </w:pPr>
      <w:r>
        <w:rPr>
          <w:rFonts w:hint="eastAsia" w:asciiTheme="minorEastAsia" w:hAnsiTheme="minorEastAsia"/>
          <w:szCs w:val="21"/>
        </w:rPr>
        <w:t>三、拟委任的主要人员汇总表</w:t>
      </w:r>
      <w:r>
        <w:rPr>
          <w:rFonts w:hint="eastAsia" w:asciiTheme="minorEastAsia" w:hAnsiTheme="minorEastAsia"/>
          <w:szCs w:val="21"/>
          <w:lang w:eastAsia="zh-CN"/>
        </w:rPr>
        <w:t>（</w:t>
      </w:r>
      <w:r>
        <w:rPr>
          <w:rFonts w:hint="eastAsia" w:asciiTheme="minorEastAsia" w:hAnsiTheme="minorEastAsia"/>
          <w:szCs w:val="21"/>
        </w:rPr>
        <w:t>格式</w:t>
      </w:r>
      <w:r>
        <w:rPr>
          <w:rFonts w:hint="eastAsia" w:asciiTheme="minorEastAsia" w:hAnsiTheme="minorEastAsia"/>
          <w:szCs w:val="21"/>
          <w:lang w:eastAsia="zh-CN"/>
        </w:rPr>
        <w:t>）</w:t>
      </w:r>
    </w:p>
    <w:p>
      <w:pPr>
        <w:widowControl/>
        <w:shd w:val="clear" w:color="auto" w:fill="FFFFFF"/>
        <w:snapToGrid w:val="0"/>
        <w:ind w:firstLine="420" w:firstLineChars="200"/>
        <w:jc w:val="left"/>
        <w:rPr>
          <w:rFonts w:hint="eastAsia" w:asciiTheme="minorEastAsia" w:hAnsiTheme="minorEastAsia" w:eastAsiaTheme="minorEastAsia"/>
          <w:szCs w:val="21"/>
          <w:lang w:eastAsia="zh-CN"/>
        </w:rPr>
      </w:pPr>
      <w:r>
        <w:rPr>
          <w:rFonts w:hint="eastAsia" w:asciiTheme="minorEastAsia" w:hAnsiTheme="minorEastAsia"/>
          <w:szCs w:val="21"/>
        </w:rPr>
        <w:t>四、主要人员简历表</w:t>
      </w:r>
      <w:r>
        <w:rPr>
          <w:rFonts w:hint="eastAsia" w:asciiTheme="minorEastAsia" w:hAnsiTheme="minorEastAsia"/>
          <w:szCs w:val="21"/>
          <w:lang w:eastAsia="zh-CN"/>
        </w:rPr>
        <w:t>（</w:t>
      </w:r>
      <w:r>
        <w:rPr>
          <w:rFonts w:hint="eastAsia" w:asciiTheme="minorEastAsia" w:hAnsiTheme="minorEastAsia"/>
          <w:szCs w:val="21"/>
        </w:rPr>
        <w:t>格式</w:t>
      </w:r>
      <w:r>
        <w:rPr>
          <w:rFonts w:hint="eastAsia" w:asciiTheme="minorEastAsia" w:hAnsiTheme="minorEastAsia"/>
          <w:szCs w:val="21"/>
          <w:lang w:eastAsia="zh-CN"/>
        </w:rPr>
        <w:t>）</w:t>
      </w:r>
    </w:p>
    <w:p>
      <w:pPr>
        <w:widowControl/>
        <w:shd w:val="clear" w:color="auto" w:fill="FFFFFF"/>
        <w:snapToGrid w:val="0"/>
        <w:ind w:firstLine="420" w:firstLineChars="200"/>
        <w:jc w:val="left"/>
        <w:rPr>
          <w:rFonts w:hint="eastAsia" w:asciiTheme="minorEastAsia" w:hAnsiTheme="minorEastAsia"/>
          <w:szCs w:val="21"/>
        </w:rPr>
      </w:pPr>
      <w:r>
        <w:rPr>
          <w:rFonts w:hint="eastAsia" w:asciiTheme="minorEastAsia" w:hAnsiTheme="minorEastAsia"/>
          <w:szCs w:val="21"/>
        </w:rPr>
        <w:t>五、</w:t>
      </w:r>
      <w:r>
        <w:rPr>
          <w:rFonts w:hint="eastAsia" w:asciiTheme="minorEastAsia" w:hAnsiTheme="minorEastAsia"/>
          <w:szCs w:val="21"/>
          <w:lang w:val="en-US" w:eastAsia="zh-CN"/>
        </w:rPr>
        <w:t>业绩证明材料（格式）</w:t>
      </w:r>
    </w:p>
    <w:p>
      <w:pPr>
        <w:widowControl/>
        <w:shd w:val="clear" w:color="auto" w:fill="FFFFFF"/>
        <w:snapToGrid w:val="0"/>
        <w:ind w:firstLine="420" w:firstLineChars="200"/>
        <w:jc w:val="left"/>
        <w:rPr>
          <w:rFonts w:hint="eastAsia" w:asciiTheme="minorEastAsia" w:hAnsiTheme="minorEastAsia" w:eastAsiaTheme="minorEastAsia"/>
          <w:szCs w:val="21"/>
          <w:lang w:eastAsia="zh-CN"/>
        </w:rPr>
      </w:pPr>
      <w:r>
        <w:rPr>
          <w:rFonts w:hint="eastAsia" w:asciiTheme="minorEastAsia" w:hAnsiTheme="minorEastAsia"/>
          <w:szCs w:val="21"/>
        </w:rPr>
        <w:t>六、其他商务情况</w:t>
      </w:r>
      <w:r>
        <w:rPr>
          <w:rFonts w:hint="eastAsia" w:asciiTheme="minorEastAsia" w:hAnsiTheme="minorEastAsia"/>
          <w:szCs w:val="21"/>
          <w:lang w:eastAsia="zh-CN"/>
        </w:rPr>
        <w:t>（</w:t>
      </w:r>
      <w:r>
        <w:rPr>
          <w:rFonts w:hint="eastAsia" w:asciiTheme="minorEastAsia" w:hAnsiTheme="minorEastAsia"/>
          <w:szCs w:val="21"/>
        </w:rPr>
        <w:t>如有</w:t>
      </w:r>
      <w:r>
        <w:rPr>
          <w:rFonts w:hint="eastAsia" w:asciiTheme="minorEastAsia" w:hAnsiTheme="minorEastAsia"/>
          <w:szCs w:val="21"/>
          <w:lang w:eastAsia="zh-CN"/>
        </w:rPr>
        <w:t>）（</w:t>
      </w:r>
      <w:r>
        <w:rPr>
          <w:rFonts w:hint="eastAsia" w:asciiTheme="minorEastAsia" w:hAnsiTheme="minorEastAsia"/>
          <w:szCs w:val="21"/>
        </w:rPr>
        <w:t>格式</w:t>
      </w:r>
      <w:r>
        <w:rPr>
          <w:rFonts w:hint="eastAsia" w:asciiTheme="minorEastAsia" w:hAnsiTheme="minorEastAsia"/>
          <w:szCs w:val="21"/>
          <w:lang w:eastAsia="zh-CN"/>
        </w:rPr>
        <w:t>）</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rPr>
          <w:rFonts w:asciiTheme="minorEastAsia" w:hAnsiTheme="minorEastAsia"/>
          <w:szCs w:val="21"/>
        </w:rPr>
      </w:pPr>
      <w:r>
        <w:rPr>
          <w:rFonts w:asciiTheme="minorEastAsia" w:hAnsiTheme="minorEastAsia"/>
          <w:szCs w:val="21"/>
        </w:rPr>
        <w:br w:type="page"/>
      </w: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rFonts w:hint="eastAsia"/>
          <w:sz w:val="28"/>
          <w:szCs w:val="28"/>
        </w:rPr>
      </w:pPr>
      <w:bookmarkStart w:id="4343" w:name="_Toc511396217"/>
      <w:bookmarkStart w:id="4344" w:name="_Toc1605940732"/>
      <w:bookmarkStart w:id="4345" w:name="_Toc2091925889"/>
      <w:bookmarkStart w:id="4346" w:name="_Toc796516712"/>
      <w:bookmarkStart w:id="4347" w:name="_Toc28399"/>
      <w:bookmarkStart w:id="4348" w:name="_Toc1516590295"/>
      <w:bookmarkStart w:id="4349" w:name="_Toc167386814"/>
      <w:bookmarkStart w:id="4350" w:name="_Toc30052"/>
      <w:bookmarkStart w:id="4351" w:name="_Toc12958"/>
      <w:bookmarkStart w:id="4352" w:name="_Toc206825419"/>
      <w:bookmarkStart w:id="4353" w:name="_Toc1718812581"/>
      <w:bookmarkStart w:id="4354" w:name="_Toc20792"/>
      <w:bookmarkStart w:id="4355" w:name="_Toc1176810567"/>
      <w:bookmarkStart w:id="4356" w:name="_Toc7186610"/>
      <w:bookmarkStart w:id="4357" w:name="_Toc1819501736"/>
      <w:bookmarkStart w:id="4358" w:name="_Toc14472"/>
      <w:bookmarkStart w:id="4359" w:name="_Toc538365735"/>
      <w:bookmarkStart w:id="4360" w:name="_Toc1931909878"/>
      <w:bookmarkStart w:id="4361" w:name="_Toc279069051"/>
      <w:bookmarkStart w:id="4362" w:name="_Toc2147152783"/>
      <w:bookmarkStart w:id="4363" w:name="_Toc515440867"/>
      <w:bookmarkStart w:id="4364" w:name="_Toc1205127844"/>
      <w:bookmarkStart w:id="4365" w:name="_Toc5215"/>
      <w:bookmarkStart w:id="4366" w:name="_Toc22737"/>
      <w:bookmarkStart w:id="4367" w:name="_Toc27311"/>
      <w:bookmarkStart w:id="4368" w:name="_Toc516823106"/>
      <w:r>
        <w:rPr>
          <w:rFonts w:hint="eastAsia"/>
          <w:sz w:val="28"/>
          <w:szCs w:val="28"/>
        </w:rPr>
        <w:t>一、投标函及投标函附录</w:t>
      </w:r>
      <w:bookmarkEnd w:id="4343"/>
      <w:r>
        <w:rPr>
          <w:rFonts w:hint="eastAsia"/>
          <w:sz w:val="28"/>
          <w:szCs w:val="28"/>
        </w:rPr>
        <w:t>（</w:t>
      </w:r>
      <w:r>
        <w:rPr>
          <w:rFonts w:hint="eastAsia"/>
          <w:sz w:val="28"/>
          <w:szCs w:val="28"/>
          <w:lang w:val="en-US" w:eastAsia="zh-CN"/>
        </w:rPr>
        <w:t>参考</w:t>
      </w:r>
      <w:r>
        <w:rPr>
          <w:rFonts w:hint="eastAsia"/>
          <w:sz w:val="28"/>
          <w:szCs w:val="28"/>
        </w:rPr>
        <w:t>格式）</w:t>
      </w:r>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p>
    <w:p>
      <w:pPr>
        <w:widowControl/>
        <w:shd w:val="clear" w:color="auto" w:fill="FFFFFF"/>
        <w:snapToGrid w:val="0"/>
        <w:jc w:val="center"/>
        <w:rPr>
          <w:rFonts w:hint="eastAsia" w:asciiTheme="minorEastAsia" w:hAnsiTheme="minorEastAsia"/>
          <w:b/>
          <w:sz w:val="36"/>
          <w:szCs w:val="36"/>
        </w:rPr>
      </w:pPr>
    </w:p>
    <w:p>
      <w:pPr>
        <w:widowControl/>
        <w:shd w:val="clear" w:color="auto" w:fill="FFFFFF"/>
        <w:snapToGrid w:val="0"/>
        <w:jc w:val="center"/>
        <w:rPr>
          <w:rFonts w:asciiTheme="minorEastAsia" w:hAnsiTheme="minorEastAsia"/>
          <w:b/>
          <w:sz w:val="32"/>
          <w:szCs w:val="32"/>
        </w:rPr>
      </w:pPr>
      <w:r>
        <w:rPr>
          <w:rFonts w:hint="eastAsia" w:asciiTheme="minorEastAsia" w:hAnsiTheme="minorEastAsia"/>
          <w:b/>
          <w:sz w:val="32"/>
          <w:szCs w:val="32"/>
        </w:rPr>
        <w:t>（一）投标函</w:t>
      </w:r>
    </w:p>
    <w:p>
      <w:pPr>
        <w:widowControl/>
        <w:shd w:val="clear" w:color="auto" w:fill="FFFFFF"/>
        <w:snapToGrid w:val="0"/>
        <w:jc w:val="left"/>
        <w:rPr>
          <w:rFonts w:asciiTheme="minorEastAsia" w:hAnsiTheme="minorEastAsia"/>
          <w:szCs w:val="21"/>
        </w:rPr>
      </w:pP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招标人名称</w:t>
      </w:r>
      <w:r>
        <w:rPr>
          <w:rFonts w:hint="eastAsia" w:eastAsia="宋体" w:cs="Times New Roman"/>
          <w:color w:val="auto"/>
          <w:szCs w:val="21"/>
          <w:u w:val="single" w:color="auto"/>
          <w:lang w:eastAsia="zh-Hans"/>
        </w:rPr>
        <w:t>）</w:t>
      </w:r>
      <w:r>
        <w:rPr>
          <w:rFonts w:hint="default" w:eastAsia="宋体" w:cs="Times New Roman"/>
          <w:color w:val="auto"/>
          <w:szCs w:val="21"/>
          <w:u w:val="single" w:color="auto"/>
        </w:rPr>
        <w:t xml:space="preserve">       </w:t>
      </w:r>
      <w:r>
        <w:rPr>
          <w:rFonts w:hint="eastAsia" w:asciiTheme="minorEastAsia" w:hAnsiTheme="minorEastAsia"/>
          <w:szCs w:val="21"/>
        </w:rPr>
        <w:t>：</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1．我方已仔细研究了</w:t>
      </w:r>
      <w:r>
        <w:rPr>
          <w:rFonts w:hint="default" w:eastAsia="宋体" w:cs="Times New Roman"/>
          <w:color w:val="auto"/>
          <w:szCs w:val="21"/>
          <w:u w:val="single" w:color="auto"/>
        </w:rPr>
        <w:t xml:space="preserve">       </w:t>
      </w:r>
      <w:r>
        <w:rPr>
          <w:rFonts w:hint="eastAsia" w:eastAsia="宋体" w:cs="Times New Roman"/>
          <w:color w:val="auto"/>
          <w:szCs w:val="21"/>
          <w:u w:val="single" w:color="auto"/>
          <w:lang w:eastAsia="zh-Hans"/>
        </w:rPr>
        <w:t>（</w:t>
      </w:r>
      <w:r>
        <w:rPr>
          <w:rFonts w:hint="eastAsia" w:eastAsia="宋体" w:cs="Times New Roman"/>
          <w:color w:val="auto"/>
          <w:szCs w:val="21"/>
          <w:u w:val="single" w:color="auto"/>
          <w:lang w:val="en-US" w:eastAsia="zh-Hans"/>
        </w:rPr>
        <w:t>项目名称</w:t>
      </w:r>
      <w:r>
        <w:rPr>
          <w:rFonts w:hint="eastAsia" w:eastAsia="宋体" w:cs="Times New Roman"/>
          <w:color w:val="auto"/>
          <w:szCs w:val="21"/>
          <w:u w:val="single" w:color="auto"/>
          <w:lang w:eastAsia="zh-Hans"/>
        </w:rPr>
        <w:t>）</w:t>
      </w:r>
      <w:r>
        <w:rPr>
          <w:rFonts w:hint="default" w:eastAsia="宋体" w:cs="Times New Roman"/>
          <w:color w:val="auto"/>
          <w:szCs w:val="21"/>
          <w:u w:val="single" w:color="auto"/>
        </w:rPr>
        <w:t xml:space="preserve">       </w:t>
      </w:r>
      <w:r>
        <w:rPr>
          <w:rFonts w:hint="eastAsia" w:asciiTheme="minorEastAsia" w:hAnsiTheme="minorEastAsia"/>
          <w:szCs w:val="21"/>
        </w:rPr>
        <w:t>招标项目招标文件的全部内容，愿意</w:t>
      </w:r>
      <w:r>
        <w:rPr>
          <w:rFonts w:hint="eastAsia" w:asciiTheme="minorEastAsia" w:hAnsiTheme="minorEastAsia"/>
          <w:szCs w:val="21"/>
          <w:lang w:val="en-US" w:eastAsia="zh-CN"/>
        </w:rPr>
        <w:t>投标报价</w:t>
      </w:r>
      <w:r>
        <w:rPr>
          <w:rFonts w:hint="eastAsia" w:asciiTheme="minorEastAsia" w:hAnsiTheme="minorEastAsia"/>
          <w:szCs w:val="21"/>
          <w:u w:val="single"/>
          <w:lang w:val="en-US" w:eastAsia="zh-CN"/>
        </w:rPr>
        <w:t xml:space="preserve">     </w:t>
      </w:r>
      <w:r>
        <w:rPr>
          <w:rFonts w:hint="eastAsia" w:asciiTheme="minorEastAsia" w:hAnsiTheme="minorEastAsia"/>
          <w:szCs w:val="21"/>
        </w:rPr>
        <w:t>下浮率为</w:t>
      </w:r>
      <w:r>
        <w:rPr>
          <w:rFonts w:hint="eastAsia" w:asciiTheme="minorEastAsia" w:hAnsiTheme="minorEastAsia"/>
          <w:szCs w:val="21"/>
          <w:u w:val="single"/>
        </w:rPr>
        <w:t xml:space="preserve">      </w:t>
      </w:r>
      <w:r>
        <w:rPr>
          <w:rFonts w:hint="eastAsia" w:asciiTheme="minorEastAsia" w:hAnsiTheme="minorEastAsia"/>
          <w:szCs w:val="21"/>
        </w:rPr>
        <w:t>%的投标总报价（其中，增值税税率为</w:t>
      </w:r>
      <w:r>
        <w:rPr>
          <w:rFonts w:hint="eastAsia" w:asciiTheme="minorEastAsia" w:hAnsiTheme="minorEastAsia"/>
          <w:szCs w:val="21"/>
          <w:u w:val="single"/>
          <w:lang w:val="en-US" w:eastAsia="zh-CN"/>
        </w:rPr>
        <w:t xml:space="preserve">         </w:t>
      </w:r>
      <w:r>
        <w:rPr>
          <w:rFonts w:hint="eastAsia" w:asciiTheme="minorEastAsia" w:hAnsiTheme="minorEastAsia"/>
          <w:szCs w:val="21"/>
        </w:rPr>
        <w:t>），</w:t>
      </w:r>
      <w:r>
        <w:rPr>
          <w:rFonts w:hint="eastAsia" w:asciiTheme="minorEastAsia" w:hAnsiTheme="minorEastAsia"/>
          <w:szCs w:val="21"/>
          <w:u w:val="single"/>
          <w:lang w:val="en-US" w:eastAsia="zh-CN"/>
        </w:rPr>
        <w:t xml:space="preserve">     </w:t>
      </w:r>
      <w:r>
        <w:rPr>
          <w:rFonts w:hint="eastAsia" w:asciiTheme="minorEastAsia" w:hAnsiTheme="minorEastAsia"/>
          <w:szCs w:val="21"/>
        </w:rPr>
        <w:t>（勘察或设计或勘察设计）服务期限：</w:t>
      </w:r>
      <w:r>
        <w:rPr>
          <w:rFonts w:hint="eastAsia" w:asciiTheme="minorEastAsia" w:hAnsiTheme="minorEastAsia"/>
          <w:szCs w:val="21"/>
          <w:u w:val="single"/>
          <w:lang w:val="en-US" w:eastAsia="zh-CN"/>
        </w:rPr>
        <w:t xml:space="preserve">             </w:t>
      </w:r>
      <w:r>
        <w:rPr>
          <w:rFonts w:hint="eastAsia" w:asciiTheme="minorEastAsia" w:hAnsiTheme="minorEastAsia"/>
          <w:szCs w:val="21"/>
        </w:rPr>
        <w:t>日历天，按合同约定完成设计工作。</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2.我方的投标文件包括下列内容：</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（1）资格审查资料；</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（2）商务文件；</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（3）设计方案。</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投标文件的上述组成部分如存在内容不一致的，以投标函为准。</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3．我方承诺在招标文件规定的投标有效期内不撤销投标文件。</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4．如我方中标，我方承诺：</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（1）在收到中标通知书后，在中标通知书规定的期限内与你方签订合同；</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（2）在签订合同时不向你方提出附加条件；</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（3）按照招标文件要求提交履约保证金；</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（4）在合同约定的期限内完成合同规定的全部义务。</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5．我方在此声明，所递交的投标文件及有关资料内容完整、真实和准确，且不存在第二章“投标人须知”第1.4.3项规定的任何一种情形。</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left="3360" w:leftChars="0" w:firstLine="420" w:firstLineChars="200"/>
        <w:jc w:val="center"/>
        <w:rPr>
          <w:rFonts w:hint="eastAsia" w:ascii="宋体" w:hAnsi="宋体" w:eastAsia="宋体" w:cs="宋体"/>
          <w:szCs w:val="21"/>
        </w:rPr>
      </w:pPr>
      <w:r>
        <w:rPr>
          <w:rFonts w:hint="eastAsia" w:ascii="宋体" w:hAnsi="宋体" w:eastAsia="宋体" w:cs="宋体"/>
          <w:szCs w:val="21"/>
        </w:rPr>
        <w:t>投 标 人：</w:t>
      </w:r>
      <w:r>
        <w:rPr>
          <w:rFonts w:hint="eastAsia" w:ascii="宋体" w:hAnsi="宋体" w:eastAsia="宋体" w:cs="宋体"/>
          <w:szCs w:val="21"/>
          <w:u w:val="single"/>
          <w:lang w:val="en-US" w:eastAsia="zh-CN"/>
        </w:rPr>
        <w:t xml:space="preserve">                   </w:t>
      </w:r>
      <w:r>
        <w:rPr>
          <w:rFonts w:hint="eastAsia" w:ascii="宋体" w:hAnsi="宋体" w:eastAsia="宋体" w:cs="宋体"/>
          <w:szCs w:val="21"/>
        </w:rPr>
        <w:t>（盖单位</w:t>
      </w:r>
      <w:r>
        <w:rPr>
          <w:rFonts w:hint="eastAsia" w:ascii="宋体" w:hAnsi="宋体" w:eastAsia="宋体" w:cs="宋体"/>
          <w:szCs w:val="21"/>
          <w:lang w:val="en-US" w:eastAsia="zh-CN"/>
        </w:rPr>
        <w:t>公</w:t>
      </w:r>
      <w:r>
        <w:rPr>
          <w:rFonts w:hint="eastAsia" w:ascii="宋体" w:hAnsi="宋体" w:eastAsia="宋体" w:cs="宋体"/>
          <w:szCs w:val="21"/>
        </w:rPr>
        <w:t>章）</w:t>
      </w:r>
    </w:p>
    <w:p>
      <w:pPr>
        <w:widowControl/>
        <w:shd w:val="clear" w:color="auto" w:fill="FFFFFF"/>
        <w:snapToGrid w:val="0"/>
        <w:ind w:left="3360" w:leftChars="0" w:firstLine="420" w:firstLineChars="200"/>
        <w:jc w:val="center"/>
        <w:rPr>
          <w:rFonts w:hint="eastAsia" w:ascii="宋体" w:hAnsi="宋体" w:eastAsia="宋体" w:cs="宋体"/>
          <w:szCs w:val="21"/>
        </w:rPr>
      </w:pPr>
      <w:r>
        <w:rPr>
          <w:rFonts w:hint="eastAsia" w:ascii="宋体" w:hAnsi="宋体" w:eastAsia="宋体" w:cs="宋体"/>
          <w:szCs w:val="21"/>
        </w:rPr>
        <w:t>地     址：</w:t>
      </w:r>
      <w:r>
        <w:rPr>
          <w:rFonts w:hint="eastAsia" w:ascii="宋体" w:hAnsi="宋体" w:eastAsia="宋体" w:cs="宋体"/>
          <w:szCs w:val="21"/>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_</w:t>
      </w:r>
    </w:p>
    <w:p>
      <w:pPr>
        <w:widowControl/>
        <w:shd w:val="clear" w:color="auto" w:fill="FFFFFF"/>
        <w:snapToGrid w:val="0"/>
        <w:ind w:left="3360" w:leftChars="0" w:firstLine="420" w:firstLineChars="200"/>
        <w:jc w:val="center"/>
        <w:rPr>
          <w:rFonts w:hint="eastAsia" w:ascii="宋体" w:hAnsi="宋体" w:eastAsia="宋体" w:cs="宋体"/>
          <w:szCs w:val="21"/>
        </w:rPr>
      </w:pPr>
      <w:r>
        <w:rPr>
          <w:rFonts w:hint="eastAsia" w:ascii="宋体" w:hAnsi="宋体" w:eastAsia="宋体" w:cs="宋体"/>
          <w:szCs w:val="21"/>
        </w:rPr>
        <w:t>电     话：________________________________</w:t>
      </w:r>
    </w:p>
    <w:p>
      <w:pPr>
        <w:widowControl/>
        <w:shd w:val="clear" w:color="auto" w:fill="FFFFFF"/>
        <w:snapToGrid w:val="0"/>
        <w:ind w:left="3360" w:leftChars="0" w:firstLine="420" w:firstLineChars="200"/>
        <w:jc w:val="center"/>
        <w:rPr>
          <w:rFonts w:hint="eastAsia" w:ascii="宋体" w:hAnsi="宋体" w:eastAsia="宋体" w:cs="宋体"/>
          <w:szCs w:val="21"/>
        </w:rPr>
      </w:pPr>
      <w:r>
        <w:rPr>
          <w:rFonts w:hint="eastAsia" w:ascii="宋体" w:hAnsi="宋体" w:eastAsia="宋体" w:cs="宋体"/>
          <w:szCs w:val="21"/>
        </w:rPr>
        <w:t>传     真：________________________________</w:t>
      </w:r>
    </w:p>
    <w:p>
      <w:pPr>
        <w:widowControl/>
        <w:shd w:val="clear" w:color="auto" w:fill="FFFFFF"/>
        <w:snapToGrid w:val="0"/>
        <w:ind w:firstLine="420" w:firstLineChars="200"/>
        <w:jc w:val="right"/>
        <w:rPr>
          <w:rFonts w:hint="eastAsia" w:ascii="宋体" w:hAnsi="宋体" w:eastAsia="宋体" w:cs="宋体"/>
          <w:szCs w:val="21"/>
        </w:rPr>
      </w:pPr>
      <w:r>
        <w:rPr>
          <w:rFonts w:hint="eastAsia" w:ascii="宋体" w:hAnsi="宋体" w:eastAsia="宋体" w:cs="宋体"/>
          <w:szCs w:val="21"/>
        </w:rPr>
        <w:t>邮政编码：_________________________________</w:t>
      </w:r>
    </w:p>
    <w:p>
      <w:pPr>
        <w:widowControl/>
        <w:shd w:val="clear" w:color="auto" w:fill="FFFFFF"/>
        <w:snapToGrid w:val="0"/>
        <w:ind w:firstLine="420" w:firstLineChars="200"/>
        <w:jc w:val="right"/>
        <w:rPr>
          <w:rFonts w:hint="eastAsia" w:ascii="宋体" w:hAnsi="宋体" w:eastAsia="宋体" w:cs="宋体"/>
          <w:szCs w:val="21"/>
        </w:rPr>
      </w:pPr>
      <w:r>
        <w:rPr>
          <w:rFonts w:hint="eastAsia" w:ascii="宋体" w:hAnsi="宋体" w:eastAsia="宋体" w:cs="宋体"/>
          <w:szCs w:val="21"/>
        </w:rPr>
        <w:t>__________年_____月_____日</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pStyle w:val="17"/>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0" w:firstLineChars="0"/>
        <w:jc w:val="left"/>
        <w:rPr>
          <w:rFonts w:asciiTheme="minorEastAsia" w:hAnsiTheme="minorEastAsia"/>
          <w:szCs w:val="21"/>
        </w:rPr>
      </w:pPr>
    </w:p>
    <w:p>
      <w:pPr>
        <w:rPr>
          <w:rFonts w:asciiTheme="minorEastAsia" w:hAnsiTheme="minorEastAsia"/>
          <w:szCs w:val="21"/>
        </w:rPr>
      </w:pPr>
      <w:r>
        <w:rPr>
          <w:rFonts w:asciiTheme="minorEastAsia" w:hAnsiTheme="minorEastAsia"/>
          <w:szCs w:val="21"/>
        </w:rPr>
        <w:br w:type="page"/>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jc w:val="center"/>
        <w:rPr>
          <w:rFonts w:hint="eastAsia" w:asciiTheme="minorEastAsia" w:hAnsiTheme="minorEastAsia"/>
          <w:b/>
          <w:sz w:val="28"/>
          <w:szCs w:val="28"/>
        </w:rPr>
      </w:pPr>
      <w:r>
        <w:rPr>
          <w:rFonts w:hint="eastAsia" w:asciiTheme="minorEastAsia" w:hAnsiTheme="minorEastAsia"/>
          <w:b/>
          <w:sz w:val="28"/>
          <w:szCs w:val="28"/>
        </w:rPr>
        <w:t>（二）投标函附录</w:t>
      </w:r>
    </w:p>
    <w:p>
      <w:pPr>
        <w:pStyle w:val="17"/>
      </w:pPr>
    </w:p>
    <w:tbl>
      <w:tblPr>
        <w:tblStyle w:val="30"/>
        <w:tblW w:w="878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6"/>
        <w:gridCol w:w="2126"/>
        <w:gridCol w:w="1418"/>
        <w:gridCol w:w="2420"/>
        <w:gridCol w:w="15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b/>
                <w:szCs w:val="21"/>
              </w:rPr>
            </w:pPr>
            <w:r>
              <w:rPr>
                <w:rFonts w:hint="eastAsia" w:asciiTheme="minorEastAsia" w:hAnsiTheme="minorEastAsia"/>
                <w:b/>
                <w:szCs w:val="21"/>
              </w:rPr>
              <w:t>序号</w:t>
            </w:r>
          </w:p>
        </w:tc>
        <w:tc>
          <w:tcPr>
            <w:tcW w:w="2126" w:type="dxa"/>
          </w:tcPr>
          <w:p>
            <w:pPr>
              <w:widowControl/>
              <w:spacing w:line="360" w:lineRule="auto"/>
              <w:jc w:val="center"/>
              <w:rPr>
                <w:rFonts w:asciiTheme="minorEastAsia" w:hAnsiTheme="minorEastAsia"/>
                <w:b/>
                <w:szCs w:val="21"/>
              </w:rPr>
            </w:pPr>
            <w:r>
              <w:rPr>
                <w:rFonts w:hint="eastAsia" w:asciiTheme="minorEastAsia" w:hAnsiTheme="minorEastAsia"/>
                <w:b/>
                <w:szCs w:val="21"/>
              </w:rPr>
              <w:t>条款名称</w:t>
            </w:r>
          </w:p>
        </w:tc>
        <w:tc>
          <w:tcPr>
            <w:tcW w:w="1418" w:type="dxa"/>
          </w:tcPr>
          <w:p>
            <w:pPr>
              <w:widowControl/>
              <w:spacing w:line="360" w:lineRule="auto"/>
              <w:jc w:val="center"/>
              <w:rPr>
                <w:rFonts w:asciiTheme="minorEastAsia" w:hAnsiTheme="minorEastAsia"/>
                <w:b/>
                <w:szCs w:val="21"/>
              </w:rPr>
            </w:pPr>
            <w:r>
              <w:rPr>
                <w:rFonts w:hint="eastAsia" w:asciiTheme="minorEastAsia" w:hAnsiTheme="minorEastAsia"/>
                <w:b/>
                <w:szCs w:val="21"/>
              </w:rPr>
              <w:t>合同条款号</w:t>
            </w:r>
          </w:p>
        </w:tc>
        <w:tc>
          <w:tcPr>
            <w:tcW w:w="2420" w:type="dxa"/>
            <w:tcBorders>
              <w:right w:val="single" w:color="auto" w:sz="4" w:space="0"/>
            </w:tcBorders>
          </w:tcPr>
          <w:p>
            <w:pPr>
              <w:widowControl/>
              <w:spacing w:line="360" w:lineRule="auto"/>
              <w:jc w:val="center"/>
              <w:rPr>
                <w:rFonts w:asciiTheme="minorEastAsia" w:hAnsiTheme="minorEastAsia"/>
                <w:b/>
                <w:szCs w:val="21"/>
              </w:rPr>
            </w:pPr>
            <w:r>
              <w:rPr>
                <w:rFonts w:hint="eastAsia" w:asciiTheme="minorEastAsia" w:hAnsiTheme="minorEastAsia"/>
                <w:b/>
                <w:szCs w:val="21"/>
              </w:rPr>
              <w:t>约定内容</w:t>
            </w:r>
          </w:p>
        </w:tc>
        <w:tc>
          <w:tcPr>
            <w:tcW w:w="1549" w:type="dxa"/>
            <w:tcBorders>
              <w:left w:val="single" w:color="auto" w:sz="4" w:space="0"/>
            </w:tcBorders>
          </w:tcPr>
          <w:p>
            <w:pPr>
              <w:widowControl/>
              <w:spacing w:line="360" w:lineRule="auto"/>
              <w:jc w:val="center"/>
              <w:rPr>
                <w:rFonts w:asciiTheme="minorEastAsia" w:hAnsiTheme="minorEastAsia"/>
                <w:b/>
                <w:szCs w:val="21"/>
              </w:rPr>
            </w:pPr>
            <w:r>
              <w:rPr>
                <w:rFonts w:hint="eastAsia" w:asciiTheme="minorEastAsia" w:hAnsiTheme="minorEastAsia"/>
                <w:b/>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szCs w:val="21"/>
              </w:rPr>
            </w:pPr>
            <w:r>
              <w:rPr>
                <w:rFonts w:hint="eastAsia" w:asciiTheme="minorEastAsia" w:hAnsiTheme="minorEastAsia"/>
                <w:szCs w:val="21"/>
              </w:rPr>
              <w:t>1</w:t>
            </w:r>
          </w:p>
        </w:tc>
        <w:tc>
          <w:tcPr>
            <w:tcW w:w="2126" w:type="dxa"/>
          </w:tcPr>
          <w:p>
            <w:pPr>
              <w:widowControl/>
              <w:spacing w:line="360" w:lineRule="auto"/>
              <w:jc w:val="center"/>
              <w:rPr>
                <w:rFonts w:asciiTheme="minorEastAsia" w:hAnsiTheme="minorEastAsia"/>
                <w:szCs w:val="21"/>
              </w:rPr>
            </w:pPr>
            <w:r>
              <w:rPr>
                <w:rFonts w:hint="eastAsia" w:asciiTheme="minorEastAsia" w:hAnsiTheme="minorEastAsia"/>
                <w:szCs w:val="21"/>
              </w:rPr>
              <w:t>项目负责人</w:t>
            </w:r>
          </w:p>
        </w:tc>
        <w:tc>
          <w:tcPr>
            <w:tcW w:w="1418" w:type="dxa"/>
          </w:tcPr>
          <w:p>
            <w:pPr>
              <w:widowControl/>
              <w:spacing w:line="360" w:lineRule="auto"/>
              <w:jc w:val="center"/>
              <w:rPr>
                <w:rFonts w:asciiTheme="minorEastAsia" w:hAnsiTheme="minorEastAsia"/>
                <w:szCs w:val="21"/>
              </w:rPr>
            </w:pPr>
            <w:r>
              <w:rPr>
                <w:rFonts w:asciiTheme="minorEastAsia" w:hAnsiTheme="minorEastAsia"/>
                <w:szCs w:val="21"/>
              </w:rPr>
              <w:t>1.1.2.5</w:t>
            </w:r>
          </w:p>
        </w:tc>
        <w:tc>
          <w:tcPr>
            <w:tcW w:w="2420" w:type="dxa"/>
            <w:tcBorders>
              <w:right w:val="single" w:color="auto" w:sz="4" w:space="0"/>
            </w:tcBorders>
          </w:tcPr>
          <w:p>
            <w:pPr>
              <w:widowControl/>
              <w:spacing w:line="360" w:lineRule="auto"/>
              <w:jc w:val="left"/>
              <w:rPr>
                <w:rFonts w:hint="eastAsia" w:asciiTheme="minorEastAsia" w:hAnsiTheme="minorEastAsia"/>
                <w:szCs w:val="21"/>
              </w:rPr>
            </w:pPr>
            <w:r>
              <w:rPr>
                <w:rFonts w:hint="eastAsia" w:asciiTheme="minorEastAsia" w:hAnsiTheme="minorEastAsia"/>
                <w:szCs w:val="21"/>
              </w:rPr>
              <w:t>姓名：</w:t>
            </w:r>
          </w:p>
          <w:p>
            <w:pPr>
              <w:widowControl/>
              <w:spacing w:line="360" w:lineRule="auto"/>
              <w:jc w:val="left"/>
              <w:rPr>
                <w:rFonts w:asciiTheme="minorEastAsia" w:hAnsiTheme="minorEastAsia"/>
                <w:szCs w:val="21"/>
              </w:rPr>
            </w:pPr>
            <w:r>
              <w:rPr>
                <w:rFonts w:hint="eastAsia"/>
                <w:szCs w:val="21"/>
                <w:lang w:val="en-US" w:eastAsia="zh-Hans"/>
              </w:rPr>
              <w:t>身份证号：</w:t>
            </w:r>
          </w:p>
        </w:tc>
        <w:tc>
          <w:tcPr>
            <w:tcW w:w="154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szCs w:val="21"/>
              </w:rPr>
            </w:pPr>
            <w:r>
              <w:rPr>
                <w:rFonts w:hint="eastAsia" w:asciiTheme="minorEastAsia" w:hAnsiTheme="minorEastAsia"/>
                <w:szCs w:val="21"/>
              </w:rPr>
              <w:t>2</w:t>
            </w:r>
          </w:p>
        </w:tc>
        <w:tc>
          <w:tcPr>
            <w:tcW w:w="2126" w:type="dxa"/>
          </w:tcPr>
          <w:p>
            <w:pPr>
              <w:widowControl/>
              <w:spacing w:line="360" w:lineRule="auto"/>
              <w:jc w:val="center"/>
              <w:rPr>
                <w:rFonts w:asciiTheme="minorEastAsia" w:hAnsiTheme="minorEastAsia"/>
                <w:szCs w:val="21"/>
              </w:rPr>
            </w:pPr>
            <w:r>
              <w:rPr>
                <w:rFonts w:hint="eastAsia" w:asciiTheme="minorEastAsia" w:hAnsiTheme="minorEastAsia"/>
                <w:szCs w:val="21"/>
              </w:rPr>
              <w:t>服务期限</w:t>
            </w:r>
          </w:p>
        </w:tc>
        <w:tc>
          <w:tcPr>
            <w:tcW w:w="1418" w:type="dxa"/>
          </w:tcPr>
          <w:p>
            <w:pPr>
              <w:widowControl/>
              <w:spacing w:line="360" w:lineRule="auto"/>
              <w:jc w:val="center"/>
              <w:rPr>
                <w:rFonts w:asciiTheme="minorEastAsia" w:hAnsiTheme="minorEastAsia"/>
                <w:szCs w:val="21"/>
              </w:rPr>
            </w:pPr>
            <w:r>
              <w:rPr>
                <w:rFonts w:asciiTheme="minorEastAsia" w:hAnsiTheme="minorEastAsia"/>
                <w:szCs w:val="21"/>
              </w:rPr>
              <w:t>1.1.4.3</w:t>
            </w:r>
          </w:p>
        </w:tc>
        <w:tc>
          <w:tcPr>
            <w:tcW w:w="2420" w:type="dxa"/>
            <w:tcBorders>
              <w:right w:val="single" w:color="auto" w:sz="4" w:space="0"/>
            </w:tcBorders>
          </w:tcPr>
          <w:p>
            <w:pPr>
              <w:widowControl/>
              <w:spacing w:line="360" w:lineRule="auto"/>
              <w:jc w:val="left"/>
              <w:rPr>
                <w:rFonts w:asciiTheme="minorEastAsia" w:hAnsiTheme="minorEastAsia"/>
                <w:szCs w:val="21"/>
              </w:rPr>
            </w:pPr>
            <w:r>
              <w:rPr>
                <w:rFonts w:hint="eastAsia" w:asciiTheme="minorEastAsia" w:hAnsiTheme="minorEastAsia"/>
                <w:szCs w:val="21"/>
              </w:rPr>
              <w:t>_______日历天</w:t>
            </w:r>
          </w:p>
        </w:tc>
        <w:tc>
          <w:tcPr>
            <w:tcW w:w="154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szCs w:val="21"/>
              </w:rPr>
            </w:pPr>
            <w:r>
              <w:rPr>
                <w:rFonts w:hint="eastAsia" w:asciiTheme="minorEastAsia" w:hAnsiTheme="minorEastAsia"/>
                <w:szCs w:val="21"/>
              </w:rPr>
              <w:t>3</w:t>
            </w:r>
          </w:p>
        </w:tc>
        <w:tc>
          <w:tcPr>
            <w:tcW w:w="2126" w:type="dxa"/>
          </w:tcPr>
          <w:p>
            <w:pPr>
              <w:widowControl/>
              <w:spacing w:line="360" w:lineRule="auto"/>
              <w:jc w:val="center"/>
              <w:rPr>
                <w:rFonts w:asciiTheme="minorEastAsia" w:hAnsiTheme="minorEastAsia"/>
                <w:szCs w:val="21"/>
              </w:rPr>
            </w:pPr>
            <w:r>
              <w:rPr>
                <w:rFonts w:hint="eastAsia" w:asciiTheme="minorEastAsia" w:hAnsiTheme="minorEastAsia"/>
                <w:szCs w:val="21"/>
              </w:rPr>
              <w:t>合同价款确定方式</w:t>
            </w:r>
          </w:p>
        </w:tc>
        <w:tc>
          <w:tcPr>
            <w:tcW w:w="1418" w:type="dxa"/>
          </w:tcPr>
          <w:p>
            <w:pPr>
              <w:widowControl/>
              <w:spacing w:line="360" w:lineRule="auto"/>
              <w:jc w:val="center"/>
              <w:rPr>
                <w:rFonts w:asciiTheme="minorEastAsia" w:hAnsiTheme="minorEastAsia"/>
                <w:szCs w:val="21"/>
              </w:rPr>
            </w:pPr>
            <w:r>
              <w:rPr>
                <w:rFonts w:hint="eastAsia" w:asciiTheme="minorEastAsia" w:hAnsiTheme="minorEastAsia"/>
                <w:szCs w:val="21"/>
              </w:rPr>
              <w:t>12</w:t>
            </w:r>
            <w:r>
              <w:rPr>
                <w:rFonts w:asciiTheme="minorEastAsia" w:hAnsiTheme="minorEastAsia"/>
                <w:szCs w:val="21"/>
              </w:rPr>
              <w:t>.1.1</w:t>
            </w:r>
          </w:p>
        </w:tc>
        <w:tc>
          <w:tcPr>
            <w:tcW w:w="2420" w:type="dxa"/>
            <w:tcBorders>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154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126" w:type="dxa"/>
          </w:tcPr>
          <w:p>
            <w:pPr>
              <w:widowControl/>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投标有效期</w:t>
            </w:r>
          </w:p>
        </w:tc>
        <w:tc>
          <w:tcPr>
            <w:tcW w:w="1418" w:type="dxa"/>
          </w:tcPr>
          <w:p>
            <w:pPr>
              <w:widowControl/>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w:t>
            </w:r>
          </w:p>
        </w:tc>
        <w:tc>
          <w:tcPr>
            <w:tcW w:w="2420" w:type="dxa"/>
            <w:tcBorders>
              <w:right w:val="single" w:color="auto" w:sz="4" w:space="0"/>
            </w:tcBorders>
          </w:tcPr>
          <w:p>
            <w:pPr>
              <w:widowControl/>
              <w:spacing w:line="360" w:lineRule="auto"/>
              <w:jc w:val="both"/>
              <w:rPr>
                <w:rFonts w:hint="eastAsia" w:asciiTheme="minorEastAsia" w:hAnsiTheme="minorEastAsia"/>
                <w:szCs w:val="21"/>
              </w:rPr>
            </w:pPr>
            <w:r>
              <w:rPr>
                <w:rFonts w:hint="eastAsia" w:asciiTheme="minorEastAsia" w:hAnsiTheme="minorEastAsia"/>
                <w:szCs w:val="21"/>
              </w:rPr>
              <w:t>_______日历天</w:t>
            </w:r>
          </w:p>
        </w:tc>
        <w:tc>
          <w:tcPr>
            <w:tcW w:w="154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2126"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1418"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2420" w:type="dxa"/>
            <w:tcBorders>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154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76"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2126"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1418"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2420" w:type="dxa"/>
            <w:tcBorders>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1549" w:type="dxa"/>
            <w:tcBorders>
              <w:left w:val="single" w:color="auto" w:sz="4" w:space="0"/>
            </w:tcBorders>
          </w:tcPr>
          <w:p>
            <w:pPr>
              <w:widowControl/>
              <w:spacing w:line="360" w:lineRule="auto"/>
              <w:jc w:val="left"/>
              <w:rPr>
                <w:rFonts w:asciiTheme="minorEastAsia" w:hAnsiTheme="minorEastAsia"/>
                <w:szCs w:val="21"/>
              </w:rPr>
            </w:pPr>
          </w:p>
        </w:tc>
      </w:tr>
    </w:tbl>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投 标 人：__________________（盖单位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trike/>
          <w:color w:val="00B0F0"/>
          <w:szCs w:val="21"/>
        </w:rPr>
      </w:pP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__________年_____月_____日</w:t>
      </w:r>
    </w:p>
    <w:p>
      <w:pPr>
        <w:rPr>
          <w:rFonts w:asciiTheme="minorEastAsia" w:hAnsiTheme="minorEastAsia"/>
          <w:szCs w:val="21"/>
        </w:rPr>
      </w:pPr>
      <w:r>
        <w:rPr>
          <w:rFonts w:asciiTheme="minorEastAsia" w:hAnsiTheme="minorEastAsia"/>
          <w:szCs w:val="21"/>
        </w:rPr>
        <w:br w:type="page"/>
      </w: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rFonts w:hint="eastAsia"/>
          <w:sz w:val="28"/>
          <w:szCs w:val="28"/>
        </w:rPr>
      </w:pPr>
      <w:bookmarkStart w:id="4369" w:name="_Toc511396218"/>
      <w:bookmarkStart w:id="4370" w:name="_Toc516823107"/>
      <w:bookmarkStart w:id="4371" w:name="_Toc27440"/>
      <w:bookmarkStart w:id="4372" w:name="_Toc849681822"/>
      <w:bookmarkStart w:id="4373" w:name="_Toc1471407228"/>
      <w:bookmarkStart w:id="4374" w:name="_Toc198543672"/>
      <w:bookmarkStart w:id="4375" w:name="_Toc133029423"/>
      <w:bookmarkStart w:id="4376" w:name="_Toc1804060553"/>
      <w:bookmarkStart w:id="4377" w:name="_Toc13936"/>
      <w:bookmarkStart w:id="4378" w:name="_Toc1486276287"/>
      <w:bookmarkStart w:id="4379" w:name="_Toc1665399251"/>
      <w:bookmarkStart w:id="4380" w:name="_Toc396147739"/>
      <w:bookmarkStart w:id="4381" w:name="_Toc515440868"/>
      <w:bookmarkStart w:id="4382" w:name="_Toc7186611"/>
      <w:bookmarkStart w:id="4383" w:name="_Toc66605328"/>
      <w:bookmarkStart w:id="4384" w:name="_Toc21957"/>
      <w:bookmarkStart w:id="4385" w:name="_Toc7880"/>
      <w:bookmarkStart w:id="4386" w:name="_Toc330810699"/>
      <w:bookmarkStart w:id="4387" w:name="_Toc1790806833"/>
      <w:bookmarkStart w:id="4388" w:name="_Toc19331"/>
      <w:bookmarkStart w:id="4389" w:name="_Toc881619693"/>
      <w:bookmarkStart w:id="4390" w:name="_Toc5303"/>
      <w:bookmarkStart w:id="4391" w:name="_Toc964303334"/>
      <w:bookmarkStart w:id="4392" w:name="_Toc209255109"/>
      <w:bookmarkStart w:id="4393" w:name="_Toc28762"/>
      <w:bookmarkStart w:id="4394" w:name="_Toc7983"/>
      <w:r>
        <w:rPr>
          <w:rFonts w:hint="eastAsia"/>
          <w:sz w:val="28"/>
          <w:szCs w:val="28"/>
        </w:rPr>
        <w:t>二、服务费用清单</w:t>
      </w:r>
      <w:bookmarkEnd w:id="4369"/>
      <w:r>
        <w:rPr>
          <w:rFonts w:hint="eastAsia"/>
          <w:sz w:val="28"/>
          <w:szCs w:val="28"/>
        </w:rPr>
        <w:t>（</w:t>
      </w:r>
      <w:r>
        <w:rPr>
          <w:rFonts w:hint="eastAsia"/>
          <w:sz w:val="28"/>
          <w:szCs w:val="28"/>
          <w:lang w:val="en-US" w:eastAsia="zh-CN"/>
        </w:rPr>
        <w:t>参考</w:t>
      </w:r>
      <w:r>
        <w:rPr>
          <w:rFonts w:hint="eastAsia"/>
          <w:sz w:val="28"/>
          <w:szCs w:val="28"/>
        </w:rPr>
        <w:t>格式）</w:t>
      </w:r>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p>
    <w:p/>
    <w:p>
      <w:pPr>
        <w:widowControl/>
        <w:shd w:val="clear" w:color="auto" w:fill="FFFFFF"/>
        <w:snapToGrid w:val="0"/>
        <w:ind w:left="0" w:leftChars="0" w:firstLine="0" w:firstLineChars="0"/>
        <w:jc w:val="center"/>
        <w:rPr>
          <w:rFonts w:asciiTheme="minorEastAsia" w:hAnsiTheme="minorEastAsia"/>
          <w:sz w:val="32"/>
          <w:szCs w:val="32"/>
        </w:rPr>
      </w:pPr>
      <w:r>
        <w:rPr>
          <w:rFonts w:hint="eastAsia" w:asciiTheme="minorEastAsia" w:hAnsiTheme="minorEastAsia"/>
          <w:b/>
          <w:sz w:val="32"/>
          <w:szCs w:val="32"/>
        </w:rPr>
        <w:t>服务费用清单</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1.服务费用清单说明</w:t>
      </w: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2.服务费用清单</w:t>
      </w:r>
    </w:p>
    <w:p>
      <w:pPr>
        <w:widowControl/>
        <w:shd w:val="clear" w:color="auto" w:fill="FFFFFF"/>
        <w:snapToGrid w:val="0"/>
        <w:ind w:firstLine="420" w:firstLineChars="200"/>
        <w:jc w:val="right"/>
        <w:rPr>
          <w:rFonts w:hint="default" w:asciiTheme="minorEastAsia" w:hAnsiTheme="minorEastAsia" w:eastAsiaTheme="minorEastAsia"/>
          <w:szCs w:val="21"/>
          <w:lang w:val="en-US" w:eastAsia="zh-CN"/>
        </w:rPr>
      </w:pPr>
      <w:r>
        <w:rPr>
          <w:rFonts w:hint="eastAsia" w:asciiTheme="minorEastAsia" w:hAnsiTheme="minorEastAsia"/>
          <w:szCs w:val="21"/>
        </w:rPr>
        <w:t>单位：人民币元</w:t>
      </w:r>
      <w:r>
        <w:rPr>
          <w:rFonts w:hint="eastAsia" w:asciiTheme="minorEastAsia" w:hAnsiTheme="minorEastAsia"/>
          <w:szCs w:val="21"/>
          <w:lang w:val="en-US" w:eastAsia="zh-CN"/>
        </w:rPr>
        <w:t>或百分比</w:t>
      </w:r>
    </w:p>
    <w:tbl>
      <w:tblPr>
        <w:tblStyle w:val="30"/>
        <w:tblW w:w="878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1"/>
        <w:gridCol w:w="3685"/>
        <w:gridCol w:w="2694"/>
        <w:gridCol w:w="15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b/>
                <w:szCs w:val="21"/>
              </w:rPr>
            </w:pPr>
            <w:r>
              <w:rPr>
                <w:rFonts w:hint="eastAsia" w:asciiTheme="minorEastAsia" w:hAnsiTheme="minorEastAsia"/>
                <w:b/>
                <w:szCs w:val="21"/>
              </w:rPr>
              <w:t>序号</w:t>
            </w:r>
          </w:p>
        </w:tc>
        <w:tc>
          <w:tcPr>
            <w:tcW w:w="3685" w:type="dxa"/>
          </w:tcPr>
          <w:p>
            <w:pPr>
              <w:widowControl/>
              <w:spacing w:line="360" w:lineRule="auto"/>
              <w:jc w:val="center"/>
              <w:rPr>
                <w:rFonts w:asciiTheme="minorEastAsia" w:hAnsiTheme="minorEastAsia"/>
                <w:b/>
                <w:szCs w:val="21"/>
              </w:rPr>
            </w:pPr>
            <w:r>
              <w:rPr>
                <w:rFonts w:hint="eastAsia" w:asciiTheme="minorEastAsia" w:hAnsiTheme="minorEastAsia"/>
                <w:b/>
                <w:szCs w:val="21"/>
              </w:rPr>
              <w:t>服务费用分项名称</w:t>
            </w:r>
          </w:p>
        </w:tc>
        <w:tc>
          <w:tcPr>
            <w:tcW w:w="2694" w:type="dxa"/>
            <w:tcBorders>
              <w:right w:val="single" w:color="auto" w:sz="4" w:space="0"/>
            </w:tcBorders>
          </w:tcPr>
          <w:p>
            <w:pPr>
              <w:widowControl/>
              <w:spacing w:line="360" w:lineRule="auto"/>
              <w:jc w:val="center"/>
              <w:rPr>
                <w:rFonts w:hint="default" w:asciiTheme="minorEastAsia" w:hAnsiTheme="minorEastAsia" w:eastAsiaTheme="minorEastAsia"/>
                <w:b/>
                <w:szCs w:val="21"/>
                <w:lang w:val="en-US" w:eastAsia="zh-CN"/>
              </w:rPr>
            </w:pPr>
            <w:r>
              <w:rPr>
                <w:rFonts w:hint="eastAsia" w:asciiTheme="minorEastAsia" w:hAnsiTheme="minorEastAsia"/>
                <w:b/>
                <w:szCs w:val="21"/>
              </w:rPr>
              <w:t>金额（元）</w:t>
            </w:r>
            <w:r>
              <w:rPr>
                <w:rFonts w:hint="eastAsia" w:asciiTheme="minorEastAsia" w:hAnsiTheme="minorEastAsia"/>
                <w:b/>
                <w:szCs w:val="21"/>
                <w:lang w:val="en-US" w:eastAsia="zh-CN"/>
              </w:rPr>
              <w:t>/费率（%）</w:t>
            </w:r>
          </w:p>
        </w:tc>
        <w:tc>
          <w:tcPr>
            <w:tcW w:w="1559" w:type="dxa"/>
            <w:tcBorders>
              <w:left w:val="single" w:color="auto" w:sz="4" w:space="0"/>
            </w:tcBorders>
          </w:tcPr>
          <w:p>
            <w:pPr>
              <w:widowControl/>
              <w:spacing w:line="360" w:lineRule="auto"/>
              <w:jc w:val="center"/>
              <w:rPr>
                <w:rFonts w:asciiTheme="minorEastAsia" w:hAnsiTheme="minorEastAsia"/>
                <w:b/>
                <w:szCs w:val="21"/>
              </w:rPr>
            </w:pPr>
            <w:r>
              <w:rPr>
                <w:rFonts w:hint="eastAsia" w:asciiTheme="minorEastAsia" w:hAnsiTheme="minorEastAsia"/>
                <w:b/>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1</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2</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3</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4</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5</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widowControl/>
              <w:spacing w:line="360" w:lineRule="auto"/>
              <w:jc w:val="center"/>
              <w:rPr>
                <w:rFonts w:asciiTheme="minorEastAsia" w:hAnsiTheme="minorEastAsia"/>
                <w:szCs w:val="21"/>
              </w:rPr>
            </w:pPr>
            <w:r>
              <w:rPr>
                <w:rFonts w:hint="eastAsia" w:asciiTheme="minorEastAsia" w:hAnsiTheme="minorEastAsia"/>
                <w:szCs w:val="21"/>
              </w:rPr>
              <w:t>......</w:t>
            </w:r>
          </w:p>
        </w:tc>
        <w:tc>
          <w:tcPr>
            <w:tcW w:w="3685" w:type="dxa"/>
          </w:tcPr>
          <w:p>
            <w:pPr>
              <w:widowControl/>
              <w:spacing w:line="360" w:lineRule="auto"/>
              <w:jc w:val="left"/>
              <w:rPr>
                <w:rFonts w:asciiTheme="minorEastAsia" w:hAnsiTheme="minorEastAsia"/>
                <w:szCs w:val="21"/>
              </w:rPr>
            </w:pP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536" w:type="dxa"/>
            <w:gridSpan w:val="2"/>
          </w:tcPr>
          <w:p>
            <w:pPr>
              <w:widowControl/>
              <w:spacing w:line="360" w:lineRule="auto"/>
              <w:jc w:val="center"/>
              <w:rPr>
                <w:rFonts w:asciiTheme="minorEastAsia" w:hAnsiTheme="minorEastAsia"/>
                <w:szCs w:val="21"/>
              </w:rPr>
            </w:pPr>
            <w:r>
              <w:rPr>
                <w:rFonts w:hint="eastAsia" w:asciiTheme="minorEastAsia" w:hAnsiTheme="minorEastAsia"/>
                <w:b/>
                <w:szCs w:val="21"/>
              </w:rPr>
              <w:t>合计报价</w:t>
            </w:r>
          </w:p>
        </w:tc>
        <w:tc>
          <w:tcPr>
            <w:tcW w:w="2694" w:type="dxa"/>
            <w:tcBorders>
              <w:right w:val="single" w:color="auto" w:sz="4" w:space="0"/>
            </w:tcBorders>
          </w:tcPr>
          <w:p>
            <w:pPr>
              <w:widowControl/>
              <w:spacing w:line="360" w:lineRule="auto"/>
              <w:jc w:val="left"/>
              <w:rPr>
                <w:rFonts w:asciiTheme="minorEastAsia" w:hAnsiTheme="minorEastAsia"/>
                <w:szCs w:val="21"/>
              </w:rPr>
            </w:pPr>
          </w:p>
        </w:tc>
        <w:tc>
          <w:tcPr>
            <w:tcW w:w="1559" w:type="dxa"/>
            <w:tcBorders>
              <w:left w:val="single" w:color="auto" w:sz="4" w:space="0"/>
            </w:tcBorders>
          </w:tcPr>
          <w:p>
            <w:pPr>
              <w:widowControl/>
              <w:spacing w:line="360" w:lineRule="auto"/>
              <w:jc w:val="left"/>
              <w:rPr>
                <w:rFonts w:asciiTheme="minorEastAsia" w:hAnsiTheme="minorEastAsia"/>
                <w:szCs w:val="21"/>
              </w:rPr>
            </w:pPr>
          </w:p>
        </w:tc>
      </w:tr>
    </w:tbl>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rPr>
        <w:t>投 标 人：</w:t>
      </w:r>
      <w:r>
        <w:rPr>
          <w:rFonts w:hint="eastAsia" w:asciiTheme="minorEastAsia" w:hAnsiTheme="minorEastAsia"/>
          <w:szCs w:val="21"/>
          <w:u w:val="single"/>
          <w:lang w:val="en-US" w:eastAsia="zh-CN"/>
        </w:rPr>
        <w:t xml:space="preserve">                     </w:t>
      </w:r>
      <w:r>
        <w:rPr>
          <w:rFonts w:hint="eastAsia" w:asciiTheme="minorEastAsia" w:hAnsiTheme="minorEastAsia"/>
          <w:szCs w:val="21"/>
        </w:rPr>
        <w:t>（盖单位</w:t>
      </w:r>
      <w:r>
        <w:rPr>
          <w:rFonts w:hint="eastAsia" w:asciiTheme="minorEastAsia" w:hAnsiTheme="minorEastAsia"/>
          <w:szCs w:val="21"/>
          <w:lang w:val="en-US" w:eastAsia="zh-CN"/>
        </w:rPr>
        <w:t>公</w:t>
      </w:r>
      <w:r>
        <w:rPr>
          <w:rFonts w:hint="eastAsia" w:asciiTheme="minorEastAsia" w:hAnsiTheme="minorEastAsia"/>
          <w:szCs w:val="21"/>
        </w:rPr>
        <w:t>章）</w:t>
      </w:r>
    </w:p>
    <w:p>
      <w:pPr>
        <w:widowControl/>
        <w:shd w:val="clear" w:color="auto" w:fill="FFFFFF"/>
        <w:snapToGrid w:val="0"/>
        <w:ind w:firstLine="420" w:firstLineChars="200"/>
        <w:jc w:val="right"/>
        <w:rPr>
          <w:rFonts w:asciiTheme="minorEastAsia" w:hAnsiTheme="minorEastAsia"/>
          <w:strike/>
          <w:color w:val="00B0F0"/>
          <w:szCs w:val="21"/>
        </w:rPr>
      </w:pPr>
    </w:p>
    <w:p>
      <w:pPr>
        <w:widowControl/>
        <w:shd w:val="clear" w:color="auto" w:fill="FFFFFF"/>
        <w:snapToGrid w:val="0"/>
        <w:ind w:firstLine="420" w:firstLineChars="200"/>
        <w:jc w:val="right"/>
        <w:rPr>
          <w:rFonts w:asciiTheme="minorEastAsia" w:hAnsiTheme="minorEastAsia"/>
          <w:szCs w:val="21"/>
        </w:rPr>
      </w:pPr>
      <w:r>
        <w:rPr>
          <w:rFonts w:hint="eastAsia" w:asciiTheme="minorEastAsia" w:hAnsiTheme="minorEastAsia"/>
          <w:szCs w:val="21"/>
          <w:u w:val="single"/>
          <w:lang w:val="en-US" w:eastAsia="zh-CN"/>
        </w:rPr>
        <w:t xml:space="preserve">             </w:t>
      </w:r>
      <w:r>
        <w:rPr>
          <w:rFonts w:hint="eastAsia" w:asciiTheme="minorEastAsia" w:hAnsiTheme="minorEastAsia"/>
          <w:szCs w:val="21"/>
        </w:rPr>
        <w:t>年</w:t>
      </w:r>
      <w:r>
        <w:rPr>
          <w:rFonts w:hint="eastAsia" w:asciiTheme="minorEastAsia" w:hAnsiTheme="minorEastAsia"/>
          <w:szCs w:val="21"/>
          <w:u w:val="single"/>
          <w:lang w:val="en-US" w:eastAsia="zh-CN"/>
        </w:rPr>
        <w:t xml:space="preserve">      </w:t>
      </w:r>
      <w:r>
        <w:rPr>
          <w:rFonts w:hint="eastAsia" w:asciiTheme="minorEastAsia" w:hAnsiTheme="minorEastAsia"/>
          <w:szCs w:val="21"/>
        </w:rPr>
        <w:t>月</w:t>
      </w:r>
      <w:r>
        <w:rPr>
          <w:rFonts w:hint="eastAsia" w:asciiTheme="minorEastAsia" w:hAnsiTheme="minorEastAsia"/>
          <w:szCs w:val="21"/>
          <w:u w:val="single"/>
          <w:lang w:val="en-US" w:eastAsia="zh-CN"/>
        </w:rPr>
        <w:t xml:space="preserve">     </w:t>
      </w:r>
      <w:r>
        <w:rPr>
          <w:rFonts w:hint="eastAsia" w:asciiTheme="minorEastAsia" w:hAnsiTheme="minorEastAsia"/>
          <w:szCs w:val="21"/>
        </w:rPr>
        <w:t>日</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rPr>
          <w:rFonts w:asciiTheme="minorEastAsia" w:hAnsiTheme="minorEastAsia"/>
          <w:szCs w:val="21"/>
        </w:rPr>
      </w:pPr>
      <w:r>
        <w:rPr>
          <w:rFonts w:asciiTheme="minorEastAsia" w:hAnsiTheme="minorEastAsia"/>
          <w:szCs w:val="21"/>
        </w:rPr>
        <w:br w:type="page"/>
      </w: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rFonts w:hint="eastAsia"/>
          <w:sz w:val="28"/>
          <w:szCs w:val="28"/>
        </w:rPr>
      </w:pPr>
      <w:bookmarkStart w:id="4395" w:name="_Toc511396212"/>
      <w:bookmarkStart w:id="4396" w:name="_Toc1251017539"/>
      <w:bookmarkStart w:id="4397" w:name="_Toc9740"/>
      <w:bookmarkStart w:id="4398" w:name="_Toc1540455820"/>
      <w:bookmarkStart w:id="4399" w:name="_Toc1003218891"/>
      <w:bookmarkStart w:id="4400" w:name="_Toc14623"/>
      <w:bookmarkStart w:id="4401" w:name="_Toc30785"/>
      <w:bookmarkStart w:id="4402" w:name="_Toc3984"/>
      <w:bookmarkStart w:id="4403" w:name="_Toc27278"/>
      <w:bookmarkStart w:id="4404" w:name="_Toc2114463766"/>
      <w:bookmarkStart w:id="4405" w:name="_Toc1111183028"/>
      <w:bookmarkStart w:id="4406" w:name="_Toc7186603"/>
      <w:bookmarkStart w:id="4407" w:name="_Toc434030297"/>
      <w:bookmarkStart w:id="4408" w:name="_Toc91100064"/>
      <w:bookmarkStart w:id="4409" w:name="_Toc613038773"/>
      <w:bookmarkStart w:id="4410" w:name="_Toc2140981776"/>
      <w:bookmarkStart w:id="4411" w:name="_Toc30356"/>
      <w:bookmarkStart w:id="4412" w:name="_Toc2849"/>
      <w:bookmarkStart w:id="4413" w:name="_Toc1557601545"/>
      <w:bookmarkStart w:id="4414" w:name="_Toc19326"/>
      <w:bookmarkStart w:id="4415" w:name="_Toc309782169"/>
      <w:bookmarkStart w:id="4416" w:name="_Toc515440861"/>
      <w:bookmarkStart w:id="4417" w:name="_Toc58623798"/>
      <w:bookmarkStart w:id="4418" w:name="_Toc21452043"/>
      <w:bookmarkStart w:id="4419" w:name="_Toc516823100"/>
      <w:bookmarkStart w:id="4420" w:name="_Toc516923689"/>
      <w:bookmarkStart w:id="4421" w:name="_Toc511396209"/>
      <w:bookmarkStart w:id="4422" w:name="_Toc1620996686"/>
      <w:bookmarkStart w:id="4423" w:name="_Toc512705726"/>
      <w:bookmarkStart w:id="4424" w:name="_Toc516823097"/>
      <w:bookmarkStart w:id="4425" w:name="_Toc17001"/>
      <w:bookmarkStart w:id="4426" w:name="_Toc274527439"/>
      <w:bookmarkStart w:id="4427" w:name="_Toc1839557283"/>
      <w:bookmarkStart w:id="4428" w:name="_Toc515440858"/>
      <w:bookmarkStart w:id="4429" w:name="_Toc1575167016"/>
      <w:bookmarkStart w:id="4430" w:name="_Toc8706"/>
      <w:bookmarkStart w:id="4431" w:name="_Toc1761517472"/>
      <w:bookmarkStart w:id="4432" w:name="_Toc114066720"/>
      <w:bookmarkStart w:id="4433" w:name="_Toc18709"/>
      <w:bookmarkStart w:id="4434" w:name="_Toc416"/>
      <w:bookmarkStart w:id="4435" w:name="_Toc1244449181"/>
      <w:bookmarkStart w:id="4436" w:name="_Toc1879149698"/>
      <w:bookmarkStart w:id="4437" w:name="_Toc450788018"/>
      <w:bookmarkStart w:id="4438" w:name="_Toc1947136358"/>
      <w:bookmarkStart w:id="4439" w:name="_Toc31916"/>
      <w:bookmarkStart w:id="4440" w:name="_Toc7423"/>
      <w:bookmarkStart w:id="4441" w:name="_Toc7186601"/>
      <w:bookmarkStart w:id="4442" w:name="_Toc2073905678"/>
      <w:bookmarkStart w:id="4443" w:name="_Toc1305069265"/>
      <w:bookmarkStart w:id="4444" w:name="_Toc259528299"/>
      <w:bookmarkStart w:id="4445" w:name="_Toc23954"/>
      <w:bookmarkStart w:id="4446" w:name="_Toc315773705"/>
      <w:bookmarkStart w:id="4447" w:name="_Toc511396219"/>
      <w:bookmarkStart w:id="4448" w:name="_Toc1892499598"/>
      <w:bookmarkStart w:id="4449" w:name="_Toc19379"/>
      <w:bookmarkStart w:id="4450" w:name="_Toc63356559"/>
      <w:bookmarkStart w:id="4451" w:name="_Toc100256010"/>
      <w:bookmarkStart w:id="4452" w:name="_Toc1519886824"/>
      <w:bookmarkStart w:id="4453" w:name="_Toc22695"/>
      <w:bookmarkStart w:id="4454" w:name="_Toc1983613451"/>
      <w:bookmarkStart w:id="4455" w:name="_Toc1667085791"/>
      <w:bookmarkStart w:id="4456" w:name="_Toc524102278"/>
      <w:bookmarkStart w:id="4457" w:name="_Toc596767609"/>
      <w:bookmarkStart w:id="4458" w:name="_Toc29239"/>
      <w:bookmarkStart w:id="4459" w:name="_Toc515440869"/>
      <w:bookmarkStart w:id="4460" w:name="_Toc1881391513"/>
      <w:bookmarkStart w:id="4461" w:name="_Toc17390"/>
      <w:bookmarkStart w:id="4462" w:name="_Toc1107129526"/>
      <w:bookmarkStart w:id="4463" w:name="_Toc29565"/>
      <w:bookmarkStart w:id="4464" w:name="_Toc516823108"/>
      <w:bookmarkStart w:id="4465" w:name="_Toc855743673"/>
      <w:bookmarkStart w:id="4466" w:name="_Toc2134534276"/>
      <w:bookmarkStart w:id="4467" w:name="_Toc7186612"/>
      <w:bookmarkStart w:id="4468" w:name="_Toc6995"/>
      <w:bookmarkStart w:id="4469" w:name="_Toc1138"/>
      <w:bookmarkStart w:id="4470" w:name="_Toc295035834"/>
      <w:r>
        <w:rPr>
          <w:rFonts w:hint="eastAsia"/>
          <w:sz w:val="28"/>
          <w:szCs w:val="28"/>
          <w:lang w:val="en-US" w:eastAsia="zh-CN"/>
        </w:rPr>
        <w:t>三</w:t>
      </w:r>
      <w:r>
        <w:rPr>
          <w:rFonts w:hint="eastAsia"/>
          <w:sz w:val="28"/>
          <w:szCs w:val="28"/>
        </w:rPr>
        <w:t>、拟委任的主要人员汇总表</w:t>
      </w:r>
      <w:bookmarkEnd w:id="4395"/>
      <w:r>
        <w:rPr>
          <w:rFonts w:hint="eastAsia"/>
          <w:sz w:val="28"/>
          <w:szCs w:val="28"/>
        </w:rPr>
        <w:t>（</w:t>
      </w:r>
      <w:r>
        <w:rPr>
          <w:rFonts w:hint="eastAsia"/>
          <w:sz w:val="28"/>
          <w:szCs w:val="28"/>
          <w:lang w:val="en-US" w:eastAsia="zh-CN"/>
        </w:rPr>
        <w:t>参考</w:t>
      </w:r>
      <w:r>
        <w:rPr>
          <w:rFonts w:hint="eastAsia"/>
          <w:sz w:val="28"/>
          <w:szCs w:val="28"/>
        </w:rPr>
        <w:t>格式）</w:t>
      </w:r>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p>
    <w:p/>
    <w:p>
      <w:pPr>
        <w:widowControl/>
        <w:shd w:val="clear" w:color="auto" w:fill="FFFFFF"/>
        <w:snapToGrid w:val="0"/>
        <w:jc w:val="center"/>
        <w:rPr>
          <w:rFonts w:asciiTheme="minorEastAsia" w:hAnsiTheme="minorEastAsia"/>
          <w:b/>
          <w:sz w:val="32"/>
          <w:szCs w:val="32"/>
        </w:rPr>
      </w:pPr>
      <w:r>
        <w:rPr>
          <w:rFonts w:hint="eastAsia" w:asciiTheme="minorEastAsia" w:hAnsiTheme="minorEastAsia"/>
          <w:b/>
          <w:sz w:val="32"/>
          <w:szCs w:val="32"/>
        </w:rPr>
        <w:t>拟委任的主要人员汇总表</w:t>
      </w:r>
    </w:p>
    <w:p>
      <w:pPr>
        <w:widowControl/>
        <w:shd w:val="clear" w:color="auto" w:fill="FFFFFF"/>
        <w:snapToGrid w:val="0"/>
        <w:ind w:firstLine="420" w:firstLineChars="200"/>
        <w:jc w:val="left"/>
        <w:rPr>
          <w:rFonts w:asciiTheme="minorEastAsia" w:hAnsiTheme="minorEastAsia"/>
          <w:szCs w:val="21"/>
        </w:rPr>
      </w:pPr>
    </w:p>
    <w:tbl>
      <w:tblPr>
        <w:tblStyle w:val="30"/>
        <w:tblW w:w="878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276"/>
        <w:gridCol w:w="850"/>
        <w:gridCol w:w="851"/>
        <w:gridCol w:w="992"/>
        <w:gridCol w:w="1276"/>
        <w:gridCol w:w="992"/>
        <w:gridCol w:w="992"/>
        <w:gridCol w:w="8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0" w:hRule="atLeast"/>
        </w:trPr>
        <w:tc>
          <w:tcPr>
            <w:tcW w:w="709" w:type="dxa"/>
            <w:vMerge w:val="restart"/>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序号</w:t>
            </w:r>
          </w:p>
        </w:tc>
        <w:tc>
          <w:tcPr>
            <w:tcW w:w="1276" w:type="dxa"/>
            <w:vMerge w:val="restart"/>
            <w:tcBorders>
              <w:right w:val="single" w:color="auto" w:sz="4" w:space="0"/>
            </w:tcBorders>
            <w:vAlign w:val="center"/>
          </w:tcPr>
          <w:p>
            <w:pPr>
              <w:widowControl/>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rPr>
              <w:t>任职</w:t>
            </w:r>
            <w:r>
              <w:rPr>
                <w:rFonts w:hint="eastAsia" w:asciiTheme="minorEastAsia" w:hAnsiTheme="minorEastAsia"/>
                <w:szCs w:val="21"/>
                <w:lang w:val="en-US" w:eastAsia="zh-CN"/>
              </w:rPr>
              <w:t>岗位</w:t>
            </w:r>
          </w:p>
        </w:tc>
        <w:tc>
          <w:tcPr>
            <w:tcW w:w="850" w:type="dxa"/>
            <w:vMerge w:val="restart"/>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姓名</w:t>
            </w:r>
          </w:p>
        </w:tc>
        <w:tc>
          <w:tcPr>
            <w:tcW w:w="851" w:type="dxa"/>
            <w:vMerge w:val="restart"/>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职称</w:t>
            </w:r>
          </w:p>
        </w:tc>
        <w:tc>
          <w:tcPr>
            <w:tcW w:w="992" w:type="dxa"/>
            <w:vMerge w:val="restart"/>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专业</w:t>
            </w:r>
          </w:p>
        </w:tc>
        <w:tc>
          <w:tcPr>
            <w:tcW w:w="3260" w:type="dxa"/>
            <w:gridSpan w:val="3"/>
            <w:tcBorders>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执业或职业资格证明</w:t>
            </w:r>
          </w:p>
        </w:tc>
        <w:tc>
          <w:tcPr>
            <w:tcW w:w="851" w:type="dxa"/>
            <w:tcBorders>
              <w:left w:val="single" w:color="auto" w:sz="4" w:space="0"/>
              <w:bottom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4" w:hRule="atLeast"/>
        </w:trPr>
        <w:tc>
          <w:tcPr>
            <w:tcW w:w="709" w:type="dxa"/>
            <w:vMerge w:val="continue"/>
            <w:vAlign w:val="center"/>
          </w:tcPr>
          <w:p>
            <w:pPr>
              <w:widowControl/>
              <w:spacing w:line="360" w:lineRule="auto"/>
              <w:jc w:val="center"/>
              <w:rPr>
                <w:rFonts w:asciiTheme="minorEastAsia" w:hAnsiTheme="minorEastAsia"/>
                <w:szCs w:val="21"/>
              </w:rPr>
            </w:pPr>
          </w:p>
        </w:tc>
        <w:tc>
          <w:tcPr>
            <w:tcW w:w="1276" w:type="dxa"/>
            <w:vMerge w:val="continue"/>
            <w:tcBorders>
              <w:right w:val="single" w:color="auto" w:sz="4" w:space="0"/>
            </w:tcBorders>
            <w:vAlign w:val="center"/>
          </w:tcPr>
          <w:p>
            <w:pPr>
              <w:widowControl/>
              <w:spacing w:line="360" w:lineRule="auto"/>
              <w:jc w:val="center"/>
              <w:rPr>
                <w:rFonts w:asciiTheme="minorEastAsia" w:hAnsiTheme="minorEastAsia"/>
                <w:szCs w:val="21"/>
              </w:rPr>
            </w:pPr>
          </w:p>
        </w:tc>
        <w:tc>
          <w:tcPr>
            <w:tcW w:w="850"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851"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992"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证书名称</w:t>
            </w:r>
          </w:p>
        </w:tc>
        <w:tc>
          <w:tcPr>
            <w:tcW w:w="992" w:type="dxa"/>
            <w:tcBorders>
              <w:top w:val="single" w:color="auto" w:sz="4" w:space="0"/>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级别</w:t>
            </w:r>
          </w:p>
        </w:tc>
        <w:tc>
          <w:tcPr>
            <w:tcW w:w="992" w:type="dxa"/>
            <w:tcBorders>
              <w:top w:val="single" w:color="auto" w:sz="4" w:space="0"/>
              <w:left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证号</w:t>
            </w:r>
          </w:p>
        </w:tc>
        <w:tc>
          <w:tcPr>
            <w:tcW w:w="851" w:type="dxa"/>
            <w:tcBorders>
              <w:top w:val="single" w:color="auto" w:sz="4" w:space="0"/>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45" w:hRule="atLeast"/>
        </w:trPr>
        <w:tc>
          <w:tcPr>
            <w:tcW w:w="709" w:type="dxa"/>
            <w:tcBorders>
              <w:bottom w:val="single" w:color="auto" w:sz="4" w:space="0"/>
            </w:tcBorders>
          </w:tcPr>
          <w:p>
            <w:pPr>
              <w:widowControl/>
              <w:spacing w:line="360" w:lineRule="auto"/>
              <w:jc w:val="center"/>
              <w:rPr>
                <w:rFonts w:asciiTheme="minorEastAsia" w:hAnsiTheme="minorEastAsia"/>
                <w:szCs w:val="21"/>
              </w:rPr>
            </w:pPr>
          </w:p>
        </w:tc>
        <w:tc>
          <w:tcPr>
            <w:tcW w:w="1276" w:type="dxa"/>
            <w:tcBorders>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3"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8"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3"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right w:val="single" w:color="auto" w:sz="4" w:space="0"/>
            </w:tcBorders>
          </w:tcPr>
          <w:p>
            <w:pPr>
              <w:widowControl/>
              <w:spacing w:line="360" w:lineRule="auto"/>
              <w:jc w:val="center"/>
              <w:rPr>
                <w:rFonts w:asciiTheme="minorEastAsia" w:hAnsiTheme="minorEastAsia"/>
                <w:szCs w:val="21"/>
              </w:rPr>
            </w:pPr>
          </w:p>
        </w:tc>
        <w:tc>
          <w:tcPr>
            <w:tcW w:w="850"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top w:val="single" w:color="auto" w:sz="4" w:space="0"/>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8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76"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992"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851" w:type="dxa"/>
            <w:tcBorders>
              <w:left w:val="single" w:color="auto" w:sz="4" w:space="0"/>
            </w:tcBorders>
          </w:tcPr>
          <w:p>
            <w:pPr>
              <w:widowControl/>
              <w:spacing w:line="360" w:lineRule="auto"/>
              <w:jc w:val="center"/>
              <w:rPr>
                <w:rFonts w:asciiTheme="minorEastAsia" w:hAnsiTheme="minorEastAsia"/>
                <w:szCs w:val="21"/>
              </w:rPr>
            </w:pPr>
          </w:p>
        </w:tc>
      </w:tr>
    </w:tbl>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rPr>
          <w:rFonts w:hint="eastAsia"/>
          <w:sz w:val="28"/>
          <w:szCs w:val="28"/>
          <w:lang w:val="en-US" w:eastAsia="zh-CN"/>
        </w:rPr>
      </w:pPr>
      <w:bookmarkStart w:id="4471" w:name="_Toc511396213"/>
      <w:bookmarkStart w:id="4472" w:name="_Toc7186604"/>
      <w:bookmarkStart w:id="4473" w:name="_Toc21818"/>
      <w:bookmarkStart w:id="4474" w:name="_Toc244720100"/>
      <w:bookmarkStart w:id="4475" w:name="_Toc1914717652"/>
      <w:bookmarkStart w:id="4476" w:name="_Toc4834"/>
      <w:bookmarkStart w:id="4477" w:name="_Toc1986873843"/>
      <w:bookmarkStart w:id="4478" w:name="_Toc1892736467"/>
      <w:bookmarkStart w:id="4479" w:name="_Toc18795"/>
      <w:bookmarkStart w:id="4480" w:name="_Toc29990"/>
      <w:bookmarkStart w:id="4481" w:name="_Toc2902"/>
      <w:bookmarkStart w:id="4482" w:name="_Toc1205788440"/>
      <w:bookmarkStart w:id="4483" w:name="_Toc1233124606"/>
      <w:bookmarkStart w:id="4484" w:name="_Toc1365088908"/>
      <w:bookmarkStart w:id="4485" w:name="_Toc2110418984"/>
      <w:bookmarkStart w:id="4486" w:name="_Toc1008554055"/>
      <w:bookmarkStart w:id="4487" w:name="_Toc515440862"/>
      <w:bookmarkStart w:id="4488" w:name="_Toc1863603152"/>
      <w:bookmarkStart w:id="4489" w:name="_Toc783509885"/>
      <w:bookmarkStart w:id="4490" w:name="_Toc21059"/>
      <w:bookmarkStart w:id="4491" w:name="_Toc28884"/>
      <w:bookmarkStart w:id="4492" w:name="_Toc378118508"/>
      <w:bookmarkStart w:id="4493" w:name="_Toc1135357284"/>
      <w:bookmarkStart w:id="4494" w:name="_Toc1742662660"/>
      <w:bookmarkStart w:id="4495" w:name="_Toc516823101"/>
      <w:r>
        <w:rPr>
          <w:rFonts w:hint="eastAsia"/>
          <w:sz w:val="28"/>
          <w:szCs w:val="28"/>
          <w:lang w:val="en-US" w:eastAsia="zh-CN"/>
        </w:rPr>
        <w:br w:type="page"/>
      </w:r>
    </w:p>
    <w:p>
      <w:pPr>
        <w:pStyle w:val="4"/>
        <w:spacing w:before="0" w:after="0" w:line="520" w:lineRule="exact"/>
        <w:rPr>
          <w:rFonts w:hint="eastAsia"/>
          <w:sz w:val="28"/>
          <w:szCs w:val="28"/>
        </w:rPr>
      </w:pPr>
      <w:bookmarkStart w:id="4496" w:name="_Toc24467"/>
      <w:r>
        <w:rPr>
          <w:rFonts w:hint="eastAsia"/>
          <w:sz w:val="28"/>
          <w:szCs w:val="28"/>
          <w:lang w:val="en-US" w:eastAsia="zh-CN"/>
        </w:rPr>
        <w:t>四</w:t>
      </w:r>
      <w:r>
        <w:rPr>
          <w:rFonts w:hint="eastAsia"/>
          <w:sz w:val="28"/>
          <w:szCs w:val="28"/>
        </w:rPr>
        <w:t>、主要人员简历表</w:t>
      </w:r>
      <w:bookmarkEnd w:id="4471"/>
      <w:r>
        <w:rPr>
          <w:rFonts w:hint="eastAsia"/>
          <w:sz w:val="28"/>
          <w:szCs w:val="28"/>
        </w:rPr>
        <w:t>（</w:t>
      </w:r>
      <w:r>
        <w:rPr>
          <w:rFonts w:hint="eastAsia"/>
          <w:sz w:val="28"/>
          <w:szCs w:val="28"/>
          <w:lang w:val="en-US" w:eastAsia="zh-CN"/>
        </w:rPr>
        <w:t>参考</w:t>
      </w:r>
      <w:r>
        <w:rPr>
          <w:rFonts w:hint="eastAsia"/>
          <w:sz w:val="28"/>
          <w:szCs w:val="28"/>
        </w:rPr>
        <w:t>格式）</w:t>
      </w:r>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p>
    <w:p/>
    <w:p>
      <w:pPr>
        <w:widowControl/>
        <w:shd w:val="clear" w:color="auto" w:fill="FFFFFF"/>
        <w:snapToGrid w:val="0"/>
        <w:jc w:val="center"/>
        <w:rPr>
          <w:rFonts w:asciiTheme="minorEastAsia" w:hAnsiTheme="minorEastAsia"/>
          <w:b/>
          <w:sz w:val="32"/>
          <w:szCs w:val="32"/>
        </w:rPr>
      </w:pPr>
      <w:r>
        <w:rPr>
          <w:rFonts w:hint="eastAsia" w:asciiTheme="minorEastAsia" w:hAnsiTheme="minorEastAsia"/>
          <w:b/>
          <w:sz w:val="32"/>
          <w:szCs w:val="32"/>
        </w:rPr>
        <w:t>主要人员简历表</w:t>
      </w:r>
    </w:p>
    <w:p>
      <w:pPr>
        <w:widowControl/>
        <w:shd w:val="clear" w:color="auto" w:fill="FFFFFF"/>
        <w:snapToGrid w:val="0"/>
        <w:ind w:firstLine="420" w:firstLineChars="200"/>
        <w:jc w:val="left"/>
        <w:rPr>
          <w:rFonts w:asciiTheme="minorEastAsia" w:hAnsiTheme="minorEastAsia"/>
          <w:szCs w:val="21"/>
        </w:rPr>
      </w:pPr>
    </w:p>
    <w:tbl>
      <w:tblPr>
        <w:tblStyle w:val="30"/>
        <w:tblW w:w="878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4"/>
        <w:gridCol w:w="284"/>
        <w:gridCol w:w="992"/>
        <w:gridCol w:w="1134"/>
        <w:gridCol w:w="1276"/>
        <w:gridCol w:w="367"/>
        <w:gridCol w:w="1334"/>
        <w:gridCol w:w="876"/>
        <w:gridCol w:w="13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姓名</w:t>
            </w:r>
          </w:p>
        </w:tc>
        <w:tc>
          <w:tcPr>
            <w:tcW w:w="1276" w:type="dxa"/>
            <w:gridSpan w:val="2"/>
            <w:tcBorders>
              <w:right w:val="single" w:color="auto" w:sz="4" w:space="0"/>
            </w:tcBorders>
            <w:vAlign w:val="center"/>
          </w:tcPr>
          <w:p>
            <w:pPr>
              <w:widowControl/>
              <w:spacing w:line="360" w:lineRule="auto"/>
              <w:jc w:val="center"/>
              <w:rPr>
                <w:rFonts w:asciiTheme="minorEastAsia" w:hAnsiTheme="minorEastAsia"/>
                <w:szCs w:val="21"/>
              </w:rPr>
            </w:pPr>
          </w:p>
        </w:tc>
        <w:tc>
          <w:tcPr>
            <w:tcW w:w="1134" w:type="dxa"/>
            <w:tcBorders>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年龄</w:t>
            </w:r>
          </w:p>
        </w:tc>
        <w:tc>
          <w:tcPr>
            <w:tcW w:w="1276" w:type="dxa"/>
            <w:tcBorders>
              <w:right w:val="single" w:color="auto" w:sz="4" w:space="0"/>
            </w:tcBorders>
            <w:vAlign w:val="center"/>
          </w:tcPr>
          <w:p>
            <w:pPr>
              <w:widowControl/>
              <w:spacing w:line="360" w:lineRule="auto"/>
              <w:jc w:val="center"/>
              <w:rPr>
                <w:rFonts w:asciiTheme="minorEastAsia" w:hAnsiTheme="minorEastAsia"/>
                <w:szCs w:val="21"/>
              </w:rPr>
            </w:pPr>
          </w:p>
        </w:tc>
        <w:tc>
          <w:tcPr>
            <w:tcW w:w="2577" w:type="dxa"/>
            <w:gridSpan w:val="3"/>
            <w:tcBorders>
              <w:left w:val="single" w:color="auto" w:sz="4" w:space="0"/>
              <w:right w:val="single" w:color="auto" w:sz="4" w:space="0"/>
            </w:tcBorders>
            <w:vAlign w:val="center"/>
          </w:tcPr>
          <w:p>
            <w:pPr>
              <w:widowControl/>
              <w:spacing w:line="360" w:lineRule="auto"/>
              <w:jc w:val="center"/>
              <w:rPr>
                <w:rFonts w:hint="eastAsia" w:asciiTheme="minorEastAsia" w:hAnsiTheme="minorEastAsia" w:eastAsiaTheme="minorEastAsia"/>
                <w:szCs w:val="21"/>
                <w:lang w:eastAsia="zh-CN"/>
              </w:rPr>
            </w:pPr>
            <w:r>
              <w:rPr>
                <w:rFonts w:hint="eastAsia" w:asciiTheme="minorEastAsia" w:hAnsiTheme="minorEastAsia"/>
                <w:szCs w:val="21"/>
              </w:rPr>
              <w:t>执业资格证书</w:t>
            </w:r>
            <w:r>
              <w:rPr>
                <w:rFonts w:hint="eastAsia" w:asciiTheme="minorEastAsia" w:hAnsiTheme="minorEastAsia"/>
                <w:szCs w:val="21"/>
                <w:lang w:eastAsia="zh-CN"/>
              </w:rPr>
              <w:t>（</w:t>
            </w:r>
            <w:r>
              <w:rPr>
                <w:rFonts w:hint="eastAsia" w:asciiTheme="minorEastAsia" w:hAnsiTheme="minorEastAsia"/>
                <w:szCs w:val="21"/>
                <w:lang w:val="en-US" w:eastAsia="zh-CN"/>
              </w:rPr>
              <w:t>如有</w:t>
            </w:r>
            <w:r>
              <w:rPr>
                <w:rFonts w:hint="eastAsia" w:asciiTheme="minorEastAsia" w:hAnsiTheme="minorEastAsia"/>
                <w:szCs w:val="21"/>
                <w:lang w:eastAsia="zh-CN"/>
              </w:rPr>
              <w:t>）</w:t>
            </w:r>
          </w:p>
          <w:p>
            <w:pPr>
              <w:widowControl/>
              <w:spacing w:line="360" w:lineRule="auto"/>
              <w:jc w:val="center"/>
              <w:rPr>
                <w:rFonts w:asciiTheme="minorEastAsia" w:hAnsiTheme="minorEastAsia"/>
                <w:szCs w:val="21"/>
              </w:rPr>
            </w:pPr>
            <w:r>
              <w:rPr>
                <w:rFonts w:hint="eastAsia" w:asciiTheme="minorEastAsia" w:hAnsiTheme="minorEastAsia"/>
                <w:szCs w:val="21"/>
              </w:rPr>
              <w:t>（或上岗证书）名称</w:t>
            </w:r>
          </w:p>
        </w:tc>
        <w:tc>
          <w:tcPr>
            <w:tcW w:w="1392" w:type="dxa"/>
            <w:tcBorders>
              <w:left w:val="single" w:color="auto" w:sz="4" w:space="0"/>
            </w:tcBorders>
            <w:vAlign w:val="center"/>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tcPr>
          <w:p>
            <w:pPr>
              <w:widowControl/>
              <w:spacing w:line="360" w:lineRule="auto"/>
              <w:jc w:val="center"/>
              <w:rPr>
                <w:rFonts w:asciiTheme="minorEastAsia" w:hAnsiTheme="minorEastAsia"/>
                <w:szCs w:val="21"/>
              </w:rPr>
            </w:pPr>
            <w:r>
              <w:rPr>
                <w:rFonts w:hint="eastAsia" w:asciiTheme="minorEastAsia" w:hAnsiTheme="minorEastAsia"/>
                <w:szCs w:val="21"/>
              </w:rPr>
              <w:t>职称</w:t>
            </w:r>
          </w:p>
        </w:tc>
        <w:tc>
          <w:tcPr>
            <w:tcW w:w="1276" w:type="dxa"/>
            <w:gridSpan w:val="2"/>
            <w:tcBorders>
              <w:right w:val="single" w:color="auto" w:sz="4" w:space="0"/>
            </w:tcBorders>
          </w:tcPr>
          <w:p>
            <w:pPr>
              <w:widowControl/>
              <w:spacing w:line="360" w:lineRule="auto"/>
              <w:jc w:val="center"/>
              <w:rPr>
                <w:rFonts w:asciiTheme="minorEastAsia" w:hAnsiTheme="minorEastAsia"/>
                <w:szCs w:val="21"/>
              </w:rPr>
            </w:pPr>
          </w:p>
        </w:tc>
        <w:tc>
          <w:tcPr>
            <w:tcW w:w="1134" w:type="dxa"/>
            <w:tcBorders>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学历</w:t>
            </w:r>
          </w:p>
        </w:tc>
        <w:tc>
          <w:tcPr>
            <w:tcW w:w="1276" w:type="dxa"/>
            <w:tcBorders>
              <w:right w:val="single" w:color="auto" w:sz="4" w:space="0"/>
            </w:tcBorders>
          </w:tcPr>
          <w:p>
            <w:pPr>
              <w:widowControl/>
              <w:spacing w:line="360" w:lineRule="auto"/>
              <w:jc w:val="center"/>
              <w:rPr>
                <w:rFonts w:asciiTheme="minorEastAsia" w:hAnsiTheme="minorEastAsia"/>
                <w:szCs w:val="21"/>
              </w:rPr>
            </w:pPr>
          </w:p>
        </w:tc>
        <w:tc>
          <w:tcPr>
            <w:tcW w:w="2577" w:type="dxa"/>
            <w:gridSpan w:val="3"/>
            <w:tcBorders>
              <w:left w:val="single" w:color="auto" w:sz="4" w:space="0"/>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拟在本项目任职</w:t>
            </w:r>
          </w:p>
        </w:tc>
        <w:tc>
          <w:tcPr>
            <w:tcW w:w="1392"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tcPr>
          <w:p>
            <w:pPr>
              <w:widowControl/>
              <w:spacing w:line="360" w:lineRule="auto"/>
              <w:jc w:val="center"/>
              <w:rPr>
                <w:rFonts w:asciiTheme="minorEastAsia" w:hAnsiTheme="minorEastAsia"/>
                <w:szCs w:val="21"/>
              </w:rPr>
            </w:pPr>
            <w:r>
              <w:rPr>
                <w:rFonts w:hint="eastAsia" w:asciiTheme="minorEastAsia" w:hAnsiTheme="minorEastAsia"/>
                <w:szCs w:val="21"/>
              </w:rPr>
              <w:t>工作年限</w:t>
            </w:r>
          </w:p>
        </w:tc>
        <w:tc>
          <w:tcPr>
            <w:tcW w:w="3686" w:type="dxa"/>
            <w:gridSpan w:val="4"/>
            <w:tcBorders>
              <w:right w:val="single" w:color="auto" w:sz="4" w:space="0"/>
            </w:tcBorders>
          </w:tcPr>
          <w:p>
            <w:pPr>
              <w:widowControl/>
              <w:spacing w:line="360" w:lineRule="auto"/>
              <w:jc w:val="center"/>
              <w:rPr>
                <w:rFonts w:asciiTheme="minorEastAsia" w:hAnsiTheme="minorEastAsia"/>
                <w:szCs w:val="21"/>
              </w:rPr>
            </w:pPr>
          </w:p>
        </w:tc>
        <w:tc>
          <w:tcPr>
            <w:tcW w:w="2577" w:type="dxa"/>
            <w:gridSpan w:val="3"/>
            <w:tcBorders>
              <w:left w:val="single" w:color="auto" w:sz="4" w:space="0"/>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从事</w:t>
            </w:r>
            <w:r>
              <w:rPr>
                <w:rFonts w:hint="eastAsia" w:asciiTheme="minorEastAsia" w:hAnsiTheme="minorEastAsia"/>
                <w:szCs w:val="21"/>
                <w:lang w:val="en-US" w:eastAsia="zh-Hans"/>
              </w:rPr>
              <w:t>勘察</w:t>
            </w:r>
            <w:r>
              <w:rPr>
                <w:rFonts w:hint="default" w:asciiTheme="minorEastAsia" w:hAnsiTheme="minorEastAsia"/>
                <w:szCs w:val="21"/>
                <w:lang w:eastAsia="zh-Hans"/>
              </w:rPr>
              <w:t>/</w:t>
            </w:r>
            <w:r>
              <w:rPr>
                <w:rFonts w:hint="eastAsia" w:asciiTheme="minorEastAsia" w:hAnsiTheme="minorEastAsia"/>
                <w:szCs w:val="21"/>
              </w:rPr>
              <w:t>设计工作年限</w:t>
            </w:r>
          </w:p>
        </w:tc>
        <w:tc>
          <w:tcPr>
            <w:tcW w:w="1392"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134" w:type="dxa"/>
          </w:tcPr>
          <w:p>
            <w:pPr>
              <w:widowControl/>
              <w:spacing w:line="360" w:lineRule="auto"/>
              <w:jc w:val="center"/>
              <w:rPr>
                <w:rFonts w:asciiTheme="minorEastAsia" w:hAnsiTheme="minorEastAsia"/>
                <w:szCs w:val="21"/>
              </w:rPr>
            </w:pPr>
            <w:r>
              <w:rPr>
                <w:rFonts w:hint="eastAsia" w:asciiTheme="minorEastAsia" w:hAnsiTheme="minorEastAsia"/>
                <w:szCs w:val="21"/>
              </w:rPr>
              <w:t>毕业学校</w:t>
            </w:r>
          </w:p>
        </w:tc>
        <w:tc>
          <w:tcPr>
            <w:tcW w:w="7655" w:type="dxa"/>
            <w:gridSpan w:val="8"/>
          </w:tcPr>
          <w:p>
            <w:pPr>
              <w:widowControl/>
              <w:spacing w:line="360" w:lineRule="auto"/>
              <w:jc w:val="center"/>
              <w:rPr>
                <w:rFonts w:asciiTheme="minorEastAsia" w:hAnsiTheme="minorEastAsia"/>
                <w:szCs w:val="21"/>
              </w:rPr>
            </w:pPr>
            <w:r>
              <w:rPr>
                <w:rFonts w:hint="eastAsia" w:asciiTheme="minorEastAsia" w:hAnsiTheme="minorEastAsia"/>
                <w:szCs w:val="21"/>
              </w:rPr>
              <w:t>年毕业于                学校             专业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789" w:type="dxa"/>
            <w:gridSpan w:val="9"/>
          </w:tcPr>
          <w:p>
            <w:pPr>
              <w:widowControl/>
              <w:spacing w:line="360" w:lineRule="auto"/>
              <w:jc w:val="center"/>
              <w:rPr>
                <w:rFonts w:asciiTheme="minorEastAsia" w:hAnsiTheme="minorEastAsia"/>
                <w:szCs w:val="21"/>
              </w:rPr>
            </w:pPr>
            <w:r>
              <w:rPr>
                <w:rFonts w:hint="eastAsia" w:asciiTheme="minorEastAsia" w:hAnsiTheme="minorEastAsia"/>
                <w:szCs w:val="21"/>
              </w:rPr>
              <w:t>主要工作经历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r>
              <w:rPr>
                <w:rFonts w:hint="eastAsia" w:asciiTheme="minorEastAsia" w:hAnsiTheme="minorEastAsia"/>
                <w:szCs w:val="21"/>
              </w:rPr>
              <w:t>时 间</w:t>
            </w: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参加过的类似项目</w:t>
            </w: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担任职务</w:t>
            </w: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r>
              <w:rPr>
                <w:rFonts w:hint="eastAsia" w:asciiTheme="minorEastAsia" w:hAnsiTheme="minorEastAsia"/>
                <w:szCs w:val="21"/>
              </w:rPr>
              <w:t>发包人及联系电话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18" w:type="dxa"/>
            <w:gridSpan w:val="2"/>
          </w:tcPr>
          <w:p>
            <w:pPr>
              <w:widowControl/>
              <w:spacing w:line="360" w:lineRule="auto"/>
              <w:jc w:val="center"/>
              <w:rPr>
                <w:rFonts w:asciiTheme="minorEastAsia" w:hAnsiTheme="minorEastAsia"/>
                <w:szCs w:val="21"/>
              </w:rPr>
            </w:pPr>
          </w:p>
        </w:tc>
        <w:tc>
          <w:tcPr>
            <w:tcW w:w="3769" w:type="dxa"/>
            <w:gridSpan w:val="4"/>
            <w:tcBorders>
              <w:right w:val="single" w:color="auto" w:sz="4" w:space="0"/>
            </w:tcBorders>
          </w:tcPr>
          <w:p>
            <w:pPr>
              <w:widowControl/>
              <w:spacing w:line="360" w:lineRule="auto"/>
              <w:jc w:val="center"/>
              <w:rPr>
                <w:rFonts w:asciiTheme="minorEastAsia" w:hAnsiTheme="minorEastAsia"/>
                <w:szCs w:val="21"/>
              </w:rPr>
            </w:pPr>
          </w:p>
        </w:tc>
        <w:tc>
          <w:tcPr>
            <w:tcW w:w="1334"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268" w:type="dxa"/>
            <w:gridSpan w:val="2"/>
            <w:tcBorders>
              <w:left w:val="single" w:color="auto" w:sz="4" w:space="0"/>
            </w:tcBorders>
          </w:tcPr>
          <w:p>
            <w:pPr>
              <w:widowControl/>
              <w:spacing w:line="360" w:lineRule="auto"/>
              <w:jc w:val="center"/>
              <w:rPr>
                <w:rFonts w:asciiTheme="minorEastAsia" w:hAnsiTheme="minorEastAsia"/>
                <w:szCs w:val="21"/>
              </w:rPr>
            </w:pPr>
          </w:p>
        </w:tc>
      </w:tr>
    </w:tbl>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szCs w:val="21"/>
          <w:highlight w:val="none"/>
        </w:rPr>
      </w:pPr>
      <w:r>
        <w:rPr>
          <w:rFonts w:hint="eastAsia" w:asciiTheme="minorEastAsia" w:hAnsiTheme="minorEastAsia"/>
          <w:szCs w:val="21"/>
          <w:highlight w:val="none"/>
        </w:rPr>
        <w:t>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2"/>
          <w:sz w:val="21"/>
          <w:szCs w:val="21"/>
          <w:highlight w:val="none"/>
          <w:lang w:val="en-US" w:eastAsia="zh-CN" w:bidi="ar-SA"/>
        </w:rPr>
        <w:t>1.填报须包括第二章第1.4.1项规定的</w:t>
      </w:r>
      <w:r>
        <w:rPr>
          <w:rFonts w:hint="eastAsia" w:asciiTheme="minorEastAsia" w:hAnsi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kern w:val="2"/>
          <w:sz w:val="21"/>
          <w:szCs w:val="21"/>
          <w:highlight w:val="none"/>
          <w:lang w:val="en-US" w:eastAsia="zh-CN" w:bidi="ar-SA"/>
        </w:rPr>
        <w:t>项目负责人</w:t>
      </w:r>
      <w:r>
        <w:rPr>
          <w:rFonts w:hint="eastAsia" w:asciiTheme="minorEastAsia" w:hAnsi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kern w:val="2"/>
          <w:sz w:val="21"/>
          <w:szCs w:val="21"/>
          <w:highlight w:val="none"/>
          <w:lang w:val="en-US" w:eastAsia="zh-CN" w:bidi="ar-SA"/>
        </w:rPr>
        <w:t>和</w:t>
      </w:r>
      <w:r>
        <w:rPr>
          <w:rFonts w:hint="eastAsia" w:asciiTheme="minorEastAsia" w:hAnsi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kern w:val="2"/>
          <w:sz w:val="21"/>
          <w:szCs w:val="21"/>
          <w:highlight w:val="none"/>
          <w:lang w:val="en-US" w:eastAsia="zh-CN" w:bidi="ar-SA"/>
        </w:rPr>
        <w:t>其他主要人员</w:t>
      </w:r>
      <w:r>
        <w:rPr>
          <w:rFonts w:hint="eastAsia" w:asciiTheme="minorEastAsia" w:hAnsi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kern w:val="2"/>
          <w:sz w:val="21"/>
          <w:szCs w:val="21"/>
          <w:highlight w:val="none"/>
          <w:lang w:val="en-US" w:eastAsia="zh-CN" w:bidi="ar-SA"/>
        </w:rPr>
        <w:t>的相关信息。</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2"/>
          <w:sz w:val="21"/>
          <w:szCs w:val="21"/>
          <w:highlight w:val="none"/>
          <w:lang w:val="en-US" w:eastAsia="zh-CN" w:bidi="ar-SA"/>
        </w:rPr>
        <w:t>2.项目负责人应附身份证、学历证、职称证、执业资格证书（如有）和“五险一金”缴费证明扫描件。管理过的项目业绩以中标（成交）通知书、合同文件、批复文件（可研批复或初设批复或实施方案批复）或验收鉴定书（完工验收鉴定书或竣工验收鉴定书或发包人证明材料）为准，证明材料必须载明项目负责人（项目总设计师）姓名，证明材料必须与全国水利建设市场监管平台填报公示信息一致，不一致的不予认定；</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上述发包人证明须经发包人加盖公章。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kern w:val="2"/>
          <w:sz w:val="21"/>
          <w:szCs w:val="21"/>
          <w:highlight w:val="none"/>
          <w:lang w:val="en-US" w:eastAsia="zh-CN" w:bidi="ar-SA"/>
        </w:rPr>
        <w:t>其他主要人员应附身份证、学历证、职称证、有关证书（如有）和“五险一金”缴费证明扫描件。</w:t>
      </w:r>
    </w:p>
    <w:p>
      <w:pPr>
        <w:rPr>
          <w:rFonts w:hint="eastAsia"/>
          <w:sz w:val="28"/>
          <w:szCs w:val="28"/>
          <w:lang w:val="en-US" w:eastAsia="zh-CN"/>
        </w:rPr>
      </w:pPr>
      <w:r>
        <w:rPr>
          <w:rFonts w:hint="eastAsia"/>
          <w:sz w:val="28"/>
          <w:szCs w:val="28"/>
          <w:lang w:val="en-US" w:eastAsia="zh-CN"/>
        </w:rPr>
        <w:br w:type="page"/>
      </w:r>
    </w:p>
    <w:p>
      <w:pPr>
        <w:pStyle w:val="4"/>
        <w:spacing w:before="0" w:after="0" w:line="520" w:lineRule="exact"/>
        <w:rPr>
          <w:rFonts w:hint="eastAsia"/>
          <w:sz w:val="28"/>
          <w:szCs w:val="28"/>
        </w:rPr>
      </w:pPr>
      <w:bookmarkStart w:id="4497" w:name="_Toc22085"/>
      <w:r>
        <w:rPr>
          <w:rFonts w:hint="eastAsia"/>
          <w:sz w:val="28"/>
          <w:szCs w:val="28"/>
          <w:lang w:val="en-US" w:eastAsia="zh-CN"/>
        </w:rPr>
        <w:t>五</w:t>
      </w:r>
      <w:r>
        <w:rPr>
          <w:rFonts w:hint="eastAsia"/>
          <w:sz w:val="28"/>
          <w:szCs w:val="28"/>
        </w:rPr>
        <w:t>、</w:t>
      </w:r>
      <w:bookmarkEnd w:id="4421"/>
      <w:r>
        <w:rPr>
          <w:rFonts w:hint="eastAsia"/>
          <w:sz w:val="28"/>
          <w:szCs w:val="28"/>
          <w:lang w:val="en-US" w:eastAsia="zh-CN"/>
        </w:rPr>
        <w:t>业绩证明材料</w:t>
      </w:r>
      <w:r>
        <w:rPr>
          <w:rFonts w:hint="eastAsia"/>
          <w:sz w:val="28"/>
          <w:szCs w:val="28"/>
        </w:rPr>
        <w:t>（</w:t>
      </w:r>
      <w:r>
        <w:rPr>
          <w:rFonts w:hint="eastAsia"/>
          <w:sz w:val="28"/>
          <w:szCs w:val="28"/>
          <w:lang w:val="en-US" w:eastAsia="zh-CN"/>
        </w:rPr>
        <w:t>参考</w:t>
      </w:r>
      <w:r>
        <w:rPr>
          <w:rFonts w:hint="eastAsia"/>
          <w:sz w:val="28"/>
          <w:szCs w:val="28"/>
        </w:rPr>
        <w:t>格式）</w:t>
      </w:r>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97"/>
    </w:p>
    <w:p/>
    <w:p>
      <w:pPr>
        <w:widowControl/>
        <w:shd w:val="clear" w:color="auto" w:fill="FFFFFF"/>
        <w:snapToGrid w:val="0"/>
        <w:jc w:val="center"/>
        <w:rPr>
          <w:rFonts w:asciiTheme="minorEastAsia" w:hAnsiTheme="minorEastAsia"/>
          <w:b/>
          <w:sz w:val="32"/>
          <w:szCs w:val="32"/>
        </w:rPr>
      </w:pPr>
      <w:r>
        <w:rPr>
          <w:rFonts w:hint="eastAsia" w:asciiTheme="minorEastAsia" w:hAnsiTheme="minorEastAsia"/>
          <w:b/>
          <w:sz w:val="32"/>
          <w:szCs w:val="32"/>
          <w:lang w:eastAsia="zh-CN"/>
        </w:rPr>
        <w:t>（</w:t>
      </w:r>
      <w:r>
        <w:rPr>
          <w:rFonts w:hint="eastAsia" w:asciiTheme="minorEastAsia" w:hAnsiTheme="minorEastAsia"/>
          <w:b/>
          <w:sz w:val="32"/>
          <w:szCs w:val="32"/>
          <w:lang w:val="en-US" w:eastAsia="zh-CN"/>
        </w:rPr>
        <w:t>一</w:t>
      </w:r>
      <w:r>
        <w:rPr>
          <w:rFonts w:hint="eastAsia" w:asciiTheme="minorEastAsia" w:hAnsiTheme="minorEastAsia"/>
          <w:b/>
          <w:sz w:val="32"/>
          <w:szCs w:val="32"/>
          <w:lang w:eastAsia="zh-CN"/>
        </w:rPr>
        <w:t>）</w:t>
      </w:r>
      <w:r>
        <w:rPr>
          <w:rFonts w:hint="eastAsia" w:asciiTheme="minorEastAsia" w:hAnsiTheme="minorEastAsia"/>
          <w:b/>
          <w:sz w:val="32"/>
          <w:szCs w:val="32"/>
        </w:rPr>
        <w:t>近年完成的类似项目情况表</w:t>
      </w:r>
    </w:p>
    <w:p>
      <w:pPr>
        <w:widowControl/>
        <w:shd w:val="clear" w:color="auto" w:fill="FFFFFF"/>
        <w:snapToGrid w:val="0"/>
        <w:ind w:firstLine="420" w:firstLineChars="200"/>
        <w:jc w:val="left"/>
        <w:rPr>
          <w:rFonts w:asciiTheme="minorEastAsia" w:hAnsiTheme="minorEastAsia"/>
          <w:szCs w:val="21"/>
        </w:rPr>
      </w:pPr>
    </w:p>
    <w:tbl>
      <w:tblPr>
        <w:tblStyle w:val="30"/>
        <w:tblW w:w="878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127"/>
        <w:gridCol w:w="66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项目名称</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项目所在地</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发包人名称</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发包人地址</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发包人电话</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合同价格</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服务期限</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工作内容</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项目负责人</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96" w:hRule="atLeast"/>
        </w:trPr>
        <w:tc>
          <w:tcPr>
            <w:tcW w:w="2127"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项目描述</w:t>
            </w:r>
          </w:p>
        </w:tc>
        <w:tc>
          <w:tcPr>
            <w:tcW w:w="6662" w:type="dxa"/>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27" w:type="dxa"/>
          </w:tcPr>
          <w:p>
            <w:pPr>
              <w:widowControl/>
              <w:spacing w:line="360" w:lineRule="auto"/>
              <w:jc w:val="center"/>
              <w:rPr>
                <w:rFonts w:asciiTheme="minorEastAsia" w:hAnsiTheme="minorEastAsia"/>
                <w:szCs w:val="21"/>
              </w:rPr>
            </w:pPr>
            <w:r>
              <w:rPr>
                <w:rFonts w:hint="eastAsia" w:asciiTheme="minorEastAsia" w:hAnsiTheme="minorEastAsia"/>
                <w:szCs w:val="21"/>
              </w:rPr>
              <w:t>备注</w:t>
            </w:r>
          </w:p>
        </w:tc>
        <w:tc>
          <w:tcPr>
            <w:tcW w:w="6662" w:type="dxa"/>
          </w:tcPr>
          <w:p>
            <w:pPr>
              <w:widowControl/>
              <w:spacing w:line="360" w:lineRule="auto"/>
              <w:jc w:val="center"/>
              <w:rPr>
                <w:rFonts w:asciiTheme="minorEastAsia" w:hAnsiTheme="minorEastAsia"/>
                <w:szCs w:val="21"/>
              </w:rPr>
            </w:pPr>
          </w:p>
        </w:tc>
      </w:tr>
    </w:tbl>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szCs w:val="21"/>
        </w:rPr>
      </w:pPr>
      <w:r>
        <w:rPr>
          <w:rFonts w:hint="eastAsia" w:asciiTheme="minorEastAsia" w:hAnsiTheme="minorEastAsia"/>
          <w:szCs w:val="21"/>
        </w:rPr>
        <w:t>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szCs w:val="21"/>
          <w:highlight w:val="none"/>
          <w:lang w:val="en-US" w:eastAsia="zh-CN"/>
        </w:rPr>
      </w:pPr>
      <w:r>
        <w:rPr>
          <w:rFonts w:hint="eastAsia" w:asciiTheme="minorEastAsia" w:hAnsiTheme="minorEastAsia"/>
          <w:szCs w:val="21"/>
          <w:highlight w:val="none"/>
          <w:lang w:val="en-US" w:eastAsia="zh-CN"/>
        </w:rPr>
        <w:t>1.投标人“近年完成的类似项目情况表”应附中标（成交）通知书、合同文件、批复文件（可研批复或初设批复或实施方案批复）、批复文件（可研批复或初设批复或实施方案批复）或验收鉴定书（完工验收鉴定书或竣工验收鉴定书或发包人证明材料），证明材料必须与全国水利建设市场监管平台填报公示信息一致；</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szCs w:val="21"/>
          <w:highlight w:val="none"/>
          <w:lang w:val="en-US" w:eastAsia="zh-CN"/>
        </w:rPr>
      </w:pPr>
      <w:r>
        <w:rPr>
          <w:rFonts w:hint="eastAsia" w:asciiTheme="minorEastAsia" w:hAnsiTheme="minorEastAsia"/>
          <w:szCs w:val="21"/>
          <w:highlight w:val="none"/>
          <w:lang w:val="en-US" w:eastAsia="zh-CN"/>
        </w:rPr>
        <w:t>2.上述发包人证明须经发包人加盖公章；</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left"/>
        <w:textAlignment w:val="auto"/>
        <w:rPr>
          <w:rFonts w:hint="eastAsia" w:asciiTheme="minorEastAsia" w:hAnsiTheme="minorEastAsia"/>
          <w:szCs w:val="21"/>
        </w:rPr>
      </w:pPr>
      <w:r>
        <w:rPr>
          <w:rFonts w:hint="eastAsia" w:asciiTheme="minorEastAsia" w:hAnsiTheme="minorEastAsia"/>
          <w:szCs w:val="21"/>
          <w:lang w:val="en-US" w:eastAsia="zh-CN"/>
        </w:rPr>
        <w:t>3.</w:t>
      </w:r>
      <w:r>
        <w:rPr>
          <w:rFonts w:hint="eastAsia" w:asciiTheme="minorEastAsia" w:hAnsiTheme="minorEastAsia"/>
          <w:szCs w:val="21"/>
        </w:rPr>
        <w:t>每张表格只填写一个项目，并标明序号。</w:t>
      </w:r>
    </w:p>
    <w:p>
      <w:pPr>
        <w:rPr>
          <w:rFonts w:asciiTheme="minorEastAsia" w:hAnsiTheme="minorEastAsia"/>
          <w:szCs w:val="21"/>
        </w:rPr>
      </w:pPr>
      <w:r>
        <w:rPr>
          <w:rFonts w:asciiTheme="minorEastAsia" w:hAnsiTheme="minorEastAsia"/>
          <w:szCs w:val="21"/>
        </w:rPr>
        <w:br w:type="page"/>
      </w:r>
    </w:p>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p>
      <w:pPr>
        <w:bidi w:val="0"/>
        <w:jc w:val="center"/>
        <w:rPr>
          <w:rFonts w:hint="eastAsia" w:eastAsiaTheme="minorEastAsia"/>
          <w:b/>
          <w:bCs/>
          <w:sz w:val="32"/>
          <w:szCs w:val="36"/>
          <w:lang w:eastAsia="zh-CN"/>
        </w:rPr>
      </w:pPr>
      <w:bookmarkStart w:id="4498" w:name="_Toc511396221"/>
      <w:bookmarkStart w:id="4499" w:name="_Toc5832"/>
      <w:bookmarkStart w:id="4500" w:name="_Toc15769"/>
      <w:bookmarkStart w:id="4501" w:name="_Toc2070021614"/>
      <w:bookmarkStart w:id="4502" w:name="_Toc392455385"/>
      <w:bookmarkStart w:id="4503" w:name="_Toc7889"/>
      <w:bookmarkStart w:id="4504" w:name="_Toc1364128884"/>
      <w:bookmarkStart w:id="4505" w:name="_Toc1880278424"/>
      <w:bookmarkStart w:id="4506" w:name="_Toc878137884"/>
      <w:bookmarkStart w:id="4507" w:name="_Toc694379964"/>
      <w:bookmarkStart w:id="4508" w:name="_Toc443"/>
      <w:bookmarkStart w:id="4509" w:name="_Toc81673231"/>
      <w:bookmarkStart w:id="4510" w:name="_Toc1725415399"/>
      <w:bookmarkStart w:id="4511" w:name="_Toc817793425"/>
      <w:bookmarkStart w:id="4512" w:name="_Toc539759271"/>
      <w:bookmarkStart w:id="4513" w:name="_Toc7186614"/>
      <w:bookmarkStart w:id="4514" w:name="_Toc58700099"/>
      <w:bookmarkStart w:id="4515" w:name="_Toc515440871"/>
      <w:bookmarkStart w:id="4516" w:name="_Toc32102"/>
      <w:bookmarkStart w:id="4517" w:name="_Toc1273545240"/>
      <w:bookmarkStart w:id="4518" w:name="_Toc516823110"/>
      <w:bookmarkStart w:id="4519" w:name="_Toc21506"/>
      <w:bookmarkStart w:id="4520" w:name="_Toc25490"/>
      <w:bookmarkStart w:id="4521" w:name="_Toc122195679"/>
      <w:bookmarkStart w:id="4522" w:name="_Toc1523580967"/>
      <w:r>
        <w:rPr>
          <w:rFonts w:hint="eastAsia"/>
          <w:b/>
          <w:bCs/>
          <w:sz w:val="32"/>
          <w:szCs w:val="36"/>
        </w:rPr>
        <w:t>（</w:t>
      </w:r>
      <w:r>
        <w:rPr>
          <w:rFonts w:hint="eastAsia"/>
          <w:b/>
          <w:bCs/>
          <w:sz w:val="32"/>
          <w:szCs w:val="36"/>
          <w:lang w:val="en-US" w:eastAsia="zh-CN"/>
        </w:rPr>
        <w:t>二</w:t>
      </w:r>
      <w:r>
        <w:rPr>
          <w:rFonts w:hint="eastAsia"/>
          <w:b/>
          <w:bCs/>
          <w:sz w:val="32"/>
          <w:szCs w:val="36"/>
        </w:rPr>
        <w:t>）</w:t>
      </w:r>
      <w:r>
        <w:rPr>
          <w:rFonts w:hint="eastAsia"/>
          <w:b/>
          <w:bCs/>
          <w:sz w:val="32"/>
          <w:szCs w:val="36"/>
          <w:lang w:val="en-US" w:eastAsia="zh-CN"/>
        </w:rPr>
        <w:t>获奖</w:t>
      </w:r>
      <w:r>
        <w:rPr>
          <w:rFonts w:hint="eastAsia"/>
          <w:b/>
          <w:bCs/>
          <w:sz w:val="32"/>
          <w:szCs w:val="36"/>
        </w:rPr>
        <w:t>情况表</w:t>
      </w:r>
      <w:r>
        <w:rPr>
          <w:rFonts w:hint="eastAsia"/>
          <w:b/>
          <w:bCs/>
          <w:sz w:val="32"/>
          <w:szCs w:val="36"/>
          <w:lang w:eastAsia="zh-CN"/>
        </w:rPr>
        <w:t>（</w:t>
      </w:r>
      <w:r>
        <w:rPr>
          <w:rFonts w:hint="eastAsia"/>
          <w:b/>
          <w:bCs/>
          <w:sz w:val="32"/>
          <w:szCs w:val="36"/>
          <w:lang w:val="en-US" w:eastAsia="zh-CN"/>
        </w:rPr>
        <w:t>参考格式</w:t>
      </w:r>
      <w:r>
        <w:rPr>
          <w:rFonts w:hint="eastAsia"/>
          <w:b/>
          <w:bCs/>
          <w:sz w:val="32"/>
          <w:szCs w:val="36"/>
          <w:lang w:eastAsia="zh-CN"/>
        </w:rPr>
        <w:t>）</w:t>
      </w:r>
    </w:p>
    <w:p>
      <w:pPr>
        <w:ind w:firstLine="221" w:firstLineChars="100"/>
        <w:outlineLvl w:val="3"/>
        <w:rPr>
          <w:rFonts w:hint="default" w:ascii="宋体" w:hAnsi="宋体" w:eastAsia="宋体" w:cs="宋体"/>
          <w:b/>
          <w:sz w:val="22"/>
          <w:szCs w:val="22"/>
          <w:lang w:val="en-US" w:eastAsia="zh-CN"/>
        </w:rPr>
      </w:pPr>
      <w:bookmarkStart w:id="4523" w:name="_Toc2795"/>
      <w:r>
        <w:rPr>
          <w:rFonts w:hint="eastAsia" w:ascii="宋体" w:hAnsi="宋体" w:eastAsia="宋体" w:cs="宋体"/>
          <w:b/>
          <w:sz w:val="22"/>
          <w:szCs w:val="22"/>
          <w:lang w:val="en-US" w:eastAsia="zh-CN"/>
        </w:rPr>
        <w:t>1. 工程项目获奖信息</w:t>
      </w:r>
      <w:bookmarkEnd w:id="4523"/>
    </w:p>
    <w:tbl>
      <w:tblPr>
        <w:tblStyle w:val="30"/>
        <w:tblW w:w="9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2999"/>
        <w:gridCol w:w="2195"/>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7414"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（由投标人按顺序编号）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获奖单位名称</w:t>
            </w:r>
          </w:p>
        </w:tc>
        <w:tc>
          <w:tcPr>
            <w:tcW w:w="7414"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Segoe UI" w:hAnsi="Segoe UI" w:eastAsia="Segoe UI" w:cs="Segoe UI"/>
                <w:i w:val="0"/>
                <w:iCs w:val="0"/>
                <w:caps w:val="0"/>
                <w:color w:val="0F1115"/>
                <w:spacing w:val="0"/>
                <w:sz w:val="20"/>
                <w:szCs w:val="20"/>
                <w:shd w:val="clear" w:fill="FFFFFF"/>
              </w:rPr>
              <w:t>（须为投标人全称）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获奖项目名称</w:t>
            </w:r>
          </w:p>
        </w:tc>
        <w:tc>
          <w:tcPr>
            <w:tcW w:w="7414"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获奖项目所在地</w:t>
            </w:r>
          </w:p>
        </w:tc>
        <w:tc>
          <w:tcPr>
            <w:tcW w:w="2999" w:type="dxa"/>
            <w:tcMar>
              <w:top w:w="170" w:type="dxa"/>
              <w:left w:w="108" w:type="dxa"/>
              <w:bottom w:w="0" w:type="dxa"/>
              <w:right w:w="108" w:type="dxa"/>
            </w:tcMar>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（如省（自治区）市（州）县（市））</w:t>
            </w:r>
          </w:p>
        </w:tc>
        <w:tc>
          <w:tcPr>
            <w:tcW w:w="2195"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获奖证书编号/文号</w:t>
            </w:r>
          </w:p>
        </w:tc>
        <w:tc>
          <w:tcPr>
            <w:tcW w:w="222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奖项全程</w:t>
            </w:r>
          </w:p>
        </w:tc>
        <w:tc>
          <w:tcPr>
            <w:tcW w:w="2999"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textAlignment w:val="auto"/>
              <w:rPr>
                <w:rFonts w:hint="eastAsia" w:ascii="宋体" w:hAnsi="宋体" w:eastAsia="宋体" w:cs="宋体"/>
                <w:kern w:val="2"/>
                <w:sz w:val="20"/>
                <w:szCs w:val="20"/>
                <w:vertAlign w:val="baseline"/>
                <w:lang w:val="en-US" w:eastAsia="zh-CN" w:bidi="ar-SA"/>
              </w:rPr>
            </w:pPr>
          </w:p>
        </w:tc>
        <w:tc>
          <w:tcPr>
            <w:tcW w:w="2195"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颁奖单位</w:t>
            </w:r>
          </w:p>
        </w:tc>
        <w:tc>
          <w:tcPr>
            <w:tcW w:w="2220"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textAlignment w:val="auto"/>
              <w:rPr>
                <w:rFonts w:hint="eastAsia" w:ascii="宋体" w:hAnsi="宋体" w:eastAsia="宋体" w:cs="宋体"/>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奖项级别</w:t>
            </w:r>
          </w:p>
        </w:tc>
        <w:tc>
          <w:tcPr>
            <w:tcW w:w="2999"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ascii="宋体" w:hAnsi="宋体" w:eastAsia="宋体" w:cs="宋体"/>
                <w:sz w:val="20"/>
                <w:szCs w:val="20"/>
                <w:vertAlign w:val="baseline"/>
                <w:lang w:val="en-US" w:eastAsia="zh-CN"/>
              </w:rPr>
            </w:pPr>
          </w:p>
        </w:tc>
        <w:tc>
          <w:tcPr>
            <w:tcW w:w="2195"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获奖时间</w:t>
            </w:r>
          </w:p>
        </w:tc>
        <w:tc>
          <w:tcPr>
            <w:tcW w:w="222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ascii="宋体" w:hAnsi="宋体" w:eastAsia="宋体" w:cs="宋体"/>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奖项项目规模</w:t>
            </w:r>
          </w:p>
        </w:tc>
        <w:tc>
          <w:tcPr>
            <w:tcW w:w="7414" w:type="dxa"/>
            <w:gridSpan w:val="3"/>
            <w:tcMar>
              <w:top w:w="170" w:type="dxa"/>
              <w:left w:w="108" w:type="dxa"/>
              <w:bottom w:w="0" w:type="dxa"/>
              <w:right w:w="108" w:type="dxa"/>
            </w:tcMar>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Segoe UI" w:hAnsi="Segoe UI" w:eastAsia="Segoe UI" w:cs="Segoe UI"/>
                <w:i w:val="0"/>
                <w:iCs w:val="0"/>
                <w:caps w:val="0"/>
                <w:color w:val="0F1115"/>
                <w:spacing w:val="0"/>
                <w:sz w:val="20"/>
                <w:szCs w:val="20"/>
                <w:shd w:val="clear" w:fill="FFFFFF"/>
              </w:rPr>
              <w:t>□大型水利工程 □ 中型水利工程 □ 小型水利工程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8"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投标人在获奖项目中的角色</w:t>
            </w:r>
          </w:p>
        </w:tc>
        <w:tc>
          <w:tcPr>
            <w:tcW w:w="7414" w:type="dxa"/>
            <w:gridSpan w:val="3"/>
            <w:tcMar>
              <w:top w:w="227" w:type="dxa"/>
              <w:left w:w="108" w:type="dxa"/>
              <w:bottom w:w="0" w:type="dxa"/>
              <w:right w:w="108" w:type="dxa"/>
            </w:tcMar>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Segoe UI" w:hAnsi="Segoe UI" w:eastAsia="Segoe UI" w:cs="Segoe UI"/>
                <w:i w:val="0"/>
                <w:iCs w:val="0"/>
                <w:caps w:val="0"/>
                <w:color w:val="0F1115"/>
                <w:spacing w:val="0"/>
                <w:sz w:val="20"/>
                <w:szCs w:val="20"/>
                <w:shd w:val="clear" w:fill="FFFFFF"/>
              </w:rPr>
            </w:pPr>
            <w:r>
              <w:rPr>
                <w:rFonts w:hint="eastAsia" w:ascii="Segoe UI" w:hAnsi="Segoe UI" w:eastAsia="Segoe UI" w:cs="Segoe UI"/>
                <w:i w:val="0"/>
                <w:iCs w:val="0"/>
                <w:caps w:val="0"/>
                <w:color w:val="0F1115"/>
                <w:spacing w:val="0"/>
                <w:sz w:val="20"/>
                <w:szCs w:val="20"/>
                <w:shd w:val="clear" w:fill="FFFFFF"/>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5" w:hRule="atLeast"/>
        </w:trPr>
        <w:tc>
          <w:tcPr>
            <w:tcW w:w="9192" w:type="dxa"/>
            <w:gridSpan w:val="4"/>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获奖项目基本情况：</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sz w:val="20"/>
                <w:szCs w:val="20"/>
                <w:lang w:val="en-US" w:eastAsia="zh-CN"/>
              </w:rPr>
            </w:pPr>
            <w:r>
              <w:rPr>
                <w:rFonts w:hint="eastAsia" w:ascii="宋体" w:hAnsi="宋体" w:eastAsia="宋体" w:cs="宋体"/>
                <w:sz w:val="20"/>
                <w:szCs w:val="20"/>
                <w:vertAlign w:val="baseline"/>
                <w:lang w:val="en-US" w:eastAsia="zh-CN"/>
              </w:rPr>
              <w:t>（简要描述项目规模、主要建设内容等，限500字以内）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9192" w:type="dxa"/>
            <w:gridSpan w:val="4"/>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default"/>
                <w:sz w:val="20"/>
                <w:szCs w:val="20"/>
                <w:lang w:val="en-US" w:eastAsia="zh-CN"/>
              </w:rPr>
            </w:pPr>
            <w:r>
              <w:rPr>
                <w:rFonts w:hint="eastAsia" w:ascii="宋体" w:hAnsi="宋体" w:eastAsia="宋体" w:cs="宋体"/>
                <w:sz w:val="20"/>
                <w:szCs w:val="20"/>
                <w:vertAlign w:val="baseline"/>
                <w:lang w:val="en-US" w:eastAsia="zh-CN"/>
              </w:rPr>
              <w:t>备注：</w:t>
            </w:r>
          </w:p>
        </w:tc>
      </w:tr>
    </w:tbl>
    <w:p>
      <w:pPr>
        <w:numPr>
          <w:ilvl w:val="0"/>
          <w:numId w:val="0"/>
        </w:numPr>
        <w:rPr>
          <w:rFonts w:hint="eastAsia" w:ascii="宋体" w:hAnsi="宋体" w:eastAsia="宋体" w:cs="宋体"/>
          <w:sz w:val="20"/>
          <w:szCs w:val="22"/>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备注：</w:t>
      </w:r>
    </w:p>
    <w:p>
      <w:pPr>
        <w:numPr>
          <w:ilvl w:val="0"/>
          <w:numId w:val="18"/>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大型水利工程只取全国性奖项计分，中小型水利工程同时取全国性和省级奖项累积计分。</w:t>
      </w:r>
    </w:p>
    <w:p>
      <w:pPr>
        <w:numPr>
          <w:ilvl w:val="0"/>
          <w:numId w:val="18"/>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奖项证明材料以获奖证书为准，获奖时间以获奖证书上的颁发日期为准，且需在“近十年”范围内（自招标公告发布之日向前推算），超期奖项不予计分。</w:t>
      </w:r>
    </w:p>
    <w:p>
      <w:pPr>
        <w:numPr>
          <w:ilvl w:val="0"/>
          <w:numId w:val="18"/>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获奖证书扫描件或获奖文件扫描件，须清晰可见奖项名称、获奖单位、颁发日期。</w:t>
      </w:r>
    </w:p>
    <w:p>
      <w:pPr>
        <w:numPr>
          <w:ilvl w:val="0"/>
          <w:numId w:val="18"/>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获奖项目对应的合同协议书扫描件，合同中须体现投标人（或联合体成员）名称。</w:t>
      </w:r>
    </w:p>
    <w:p>
      <w:pPr>
        <w:numPr>
          <w:ilvl w:val="0"/>
          <w:numId w:val="18"/>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获奖信息须与全国水利建设市场监管平台填报公示信息一致，不一致的不予认定。全国水利建设市场监管平台上的截图，须能证明工程项目规模、奖项级别、颁奖单位、颁奖时间等信息。</w:t>
      </w:r>
    </w:p>
    <w:p>
      <w:pPr>
        <w:numPr>
          <w:ilvl w:val="0"/>
          <w:numId w:val="18"/>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已获奖未发证书的，须提供颁奖单位官网的获奖结果公示截图（含网址、项目名、单位名）。</w:t>
      </w:r>
    </w:p>
    <w:p>
      <w:pPr>
        <w:numPr>
          <w:ilvl w:val="0"/>
          <w:numId w:val="18"/>
        </w:numPr>
        <w:spacing w:line="360" w:lineRule="auto"/>
        <w:ind w:left="0" w:leftChars="0" w:firstLine="400" w:firstLineChars="200"/>
        <w:rPr>
          <w:rFonts w:hint="eastAsia" w:ascii="宋体" w:hAnsi="宋体" w:eastAsia="宋体" w:cs="宋体"/>
          <w:sz w:val="20"/>
          <w:szCs w:val="20"/>
        </w:rPr>
      </w:pPr>
      <w:r>
        <w:rPr>
          <w:rFonts w:hint="eastAsia" w:ascii="宋体" w:hAnsi="宋体" w:eastAsia="宋体" w:cs="宋体"/>
          <w:sz w:val="20"/>
          <w:szCs w:val="20"/>
        </w:rPr>
        <w:t>每</w:t>
      </w:r>
      <w:r>
        <w:rPr>
          <w:rFonts w:hint="eastAsia" w:ascii="宋体" w:hAnsi="宋体" w:eastAsia="宋体" w:cs="宋体"/>
          <w:sz w:val="20"/>
          <w:szCs w:val="20"/>
          <w:lang w:val="en-US" w:eastAsia="zh-CN"/>
        </w:rPr>
        <w:t>张</w:t>
      </w:r>
      <w:r>
        <w:rPr>
          <w:rFonts w:hint="eastAsia" w:ascii="宋体" w:hAnsi="宋体" w:eastAsia="宋体" w:cs="宋体"/>
          <w:sz w:val="20"/>
          <w:szCs w:val="20"/>
        </w:rPr>
        <w:t>表</w:t>
      </w:r>
      <w:r>
        <w:rPr>
          <w:rFonts w:hint="eastAsia" w:ascii="宋体" w:hAnsi="宋体" w:eastAsia="宋体" w:cs="宋体"/>
          <w:sz w:val="20"/>
          <w:szCs w:val="20"/>
          <w:lang w:val="en-US" w:eastAsia="zh-CN"/>
        </w:rPr>
        <w:t>格</w:t>
      </w:r>
      <w:r>
        <w:rPr>
          <w:rFonts w:hint="eastAsia" w:ascii="宋体" w:hAnsi="宋体" w:eastAsia="宋体" w:cs="宋体"/>
          <w:sz w:val="20"/>
          <w:szCs w:val="20"/>
        </w:rPr>
        <w:t>只填写一个项目或一个获奖，</w:t>
      </w:r>
      <w:r>
        <w:rPr>
          <w:rFonts w:hint="eastAsia" w:ascii="宋体" w:hAnsi="宋体" w:eastAsia="宋体" w:cs="宋体"/>
          <w:sz w:val="20"/>
          <w:szCs w:val="20"/>
          <w:lang w:val="en-US" w:eastAsia="zh-CN"/>
        </w:rPr>
        <w:t>有多个项目或多个奖项的，</w:t>
      </w:r>
      <w:r>
        <w:rPr>
          <w:rFonts w:hint="eastAsia" w:ascii="宋体" w:hAnsi="宋体" w:eastAsia="宋体" w:cs="宋体"/>
          <w:sz w:val="20"/>
          <w:szCs w:val="20"/>
        </w:rPr>
        <w:t>按序号连续编号</w:t>
      </w:r>
      <w:r>
        <w:rPr>
          <w:rFonts w:hint="eastAsia" w:ascii="宋体" w:hAnsi="宋体" w:eastAsia="宋体" w:cs="宋体"/>
          <w:sz w:val="20"/>
          <w:szCs w:val="20"/>
          <w:lang w:eastAsia="zh-CN"/>
        </w:rPr>
        <w:t>。</w:t>
      </w:r>
    </w:p>
    <w:p>
      <w:pPr>
        <w:numPr>
          <w:ilvl w:val="0"/>
          <w:numId w:val="0"/>
        </w:numPr>
        <w:spacing w:line="360" w:lineRule="auto"/>
        <w:ind w:leftChars="200"/>
        <w:rPr>
          <w:rFonts w:hint="eastAsia" w:ascii="宋体" w:hAnsi="宋体" w:eastAsia="宋体" w:cs="宋体"/>
          <w:sz w:val="20"/>
          <w:szCs w:val="20"/>
        </w:rPr>
      </w:pPr>
    </w:p>
    <w:p>
      <w:pPr>
        <w:rPr>
          <w:rFonts w:hint="eastAsia" w:ascii="宋体" w:hAnsi="宋体" w:eastAsia="宋体" w:cs="宋体"/>
          <w:b/>
          <w:sz w:val="22"/>
          <w:szCs w:val="22"/>
          <w:lang w:val="en-US" w:eastAsia="zh-CN"/>
        </w:rPr>
      </w:pPr>
      <w:bookmarkStart w:id="4524" w:name="_Toc15964"/>
      <w:r>
        <w:rPr>
          <w:rFonts w:hint="eastAsia" w:ascii="宋体" w:hAnsi="宋体" w:eastAsia="宋体" w:cs="宋体"/>
          <w:b/>
          <w:sz w:val="22"/>
          <w:szCs w:val="22"/>
          <w:lang w:val="en-US" w:eastAsia="zh-CN"/>
        </w:rPr>
        <w:br w:type="page"/>
      </w:r>
    </w:p>
    <w:p>
      <w:pPr>
        <w:outlineLvl w:val="3"/>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2. 科学技术进步奖获奖信息</w:t>
      </w:r>
      <w:bookmarkEnd w:id="4524"/>
    </w:p>
    <w:tbl>
      <w:tblPr>
        <w:tblStyle w:val="30"/>
        <w:tblW w:w="9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0"/>
        <w:gridCol w:w="2717"/>
        <w:gridCol w:w="1614"/>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7132"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（由投标人按顺序编号）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获奖单位名称</w:t>
            </w:r>
          </w:p>
        </w:tc>
        <w:tc>
          <w:tcPr>
            <w:tcW w:w="7132"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Segoe UI" w:hAnsi="Segoe UI" w:eastAsia="Segoe UI" w:cs="Segoe UI"/>
                <w:i w:val="0"/>
                <w:iCs w:val="0"/>
                <w:caps w:val="0"/>
                <w:color w:val="0F1115"/>
                <w:spacing w:val="0"/>
                <w:sz w:val="20"/>
                <w:szCs w:val="20"/>
                <w:shd w:val="clear" w:fill="FFFFFF"/>
              </w:rPr>
              <w:t>（须为投标人全称）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奖项名称</w:t>
            </w:r>
          </w:p>
        </w:tc>
        <w:tc>
          <w:tcPr>
            <w:tcW w:w="7132" w:type="dxa"/>
            <w:gridSpan w:val="3"/>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获奖证书编号/文号</w:t>
            </w:r>
          </w:p>
        </w:tc>
        <w:tc>
          <w:tcPr>
            <w:tcW w:w="7132" w:type="dxa"/>
            <w:gridSpan w:val="3"/>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textAlignment w:val="auto"/>
              <w:rPr>
                <w:rFonts w:hint="eastAsia" w:ascii="宋体" w:hAnsi="宋体" w:eastAsia="宋体" w:cs="宋体"/>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奖项全称</w:t>
            </w:r>
          </w:p>
        </w:tc>
        <w:tc>
          <w:tcPr>
            <w:tcW w:w="2717"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textAlignment w:val="auto"/>
              <w:rPr>
                <w:rFonts w:hint="eastAsia" w:ascii="宋体" w:hAnsi="宋体" w:eastAsia="宋体" w:cs="宋体"/>
                <w:kern w:val="2"/>
                <w:sz w:val="20"/>
                <w:szCs w:val="20"/>
                <w:vertAlign w:val="baseline"/>
                <w:lang w:val="en-US" w:eastAsia="zh-CN" w:bidi="ar-SA"/>
              </w:rPr>
            </w:pPr>
          </w:p>
        </w:tc>
        <w:tc>
          <w:tcPr>
            <w:tcW w:w="1614"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颁奖单位</w:t>
            </w:r>
          </w:p>
        </w:tc>
        <w:tc>
          <w:tcPr>
            <w:tcW w:w="2801" w:type="dxa"/>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leftChars="0" w:right="0" w:rightChars="0" w:firstLine="0" w:firstLineChars="0"/>
              <w:textAlignment w:val="auto"/>
              <w:rPr>
                <w:rFonts w:hint="eastAsia" w:ascii="宋体" w:hAnsi="宋体" w:eastAsia="宋体" w:cs="宋体"/>
                <w:kern w:val="2"/>
                <w:sz w:val="20"/>
                <w:szCs w:val="2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0"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奖项级别</w:t>
            </w:r>
          </w:p>
        </w:tc>
        <w:tc>
          <w:tcPr>
            <w:tcW w:w="2717"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ascii="宋体" w:hAnsi="宋体" w:eastAsia="宋体" w:cs="宋体"/>
                <w:sz w:val="20"/>
                <w:szCs w:val="20"/>
                <w:vertAlign w:val="baseline"/>
                <w:lang w:val="en-US" w:eastAsia="zh-CN"/>
              </w:rPr>
            </w:pPr>
          </w:p>
        </w:tc>
        <w:tc>
          <w:tcPr>
            <w:tcW w:w="1614"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获奖时间</w:t>
            </w:r>
          </w:p>
        </w:tc>
        <w:tc>
          <w:tcPr>
            <w:tcW w:w="2801" w:type="dxa"/>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ascii="宋体" w:hAnsi="宋体" w:eastAsia="宋体" w:cs="宋体"/>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5" w:hRule="atLeast"/>
        </w:trPr>
        <w:tc>
          <w:tcPr>
            <w:tcW w:w="9192" w:type="dxa"/>
            <w:gridSpan w:val="4"/>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奖项基本情况：</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eastAsia"/>
                <w:sz w:val="20"/>
                <w:szCs w:val="20"/>
                <w:lang w:val="en-US" w:eastAsia="zh-CN"/>
              </w:rPr>
            </w:pPr>
            <w:r>
              <w:rPr>
                <w:rFonts w:hint="eastAsia" w:ascii="宋体" w:hAnsi="宋体" w:eastAsia="宋体" w:cs="宋体"/>
                <w:sz w:val="20"/>
                <w:szCs w:val="20"/>
                <w:vertAlign w:val="baseline"/>
                <w:lang w:val="en-US" w:eastAsia="zh-CN"/>
              </w:rPr>
              <w:t>（简要描述奖项在技术研究、开发、创新、推广及应用等方面，限500字以内）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9192" w:type="dxa"/>
            <w:gridSpan w:val="4"/>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Autospacing="0" w:line="360" w:lineRule="auto"/>
              <w:ind w:left="0" w:right="0"/>
              <w:textAlignment w:val="auto"/>
              <w:rPr>
                <w:rFonts w:hint="default"/>
                <w:sz w:val="20"/>
                <w:szCs w:val="20"/>
                <w:lang w:val="en-US" w:eastAsia="zh-CN"/>
              </w:rPr>
            </w:pPr>
            <w:r>
              <w:rPr>
                <w:rFonts w:hint="eastAsia" w:ascii="宋体" w:hAnsi="宋体" w:eastAsia="宋体" w:cs="宋体"/>
                <w:sz w:val="20"/>
                <w:szCs w:val="20"/>
                <w:vertAlign w:val="baseline"/>
                <w:lang w:val="en-US" w:eastAsia="zh-CN"/>
              </w:rPr>
              <w:t>备注：</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备注：</w:t>
      </w:r>
    </w:p>
    <w:p>
      <w:pPr>
        <w:numPr>
          <w:ilvl w:val="0"/>
          <w:numId w:val="19"/>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奖项证明材料以获奖证书为准，获奖时间以获奖证书上的颁发日期为准，且需在“近十年”范围内（自招标公告发布之日向前推算），超期奖项不予计分。</w:t>
      </w:r>
    </w:p>
    <w:p>
      <w:pPr>
        <w:numPr>
          <w:ilvl w:val="0"/>
          <w:numId w:val="19"/>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获奖证书扫描件或获奖文件扫描件，须清晰可见奖项名称、获奖单位、颁发日期。</w:t>
      </w:r>
    </w:p>
    <w:p>
      <w:pPr>
        <w:numPr>
          <w:ilvl w:val="0"/>
          <w:numId w:val="19"/>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获奖信息须与全国水利建设市场监管平台填报公示信息一致，不一致的不予认定。全国水利建设市场监管平台上的截图，须能证明奖项名称、奖项级别、颁奖单位、颁奖时间等信息。</w:t>
      </w:r>
    </w:p>
    <w:p>
      <w:pPr>
        <w:numPr>
          <w:ilvl w:val="0"/>
          <w:numId w:val="19"/>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已获奖未发证书的，须提供颁奖单位官网的获奖结果公示截图（含网址、项目名、单位名）。</w:t>
      </w:r>
    </w:p>
    <w:p>
      <w:pPr>
        <w:rPr>
          <w:rFonts w:hint="eastAsia"/>
          <w:sz w:val="28"/>
          <w:szCs w:val="28"/>
        </w:rPr>
      </w:pPr>
      <w:r>
        <w:rPr>
          <w:rFonts w:hint="eastAsia" w:ascii="宋体" w:hAnsi="宋体" w:eastAsia="宋体" w:cs="宋体"/>
          <w:sz w:val="20"/>
          <w:szCs w:val="20"/>
        </w:rPr>
        <w:t>每</w:t>
      </w:r>
      <w:r>
        <w:rPr>
          <w:rFonts w:hint="eastAsia" w:ascii="宋体" w:hAnsi="宋体" w:eastAsia="宋体" w:cs="宋体"/>
          <w:sz w:val="20"/>
          <w:szCs w:val="20"/>
          <w:lang w:val="en-US" w:eastAsia="zh-CN"/>
        </w:rPr>
        <w:t>张</w:t>
      </w:r>
      <w:r>
        <w:rPr>
          <w:rFonts w:hint="eastAsia" w:ascii="宋体" w:hAnsi="宋体" w:eastAsia="宋体" w:cs="宋体"/>
          <w:sz w:val="20"/>
          <w:szCs w:val="20"/>
        </w:rPr>
        <w:t>表</w:t>
      </w:r>
      <w:r>
        <w:rPr>
          <w:rFonts w:hint="eastAsia" w:ascii="宋体" w:hAnsi="宋体" w:eastAsia="宋体" w:cs="宋体"/>
          <w:sz w:val="20"/>
          <w:szCs w:val="20"/>
          <w:lang w:val="en-US" w:eastAsia="zh-CN"/>
        </w:rPr>
        <w:t>格</w:t>
      </w:r>
      <w:r>
        <w:rPr>
          <w:rFonts w:hint="eastAsia" w:ascii="宋体" w:hAnsi="宋体" w:eastAsia="宋体" w:cs="宋体"/>
          <w:sz w:val="20"/>
          <w:szCs w:val="20"/>
        </w:rPr>
        <w:t>只填写一个项目或一个获奖，</w:t>
      </w:r>
      <w:r>
        <w:rPr>
          <w:rFonts w:hint="eastAsia" w:ascii="宋体" w:hAnsi="宋体" w:eastAsia="宋体" w:cs="宋体"/>
          <w:sz w:val="20"/>
          <w:szCs w:val="20"/>
          <w:lang w:val="en-US" w:eastAsia="zh-CN"/>
        </w:rPr>
        <w:t>有多个奖项的，</w:t>
      </w:r>
      <w:r>
        <w:rPr>
          <w:rFonts w:hint="eastAsia" w:ascii="宋体" w:hAnsi="宋体" w:eastAsia="宋体" w:cs="宋体"/>
          <w:sz w:val="20"/>
          <w:szCs w:val="20"/>
        </w:rPr>
        <w:t>按序号连续编号</w:t>
      </w:r>
      <w:r>
        <w:rPr>
          <w:rFonts w:hint="eastAsia" w:ascii="宋体" w:hAnsi="宋体" w:eastAsia="宋体" w:cs="宋体"/>
          <w:sz w:val="20"/>
          <w:szCs w:val="20"/>
          <w:lang w:eastAsia="zh-CN"/>
        </w:rPr>
        <w:t>。</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r>
        <w:rPr>
          <w:rFonts w:hint="eastAsia"/>
          <w:sz w:val="28"/>
          <w:szCs w:val="28"/>
        </w:rPr>
        <w:br w:type="page"/>
      </w:r>
    </w:p>
    <w:p>
      <w:pPr>
        <w:pStyle w:val="4"/>
        <w:spacing w:before="0" w:after="0" w:line="520" w:lineRule="exact"/>
        <w:rPr>
          <w:rFonts w:asciiTheme="majorEastAsia" w:hAnsiTheme="majorEastAsia"/>
          <w:sz w:val="28"/>
          <w:szCs w:val="28"/>
        </w:rPr>
      </w:pPr>
      <w:bookmarkStart w:id="4525" w:name="_Toc19552"/>
      <w:r>
        <w:rPr>
          <w:rFonts w:hint="eastAsia"/>
          <w:sz w:val="28"/>
          <w:szCs w:val="28"/>
          <w:lang w:val="en-US" w:eastAsia="zh-CN"/>
        </w:rPr>
        <w:t>六、</w:t>
      </w:r>
      <w:r>
        <w:rPr>
          <w:sz w:val="28"/>
          <w:szCs w:val="28"/>
        </w:rPr>
        <w:t>其他商务</w:t>
      </w:r>
      <w:r>
        <w:rPr>
          <w:rFonts w:hint="eastAsia"/>
          <w:sz w:val="28"/>
          <w:szCs w:val="28"/>
        </w:rPr>
        <w:t>情况（如有）</w:t>
      </w:r>
      <w:bookmarkEnd w:id="4498"/>
      <w:r>
        <w:rPr>
          <w:rFonts w:hint="eastAsia"/>
          <w:sz w:val="28"/>
          <w:szCs w:val="28"/>
        </w:rPr>
        <w:t>（</w:t>
      </w:r>
      <w:r>
        <w:rPr>
          <w:rFonts w:hint="eastAsia"/>
          <w:sz w:val="28"/>
          <w:szCs w:val="28"/>
          <w:lang w:val="en-US" w:eastAsia="zh-CN"/>
        </w:rPr>
        <w:t>参考</w:t>
      </w:r>
      <w:r>
        <w:rPr>
          <w:rFonts w:hint="eastAsia"/>
          <w:sz w:val="28"/>
          <w:szCs w:val="28"/>
        </w:rPr>
        <w:t>格式）</w:t>
      </w:r>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5"/>
    </w:p>
    <w:p>
      <w:pPr>
        <w:widowControl/>
        <w:shd w:val="clear" w:color="auto" w:fill="FFFFFF"/>
        <w:adjustRightInd w:val="0"/>
        <w:snapToGrid w:val="0"/>
        <w:jc w:val="center"/>
        <w:rPr>
          <w:rFonts w:asciiTheme="minorEastAsia" w:hAnsiTheme="minorEastAsia"/>
          <w:b/>
          <w:sz w:val="36"/>
          <w:szCs w:val="36"/>
        </w:rPr>
      </w:pPr>
    </w:p>
    <w:p>
      <w:pPr>
        <w:widowControl/>
        <w:shd w:val="clear" w:color="auto" w:fill="FFFFFF"/>
        <w:adjustRightInd w:val="0"/>
        <w:snapToGrid w:val="0"/>
        <w:jc w:val="center"/>
        <w:rPr>
          <w:rFonts w:asciiTheme="minorEastAsia" w:hAnsiTheme="minorEastAsia"/>
          <w:b/>
          <w:sz w:val="32"/>
          <w:szCs w:val="32"/>
        </w:rPr>
      </w:pPr>
      <w:r>
        <w:rPr>
          <w:rFonts w:asciiTheme="minorEastAsia" w:hAnsiTheme="minorEastAsia"/>
          <w:b/>
          <w:sz w:val="32"/>
          <w:szCs w:val="32"/>
        </w:rPr>
        <w:t>其他商务</w:t>
      </w:r>
      <w:r>
        <w:rPr>
          <w:rFonts w:hint="eastAsia" w:asciiTheme="minorEastAsia" w:hAnsiTheme="minorEastAsia"/>
          <w:b/>
          <w:sz w:val="32"/>
          <w:szCs w:val="32"/>
        </w:rPr>
        <w:t>情况</w:t>
      </w:r>
    </w:p>
    <w:p>
      <w:pPr>
        <w:widowControl/>
        <w:shd w:val="clear" w:color="auto" w:fill="FFFFFF"/>
        <w:adjustRightInd w:val="0"/>
        <w:snapToGrid w:val="0"/>
        <w:jc w:val="left"/>
        <w:rPr>
          <w:rFonts w:asciiTheme="minorEastAsia" w:hAnsiTheme="minorEastAsia"/>
          <w:szCs w:val="21"/>
        </w:rPr>
      </w:pPr>
    </w:p>
    <w:p>
      <w:pPr>
        <w:widowControl/>
        <w:spacing w:line="500" w:lineRule="exact"/>
        <w:ind w:firstLine="420" w:firstLineChars="200"/>
        <w:jc w:val="left"/>
        <w:rPr>
          <w:rFonts w:asciiTheme="minorEastAsia" w:hAnsiTheme="minorEastAsia"/>
          <w:szCs w:val="21"/>
        </w:rPr>
      </w:pPr>
      <w:r>
        <w:rPr>
          <w:rFonts w:hint="eastAsia" w:asciiTheme="minorEastAsia" w:hAnsiTheme="minorEastAsia"/>
          <w:szCs w:val="21"/>
        </w:rPr>
        <w:t>注：投标人应根据“评标办法(综合评估法）”第</w:t>
      </w:r>
      <w:r>
        <w:rPr>
          <w:rFonts w:asciiTheme="minorEastAsia" w:hAnsiTheme="minorEastAsia"/>
          <w:szCs w:val="21"/>
        </w:rPr>
        <w:t>2.2.4项</w:t>
      </w:r>
      <w:r>
        <w:rPr>
          <w:szCs w:val="21"/>
        </w:rPr>
        <w:t>的</w:t>
      </w:r>
      <w:r>
        <w:rPr>
          <w:rFonts w:hint="eastAsia" w:asciiTheme="minorEastAsia" w:hAnsiTheme="minorEastAsia"/>
          <w:szCs w:val="21"/>
        </w:rPr>
        <w:t>要求，在此说明并附其他商务材料扫描件（如有）。</w:t>
      </w: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widowControl/>
        <w:shd w:val="clear" w:color="auto" w:fill="FFFFFF"/>
        <w:adjustRightInd w:val="0"/>
        <w:snapToGrid w:val="0"/>
        <w:jc w:val="left"/>
        <w:rPr>
          <w:rFonts w:asciiTheme="minorEastAsia" w:hAnsiTheme="minorEastAsia"/>
          <w:szCs w:val="21"/>
        </w:rPr>
      </w:pPr>
    </w:p>
    <w:p>
      <w:pPr>
        <w:pStyle w:val="3"/>
        <w:spacing w:before="0" w:after="0" w:line="520" w:lineRule="exact"/>
        <w:jc w:val="center"/>
        <w:rPr>
          <w:sz w:val="36"/>
          <w:szCs w:val="36"/>
        </w:rPr>
      </w:pPr>
      <w:bookmarkStart w:id="4526" w:name="_Toc511396222"/>
      <w:bookmarkStart w:id="4527" w:name="_Toc27090"/>
      <w:bookmarkStart w:id="4528" w:name="_Toc1355794204"/>
      <w:bookmarkStart w:id="4529" w:name="_Toc439942984"/>
      <w:bookmarkStart w:id="4530" w:name="_Toc230305541"/>
      <w:bookmarkStart w:id="4531" w:name="_Toc1617606563"/>
      <w:bookmarkStart w:id="4532" w:name="_Toc17248"/>
      <w:bookmarkStart w:id="4533" w:name="_Toc1017917150"/>
      <w:bookmarkStart w:id="4534" w:name="_Toc1584925552"/>
      <w:bookmarkStart w:id="4535" w:name="_Toc378738016"/>
      <w:bookmarkStart w:id="4536" w:name="_Toc7186615"/>
      <w:bookmarkStart w:id="4537" w:name="_Toc758753175"/>
      <w:bookmarkStart w:id="4538" w:name="_Toc13298"/>
      <w:bookmarkStart w:id="4539" w:name="_Toc12401"/>
      <w:bookmarkStart w:id="4540" w:name="_Toc22497"/>
      <w:bookmarkStart w:id="4541" w:name="_Toc26475"/>
      <w:bookmarkStart w:id="4542" w:name="_Toc763142769"/>
      <w:bookmarkStart w:id="4543" w:name="_Toc2352"/>
      <w:bookmarkStart w:id="4544" w:name="_Toc748410421"/>
      <w:bookmarkStart w:id="4545" w:name="_Toc877569920"/>
      <w:bookmarkStart w:id="4546" w:name="_Toc1075375758"/>
      <w:bookmarkStart w:id="4547" w:name="_Toc515440872"/>
      <w:bookmarkStart w:id="4548" w:name="_Toc32447"/>
      <w:bookmarkStart w:id="4549" w:name="_Toc516823111"/>
      <w:bookmarkStart w:id="4550" w:name="_Toc505339031"/>
      <w:bookmarkStart w:id="4551" w:name="_Toc1618185098"/>
      <w:r>
        <w:rPr>
          <w:rFonts w:hint="eastAsia"/>
          <w:sz w:val="36"/>
          <w:szCs w:val="36"/>
        </w:rPr>
        <w:t>第三节 技术</w:t>
      </w:r>
      <w:r>
        <w:rPr>
          <w:rFonts w:hint="eastAsia"/>
          <w:sz w:val="36"/>
          <w:szCs w:val="36"/>
          <w:highlight w:val="none"/>
        </w:rPr>
        <w:t>方案</w:t>
      </w:r>
      <w:bookmarkEnd w:id="4526"/>
      <w:r>
        <w:rPr>
          <w:rFonts w:hint="eastAsia"/>
          <w:sz w:val="36"/>
          <w:szCs w:val="36"/>
        </w:rPr>
        <w:t>格式</w:t>
      </w:r>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p>
    <w:p>
      <w:pPr>
        <w:pStyle w:val="4"/>
        <w:spacing w:before="0" w:after="0" w:line="520" w:lineRule="exact"/>
        <w:rPr>
          <w:sz w:val="28"/>
          <w:szCs w:val="28"/>
        </w:rPr>
      </w:pPr>
      <w:bookmarkStart w:id="4552" w:name="_Toc606716339"/>
      <w:bookmarkStart w:id="4553" w:name="_Toc1368178699"/>
      <w:bookmarkStart w:id="4554" w:name="_Toc335535467"/>
      <w:bookmarkStart w:id="4555" w:name="_Toc11341"/>
      <w:bookmarkStart w:id="4556" w:name="_Toc617991554"/>
      <w:bookmarkStart w:id="4557" w:name="_Toc22815"/>
      <w:bookmarkStart w:id="4558" w:name="_Toc2118016968"/>
      <w:bookmarkStart w:id="4559" w:name="_Toc1278808048"/>
      <w:bookmarkStart w:id="4560" w:name="_Toc515440873"/>
      <w:bookmarkStart w:id="4561" w:name="_Toc7186616"/>
      <w:bookmarkStart w:id="4562" w:name="_Toc12426"/>
      <w:bookmarkStart w:id="4563" w:name="_Toc979695693"/>
      <w:bookmarkStart w:id="4564" w:name="_Toc30154"/>
      <w:bookmarkStart w:id="4565" w:name="_Toc516823112"/>
      <w:bookmarkStart w:id="4566" w:name="_Toc12264"/>
      <w:bookmarkStart w:id="4567" w:name="_Toc518"/>
      <w:bookmarkStart w:id="4568" w:name="_Toc20546"/>
      <w:bookmarkStart w:id="4569" w:name="_Toc722225268"/>
      <w:bookmarkStart w:id="4570" w:name="_Toc308305204"/>
      <w:bookmarkStart w:id="4571" w:name="_Toc2031691958"/>
      <w:bookmarkStart w:id="4572" w:name="_Toc25265"/>
      <w:bookmarkStart w:id="4573" w:name="_Toc399957844"/>
      <w:bookmarkStart w:id="4574" w:name="_Toc2082753779"/>
      <w:bookmarkStart w:id="4575" w:name="_Toc1104036478"/>
      <w:bookmarkStart w:id="4576" w:name="_Toc456595076"/>
      <w:r>
        <w:rPr>
          <w:rFonts w:hint="eastAsia"/>
          <w:sz w:val="28"/>
          <w:szCs w:val="28"/>
        </w:rPr>
        <w:t>投标文件（三）（</w:t>
      </w:r>
      <w:r>
        <w:rPr>
          <w:rFonts w:hint="eastAsia"/>
          <w:sz w:val="28"/>
          <w:szCs w:val="28"/>
          <w:lang w:val="en-US" w:eastAsia="zh-CN"/>
        </w:rPr>
        <w:t>参考</w:t>
      </w:r>
      <w:r>
        <w:rPr>
          <w:rFonts w:hint="eastAsia"/>
          <w:sz w:val="28"/>
          <w:szCs w:val="28"/>
        </w:rPr>
        <w:t>格式）</w:t>
      </w:r>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36"/>
          <w:szCs w:val="36"/>
        </w:rPr>
      </w:pPr>
      <w:r>
        <w:rPr>
          <w:rFonts w:hint="default"/>
          <w:color w:val="auto"/>
          <w:sz w:val="36"/>
          <w:szCs w:val="36"/>
          <w:u w:val="single"/>
        </w:rPr>
        <w:t xml:space="preserve">       </w:t>
      </w:r>
      <w:r>
        <w:rPr>
          <w:rFonts w:hint="eastAsia" w:eastAsia="宋体" w:cs="Times New Roman"/>
          <w:color w:val="auto"/>
          <w:sz w:val="36"/>
          <w:szCs w:val="36"/>
          <w:u w:val="single" w:color="auto"/>
        </w:rPr>
        <w:t>（项目名称）</w:t>
      </w:r>
      <w:r>
        <w:rPr>
          <w:rFonts w:hint="default" w:eastAsia="宋体" w:cs="Times New Roman"/>
          <w:color w:val="auto"/>
          <w:sz w:val="36"/>
          <w:szCs w:val="36"/>
          <w:u w:val="single" w:color="auto"/>
        </w:rPr>
        <w:t xml:space="preserve">      </w:t>
      </w:r>
      <w:r>
        <w:rPr>
          <w:rFonts w:hint="eastAsia" w:asciiTheme="minorEastAsia" w:hAnsiTheme="minorEastAsia"/>
          <w:b/>
          <w:sz w:val="36"/>
          <w:szCs w:val="36"/>
        </w:rPr>
        <w:t>招标项目</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0" w:firstLineChars="0"/>
        <w:jc w:val="center"/>
        <w:rPr>
          <w:rFonts w:asciiTheme="minorEastAsia" w:hAnsiTheme="minorEastAsia"/>
          <w:b/>
          <w:sz w:val="32"/>
          <w:szCs w:val="32"/>
        </w:rPr>
      </w:pPr>
      <w:r>
        <w:rPr>
          <w:rFonts w:hint="eastAsia" w:ascii="宋体" w:hAnsi="宋体"/>
          <w:b/>
          <w:sz w:val="32"/>
          <w:szCs w:val="32"/>
        </w:rPr>
        <w:t>招标</w:t>
      </w:r>
      <w:r>
        <w:rPr>
          <w:rFonts w:hint="eastAsia" w:ascii="宋体" w:hAnsi="宋体"/>
          <w:b/>
          <w:sz w:val="32"/>
          <w:szCs w:val="32"/>
          <w:lang w:val="en-US" w:eastAsia="zh-Hans"/>
        </w:rPr>
        <w:t>项目</w:t>
      </w:r>
      <w:r>
        <w:rPr>
          <w:rFonts w:hint="eastAsia" w:ascii="宋体" w:hAnsi="宋体"/>
          <w:b/>
          <w:sz w:val="32"/>
          <w:szCs w:val="32"/>
        </w:rPr>
        <w:t>编号：</w:t>
      </w:r>
      <w:r>
        <w:rPr>
          <w:rFonts w:hint="eastAsia" w:ascii="宋体" w:hAnsi="宋体"/>
          <w:sz w:val="36"/>
          <w:szCs w:val="36"/>
        </w:rPr>
        <w:t>________</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jc w:val="center"/>
        <w:rPr>
          <w:rFonts w:asciiTheme="minorEastAsia" w:hAnsiTheme="minorEastAsia"/>
          <w:b/>
          <w:sz w:val="52"/>
          <w:szCs w:val="52"/>
        </w:rPr>
      </w:pPr>
      <w:r>
        <w:rPr>
          <w:rFonts w:hint="eastAsia" w:asciiTheme="minorEastAsia" w:hAnsiTheme="minorEastAsia"/>
          <w:b/>
          <w:sz w:val="52"/>
          <w:szCs w:val="52"/>
        </w:rPr>
        <w:t>投标文件（三）</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spacing w:line="360" w:lineRule="auto"/>
        <w:ind w:firstLine="1928" w:firstLineChars="600"/>
        <w:jc w:val="left"/>
        <w:rPr>
          <w:rFonts w:asciiTheme="minorEastAsia" w:hAnsiTheme="minorEastAsia"/>
          <w:b/>
          <w:sz w:val="32"/>
          <w:szCs w:val="32"/>
          <w:u w:val="single"/>
        </w:rPr>
      </w:pPr>
      <w:r>
        <w:rPr>
          <w:rFonts w:hint="eastAsia" w:asciiTheme="minorEastAsia" w:hAnsiTheme="minorEastAsia"/>
          <w:b/>
          <w:sz w:val="32"/>
          <w:szCs w:val="32"/>
        </w:rPr>
        <w:t>投标文件内容：</w:t>
      </w:r>
      <w:r>
        <w:rPr>
          <w:rFonts w:hint="eastAsia" w:asciiTheme="minorEastAsia" w:hAnsiTheme="minorEastAsia"/>
          <w:b/>
          <w:sz w:val="32"/>
          <w:szCs w:val="32"/>
          <w:u w:val="single"/>
        </w:rPr>
        <w:t>技术方案</w:t>
      </w:r>
    </w:p>
    <w:p>
      <w:pPr>
        <w:widowControl/>
        <w:shd w:val="clear" w:color="auto" w:fill="FFFFFF"/>
        <w:snapToGrid w:val="0"/>
        <w:spacing w:line="360" w:lineRule="auto"/>
        <w:ind w:firstLine="1928" w:firstLineChars="600"/>
        <w:jc w:val="left"/>
        <w:rPr>
          <w:rFonts w:asciiTheme="minorEastAsia" w:hAnsiTheme="minorEastAsia"/>
          <w:b/>
          <w:sz w:val="32"/>
          <w:szCs w:val="32"/>
        </w:rPr>
      </w:pPr>
      <w:r>
        <w:rPr>
          <w:rFonts w:hint="eastAsia" w:asciiTheme="minorEastAsia" w:hAnsiTheme="minorEastAsia"/>
          <w:b/>
          <w:sz w:val="32"/>
          <w:szCs w:val="32"/>
        </w:rPr>
        <w:t>投标人：</w:t>
      </w:r>
      <w:r>
        <w:rPr>
          <w:rFonts w:hint="eastAsia" w:asciiTheme="minorEastAsia" w:hAnsiTheme="minorEastAsia"/>
          <w:szCs w:val="21"/>
        </w:rPr>
        <w:t>_______________________</w:t>
      </w:r>
      <w:r>
        <w:rPr>
          <w:rFonts w:hint="eastAsia" w:asciiTheme="minorEastAsia" w:hAnsiTheme="minorEastAsia"/>
          <w:b/>
          <w:sz w:val="32"/>
          <w:szCs w:val="32"/>
        </w:rPr>
        <w:t>（盖单位</w:t>
      </w:r>
      <w:r>
        <w:rPr>
          <w:rFonts w:hint="eastAsia" w:asciiTheme="minorEastAsia" w:hAnsiTheme="minorEastAsia"/>
          <w:b/>
          <w:sz w:val="32"/>
          <w:szCs w:val="32"/>
          <w:lang w:val="en-US" w:eastAsia="zh-CN"/>
        </w:rPr>
        <w:t>公</w:t>
      </w:r>
      <w:r>
        <w:rPr>
          <w:rFonts w:hint="eastAsia" w:asciiTheme="minorEastAsia" w:hAnsiTheme="minorEastAsia"/>
          <w:b/>
          <w:sz w:val="32"/>
          <w:szCs w:val="32"/>
        </w:rPr>
        <w:t>章）</w:t>
      </w:r>
    </w:p>
    <w:p>
      <w:pPr>
        <w:widowControl/>
        <w:shd w:val="clear" w:color="auto" w:fill="FFFFFF"/>
        <w:snapToGrid w:val="0"/>
        <w:spacing w:line="360" w:lineRule="auto"/>
        <w:ind w:firstLine="1928" w:firstLineChars="600"/>
        <w:jc w:val="left"/>
        <w:rPr>
          <w:rFonts w:asciiTheme="minorEastAsia" w:hAnsiTheme="minorEastAsia"/>
          <w:b/>
          <w:sz w:val="32"/>
          <w:szCs w:val="32"/>
        </w:rPr>
      </w:pPr>
      <w:r>
        <w:rPr>
          <w:rFonts w:hint="eastAsia" w:ascii="宋体" w:hAnsi="宋体"/>
          <w:b/>
          <w:sz w:val="32"/>
          <w:szCs w:val="32"/>
        </w:rPr>
        <w:t>日</w:t>
      </w:r>
      <w:r>
        <w:rPr>
          <w:rFonts w:hint="default" w:ascii="宋体" w:hAnsi="宋体"/>
          <w:b/>
          <w:sz w:val="32"/>
          <w:szCs w:val="32"/>
        </w:rPr>
        <w:t xml:space="preserve">  </w:t>
      </w:r>
      <w:r>
        <w:rPr>
          <w:rFonts w:hint="eastAsia" w:ascii="宋体" w:hAnsi="宋体"/>
          <w:b/>
          <w:sz w:val="32"/>
          <w:szCs w:val="32"/>
        </w:rPr>
        <w:t>期：</w:t>
      </w:r>
      <w:r>
        <w:rPr>
          <w:rFonts w:hint="default" w:eastAsia="宋体" w:cs="Times New Roman"/>
          <w:color w:val="auto"/>
          <w:szCs w:val="21"/>
          <w:u w:val="single" w:color="auto"/>
        </w:rPr>
        <w:t xml:space="preserve">           </w:t>
      </w:r>
      <w:r>
        <w:rPr>
          <w:rFonts w:hint="eastAsia" w:ascii="宋体" w:hAnsi="宋体"/>
          <w:b/>
          <w:sz w:val="32"/>
          <w:szCs w:val="32"/>
        </w:rPr>
        <w:t>年</w:t>
      </w:r>
      <w:r>
        <w:rPr>
          <w:rFonts w:hint="default" w:eastAsia="宋体" w:cs="Times New Roman"/>
          <w:color w:val="auto"/>
          <w:szCs w:val="21"/>
          <w:u w:val="single" w:color="auto"/>
        </w:rPr>
        <w:t xml:space="preserve">       </w:t>
      </w:r>
      <w:r>
        <w:rPr>
          <w:rFonts w:hint="eastAsia" w:ascii="宋体" w:hAnsi="宋体"/>
          <w:b/>
          <w:sz w:val="32"/>
          <w:szCs w:val="32"/>
        </w:rPr>
        <w:t>月</w:t>
      </w:r>
      <w:r>
        <w:rPr>
          <w:rFonts w:hint="default" w:eastAsia="宋体" w:cs="Times New Roman"/>
          <w:color w:val="auto"/>
          <w:szCs w:val="21"/>
          <w:u w:val="single" w:color="auto"/>
        </w:rPr>
        <w:t xml:space="preserve">       </w:t>
      </w:r>
      <w:r>
        <w:rPr>
          <w:rFonts w:hint="eastAsia" w:ascii="宋体" w:hAnsi="宋体"/>
          <w:b/>
          <w:sz w:val="32"/>
          <w:szCs w:val="32"/>
        </w:rPr>
        <w:t>日</w:t>
      </w:r>
    </w:p>
    <w:p>
      <w:pPr>
        <w:widowControl/>
        <w:shd w:val="clear" w:color="auto" w:fill="FFFFFF"/>
        <w:snapToGrid w:val="0"/>
        <w:ind w:firstLine="643" w:firstLineChars="200"/>
        <w:jc w:val="center"/>
        <w:rPr>
          <w:rFonts w:asciiTheme="minorEastAsia" w:hAnsiTheme="minorEastAsia"/>
          <w:b/>
          <w:sz w:val="32"/>
          <w:szCs w:val="32"/>
        </w:rPr>
      </w:pPr>
    </w:p>
    <w:p>
      <w:pPr>
        <w:widowControl/>
        <w:shd w:val="clear" w:color="auto" w:fill="FFFFFF"/>
        <w:snapToGrid w:val="0"/>
        <w:ind w:firstLine="420" w:firstLineChars="200"/>
        <w:jc w:val="left"/>
        <w:rPr>
          <w:szCs w:val="21"/>
        </w:rPr>
      </w:pPr>
      <w:r>
        <w:rPr>
          <w:szCs w:val="21"/>
        </w:rPr>
        <w:t>注</w:t>
      </w:r>
      <w:r>
        <w:rPr>
          <w:rFonts w:hint="eastAsia"/>
          <w:szCs w:val="21"/>
        </w:rPr>
        <w:t>：</w:t>
      </w:r>
      <w:r>
        <w:rPr>
          <w:szCs w:val="21"/>
        </w:rPr>
        <w:t>本封面不得提交评审</w:t>
      </w:r>
    </w:p>
    <w:p>
      <w:pPr>
        <w:rPr>
          <w:szCs w:val="21"/>
        </w:rPr>
      </w:pPr>
      <w:r>
        <w:rPr>
          <w:szCs w:val="21"/>
        </w:rPr>
        <w:br w:type="page"/>
      </w:r>
    </w:p>
    <w:p>
      <w:pPr>
        <w:widowControl/>
        <w:shd w:val="clear" w:color="auto" w:fill="FFFFFF"/>
        <w:snapToGrid w:val="0"/>
        <w:ind w:firstLine="420" w:firstLineChars="200"/>
        <w:jc w:val="left"/>
        <w:rPr>
          <w:szCs w:val="21"/>
        </w:rPr>
      </w:pPr>
    </w:p>
    <w:p>
      <w:pPr>
        <w:widowControl/>
        <w:shd w:val="clear" w:color="auto" w:fill="FFFFFF"/>
        <w:snapToGrid w:val="0"/>
        <w:ind w:firstLine="0" w:firstLineChars="0"/>
        <w:jc w:val="center"/>
        <w:rPr>
          <w:rFonts w:hint="eastAsia" w:asciiTheme="minorEastAsia" w:hAnsiTheme="minorEastAsia" w:eastAsiaTheme="minorEastAsia"/>
          <w:szCs w:val="21"/>
          <w:lang w:eastAsia="zh-CN"/>
        </w:rPr>
      </w:pPr>
      <w:r>
        <w:rPr>
          <w:rFonts w:hint="eastAsia" w:asciiTheme="minorEastAsia" w:hAnsiTheme="minorEastAsia"/>
          <w:b/>
          <w:sz w:val="36"/>
          <w:szCs w:val="36"/>
        </w:rPr>
        <w:t>技术方案</w:t>
      </w:r>
      <w:r>
        <w:rPr>
          <w:rFonts w:hint="eastAsia" w:asciiTheme="minorEastAsia" w:hAnsiTheme="minorEastAsia"/>
          <w:b/>
          <w:sz w:val="36"/>
          <w:szCs w:val="36"/>
          <w:lang w:eastAsia="zh-CN"/>
        </w:rPr>
        <w:t>（</w:t>
      </w:r>
      <w:r>
        <w:rPr>
          <w:rFonts w:hint="eastAsia" w:asciiTheme="minorEastAsia" w:hAnsiTheme="minorEastAsia"/>
          <w:b/>
          <w:sz w:val="36"/>
          <w:szCs w:val="36"/>
          <w:lang w:val="en-US" w:eastAsia="zh-CN"/>
        </w:rPr>
        <w:t>参考格式</w:t>
      </w:r>
      <w:r>
        <w:rPr>
          <w:rFonts w:hint="eastAsia" w:asciiTheme="minorEastAsia" w:hAnsiTheme="minorEastAsia"/>
          <w:b/>
          <w:sz w:val="36"/>
          <w:szCs w:val="36"/>
          <w:lang w:eastAsia="zh-CN"/>
        </w:rPr>
        <w:t>）</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asciiTheme="minorEastAsia" w:hAnsiTheme="minorEastAsia"/>
          <w:szCs w:val="21"/>
        </w:rPr>
      </w:pPr>
      <w:r>
        <w:rPr>
          <w:rFonts w:hint="eastAsia" w:asciiTheme="minorEastAsia" w:hAnsiTheme="minorEastAsia"/>
          <w:szCs w:val="21"/>
        </w:rPr>
        <w:t>投标人应针对本招标工程项目的性质、规模、工作内容具体情况编制技术方案，技术方案包括下列章节内容：</w:t>
      </w:r>
    </w:p>
    <w:p>
      <w:pPr>
        <w:pStyle w:val="4"/>
        <w:spacing w:before="0" w:after="0" w:line="520" w:lineRule="exact"/>
        <w:ind w:firstLine="482" w:firstLineChars="200"/>
        <w:rPr>
          <w:rFonts w:hint="eastAsia"/>
          <w:sz w:val="24"/>
          <w:szCs w:val="24"/>
          <w:highlight w:val="none"/>
        </w:rPr>
      </w:pPr>
      <w:bookmarkStart w:id="4577" w:name="_Toc20863"/>
      <w:r>
        <w:rPr>
          <w:rFonts w:hint="eastAsia"/>
          <w:sz w:val="24"/>
          <w:szCs w:val="24"/>
        </w:rPr>
        <w:t>一</w:t>
      </w:r>
      <w:r>
        <w:rPr>
          <w:rFonts w:hint="eastAsia"/>
          <w:sz w:val="24"/>
          <w:szCs w:val="24"/>
          <w:lang w:eastAsia="zh-CN"/>
        </w:rPr>
        <w:t>、</w:t>
      </w:r>
      <w:r>
        <w:rPr>
          <w:rFonts w:hint="eastAsia"/>
          <w:sz w:val="24"/>
          <w:szCs w:val="24"/>
          <w:highlight w:val="none"/>
        </w:rPr>
        <w:t>设计方案</w:t>
      </w:r>
      <w:bookmarkEnd w:id="4577"/>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1.勘察设计工作方案思路</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2.设计说明与设计方案</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3.对项目关键点、难点的理解及措施</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4.质量控制的程序、措施和质量保证体系</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5.工作进度计划安排及措施</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6.设计安全保障措施</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7.技术创新与信息化应用</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8.投资控制措施及其可行性</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9.合理化建议</w:t>
      </w:r>
    </w:p>
    <w:p>
      <w:pPr>
        <w:pStyle w:val="4"/>
        <w:spacing w:before="0" w:after="0" w:line="520" w:lineRule="exact"/>
        <w:ind w:firstLine="482" w:firstLineChars="200"/>
        <w:rPr>
          <w:rFonts w:hint="eastAsia"/>
          <w:sz w:val="24"/>
          <w:szCs w:val="24"/>
          <w:highlight w:val="none"/>
        </w:rPr>
      </w:pPr>
      <w:bookmarkStart w:id="4578" w:name="_Toc9406"/>
      <w:r>
        <w:rPr>
          <w:rFonts w:hint="eastAsia"/>
          <w:sz w:val="24"/>
          <w:szCs w:val="24"/>
          <w:highlight w:val="none"/>
        </w:rPr>
        <w:t>二</w:t>
      </w:r>
      <w:r>
        <w:rPr>
          <w:rFonts w:hint="eastAsia"/>
          <w:sz w:val="24"/>
          <w:szCs w:val="24"/>
          <w:highlight w:val="none"/>
          <w:lang w:eastAsia="zh-CN"/>
        </w:rPr>
        <w:t>、</w:t>
      </w:r>
      <w:r>
        <w:rPr>
          <w:rFonts w:hint="eastAsia"/>
          <w:sz w:val="24"/>
          <w:szCs w:val="24"/>
          <w:highlight w:val="none"/>
        </w:rPr>
        <w:t>资源配备及服务能力</w:t>
      </w:r>
      <w:bookmarkEnd w:id="4578"/>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1.项目机构设置</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2.人员总体配备</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3.拟投入的技术装备</w:t>
      </w:r>
    </w:p>
    <w:p>
      <w:pPr>
        <w:widowControl/>
        <w:shd w:val="clear" w:color="auto" w:fill="FFFFFF"/>
        <w:snapToGrid w:val="0"/>
        <w:ind w:firstLine="420" w:firstLineChars="200"/>
        <w:jc w:val="left"/>
        <w:rPr>
          <w:rFonts w:hint="eastAsia" w:asciiTheme="minorEastAsia" w:hAnsiTheme="minorEastAsia"/>
          <w:szCs w:val="21"/>
          <w:highlight w:val="none"/>
        </w:rPr>
      </w:pPr>
      <w:r>
        <w:rPr>
          <w:rFonts w:hint="eastAsia" w:asciiTheme="minorEastAsia" w:hAnsiTheme="minorEastAsia"/>
          <w:szCs w:val="21"/>
          <w:highlight w:val="none"/>
        </w:rPr>
        <w:t>4.设计代表驻场承诺</w:t>
      </w:r>
    </w:p>
    <w:p>
      <w:pPr>
        <w:widowControl/>
        <w:shd w:val="clear" w:color="auto" w:fill="FFFFFF"/>
        <w:snapToGrid w:val="0"/>
        <w:ind w:firstLine="420" w:firstLineChars="200"/>
        <w:jc w:val="left"/>
        <w:rPr>
          <w:rFonts w:asciiTheme="minorEastAsia" w:hAnsiTheme="minorEastAsia"/>
          <w:szCs w:val="21"/>
        </w:rPr>
      </w:pPr>
    </w:p>
    <w:p>
      <w:pPr>
        <w:widowControl/>
        <w:shd w:val="clear" w:color="auto" w:fill="FFFFFF"/>
        <w:snapToGrid w:val="0"/>
        <w:ind w:firstLine="420" w:firstLineChars="200"/>
        <w:jc w:val="left"/>
        <w:rPr>
          <w:rFonts w:hint="eastAsia" w:asciiTheme="minorEastAsia" w:hAnsiTheme="minorEastAsia"/>
          <w:szCs w:val="21"/>
        </w:rPr>
      </w:pPr>
      <w:r>
        <w:rPr>
          <w:rFonts w:asciiTheme="minorEastAsia" w:hAnsiTheme="minorEastAsia"/>
          <w:szCs w:val="21"/>
        </w:rPr>
        <w:t>注</w:t>
      </w:r>
      <w:r>
        <w:rPr>
          <w:rFonts w:hint="eastAsia" w:asciiTheme="minorEastAsia" w:hAnsiTheme="minorEastAsia"/>
          <w:szCs w:val="21"/>
        </w:rPr>
        <w:t>：技术方案采用暗标评审，投标人应按第三章“评标方法（综合评估法）”</w:t>
      </w:r>
      <w:r>
        <w:rPr>
          <w:rFonts w:hint="eastAsia" w:asciiTheme="minorEastAsia" w:hAnsiTheme="minorEastAsia"/>
          <w:szCs w:val="21"/>
          <w:highlight w:val="none"/>
        </w:rPr>
        <w:t>第</w:t>
      </w:r>
      <w:r>
        <w:rPr>
          <w:rFonts w:asciiTheme="minorEastAsia" w:hAnsiTheme="minorEastAsia"/>
          <w:szCs w:val="21"/>
          <w:highlight w:val="none"/>
        </w:rPr>
        <w:t>2.2.4</w:t>
      </w:r>
      <w:r>
        <w:rPr>
          <w:rFonts w:hint="eastAsia" w:asciiTheme="minorEastAsia" w:hAnsiTheme="minorEastAsia"/>
          <w:szCs w:val="21"/>
          <w:highlight w:val="none"/>
        </w:rPr>
        <w:t>（2）</w:t>
      </w:r>
      <w:r>
        <w:rPr>
          <w:rFonts w:hint="eastAsia" w:asciiTheme="minorEastAsia" w:hAnsiTheme="minorEastAsia"/>
          <w:szCs w:val="21"/>
        </w:rPr>
        <w:t>目规定进行编制，并按电子招标投标交易平台的要求提交技术方案，提交的技术方案除在封面盖章外，不得有再有其他任何有关投标人的暗示。电子招标投标交易平台应对技术方案进行章节乱序排列后，提交评标委员会评审。</w:t>
      </w:r>
    </w:p>
    <w:p>
      <w:pPr>
        <w:rPr>
          <w:rFonts w:hint="eastAsia" w:asciiTheme="minorEastAsia" w:hAnsiTheme="minorEastAsia"/>
          <w:szCs w:val="21"/>
          <w:highlight w:val="yellow"/>
        </w:rPr>
      </w:pPr>
      <w:r>
        <w:rPr>
          <w:rFonts w:hint="eastAsia" w:asciiTheme="minorEastAsia" w:hAnsiTheme="minorEastAsia"/>
          <w:szCs w:val="21"/>
          <w:highlight w:val="yellow"/>
        </w:rPr>
        <w:br w:type="page"/>
      </w:r>
    </w:p>
    <w:p>
      <w:pPr>
        <w:pStyle w:val="5"/>
        <w:spacing w:before="0" w:after="0" w:line="520" w:lineRule="exact"/>
        <w:rPr>
          <w:rFonts w:hint="eastAsia"/>
          <w:sz w:val="28"/>
          <w:szCs w:val="28"/>
          <w:highlight w:val="none"/>
          <w:lang w:val="en-US" w:eastAsia="zh-CN"/>
        </w:rPr>
      </w:pPr>
      <w:r>
        <w:rPr>
          <w:rFonts w:hint="eastAsia"/>
          <w:sz w:val="28"/>
          <w:szCs w:val="28"/>
          <w:highlight w:val="none"/>
          <w:lang w:val="en-US" w:eastAsia="zh-CN"/>
        </w:rPr>
        <w:t>附件1：人员总体配备（参考格式）</w:t>
      </w:r>
    </w:p>
    <w:p>
      <w:pPr>
        <w:widowControl/>
        <w:shd w:val="clear" w:color="auto" w:fill="FFFFFF"/>
        <w:snapToGrid w:val="0"/>
        <w:jc w:val="center"/>
        <w:rPr>
          <w:rFonts w:hint="eastAsia" w:asciiTheme="minorEastAsia" w:hAnsiTheme="minorEastAsia"/>
          <w:b/>
          <w:sz w:val="32"/>
          <w:szCs w:val="32"/>
          <w:lang w:val="en-US" w:eastAsia="zh-CN"/>
        </w:rPr>
      </w:pPr>
    </w:p>
    <w:p>
      <w:pPr>
        <w:widowControl/>
        <w:shd w:val="clear" w:color="auto" w:fill="FFFFFF"/>
        <w:snapToGrid w:val="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人员总体配备</w:t>
      </w:r>
    </w:p>
    <w:tbl>
      <w:tblPr>
        <w:tblStyle w:val="30"/>
        <w:tblW w:w="8847"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158"/>
        <w:gridCol w:w="1210"/>
        <w:gridCol w:w="1250"/>
        <w:gridCol w:w="2040"/>
        <w:gridCol w:w="1870"/>
        <w:gridCol w:w="6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68" w:hRule="atLeast"/>
        </w:trPr>
        <w:tc>
          <w:tcPr>
            <w:tcW w:w="709" w:type="dxa"/>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序号</w:t>
            </w:r>
          </w:p>
        </w:tc>
        <w:tc>
          <w:tcPr>
            <w:tcW w:w="1158" w:type="dxa"/>
            <w:tcBorders>
              <w:right w:val="single" w:color="auto" w:sz="4" w:space="0"/>
            </w:tcBorders>
            <w:vAlign w:val="center"/>
          </w:tcPr>
          <w:p>
            <w:pPr>
              <w:widowControl/>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rPr>
              <w:t>专业</w:t>
            </w:r>
            <w:r>
              <w:rPr>
                <w:rFonts w:hint="eastAsia" w:asciiTheme="minorEastAsia" w:hAnsiTheme="minorEastAsia"/>
                <w:szCs w:val="21"/>
                <w:lang w:val="en-US" w:eastAsia="zh-CN"/>
              </w:rPr>
              <w:t>分工</w:t>
            </w:r>
          </w:p>
        </w:tc>
        <w:tc>
          <w:tcPr>
            <w:tcW w:w="1210" w:type="dxa"/>
            <w:tcBorders>
              <w:left w:val="single" w:color="auto" w:sz="4" w:space="0"/>
              <w:right w:val="single" w:color="auto" w:sz="4" w:space="0"/>
            </w:tcBorders>
            <w:vAlign w:val="center"/>
          </w:tcPr>
          <w:p>
            <w:pPr>
              <w:widowControl/>
              <w:spacing w:line="360" w:lineRule="auto"/>
              <w:jc w:val="center"/>
              <w:rPr>
                <w:rFonts w:hint="eastAsia" w:asciiTheme="minorEastAsia" w:hAnsiTheme="minorEastAsia" w:eastAsiaTheme="minorEastAsia"/>
                <w:szCs w:val="21"/>
                <w:lang w:eastAsia="zh-CN"/>
              </w:rPr>
            </w:pPr>
            <w:r>
              <w:rPr>
                <w:rFonts w:hint="eastAsia" w:asciiTheme="minorEastAsia" w:hAnsiTheme="minorEastAsia"/>
                <w:szCs w:val="21"/>
                <w:lang w:val="en-US" w:eastAsia="zh-CN"/>
              </w:rPr>
              <w:t>岗位名称</w:t>
            </w:r>
          </w:p>
        </w:tc>
        <w:tc>
          <w:tcPr>
            <w:tcW w:w="1250" w:type="dxa"/>
            <w:tcBorders>
              <w:left w:val="single" w:color="auto" w:sz="4" w:space="0"/>
              <w:right w:val="single" w:color="auto" w:sz="4" w:space="0"/>
            </w:tcBorders>
            <w:vAlign w:val="center"/>
          </w:tcPr>
          <w:p>
            <w:pPr>
              <w:widowControl/>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配置人数</w:t>
            </w:r>
          </w:p>
        </w:tc>
        <w:tc>
          <w:tcPr>
            <w:tcW w:w="2040" w:type="dxa"/>
            <w:tcBorders>
              <w:left w:val="single" w:color="auto" w:sz="4" w:space="0"/>
            </w:tcBorders>
            <w:vAlign w:val="center"/>
          </w:tcPr>
          <w:p>
            <w:pPr>
              <w:widowControl/>
              <w:spacing w:line="360" w:lineRule="auto"/>
              <w:jc w:val="center"/>
              <w:rPr>
                <w:rFonts w:hint="eastAsia" w:asciiTheme="minorEastAsia" w:hAnsiTheme="minorEastAsia"/>
                <w:szCs w:val="21"/>
                <w:lang w:val="en-US" w:eastAsia="zh-CN"/>
              </w:rPr>
            </w:pPr>
            <w:r>
              <w:rPr>
                <w:rFonts w:hint="eastAsia" w:asciiTheme="minorEastAsia" w:hAnsiTheme="minorEastAsia"/>
                <w:szCs w:val="21"/>
                <w:lang w:val="en-US" w:eastAsia="zh-CN"/>
              </w:rPr>
              <w:t>拟承担的主要工作内容</w:t>
            </w:r>
          </w:p>
        </w:tc>
        <w:tc>
          <w:tcPr>
            <w:tcW w:w="1870" w:type="dxa"/>
            <w:tcBorders>
              <w:left w:val="single" w:color="auto" w:sz="4" w:space="0"/>
            </w:tcBorders>
            <w:vAlign w:val="center"/>
          </w:tcPr>
          <w:p>
            <w:pPr>
              <w:widowControl/>
              <w:spacing w:line="360" w:lineRule="auto"/>
              <w:jc w:val="center"/>
              <w:rPr>
                <w:rFonts w:hint="default" w:asciiTheme="minorEastAsia" w:hAnsiTheme="minorEastAsia"/>
                <w:szCs w:val="21"/>
                <w:lang w:val="en-US" w:eastAsia="zh-CN"/>
              </w:rPr>
            </w:pPr>
            <w:r>
              <w:rPr>
                <w:rFonts w:hint="eastAsia" w:asciiTheme="minorEastAsia" w:hAnsiTheme="minorEastAsia"/>
                <w:szCs w:val="21"/>
                <w:lang w:val="en-US" w:eastAsia="zh-CN"/>
              </w:rPr>
              <w:t>对应的职称等级或执业资格</w:t>
            </w:r>
          </w:p>
        </w:tc>
        <w:tc>
          <w:tcPr>
            <w:tcW w:w="610" w:type="dxa"/>
            <w:tcBorders>
              <w:lef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hint="eastAsia" w:asciiTheme="minorEastAsia" w:hAnsiTheme="minorEastAsia" w:eastAsiaTheme="minorEastAsia"/>
                <w:szCs w:val="21"/>
                <w:lang w:val="en-US" w:eastAsia="zh-CN"/>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45" w:hRule="atLeast"/>
        </w:trPr>
        <w:tc>
          <w:tcPr>
            <w:tcW w:w="709" w:type="dxa"/>
            <w:tcBorders>
              <w:bottom w:val="single" w:color="auto" w:sz="4" w:space="0"/>
            </w:tcBorders>
          </w:tcPr>
          <w:p>
            <w:pPr>
              <w:widowControl/>
              <w:spacing w:line="360" w:lineRule="auto"/>
              <w:jc w:val="center"/>
              <w:rPr>
                <w:rFonts w:asciiTheme="minorEastAsia" w:hAnsiTheme="minorEastAsia"/>
                <w:szCs w:val="21"/>
              </w:rPr>
            </w:pPr>
          </w:p>
        </w:tc>
        <w:tc>
          <w:tcPr>
            <w:tcW w:w="1158" w:type="dxa"/>
            <w:tcBorders>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3"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8"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3" w:hRule="atLeast"/>
        </w:trPr>
        <w:tc>
          <w:tcPr>
            <w:tcW w:w="709" w:type="dxa"/>
            <w:tcBorders>
              <w:top w:val="single" w:color="auto" w:sz="4" w:space="0"/>
              <w:bottom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bottom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0" w:hRule="atLeast"/>
        </w:trPr>
        <w:tc>
          <w:tcPr>
            <w:tcW w:w="709" w:type="dxa"/>
            <w:tcBorders>
              <w:top w:val="single" w:color="auto" w:sz="4" w:space="0"/>
            </w:tcBorders>
          </w:tcPr>
          <w:p>
            <w:pPr>
              <w:widowControl/>
              <w:spacing w:line="360" w:lineRule="auto"/>
              <w:jc w:val="center"/>
              <w:rPr>
                <w:rFonts w:asciiTheme="minorEastAsia" w:hAnsiTheme="minorEastAsia"/>
                <w:szCs w:val="21"/>
              </w:rPr>
            </w:pPr>
          </w:p>
        </w:tc>
        <w:tc>
          <w:tcPr>
            <w:tcW w:w="1158" w:type="dxa"/>
            <w:tcBorders>
              <w:top w:val="single" w:color="auto" w:sz="4" w:space="0"/>
              <w:right w:val="single" w:color="auto" w:sz="4" w:space="0"/>
            </w:tcBorders>
          </w:tcPr>
          <w:p>
            <w:pPr>
              <w:widowControl/>
              <w:spacing w:line="360" w:lineRule="auto"/>
              <w:jc w:val="center"/>
              <w:rPr>
                <w:rFonts w:asciiTheme="minorEastAsia" w:hAnsiTheme="minorEastAsia"/>
                <w:szCs w:val="21"/>
              </w:rPr>
            </w:pPr>
          </w:p>
        </w:tc>
        <w:tc>
          <w:tcPr>
            <w:tcW w:w="1210"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top w:val="single" w:color="auto" w:sz="4" w:space="0"/>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top w:val="single" w:color="auto" w:sz="4" w:space="0"/>
              <w:left w:val="single" w:color="auto" w:sz="4" w:space="0"/>
            </w:tcBorders>
          </w:tcPr>
          <w:p>
            <w:pPr>
              <w:widowControl/>
              <w:spacing w:line="360" w:lineRule="auto"/>
              <w:jc w:val="center"/>
              <w:rPr>
                <w:rFonts w:asciiTheme="minorEastAsia" w:hAnsiTheme="minorEastAsia"/>
                <w:szCs w:val="21"/>
              </w:rPr>
            </w:pPr>
          </w:p>
        </w:tc>
        <w:tc>
          <w:tcPr>
            <w:tcW w:w="1870" w:type="dxa"/>
            <w:tcBorders>
              <w:top w:val="single" w:color="auto" w:sz="4" w:space="0"/>
              <w:left w:val="single" w:color="auto" w:sz="4" w:space="0"/>
            </w:tcBorders>
          </w:tcPr>
          <w:p>
            <w:pPr>
              <w:widowControl/>
              <w:spacing w:line="360" w:lineRule="auto"/>
              <w:jc w:val="center"/>
              <w:rPr>
                <w:rFonts w:asciiTheme="minorEastAsia" w:hAnsiTheme="minorEastAsia"/>
                <w:szCs w:val="21"/>
              </w:rPr>
            </w:pPr>
          </w:p>
        </w:tc>
        <w:tc>
          <w:tcPr>
            <w:tcW w:w="610" w:type="dxa"/>
            <w:tcBorders>
              <w:top w:val="single" w:color="auto" w:sz="4" w:space="0"/>
              <w:left w:val="single" w:color="auto" w:sz="4" w:space="0"/>
            </w:tcBorders>
          </w:tcPr>
          <w:p>
            <w:pPr>
              <w:widowControl/>
              <w:spacing w:line="360" w:lineRule="auto"/>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09" w:type="dxa"/>
          </w:tcPr>
          <w:p>
            <w:pPr>
              <w:widowControl/>
              <w:spacing w:line="360" w:lineRule="auto"/>
              <w:jc w:val="center"/>
              <w:rPr>
                <w:rFonts w:asciiTheme="minorEastAsia" w:hAnsiTheme="minorEastAsia"/>
                <w:szCs w:val="21"/>
              </w:rPr>
            </w:pPr>
          </w:p>
        </w:tc>
        <w:tc>
          <w:tcPr>
            <w:tcW w:w="1158" w:type="dxa"/>
            <w:tcBorders>
              <w:right w:val="single" w:color="auto" w:sz="4" w:space="0"/>
            </w:tcBorders>
          </w:tcPr>
          <w:p>
            <w:pPr>
              <w:widowControl/>
              <w:spacing w:line="360" w:lineRule="auto"/>
              <w:jc w:val="center"/>
              <w:rPr>
                <w:rFonts w:asciiTheme="minorEastAsia" w:hAnsiTheme="minorEastAsia"/>
                <w:szCs w:val="21"/>
              </w:rPr>
            </w:pPr>
          </w:p>
        </w:tc>
        <w:tc>
          <w:tcPr>
            <w:tcW w:w="121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1250" w:type="dxa"/>
            <w:tcBorders>
              <w:left w:val="single" w:color="auto" w:sz="4" w:space="0"/>
              <w:right w:val="single" w:color="auto" w:sz="4" w:space="0"/>
            </w:tcBorders>
          </w:tcPr>
          <w:p>
            <w:pPr>
              <w:widowControl/>
              <w:spacing w:line="360" w:lineRule="auto"/>
              <w:jc w:val="center"/>
              <w:rPr>
                <w:rFonts w:asciiTheme="minorEastAsia" w:hAnsiTheme="minorEastAsia"/>
                <w:szCs w:val="21"/>
              </w:rPr>
            </w:pPr>
          </w:p>
        </w:tc>
        <w:tc>
          <w:tcPr>
            <w:tcW w:w="2040" w:type="dxa"/>
            <w:tcBorders>
              <w:left w:val="single" w:color="auto" w:sz="4" w:space="0"/>
            </w:tcBorders>
          </w:tcPr>
          <w:p>
            <w:pPr>
              <w:widowControl/>
              <w:spacing w:line="360" w:lineRule="auto"/>
              <w:jc w:val="center"/>
              <w:rPr>
                <w:rFonts w:asciiTheme="minorEastAsia" w:hAnsiTheme="minorEastAsia"/>
                <w:szCs w:val="21"/>
              </w:rPr>
            </w:pPr>
          </w:p>
        </w:tc>
        <w:tc>
          <w:tcPr>
            <w:tcW w:w="1870" w:type="dxa"/>
            <w:tcBorders>
              <w:left w:val="single" w:color="auto" w:sz="4" w:space="0"/>
            </w:tcBorders>
          </w:tcPr>
          <w:p>
            <w:pPr>
              <w:widowControl/>
              <w:spacing w:line="360" w:lineRule="auto"/>
              <w:jc w:val="center"/>
              <w:rPr>
                <w:rFonts w:asciiTheme="minorEastAsia" w:hAnsiTheme="minorEastAsia"/>
                <w:szCs w:val="21"/>
              </w:rPr>
            </w:pPr>
          </w:p>
        </w:tc>
        <w:tc>
          <w:tcPr>
            <w:tcW w:w="610" w:type="dxa"/>
            <w:tcBorders>
              <w:left w:val="single" w:color="auto" w:sz="4" w:space="0"/>
            </w:tcBorders>
          </w:tcPr>
          <w:p>
            <w:pPr>
              <w:widowControl/>
              <w:spacing w:line="360" w:lineRule="auto"/>
              <w:jc w:val="center"/>
              <w:rPr>
                <w:rFonts w:asciiTheme="minorEastAsia" w:hAnsiTheme="minorEastAsia"/>
                <w:szCs w:val="21"/>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注：</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表格内容的专业、岗位、配置人数、职称或执业资格等要求内容须与“投标人须知前附表”内的1.4.1（4）（5）条款内</w:t>
      </w:r>
      <w:r>
        <w:rPr>
          <w:rFonts w:hint="default" w:ascii="宋体" w:hAnsi="宋体" w:eastAsia="宋体" w:cs="宋体"/>
          <w:sz w:val="21"/>
          <w:szCs w:val="21"/>
          <w:highlight w:val="none"/>
          <w:lang w:val="en-US" w:eastAsia="zh-CN"/>
        </w:rPr>
        <w:t>明确的专业、岗位、人数</w:t>
      </w:r>
      <w:r>
        <w:rPr>
          <w:rFonts w:hint="eastAsia" w:ascii="宋体" w:hAnsi="宋体" w:eastAsia="宋体" w:cs="宋体"/>
          <w:sz w:val="21"/>
          <w:szCs w:val="21"/>
          <w:highlight w:val="none"/>
          <w:lang w:val="en-US" w:eastAsia="zh-CN"/>
        </w:rPr>
        <w:t>、</w:t>
      </w:r>
      <w:r>
        <w:rPr>
          <w:rFonts w:hint="eastAsia"/>
          <w:szCs w:val="21"/>
          <w:highlight w:val="none"/>
        </w:rPr>
        <w:t>职称</w:t>
      </w:r>
      <w:r>
        <w:rPr>
          <w:rFonts w:hint="eastAsia"/>
          <w:szCs w:val="21"/>
          <w:highlight w:val="none"/>
          <w:lang w:val="en-US" w:eastAsia="zh-CN"/>
        </w:rPr>
        <w:t>或执业资格等</w:t>
      </w:r>
      <w:r>
        <w:rPr>
          <w:rFonts w:hint="default" w:ascii="宋体" w:hAnsi="宋体" w:eastAsia="宋体" w:cs="宋体"/>
          <w:sz w:val="21"/>
          <w:szCs w:val="21"/>
          <w:highlight w:val="none"/>
          <w:lang w:val="en-US" w:eastAsia="zh-CN"/>
        </w:rPr>
        <w:t>要求相匹配</w:t>
      </w:r>
      <w:r>
        <w:rPr>
          <w:rFonts w:hint="eastAsia" w:ascii="宋体" w:hAnsi="宋体" w:eastAsia="宋体" w:cs="宋体"/>
          <w:sz w:val="21"/>
          <w:szCs w:val="21"/>
          <w:highlight w:val="none"/>
          <w:lang w:val="en-US" w:eastAsia="zh-CN"/>
        </w:rPr>
        <w:t>，</w:t>
      </w:r>
      <w:r>
        <w:rPr>
          <w:rFonts w:hint="default" w:ascii="宋体" w:hAnsi="宋体" w:eastAsia="宋体" w:cs="宋体"/>
          <w:sz w:val="21"/>
          <w:szCs w:val="21"/>
          <w:highlight w:val="none"/>
          <w:lang w:val="en-US" w:eastAsia="zh-CN"/>
        </w:rPr>
        <w:t>不得虚假填报</w:t>
      </w:r>
      <w:r>
        <w:rPr>
          <w:rFonts w:hint="eastAsia" w:ascii="宋体" w:hAnsi="宋体" w:eastAsia="宋体" w:cs="宋体"/>
          <w:sz w:val="21"/>
          <w:szCs w:val="21"/>
          <w:highlight w:val="none"/>
          <w:lang w:val="en-US" w:eastAsia="zh-CN"/>
        </w:rPr>
        <w:t>，否则视为无效投标。</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firstLine="420" w:firstLineChars="200"/>
        <w:jc w:val="both"/>
        <w:textAlignment w:val="auto"/>
        <w:rPr>
          <w:rFonts w:hint="eastAsia"/>
          <w:sz w:val="21"/>
          <w:szCs w:val="21"/>
          <w:highlight w:val="none"/>
          <w:lang w:val="en-US" w:eastAsia="zh-CN"/>
        </w:rPr>
      </w:pPr>
      <w:r>
        <w:rPr>
          <w:rFonts w:hint="default" w:ascii="宋体" w:hAnsi="宋体" w:eastAsia="宋体" w:cs="宋体"/>
          <w:sz w:val="21"/>
          <w:szCs w:val="21"/>
          <w:highlight w:val="none"/>
          <w:lang w:val="en-US" w:eastAsia="zh-CN"/>
        </w:rPr>
        <w:t>本表格不要求提供人员证书复印件、</w:t>
      </w:r>
      <w:r>
        <w:rPr>
          <w:rFonts w:hint="eastAsia" w:ascii="宋体" w:hAnsi="宋体" w:eastAsia="宋体" w:cs="宋体"/>
          <w:sz w:val="21"/>
          <w:szCs w:val="21"/>
          <w:highlight w:val="none"/>
          <w:lang w:val="en-US" w:eastAsia="zh-CN"/>
        </w:rPr>
        <w:t>“五险一金”</w:t>
      </w:r>
      <w:r>
        <w:rPr>
          <w:rFonts w:hint="default" w:ascii="宋体" w:hAnsi="宋体" w:eastAsia="宋体" w:cs="宋体"/>
          <w:sz w:val="21"/>
          <w:szCs w:val="21"/>
          <w:highlight w:val="none"/>
          <w:lang w:val="en-US" w:eastAsia="zh-CN"/>
        </w:rPr>
        <w:t>证明等附件</w:t>
      </w:r>
      <w:r>
        <w:rPr>
          <w:rFonts w:hint="eastAsia" w:ascii="宋体" w:hAnsi="宋体" w:eastAsia="宋体" w:cs="宋体"/>
          <w:sz w:val="21"/>
          <w:szCs w:val="21"/>
          <w:highlight w:val="none"/>
          <w:lang w:val="en-US" w:eastAsia="zh-CN"/>
        </w:rPr>
        <w:t>，</w:t>
      </w:r>
      <w:r>
        <w:rPr>
          <w:rFonts w:hint="default" w:ascii="宋体" w:hAnsi="宋体" w:eastAsia="宋体" w:cs="宋体"/>
          <w:sz w:val="21"/>
          <w:szCs w:val="21"/>
          <w:highlight w:val="none"/>
          <w:lang w:val="en-US" w:eastAsia="zh-CN"/>
        </w:rPr>
        <w:t>表格中不得出现投标人名称、人员姓名、单位名称、logo、印章、证书编号等可识别信息，否则视为无效投标。</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firstLine="420" w:firstLineChars="20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本表格内</w:t>
      </w:r>
      <w:r>
        <w:rPr>
          <w:rFonts w:hint="default" w:ascii="宋体" w:hAnsi="宋体" w:eastAsia="宋体" w:cs="宋体"/>
          <w:sz w:val="21"/>
          <w:szCs w:val="21"/>
          <w:highlight w:val="none"/>
          <w:lang w:val="en-US" w:eastAsia="zh-CN"/>
        </w:rPr>
        <w:t>“拟承担的主要工作内容”应清晰说明该岗位在本项目中的具体职责，体现专业分工合理性。</w:t>
      </w:r>
      <w:r>
        <w:rPr>
          <w:rFonts w:hint="eastAsia"/>
          <w:sz w:val="21"/>
          <w:szCs w:val="21"/>
          <w:highlight w:val="none"/>
          <w:lang w:val="en-US" w:eastAsia="zh-CN"/>
        </w:rPr>
        <w:br w:type="page"/>
      </w:r>
    </w:p>
    <w:p>
      <w:pPr>
        <w:pStyle w:val="5"/>
        <w:spacing w:before="0" w:after="0" w:line="520" w:lineRule="exact"/>
        <w:rPr>
          <w:rFonts w:hint="eastAsia"/>
          <w:sz w:val="28"/>
          <w:szCs w:val="28"/>
          <w:highlight w:val="none"/>
          <w:lang w:val="en-US" w:eastAsia="zh-CN"/>
        </w:rPr>
      </w:pPr>
      <w:r>
        <w:rPr>
          <w:rFonts w:hint="eastAsia"/>
          <w:sz w:val="28"/>
          <w:szCs w:val="28"/>
          <w:highlight w:val="none"/>
          <w:lang w:val="en-US" w:eastAsia="zh-CN"/>
        </w:rPr>
        <w:t>附件2：</w:t>
      </w:r>
      <w:r>
        <w:rPr>
          <w:rFonts w:hint="eastAsia"/>
          <w:sz w:val="28"/>
          <w:szCs w:val="28"/>
          <w:highlight w:val="none"/>
        </w:rPr>
        <w:t>设计代表驻场承诺</w:t>
      </w:r>
      <w:r>
        <w:rPr>
          <w:rFonts w:hint="eastAsia"/>
          <w:sz w:val="28"/>
          <w:szCs w:val="28"/>
          <w:highlight w:val="none"/>
          <w:lang w:val="en-US" w:eastAsia="zh-CN"/>
        </w:rPr>
        <w:t>函（参考格式）</w:t>
      </w:r>
    </w:p>
    <w:p>
      <w:pPr>
        <w:rPr>
          <w:rFonts w:hint="eastAsia"/>
          <w:lang w:val="en-US" w:eastAsia="zh-CN"/>
        </w:rPr>
      </w:pPr>
    </w:p>
    <w:p>
      <w:pPr>
        <w:widowControl/>
        <w:shd w:val="clear" w:color="auto" w:fill="FFFFFF"/>
        <w:snapToGrid w:val="0"/>
        <w:jc w:val="center"/>
        <w:rPr>
          <w:rFonts w:hint="eastAsia" w:asciiTheme="minorEastAsia" w:hAnsiTheme="minorEastAsia" w:eastAsiaTheme="minorEastAsia"/>
          <w:b/>
          <w:sz w:val="32"/>
          <w:szCs w:val="32"/>
          <w:lang w:val="en-US" w:eastAsia="zh-CN"/>
        </w:rPr>
      </w:pPr>
      <w:r>
        <w:rPr>
          <w:rFonts w:hint="eastAsia" w:asciiTheme="minorEastAsia" w:hAnsiTheme="minorEastAsia"/>
          <w:b/>
          <w:sz w:val="32"/>
          <w:szCs w:val="32"/>
          <w:lang w:val="en-US" w:eastAsia="zh-CN"/>
        </w:rPr>
        <w:t>设计代表驻场承诺函（参考格式）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jc w:val="left"/>
        <w:textAlignment w:val="auto"/>
        <w:rPr>
          <w:rStyle w:val="27"/>
          <w:rFonts w:hint="eastAsia" w:ascii="宋体" w:hAnsi="宋体" w:eastAsia="宋体" w:cs="宋体"/>
          <w:b/>
          <w:bCs/>
          <w:color w:val="1F2329"/>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jc w:val="left"/>
        <w:textAlignment w:val="auto"/>
        <w:rPr>
          <w:rFonts w:hint="eastAsia" w:ascii="宋体" w:hAnsi="宋体" w:eastAsia="宋体" w:cs="宋体"/>
          <w:b w:val="0"/>
          <w:bCs w:val="0"/>
          <w:color w:val="1F2329"/>
          <w:sz w:val="21"/>
          <w:szCs w:val="21"/>
          <w:u w:val="single"/>
        </w:rPr>
      </w:pPr>
      <w:r>
        <w:rPr>
          <w:rStyle w:val="27"/>
          <w:rFonts w:hint="eastAsia" w:ascii="宋体" w:hAnsi="宋体" w:eastAsia="宋体" w:cs="宋体"/>
          <w:b w:val="0"/>
          <w:bCs w:val="0"/>
          <w:color w:val="1F2329"/>
          <w:kern w:val="0"/>
          <w:sz w:val="21"/>
          <w:szCs w:val="21"/>
          <w:lang w:val="en-US" w:eastAsia="zh-CN" w:bidi="ar"/>
        </w:rPr>
        <w:t>致：</w:t>
      </w:r>
      <w:r>
        <w:rPr>
          <w:rStyle w:val="27"/>
          <w:rFonts w:hint="eastAsia" w:ascii="宋体" w:hAnsi="宋体" w:eastAsia="宋体" w:cs="宋体"/>
          <w:b w:val="0"/>
          <w:bCs w:val="0"/>
          <w:color w:val="1F2329"/>
          <w:kern w:val="0"/>
          <w:sz w:val="21"/>
          <w:szCs w:val="21"/>
          <w:u w:val="single"/>
          <w:lang w:val="en-US" w:eastAsia="zh-CN" w:bidi="ar"/>
        </w:rPr>
        <w:t xml:space="preserve">      （招标人名称）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kern w:val="0"/>
          <w:sz w:val="21"/>
          <w:szCs w:val="21"/>
          <w:lang w:val="en-US" w:eastAsia="zh-CN" w:bidi="ar"/>
        </w:rPr>
        <w:t>我方已仔细阅读并完全理解</w:t>
      </w:r>
      <w:r>
        <w:rPr>
          <w:rStyle w:val="27"/>
          <w:rFonts w:hint="eastAsia" w:ascii="宋体" w:hAnsi="宋体" w:eastAsia="宋体" w:cs="宋体"/>
          <w:b w:val="0"/>
          <w:bCs w:val="0"/>
          <w:color w:val="1F2329"/>
          <w:kern w:val="0"/>
          <w:sz w:val="21"/>
          <w:szCs w:val="21"/>
          <w:lang w:val="en-US" w:eastAsia="zh-CN" w:bidi="ar"/>
        </w:rPr>
        <w:t>（项目名称）</w:t>
      </w:r>
      <w:r>
        <w:rPr>
          <w:rFonts w:hint="eastAsia" w:ascii="宋体" w:hAnsi="宋体" w:eastAsia="宋体" w:cs="宋体"/>
          <w:b w:val="0"/>
          <w:bCs w:val="0"/>
          <w:color w:val="1F2329"/>
          <w:kern w:val="0"/>
          <w:sz w:val="21"/>
          <w:szCs w:val="21"/>
          <w:lang w:val="en-US" w:eastAsia="zh-CN" w:bidi="ar"/>
        </w:rPr>
        <w:t>勘察设计招标文件的全部内容。为确保本项目勘察设计成果质量及后续服务工作顺利开展，我方郑重作出如下承诺：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val="en-US" w:eastAsia="zh-CN"/>
        </w:rPr>
        <w:t>1、</w:t>
      </w:r>
      <w:r>
        <w:rPr>
          <w:rFonts w:hint="eastAsia" w:ascii="宋体" w:hAnsi="宋体" w:eastAsia="宋体" w:cs="宋体"/>
          <w:b w:val="0"/>
          <w:bCs w:val="0"/>
          <w:color w:val="1F2329"/>
          <w:sz w:val="21"/>
          <w:szCs w:val="21"/>
        </w:rPr>
        <w:t>我方将</w:t>
      </w:r>
      <w:r>
        <w:rPr>
          <w:rStyle w:val="27"/>
          <w:rFonts w:hint="eastAsia" w:ascii="宋体" w:hAnsi="宋体" w:eastAsia="宋体" w:cs="宋体"/>
          <w:b w:val="0"/>
          <w:bCs w:val="0"/>
          <w:color w:val="1F2329"/>
          <w:sz w:val="21"/>
          <w:szCs w:val="21"/>
        </w:rPr>
        <w:t>根据工程建设需要设立设计代表机构或派驻合格设计代表</w:t>
      </w:r>
      <w:r>
        <w:rPr>
          <w:rFonts w:hint="eastAsia" w:ascii="宋体" w:hAnsi="宋体" w:eastAsia="宋体" w:cs="宋体"/>
          <w:b w:val="0"/>
          <w:bCs w:val="0"/>
          <w:color w:val="1F2329"/>
          <w:sz w:val="21"/>
          <w:szCs w:val="21"/>
        </w:rPr>
        <w:t>，常驻施工现场，及时处理设计相关问题。</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val="en-US" w:eastAsia="zh-CN"/>
        </w:rPr>
        <w:t>2、</w:t>
      </w:r>
      <w:r>
        <w:rPr>
          <w:rFonts w:hint="eastAsia" w:ascii="宋体" w:hAnsi="宋体" w:eastAsia="宋体" w:cs="宋体"/>
          <w:b w:val="0"/>
          <w:bCs w:val="0"/>
          <w:color w:val="1F2329"/>
          <w:sz w:val="21"/>
          <w:szCs w:val="21"/>
        </w:rPr>
        <w:t>我方承诺在施工期间</w:t>
      </w:r>
      <w:r>
        <w:rPr>
          <w:rStyle w:val="27"/>
          <w:rFonts w:hint="eastAsia" w:ascii="宋体" w:hAnsi="宋体" w:eastAsia="宋体" w:cs="宋体"/>
          <w:b w:val="0"/>
          <w:bCs w:val="0"/>
          <w:color w:val="1F2329"/>
          <w:sz w:val="21"/>
          <w:szCs w:val="21"/>
        </w:rPr>
        <w:t>及时处理设计问题、办理设计变更、参加工程相关会议、配合现场技术服务及验收等工作</w:t>
      </w:r>
      <w:r>
        <w:rPr>
          <w:rFonts w:hint="eastAsia" w:ascii="宋体" w:hAnsi="宋体" w:eastAsia="宋体" w:cs="宋体"/>
          <w:b w:val="0"/>
          <w:bCs w:val="0"/>
          <w:color w:val="1F2329"/>
          <w:sz w:val="21"/>
          <w:szCs w:val="21"/>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val="en-US" w:eastAsia="zh-CN"/>
        </w:rPr>
        <w:t>3、</w:t>
      </w:r>
      <w:r>
        <w:rPr>
          <w:rFonts w:hint="eastAsia" w:ascii="宋体" w:hAnsi="宋体" w:eastAsia="宋体" w:cs="宋体"/>
          <w:b w:val="0"/>
          <w:bCs w:val="0"/>
          <w:color w:val="1F2329"/>
          <w:sz w:val="21"/>
          <w:szCs w:val="21"/>
        </w:rPr>
        <w:t>我方保证派驻的设计代表</w:t>
      </w:r>
      <w:r>
        <w:rPr>
          <w:rStyle w:val="27"/>
          <w:rFonts w:hint="eastAsia" w:ascii="宋体" w:hAnsi="宋体" w:eastAsia="宋体" w:cs="宋体"/>
          <w:b w:val="0"/>
          <w:bCs w:val="0"/>
          <w:color w:val="1F2329"/>
          <w:sz w:val="21"/>
          <w:szCs w:val="21"/>
        </w:rPr>
        <w:t>具备相应专业技术能力与执业资格</w:t>
      </w:r>
      <w:r>
        <w:rPr>
          <w:rFonts w:hint="eastAsia" w:ascii="宋体" w:hAnsi="宋体" w:eastAsia="宋体" w:cs="宋体"/>
          <w:b w:val="0"/>
          <w:bCs w:val="0"/>
          <w:color w:val="1F2329"/>
          <w:sz w:val="21"/>
          <w:szCs w:val="21"/>
        </w:rPr>
        <w:t>，熟悉本项目设计内容，能够高效响应发包人及监理单位的合理要求。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val="en-US" w:eastAsia="zh-CN"/>
        </w:rPr>
        <w:t>4、</w:t>
      </w:r>
      <w:r>
        <w:rPr>
          <w:rFonts w:hint="eastAsia" w:ascii="宋体" w:hAnsi="宋体" w:eastAsia="宋体" w:cs="宋体"/>
          <w:b w:val="0"/>
          <w:bCs w:val="0"/>
          <w:color w:val="1F2329"/>
          <w:sz w:val="21"/>
          <w:szCs w:val="21"/>
        </w:rPr>
        <w:t>我方承诺严格遵守发包人关于现场管理、驻场时间、考勤及服务质量的相关规定，</w:t>
      </w:r>
      <w:r>
        <w:rPr>
          <w:rStyle w:val="27"/>
          <w:rFonts w:hint="eastAsia" w:ascii="宋体" w:hAnsi="宋体" w:eastAsia="宋体" w:cs="宋体"/>
          <w:b w:val="0"/>
          <w:bCs w:val="0"/>
          <w:color w:val="1F2329"/>
          <w:sz w:val="21"/>
          <w:szCs w:val="21"/>
        </w:rPr>
        <w:t>满足本项目驻场时间与服务要求</w:t>
      </w:r>
      <w:r>
        <w:rPr>
          <w:rFonts w:hint="eastAsia" w:ascii="宋体" w:hAnsi="宋体" w:eastAsia="宋体" w:cs="宋体"/>
          <w:b w:val="0"/>
          <w:bCs w:val="0"/>
          <w:color w:val="1F2329"/>
          <w:sz w:val="21"/>
          <w:szCs w:val="21"/>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val="en-US" w:eastAsia="zh-CN"/>
        </w:rPr>
        <w:t>5、</w:t>
      </w:r>
      <w:r>
        <w:rPr>
          <w:rFonts w:hint="eastAsia" w:ascii="宋体" w:hAnsi="宋体" w:eastAsia="宋体" w:cs="宋体"/>
          <w:b w:val="0"/>
          <w:bCs w:val="0"/>
          <w:color w:val="1F2329"/>
          <w:sz w:val="21"/>
          <w:szCs w:val="21"/>
        </w:rPr>
        <w:t>若我方违反上述承诺，愿意无条件地接受招标人作出的以下处理：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eastAsia="zh-CN"/>
        </w:rPr>
        <w:t>（</w:t>
      </w:r>
      <w:r>
        <w:rPr>
          <w:rFonts w:hint="eastAsia" w:ascii="宋体" w:hAnsi="宋体" w:eastAsia="宋体" w:cs="宋体"/>
          <w:b w:val="0"/>
          <w:bCs w:val="0"/>
          <w:color w:val="1F2329"/>
          <w:sz w:val="21"/>
          <w:szCs w:val="21"/>
          <w:lang w:val="en-US" w:eastAsia="zh-CN"/>
        </w:rPr>
        <w:t>1）</w:t>
      </w:r>
      <w:r>
        <w:rPr>
          <w:rFonts w:hint="eastAsia" w:ascii="宋体" w:hAnsi="宋体" w:eastAsia="宋体" w:cs="宋体"/>
          <w:b w:val="0"/>
          <w:bCs w:val="0"/>
          <w:color w:val="1F2329"/>
          <w:sz w:val="21"/>
          <w:szCs w:val="21"/>
        </w:rPr>
        <w:t>招标人按照本招标文件和施工合同约定所进行的处罚；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r>
        <w:rPr>
          <w:rFonts w:hint="eastAsia" w:ascii="宋体" w:hAnsi="宋体" w:eastAsia="宋体" w:cs="宋体"/>
          <w:b w:val="0"/>
          <w:bCs w:val="0"/>
          <w:color w:val="1F2329"/>
          <w:sz w:val="21"/>
          <w:szCs w:val="21"/>
          <w:lang w:eastAsia="zh-CN"/>
        </w:rPr>
        <w:t>（</w:t>
      </w:r>
      <w:r>
        <w:rPr>
          <w:rFonts w:hint="eastAsia" w:ascii="宋体" w:hAnsi="宋体" w:eastAsia="宋体" w:cs="宋体"/>
          <w:b w:val="0"/>
          <w:bCs w:val="0"/>
          <w:color w:val="1F2329"/>
          <w:sz w:val="21"/>
          <w:szCs w:val="21"/>
        </w:rPr>
        <w:t>2</w:t>
      </w:r>
      <w:r>
        <w:rPr>
          <w:rFonts w:hint="eastAsia" w:ascii="宋体" w:hAnsi="宋体" w:eastAsia="宋体" w:cs="宋体"/>
          <w:b w:val="0"/>
          <w:bCs w:val="0"/>
          <w:color w:val="1F2329"/>
          <w:sz w:val="21"/>
          <w:szCs w:val="21"/>
          <w:lang w:eastAsia="zh-CN"/>
        </w:rPr>
        <w:t>）</w:t>
      </w:r>
      <w:r>
        <w:rPr>
          <w:rFonts w:hint="eastAsia" w:ascii="宋体" w:hAnsi="宋体" w:eastAsia="宋体" w:cs="宋体"/>
          <w:b w:val="0"/>
          <w:bCs w:val="0"/>
          <w:color w:val="1F2329"/>
          <w:sz w:val="21"/>
          <w:szCs w:val="21"/>
        </w:rPr>
        <w:t>招标人有权解除合同并按违约追究我方责任。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rightChars="0" w:firstLine="420" w:firstLineChars="200"/>
        <w:jc w:val="left"/>
        <w:textAlignment w:val="auto"/>
        <w:rPr>
          <w:rFonts w:hint="eastAsia" w:ascii="宋体" w:hAnsi="宋体" w:eastAsia="宋体" w:cs="宋体"/>
          <w:b w:val="0"/>
          <w:bCs w:val="0"/>
          <w:color w:val="1F2329"/>
          <w:sz w:val="21"/>
          <w:szCs w:val="21"/>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color w:val="1F2329"/>
          <w:kern w:val="0"/>
          <w:sz w:val="21"/>
          <w:szCs w:val="21"/>
          <w:lang w:val="en-US" w:eastAsia="zh-CN" w:bidi="ar"/>
        </w:rPr>
      </w:pPr>
      <w:r>
        <w:rPr>
          <w:rFonts w:hint="eastAsia" w:ascii="宋体" w:hAnsi="宋体" w:eastAsia="宋体" w:cs="宋体"/>
          <w:b w:val="0"/>
          <w:bCs w:val="0"/>
          <w:color w:val="1F2329"/>
          <w:kern w:val="0"/>
          <w:sz w:val="21"/>
          <w:szCs w:val="21"/>
          <w:lang w:val="en-US" w:eastAsia="zh-CN" w:bidi="ar"/>
        </w:rPr>
        <w:t>特此承诺！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color w:val="1F2329"/>
          <w:kern w:val="0"/>
          <w:sz w:val="21"/>
          <w:szCs w:val="21"/>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right"/>
        <w:textAlignment w:val="auto"/>
        <w:rPr>
          <w:rFonts w:asciiTheme="minorEastAsia" w:hAnsiTheme="minorEastAsia"/>
          <w:b w:val="0"/>
          <w:bCs w:val="0"/>
          <w:sz w:val="21"/>
          <w:szCs w:val="21"/>
          <w:highlight w:val="none"/>
        </w:rPr>
      </w:pPr>
      <w:r>
        <w:rPr>
          <w:rFonts w:hint="eastAsia" w:asciiTheme="minorEastAsia" w:hAnsiTheme="minorEastAsia"/>
          <w:b w:val="0"/>
          <w:bCs w:val="0"/>
          <w:sz w:val="21"/>
          <w:szCs w:val="21"/>
          <w:highlight w:val="none"/>
        </w:rPr>
        <w:t>投标人：</w:t>
      </w:r>
      <w:r>
        <w:rPr>
          <w:rFonts w:hint="eastAsia" w:asciiTheme="minorEastAsia" w:hAnsiTheme="minorEastAsia"/>
          <w:b w:val="0"/>
          <w:bCs w:val="0"/>
          <w:sz w:val="21"/>
          <w:szCs w:val="21"/>
          <w:highlight w:val="none"/>
          <w:u w:val="single"/>
          <w:lang w:val="en-US" w:eastAsia="zh-CN"/>
        </w:rPr>
        <w:t xml:space="preserve">            </w:t>
      </w:r>
      <w:r>
        <w:rPr>
          <w:rFonts w:hint="eastAsia" w:asciiTheme="minorEastAsia" w:hAnsiTheme="minorEastAsia"/>
          <w:b w:val="0"/>
          <w:bCs w:val="0"/>
          <w:sz w:val="21"/>
          <w:szCs w:val="21"/>
          <w:highlight w:val="none"/>
        </w:rPr>
        <w:t>（盖单位</w:t>
      </w:r>
      <w:r>
        <w:rPr>
          <w:rFonts w:hint="eastAsia" w:asciiTheme="minorEastAsia" w:hAnsiTheme="minorEastAsia"/>
          <w:b w:val="0"/>
          <w:bCs w:val="0"/>
          <w:sz w:val="21"/>
          <w:szCs w:val="21"/>
          <w:highlight w:val="none"/>
          <w:lang w:val="en-US" w:eastAsia="zh-CN"/>
        </w:rPr>
        <w:t>公</w:t>
      </w:r>
      <w:r>
        <w:rPr>
          <w:rFonts w:hint="eastAsia" w:asciiTheme="minorEastAsia" w:hAnsiTheme="minorEastAsia"/>
          <w:b w:val="0"/>
          <w:bCs w:val="0"/>
          <w:sz w:val="21"/>
          <w:szCs w:val="21"/>
          <w:highlight w:val="none"/>
        </w:rPr>
        <w:t>章）</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firstLineChars="200"/>
        <w:jc w:val="right"/>
        <w:textAlignment w:val="auto"/>
        <w:rPr>
          <w:rFonts w:asciiTheme="minorEastAsia" w:hAnsiTheme="minorEastAsia"/>
          <w:b w:val="0"/>
          <w:bCs w:val="0"/>
          <w:sz w:val="21"/>
          <w:szCs w:val="21"/>
          <w:highlight w:val="none"/>
        </w:rPr>
      </w:pPr>
      <w:r>
        <w:rPr>
          <w:rFonts w:hint="eastAsia" w:asciiTheme="minorEastAsia" w:hAnsiTheme="minorEastAsia"/>
          <w:b w:val="0"/>
          <w:bCs w:val="0"/>
          <w:sz w:val="21"/>
          <w:szCs w:val="21"/>
          <w:highlight w:val="none"/>
          <w:u w:val="single"/>
          <w:lang w:val="en-US" w:eastAsia="zh-CN"/>
        </w:rPr>
        <w:t xml:space="preserve">         </w:t>
      </w:r>
      <w:r>
        <w:rPr>
          <w:rFonts w:hint="eastAsia" w:asciiTheme="minorEastAsia" w:hAnsiTheme="minorEastAsia"/>
          <w:b w:val="0"/>
          <w:bCs w:val="0"/>
          <w:sz w:val="21"/>
          <w:szCs w:val="21"/>
          <w:highlight w:val="none"/>
        </w:rPr>
        <w:t>年</w:t>
      </w:r>
      <w:r>
        <w:rPr>
          <w:rFonts w:hint="eastAsia" w:asciiTheme="minorEastAsia" w:hAnsiTheme="minorEastAsia"/>
          <w:b w:val="0"/>
          <w:bCs w:val="0"/>
          <w:sz w:val="21"/>
          <w:szCs w:val="21"/>
          <w:highlight w:val="none"/>
          <w:u w:val="single"/>
          <w:lang w:val="en-US" w:eastAsia="zh-CN"/>
        </w:rPr>
        <w:t xml:space="preserve">     </w:t>
      </w:r>
      <w:r>
        <w:rPr>
          <w:rFonts w:hint="eastAsia" w:asciiTheme="minorEastAsia" w:hAnsiTheme="minorEastAsia"/>
          <w:b w:val="0"/>
          <w:bCs w:val="0"/>
          <w:sz w:val="21"/>
          <w:szCs w:val="21"/>
          <w:highlight w:val="none"/>
        </w:rPr>
        <w:t>月</w:t>
      </w:r>
      <w:r>
        <w:rPr>
          <w:rFonts w:hint="eastAsia" w:asciiTheme="minorEastAsia" w:hAnsiTheme="minorEastAsia"/>
          <w:b w:val="0"/>
          <w:bCs w:val="0"/>
          <w:sz w:val="21"/>
          <w:szCs w:val="21"/>
          <w:highlight w:val="none"/>
          <w:u w:val="single"/>
          <w:lang w:val="en-US" w:eastAsia="zh-CN"/>
        </w:rPr>
        <w:t xml:space="preserve">     </w:t>
      </w:r>
      <w:r>
        <w:rPr>
          <w:rFonts w:hint="eastAsia" w:asciiTheme="minorEastAsia" w:hAnsiTheme="minorEastAsia"/>
          <w:b w:val="0"/>
          <w:bCs w:val="0"/>
          <w:sz w:val="21"/>
          <w:szCs w:val="21"/>
          <w:highlight w:val="none"/>
        </w:rPr>
        <w:t>日</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jc w:val="both"/>
        <w:textAlignment w:val="auto"/>
        <w:rPr>
          <w:rFonts w:hint="eastAsia" w:ascii="宋体" w:hAnsi="宋体" w:eastAsia="宋体" w:cs="宋体"/>
          <w:b/>
          <w:sz w:val="24"/>
          <w:szCs w:val="24"/>
          <w:lang w:val="en-US" w:eastAsia="zh-CN"/>
        </w:rPr>
      </w:pPr>
    </w:p>
    <w:sectPr>
      <w:footerReference r:id="rId11" w:type="default"/>
      <w:pgSz w:w="11906" w:h="16838"/>
      <w:pgMar w:top="1440" w:right="1531" w:bottom="1440" w:left="1531" w:header="851" w:footer="85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1F701F-331E-4516-B7E5-B1D5D20963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64FB63-C193-46F9-B5FA-5F7CAD2F62FC}"/>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A09C2C6A-1BEC-41C8-A160-2B4E9F610F92}"/>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4" w:fontKey="{24A0A43E-28F6-4BA4-8772-86DBF0AEDD6C}"/>
  </w:font>
  <w:font w:name="方正小标宋简体">
    <w:panose1 w:val="03000509000000000000"/>
    <w:charset w:val="86"/>
    <w:family w:val="auto"/>
    <w:pitch w:val="default"/>
    <w:sig w:usb0="00000001" w:usb1="080E0000" w:usb2="00000000" w:usb3="00000000" w:csb0="00040000" w:csb1="00000000"/>
    <w:embedRegular r:id="rId5" w:fontKey="{908AB45C-6090-4449-BAD2-9732FF33DDC5}"/>
  </w:font>
  <w:font w:name="方正小标宋_GBK">
    <w:panose1 w:val="02000000000000000000"/>
    <w:charset w:val="86"/>
    <w:family w:val="auto"/>
    <w:pitch w:val="default"/>
    <w:sig w:usb0="00000000" w:usb1="00000000" w:usb2="00000000" w:usb3="00000000" w:csb0="00000000" w:csb1="00000000"/>
    <w:embedRegular r:id="rId6" w:fontKey="{EED30DD2-0C3F-4183-91C0-04C2EBCB7DD5}"/>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embedRegular r:id="rId7" w:fontKey="{0F7A5F6F-0C8D-420C-98CA-49534D8794AD}"/>
  </w:font>
  <w:font w:name="方正书宋_GBK">
    <w:panose1 w:val="02000000000000000000"/>
    <w:charset w:val="86"/>
    <w:family w:val="auto"/>
    <w:pitch w:val="default"/>
    <w:sig w:usb0="00000000" w:usb1="00000000" w:usb2="00000000" w:usb3="00000000" w:csb0="00000000" w:csb1="00000000"/>
    <w:embedRegular r:id="rId8" w:fontKey="{9402C2CF-050F-4221-8DE3-1E27DA7E6EB8}"/>
  </w:font>
  <w:font w:name="楷体_GB2312">
    <w:panose1 w:val="02010609030101010101"/>
    <w:charset w:val="86"/>
    <w:family w:val="modern"/>
    <w:pitch w:val="default"/>
    <w:sig w:usb0="00000001" w:usb1="080E0000" w:usb2="00000000" w:usb3="00000000" w:csb0="00040000" w:csb1="00000000"/>
    <w:embedRegular r:id="rId9" w:fontKey="{C5A36802-FC5D-4735-B096-21BE77E6AF0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422"/>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422"/>
        <w:tab w:val="clear" w:pos="4153"/>
      </w:tabs>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422"/>
        <w:tab w:val="clear" w:pos="4153"/>
      </w:tabs>
    </w:pP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xii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xii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p>
    <w:pPr>
      <w:pStyle w:val="1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28D09"/>
    <w:multiLevelType w:val="singleLevel"/>
    <w:tmpl w:val="80D28D09"/>
    <w:lvl w:ilvl="0" w:tentative="0">
      <w:start w:val="1"/>
      <w:numFmt w:val="decimal"/>
      <w:suff w:val="space"/>
      <w:lvlText w:val="%1."/>
      <w:lvlJc w:val="left"/>
    </w:lvl>
  </w:abstractNum>
  <w:abstractNum w:abstractNumId="1">
    <w:nsid w:val="96F9A8A0"/>
    <w:multiLevelType w:val="singleLevel"/>
    <w:tmpl w:val="96F9A8A0"/>
    <w:lvl w:ilvl="0" w:tentative="0">
      <w:start w:val="1"/>
      <w:numFmt w:val="decimal"/>
      <w:suff w:val="nothing"/>
      <w:lvlText w:val="%1、"/>
      <w:lvlJc w:val="left"/>
    </w:lvl>
  </w:abstractNum>
  <w:abstractNum w:abstractNumId="2">
    <w:nsid w:val="A5AAE57D"/>
    <w:multiLevelType w:val="singleLevel"/>
    <w:tmpl w:val="A5AAE57D"/>
    <w:lvl w:ilvl="0" w:tentative="0">
      <w:start w:val="1"/>
      <w:numFmt w:val="decimal"/>
      <w:suff w:val="space"/>
      <w:lvlText w:val="%1."/>
      <w:lvlJc w:val="left"/>
    </w:lvl>
  </w:abstractNum>
  <w:abstractNum w:abstractNumId="3">
    <w:nsid w:val="B0986656"/>
    <w:multiLevelType w:val="singleLevel"/>
    <w:tmpl w:val="B0986656"/>
    <w:lvl w:ilvl="0" w:tentative="0">
      <w:start w:val="1"/>
      <w:numFmt w:val="decimal"/>
      <w:suff w:val="nothing"/>
      <w:lvlText w:val="（%1）"/>
      <w:lvlJc w:val="left"/>
    </w:lvl>
  </w:abstractNum>
  <w:abstractNum w:abstractNumId="4">
    <w:nsid w:val="B6AFF422"/>
    <w:multiLevelType w:val="singleLevel"/>
    <w:tmpl w:val="B6AFF422"/>
    <w:lvl w:ilvl="0" w:tentative="0">
      <w:start w:val="12"/>
      <w:numFmt w:val="chineseCounting"/>
      <w:suff w:val="nothing"/>
      <w:lvlText w:val="%1、"/>
      <w:lvlJc w:val="left"/>
      <w:rPr>
        <w:rFonts w:hint="eastAsia"/>
      </w:rPr>
    </w:lvl>
  </w:abstractNum>
  <w:abstractNum w:abstractNumId="5">
    <w:nsid w:val="BA85CC44"/>
    <w:multiLevelType w:val="singleLevel"/>
    <w:tmpl w:val="BA85CC44"/>
    <w:lvl w:ilvl="0" w:tentative="0">
      <w:start w:val="12"/>
      <w:numFmt w:val="chineseCounting"/>
      <w:suff w:val="nothing"/>
      <w:lvlText w:val="%1、"/>
      <w:lvlJc w:val="left"/>
      <w:rPr>
        <w:rFonts w:hint="eastAsia"/>
      </w:rPr>
    </w:lvl>
  </w:abstractNum>
  <w:abstractNum w:abstractNumId="6">
    <w:nsid w:val="BBA248D2"/>
    <w:multiLevelType w:val="singleLevel"/>
    <w:tmpl w:val="BBA248D2"/>
    <w:lvl w:ilvl="0" w:tentative="0">
      <w:start w:val="1"/>
      <w:numFmt w:val="decimal"/>
      <w:suff w:val="nothing"/>
      <w:lvlText w:val="%1．"/>
      <w:lvlJc w:val="left"/>
      <w:pPr>
        <w:ind w:left="0" w:firstLine="400"/>
      </w:pPr>
      <w:rPr>
        <w:rFonts w:hint="default"/>
      </w:rPr>
    </w:lvl>
  </w:abstractNum>
  <w:abstractNum w:abstractNumId="7">
    <w:nsid w:val="C1266D65"/>
    <w:multiLevelType w:val="singleLevel"/>
    <w:tmpl w:val="C1266D65"/>
    <w:lvl w:ilvl="0" w:tentative="0">
      <w:start w:val="1"/>
      <w:numFmt w:val="decimal"/>
      <w:suff w:val="nothing"/>
      <w:lvlText w:val="%1."/>
      <w:lvlJc w:val="left"/>
    </w:lvl>
  </w:abstractNum>
  <w:abstractNum w:abstractNumId="8">
    <w:nsid w:val="E512252E"/>
    <w:multiLevelType w:val="singleLevel"/>
    <w:tmpl w:val="E512252E"/>
    <w:lvl w:ilvl="0" w:tentative="0">
      <w:start w:val="1"/>
      <w:numFmt w:val="decimal"/>
      <w:suff w:val="space"/>
      <w:lvlText w:val="%1."/>
      <w:lvlJc w:val="left"/>
    </w:lvl>
  </w:abstractNum>
  <w:abstractNum w:abstractNumId="9">
    <w:nsid w:val="F70992F9"/>
    <w:multiLevelType w:val="singleLevel"/>
    <w:tmpl w:val="F70992F9"/>
    <w:lvl w:ilvl="0" w:tentative="0">
      <w:start w:val="1"/>
      <w:numFmt w:val="decimal"/>
      <w:suff w:val="nothing"/>
      <w:lvlText w:val="%1."/>
      <w:lvlJc w:val="left"/>
    </w:lvl>
  </w:abstractNum>
  <w:abstractNum w:abstractNumId="10">
    <w:nsid w:val="FDB977EF"/>
    <w:multiLevelType w:val="singleLevel"/>
    <w:tmpl w:val="FDB977EF"/>
    <w:lvl w:ilvl="0" w:tentative="0">
      <w:start w:val="11"/>
      <w:numFmt w:val="chineseCounting"/>
      <w:suff w:val="nothing"/>
      <w:lvlText w:val="%1、"/>
      <w:lvlJc w:val="left"/>
      <w:rPr>
        <w:rFonts w:hint="eastAsia"/>
      </w:rPr>
    </w:lvl>
  </w:abstractNum>
  <w:abstractNum w:abstractNumId="11">
    <w:nsid w:val="030E23FC"/>
    <w:multiLevelType w:val="singleLevel"/>
    <w:tmpl w:val="030E23FC"/>
    <w:lvl w:ilvl="0" w:tentative="0">
      <w:start w:val="1"/>
      <w:numFmt w:val="decimal"/>
      <w:suff w:val="nothing"/>
      <w:lvlText w:val="%1."/>
      <w:lvlJc w:val="left"/>
    </w:lvl>
  </w:abstractNum>
  <w:abstractNum w:abstractNumId="12">
    <w:nsid w:val="0311F2B2"/>
    <w:multiLevelType w:val="singleLevel"/>
    <w:tmpl w:val="0311F2B2"/>
    <w:lvl w:ilvl="0" w:tentative="0">
      <w:start w:val="9"/>
      <w:numFmt w:val="decimal"/>
      <w:suff w:val="space"/>
      <w:lvlText w:val="%1."/>
      <w:lvlJc w:val="left"/>
    </w:lvl>
  </w:abstractNum>
  <w:abstractNum w:abstractNumId="13">
    <w:nsid w:val="1D82B725"/>
    <w:multiLevelType w:val="singleLevel"/>
    <w:tmpl w:val="1D82B725"/>
    <w:lvl w:ilvl="0" w:tentative="0">
      <w:start w:val="1"/>
      <w:numFmt w:val="decimal"/>
      <w:suff w:val="nothing"/>
      <w:lvlText w:val="（%1）"/>
      <w:lvlJc w:val="left"/>
    </w:lvl>
  </w:abstractNum>
  <w:abstractNum w:abstractNumId="14">
    <w:nsid w:val="3812611B"/>
    <w:multiLevelType w:val="singleLevel"/>
    <w:tmpl w:val="3812611B"/>
    <w:lvl w:ilvl="0" w:tentative="0">
      <w:start w:val="1"/>
      <w:numFmt w:val="decimal"/>
      <w:suff w:val="nothing"/>
      <w:lvlText w:val="%1."/>
      <w:lvlJc w:val="left"/>
    </w:lvl>
  </w:abstractNum>
  <w:abstractNum w:abstractNumId="15">
    <w:nsid w:val="5334AD00"/>
    <w:multiLevelType w:val="singleLevel"/>
    <w:tmpl w:val="5334AD00"/>
    <w:lvl w:ilvl="0" w:tentative="0">
      <w:start w:val="6"/>
      <w:numFmt w:val="decimal"/>
      <w:suff w:val="nothing"/>
      <w:lvlText w:val="（%1）"/>
      <w:lvlJc w:val="left"/>
    </w:lvl>
  </w:abstractNum>
  <w:abstractNum w:abstractNumId="16">
    <w:nsid w:val="57B6F500"/>
    <w:multiLevelType w:val="singleLevel"/>
    <w:tmpl w:val="57B6F500"/>
    <w:lvl w:ilvl="0" w:tentative="0">
      <w:start w:val="1"/>
      <w:numFmt w:val="decimal"/>
      <w:suff w:val="nothing"/>
      <w:lvlText w:val="%1．"/>
      <w:lvlJc w:val="left"/>
      <w:pPr>
        <w:ind w:left="0" w:firstLine="400"/>
      </w:pPr>
      <w:rPr>
        <w:rFonts w:hint="default"/>
      </w:rPr>
    </w:lvl>
  </w:abstractNum>
  <w:abstractNum w:abstractNumId="17">
    <w:nsid w:val="64B76C85"/>
    <w:multiLevelType w:val="singleLevel"/>
    <w:tmpl w:val="64B76C85"/>
    <w:lvl w:ilvl="0" w:tentative="0">
      <w:start w:val="1"/>
      <w:numFmt w:val="decimal"/>
      <w:suff w:val="nothing"/>
      <w:lvlText w:val="（%1）"/>
      <w:lvlJc w:val="left"/>
    </w:lvl>
  </w:abstractNum>
  <w:abstractNum w:abstractNumId="18">
    <w:nsid w:val="7708AA1D"/>
    <w:multiLevelType w:val="singleLevel"/>
    <w:tmpl w:val="7708AA1D"/>
    <w:lvl w:ilvl="0" w:tentative="0">
      <w:start w:val="1"/>
      <w:numFmt w:val="decimal"/>
      <w:suff w:val="nothing"/>
      <w:lvlText w:val="%1．"/>
      <w:lvlJc w:val="left"/>
      <w:pPr>
        <w:ind w:left="0" w:firstLine="400"/>
      </w:pPr>
      <w:rPr>
        <w:rFonts w:hint="default"/>
      </w:rPr>
    </w:lvl>
  </w:abstractNum>
  <w:abstractNum w:abstractNumId="19">
    <w:nsid w:val="7F09A60C"/>
    <w:multiLevelType w:val="singleLevel"/>
    <w:tmpl w:val="7F09A60C"/>
    <w:lvl w:ilvl="0" w:tentative="0">
      <w:start w:val="1"/>
      <w:numFmt w:val="decimal"/>
      <w:suff w:val="nothing"/>
      <w:lvlText w:val="%1."/>
      <w:lvlJc w:val="left"/>
    </w:lvl>
  </w:abstractNum>
  <w:num w:numId="1">
    <w:abstractNumId w:val="14"/>
  </w:num>
  <w:num w:numId="2">
    <w:abstractNumId w:val="9"/>
  </w:num>
  <w:num w:numId="3">
    <w:abstractNumId w:val="19"/>
  </w:num>
  <w:num w:numId="4">
    <w:abstractNumId w:val="11"/>
  </w:num>
  <w:num w:numId="5">
    <w:abstractNumId w:val="7"/>
  </w:num>
  <w:num w:numId="6">
    <w:abstractNumId w:val="0"/>
  </w:num>
  <w:num w:numId="7">
    <w:abstractNumId w:val="12"/>
  </w:num>
  <w:num w:numId="8">
    <w:abstractNumId w:val="15"/>
  </w:num>
  <w:num w:numId="9">
    <w:abstractNumId w:val="6"/>
  </w:num>
  <w:num w:numId="10">
    <w:abstractNumId w:val="17"/>
  </w:num>
  <w:num w:numId="11">
    <w:abstractNumId w:val="3"/>
  </w:num>
  <w:num w:numId="12">
    <w:abstractNumId w:val="8"/>
  </w:num>
  <w:num w:numId="13">
    <w:abstractNumId w:val="13"/>
  </w:num>
  <w:num w:numId="14">
    <w:abstractNumId w:val="2"/>
  </w:num>
  <w:num w:numId="15">
    <w:abstractNumId w:val="5"/>
  </w:num>
  <w:num w:numId="16">
    <w:abstractNumId w:val="10"/>
  </w:num>
  <w:num w:numId="17">
    <w:abstractNumId w:val="4"/>
  </w:num>
  <w:num w:numId="18">
    <w:abstractNumId w:val="18"/>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ZGFhNDAzMjNjMWVkMTY2MTViMTZlMGQ1YzBkZmUifQ=="/>
  </w:docVars>
  <w:rsids>
    <w:rsidRoot w:val="0066311A"/>
    <w:rsid w:val="00000C60"/>
    <w:rsid w:val="000022D5"/>
    <w:rsid w:val="00002A19"/>
    <w:rsid w:val="00002D0D"/>
    <w:rsid w:val="000041F5"/>
    <w:rsid w:val="00004934"/>
    <w:rsid w:val="00004E24"/>
    <w:rsid w:val="00005291"/>
    <w:rsid w:val="000067E9"/>
    <w:rsid w:val="0000743A"/>
    <w:rsid w:val="000074B9"/>
    <w:rsid w:val="0001016F"/>
    <w:rsid w:val="000103D2"/>
    <w:rsid w:val="000109CC"/>
    <w:rsid w:val="000116EA"/>
    <w:rsid w:val="00011CE7"/>
    <w:rsid w:val="00012E73"/>
    <w:rsid w:val="000137EB"/>
    <w:rsid w:val="00014669"/>
    <w:rsid w:val="000162E6"/>
    <w:rsid w:val="00017CBE"/>
    <w:rsid w:val="00020C7E"/>
    <w:rsid w:val="00021C3C"/>
    <w:rsid w:val="00021CC1"/>
    <w:rsid w:val="00022091"/>
    <w:rsid w:val="00022488"/>
    <w:rsid w:val="00022542"/>
    <w:rsid w:val="000227B0"/>
    <w:rsid w:val="00022A95"/>
    <w:rsid w:val="00024044"/>
    <w:rsid w:val="0002529E"/>
    <w:rsid w:val="000274DC"/>
    <w:rsid w:val="00033B13"/>
    <w:rsid w:val="00033EF8"/>
    <w:rsid w:val="000341F2"/>
    <w:rsid w:val="0003460B"/>
    <w:rsid w:val="00034B60"/>
    <w:rsid w:val="00043959"/>
    <w:rsid w:val="00044725"/>
    <w:rsid w:val="00044AF8"/>
    <w:rsid w:val="00044C66"/>
    <w:rsid w:val="00045165"/>
    <w:rsid w:val="000456AD"/>
    <w:rsid w:val="00046369"/>
    <w:rsid w:val="00047B30"/>
    <w:rsid w:val="00053D89"/>
    <w:rsid w:val="0005768C"/>
    <w:rsid w:val="00057A8D"/>
    <w:rsid w:val="00057E3D"/>
    <w:rsid w:val="0006072B"/>
    <w:rsid w:val="00061C5C"/>
    <w:rsid w:val="00062380"/>
    <w:rsid w:val="00064A5E"/>
    <w:rsid w:val="00065253"/>
    <w:rsid w:val="00065362"/>
    <w:rsid w:val="00065A28"/>
    <w:rsid w:val="00065E4B"/>
    <w:rsid w:val="00066933"/>
    <w:rsid w:val="0006799E"/>
    <w:rsid w:val="000679A8"/>
    <w:rsid w:val="00067E63"/>
    <w:rsid w:val="00070566"/>
    <w:rsid w:val="00071039"/>
    <w:rsid w:val="00073556"/>
    <w:rsid w:val="00073D6F"/>
    <w:rsid w:val="00074049"/>
    <w:rsid w:val="000748AD"/>
    <w:rsid w:val="00074D2C"/>
    <w:rsid w:val="00075E8F"/>
    <w:rsid w:val="00076990"/>
    <w:rsid w:val="00077ABC"/>
    <w:rsid w:val="00080C74"/>
    <w:rsid w:val="00082523"/>
    <w:rsid w:val="00082DA2"/>
    <w:rsid w:val="0008300D"/>
    <w:rsid w:val="00083624"/>
    <w:rsid w:val="0008471F"/>
    <w:rsid w:val="00086971"/>
    <w:rsid w:val="00086E5C"/>
    <w:rsid w:val="000870EC"/>
    <w:rsid w:val="000874CC"/>
    <w:rsid w:val="00087EAE"/>
    <w:rsid w:val="00092DED"/>
    <w:rsid w:val="00093372"/>
    <w:rsid w:val="00094011"/>
    <w:rsid w:val="00095E64"/>
    <w:rsid w:val="00096241"/>
    <w:rsid w:val="000965EE"/>
    <w:rsid w:val="000A0069"/>
    <w:rsid w:val="000A016F"/>
    <w:rsid w:val="000A0DF7"/>
    <w:rsid w:val="000A1630"/>
    <w:rsid w:val="000A2F04"/>
    <w:rsid w:val="000A3208"/>
    <w:rsid w:val="000A3678"/>
    <w:rsid w:val="000A3F47"/>
    <w:rsid w:val="000A4FF7"/>
    <w:rsid w:val="000A552D"/>
    <w:rsid w:val="000A6037"/>
    <w:rsid w:val="000B027F"/>
    <w:rsid w:val="000B07AF"/>
    <w:rsid w:val="000B11A1"/>
    <w:rsid w:val="000B15CB"/>
    <w:rsid w:val="000B1E38"/>
    <w:rsid w:val="000B2BB2"/>
    <w:rsid w:val="000B3E58"/>
    <w:rsid w:val="000B4136"/>
    <w:rsid w:val="000B461C"/>
    <w:rsid w:val="000B4777"/>
    <w:rsid w:val="000B4F83"/>
    <w:rsid w:val="000B567A"/>
    <w:rsid w:val="000B6D47"/>
    <w:rsid w:val="000B72A6"/>
    <w:rsid w:val="000C020F"/>
    <w:rsid w:val="000C06A8"/>
    <w:rsid w:val="000C09DD"/>
    <w:rsid w:val="000C316A"/>
    <w:rsid w:val="000C5206"/>
    <w:rsid w:val="000C61B3"/>
    <w:rsid w:val="000C6519"/>
    <w:rsid w:val="000C712C"/>
    <w:rsid w:val="000C7229"/>
    <w:rsid w:val="000D1B35"/>
    <w:rsid w:val="000D1CBF"/>
    <w:rsid w:val="000D1DBF"/>
    <w:rsid w:val="000D28E1"/>
    <w:rsid w:val="000D325D"/>
    <w:rsid w:val="000D4B65"/>
    <w:rsid w:val="000D6B8F"/>
    <w:rsid w:val="000E1872"/>
    <w:rsid w:val="000E19E8"/>
    <w:rsid w:val="000E1EAC"/>
    <w:rsid w:val="000E1F0E"/>
    <w:rsid w:val="000E387F"/>
    <w:rsid w:val="000E4424"/>
    <w:rsid w:val="000E4503"/>
    <w:rsid w:val="000F0CCD"/>
    <w:rsid w:val="000F1B84"/>
    <w:rsid w:val="000F1C71"/>
    <w:rsid w:val="000F1D94"/>
    <w:rsid w:val="000F266C"/>
    <w:rsid w:val="000F34C4"/>
    <w:rsid w:val="000F4704"/>
    <w:rsid w:val="000F5095"/>
    <w:rsid w:val="000F5F70"/>
    <w:rsid w:val="001021AD"/>
    <w:rsid w:val="0010307B"/>
    <w:rsid w:val="00103A29"/>
    <w:rsid w:val="00104219"/>
    <w:rsid w:val="00105646"/>
    <w:rsid w:val="00105745"/>
    <w:rsid w:val="0010625B"/>
    <w:rsid w:val="00106E63"/>
    <w:rsid w:val="00110613"/>
    <w:rsid w:val="0011196F"/>
    <w:rsid w:val="00111D7D"/>
    <w:rsid w:val="00112CF0"/>
    <w:rsid w:val="00115DED"/>
    <w:rsid w:val="0011643A"/>
    <w:rsid w:val="001168A6"/>
    <w:rsid w:val="0011766E"/>
    <w:rsid w:val="00117AE4"/>
    <w:rsid w:val="001213EB"/>
    <w:rsid w:val="001216C7"/>
    <w:rsid w:val="00125A92"/>
    <w:rsid w:val="00126283"/>
    <w:rsid w:val="00126788"/>
    <w:rsid w:val="00126C2C"/>
    <w:rsid w:val="00126D90"/>
    <w:rsid w:val="00127607"/>
    <w:rsid w:val="00127D54"/>
    <w:rsid w:val="00127E5B"/>
    <w:rsid w:val="0013001F"/>
    <w:rsid w:val="0013104A"/>
    <w:rsid w:val="001334F2"/>
    <w:rsid w:val="001349F3"/>
    <w:rsid w:val="00134C9F"/>
    <w:rsid w:val="00137BC7"/>
    <w:rsid w:val="001400F5"/>
    <w:rsid w:val="0014211A"/>
    <w:rsid w:val="001429AE"/>
    <w:rsid w:val="00143075"/>
    <w:rsid w:val="00144BD0"/>
    <w:rsid w:val="00144C7F"/>
    <w:rsid w:val="00145BEC"/>
    <w:rsid w:val="00147115"/>
    <w:rsid w:val="001471C6"/>
    <w:rsid w:val="001479BC"/>
    <w:rsid w:val="00147A82"/>
    <w:rsid w:val="00147E8C"/>
    <w:rsid w:val="00150035"/>
    <w:rsid w:val="0015089D"/>
    <w:rsid w:val="00151140"/>
    <w:rsid w:val="00151B37"/>
    <w:rsid w:val="0015306C"/>
    <w:rsid w:val="001536A1"/>
    <w:rsid w:val="00155DA4"/>
    <w:rsid w:val="00155EE3"/>
    <w:rsid w:val="0015788C"/>
    <w:rsid w:val="00162754"/>
    <w:rsid w:val="00163EE7"/>
    <w:rsid w:val="00164C63"/>
    <w:rsid w:val="0016570D"/>
    <w:rsid w:val="00165789"/>
    <w:rsid w:val="00165908"/>
    <w:rsid w:val="00165A89"/>
    <w:rsid w:val="001675BF"/>
    <w:rsid w:val="0017083C"/>
    <w:rsid w:val="001708FF"/>
    <w:rsid w:val="00171C04"/>
    <w:rsid w:val="0017358D"/>
    <w:rsid w:val="001745DE"/>
    <w:rsid w:val="00175F37"/>
    <w:rsid w:val="0017667D"/>
    <w:rsid w:val="00176B36"/>
    <w:rsid w:val="00177297"/>
    <w:rsid w:val="00177CD3"/>
    <w:rsid w:val="001817C4"/>
    <w:rsid w:val="00182683"/>
    <w:rsid w:val="00182A59"/>
    <w:rsid w:val="00183710"/>
    <w:rsid w:val="00183AE4"/>
    <w:rsid w:val="00185D59"/>
    <w:rsid w:val="0018678F"/>
    <w:rsid w:val="0018712C"/>
    <w:rsid w:val="00190C4B"/>
    <w:rsid w:val="001910C9"/>
    <w:rsid w:val="001936B0"/>
    <w:rsid w:val="00193C8E"/>
    <w:rsid w:val="00195C35"/>
    <w:rsid w:val="001968FB"/>
    <w:rsid w:val="00196914"/>
    <w:rsid w:val="0019722A"/>
    <w:rsid w:val="0019729F"/>
    <w:rsid w:val="001A1849"/>
    <w:rsid w:val="001A2100"/>
    <w:rsid w:val="001A2715"/>
    <w:rsid w:val="001A2E7A"/>
    <w:rsid w:val="001A509F"/>
    <w:rsid w:val="001A5183"/>
    <w:rsid w:val="001A5B0B"/>
    <w:rsid w:val="001A67E2"/>
    <w:rsid w:val="001A7122"/>
    <w:rsid w:val="001B0360"/>
    <w:rsid w:val="001B09C2"/>
    <w:rsid w:val="001B161B"/>
    <w:rsid w:val="001B2CC4"/>
    <w:rsid w:val="001B2E94"/>
    <w:rsid w:val="001B3016"/>
    <w:rsid w:val="001B31B2"/>
    <w:rsid w:val="001B41F4"/>
    <w:rsid w:val="001B4BBF"/>
    <w:rsid w:val="001B63BC"/>
    <w:rsid w:val="001B66EF"/>
    <w:rsid w:val="001B6A7D"/>
    <w:rsid w:val="001B70B6"/>
    <w:rsid w:val="001C1234"/>
    <w:rsid w:val="001C218B"/>
    <w:rsid w:val="001C2A80"/>
    <w:rsid w:val="001C2C9F"/>
    <w:rsid w:val="001C2F0F"/>
    <w:rsid w:val="001C3540"/>
    <w:rsid w:val="001C4560"/>
    <w:rsid w:val="001C4CCC"/>
    <w:rsid w:val="001C4E0D"/>
    <w:rsid w:val="001C5155"/>
    <w:rsid w:val="001C620D"/>
    <w:rsid w:val="001C6EA8"/>
    <w:rsid w:val="001C73FF"/>
    <w:rsid w:val="001C7C19"/>
    <w:rsid w:val="001D0707"/>
    <w:rsid w:val="001D08D7"/>
    <w:rsid w:val="001D0D0F"/>
    <w:rsid w:val="001D319C"/>
    <w:rsid w:val="001D5AA9"/>
    <w:rsid w:val="001D5E9F"/>
    <w:rsid w:val="001E0539"/>
    <w:rsid w:val="001E18DC"/>
    <w:rsid w:val="001E1C91"/>
    <w:rsid w:val="001E4B4A"/>
    <w:rsid w:val="001E4CD2"/>
    <w:rsid w:val="001E77E9"/>
    <w:rsid w:val="001F11DB"/>
    <w:rsid w:val="001F2700"/>
    <w:rsid w:val="001F2BC2"/>
    <w:rsid w:val="001F3008"/>
    <w:rsid w:val="001F3481"/>
    <w:rsid w:val="001F5BE3"/>
    <w:rsid w:val="001F5F3A"/>
    <w:rsid w:val="001F67FB"/>
    <w:rsid w:val="00201625"/>
    <w:rsid w:val="0020309F"/>
    <w:rsid w:val="002056DF"/>
    <w:rsid w:val="00206B49"/>
    <w:rsid w:val="00210163"/>
    <w:rsid w:val="00210C3A"/>
    <w:rsid w:val="00212C87"/>
    <w:rsid w:val="0021380F"/>
    <w:rsid w:val="00214EA6"/>
    <w:rsid w:val="00215E12"/>
    <w:rsid w:val="00220E0D"/>
    <w:rsid w:val="00222F62"/>
    <w:rsid w:val="002233AA"/>
    <w:rsid w:val="0022350C"/>
    <w:rsid w:val="00223767"/>
    <w:rsid w:val="00223C48"/>
    <w:rsid w:val="00223E13"/>
    <w:rsid w:val="002257CC"/>
    <w:rsid w:val="00225E93"/>
    <w:rsid w:val="00230572"/>
    <w:rsid w:val="0023148C"/>
    <w:rsid w:val="00231B38"/>
    <w:rsid w:val="00232108"/>
    <w:rsid w:val="00233461"/>
    <w:rsid w:val="00237CD9"/>
    <w:rsid w:val="002403E3"/>
    <w:rsid w:val="00240EA8"/>
    <w:rsid w:val="00242EA7"/>
    <w:rsid w:val="0024343F"/>
    <w:rsid w:val="00243BFB"/>
    <w:rsid w:val="0024475C"/>
    <w:rsid w:val="00244855"/>
    <w:rsid w:val="00245289"/>
    <w:rsid w:val="002457E3"/>
    <w:rsid w:val="00246ACB"/>
    <w:rsid w:val="00247330"/>
    <w:rsid w:val="00247D14"/>
    <w:rsid w:val="002505A2"/>
    <w:rsid w:val="002510E3"/>
    <w:rsid w:val="00251973"/>
    <w:rsid w:val="00252C29"/>
    <w:rsid w:val="00252F33"/>
    <w:rsid w:val="0025521D"/>
    <w:rsid w:val="00255BF3"/>
    <w:rsid w:val="0025798B"/>
    <w:rsid w:val="00257B4A"/>
    <w:rsid w:val="00262ECC"/>
    <w:rsid w:val="00263E36"/>
    <w:rsid w:val="002643B7"/>
    <w:rsid w:val="002643C2"/>
    <w:rsid w:val="00264600"/>
    <w:rsid w:val="00264D45"/>
    <w:rsid w:val="002704A0"/>
    <w:rsid w:val="00271F29"/>
    <w:rsid w:val="00273A10"/>
    <w:rsid w:val="00274092"/>
    <w:rsid w:val="002742D9"/>
    <w:rsid w:val="0027456F"/>
    <w:rsid w:val="0027498C"/>
    <w:rsid w:val="00275113"/>
    <w:rsid w:val="0027607F"/>
    <w:rsid w:val="00276A67"/>
    <w:rsid w:val="00280253"/>
    <w:rsid w:val="00280E68"/>
    <w:rsid w:val="00281040"/>
    <w:rsid w:val="00282E5D"/>
    <w:rsid w:val="00285990"/>
    <w:rsid w:val="002878AF"/>
    <w:rsid w:val="00290995"/>
    <w:rsid w:val="00291323"/>
    <w:rsid w:val="00292A22"/>
    <w:rsid w:val="00292E81"/>
    <w:rsid w:val="002931BA"/>
    <w:rsid w:val="002931C4"/>
    <w:rsid w:val="00293E1E"/>
    <w:rsid w:val="00293E2C"/>
    <w:rsid w:val="00294088"/>
    <w:rsid w:val="002955E8"/>
    <w:rsid w:val="00296B11"/>
    <w:rsid w:val="002A0341"/>
    <w:rsid w:val="002A0479"/>
    <w:rsid w:val="002A05BB"/>
    <w:rsid w:val="002A1F34"/>
    <w:rsid w:val="002A2D3D"/>
    <w:rsid w:val="002A3E88"/>
    <w:rsid w:val="002A49D0"/>
    <w:rsid w:val="002A4E22"/>
    <w:rsid w:val="002A527C"/>
    <w:rsid w:val="002A5880"/>
    <w:rsid w:val="002A6F65"/>
    <w:rsid w:val="002A7EE7"/>
    <w:rsid w:val="002B0544"/>
    <w:rsid w:val="002B10D5"/>
    <w:rsid w:val="002B28B4"/>
    <w:rsid w:val="002B312F"/>
    <w:rsid w:val="002B32A4"/>
    <w:rsid w:val="002B3AEB"/>
    <w:rsid w:val="002B5415"/>
    <w:rsid w:val="002B678F"/>
    <w:rsid w:val="002B696F"/>
    <w:rsid w:val="002B6C27"/>
    <w:rsid w:val="002B799C"/>
    <w:rsid w:val="002C0969"/>
    <w:rsid w:val="002C35AB"/>
    <w:rsid w:val="002C6C8F"/>
    <w:rsid w:val="002C7116"/>
    <w:rsid w:val="002C7DCB"/>
    <w:rsid w:val="002D12CE"/>
    <w:rsid w:val="002E011B"/>
    <w:rsid w:val="002E06D3"/>
    <w:rsid w:val="002E0B77"/>
    <w:rsid w:val="002E130C"/>
    <w:rsid w:val="002E17A5"/>
    <w:rsid w:val="002E2EB7"/>
    <w:rsid w:val="002E300E"/>
    <w:rsid w:val="002E341A"/>
    <w:rsid w:val="002E3AD8"/>
    <w:rsid w:val="002E5FE4"/>
    <w:rsid w:val="002E718D"/>
    <w:rsid w:val="002E74AA"/>
    <w:rsid w:val="002E7558"/>
    <w:rsid w:val="002E7675"/>
    <w:rsid w:val="002F071A"/>
    <w:rsid w:val="002F1113"/>
    <w:rsid w:val="002F26E9"/>
    <w:rsid w:val="002F2BB6"/>
    <w:rsid w:val="002F365F"/>
    <w:rsid w:val="002F37EE"/>
    <w:rsid w:val="002F38BA"/>
    <w:rsid w:val="002F4224"/>
    <w:rsid w:val="003009E2"/>
    <w:rsid w:val="00301640"/>
    <w:rsid w:val="003019A2"/>
    <w:rsid w:val="0030211D"/>
    <w:rsid w:val="003029AC"/>
    <w:rsid w:val="00302A98"/>
    <w:rsid w:val="00302FDF"/>
    <w:rsid w:val="00303539"/>
    <w:rsid w:val="00303726"/>
    <w:rsid w:val="00304A77"/>
    <w:rsid w:val="00305871"/>
    <w:rsid w:val="00305BC0"/>
    <w:rsid w:val="00306415"/>
    <w:rsid w:val="003071E6"/>
    <w:rsid w:val="00307AB2"/>
    <w:rsid w:val="0031016C"/>
    <w:rsid w:val="003107E8"/>
    <w:rsid w:val="0031198A"/>
    <w:rsid w:val="0031284D"/>
    <w:rsid w:val="00313713"/>
    <w:rsid w:val="003138A1"/>
    <w:rsid w:val="00313CBC"/>
    <w:rsid w:val="0031406B"/>
    <w:rsid w:val="00314B56"/>
    <w:rsid w:val="00315929"/>
    <w:rsid w:val="00316005"/>
    <w:rsid w:val="00317BD0"/>
    <w:rsid w:val="00320480"/>
    <w:rsid w:val="003213FC"/>
    <w:rsid w:val="00321A11"/>
    <w:rsid w:val="00321E85"/>
    <w:rsid w:val="0032283E"/>
    <w:rsid w:val="00322892"/>
    <w:rsid w:val="003231E8"/>
    <w:rsid w:val="003234B9"/>
    <w:rsid w:val="003236A2"/>
    <w:rsid w:val="003247C9"/>
    <w:rsid w:val="003250C1"/>
    <w:rsid w:val="003256E1"/>
    <w:rsid w:val="00327267"/>
    <w:rsid w:val="003303E4"/>
    <w:rsid w:val="00331260"/>
    <w:rsid w:val="00331CE3"/>
    <w:rsid w:val="003322C2"/>
    <w:rsid w:val="003329E5"/>
    <w:rsid w:val="00332EF4"/>
    <w:rsid w:val="00333624"/>
    <w:rsid w:val="00333C85"/>
    <w:rsid w:val="00336BB1"/>
    <w:rsid w:val="00336F11"/>
    <w:rsid w:val="003400D6"/>
    <w:rsid w:val="00340F63"/>
    <w:rsid w:val="00341D09"/>
    <w:rsid w:val="003447CE"/>
    <w:rsid w:val="00345C7E"/>
    <w:rsid w:val="00346F64"/>
    <w:rsid w:val="00347753"/>
    <w:rsid w:val="00347A83"/>
    <w:rsid w:val="0035031A"/>
    <w:rsid w:val="00350498"/>
    <w:rsid w:val="00351DDB"/>
    <w:rsid w:val="0035292F"/>
    <w:rsid w:val="003534C0"/>
    <w:rsid w:val="0035429F"/>
    <w:rsid w:val="00355217"/>
    <w:rsid w:val="003552C8"/>
    <w:rsid w:val="0035694B"/>
    <w:rsid w:val="00356A8C"/>
    <w:rsid w:val="003603AF"/>
    <w:rsid w:val="00360F53"/>
    <w:rsid w:val="00365210"/>
    <w:rsid w:val="0036651D"/>
    <w:rsid w:val="003670F6"/>
    <w:rsid w:val="00367166"/>
    <w:rsid w:val="00367D7B"/>
    <w:rsid w:val="00370154"/>
    <w:rsid w:val="00370BCB"/>
    <w:rsid w:val="003731B9"/>
    <w:rsid w:val="003745CC"/>
    <w:rsid w:val="00375CE0"/>
    <w:rsid w:val="00377F47"/>
    <w:rsid w:val="0038042C"/>
    <w:rsid w:val="00380C21"/>
    <w:rsid w:val="0038107D"/>
    <w:rsid w:val="003813E4"/>
    <w:rsid w:val="0038155F"/>
    <w:rsid w:val="0038409D"/>
    <w:rsid w:val="00384E7D"/>
    <w:rsid w:val="00384FCF"/>
    <w:rsid w:val="00384FFA"/>
    <w:rsid w:val="003854E4"/>
    <w:rsid w:val="003901AC"/>
    <w:rsid w:val="003902A1"/>
    <w:rsid w:val="00392F01"/>
    <w:rsid w:val="0039373C"/>
    <w:rsid w:val="00393F43"/>
    <w:rsid w:val="00394159"/>
    <w:rsid w:val="003949DA"/>
    <w:rsid w:val="00395BDA"/>
    <w:rsid w:val="00395D17"/>
    <w:rsid w:val="00395D87"/>
    <w:rsid w:val="00396B40"/>
    <w:rsid w:val="00396D95"/>
    <w:rsid w:val="0039704C"/>
    <w:rsid w:val="003974BC"/>
    <w:rsid w:val="003A0367"/>
    <w:rsid w:val="003A0373"/>
    <w:rsid w:val="003A0C34"/>
    <w:rsid w:val="003A1229"/>
    <w:rsid w:val="003A21F5"/>
    <w:rsid w:val="003A2C07"/>
    <w:rsid w:val="003A51A7"/>
    <w:rsid w:val="003A5528"/>
    <w:rsid w:val="003A55EC"/>
    <w:rsid w:val="003A6BF0"/>
    <w:rsid w:val="003B0093"/>
    <w:rsid w:val="003B028D"/>
    <w:rsid w:val="003B22A3"/>
    <w:rsid w:val="003B32F0"/>
    <w:rsid w:val="003B3C32"/>
    <w:rsid w:val="003B53DF"/>
    <w:rsid w:val="003B5AE1"/>
    <w:rsid w:val="003C0057"/>
    <w:rsid w:val="003C0AFB"/>
    <w:rsid w:val="003C0C54"/>
    <w:rsid w:val="003C1492"/>
    <w:rsid w:val="003C23EC"/>
    <w:rsid w:val="003C2453"/>
    <w:rsid w:val="003C34D3"/>
    <w:rsid w:val="003C3C71"/>
    <w:rsid w:val="003C49CD"/>
    <w:rsid w:val="003D119A"/>
    <w:rsid w:val="003D1677"/>
    <w:rsid w:val="003D3EB0"/>
    <w:rsid w:val="003D4E11"/>
    <w:rsid w:val="003D5D5E"/>
    <w:rsid w:val="003D6477"/>
    <w:rsid w:val="003E0508"/>
    <w:rsid w:val="003E1042"/>
    <w:rsid w:val="003E10BA"/>
    <w:rsid w:val="003E139D"/>
    <w:rsid w:val="003E1EE8"/>
    <w:rsid w:val="003E30A1"/>
    <w:rsid w:val="003E38EC"/>
    <w:rsid w:val="003E497C"/>
    <w:rsid w:val="003E739A"/>
    <w:rsid w:val="003F2B8B"/>
    <w:rsid w:val="003F398D"/>
    <w:rsid w:val="003F3C97"/>
    <w:rsid w:val="003F4D0E"/>
    <w:rsid w:val="003F5BF8"/>
    <w:rsid w:val="003F5D6A"/>
    <w:rsid w:val="003F5E64"/>
    <w:rsid w:val="003F5F3F"/>
    <w:rsid w:val="003F6322"/>
    <w:rsid w:val="003F6EC4"/>
    <w:rsid w:val="003F7DE9"/>
    <w:rsid w:val="004024CE"/>
    <w:rsid w:val="00402790"/>
    <w:rsid w:val="00402919"/>
    <w:rsid w:val="00404857"/>
    <w:rsid w:val="004065B4"/>
    <w:rsid w:val="00406C77"/>
    <w:rsid w:val="004131B6"/>
    <w:rsid w:val="00413B02"/>
    <w:rsid w:val="004141B8"/>
    <w:rsid w:val="00415919"/>
    <w:rsid w:val="00420418"/>
    <w:rsid w:val="00420D10"/>
    <w:rsid w:val="00420D2C"/>
    <w:rsid w:val="004225E8"/>
    <w:rsid w:val="00422943"/>
    <w:rsid w:val="00425513"/>
    <w:rsid w:val="00425CAE"/>
    <w:rsid w:val="00425DAE"/>
    <w:rsid w:val="004275E1"/>
    <w:rsid w:val="00431E44"/>
    <w:rsid w:val="0043500B"/>
    <w:rsid w:val="00437E22"/>
    <w:rsid w:val="00437FA2"/>
    <w:rsid w:val="0044036E"/>
    <w:rsid w:val="00440E69"/>
    <w:rsid w:val="004418A1"/>
    <w:rsid w:val="00441BBD"/>
    <w:rsid w:val="00444F87"/>
    <w:rsid w:val="004454D1"/>
    <w:rsid w:val="00446072"/>
    <w:rsid w:val="0044673E"/>
    <w:rsid w:val="004470A7"/>
    <w:rsid w:val="00447571"/>
    <w:rsid w:val="00447592"/>
    <w:rsid w:val="0045080E"/>
    <w:rsid w:val="00450A81"/>
    <w:rsid w:val="00451523"/>
    <w:rsid w:val="00451DE1"/>
    <w:rsid w:val="00451F98"/>
    <w:rsid w:val="00452A53"/>
    <w:rsid w:val="00453450"/>
    <w:rsid w:val="004539C4"/>
    <w:rsid w:val="00453F14"/>
    <w:rsid w:val="00455961"/>
    <w:rsid w:val="004619CA"/>
    <w:rsid w:val="004638D8"/>
    <w:rsid w:val="00464597"/>
    <w:rsid w:val="00464C5D"/>
    <w:rsid w:val="00465260"/>
    <w:rsid w:val="004679BA"/>
    <w:rsid w:val="00467BB0"/>
    <w:rsid w:val="0047104D"/>
    <w:rsid w:val="0047194E"/>
    <w:rsid w:val="00471FC8"/>
    <w:rsid w:val="00472102"/>
    <w:rsid w:val="0047267D"/>
    <w:rsid w:val="0047315F"/>
    <w:rsid w:val="004745AD"/>
    <w:rsid w:val="00474D9B"/>
    <w:rsid w:val="00475291"/>
    <w:rsid w:val="004759F4"/>
    <w:rsid w:val="00475D54"/>
    <w:rsid w:val="0047668D"/>
    <w:rsid w:val="00477E11"/>
    <w:rsid w:val="004806DA"/>
    <w:rsid w:val="00481276"/>
    <w:rsid w:val="00481C1F"/>
    <w:rsid w:val="00482BB4"/>
    <w:rsid w:val="004843DC"/>
    <w:rsid w:val="0048468F"/>
    <w:rsid w:val="004874B8"/>
    <w:rsid w:val="00487A04"/>
    <w:rsid w:val="00491407"/>
    <w:rsid w:val="0049150F"/>
    <w:rsid w:val="00491D70"/>
    <w:rsid w:val="00492C29"/>
    <w:rsid w:val="00492CAC"/>
    <w:rsid w:val="00493ADB"/>
    <w:rsid w:val="00494563"/>
    <w:rsid w:val="00494CE9"/>
    <w:rsid w:val="00494D71"/>
    <w:rsid w:val="00495BDA"/>
    <w:rsid w:val="0049625B"/>
    <w:rsid w:val="00497BC5"/>
    <w:rsid w:val="004A2531"/>
    <w:rsid w:val="004A27BA"/>
    <w:rsid w:val="004A3A92"/>
    <w:rsid w:val="004A4320"/>
    <w:rsid w:val="004A632C"/>
    <w:rsid w:val="004A6561"/>
    <w:rsid w:val="004A65C8"/>
    <w:rsid w:val="004A6EB8"/>
    <w:rsid w:val="004A70C4"/>
    <w:rsid w:val="004B0786"/>
    <w:rsid w:val="004B1971"/>
    <w:rsid w:val="004B21FE"/>
    <w:rsid w:val="004B271F"/>
    <w:rsid w:val="004B2B0D"/>
    <w:rsid w:val="004B327C"/>
    <w:rsid w:val="004B3429"/>
    <w:rsid w:val="004B4182"/>
    <w:rsid w:val="004B462E"/>
    <w:rsid w:val="004B5705"/>
    <w:rsid w:val="004B601C"/>
    <w:rsid w:val="004B6369"/>
    <w:rsid w:val="004B734F"/>
    <w:rsid w:val="004C0C11"/>
    <w:rsid w:val="004C2E4E"/>
    <w:rsid w:val="004C3107"/>
    <w:rsid w:val="004C335C"/>
    <w:rsid w:val="004C6358"/>
    <w:rsid w:val="004C69B4"/>
    <w:rsid w:val="004C7A79"/>
    <w:rsid w:val="004D0E3E"/>
    <w:rsid w:val="004D6F32"/>
    <w:rsid w:val="004E0184"/>
    <w:rsid w:val="004E1842"/>
    <w:rsid w:val="004E2974"/>
    <w:rsid w:val="004E355D"/>
    <w:rsid w:val="004E36B7"/>
    <w:rsid w:val="004E3741"/>
    <w:rsid w:val="004E415F"/>
    <w:rsid w:val="004E461F"/>
    <w:rsid w:val="004E5A17"/>
    <w:rsid w:val="004E6609"/>
    <w:rsid w:val="004E6C4D"/>
    <w:rsid w:val="004E72D3"/>
    <w:rsid w:val="004E7EE1"/>
    <w:rsid w:val="004F02BA"/>
    <w:rsid w:val="004F04A4"/>
    <w:rsid w:val="004F0A03"/>
    <w:rsid w:val="004F1D11"/>
    <w:rsid w:val="004F6313"/>
    <w:rsid w:val="004F638D"/>
    <w:rsid w:val="004F6FFF"/>
    <w:rsid w:val="004F73CC"/>
    <w:rsid w:val="004F7B06"/>
    <w:rsid w:val="005018A5"/>
    <w:rsid w:val="00503201"/>
    <w:rsid w:val="00503AD0"/>
    <w:rsid w:val="00503E86"/>
    <w:rsid w:val="005048EC"/>
    <w:rsid w:val="00504902"/>
    <w:rsid w:val="00504B02"/>
    <w:rsid w:val="00505AEE"/>
    <w:rsid w:val="00506968"/>
    <w:rsid w:val="005074D5"/>
    <w:rsid w:val="005108F1"/>
    <w:rsid w:val="005124CC"/>
    <w:rsid w:val="0051307E"/>
    <w:rsid w:val="0051330C"/>
    <w:rsid w:val="005135BD"/>
    <w:rsid w:val="00513785"/>
    <w:rsid w:val="00513FE5"/>
    <w:rsid w:val="005147E9"/>
    <w:rsid w:val="00514801"/>
    <w:rsid w:val="00515B6A"/>
    <w:rsid w:val="00515F42"/>
    <w:rsid w:val="005163A2"/>
    <w:rsid w:val="00520A37"/>
    <w:rsid w:val="005211CD"/>
    <w:rsid w:val="00521EB0"/>
    <w:rsid w:val="005234AD"/>
    <w:rsid w:val="005241E0"/>
    <w:rsid w:val="00525767"/>
    <w:rsid w:val="00526264"/>
    <w:rsid w:val="00526663"/>
    <w:rsid w:val="005271CF"/>
    <w:rsid w:val="005301E0"/>
    <w:rsid w:val="0053049A"/>
    <w:rsid w:val="00532E4F"/>
    <w:rsid w:val="0053335D"/>
    <w:rsid w:val="00533B6B"/>
    <w:rsid w:val="0053552C"/>
    <w:rsid w:val="005357B7"/>
    <w:rsid w:val="00536060"/>
    <w:rsid w:val="00536666"/>
    <w:rsid w:val="00540857"/>
    <w:rsid w:val="00541B9F"/>
    <w:rsid w:val="00541C8F"/>
    <w:rsid w:val="00542686"/>
    <w:rsid w:val="005438A2"/>
    <w:rsid w:val="00543D46"/>
    <w:rsid w:val="005444FC"/>
    <w:rsid w:val="0054474E"/>
    <w:rsid w:val="005461B4"/>
    <w:rsid w:val="005471E4"/>
    <w:rsid w:val="00552DFE"/>
    <w:rsid w:val="00553054"/>
    <w:rsid w:val="0055365E"/>
    <w:rsid w:val="00553A9E"/>
    <w:rsid w:val="00553D37"/>
    <w:rsid w:val="00555DE1"/>
    <w:rsid w:val="00556C0B"/>
    <w:rsid w:val="00556D45"/>
    <w:rsid w:val="00561428"/>
    <w:rsid w:val="00562CBB"/>
    <w:rsid w:val="00562EC5"/>
    <w:rsid w:val="0056387C"/>
    <w:rsid w:val="005642E0"/>
    <w:rsid w:val="00564378"/>
    <w:rsid w:val="00564851"/>
    <w:rsid w:val="00564A48"/>
    <w:rsid w:val="00564F0C"/>
    <w:rsid w:val="005657FF"/>
    <w:rsid w:val="00565FCC"/>
    <w:rsid w:val="005700E7"/>
    <w:rsid w:val="00571202"/>
    <w:rsid w:val="00572915"/>
    <w:rsid w:val="00573C36"/>
    <w:rsid w:val="00574350"/>
    <w:rsid w:val="005746CA"/>
    <w:rsid w:val="005753F1"/>
    <w:rsid w:val="00575593"/>
    <w:rsid w:val="00577814"/>
    <w:rsid w:val="005809E6"/>
    <w:rsid w:val="00580B70"/>
    <w:rsid w:val="005810FE"/>
    <w:rsid w:val="00581506"/>
    <w:rsid w:val="00581852"/>
    <w:rsid w:val="005848F0"/>
    <w:rsid w:val="00586CF1"/>
    <w:rsid w:val="00590F1F"/>
    <w:rsid w:val="00592448"/>
    <w:rsid w:val="005932BA"/>
    <w:rsid w:val="00594E9C"/>
    <w:rsid w:val="005962D9"/>
    <w:rsid w:val="00596517"/>
    <w:rsid w:val="00597D22"/>
    <w:rsid w:val="005A0051"/>
    <w:rsid w:val="005A3976"/>
    <w:rsid w:val="005A40B7"/>
    <w:rsid w:val="005B0629"/>
    <w:rsid w:val="005B1C61"/>
    <w:rsid w:val="005B1D64"/>
    <w:rsid w:val="005B2CDA"/>
    <w:rsid w:val="005B312B"/>
    <w:rsid w:val="005B3330"/>
    <w:rsid w:val="005B3995"/>
    <w:rsid w:val="005B4067"/>
    <w:rsid w:val="005B4FF7"/>
    <w:rsid w:val="005B5323"/>
    <w:rsid w:val="005B5C1F"/>
    <w:rsid w:val="005B7ABA"/>
    <w:rsid w:val="005C142D"/>
    <w:rsid w:val="005C175D"/>
    <w:rsid w:val="005C2AFC"/>
    <w:rsid w:val="005C38DA"/>
    <w:rsid w:val="005C4016"/>
    <w:rsid w:val="005C4700"/>
    <w:rsid w:val="005C4BDF"/>
    <w:rsid w:val="005C7BA7"/>
    <w:rsid w:val="005C7C7C"/>
    <w:rsid w:val="005C7DBE"/>
    <w:rsid w:val="005D0392"/>
    <w:rsid w:val="005D08CA"/>
    <w:rsid w:val="005D0994"/>
    <w:rsid w:val="005D13E7"/>
    <w:rsid w:val="005D3CAD"/>
    <w:rsid w:val="005D49CE"/>
    <w:rsid w:val="005D5690"/>
    <w:rsid w:val="005D635B"/>
    <w:rsid w:val="005D7AF1"/>
    <w:rsid w:val="005E08C9"/>
    <w:rsid w:val="005E0FFC"/>
    <w:rsid w:val="005E1007"/>
    <w:rsid w:val="005E288D"/>
    <w:rsid w:val="005E489F"/>
    <w:rsid w:val="005E7852"/>
    <w:rsid w:val="005F10DE"/>
    <w:rsid w:val="005F3221"/>
    <w:rsid w:val="005F5977"/>
    <w:rsid w:val="005F6326"/>
    <w:rsid w:val="005F65E2"/>
    <w:rsid w:val="005F6687"/>
    <w:rsid w:val="005F7321"/>
    <w:rsid w:val="005F787A"/>
    <w:rsid w:val="005F79B3"/>
    <w:rsid w:val="005F7DDA"/>
    <w:rsid w:val="00600061"/>
    <w:rsid w:val="006000A1"/>
    <w:rsid w:val="006021A3"/>
    <w:rsid w:val="0060242C"/>
    <w:rsid w:val="006027BB"/>
    <w:rsid w:val="00603631"/>
    <w:rsid w:val="00604F7D"/>
    <w:rsid w:val="0060546A"/>
    <w:rsid w:val="006057B4"/>
    <w:rsid w:val="00607DCE"/>
    <w:rsid w:val="00612868"/>
    <w:rsid w:val="00614995"/>
    <w:rsid w:val="00615A0E"/>
    <w:rsid w:val="00617019"/>
    <w:rsid w:val="00620E76"/>
    <w:rsid w:val="00622124"/>
    <w:rsid w:val="00622914"/>
    <w:rsid w:val="006230E5"/>
    <w:rsid w:val="0062330C"/>
    <w:rsid w:val="00623E1E"/>
    <w:rsid w:val="00624906"/>
    <w:rsid w:val="00624976"/>
    <w:rsid w:val="0062573F"/>
    <w:rsid w:val="006266D5"/>
    <w:rsid w:val="0062722B"/>
    <w:rsid w:val="006304BD"/>
    <w:rsid w:val="00630C81"/>
    <w:rsid w:val="00631A8E"/>
    <w:rsid w:val="00631ED5"/>
    <w:rsid w:val="00632CF7"/>
    <w:rsid w:val="006338AA"/>
    <w:rsid w:val="006344CA"/>
    <w:rsid w:val="00635854"/>
    <w:rsid w:val="006366EA"/>
    <w:rsid w:val="00642CB9"/>
    <w:rsid w:val="006439B5"/>
    <w:rsid w:val="0064514D"/>
    <w:rsid w:val="00647B7F"/>
    <w:rsid w:val="006507A3"/>
    <w:rsid w:val="006537B0"/>
    <w:rsid w:val="00653A75"/>
    <w:rsid w:val="00654190"/>
    <w:rsid w:val="00654F0B"/>
    <w:rsid w:val="00656ECD"/>
    <w:rsid w:val="006573E1"/>
    <w:rsid w:val="0065770E"/>
    <w:rsid w:val="006601AA"/>
    <w:rsid w:val="006608A9"/>
    <w:rsid w:val="00661141"/>
    <w:rsid w:val="00661A50"/>
    <w:rsid w:val="00661D72"/>
    <w:rsid w:val="00662694"/>
    <w:rsid w:val="0066311A"/>
    <w:rsid w:val="00663947"/>
    <w:rsid w:val="00663B63"/>
    <w:rsid w:val="00663EBF"/>
    <w:rsid w:val="00664122"/>
    <w:rsid w:val="006646DF"/>
    <w:rsid w:val="00665405"/>
    <w:rsid w:val="0066758E"/>
    <w:rsid w:val="006675A8"/>
    <w:rsid w:val="0066780B"/>
    <w:rsid w:val="00667B64"/>
    <w:rsid w:val="00667C35"/>
    <w:rsid w:val="00670B4E"/>
    <w:rsid w:val="00671800"/>
    <w:rsid w:val="00672BFB"/>
    <w:rsid w:val="00672F58"/>
    <w:rsid w:val="006732D9"/>
    <w:rsid w:val="00673736"/>
    <w:rsid w:val="00673FAA"/>
    <w:rsid w:val="00674203"/>
    <w:rsid w:val="00674904"/>
    <w:rsid w:val="00675AE9"/>
    <w:rsid w:val="00675C80"/>
    <w:rsid w:val="006765D0"/>
    <w:rsid w:val="00676D09"/>
    <w:rsid w:val="00681703"/>
    <w:rsid w:val="0068344C"/>
    <w:rsid w:val="006845F6"/>
    <w:rsid w:val="0068516D"/>
    <w:rsid w:val="00685B37"/>
    <w:rsid w:val="0068612E"/>
    <w:rsid w:val="00686395"/>
    <w:rsid w:val="00686862"/>
    <w:rsid w:val="00686DDB"/>
    <w:rsid w:val="0068747B"/>
    <w:rsid w:val="006877F4"/>
    <w:rsid w:val="006904CC"/>
    <w:rsid w:val="00691FFD"/>
    <w:rsid w:val="0069249E"/>
    <w:rsid w:val="00693014"/>
    <w:rsid w:val="0069454C"/>
    <w:rsid w:val="006949D0"/>
    <w:rsid w:val="0069644E"/>
    <w:rsid w:val="0069654B"/>
    <w:rsid w:val="006967E6"/>
    <w:rsid w:val="00696B5C"/>
    <w:rsid w:val="00697C8D"/>
    <w:rsid w:val="006A21BE"/>
    <w:rsid w:val="006A24F0"/>
    <w:rsid w:val="006A27CB"/>
    <w:rsid w:val="006A646E"/>
    <w:rsid w:val="006A68FD"/>
    <w:rsid w:val="006A72C9"/>
    <w:rsid w:val="006B1705"/>
    <w:rsid w:val="006B3135"/>
    <w:rsid w:val="006B4CE4"/>
    <w:rsid w:val="006B5F69"/>
    <w:rsid w:val="006B613B"/>
    <w:rsid w:val="006B6CFA"/>
    <w:rsid w:val="006C0D5A"/>
    <w:rsid w:val="006C12B4"/>
    <w:rsid w:val="006C152F"/>
    <w:rsid w:val="006C18BA"/>
    <w:rsid w:val="006C2603"/>
    <w:rsid w:val="006C2B16"/>
    <w:rsid w:val="006C31B7"/>
    <w:rsid w:val="006C3E62"/>
    <w:rsid w:val="006C4D59"/>
    <w:rsid w:val="006C4DB0"/>
    <w:rsid w:val="006C7F97"/>
    <w:rsid w:val="006D0E4D"/>
    <w:rsid w:val="006D1AFF"/>
    <w:rsid w:val="006D1E88"/>
    <w:rsid w:val="006D390C"/>
    <w:rsid w:val="006D3ED2"/>
    <w:rsid w:val="006D4011"/>
    <w:rsid w:val="006D4B56"/>
    <w:rsid w:val="006D555C"/>
    <w:rsid w:val="006D78A0"/>
    <w:rsid w:val="006E216C"/>
    <w:rsid w:val="006E28EB"/>
    <w:rsid w:val="006E2C7F"/>
    <w:rsid w:val="006E3F17"/>
    <w:rsid w:val="006E5665"/>
    <w:rsid w:val="006E5874"/>
    <w:rsid w:val="006E6374"/>
    <w:rsid w:val="006E7051"/>
    <w:rsid w:val="006E71A4"/>
    <w:rsid w:val="006E7C05"/>
    <w:rsid w:val="006E7F5D"/>
    <w:rsid w:val="006F0210"/>
    <w:rsid w:val="006F0C6A"/>
    <w:rsid w:val="006F2D71"/>
    <w:rsid w:val="006F2F01"/>
    <w:rsid w:val="006F4241"/>
    <w:rsid w:val="006F466A"/>
    <w:rsid w:val="006F4D8E"/>
    <w:rsid w:val="006F6899"/>
    <w:rsid w:val="006F7CC7"/>
    <w:rsid w:val="0070071F"/>
    <w:rsid w:val="00700873"/>
    <w:rsid w:val="00700A20"/>
    <w:rsid w:val="00702D8A"/>
    <w:rsid w:val="0070377D"/>
    <w:rsid w:val="00703DA6"/>
    <w:rsid w:val="007052EE"/>
    <w:rsid w:val="007061AC"/>
    <w:rsid w:val="00707E07"/>
    <w:rsid w:val="00711A39"/>
    <w:rsid w:val="00711C97"/>
    <w:rsid w:val="007123C9"/>
    <w:rsid w:val="00714CAD"/>
    <w:rsid w:val="00714D22"/>
    <w:rsid w:val="007153A9"/>
    <w:rsid w:val="00716030"/>
    <w:rsid w:val="00717256"/>
    <w:rsid w:val="00717906"/>
    <w:rsid w:val="007206B4"/>
    <w:rsid w:val="00720871"/>
    <w:rsid w:val="007208E3"/>
    <w:rsid w:val="0072336E"/>
    <w:rsid w:val="00723DF5"/>
    <w:rsid w:val="0072574E"/>
    <w:rsid w:val="00725A9E"/>
    <w:rsid w:val="00725D7B"/>
    <w:rsid w:val="0072735F"/>
    <w:rsid w:val="00727749"/>
    <w:rsid w:val="0073043A"/>
    <w:rsid w:val="0073094A"/>
    <w:rsid w:val="0073198A"/>
    <w:rsid w:val="00733A0D"/>
    <w:rsid w:val="007341B5"/>
    <w:rsid w:val="00734A5F"/>
    <w:rsid w:val="007351D9"/>
    <w:rsid w:val="00735E9F"/>
    <w:rsid w:val="0073665F"/>
    <w:rsid w:val="00736936"/>
    <w:rsid w:val="00736B53"/>
    <w:rsid w:val="00736DCA"/>
    <w:rsid w:val="00737995"/>
    <w:rsid w:val="0074021D"/>
    <w:rsid w:val="00740AA7"/>
    <w:rsid w:val="00742F88"/>
    <w:rsid w:val="00744AE9"/>
    <w:rsid w:val="00745B4F"/>
    <w:rsid w:val="00747E89"/>
    <w:rsid w:val="007502D9"/>
    <w:rsid w:val="00751E4F"/>
    <w:rsid w:val="00752E1F"/>
    <w:rsid w:val="007537A2"/>
    <w:rsid w:val="00753D16"/>
    <w:rsid w:val="00756A2A"/>
    <w:rsid w:val="00756CE5"/>
    <w:rsid w:val="00756E94"/>
    <w:rsid w:val="007573BD"/>
    <w:rsid w:val="007576CB"/>
    <w:rsid w:val="00757C03"/>
    <w:rsid w:val="00760155"/>
    <w:rsid w:val="00761C81"/>
    <w:rsid w:val="007620F3"/>
    <w:rsid w:val="00762106"/>
    <w:rsid w:val="007625C2"/>
    <w:rsid w:val="007630EC"/>
    <w:rsid w:val="00763CC8"/>
    <w:rsid w:val="00764056"/>
    <w:rsid w:val="00764D27"/>
    <w:rsid w:val="00766793"/>
    <w:rsid w:val="00766BBF"/>
    <w:rsid w:val="00770B47"/>
    <w:rsid w:val="00772D4D"/>
    <w:rsid w:val="007735D2"/>
    <w:rsid w:val="00773F8E"/>
    <w:rsid w:val="0077427E"/>
    <w:rsid w:val="0077477D"/>
    <w:rsid w:val="0077478F"/>
    <w:rsid w:val="00776092"/>
    <w:rsid w:val="00777631"/>
    <w:rsid w:val="00777762"/>
    <w:rsid w:val="00781C4F"/>
    <w:rsid w:val="0078315E"/>
    <w:rsid w:val="0078339C"/>
    <w:rsid w:val="00784826"/>
    <w:rsid w:val="007872FE"/>
    <w:rsid w:val="00790241"/>
    <w:rsid w:val="00790CF3"/>
    <w:rsid w:val="00791286"/>
    <w:rsid w:val="007914DE"/>
    <w:rsid w:val="00793516"/>
    <w:rsid w:val="00793725"/>
    <w:rsid w:val="00795D8C"/>
    <w:rsid w:val="00795EF5"/>
    <w:rsid w:val="00796181"/>
    <w:rsid w:val="00797012"/>
    <w:rsid w:val="00797381"/>
    <w:rsid w:val="007974FB"/>
    <w:rsid w:val="007A0C65"/>
    <w:rsid w:val="007A1611"/>
    <w:rsid w:val="007A215F"/>
    <w:rsid w:val="007A25DA"/>
    <w:rsid w:val="007A4215"/>
    <w:rsid w:val="007A6AAA"/>
    <w:rsid w:val="007B0232"/>
    <w:rsid w:val="007B0BA0"/>
    <w:rsid w:val="007B1204"/>
    <w:rsid w:val="007B1688"/>
    <w:rsid w:val="007B1E68"/>
    <w:rsid w:val="007B2839"/>
    <w:rsid w:val="007B43DE"/>
    <w:rsid w:val="007B5B30"/>
    <w:rsid w:val="007B5CD7"/>
    <w:rsid w:val="007B5E88"/>
    <w:rsid w:val="007B5F75"/>
    <w:rsid w:val="007B7432"/>
    <w:rsid w:val="007C1526"/>
    <w:rsid w:val="007C569D"/>
    <w:rsid w:val="007C596E"/>
    <w:rsid w:val="007C787C"/>
    <w:rsid w:val="007D0C0F"/>
    <w:rsid w:val="007D0D69"/>
    <w:rsid w:val="007D207B"/>
    <w:rsid w:val="007D5D27"/>
    <w:rsid w:val="007D627C"/>
    <w:rsid w:val="007D6631"/>
    <w:rsid w:val="007D68B5"/>
    <w:rsid w:val="007D767C"/>
    <w:rsid w:val="007D78BC"/>
    <w:rsid w:val="007E054F"/>
    <w:rsid w:val="007E0962"/>
    <w:rsid w:val="007E0BAD"/>
    <w:rsid w:val="007E10A5"/>
    <w:rsid w:val="007E1383"/>
    <w:rsid w:val="007E1E36"/>
    <w:rsid w:val="007E2B9E"/>
    <w:rsid w:val="007E5965"/>
    <w:rsid w:val="007F1077"/>
    <w:rsid w:val="007F214C"/>
    <w:rsid w:val="007F2C98"/>
    <w:rsid w:val="007F31C7"/>
    <w:rsid w:val="007F4EFB"/>
    <w:rsid w:val="007F54EF"/>
    <w:rsid w:val="007F6656"/>
    <w:rsid w:val="00800A97"/>
    <w:rsid w:val="00801978"/>
    <w:rsid w:val="00801F8B"/>
    <w:rsid w:val="00802087"/>
    <w:rsid w:val="00803518"/>
    <w:rsid w:val="00805768"/>
    <w:rsid w:val="00807FB6"/>
    <w:rsid w:val="00810BD4"/>
    <w:rsid w:val="0081115A"/>
    <w:rsid w:val="00811BA7"/>
    <w:rsid w:val="00812CEC"/>
    <w:rsid w:val="00814222"/>
    <w:rsid w:val="00815E9C"/>
    <w:rsid w:val="00816303"/>
    <w:rsid w:val="00817492"/>
    <w:rsid w:val="00817E5F"/>
    <w:rsid w:val="00817F51"/>
    <w:rsid w:val="0082022C"/>
    <w:rsid w:val="008246D5"/>
    <w:rsid w:val="008258B9"/>
    <w:rsid w:val="008269B4"/>
    <w:rsid w:val="008315CD"/>
    <w:rsid w:val="0083218D"/>
    <w:rsid w:val="008326FE"/>
    <w:rsid w:val="00833104"/>
    <w:rsid w:val="00833675"/>
    <w:rsid w:val="00833856"/>
    <w:rsid w:val="00833CDD"/>
    <w:rsid w:val="00835961"/>
    <w:rsid w:val="0083765C"/>
    <w:rsid w:val="008405C3"/>
    <w:rsid w:val="00840874"/>
    <w:rsid w:val="00840DA2"/>
    <w:rsid w:val="00841438"/>
    <w:rsid w:val="00841672"/>
    <w:rsid w:val="0084436B"/>
    <w:rsid w:val="0084523C"/>
    <w:rsid w:val="008513A7"/>
    <w:rsid w:val="008513F4"/>
    <w:rsid w:val="008516BA"/>
    <w:rsid w:val="00851837"/>
    <w:rsid w:val="00851B8E"/>
    <w:rsid w:val="00853DF0"/>
    <w:rsid w:val="00855837"/>
    <w:rsid w:val="00855FCD"/>
    <w:rsid w:val="00856D58"/>
    <w:rsid w:val="0085718D"/>
    <w:rsid w:val="008572B7"/>
    <w:rsid w:val="00861980"/>
    <w:rsid w:val="00862717"/>
    <w:rsid w:val="008636B6"/>
    <w:rsid w:val="00863E46"/>
    <w:rsid w:val="00870449"/>
    <w:rsid w:val="0087082A"/>
    <w:rsid w:val="00870D8B"/>
    <w:rsid w:val="00870DE5"/>
    <w:rsid w:val="00871F06"/>
    <w:rsid w:val="008724F0"/>
    <w:rsid w:val="0087394D"/>
    <w:rsid w:val="00873CCF"/>
    <w:rsid w:val="00874991"/>
    <w:rsid w:val="008749F8"/>
    <w:rsid w:val="00877E53"/>
    <w:rsid w:val="00882080"/>
    <w:rsid w:val="008825C9"/>
    <w:rsid w:val="0088414E"/>
    <w:rsid w:val="00884A3C"/>
    <w:rsid w:val="00884EBB"/>
    <w:rsid w:val="00885435"/>
    <w:rsid w:val="0088554C"/>
    <w:rsid w:val="00885B37"/>
    <w:rsid w:val="00885F70"/>
    <w:rsid w:val="0088687A"/>
    <w:rsid w:val="00887493"/>
    <w:rsid w:val="00887C44"/>
    <w:rsid w:val="00887FB1"/>
    <w:rsid w:val="0089160A"/>
    <w:rsid w:val="008949B0"/>
    <w:rsid w:val="008955EC"/>
    <w:rsid w:val="00895926"/>
    <w:rsid w:val="00896841"/>
    <w:rsid w:val="00896F5D"/>
    <w:rsid w:val="008977CA"/>
    <w:rsid w:val="008A00A2"/>
    <w:rsid w:val="008A0C30"/>
    <w:rsid w:val="008A199C"/>
    <w:rsid w:val="008A1A4E"/>
    <w:rsid w:val="008A1D2F"/>
    <w:rsid w:val="008A4A90"/>
    <w:rsid w:val="008A6AB4"/>
    <w:rsid w:val="008A7E61"/>
    <w:rsid w:val="008A7EB1"/>
    <w:rsid w:val="008B08BF"/>
    <w:rsid w:val="008B0A1D"/>
    <w:rsid w:val="008B21A7"/>
    <w:rsid w:val="008B3181"/>
    <w:rsid w:val="008B34C9"/>
    <w:rsid w:val="008B39B7"/>
    <w:rsid w:val="008B3D45"/>
    <w:rsid w:val="008B401F"/>
    <w:rsid w:val="008B43CD"/>
    <w:rsid w:val="008B5BB7"/>
    <w:rsid w:val="008B6CB4"/>
    <w:rsid w:val="008B7C9B"/>
    <w:rsid w:val="008B7E95"/>
    <w:rsid w:val="008C0C48"/>
    <w:rsid w:val="008C0E87"/>
    <w:rsid w:val="008C16FF"/>
    <w:rsid w:val="008C2D18"/>
    <w:rsid w:val="008C3B80"/>
    <w:rsid w:val="008C4145"/>
    <w:rsid w:val="008C627A"/>
    <w:rsid w:val="008C6BAC"/>
    <w:rsid w:val="008C6DD1"/>
    <w:rsid w:val="008C6E20"/>
    <w:rsid w:val="008C7F1C"/>
    <w:rsid w:val="008D11AE"/>
    <w:rsid w:val="008D1BCB"/>
    <w:rsid w:val="008D2105"/>
    <w:rsid w:val="008D2222"/>
    <w:rsid w:val="008D2325"/>
    <w:rsid w:val="008D536E"/>
    <w:rsid w:val="008E00A7"/>
    <w:rsid w:val="008E046D"/>
    <w:rsid w:val="008E0D5A"/>
    <w:rsid w:val="008E0E14"/>
    <w:rsid w:val="008E0F8D"/>
    <w:rsid w:val="008E100E"/>
    <w:rsid w:val="008E1080"/>
    <w:rsid w:val="008E2DD3"/>
    <w:rsid w:val="008E3C84"/>
    <w:rsid w:val="008E4EFE"/>
    <w:rsid w:val="008E6E5F"/>
    <w:rsid w:val="008E7022"/>
    <w:rsid w:val="008E75BF"/>
    <w:rsid w:val="008E762F"/>
    <w:rsid w:val="008F09CA"/>
    <w:rsid w:val="008F1015"/>
    <w:rsid w:val="008F16C0"/>
    <w:rsid w:val="008F1B02"/>
    <w:rsid w:val="008F1D85"/>
    <w:rsid w:val="008F22AB"/>
    <w:rsid w:val="008F3E76"/>
    <w:rsid w:val="008F4436"/>
    <w:rsid w:val="008F6D61"/>
    <w:rsid w:val="008F7AE0"/>
    <w:rsid w:val="00900183"/>
    <w:rsid w:val="00900A31"/>
    <w:rsid w:val="00901BFB"/>
    <w:rsid w:val="00904E3B"/>
    <w:rsid w:val="009069BF"/>
    <w:rsid w:val="00906D58"/>
    <w:rsid w:val="00907964"/>
    <w:rsid w:val="00907F04"/>
    <w:rsid w:val="009104AE"/>
    <w:rsid w:val="00911411"/>
    <w:rsid w:val="009114F4"/>
    <w:rsid w:val="00911C52"/>
    <w:rsid w:val="009157DE"/>
    <w:rsid w:val="00915F4B"/>
    <w:rsid w:val="00917E96"/>
    <w:rsid w:val="00920BAC"/>
    <w:rsid w:val="0092117E"/>
    <w:rsid w:val="00922781"/>
    <w:rsid w:val="00923245"/>
    <w:rsid w:val="00923295"/>
    <w:rsid w:val="0092370B"/>
    <w:rsid w:val="0092395D"/>
    <w:rsid w:val="00923DEA"/>
    <w:rsid w:val="00925353"/>
    <w:rsid w:val="0092546E"/>
    <w:rsid w:val="009275A6"/>
    <w:rsid w:val="009277D1"/>
    <w:rsid w:val="00930BB3"/>
    <w:rsid w:val="00932B84"/>
    <w:rsid w:val="0093337D"/>
    <w:rsid w:val="00934757"/>
    <w:rsid w:val="00934851"/>
    <w:rsid w:val="00935A7A"/>
    <w:rsid w:val="00935E1B"/>
    <w:rsid w:val="00936C53"/>
    <w:rsid w:val="00937B76"/>
    <w:rsid w:val="00940F87"/>
    <w:rsid w:val="009421C0"/>
    <w:rsid w:val="00942EC6"/>
    <w:rsid w:val="00944ED6"/>
    <w:rsid w:val="00945ACF"/>
    <w:rsid w:val="00945C8C"/>
    <w:rsid w:val="009467BE"/>
    <w:rsid w:val="0094798B"/>
    <w:rsid w:val="00950BCA"/>
    <w:rsid w:val="00954CEF"/>
    <w:rsid w:val="0095549B"/>
    <w:rsid w:val="0095650E"/>
    <w:rsid w:val="009573CD"/>
    <w:rsid w:val="0096549C"/>
    <w:rsid w:val="00965700"/>
    <w:rsid w:val="00965F44"/>
    <w:rsid w:val="00967E4C"/>
    <w:rsid w:val="009706E2"/>
    <w:rsid w:val="009709CC"/>
    <w:rsid w:val="00971E06"/>
    <w:rsid w:val="00972570"/>
    <w:rsid w:val="00973866"/>
    <w:rsid w:val="00973A4C"/>
    <w:rsid w:val="00974B04"/>
    <w:rsid w:val="00976E7C"/>
    <w:rsid w:val="00977758"/>
    <w:rsid w:val="00983CA4"/>
    <w:rsid w:val="00983D4C"/>
    <w:rsid w:val="00984968"/>
    <w:rsid w:val="00987184"/>
    <w:rsid w:val="00987322"/>
    <w:rsid w:val="0098765D"/>
    <w:rsid w:val="00990116"/>
    <w:rsid w:val="009922E7"/>
    <w:rsid w:val="0099241C"/>
    <w:rsid w:val="00992CF2"/>
    <w:rsid w:val="00993B70"/>
    <w:rsid w:val="0099445A"/>
    <w:rsid w:val="009953D3"/>
    <w:rsid w:val="009954A1"/>
    <w:rsid w:val="009965A6"/>
    <w:rsid w:val="009970A4"/>
    <w:rsid w:val="009A0843"/>
    <w:rsid w:val="009A1080"/>
    <w:rsid w:val="009A2140"/>
    <w:rsid w:val="009A402C"/>
    <w:rsid w:val="009A522B"/>
    <w:rsid w:val="009A5C16"/>
    <w:rsid w:val="009A6035"/>
    <w:rsid w:val="009A73C7"/>
    <w:rsid w:val="009B2243"/>
    <w:rsid w:val="009B27C9"/>
    <w:rsid w:val="009B3645"/>
    <w:rsid w:val="009B37CC"/>
    <w:rsid w:val="009B3F78"/>
    <w:rsid w:val="009B4D32"/>
    <w:rsid w:val="009B4D4E"/>
    <w:rsid w:val="009B58B2"/>
    <w:rsid w:val="009B66D6"/>
    <w:rsid w:val="009B6888"/>
    <w:rsid w:val="009C017C"/>
    <w:rsid w:val="009C139D"/>
    <w:rsid w:val="009C300B"/>
    <w:rsid w:val="009C50C6"/>
    <w:rsid w:val="009C6245"/>
    <w:rsid w:val="009C685B"/>
    <w:rsid w:val="009C6B08"/>
    <w:rsid w:val="009C73AD"/>
    <w:rsid w:val="009D1BF8"/>
    <w:rsid w:val="009D271D"/>
    <w:rsid w:val="009D2FCC"/>
    <w:rsid w:val="009D66F8"/>
    <w:rsid w:val="009E0676"/>
    <w:rsid w:val="009E0782"/>
    <w:rsid w:val="009E3BE6"/>
    <w:rsid w:val="009E58FB"/>
    <w:rsid w:val="009E796E"/>
    <w:rsid w:val="009F0F0E"/>
    <w:rsid w:val="009F261E"/>
    <w:rsid w:val="009F2B3C"/>
    <w:rsid w:val="009F2C1B"/>
    <w:rsid w:val="009F4AE2"/>
    <w:rsid w:val="00A01248"/>
    <w:rsid w:val="00A0224F"/>
    <w:rsid w:val="00A02300"/>
    <w:rsid w:val="00A02886"/>
    <w:rsid w:val="00A02A54"/>
    <w:rsid w:val="00A02F13"/>
    <w:rsid w:val="00A03332"/>
    <w:rsid w:val="00A04B77"/>
    <w:rsid w:val="00A04FC5"/>
    <w:rsid w:val="00A0566B"/>
    <w:rsid w:val="00A11E84"/>
    <w:rsid w:val="00A122CE"/>
    <w:rsid w:val="00A1391F"/>
    <w:rsid w:val="00A1443F"/>
    <w:rsid w:val="00A1459C"/>
    <w:rsid w:val="00A1524B"/>
    <w:rsid w:val="00A1672F"/>
    <w:rsid w:val="00A1692A"/>
    <w:rsid w:val="00A173FC"/>
    <w:rsid w:val="00A200EA"/>
    <w:rsid w:val="00A21C0E"/>
    <w:rsid w:val="00A21FDD"/>
    <w:rsid w:val="00A22234"/>
    <w:rsid w:val="00A228F5"/>
    <w:rsid w:val="00A22997"/>
    <w:rsid w:val="00A22D88"/>
    <w:rsid w:val="00A242F7"/>
    <w:rsid w:val="00A24CA6"/>
    <w:rsid w:val="00A25701"/>
    <w:rsid w:val="00A31C10"/>
    <w:rsid w:val="00A31CFF"/>
    <w:rsid w:val="00A363F3"/>
    <w:rsid w:val="00A36651"/>
    <w:rsid w:val="00A40FD1"/>
    <w:rsid w:val="00A432FB"/>
    <w:rsid w:val="00A43FDC"/>
    <w:rsid w:val="00A45631"/>
    <w:rsid w:val="00A509E6"/>
    <w:rsid w:val="00A523A8"/>
    <w:rsid w:val="00A541A5"/>
    <w:rsid w:val="00A54442"/>
    <w:rsid w:val="00A545E9"/>
    <w:rsid w:val="00A5588F"/>
    <w:rsid w:val="00A5651C"/>
    <w:rsid w:val="00A57805"/>
    <w:rsid w:val="00A624C5"/>
    <w:rsid w:val="00A633C4"/>
    <w:rsid w:val="00A633EB"/>
    <w:rsid w:val="00A635EB"/>
    <w:rsid w:val="00A6668C"/>
    <w:rsid w:val="00A66F75"/>
    <w:rsid w:val="00A715A2"/>
    <w:rsid w:val="00A72C1B"/>
    <w:rsid w:val="00A733DB"/>
    <w:rsid w:val="00A740C5"/>
    <w:rsid w:val="00A74247"/>
    <w:rsid w:val="00A74C18"/>
    <w:rsid w:val="00A7743D"/>
    <w:rsid w:val="00A775C0"/>
    <w:rsid w:val="00A8114C"/>
    <w:rsid w:val="00A81A55"/>
    <w:rsid w:val="00A81D41"/>
    <w:rsid w:val="00A82356"/>
    <w:rsid w:val="00A82B53"/>
    <w:rsid w:val="00A83012"/>
    <w:rsid w:val="00A834A7"/>
    <w:rsid w:val="00A83CE5"/>
    <w:rsid w:val="00A853C8"/>
    <w:rsid w:val="00A86DC1"/>
    <w:rsid w:val="00A87216"/>
    <w:rsid w:val="00A8788B"/>
    <w:rsid w:val="00A923EB"/>
    <w:rsid w:val="00A924CD"/>
    <w:rsid w:val="00A933DD"/>
    <w:rsid w:val="00A93AC7"/>
    <w:rsid w:val="00A94D68"/>
    <w:rsid w:val="00A952CD"/>
    <w:rsid w:val="00A95541"/>
    <w:rsid w:val="00A966AF"/>
    <w:rsid w:val="00A97C82"/>
    <w:rsid w:val="00AA18EE"/>
    <w:rsid w:val="00AA35D0"/>
    <w:rsid w:val="00AA4780"/>
    <w:rsid w:val="00AA5139"/>
    <w:rsid w:val="00AA5A82"/>
    <w:rsid w:val="00AA5BBD"/>
    <w:rsid w:val="00AA66AF"/>
    <w:rsid w:val="00AA6DA7"/>
    <w:rsid w:val="00AA72AE"/>
    <w:rsid w:val="00AA762A"/>
    <w:rsid w:val="00AB125E"/>
    <w:rsid w:val="00AB1C5F"/>
    <w:rsid w:val="00AB379A"/>
    <w:rsid w:val="00AB4640"/>
    <w:rsid w:val="00AB5399"/>
    <w:rsid w:val="00AB6056"/>
    <w:rsid w:val="00AB7F59"/>
    <w:rsid w:val="00AC035C"/>
    <w:rsid w:val="00AC1DA0"/>
    <w:rsid w:val="00AC1E78"/>
    <w:rsid w:val="00AC3663"/>
    <w:rsid w:val="00AC37AE"/>
    <w:rsid w:val="00AC4F0E"/>
    <w:rsid w:val="00AD0431"/>
    <w:rsid w:val="00AD0782"/>
    <w:rsid w:val="00AD15D8"/>
    <w:rsid w:val="00AD2F8F"/>
    <w:rsid w:val="00AD3530"/>
    <w:rsid w:val="00AD3F52"/>
    <w:rsid w:val="00AD4192"/>
    <w:rsid w:val="00AD52DC"/>
    <w:rsid w:val="00AD5E83"/>
    <w:rsid w:val="00AD6FC2"/>
    <w:rsid w:val="00AD7808"/>
    <w:rsid w:val="00AE052A"/>
    <w:rsid w:val="00AE06C2"/>
    <w:rsid w:val="00AE16A9"/>
    <w:rsid w:val="00AE5327"/>
    <w:rsid w:val="00AE62AF"/>
    <w:rsid w:val="00AE79CF"/>
    <w:rsid w:val="00AF01CD"/>
    <w:rsid w:val="00AF06F1"/>
    <w:rsid w:val="00AF0F76"/>
    <w:rsid w:val="00AF1FC5"/>
    <w:rsid w:val="00AF3C47"/>
    <w:rsid w:val="00AF416F"/>
    <w:rsid w:val="00AF6503"/>
    <w:rsid w:val="00AF6626"/>
    <w:rsid w:val="00AF7028"/>
    <w:rsid w:val="00AF757F"/>
    <w:rsid w:val="00B00DEB"/>
    <w:rsid w:val="00B00F81"/>
    <w:rsid w:val="00B0175B"/>
    <w:rsid w:val="00B01E84"/>
    <w:rsid w:val="00B02E96"/>
    <w:rsid w:val="00B03C30"/>
    <w:rsid w:val="00B03F4A"/>
    <w:rsid w:val="00B05004"/>
    <w:rsid w:val="00B07AA5"/>
    <w:rsid w:val="00B07DBC"/>
    <w:rsid w:val="00B102B2"/>
    <w:rsid w:val="00B1122D"/>
    <w:rsid w:val="00B1241B"/>
    <w:rsid w:val="00B12ACD"/>
    <w:rsid w:val="00B1303E"/>
    <w:rsid w:val="00B1315E"/>
    <w:rsid w:val="00B14587"/>
    <w:rsid w:val="00B154DC"/>
    <w:rsid w:val="00B15A21"/>
    <w:rsid w:val="00B166B3"/>
    <w:rsid w:val="00B1733E"/>
    <w:rsid w:val="00B20AFC"/>
    <w:rsid w:val="00B22AFF"/>
    <w:rsid w:val="00B23DB8"/>
    <w:rsid w:val="00B24F78"/>
    <w:rsid w:val="00B25E54"/>
    <w:rsid w:val="00B2730A"/>
    <w:rsid w:val="00B3019D"/>
    <w:rsid w:val="00B315C0"/>
    <w:rsid w:val="00B317C6"/>
    <w:rsid w:val="00B319A2"/>
    <w:rsid w:val="00B32B38"/>
    <w:rsid w:val="00B33A20"/>
    <w:rsid w:val="00B35044"/>
    <w:rsid w:val="00B352E4"/>
    <w:rsid w:val="00B362F0"/>
    <w:rsid w:val="00B36414"/>
    <w:rsid w:val="00B36AB4"/>
    <w:rsid w:val="00B374FC"/>
    <w:rsid w:val="00B400F5"/>
    <w:rsid w:val="00B40EB4"/>
    <w:rsid w:val="00B42F60"/>
    <w:rsid w:val="00B43AD1"/>
    <w:rsid w:val="00B44744"/>
    <w:rsid w:val="00B4579C"/>
    <w:rsid w:val="00B50664"/>
    <w:rsid w:val="00B529BE"/>
    <w:rsid w:val="00B53328"/>
    <w:rsid w:val="00B53473"/>
    <w:rsid w:val="00B534B2"/>
    <w:rsid w:val="00B54A5A"/>
    <w:rsid w:val="00B55182"/>
    <w:rsid w:val="00B55256"/>
    <w:rsid w:val="00B553CE"/>
    <w:rsid w:val="00B56A7B"/>
    <w:rsid w:val="00B5761D"/>
    <w:rsid w:val="00B603EB"/>
    <w:rsid w:val="00B63EF4"/>
    <w:rsid w:val="00B64824"/>
    <w:rsid w:val="00B64E25"/>
    <w:rsid w:val="00B652A7"/>
    <w:rsid w:val="00B66241"/>
    <w:rsid w:val="00B666EB"/>
    <w:rsid w:val="00B67224"/>
    <w:rsid w:val="00B6799C"/>
    <w:rsid w:val="00B67EDA"/>
    <w:rsid w:val="00B70400"/>
    <w:rsid w:val="00B70FEA"/>
    <w:rsid w:val="00B71017"/>
    <w:rsid w:val="00B713EA"/>
    <w:rsid w:val="00B7186A"/>
    <w:rsid w:val="00B719F2"/>
    <w:rsid w:val="00B721C3"/>
    <w:rsid w:val="00B7252B"/>
    <w:rsid w:val="00B73E33"/>
    <w:rsid w:val="00B74063"/>
    <w:rsid w:val="00B77B07"/>
    <w:rsid w:val="00B80B6D"/>
    <w:rsid w:val="00B81238"/>
    <w:rsid w:val="00B81CFA"/>
    <w:rsid w:val="00B82066"/>
    <w:rsid w:val="00B8328A"/>
    <w:rsid w:val="00B862E5"/>
    <w:rsid w:val="00B87619"/>
    <w:rsid w:val="00B93802"/>
    <w:rsid w:val="00B93AAB"/>
    <w:rsid w:val="00B93F68"/>
    <w:rsid w:val="00B94F97"/>
    <w:rsid w:val="00B95310"/>
    <w:rsid w:val="00B95826"/>
    <w:rsid w:val="00B96953"/>
    <w:rsid w:val="00B96BC6"/>
    <w:rsid w:val="00B96E4A"/>
    <w:rsid w:val="00B97103"/>
    <w:rsid w:val="00BA004E"/>
    <w:rsid w:val="00BA03B3"/>
    <w:rsid w:val="00BA11E3"/>
    <w:rsid w:val="00BA28A6"/>
    <w:rsid w:val="00BA35F5"/>
    <w:rsid w:val="00BA45B9"/>
    <w:rsid w:val="00BA4665"/>
    <w:rsid w:val="00BA5150"/>
    <w:rsid w:val="00BA51AC"/>
    <w:rsid w:val="00BA7DE5"/>
    <w:rsid w:val="00BA7FEF"/>
    <w:rsid w:val="00BB06DD"/>
    <w:rsid w:val="00BB1356"/>
    <w:rsid w:val="00BB155A"/>
    <w:rsid w:val="00BB2247"/>
    <w:rsid w:val="00BB2D84"/>
    <w:rsid w:val="00BB319F"/>
    <w:rsid w:val="00BB32A1"/>
    <w:rsid w:val="00BB3542"/>
    <w:rsid w:val="00BB36D8"/>
    <w:rsid w:val="00BB3A8F"/>
    <w:rsid w:val="00BB6E5F"/>
    <w:rsid w:val="00BC379C"/>
    <w:rsid w:val="00BC4694"/>
    <w:rsid w:val="00BC532A"/>
    <w:rsid w:val="00BC720F"/>
    <w:rsid w:val="00BD0D5A"/>
    <w:rsid w:val="00BD1EC4"/>
    <w:rsid w:val="00BD29E6"/>
    <w:rsid w:val="00BD2B28"/>
    <w:rsid w:val="00BD35B4"/>
    <w:rsid w:val="00BD4F88"/>
    <w:rsid w:val="00BD53DD"/>
    <w:rsid w:val="00BD6A84"/>
    <w:rsid w:val="00BD6E5E"/>
    <w:rsid w:val="00BD7584"/>
    <w:rsid w:val="00BD7BAD"/>
    <w:rsid w:val="00BE008B"/>
    <w:rsid w:val="00BE07D0"/>
    <w:rsid w:val="00BE0DE8"/>
    <w:rsid w:val="00BE1704"/>
    <w:rsid w:val="00BE2764"/>
    <w:rsid w:val="00BE30A5"/>
    <w:rsid w:val="00BE4617"/>
    <w:rsid w:val="00BE49A4"/>
    <w:rsid w:val="00BE4D1E"/>
    <w:rsid w:val="00BE63A1"/>
    <w:rsid w:val="00BE6B07"/>
    <w:rsid w:val="00BE6DD6"/>
    <w:rsid w:val="00BE7BAB"/>
    <w:rsid w:val="00BF043B"/>
    <w:rsid w:val="00BF050A"/>
    <w:rsid w:val="00BF1AE8"/>
    <w:rsid w:val="00BF205E"/>
    <w:rsid w:val="00BF2AA7"/>
    <w:rsid w:val="00BF431F"/>
    <w:rsid w:val="00BF76EC"/>
    <w:rsid w:val="00C007D7"/>
    <w:rsid w:val="00C02B43"/>
    <w:rsid w:val="00C02FE1"/>
    <w:rsid w:val="00C03E74"/>
    <w:rsid w:val="00C03F22"/>
    <w:rsid w:val="00C0435C"/>
    <w:rsid w:val="00C048DD"/>
    <w:rsid w:val="00C04979"/>
    <w:rsid w:val="00C07A23"/>
    <w:rsid w:val="00C12224"/>
    <w:rsid w:val="00C125C3"/>
    <w:rsid w:val="00C1376E"/>
    <w:rsid w:val="00C14E57"/>
    <w:rsid w:val="00C14FCA"/>
    <w:rsid w:val="00C15DD6"/>
    <w:rsid w:val="00C16FC8"/>
    <w:rsid w:val="00C1760E"/>
    <w:rsid w:val="00C203D3"/>
    <w:rsid w:val="00C21195"/>
    <w:rsid w:val="00C21CEC"/>
    <w:rsid w:val="00C23602"/>
    <w:rsid w:val="00C2443E"/>
    <w:rsid w:val="00C24DB7"/>
    <w:rsid w:val="00C253FD"/>
    <w:rsid w:val="00C257C9"/>
    <w:rsid w:val="00C25BDE"/>
    <w:rsid w:val="00C25EB4"/>
    <w:rsid w:val="00C329A7"/>
    <w:rsid w:val="00C3360F"/>
    <w:rsid w:val="00C34759"/>
    <w:rsid w:val="00C368D8"/>
    <w:rsid w:val="00C36B6C"/>
    <w:rsid w:val="00C37940"/>
    <w:rsid w:val="00C40DD3"/>
    <w:rsid w:val="00C43B64"/>
    <w:rsid w:val="00C445B9"/>
    <w:rsid w:val="00C4492C"/>
    <w:rsid w:val="00C44F44"/>
    <w:rsid w:val="00C4593C"/>
    <w:rsid w:val="00C46A4B"/>
    <w:rsid w:val="00C472D6"/>
    <w:rsid w:val="00C47B62"/>
    <w:rsid w:val="00C47DCE"/>
    <w:rsid w:val="00C47E91"/>
    <w:rsid w:val="00C50170"/>
    <w:rsid w:val="00C50B53"/>
    <w:rsid w:val="00C50F0B"/>
    <w:rsid w:val="00C51092"/>
    <w:rsid w:val="00C52E42"/>
    <w:rsid w:val="00C55D6B"/>
    <w:rsid w:val="00C564B3"/>
    <w:rsid w:val="00C569D0"/>
    <w:rsid w:val="00C57255"/>
    <w:rsid w:val="00C610B3"/>
    <w:rsid w:val="00C615C5"/>
    <w:rsid w:val="00C62250"/>
    <w:rsid w:val="00C62C50"/>
    <w:rsid w:val="00C62E4A"/>
    <w:rsid w:val="00C633C6"/>
    <w:rsid w:val="00C64173"/>
    <w:rsid w:val="00C653BE"/>
    <w:rsid w:val="00C660E3"/>
    <w:rsid w:val="00C66266"/>
    <w:rsid w:val="00C66CA7"/>
    <w:rsid w:val="00C710EA"/>
    <w:rsid w:val="00C71967"/>
    <w:rsid w:val="00C71ABB"/>
    <w:rsid w:val="00C71AD8"/>
    <w:rsid w:val="00C722E1"/>
    <w:rsid w:val="00C73698"/>
    <w:rsid w:val="00C738A3"/>
    <w:rsid w:val="00C73D2B"/>
    <w:rsid w:val="00C73D5E"/>
    <w:rsid w:val="00C74334"/>
    <w:rsid w:val="00C75B52"/>
    <w:rsid w:val="00C77759"/>
    <w:rsid w:val="00C8115F"/>
    <w:rsid w:val="00C844CA"/>
    <w:rsid w:val="00C8479E"/>
    <w:rsid w:val="00C8566C"/>
    <w:rsid w:val="00C86EC1"/>
    <w:rsid w:val="00C87F14"/>
    <w:rsid w:val="00C91183"/>
    <w:rsid w:val="00C9235C"/>
    <w:rsid w:val="00C92627"/>
    <w:rsid w:val="00C92665"/>
    <w:rsid w:val="00C931E7"/>
    <w:rsid w:val="00C9360A"/>
    <w:rsid w:val="00C94402"/>
    <w:rsid w:val="00C944BA"/>
    <w:rsid w:val="00C94809"/>
    <w:rsid w:val="00C95437"/>
    <w:rsid w:val="00C95471"/>
    <w:rsid w:val="00C9600F"/>
    <w:rsid w:val="00CA0D98"/>
    <w:rsid w:val="00CA1CD1"/>
    <w:rsid w:val="00CA2759"/>
    <w:rsid w:val="00CA29DF"/>
    <w:rsid w:val="00CA4DA0"/>
    <w:rsid w:val="00CA6BF9"/>
    <w:rsid w:val="00CA701E"/>
    <w:rsid w:val="00CA7570"/>
    <w:rsid w:val="00CB05E0"/>
    <w:rsid w:val="00CB1186"/>
    <w:rsid w:val="00CB144D"/>
    <w:rsid w:val="00CB2CAB"/>
    <w:rsid w:val="00CB41B9"/>
    <w:rsid w:val="00CB5607"/>
    <w:rsid w:val="00CB594B"/>
    <w:rsid w:val="00CB6F9E"/>
    <w:rsid w:val="00CB77AA"/>
    <w:rsid w:val="00CC0975"/>
    <w:rsid w:val="00CC2026"/>
    <w:rsid w:val="00CC2F94"/>
    <w:rsid w:val="00CC3024"/>
    <w:rsid w:val="00CC374F"/>
    <w:rsid w:val="00CC3A32"/>
    <w:rsid w:val="00CC6554"/>
    <w:rsid w:val="00CC7869"/>
    <w:rsid w:val="00CD0857"/>
    <w:rsid w:val="00CD1EF3"/>
    <w:rsid w:val="00CD2069"/>
    <w:rsid w:val="00CD31C3"/>
    <w:rsid w:val="00CD3437"/>
    <w:rsid w:val="00CD3693"/>
    <w:rsid w:val="00CD3D12"/>
    <w:rsid w:val="00CD44AA"/>
    <w:rsid w:val="00CD4563"/>
    <w:rsid w:val="00CD6934"/>
    <w:rsid w:val="00CD6DE7"/>
    <w:rsid w:val="00CD6E56"/>
    <w:rsid w:val="00CE3328"/>
    <w:rsid w:val="00CE350E"/>
    <w:rsid w:val="00CE3F3B"/>
    <w:rsid w:val="00CE44AD"/>
    <w:rsid w:val="00CE4870"/>
    <w:rsid w:val="00CE5BF3"/>
    <w:rsid w:val="00CE5EA3"/>
    <w:rsid w:val="00CE739D"/>
    <w:rsid w:val="00CE781B"/>
    <w:rsid w:val="00CE7956"/>
    <w:rsid w:val="00CE7F0E"/>
    <w:rsid w:val="00CF0C4F"/>
    <w:rsid w:val="00CF322F"/>
    <w:rsid w:val="00CF33AB"/>
    <w:rsid w:val="00CF3F10"/>
    <w:rsid w:val="00CF531B"/>
    <w:rsid w:val="00CF5C48"/>
    <w:rsid w:val="00CF76F5"/>
    <w:rsid w:val="00CF77D7"/>
    <w:rsid w:val="00D00454"/>
    <w:rsid w:val="00D01447"/>
    <w:rsid w:val="00D017C8"/>
    <w:rsid w:val="00D01CC0"/>
    <w:rsid w:val="00D023D1"/>
    <w:rsid w:val="00D102F8"/>
    <w:rsid w:val="00D10464"/>
    <w:rsid w:val="00D15F23"/>
    <w:rsid w:val="00D20AC4"/>
    <w:rsid w:val="00D20E8F"/>
    <w:rsid w:val="00D233B8"/>
    <w:rsid w:val="00D24C25"/>
    <w:rsid w:val="00D24EAC"/>
    <w:rsid w:val="00D260BD"/>
    <w:rsid w:val="00D26887"/>
    <w:rsid w:val="00D2748B"/>
    <w:rsid w:val="00D30602"/>
    <w:rsid w:val="00D320F4"/>
    <w:rsid w:val="00D32358"/>
    <w:rsid w:val="00D3418C"/>
    <w:rsid w:val="00D3507D"/>
    <w:rsid w:val="00D370D3"/>
    <w:rsid w:val="00D40200"/>
    <w:rsid w:val="00D41234"/>
    <w:rsid w:val="00D415BC"/>
    <w:rsid w:val="00D420C7"/>
    <w:rsid w:val="00D42940"/>
    <w:rsid w:val="00D4374E"/>
    <w:rsid w:val="00D45FA0"/>
    <w:rsid w:val="00D51936"/>
    <w:rsid w:val="00D51D78"/>
    <w:rsid w:val="00D52C2F"/>
    <w:rsid w:val="00D54242"/>
    <w:rsid w:val="00D54494"/>
    <w:rsid w:val="00D54684"/>
    <w:rsid w:val="00D55BDE"/>
    <w:rsid w:val="00D57BAE"/>
    <w:rsid w:val="00D57E41"/>
    <w:rsid w:val="00D622DF"/>
    <w:rsid w:val="00D62FBE"/>
    <w:rsid w:val="00D6327C"/>
    <w:rsid w:val="00D647D7"/>
    <w:rsid w:val="00D64D09"/>
    <w:rsid w:val="00D6621C"/>
    <w:rsid w:val="00D66B80"/>
    <w:rsid w:val="00D71179"/>
    <w:rsid w:val="00D7176D"/>
    <w:rsid w:val="00D71D6F"/>
    <w:rsid w:val="00D72853"/>
    <w:rsid w:val="00D72BB5"/>
    <w:rsid w:val="00D73BC7"/>
    <w:rsid w:val="00D73BD6"/>
    <w:rsid w:val="00D756CF"/>
    <w:rsid w:val="00D767D9"/>
    <w:rsid w:val="00D77AD5"/>
    <w:rsid w:val="00D801ED"/>
    <w:rsid w:val="00D814BD"/>
    <w:rsid w:val="00D816CC"/>
    <w:rsid w:val="00D81E4E"/>
    <w:rsid w:val="00D84562"/>
    <w:rsid w:val="00D84773"/>
    <w:rsid w:val="00D84DE8"/>
    <w:rsid w:val="00D8629E"/>
    <w:rsid w:val="00D8639B"/>
    <w:rsid w:val="00D87043"/>
    <w:rsid w:val="00D909FD"/>
    <w:rsid w:val="00D91873"/>
    <w:rsid w:val="00D926DC"/>
    <w:rsid w:val="00D9562F"/>
    <w:rsid w:val="00D96778"/>
    <w:rsid w:val="00D97734"/>
    <w:rsid w:val="00D977B8"/>
    <w:rsid w:val="00D97C59"/>
    <w:rsid w:val="00DA0B7C"/>
    <w:rsid w:val="00DA232E"/>
    <w:rsid w:val="00DA26C1"/>
    <w:rsid w:val="00DA29A7"/>
    <w:rsid w:val="00DA421F"/>
    <w:rsid w:val="00DA4293"/>
    <w:rsid w:val="00DA4D10"/>
    <w:rsid w:val="00DA5AD0"/>
    <w:rsid w:val="00DA7333"/>
    <w:rsid w:val="00DA7675"/>
    <w:rsid w:val="00DB1AAE"/>
    <w:rsid w:val="00DB21BB"/>
    <w:rsid w:val="00DB4282"/>
    <w:rsid w:val="00DB44F1"/>
    <w:rsid w:val="00DB4728"/>
    <w:rsid w:val="00DB4A5E"/>
    <w:rsid w:val="00DB4EBF"/>
    <w:rsid w:val="00DB5D2E"/>
    <w:rsid w:val="00DC03F6"/>
    <w:rsid w:val="00DC03F7"/>
    <w:rsid w:val="00DC1AB3"/>
    <w:rsid w:val="00DC22BF"/>
    <w:rsid w:val="00DC2A5D"/>
    <w:rsid w:val="00DC4C1D"/>
    <w:rsid w:val="00DC6B7E"/>
    <w:rsid w:val="00DC7720"/>
    <w:rsid w:val="00DC7FB6"/>
    <w:rsid w:val="00DD0193"/>
    <w:rsid w:val="00DD0947"/>
    <w:rsid w:val="00DD0C8A"/>
    <w:rsid w:val="00DD0FE3"/>
    <w:rsid w:val="00DD2C13"/>
    <w:rsid w:val="00DD3415"/>
    <w:rsid w:val="00DD3BEF"/>
    <w:rsid w:val="00DD3C93"/>
    <w:rsid w:val="00DD3FF2"/>
    <w:rsid w:val="00DD5D22"/>
    <w:rsid w:val="00DD6502"/>
    <w:rsid w:val="00DD69B1"/>
    <w:rsid w:val="00DE2FC4"/>
    <w:rsid w:val="00DE5F45"/>
    <w:rsid w:val="00DE6FE0"/>
    <w:rsid w:val="00DF0E4A"/>
    <w:rsid w:val="00DF1E7E"/>
    <w:rsid w:val="00DF1EFC"/>
    <w:rsid w:val="00DF2D5A"/>
    <w:rsid w:val="00DF32DB"/>
    <w:rsid w:val="00DF371D"/>
    <w:rsid w:val="00DF59CB"/>
    <w:rsid w:val="00DF5C0C"/>
    <w:rsid w:val="00DF6489"/>
    <w:rsid w:val="00E002C7"/>
    <w:rsid w:val="00E00E21"/>
    <w:rsid w:val="00E039DF"/>
    <w:rsid w:val="00E040F8"/>
    <w:rsid w:val="00E04772"/>
    <w:rsid w:val="00E04C45"/>
    <w:rsid w:val="00E04FA9"/>
    <w:rsid w:val="00E059B8"/>
    <w:rsid w:val="00E05D07"/>
    <w:rsid w:val="00E07ADB"/>
    <w:rsid w:val="00E1021D"/>
    <w:rsid w:val="00E10BBC"/>
    <w:rsid w:val="00E151C0"/>
    <w:rsid w:val="00E17955"/>
    <w:rsid w:val="00E17FDA"/>
    <w:rsid w:val="00E2049A"/>
    <w:rsid w:val="00E208B9"/>
    <w:rsid w:val="00E20D37"/>
    <w:rsid w:val="00E20F7C"/>
    <w:rsid w:val="00E22FB8"/>
    <w:rsid w:val="00E2309E"/>
    <w:rsid w:val="00E24A1D"/>
    <w:rsid w:val="00E2550E"/>
    <w:rsid w:val="00E26466"/>
    <w:rsid w:val="00E2702C"/>
    <w:rsid w:val="00E27103"/>
    <w:rsid w:val="00E27E63"/>
    <w:rsid w:val="00E3039E"/>
    <w:rsid w:val="00E30502"/>
    <w:rsid w:val="00E31AF8"/>
    <w:rsid w:val="00E31B23"/>
    <w:rsid w:val="00E31F21"/>
    <w:rsid w:val="00E336A0"/>
    <w:rsid w:val="00E34640"/>
    <w:rsid w:val="00E34ADD"/>
    <w:rsid w:val="00E3524E"/>
    <w:rsid w:val="00E353B7"/>
    <w:rsid w:val="00E36C03"/>
    <w:rsid w:val="00E3709D"/>
    <w:rsid w:val="00E372EE"/>
    <w:rsid w:val="00E37B48"/>
    <w:rsid w:val="00E4128D"/>
    <w:rsid w:val="00E419DF"/>
    <w:rsid w:val="00E42034"/>
    <w:rsid w:val="00E42B2C"/>
    <w:rsid w:val="00E42C44"/>
    <w:rsid w:val="00E43B8D"/>
    <w:rsid w:val="00E43DD7"/>
    <w:rsid w:val="00E456CA"/>
    <w:rsid w:val="00E46614"/>
    <w:rsid w:val="00E468BD"/>
    <w:rsid w:val="00E46C76"/>
    <w:rsid w:val="00E50F51"/>
    <w:rsid w:val="00E5119B"/>
    <w:rsid w:val="00E51D9A"/>
    <w:rsid w:val="00E52649"/>
    <w:rsid w:val="00E528EA"/>
    <w:rsid w:val="00E53C0E"/>
    <w:rsid w:val="00E54132"/>
    <w:rsid w:val="00E54464"/>
    <w:rsid w:val="00E57CAD"/>
    <w:rsid w:val="00E6203D"/>
    <w:rsid w:val="00E62817"/>
    <w:rsid w:val="00E630BE"/>
    <w:rsid w:val="00E63121"/>
    <w:rsid w:val="00E63AA4"/>
    <w:rsid w:val="00E64998"/>
    <w:rsid w:val="00E738A7"/>
    <w:rsid w:val="00E738AB"/>
    <w:rsid w:val="00E74303"/>
    <w:rsid w:val="00E76CC9"/>
    <w:rsid w:val="00E76DD3"/>
    <w:rsid w:val="00E774C6"/>
    <w:rsid w:val="00E77779"/>
    <w:rsid w:val="00E7792B"/>
    <w:rsid w:val="00E7795D"/>
    <w:rsid w:val="00E77D0E"/>
    <w:rsid w:val="00E80C34"/>
    <w:rsid w:val="00E83951"/>
    <w:rsid w:val="00E83D13"/>
    <w:rsid w:val="00E843E0"/>
    <w:rsid w:val="00E843E5"/>
    <w:rsid w:val="00E846C5"/>
    <w:rsid w:val="00E8498D"/>
    <w:rsid w:val="00E851C0"/>
    <w:rsid w:val="00E85CC8"/>
    <w:rsid w:val="00E86A77"/>
    <w:rsid w:val="00E908F7"/>
    <w:rsid w:val="00E90983"/>
    <w:rsid w:val="00E90DBE"/>
    <w:rsid w:val="00E917ED"/>
    <w:rsid w:val="00E919E0"/>
    <w:rsid w:val="00E925C8"/>
    <w:rsid w:val="00E94257"/>
    <w:rsid w:val="00E943D4"/>
    <w:rsid w:val="00E952A4"/>
    <w:rsid w:val="00E959BF"/>
    <w:rsid w:val="00E97185"/>
    <w:rsid w:val="00EA06C1"/>
    <w:rsid w:val="00EA1C78"/>
    <w:rsid w:val="00EA1CCF"/>
    <w:rsid w:val="00EA1D47"/>
    <w:rsid w:val="00EA4B10"/>
    <w:rsid w:val="00EA5610"/>
    <w:rsid w:val="00EA7AD3"/>
    <w:rsid w:val="00EB1BEC"/>
    <w:rsid w:val="00EB31CE"/>
    <w:rsid w:val="00EB5DB0"/>
    <w:rsid w:val="00EB6A1F"/>
    <w:rsid w:val="00EC162E"/>
    <w:rsid w:val="00EC190D"/>
    <w:rsid w:val="00EC21AA"/>
    <w:rsid w:val="00EC34EB"/>
    <w:rsid w:val="00EC34FA"/>
    <w:rsid w:val="00EC7FF3"/>
    <w:rsid w:val="00ED0B38"/>
    <w:rsid w:val="00ED20DA"/>
    <w:rsid w:val="00ED3CBE"/>
    <w:rsid w:val="00ED3CDA"/>
    <w:rsid w:val="00ED3E8D"/>
    <w:rsid w:val="00ED412D"/>
    <w:rsid w:val="00ED4938"/>
    <w:rsid w:val="00ED4EF6"/>
    <w:rsid w:val="00ED575A"/>
    <w:rsid w:val="00ED5F98"/>
    <w:rsid w:val="00ED6586"/>
    <w:rsid w:val="00ED6ABE"/>
    <w:rsid w:val="00EE0077"/>
    <w:rsid w:val="00EE1B7C"/>
    <w:rsid w:val="00EE2AD3"/>
    <w:rsid w:val="00EE3A36"/>
    <w:rsid w:val="00EE3ED7"/>
    <w:rsid w:val="00EE532C"/>
    <w:rsid w:val="00EE5405"/>
    <w:rsid w:val="00EE6C60"/>
    <w:rsid w:val="00EE6F6C"/>
    <w:rsid w:val="00EF12E9"/>
    <w:rsid w:val="00EF17BA"/>
    <w:rsid w:val="00EF21C8"/>
    <w:rsid w:val="00EF23CE"/>
    <w:rsid w:val="00EF6712"/>
    <w:rsid w:val="00EF6E37"/>
    <w:rsid w:val="00EF6EB0"/>
    <w:rsid w:val="00F0155A"/>
    <w:rsid w:val="00F01B84"/>
    <w:rsid w:val="00F01D4B"/>
    <w:rsid w:val="00F02175"/>
    <w:rsid w:val="00F049B5"/>
    <w:rsid w:val="00F04D8F"/>
    <w:rsid w:val="00F0696E"/>
    <w:rsid w:val="00F06A10"/>
    <w:rsid w:val="00F10D04"/>
    <w:rsid w:val="00F11EA5"/>
    <w:rsid w:val="00F17078"/>
    <w:rsid w:val="00F178B6"/>
    <w:rsid w:val="00F21BCB"/>
    <w:rsid w:val="00F21FEE"/>
    <w:rsid w:val="00F23368"/>
    <w:rsid w:val="00F237AD"/>
    <w:rsid w:val="00F2470B"/>
    <w:rsid w:val="00F25502"/>
    <w:rsid w:val="00F26539"/>
    <w:rsid w:val="00F26614"/>
    <w:rsid w:val="00F26CAC"/>
    <w:rsid w:val="00F3001B"/>
    <w:rsid w:val="00F30534"/>
    <w:rsid w:val="00F31740"/>
    <w:rsid w:val="00F31EAD"/>
    <w:rsid w:val="00F32210"/>
    <w:rsid w:val="00F33396"/>
    <w:rsid w:val="00F3391D"/>
    <w:rsid w:val="00F34C97"/>
    <w:rsid w:val="00F359EC"/>
    <w:rsid w:val="00F36419"/>
    <w:rsid w:val="00F37A77"/>
    <w:rsid w:val="00F40580"/>
    <w:rsid w:val="00F41663"/>
    <w:rsid w:val="00F43CAE"/>
    <w:rsid w:val="00F4487F"/>
    <w:rsid w:val="00F50D47"/>
    <w:rsid w:val="00F50DA5"/>
    <w:rsid w:val="00F53459"/>
    <w:rsid w:val="00F53E22"/>
    <w:rsid w:val="00F5402F"/>
    <w:rsid w:val="00F547BE"/>
    <w:rsid w:val="00F55FB7"/>
    <w:rsid w:val="00F56C14"/>
    <w:rsid w:val="00F579A0"/>
    <w:rsid w:val="00F57F5B"/>
    <w:rsid w:val="00F600BF"/>
    <w:rsid w:val="00F6063D"/>
    <w:rsid w:val="00F61418"/>
    <w:rsid w:val="00F62907"/>
    <w:rsid w:val="00F62A26"/>
    <w:rsid w:val="00F62E9B"/>
    <w:rsid w:val="00F64A29"/>
    <w:rsid w:val="00F6550E"/>
    <w:rsid w:val="00F656D1"/>
    <w:rsid w:val="00F660B8"/>
    <w:rsid w:val="00F67085"/>
    <w:rsid w:val="00F6766C"/>
    <w:rsid w:val="00F70610"/>
    <w:rsid w:val="00F71453"/>
    <w:rsid w:val="00F729FD"/>
    <w:rsid w:val="00F73DB7"/>
    <w:rsid w:val="00F74E78"/>
    <w:rsid w:val="00F75761"/>
    <w:rsid w:val="00F75E73"/>
    <w:rsid w:val="00F77BC8"/>
    <w:rsid w:val="00F81268"/>
    <w:rsid w:val="00F818E5"/>
    <w:rsid w:val="00F81F1D"/>
    <w:rsid w:val="00F8223C"/>
    <w:rsid w:val="00F82257"/>
    <w:rsid w:val="00F82990"/>
    <w:rsid w:val="00F82C34"/>
    <w:rsid w:val="00F82D29"/>
    <w:rsid w:val="00F836BC"/>
    <w:rsid w:val="00F841E3"/>
    <w:rsid w:val="00F850CC"/>
    <w:rsid w:val="00F8550B"/>
    <w:rsid w:val="00F85CED"/>
    <w:rsid w:val="00F87452"/>
    <w:rsid w:val="00F906A5"/>
    <w:rsid w:val="00F919F9"/>
    <w:rsid w:val="00F92B97"/>
    <w:rsid w:val="00F9301B"/>
    <w:rsid w:val="00F93066"/>
    <w:rsid w:val="00F93805"/>
    <w:rsid w:val="00F946F3"/>
    <w:rsid w:val="00F968B7"/>
    <w:rsid w:val="00F97FD8"/>
    <w:rsid w:val="00FA19A3"/>
    <w:rsid w:val="00FA2374"/>
    <w:rsid w:val="00FA3721"/>
    <w:rsid w:val="00FA3A0C"/>
    <w:rsid w:val="00FA427A"/>
    <w:rsid w:val="00FA43EB"/>
    <w:rsid w:val="00FA72FB"/>
    <w:rsid w:val="00FA76EE"/>
    <w:rsid w:val="00FB17E4"/>
    <w:rsid w:val="00FB1AC0"/>
    <w:rsid w:val="00FB1FED"/>
    <w:rsid w:val="00FB27AB"/>
    <w:rsid w:val="00FB372D"/>
    <w:rsid w:val="00FB4915"/>
    <w:rsid w:val="00FB4FF3"/>
    <w:rsid w:val="00FB6230"/>
    <w:rsid w:val="00FB667E"/>
    <w:rsid w:val="00FB77FC"/>
    <w:rsid w:val="00FB7FF1"/>
    <w:rsid w:val="00FC2024"/>
    <w:rsid w:val="00FC2333"/>
    <w:rsid w:val="00FC2D57"/>
    <w:rsid w:val="00FC370B"/>
    <w:rsid w:val="00FC3C95"/>
    <w:rsid w:val="00FC4077"/>
    <w:rsid w:val="00FC4E85"/>
    <w:rsid w:val="00FD033C"/>
    <w:rsid w:val="00FD0CD4"/>
    <w:rsid w:val="00FD2033"/>
    <w:rsid w:val="00FD2E4C"/>
    <w:rsid w:val="00FD337C"/>
    <w:rsid w:val="00FD394E"/>
    <w:rsid w:val="00FD5AE9"/>
    <w:rsid w:val="00FD63B8"/>
    <w:rsid w:val="00FD6892"/>
    <w:rsid w:val="00FD6D40"/>
    <w:rsid w:val="00FD6D9A"/>
    <w:rsid w:val="00FD70B5"/>
    <w:rsid w:val="00FD753E"/>
    <w:rsid w:val="00FE0B78"/>
    <w:rsid w:val="00FE10FE"/>
    <w:rsid w:val="00FE29F7"/>
    <w:rsid w:val="00FE4B37"/>
    <w:rsid w:val="00FE6EB5"/>
    <w:rsid w:val="00FE7422"/>
    <w:rsid w:val="00FF02DB"/>
    <w:rsid w:val="00FF14F5"/>
    <w:rsid w:val="00FF1ED6"/>
    <w:rsid w:val="00FF24A0"/>
    <w:rsid w:val="00FF6BAC"/>
    <w:rsid w:val="0152640C"/>
    <w:rsid w:val="01553765"/>
    <w:rsid w:val="01703979"/>
    <w:rsid w:val="024261A6"/>
    <w:rsid w:val="025401FD"/>
    <w:rsid w:val="02DD6056"/>
    <w:rsid w:val="02E20FEB"/>
    <w:rsid w:val="02E76B51"/>
    <w:rsid w:val="031C1B70"/>
    <w:rsid w:val="037C4E46"/>
    <w:rsid w:val="03950B1C"/>
    <w:rsid w:val="039F1992"/>
    <w:rsid w:val="03AC070B"/>
    <w:rsid w:val="03B96EA9"/>
    <w:rsid w:val="03BE637D"/>
    <w:rsid w:val="03EF3B00"/>
    <w:rsid w:val="04334FBF"/>
    <w:rsid w:val="04556B66"/>
    <w:rsid w:val="04637556"/>
    <w:rsid w:val="04765325"/>
    <w:rsid w:val="05487DE8"/>
    <w:rsid w:val="05F80D97"/>
    <w:rsid w:val="06E46742"/>
    <w:rsid w:val="06FBD63C"/>
    <w:rsid w:val="07020DB8"/>
    <w:rsid w:val="070B67B9"/>
    <w:rsid w:val="0750320D"/>
    <w:rsid w:val="075D20B3"/>
    <w:rsid w:val="077D1D26"/>
    <w:rsid w:val="08106ED7"/>
    <w:rsid w:val="08193BAD"/>
    <w:rsid w:val="08475323"/>
    <w:rsid w:val="08AA59B2"/>
    <w:rsid w:val="08E478CA"/>
    <w:rsid w:val="0933626D"/>
    <w:rsid w:val="0A0242A4"/>
    <w:rsid w:val="0A913A33"/>
    <w:rsid w:val="0AE33328"/>
    <w:rsid w:val="0BDEC8C9"/>
    <w:rsid w:val="0C155252"/>
    <w:rsid w:val="0C2D709F"/>
    <w:rsid w:val="0C410AA7"/>
    <w:rsid w:val="0C881EA3"/>
    <w:rsid w:val="0CBB4B8B"/>
    <w:rsid w:val="0D4F7564"/>
    <w:rsid w:val="0D620DC0"/>
    <w:rsid w:val="0DE12751"/>
    <w:rsid w:val="0E2465D4"/>
    <w:rsid w:val="0E317059"/>
    <w:rsid w:val="0E6169D9"/>
    <w:rsid w:val="0E96656A"/>
    <w:rsid w:val="0ECC7523"/>
    <w:rsid w:val="0EFB13D9"/>
    <w:rsid w:val="10557C57"/>
    <w:rsid w:val="1058689E"/>
    <w:rsid w:val="10623562"/>
    <w:rsid w:val="10642D93"/>
    <w:rsid w:val="10717DC0"/>
    <w:rsid w:val="10E31C62"/>
    <w:rsid w:val="11132D8F"/>
    <w:rsid w:val="118A36BF"/>
    <w:rsid w:val="11A57408"/>
    <w:rsid w:val="11DD2B24"/>
    <w:rsid w:val="11EF2C1D"/>
    <w:rsid w:val="124F5AB1"/>
    <w:rsid w:val="128D65A6"/>
    <w:rsid w:val="12F64D28"/>
    <w:rsid w:val="133D9A02"/>
    <w:rsid w:val="13E02D36"/>
    <w:rsid w:val="1403354A"/>
    <w:rsid w:val="14081C83"/>
    <w:rsid w:val="144C6F39"/>
    <w:rsid w:val="147859D2"/>
    <w:rsid w:val="14A5257D"/>
    <w:rsid w:val="14E37374"/>
    <w:rsid w:val="14E51FD5"/>
    <w:rsid w:val="14F75FA0"/>
    <w:rsid w:val="15195B5C"/>
    <w:rsid w:val="1555358D"/>
    <w:rsid w:val="157F21D3"/>
    <w:rsid w:val="158259D8"/>
    <w:rsid w:val="15982A19"/>
    <w:rsid w:val="15AE2D22"/>
    <w:rsid w:val="15EE0289"/>
    <w:rsid w:val="160B1DB7"/>
    <w:rsid w:val="16107467"/>
    <w:rsid w:val="16201993"/>
    <w:rsid w:val="162D35F1"/>
    <w:rsid w:val="16841530"/>
    <w:rsid w:val="16B67AD2"/>
    <w:rsid w:val="171C175A"/>
    <w:rsid w:val="174165D4"/>
    <w:rsid w:val="18BA6F98"/>
    <w:rsid w:val="18FE07FD"/>
    <w:rsid w:val="190E2F28"/>
    <w:rsid w:val="19347781"/>
    <w:rsid w:val="19516536"/>
    <w:rsid w:val="19C85048"/>
    <w:rsid w:val="1A0714B6"/>
    <w:rsid w:val="1A135155"/>
    <w:rsid w:val="1A3B792A"/>
    <w:rsid w:val="1A534499"/>
    <w:rsid w:val="1B034A5E"/>
    <w:rsid w:val="1B122A9D"/>
    <w:rsid w:val="1B3D62C8"/>
    <w:rsid w:val="1B774D46"/>
    <w:rsid w:val="1BE92C04"/>
    <w:rsid w:val="1BF17346"/>
    <w:rsid w:val="1BFEC181"/>
    <w:rsid w:val="1C656E8D"/>
    <w:rsid w:val="1D2437DE"/>
    <w:rsid w:val="1D332BCD"/>
    <w:rsid w:val="1D4D13EA"/>
    <w:rsid w:val="1D7757E7"/>
    <w:rsid w:val="1DBDD311"/>
    <w:rsid w:val="1DC43CB7"/>
    <w:rsid w:val="1DE1661E"/>
    <w:rsid w:val="1DE51DD1"/>
    <w:rsid w:val="1DEF28E6"/>
    <w:rsid w:val="1EAB0627"/>
    <w:rsid w:val="1EEB3AB0"/>
    <w:rsid w:val="1EFBC613"/>
    <w:rsid w:val="1F1FBEB0"/>
    <w:rsid w:val="1F6D404F"/>
    <w:rsid w:val="1FC831E8"/>
    <w:rsid w:val="1FE37E5F"/>
    <w:rsid w:val="1FEFF40F"/>
    <w:rsid w:val="1FF40688"/>
    <w:rsid w:val="1FF6A104"/>
    <w:rsid w:val="20BE2A44"/>
    <w:rsid w:val="20EC1B30"/>
    <w:rsid w:val="210F0963"/>
    <w:rsid w:val="21BBB65B"/>
    <w:rsid w:val="221417DE"/>
    <w:rsid w:val="227E0543"/>
    <w:rsid w:val="228C7DBD"/>
    <w:rsid w:val="22C26F95"/>
    <w:rsid w:val="22CC1274"/>
    <w:rsid w:val="232A5278"/>
    <w:rsid w:val="23760816"/>
    <w:rsid w:val="23BF5587"/>
    <w:rsid w:val="23DA5DE6"/>
    <w:rsid w:val="24B1643E"/>
    <w:rsid w:val="252527DC"/>
    <w:rsid w:val="259F1949"/>
    <w:rsid w:val="25E97009"/>
    <w:rsid w:val="26344924"/>
    <w:rsid w:val="263F16B0"/>
    <w:rsid w:val="264F4FDA"/>
    <w:rsid w:val="266F2F1B"/>
    <w:rsid w:val="26937BFF"/>
    <w:rsid w:val="26C2212C"/>
    <w:rsid w:val="26E52B87"/>
    <w:rsid w:val="2747D895"/>
    <w:rsid w:val="276E503D"/>
    <w:rsid w:val="277E30D9"/>
    <w:rsid w:val="27897907"/>
    <w:rsid w:val="27C0451E"/>
    <w:rsid w:val="27D0185E"/>
    <w:rsid w:val="27D83BF2"/>
    <w:rsid w:val="27DA4271"/>
    <w:rsid w:val="284C5056"/>
    <w:rsid w:val="28E06D34"/>
    <w:rsid w:val="290B4B99"/>
    <w:rsid w:val="294D7243"/>
    <w:rsid w:val="29C64297"/>
    <w:rsid w:val="2A130DDF"/>
    <w:rsid w:val="2A444B66"/>
    <w:rsid w:val="2A53355F"/>
    <w:rsid w:val="2AA7294F"/>
    <w:rsid w:val="2AF24070"/>
    <w:rsid w:val="2B335329"/>
    <w:rsid w:val="2B663FDB"/>
    <w:rsid w:val="2C4F747B"/>
    <w:rsid w:val="2C575F92"/>
    <w:rsid w:val="2C5C4C2B"/>
    <w:rsid w:val="2CE91909"/>
    <w:rsid w:val="2CF8542F"/>
    <w:rsid w:val="2D092D6F"/>
    <w:rsid w:val="2D3376D8"/>
    <w:rsid w:val="2D462BD4"/>
    <w:rsid w:val="2D5A7455"/>
    <w:rsid w:val="2D762D19"/>
    <w:rsid w:val="2D7C5F64"/>
    <w:rsid w:val="2DA63C8C"/>
    <w:rsid w:val="2E00541E"/>
    <w:rsid w:val="2E150B56"/>
    <w:rsid w:val="2EDC6028"/>
    <w:rsid w:val="2F5A379A"/>
    <w:rsid w:val="2F6FE688"/>
    <w:rsid w:val="2F807931"/>
    <w:rsid w:val="2FDF89AA"/>
    <w:rsid w:val="2FEB581E"/>
    <w:rsid w:val="3019196D"/>
    <w:rsid w:val="3023097B"/>
    <w:rsid w:val="302F3016"/>
    <w:rsid w:val="30401638"/>
    <w:rsid w:val="30446AC1"/>
    <w:rsid w:val="30D44D5B"/>
    <w:rsid w:val="310061F3"/>
    <w:rsid w:val="315F7ECC"/>
    <w:rsid w:val="31691BA1"/>
    <w:rsid w:val="317A4919"/>
    <w:rsid w:val="318B24CE"/>
    <w:rsid w:val="31CF41DE"/>
    <w:rsid w:val="3284589B"/>
    <w:rsid w:val="32FD564D"/>
    <w:rsid w:val="3326503C"/>
    <w:rsid w:val="333C6F37"/>
    <w:rsid w:val="33527CC1"/>
    <w:rsid w:val="33E96FE6"/>
    <w:rsid w:val="33F24513"/>
    <w:rsid w:val="33F928DA"/>
    <w:rsid w:val="346C7CD4"/>
    <w:rsid w:val="3491604D"/>
    <w:rsid w:val="34DF3CE8"/>
    <w:rsid w:val="3525563E"/>
    <w:rsid w:val="353327D7"/>
    <w:rsid w:val="356900C3"/>
    <w:rsid w:val="35FE1F17"/>
    <w:rsid w:val="365B73F6"/>
    <w:rsid w:val="36693D01"/>
    <w:rsid w:val="366C6C5A"/>
    <w:rsid w:val="368372EB"/>
    <w:rsid w:val="36D26A11"/>
    <w:rsid w:val="36D87404"/>
    <w:rsid w:val="37085760"/>
    <w:rsid w:val="37253D9D"/>
    <w:rsid w:val="37354F53"/>
    <w:rsid w:val="37772E4A"/>
    <w:rsid w:val="378D667F"/>
    <w:rsid w:val="37BDD911"/>
    <w:rsid w:val="37D00A9F"/>
    <w:rsid w:val="380134EA"/>
    <w:rsid w:val="38064060"/>
    <w:rsid w:val="381043D8"/>
    <w:rsid w:val="388365F5"/>
    <w:rsid w:val="38F165F8"/>
    <w:rsid w:val="39060B1C"/>
    <w:rsid w:val="39340367"/>
    <w:rsid w:val="394A2698"/>
    <w:rsid w:val="394D348F"/>
    <w:rsid w:val="394E7173"/>
    <w:rsid w:val="39663BB6"/>
    <w:rsid w:val="39924C11"/>
    <w:rsid w:val="39F13F9D"/>
    <w:rsid w:val="3A5C364C"/>
    <w:rsid w:val="3A5D10CE"/>
    <w:rsid w:val="3A8936C0"/>
    <w:rsid w:val="3AAD14C4"/>
    <w:rsid w:val="3AAF461F"/>
    <w:rsid w:val="3AFFD413"/>
    <w:rsid w:val="3B3D30A6"/>
    <w:rsid w:val="3B7F8576"/>
    <w:rsid w:val="3BA4068A"/>
    <w:rsid w:val="3BD10C2F"/>
    <w:rsid w:val="3BE64649"/>
    <w:rsid w:val="3BE91DF5"/>
    <w:rsid w:val="3BFB0095"/>
    <w:rsid w:val="3BFB96C4"/>
    <w:rsid w:val="3BFFDA23"/>
    <w:rsid w:val="3C6A0FA1"/>
    <w:rsid w:val="3C7877D9"/>
    <w:rsid w:val="3C8F44D6"/>
    <w:rsid w:val="3C8F5A50"/>
    <w:rsid w:val="3C9A0678"/>
    <w:rsid w:val="3CAB80B2"/>
    <w:rsid w:val="3CB215A2"/>
    <w:rsid w:val="3D1F4D9A"/>
    <w:rsid w:val="3D782940"/>
    <w:rsid w:val="3DE6464E"/>
    <w:rsid w:val="3DF83E38"/>
    <w:rsid w:val="3DFE9AE4"/>
    <w:rsid w:val="3E136294"/>
    <w:rsid w:val="3E8B799A"/>
    <w:rsid w:val="3E8D432B"/>
    <w:rsid w:val="3EF7DCCD"/>
    <w:rsid w:val="3EFE6F93"/>
    <w:rsid w:val="3F57FC83"/>
    <w:rsid w:val="3FA53259"/>
    <w:rsid w:val="3FAF8B54"/>
    <w:rsid w:val="3FF1134E"/>
    <w:rsid w:val="3FFE36F2"/>
    <w:rsid w:val="3FFF0748"/>
    <w:rsid w:val="40040BA7"/>
    <w:rsid w:val="40654236"/>
    <w:rsid w:val="407C5E04"/>
    <w:rsid w:val="40B161A7"/>
    <w:rsid w:val="40C82570"/>
    <w:rsid w:val="40F07BFB"/>
    <w:rsid w:val="410B59C4"/>
    <w:rsid w:val="41300182"/>
    <w:rsid w:val="414534D8"/>
    <w:rsid w:val="41793A79"/>
    <w:rsid w:val="41AB2935"/>
    <w:rsid w:val="41D12F57"/>
    <w:rsid w:val="42105272"/>
    <w:rsid w:val="4222038C"/>
    <w:rsid w:val="424830B0"/>
    <w:rsid w:val="428C3F09"/>
    <w:rsid w:val="42CC20EF"/>
    <w:rsid w:val="439E2535"/>
    <w:rsid w:val="43AF149B"/>
    <w:rsid w:val="43FD73C2"/>
    <w:rsid w:val="44163FB0"/>
    <w:rsid w:val="442411A9"/>
    <w:rsid w:val="4488746D"/>
    <w:rsid w:val="44AF3E08"/>
    <w:rsid w:val="45D95AA6"/>
    <w:rsid w:val="45DE30BD"/>
    <w:rsid w:val="45E86509"/>
    <w:rsid w:val="46090480"/>
    <w:rsid w:val="460D47A6"/>
    <w:rsid w:val="46251690"/>
    <w:rsid w:val="467BE21D"/>
    <w:rsid w:val="468B1B04"/>
    <w:rsid w:val="47560ABC"/>
    <w:rsid w:val="47B16CDB"/>
    <w:rsid w:val="483C7654"/>
    <w:rsid w:val="484E4529"/>
    <w:rsid w:val="487D6C3B"/>
    <w:rsid w:val="48D05305"/>
    <w:rsid w:val="49A14A12"/>
    <w:rsid w:val="49A60C0A"/>
    <w:rsid w:val="4A5865C2"/>
    <w:rsid w:val="4A872CA4"/>
    <w:rsid w:val="4AB44FBA"/>
    <w:rsid w:val="4AE82D91"/>
    <w:rsid w:val="4B3F6129"/>
    <w:rsid w:val="4B7C0C17"/>
    <w:rsid w:val="4B8834B7"/>
    <w:rsid w:val="4BB24DCF"/>
    <w:rsid w:val="4BD0462A"/>
    <w:rsid w:val="4BDC698D"/>
    <w:rsid w:val="4C395B15"/>
    <w:rsid w:val="4D08645A"/>
    <w:rsid w:val="4D145005"/>
    <w:rsid w:val="4D3F38CB"/>
    <w:rsid w:val="4D7E6C33"/>
    <w:rsid w:val="4DF3C404"/>
    <w:rsid w:val="4E061298"/>
    <w:rsid w:val="4E555611"/>
    <w:rsid w:val="4E6D2F8E"/>
    <w:rsid w:val="4EB856B6"/>
    <w:rsid w:val="4ED46303"/>
    <w:rsid w:val="4F0945F8"/>
    <w:rsid w:val="4F3420F4"/>
    <w:rsid w:val="4FB53C4A"/>
    <w:rsid w:val="5031666D"/>
    <w:rsid w:val="51047479"/>
    <w:rsid w:val="510856D7"/>
    <w:rsid w:val="511D2CEB"/>
    <w:rsid w:val="512F5D3F"/>
    <w:rsid w:val="51557B31"/>
    <w:rsid w:val="515626A1"/>
    <w:rsid w:val="51573CC7"/>
    <w:rsid w:val="51F31300"/>
    <w:rsid w:val="523555EC"/>
    <w:rsid w:val="523957BE"/>
    <w:rsid w:val="533C4DB0"/>
    <w:rsid w:val="53AB75F7"/>
    <w:rsid w:val="53BD1BF0"/>
    <w:rsid w:val="53E101D6"/>
    <w:rsid w:val="53E406AD"/>
    <w:rsid w:val="54092EF7"/>
    <w:rsid w:val="546B6463"/>
    <w:rsid w:val="54E0147B"/>
    <w:rsid w:val="54EF4A9A"/>
    <w:rsid w:val="55311193"/>
    <w:rsid w:val="55662991"/>
    <w:rsid w:val="55737CA9"/>
    <w:rsid w:val="56000B25"/>
    <w:rsid w:val="56127877"/>
    <w:rsid w:val="5649235E"/>
    <w:rsid w:val="575426FE"/>
    <w:rsid w:val="575F53F6"/>
    <w:rsid w:val="576D7A60"/>
    <w:rsid w:val="57845462"/>
    <w:rsid w:val="57A8040F"/>
    <w:rsid w:val="57B83871"/>
    <w:rsid w:val="57BD9A36"/>
    <w:rsid w:val="57E4C8D5"/>
    <w:rsid w:val="57FE70C0"/>
    <w:rsid w:val="5825082B"/>
    <w:rsid w:val="58597CF9"/>
    <w:rsid w:val="5860518C"/>
    <w:rsid w:val="586338DB"/>
    <w:rsid w:val="587A107C"/>
    <w:rsid w:val="58905DEE"/>
    <w:rsid w:val="58E6255C"/>
    <w:rsid w:val="58E74233"/>
    <w:rsid w:val="5967512B"/>
    <w:rsid w:val="596B1A25"/>
    <w:rsid w:val="599651FE"/>
    <w:rsid w:val="59973856"/>
    <w:rsid w:val="59B7A841"/>
    <w:rsid w:val="59C77A9D"/>
    <w:rsid w:val="5A2D0C00"/>
    <w:rsid w:val="5A2D1911"/>
    <w:rsid w:val="5A782111"/>
    <w:rsid w:val="5AA602F5"/>
    <w:rsid w:val="5B1655EB"/>
    <w:rsid w:val="5BBA1969"/>
    <w:rsid w:val="5BFB5CD0"/>
    <w:rsid w:val="5C4C1A20"/>
    <w:rsid w:val="5C914DC7"/>
    <w:rsid w:val="5CA77A83"/>
    <w:rsid w:val="5CD765E0"/>
    <w:rsid w:val="5CE7B25E"/>
    <w:rsid w:val="5D2B26BB"/>
    <w:rsid w:val="5D361E7D"/>
    <w:rsid w:val="5D3D17CF"/>
    <w:rsid w:val="5D6F4B0D"/>
    <w:rsid w:val="5D805774"/>
    <w:rsid w:val="5D8366F8"/>
    <w:rsid w:val="5D861C18"/>
    <w:rsid w:val="5DBC388C"/>
    <w:rsid w:val="5E0B78D6"/>
    <w:rsid w:val="5E4755A5"/>
    <w:rsid w:val="5E4D29D3"/>
    <w:rsid w:val="5E6324D6"/>
    <w:rsid w:val="5E7E0E34"/>
    <w:rsid w:val="5F073334"/>
    <w:rsid w:val="5F1F6964"/>
    <w:rsid w:val="5F3FBCBA"/>
    <w:rsid w:val="5F3FC84C"/>
    <w:rsid w:val="5F5CD1BB"/>
    <w:rsid w:val="5F6772A6"/>
    <w:rsid w:val="5F69359F"/>
    <w:rsid w:val="5F6C789E"/>
    <w:rsid w:val="5F9167D9"/>
    <w:rsid w:val="5FBB29A6"/>
    <w:rsid w:val="5FE7FED5"/>
    <w:rsid w:val="5FFBD867"/>
    <w:rsid w:val="5FFF6D8D"/>
    <w:rsid w:val="6038787E"/>
    <w:rsid w:val="605C13A4"/>
    <w:rsid w:val="61106753"/>
    <w:rsid w:val="619459BA"/>
    <w:rsid w:val="61B256D1"/>
    <w:rsid w:val="61D64E94"/>
    <w:rsid w:val="62132D1E"/>
    <w:rsid w:val="625A6902"/>
    <w:rsid w:val="626F590C"/>
    <w:rsid w:val="62C60519"/>
    <w:rsid w:val="63077BF5"/>
    <w:rsid w:val="63922142"/>
    <w:rsid w:val="63D27965"/>
    <w:rsid w:val="63D27C36"/>
    <w:rsid w:val="63F4655B"/>
    <w:rsid w:val="64101037"/>
    <w:rsid w:val="64451C8F"/>
    <w:rsid w:val="64794AB3"/>
    <w:rsid w:val="64796191"/>
    <w:rsid w:val="64925346"/>
    <w:rsid w:val="64DEF5D4"/>
    <w:rsid w:val="65E63B9C"/>
    <w:rsid w:val="66D35B41"/>
    <w:rsid w:val="674A015A"/>
    <w:rsid w:val="67A01A11"/>
    <w:rsid w:val="682222C9"/>
    <w:rsid w:val="684D615F"/>
    <w:rsid w:val="68B22B53"/>
    <w:rsid w:val="69C31E42"/>
    <w:rsid w:val="69EFDEDF"/>
    <w:rsid w:val="6A282807"/>
    <w:rsid w:val="6A941E18"/>
    <w:rsid w:val="6AFDE4CB"/>
    <w:rsid w:val="6B3F3DA2"/>
    <w:rsid w:val="6BC96CDF"/>
    <w:rsid w:val="6C1401BC"/>
    <w:rsid w:val="6C496C32"/>
    <w:rsid w:val="6C743BC9"/>
    <w:rsid w:val="6C8B4D4A"/>
    <w:rsid w:val="6D0A36BC"/>
    <w:rsid w:val="6D0D1A0E"/>
    <w:rsid w:val="6D6D211E"/>
    <w:rsid w:val="6D94661B"/>
    <w:rsid w:val="6DB93DC2"/>
    <w:rsid w:val="6DC73EE2"/>
    <w:rsid w:val="6E35790A"/>
    <w:rsid w:val="6E480B7B"/>
    <w:rsid w:val="6E5C0F22"/>
    <w:rsid w:val="6E857CCC"/>
    <w:rsid w:val="6EDA6CF2"/>
    <w:rsid w:val="6EFED446"/>
    <w:rsid w:val="6F0E50C1"/>
    <w:rsid w:val="6F181253"/>
    <w:rsid w:val="6F339D50"/>
    <w:rsid w:val="6F6DE1DC"/>
    <w:rsid w:val="6F7223B4"/>
    <w:rsid w:val="6FDF718A"/>
    <w:rsid w:val="6FFF0860"/>
    <w:rsid w:val="6FFF57DC"/>
    <w:rsid w:val="6FFFF316"/>
    <w:rsid w:val="70AA2B4B"/>
    <w:rsid w:val="70F7358A"/>
    <w:rsid w:val="71127683"/>
    <w:rsid w:val="715419CB"/>
    <w:rsid w:val="719601DA"/>
    <w:rsid w:val="72100F31"/>
    <w:rsid w:val="722E61CB"/>
    <w:rsid w:val="725F4533"/>
    <w:rsid w:val="72697ED9"/>
    <w:rsid w:val="72BFF3D6"/>
    <w:rsid w:val="73F142B5"/>
    <w:rsid w:val="73F97DC0"/>
    <w:rsid w:val="74022E7A"/>
    <w:rsid w:val="74070182"/>
    <w:rsid w:val="7411068E"/>
    <w:rsid w:val="745A55F3"/>
    <w:rsid w:val="745B4E61"/>
    <w:rsid w:val="745E64BA"/>
    <w:rsid w:val="746D3745"/>
    <w:rsid w:val="74755BB3"/>
    <w:rsid w:val="7481231B"/>
    <w:rsid w:val="75DF391A"/>
    <w:rsid w:val="75F687B8"/>
    <w:rsid w:val="75FFB1CA"/>
    <w:rsid w:val="761950E1"/>
    <w:rsid w:val="76C8536C"/>
    <w:rsid w:val="77A158A5"/>
    <w:rsid w:val="77DF7227"/>
    <w:rsid w:val="77E9183C"/>
    <w:rsid w:val="77F272BB"/>
    <w:rsid w:val="77FA6244"/>
    <w:rsid w:val="77FB529A"/>
    <w:rsid w:val="77FFAFEA"/>
    <w:rsid w:val="77FFC661"/>
    <w:rsid w:val="78060214"/>
    <w:rsid w:val="789D678E"/>
    <w:rsid w:val="78AFAAAD"/>
    <w:rsid w:val="78B79030"/>
    <w:rsid w:val="78CF13D6"/>
    <w:rsid w:val="78DFF7D6"/>
    <w:rsid w:val="78F62113"/>
    <w:rsid w:val="78FD9D96"/>
    <w:rsid w:val="795F1A07"/>
    <w:rsid w:val="79D51B05"/>
    <w:rsid w:val="79FF3BCA"/>
    <w:rsid w:val="79FFF4F2"/>
    <w:rsid w:val="7A1D1766"/>
    <w:rsid w:val="7A3E06C9"/>
    <w:rsid w:val="7AA240DD"/>
    <w:rsid w:val="7AA6573B"/>
    <w:rsid w:val="7AD2AB7B"/>
    <w:rsid w:val="7B0411AF"/>
    <w:rsid w:val="7B2FDE3F"/>
    <w:rsid w:val="7B6D276E"/>
    <w:rsid w:val="7B773A11"/>
    <w:rsid w:val="7B96553F"/>
    <w:rsid w:val="7BD2AF0C"/>
    <w:rsid w:val="7BDCD246"/>
    <w:rsid w:val="7BE8E7FC"/>
    <w:rsid w:val="7BF55F40"/>
    <w:rsid w:val="7BFE81C4"/>
    <w:rsid w:val="7C7FFA88"/>
    <w:rsid w:val="7CE34539"/>
    <w:rsid w:val="7D073BAD"/>
    <w:rsid w:val="7D3B2FB0"/>
    <w:rsid w:val="7D72DBEA"/>
    <w:rsid w:val="7D7F2C9B"/>
    <w:rsid w:val="7DBFE6DF"/>
    <w:rsid w:val="7DC7FADE"/>
    <w:rsid w:val="7DD71D76"/>
    <w:rsid w:val="7DFEF5FF"/>
    <w:rsid w:val="7DFF33B4"/>
    <w:rsid w:val="7DFF7CCF"/>
    <w:rsid w:val="7DFFD8B9"/>
    <w:rsid w:val="7EBF6CC5"/>
    <w:rsid w:val="7EDFD2B8"/>
    <w:rsid w:val="7EEE0B7E"/>
    <w:rsid w:val="7EEF35DD"/>
    <w:rsid w:val="7EF42A2E"/>
    <w:rsid w:val="7EFF379C"/>
    <w:rsid w:val="7F357330"/>
    <w:rsid w:val="7F57729E"/>
    <w:rsid w:val="7F5EF98B"/>
    <w:rsid w:val="7F7F3F36"/>
    <w:rsid w:val="7F855408"/>
    <w:rsid w:val="7F8E06CB"/>
    <w:rsid w:val="7FA83B03"/>
    <w:rsid w:val="7FB39F35"/>
    <w:rsid w:val="7FDD882A"/>
    <w:rsid w:val="7FE495A1"/>
    <w:rsid w:val="7FEA5922"/>
    <w:rsid w:val="7FF35647"/>
    <w:rsid w:val="7FF63652"/>
    <w:rsid w:val="7FFB9F09"/>
    <w:rsid w:val="7FFC1E30"/>
    <w:rsid w:val="7FFF55AA"/>
    <w:rsid w:val="89BF9EE0"/>
    <w:rsid w:val="8FCA5CC5"/>
    <w:rsid w:val="91FB681E"/>
    <w:rsid w:val="97DB041F"/>
    <w:rsid w:val="9CD4D85C"/>
    <w:rsid w:val="9DFF38A4"/>
    <w:rsid w:val="9EB2F283"/>
    <w:rsid w:val="9F4F02C8"/>
    <w:rsid w:val="9F57BBF0"/>
    <w:rsid w:val="9FEE79FC"/>
    <w:rsid w:val="9FFF9142"/>
    <w:rsid w:val="A7DC868D"/>
    <w:rsid w:val="ABAE1B84"/>
    <w:rsid w:val="ABDD54C2"/>
    <w:rsid w:val="B13FAB23"/>
    <w:rsid w:val="B4F2DBF0"/>
    <w:rsid w:val="B77D7188"/>
    <w:rsid w:val="B77EB923"/>
    <w:rsid w:val="B797F8B3"/>
    <w:rsid w:val="BA7FF2B6"/>
    <w:rsid w:val="BADECD69"/>
    <w:rsid w:val="BAF1FC37"/>
    <w:rsid w:val="BAF7204D"/>
    <w:rsid w:val="BBAC73C1"/>
    <w:rsid w:val="BCF7587E"/>
    <w:rsid w:val="BDBBA121"/>
    <w:rsid w:val="BDCFDAFB"/>
    <w:rsid w:val="BDE74FE6"/>
    <w:rsid w:val="BDFE7035"/>
    <w:rsid w:val="BE7D95BD"/>
    <w:rsid w:val="BEBF1C20"/>
    <w:rsid w:val="BF9F970C"/>
    <w:rsid w:val="BFECFD67"/>
    <w:rsid w:val="BFFE5963"/>
    <w:rsid w:val="BFFE7931"/>
    <w:rsid w:val="C6DF65C2"/>
    <w:rsid w:val="CCB7C344"/>
    <w:rsid w:val="D6FCC2A4"/>
    <w:rsid w:val="D7598AA5"/>
    <w:rsid w:val="D7B85320"/>
    <w:rsid w:val="DB0EDA01"/>
    <w:rsid w:val="DB1D401B"/>
    <w:rsid w:val="DCBF2E41"/>
    <w:rsid w:val="DDFBE2A0"/>
    <w:rsid w:val="DF4B68A2"/>
    <w:rsid w:val="DF9FF0AB"/>
    <w:rsid w:val="DFB6F730"/>
    <w:rsid w:val="DFBF92CD"/>
    <w:rsid w:val="DFEC1814"/>
    <w:rsid w:val="E2DAE110"/>
    <w:rsid w:val="E5ED9453"/>
    <w:rsid w:val="E5FCDFF7"/>
    <w:rsid w:val="E77B24B5"/>
    <w:rsid w:val="E7DBB398"/>
    <w:rsid w:val="E947F41A"/>
    <w:rsid w:val="E9FDD427"/>
    <w:rsid w:val="E9FF795D"/>
    <w:rsid w:val="EB8E58A4"/>
    <w:rsid w:val="EBBF63CF"/>
    <w:rsid w:val="EBCD4E17"/>
    <w:rsid w:val="EBFAD515"/>
    <w:rsid w:val="EC37E303"/>
    <w:rsid w:val="ECDC5BD4"/>
    <w:rsid w:val="ED7AD624"/>
    <w:rsid w:val="EDF915EA"/>
    <w:rsid w:val="EEDFA268"/>
    <w:rsid w:val="EEFD62A2"/>
    <w:rsid w:val="EF3B016A"/>
    <w:rsid w:val="EF563CB4"/>
    <w:rsid w:val="EF76E6CA"/>
    <w:rsid w:val="EF9F5672"/>
    <w:rsid w:val="EFB783EA"/>
    <w:rsid w:val="EFDBF3B7"/>
    <w:rsid w:val="EFEEF454"/>
    <w:rsid w:val="F1B7D2D1"/>
    <w:rsid w:val="F2DE1FFC"/>
    <w:rsid w:val="F2FAA340"/>
    <w:rsid w:val="F37FEF31"/>
    <w:rsid w:val="F3F9901F"/>
    <w:rsid w:val="F3FF5828"/>
    <w:rsid w:val="F57F2F47"/>
    <w:rsid w:val="F6FB428F"/>
    <w:rsid w:val="F6FF1894"/>
    <w:rsid w:val="F75F9EE8"/>
    <w:rsid w:val="F7756E07"/>
    <w:rsid w:val="F7B7A699"/>
    <w:rsid w:val="F7D3C17C"/>
    <w:rsid w:val="F7DB89C7"/>
    <w:rsid w:val="F7FA0F26"/>
    <w:rsid w:val="F7FD1BED"/>
    <w:rsid w:val="F87E325A"/>
    <w:rsid w:val="F8FBF54D"/>
    <w:rsid w:val="F9BF6EA3"/>
    <w:rsid w:val="F9D7B39C"/>
    <w:rsid w:val="F9E7CFD4"/>
    <w:rsid w:val="FA5EDDF4"/>
    <w:rsid w:val="FA7B6C19"/>
    <w:rsid w:val="FABCE628"/>
    <w:rsid w:val="FAD8033D"/>
    <w:rsid w:val="FAEE4D9E"/>
    <w:rsid w:val="FAF72A98"/>
    <w:rsid w:val="FAFEECEC"/>
    <w:rsid w:val="FB3FE641"/>
    <w:rsid w:val="FB7F35A1"/>
    <w:rsid w:val="FB8F305F"/>
    <w:rsid w:val="FBD83E8E"/>
    <w:rsid w:val="FBEEB1F6"/>
    <w:rsid w:val="FBF71476"/>
    <w:rsid w:val="FBFF615F"/>
    <w:rsid w:val="FBFF9933"/>
    <w:rsid w:val="FBFFF29A"/>
    <w:rsid w:val="FC626F7E"/>
    <w:rsid w:val="FC77EAC2"/>
    <w:rsid w:val="FCBF2C94"/>
    <w:rsid w:val="FD7A84C0"/>
    <w:rsid w:val="FDDD48CE"/>
    <w:rsid w:val="FE764C91"/>
    <w:rsid w:val="FECF13FE"/>
    <w:rsid w:val="FEDEDF6F"/>
    <w:rsid w:val="FEEE49DA"/>
    <w:rsid w:val="FEFD68D5"/>
    <w:rsid w:val="FF3CAC31"/>
    <w:rsid w:val="FF4F4D57"/>
    <w:rsid w:val="FF5F4D0C"/>
    <w:rsid w:val="FF6D08A1"/>
    <w:rsid w:val="FF7FA048"/>
    <w:rsid w:val="FFAF93AE"/>
    <w:rsid w:val="FFBB619D"/>
    <w:rsid w:val="FFBF7654"/>
    <w:rsid w:val="FFBFBA04"/>
    <w:rsid w:val="FFCFE3C5"/>
    <w:rsid w:val="FFD55014"/>
    <w:rsid w:val="FFDA613D"/>
    <w:rsid w:val="FFDD487B"/>
    <w:rsid w:val="FFE35636"/>
    <w:rsid w:val="FFF2AF68"/>
    <w:rsid w:val="FFF34F7C"/>
    <w:rsid w:val="FFF70307"/>
    <w:rsid w:val="FFF94B16"/>
    <w:rsid w:val="FFFDF35F"/>
    <w:rsid w:val="FFFF986C"/>
    <w:rsid w:val="FFFFD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9"/>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41"/>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26">
    <w:name w:val="Default Paragraph Font"/>
    <w:unhideWhenUsed/>
    <w:qFormat/>
    <w:uiPriority w:val="1"/>
  </w:style>
  <w:style w:type="table" w:default="1" w:styleId="29">
    <w:name w:val="Normal Table"/>
    <w:unhideWhenUsed/>
    <w:qFormat/>
    <w:uiPriority w:val="99"/>
    <w:tblPr>
      <w:tblLayout w:type="fixed"/>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cstheme="minorHAnsi"/>
      <w:sz w:val="18"/>
      <w:szCs w:val="18"/>
    </w:rPr>
  </w:style>
  <w:style w:type="paragraph" w:styleId="7">
    <w:name w:val="Normal Indent"/>
    <w:basedOn w:val="1"/>
    <w:link w:val="34"/>
    <w:qFormat/>
    <w:uiPriority w:val="0"/>
    <w:pPr>
      <w:widowControl/>
      <w:spacing w:line="240" w:lineRule="auto"/>
      <w:ind w:firstLine="420" w:firstLineChars="200"/>
      <w:jc w:val="left"/>
    </w:pPr>
    <w:rPr>
      <w:szCs w:val="24"/>
    </w:rPr>
  </w:style>
  <w:style w:type="paragraph" w:styleId="8">
    <w:name w:val="Document Map"/>
    <w:basedOn w:val="1"/>
    <w:link w:val="36"/>
    <w:unhideWhenUsed/>
    <w:qFormat/>
    <w:uiPriority w:val="99"/>
    <w:rPr>
      <w:rFonts w:ascii="宋体" w:eastAsia="宋体"/>
      <w:sz w:val="18"/>
      <w:szCs w:val="18"/>
    </w:rPr>
  </w:style>
  <w:style w:type="paragraph" w:styleId="9">
    <w:name w:val="annotation text"/>
    <w:basedOn w:val="1"/>
    <w:semiHidden/>
    <w:unhideWhenUsed/>
    <w:qFormat/>
    <w:uiPriority w:val="99"/>
    <w:pPr>
      <w:jc w:val="left"/>
    </w:pPr>
  </w:style>
  <w:style w:type="paragraph" w:styleId="10">
    <w:name w:val="Body Text Indent"/>
    <w:basedOn w:val="1"/>
    <w:next w:val="1"/>
    <w:qFormat/>
    <w:uiPriority w:val="0"/>
    <w:pPr>
      <w:spacing w:after="120" w:line="240" w:lineRule="auto"/>
      <w:ind w:left="420" w:leftChars="200"/>
    </w:pPr>
    <w:rPr>
      <w:rFonts w:ascii="Times New Roman" w:hAnsi="Times New Roman" w:eastAsia="宋体" w:cs="Times New Roman"/>
      <w:szCs w:val="24"/>
    </w:rPr>
  </w:style>
  <w:style w:type="paragraph" w:styleId="11">
    <w:name w:val="toc 5"/>
    <w:basedOn w:val="1"/>
    <w:next w:val="1"/>
    <w:unhideWhenUsed/>
    <w:qFormat/>
    <w:uiPriority w:val="39"/>
    <w:pPr>
      <w:ind w:left="840"/>
      <w:jc w:val="left"/>
    </w:pPr>
    <w:rPr>
      <w:rFonts w:cstheme="minorHAnsi"/>
      <w:sz w:val="18"/>
      <w:szCs w:val="18"/>
    </w:rPr>
  </w:style>
  <w:style w:type="paragraph" w:styleId="12">
    <w:name w:val="toc 3"/>
    <w:basedOn w:val="1"/>
    <w:next w:val="1"/>
    <w:unhideWhenUsed/>
    <w:qFormat/>
    <w:uiPriority w:val="39"/>
    <w:pPr>
      <w:ind w:left="420"/>
      <w:jc w:val="left"/>
    </w:pPr>
    <w:rPr>
      <w:rFonts w:cstheme="minorHAnsi"/>
      <w:i/>
      <w:iCs/>
      <w:sz w:val="20"/>
      <w:szCs w:val="20"/>
    </w:rPr>
  </w:style>
  <w:style w:type="paragraph" w:styleId="13">
    <w:name w:val="toc 8"/>
    <w:basedOn w:val="1"/>
    <w:next w:val="1"/>
    <w:unhideWhenUsed/>
    <w:qFormat/>
    <w:uiPriority w:val="39"/>
    <w:pPr>
      <w:ind w:left="1470"/>
      <w:jc w:val="left"/>
    </w:pPr>
    <w:rPr>
      <w:rFonts w:cstheme="minorHAnsi"/>
      <w:sz w:val="18"/>
      <w:szCs w:val="18"/>
    </w:rPr>
  </w:style>
  <w:style w:type="paragraph" w:styleId="14">
    <w:name w:val="Date"/>
    <w:basedOn w:val="1"/>
    <w:next w:val="1"/>
    <w:link w:val="33"/>
    <w:unhideWhenUsed/>
    <w:qFormat/>
    <w:uiPriority w:val="99"/>
    <w:pPr>
      <w:ind w:left="100" w:leftChars="2500"/>
    </w:pPr>
  </w:style>
  <w:style w:type="paragraph" w:styleId="15">
    <w:name w:val="Balloon Text"/>
    <w:basedOn w:val="1"/>
    <w:link w:val="42"/>
    <w:unhideWhenUsed/>
    <w:qFormat/>
    <w:uiPriority w:val="99"/>
    <w:pPr>
      <w:spacing w:line="240" w:lineRule="auto"/>
    </w:pPr>
    <w:rPr>
      <w:sz w:val="18"/>
      <w:szCs w:val="18"/>
    </w:r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Body Text First Indent 2"/>
    <w:basedOn w:val="10"/>
    <w:qFormat/>
    <w:uiPriority w:val="0"/>
    <w:pPr>
      <w:widowControl w:val="0"/>
      <w:ind w:firstLine="420"/>
      <w:jc w:val="both"/>
    </w:pPr>
    <w:rPr>
      <w:rFonts w:ascii="Times New Roman" w:hAnsi="Times New Roman" w:eastAsia="仿宋_GB2312" w:cs="Times New Roman"/>
      <w:kern w:val="1"/>
      <w:sz w:val="32"/>
      <w:szCs w:val="24"/>
      <w:lang w:val="en-US" w:eastAsia="zh-CN" w:bidi="ar-SA"/>
    </w:rPr>
  </w:style>
  <w:style w:type="paragraph" w:styleId="18">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before="120" w:after="120"/>
      <w:jc w:val="left"/>
    </w:pPr>
    <w:rPr>
      <w:rFonts w:cstheme="minorHAnsi"/>
      <w:b/>
      <w:bCs/>
      <w:caps/>
      <w:sz w:val="20"/>
      <w:szCs w:val="20"/>
    </w:rPr>
  </w:style>
  <w:style w:type="paragraph" w:styleId="20">
    <w:name w:val="toc 4"/>
    <w:basedOn w:val="1"/>
    <w:next w:val="1"/>
    <w:unhideWhenUsed/>
    <w:qFormat/>
    <w:uiPriority w:val="39"/>
    <w:pPr>
      <w:ind w:left="630"/>
      <w:jc w:val="left"/>
    </w:pPr>
    <w:rPr>
      <w:rFonts w:cstheme="minorHAnsi"/>
      <w:sz w:val="18"/>
      <w:szCs w:val="18"/>
    </w:rPr>
  </w:style>
  <w:style w:type="paragraph" w:styleId="21">
    <w:name w:val="toc 6"/>
    <w:basedOn w:val="1"/>
    <w:next w:val="1"/>
    <w:unhideWhenUsed/>
    <w:qFormat/>
    <w:uiPriority w:val="39"/>
    <w:pPr>
      <w:ind w:left="1050"/>
      <w:jc w:val="left"/>
    </w:pPr>
    <w:rPr>
      <w:rFonts w:cstheme="minorHAnsi"/>
      <w:sz w:val="18"/>
      <w:szCs w:val="18"/>
    </w:rPr>
  </w:style>
  <w:style w:type="paragraph" w:styleId="22">
    <w:name w:val="toc 2"/>
    <w:basedOn w:val="1"/>
    <w:next w:val="1"/>
    <w:unhideWhenUsed/>
    <w:qFormat/>
    <w:uiPriority w:val="39"/>
    <w:pPr>
      <w:ind w:left="210"/>
      <w:jc w:val="left"/>
    </w:pPr>
    <w:rPr>
      <w:rFonts w:cstheme="minorHAnsi"/>
      <w:smallCaps/>
      <w:sz w:val="20"/>
      <w:szCs w:val="20"/>
    </w:rPr>
  </w:style>
  <w:style w:type="paragraph" w:styleId="23">
    <w:name w:val="toc 9"/>
    <w:basedOn w:val="1"/>
    <w:next w:val="1"/>
    <w:unhideWhenUsed/>
    <w:qFormat/>
    <w:uiPriority w:val="39"/>
    <w:pPr>
      <w:ind w:left="1680"/>
      <w:jc w:val="left"/>
    </w:pPr>
    <w:rPr>
      <w:rFonts w:cstheme="minorHAnsi"/>
      <w:sz w:val="18"/>
      <w:szCs w:val="18"/>
    </w:rPr>
  </w:style>
  <w:style w:type="paragraph" w:styleId="2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5">
    <w:name w:val="Title"/>
    <w:basedOn w:val="1"/>
    <w:next w:val="1"/>
    <w:link w:val="37"/>
    <w:qFormat/>
    <w:uiPriority w:val="0"/>
    <w:pPr>
      <w:spacing w:before="240" w:after="60"/>
      <w:jc w:val="center"/>
      <w:outlineLvl w:val="0"/>
    </w:pPr>
    <w:rPr>
      <w:rFonts w:eastAsia="宋体" w:asciiTheme="majorHAnsi" w:hAnsiTheme="majorHAnsi" w:cstheme="majorBidi"/>
      <w:b/>
      <w:bCs/>
      <w:sz w:val="32"/>
      <w:szCs w:val="32"/>
    </w:rPr>
  </w:style>
  <w:style w:type="character" w:styleId="27">
    <w:name w:val="Strong"/>
    <w:basedOn w:val="26"/>
    <w:qFormat/>
    <w:uiPriority w:val="22"/>
    <w:rPr>
      <w:b/>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table" w:styleId="30">
    <w:name w:val="Table Grid"/>
    <w:basedOn w:val="2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31">
    <w:name w:val="页眉 Char"/>
    <w:basedOn w:val="26"/>
    <w:link w:val="18"/>
    <w:semiHidden/>
    <w:qFormat/>
    <w:uiPriority w:val="99"/>
    <w:rPr>
      <w:sz w:val="18"/>
      <w:szCs w:val="18"/>
    </w:rPr>
  </w:style>
  <w:style w:type="character" w:customStyle="1" w:styleId="32">
    <w:name w:val="页脚 Char"/>
    <w:basedOn w:val="26"/>
    <w:link w:val="16"/>
    <w:qFormat/>
    <w:uiPriority w:val="99"/>
    <w:rPr>
      <w:sz w:val="18"/>
      <w:szCs w:val="18"/>
    </w:rPr>
  </w:style>
  <w:style w:type="character" w:customStyle="1" w:styleId="33">
    <w:name w:val="日期 Char"/>
    <w:basedOn w:val="26"/>
    <w:link w:val="14"/>
    <w:semiHidden/>
    <w:qFormat/>
    <w:uiPriority w:val="99"/>
  </w:style>
  <w:style w:type="character" w:customStyle="1" w:styleId="34">
    <w:name w:val="正文缩进 Char"/>
    <w:link w:val="7"/>
    <w:qFormat/>
    <w:uiPriority w:val="0"/>
    <w:rPr>
      <w:szCs w:val="24"/>
    </w:rPr>
  </w:style>
  <w:style w:type="character" w:customStyle="1" w:styleId="35">
    <w:name w:val="标题 3 Char Char2"/>
    <w:qFormat/>
    <w:uiPriority w:val="0"/>
    <w:rPr>
      <w:rFonts w:eastAsia="华文仿宋"/>
      <w:b/>
      <w:bCs/>
      <w:kern w:val="2"/>
      <w:sz w:val="28"/>
      <w:szCs w:val="32"/>
      <w:lang w:val="en-US" w:eastAsia="zh-CN" w:bidi="ar-SA"/>
    </w:rPr>
  </w:style>
  <w:style w:type="character" w:customStyle="1" w:styleId="36">
    <w:name w:val="文档结构图 Char"/>
    <w:basedOn w:val="26"/>
    <w:link w:val="8"/>
    <w:semiHidden/>
    <w:qFormat/>
    <w:uiPriority w:val="99"/>
    <w:rPr>
      <w:rFonts w:ascii="宋体" w:eastAsia="宋体"/>
      <w:sz w:val="18"/>
      <w:szCs w:val="18"/>
    </w:rPr>
  </w:style>
  <w:style w:type="character" w:customStyle="1" w:styleId="37">
    <w:name w:val="标题 Char"/>
    <w:basedOn w:val="26"/>
    <w:link w:val="25"/>
    <w:qFormat/>
    <w:uiPriority w:val="0"/>
    <w:rPr>
      <w:rFonts w:eastAsia="宋体" w:asciiTheme="majorHAnsi" w:hAnsiTheme="majorHAnsi" w:cstheme="majorBidi"/>
      <w:b/>
      <w:bCs/>
      <w:sz w:val="32"/>
      <w:szCs w:val="32"/>
    </w:rPr>
  </w:style>
  <w:style w:type="character" w:customStyle="1" w:styleId="38">
    <w:name w:val="标题 1 Char"/>
    <w:basedOn w:val="26"/>
    <w:link w:val="2"/>
    <w:qFormat/>
    <w:uiPriority w:val="9"/>
    <w:rPr>
      <w:b/>
      <w:bCs/>
      <w:kern w:val="44"/>
      <w:sz w:val="44"/>
      <w:szCs w:val="44"/>
    </w:rPr>
  </w:style>
  <w:style w:type="character" w:customStyle="1" w:styleId="39">
    <w:name w:val="标题 2 Char"/>
    <w:basedOn w:val="26"/>
    <w:link w:val="3"/>
    <w:qFormat/>
    <w:uiPriority w:val="9"/>
    <w:rPr>
      <w:rFonts w:asciiTheme="majorHAnsi" w:hAnsiTheme="majorHAnsi" w:eastAsiaTheme="majorEastAsia" w:cstheme="majorBidi"/>
      <w:b/>
      <w:bCs/>
      <w:sz w:val="32"/>
      <w:szCs w:val="32"/>
    </w:rPr>
  </w:style>
  <w:style w:type="character" w:customStyle="1" w:styleId="40">
    <w:name w:val="标题 3 Char"/>
    <w:basedOn w:val="26"/>
    <w:link w:val="4"/>
    <w:qFormat/>
    <w:uiPriority w:val="9"/>
    <w:rPr>
      <w:b/>
      <w:bCs/>
      <w:sz w:val="32"/>
      <w:szCs w:val="32"/>
    </w:rPr>
  </w:style>
  <w:style w:type="character" w:customStyle="1" w:styleId="41">
    <w:name w:val="标题 4 Char"/>
    <w:basedOn w:val="26"/>
    <w:link w:val="5"/>
    <w:qFormat/>
    <w:uiPriority w:val="9"/>
    <w:rPr>
      <w:rFonts w:asciiTheme="majorHAnsi" w:hAnsiTheme="majorHAnsi" w:eastAsiaTheme="majorEastAsia" w:cstheme="majorBidi"/>
      <w:b/>
      <w:bCs/>
      <w:sz w:val="28"/>
      <w:szCs w:val="28"/>
    </w:rPr>
  </w:style>
  <w:style w:type="character" w:customStyle="1" w:styleId="42">
    <w:name w:val="批注框文本 Char"/>
    <w:basedOn w:val="26"/>
    <w:link w:val="15"/>
    <w:semiHidden/>
    <w:qFormat/>
    <w:uiPriority w:val="99"/>
    <w:rPr>
      <w:rFonts w:asciiTheme="minorHAnsi" w:hAnsiTheme="minorHAnsi" w:eastAsiaTheme="minorEastAsia" w:cstheme="minorBidi"/>
      <w:kern w:val="2"/>
      <w:sz w:val="18"/>
      <w:szCs w:val="18"/>
    </w:rPr>
  </w:style>
  <w:style w:type="paragraph" w:customStyle="1" w:styleId="4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4">
    <w:name w:val="_Style 1"/>
    <w:basedOn w:val="1"/>
    <w:qFormat/>
    <w:uiPriority w:val="34"/>
    <w:pPr>
      <w:ind w:firstLine="420" w:firstLineChars="200"/>
    </w:pPr>
  </w:style>
  <w:style w:type="paragraph" w:customStyle="1" w:styleId="45">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paragraph" w:customStyle="1" w:styleId="46">
    <w:name w:val="Table Text"/>
    <w:basedOn w:val="1"/>
    <w:semiHidden/>
    <w:qFormat/>
    <w:uiPriority w:val="0"/>
    <w:rPr>
      <w:rFonts w:ascii="宋体" w:hAnsi="宋体" w:cs="宋体"/>
      <w:sz w:val="33"/>
      <w:szCs w:val="33"/>
      <w:lang w:eastAsia="en-US"/>
    </w:rPr>
  </w:style>
  <w:style w:type="table" w:customStyle="1" w:styleId="47">
    <w:name w:val="网格型2"/>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48">
    <w:name w:val="font21"/>
    <w:basedOn w:val="26"/>
    <w:qFormat/>
    <w:uiPriority w:val="0"/>
    <w:rPr>
      <w:rFonts w:hint="default" w:ascii="Times New Roman" w:hAnsi="Times New Roman" w:cs="Times New Roman"/>
      <w:color w:val="000000"/>
      <w:sz w:val="24"/>
      <w:szCs w:val="24"/>
      <w:u w:val="none"/>
    </w:rPr>
  </w:style>
  <w:style w:type="character" w:customStyle="1" w:styleId="49">
    <w:name w:val="font11"/>
    <w:basedOn w:val="26"/>
    <w:qFormat/>
    <w:uiPriority w:val="0"/>
    <w:rPr>
      <w:rFonts w:hint="eastAsia" w:ascii="仿宋" w:hAnsi="仿宋" w:eastAsia="仿宋" w:cs="仿宋"/>
      <w:color w:val="000000"/>
      <w:sz w:val="24"/>
      <w:szCs w:val="24"/>
      <w:u w:val="none"/>
    </w:rPr>
  </w:style>
  <w:style w:type="character" w:customStyle="1" w:styleId="50">
    <w:name w:val="font31"/>
    <w:basedOn w:val="26"/>
    <w:qFormat/>
    <w:uiPriority w:val="0"/>
    <w:rPr>
      <w:rFonts w:hint="eastAsia" w:ascii="宋体" w:hAnsi="宋体" w:eastAsia="宋体" w:cs="宋体"/>
      <w:color w:val="000000"/>
      <w:sz w:val="24"/>
      <w:szCs w:val="24"/>
      <w:u w:val="none"/>
    </w:rPr>
  </w:style>
  <w:style w:type="table" w:customStyle="1" w:styleId="51">
    <w:name w:val="Table Normal"/>
    <w:unhideWhenUsed/>
    <w:qFormat/>
    <w:uiPriority w:val="0"/>
    <w:tblPr>
      <w:tblLayout w:type="fixed"/>
      <w:tblCellMar>
        <w:top w:w="0" w:type="dxa"/>
        <w:left w:w="0" w:type="dxa"/>
        <w:bottom w:w="0" w:type="dxa"/>
        <w:right w:w="0" w:type="dxa"/>
      </w:tblCellMar>
    </w:tblPr>
  </w:style>
  <w:style w:type="paragraph" w:customStyle="1" w:styleId="52">
    <w:name w:val="Body text|1"/>
    <w:basedOn w:val="1"/>
    <w:qFormat/>
    <w:uiPriority w:val="0"/>
    <w:pPr>
      <w:spacing w:line="360" w:lineRule="auto"/>
      <w:ind w:firstLine="400"/>
    </w:pPr>
    <w:rPr>
      <w:rFonts w:ascii="宋体" w:hAnsi="宋体" w:cs="宋体"/>
      <w:sz w:val="20"/>
      <w:szCs w:val="20"/>
      <w:lang w:val="zh-CN" w:bidi="zh-CN"/>
    </w:rPr>
  </w:style>
  <w:style w:type="character" w:customStyle="1" w:styleId="53">
    <w:name w:val="font01"/>
    <w:basedOn w:val="26"/>
    <w:qFormat/>
    <w:uiPriority w:val="0"/>
    <w:rPr>
      <w:rFonts w:hint="eastAsia" w:ascii="宋体" w:hAnsi="宋体" w:eastAsia="宋体" w:cs="宋体"/>
      <w:color w:val="000000"/>
      <w:sz w:val="24"/>
      <w:szCs w:val="24"/>
      <w:u w:val="none"/>
    </w:rPr>
  </w:style>
  <w:style w:type="paragraph" w:customStyle="1" w:styleId="5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wmf"/><Relationship Id="rId14" Type="http://schemas.openxmlformats.org/officeDocument/2006/relationships/image" Target="media/image2.wmf"/><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228</Pages>
  <Words>10278</Words>
  <Characters>11681</Characters>
  <Lines>595</Lines>
  <Paragraphs>167</Paragraphs>
  <TotalTime>66</TotalTime>
  <ScaleCrop>false</ScaleCrop>
  <LinksUpToDate>false</LinksUpToDate>
  <CharactersWithSpaces>12169</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2017-10-25T01:50:00Z</dcterms:created>
  <dc:creator>ms-zb</dc:creator>
  <cp:lastModifiedBy>Zhl</cp:lastModifiedBy>
  <cp:lastPrinted>2019-07-20T02:32:00Z</cp:lastPrinted>
  <dcterms:modified xsi:type="dcterms:W3CDTF">2026-07-31T10:43:29Z</dcterms:modified>
  <cp:revision>1121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79159E253E8042C5B1230ED54D0CCE58_13</vt:lpwstr>
  </property>
  <property fmtid="{D5CDD505-2E9C-101B-9397-08002B2CF9AE}" pid="4" name="KSOTemplateDocerSaveRecord">
    <vt:lpwstr>eyJoZGlkIjoiMTBhNmQyYWU4YWIyMDQ3YmM5ZDc4NDJiZTcwMDQzNjYiLCJ1c2VySWQiOiIyOTY4NDEzMzkifQ==</vt:lpwstr>
  </property>
</Properties>
</file>