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新疆维吾尔自治区塔里木河流域管理局驻乌鲁木齐办事处</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pStyle w:val="16"/>
        <w:spacing w:line="560" w:lineRule="exact"/>
        <w:ind w:firstLine="560"/>
        <w:rPr>
          <w:rFonts w:hint="eastAsia" w:ascii="仿宋_GB2312" w:hAnsi="Times New Roman" w:eastAsia="仿宋_GB2312" w:cs="Times New Roman"/>
          <w:color w:val="auto"/>
          <w:kern w:val="2"/>
          <w:sz w:val="32"/>
          <w:szCs w:val="32"/>
          <w:highlight w:val="none"/>
          <w:lang w:val="en-US" w:eastAsia="zh-CN" w:bidi="ar-SA"/>
        </w:rPr>
      </w:pPr>
      <w:bookmarkStart w:id="4" w:name="_Toc31238"/>
      <w:bookmarkStart w:id="5" w:name="_Toc2151"/>
      <w:r>
        <w:rPr>
          <w:rFonts w:hint="eastAsia" w:ascii="仿宋_GB2312" w:hAnsi="Times New Roman" w:eastAsia="仿宋_GB2312" w:cs="Times New Roman"/>
          <w:color w:val="auto"/>
          <w:kern w:val="2"/>
          <w:sz w:val="32"/>
          <w:szCs w:val="32"/>
          <w:highlight w:val="none"/>
          <w:lang w:val="en-US" w:eastAsia="zh-CN" w:bidi="ar-SA"/>
        </w:rPr>
        <w:t>塔管局驻乌办事处主要职能是为塔管局在乌鲁木齐与自治区及相关厅、局、委、办的沟通联络，信息传递、公文报送、公务接待，在乌鲁木齐市召开会议的会议筹备和会务工作及局机关、局属单位赴乌鲁木齐出差人员的住宿、交通、办公等服务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新疆维吾尔自治区塔里木河流域管理局驻乌鲁木齐办事处</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9</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7</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eastAsia="zh-CN"/>
        </w:rPr>
        <w:t>科</w:t>
      </w:r>
      <w:r>
        <w:rPr>
          <w:rFonts w:hint="eastAsia" w:ascii="仿宋_GB2312" w:hAnsi="黑体" w:eastAsia="仿宋_GB2312" w:cs="宋体"/>
          <w:bCs/>
          <w:kern w:val="0"/>
          <w:sz w:val="32"/>
          <w:szCs w:val="32"/>
        </w:rPr>
        <w:t>室，分别是：财务科、综合科</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141.61万元，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141.61万元，使用非财政拨款结余0.00万元，年初结转和结余0.00万元。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141.61万元，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141.61万元，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ind w:firstLine="640" w:firstLineChars="200"/>
        <w:rPr>
          <w:rFonts w:ascii="仿宋_GB2312" w:eastAsia="仿宋_GB2312"/>
          <w:sz w:val="32"/>
          <w:szCs w:val="32"/>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增加5.88万元</w:t>
      </w:r>
      <w:r>
        <w:rPr>
          <w:rFonts w:hint="eastAsia" w:ascii="仿宋_GB2312" w:eastAsia="仿宋_GB2312"/>
          <w:color w:val="auto"/>
          <w:spacing w:val="0"/>
          <w:sz w:val="32"/>
          <w:szCs w:val="32"/>
          <w:highlight w:val="none"/>
          <w:lang w:eastAsia="zh-CN"/>
        </w:rPr>
        <w:t>，增长4.33%，主要原因是：</w:t>
      </w:r>
      <w:r>
        <w:rPr>
          <w:rFonts w:hint="eastAsia" w:ascii="仿宋_GB2312" w:eastAsia="仿宋_GB2312"/>
          <w:sz w:val="32"/>
          <w:szCs w:val="32"/>
        </w:rPr>
        <w:t>本年调增基础工资和基础绩效奖、人员职务职级晋升工资上调、社保基数调整、公积金基数调整等增加。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141.61</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141.61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本年支出141.61万元，其中：基本支出141.61万元，占100.00%；项目支出0.00万元，占0.00%；上缴上级支出0.00万元，占0.00%；经营支出0.00万元，占0.00%；对附属单位补助支出0.00万元，占0.00%。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141.61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141.61</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141.61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141.61</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增加31.01万元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增长28.03%,</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本年调增基础工资和基础绩效奖、人员职务职级晋升工资上调、社保基数调整、公积金基数调整等增加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121.27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141.61</w:t>
      </w:r>
      <w:r>
        <w:rPr>
          <w:rFonts w:hint="eastAsia" w:ascii="仿宋_GB2312" w:eastAsia="仿宋_GB2312"/>
          <w:color w:val="auto"/>
          <w:spacing w:val="0"/>
          <w:sz w:val="32"/>
          <w:szCs w:val="32"/>
          <w:highlight w:val="none"/>
          <w:lang w:eastAsia="zh-CN"/>
        </w:rPr>
        <w:t>万元，预决算差异率16.78%，主要原因是：</w:t>
      </w:r>
      <w:r>
        <w:rPr>
          <w:rFonts w:hint="eastAsia" w:ascii="仿宋_GB2312" w:eastAsia="仿宋_GB2312"/>
          <w:sz w:val="32"/>
          <w:szCs w:val="32"/>
        </w:rPr>
        <w:t>基础绩效奖、年度考核奖增加，预决算存在差异。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2023年度一般公共预算财政拨款支出141.61万元，占本年支出合计的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增加31.01万元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增长28.03%,</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本年调增基础工资和基础绩效奖、人员职务职级晋升工资上调、社保基数调整、公积金基数础调整等增加。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121.27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141.61</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16.78%</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基础绩效奖、年度考核奖增加，预决算存在差异。</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15.31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10.81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5.30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3.74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112.52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79.46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8.48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5.99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before="0" w:beforeAutospacing="0" w:after="0" w:afterAutospacing="0"/>
        <w:ind w:right="0" w:rightChars="0" w:firstLine="640" w:firstLineChars="200"/>
        <w:jc w:val="left"/>
        <w:textAlignment w:val="auto"/>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1.卫生健康支出（类）行政事业单位医疗（款）事业单位医疗（项）:支出决算数为5.30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23.82%，主要原因是：</w:t>
      </w:r>
      <w:r>
        <w:rPr>
          <w:rFonts w:hint="eastAsia" w:ascii="仿宋_GB2312" w:eastAsia="仿宋_GB2312"/>
          <w:sz w:val="32"/>
          <w:szCs w:val="32"/>
        </w:rPr>
        <w:t>本年调增基础工资和基础绩效奖，工资增加，事业单位医疗支出增加。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2.住房保障支出（类）住房改革支出（款）住房公积金（项）:支出决算数为8.48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2.56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43.25%，主要原因是：</w:t>
      </w:r>
      <w:r>
        <w:rPr>
          <w:rFonts w:hint="eastAsia" w:ascii="仿宋_GB2312" w:eastAsia="仿宋_GB2312"/>
          <w:sz w:val="32"/>
          <w:szCs w:val="32"/>
        </w:rPr>
        <w:t>本年调增基础工资和基础绩效奖，工资增加，住房公积金支出增加。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3.社会保障和就业支出（类）行政事业单位养老支出（款）事业单位离退休（项）:支出决算数为4.00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1.66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29.32%，主要原因是：</w:t>
      </w:r>
      <w:r>
        <w:rPr>
          <w:rFonts w:hint="eastAsia" w:ascii="仿宋_GB2312" w:eastAsia="仿宋_GB2312"/>
          <w:sz w:val="32"/>
          <w:szCs w:val="32"/>
          <w:highlight w:val="none"/>
          <w:lang w:eastAsia="zh-CN"/>
        </w:rPr>
        <w:t>按照财政要求收回退休人员医疗费、大额医疗及公务员补助。</w:t>
      </w:r>
    </w:p>
    <w:p>
      <w:pPr>
        <w:ind w:firstLine="640" w:firstLineChars="200"/>
        <w:outlineLvl w:val="1"/>
        <w:rPr>
          <w:rFonts w:ascii="黑体" w:hAnsi="黑体" w:eastAsia="黑体" w:cs="宋体"/>
          <w:bCs/>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4.农林水支出（类）水利（款）水资源节约管理与保护（项）:支出决算数为112.52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29.00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34.73%，主要原因是：</w:t>
      </w:r>
      <w:r>
        <w:rPr>
          <w:rFonts w:hint="eastAsia" w:ascii="仿宋_GB2312" w:eastAsia="仿宋_GB2312"/>
          <w:sz w:val="32"/>
          <w:szCs w:val="32"/>
        </w:rPr>
        <w:t>调增基础工资和基础绩效奖、人员职务职级晋升工资上调。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5.社会保障和就业支出（类）行政事业单位养老支出（款）机关事业单位基本养老保险缴费支出（项）:支出决算数为11.31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3.4</w:t>
      </w:r>
      <w:r>
        <w:rPr>
          <w:rFonts w:hint="eastAsia" w:eastAsia="仿宋_GB2312" w:cs="Times New Roman"/>
          <w:color w:val="auto"/>
          <w:kern w:val="2"/>
          <w:sz w:val="32"/>
          <w:szCs w:val="32"/>
          <w:highlight w:val="none"/>
          <w:lang w:val="en-US" w:eastAsia="zh-CN" w:bidi="ar-SA"/>
        </w:rPr>
        <w:t>2万元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43.</w:t>
      </w:r>
      <w:r>
        <w:rPr>
          <w:rFonts w:hint="eastAsia"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5%，主要原因是：</w:t>
      </w:r>
      <w:r>
        <w:rPr>
          <w:rFonts w:hint="eastAsia" w:ascii="仿宋_GB2312" w:eastAsia="仿宋_GB2312"/>
          <w:sz w:val="32"/>
          <w:szCs w:val="32"/>
        </w:rPr>
        <w:t>本年调增基</w:t>
      </w:r>
      <w:bookmarkStart w:id="48" w:name="_GoBack"/>
      <w:bookmarkEnd w:id="48"/>
      <w:r>
        <w:rPr>
          <w:rFonts w:hint="eastAsia" w:ascii="仿宋_GB2312" w:eastAsia="仿宋_GB2312"/>
          <w:sz w:val="32"/>
          <w:szCs w:val="32"/>
        </w:rPr>
        <w:t>础工资和基础绩效奖，工资增加，单位基本养老保险缴费支出增加。</w:t>
      </w:r>
    </w:p>
    <w:p>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6.卫生健康支出（类）行政事业单位医疗（款）公务员医疗补助（项）:支出决算数为0.00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3.33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sz w:val="32"/>
          <w:szCs w:val="32"/>
          <w:highlight w:val="none"/>
          <w:lang w:eastAsia="zh-CN"/>
        </w:rPr>
        <w:t>按照财政要求收回退休人员医疗费、大额医疗及公务员补助。</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141.61</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132.10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基本工资、津贴补贴、奖金、绩效工资、机关事业单位基本养老保险缴费、职工基本医疗保险缴费、公务员医疗补助缴费、其他社会保障缴费、住房公积金、退休费、其他对个人和家庭的补助。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9.51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办公费、电费、取暖费、物业管理费、差旅费、工会经费、福利费、公务用车运行维护费、其他商品和服务支出</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“三公”经费支出1.20万元，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我单位202</w:t>
      </w:r>
      <w:r>
        <w:rPr>
          <w:rFonts w:hint="eastAsia" w:ascii="仿宋_GB2312" w:eastAsia="仿宋_GB2312"/>
          <w:sz w:val="32"/>
          <w:szCs w:val="32"/>
          <w:lang w:val="en-US" w:eastAsia="zh-CN"/>
        </w:rPr>
        <w:t>3</w:t>
      </w:r>
      <w:r>
        <w:rPr>
          <w:rFonts w:ascii="仿宋_GB2312" w:eastAsia="仿宋_GB2312"/>
          <w:sz w:val="32"/>
          <w:szCs w:val="32"/>
        </w:rPr>
        <w:t>年“三公”经费较上年无变化</w:t>
      </w:r>
      <w:r>
        <w:rPr>
          <w:rFonts w:hint="eastAsia" w:ascii="仿宋_GB2312" w:eastAsia="仿宋_GB2312"/>
          <w:sz w:val="32"/>
          <w:szCs w:val="32"/>
        </w:rPr>
        <w:t>。</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仿宋_GB2312" w:eastAsia="仿宋_GB2312"/>
          <w:sz w:val="32"/>
          <w:szCs w:val="32"/>
        </w:rPr>
        <w:t>；</w:t>
      </w:r>
      <w:r>
        <w:rPr>
          <w:rFonts w:hint="eastAsia" w:ascii="仿宋_GB2312" w:eastAsia="仿宋_GB2312"/>
          <w:color w:val="auto"/>
          <w:sz w:val="32"/>
          <w:szCs w:val="32"/>
          <w:highlight w:val="none"/>
          <w:lang w:val="zh-CN" w:eastAsia="zh-CN"/>
        </w:rPr>
        <w:t>公务用车购置及运行维护费支出1.20万元，占100.00%，比上年增加0.00万元，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公务用车购置及运行维护费支出与上年相比无变化</w:t>
      </w:r>
      <w:r>
        <w:rPr>
          <w:rFonts w:hint="eastAsia" w:ascii="仿宋_GB2312" w:eastAsia="仿宋_GB2312"/>
          <w:sz w:val="32"/>
          <w:szCs w:val="32"/>
        </w:rPr>
        <w:t>；</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我单位无公务接待费</w:t>
      </w:r>
      <w:r>
        <w:rPr>
          <w:rFonts w:hint="eastAsia" w:ascii="仿宋_GB2312"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lang w:val="en-US" w:eastAsia="zh-CN"/>
        </w:rPr>
        <w:t>：</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公务用车购置及运行维护费1.20万元，其中：公务用车购置费0.00万元，公务用车运行维护费1.20万元。公务用车运行维护费开支内容包括</w:t>
      </w:r>
      <w:r>
        <w:rPr>
          <w:rFonts w:hint="eastAsia" w:ascii="仿宋_GB2312" w:eastAsia="仿宋_GB2312"/>
          <w:color w:val="auto"/>
          <w:sz w:val="32"/>
          <w:szCs w:val="32"/>
          <w:highlight w:val="none"/>
          <w:lang w:val="en-US" w:eastAsia="zh-CN"/>
        </w:rPr>
        <w:t>：</w:t>
      </w:r>
      <w:r>
        <w:rPr>
          <w:rFonts w:hint="eastAsia" w:ascii="仿宋_GB2312" w:eastAsia="仿宋_GB2312"/>
          <w:sz w:val="32"/>
          <w:szCs w:val="32"/>
        </w:rPr>
        <w:t>车辆保险费</w:t>
      </w:r>
      <w:r>
        <w:rPr>
          <w:rFonts w:hint="eastAsia" w:ascii="仿宋_GB2312" w:eastAsia="仿宋_GB2312"/>
          <w:sz w:val="32"/>
          <w:szCs w:val="32"/>
          <w:lang w:eastAsia="zh-CN"/>
        </w:rPr>
        <w:t>、</w:t>
      </w:r>
      <w:r>
        <w:rPr>
          <w:rFonts w:hint="eastAsia" w:ascii="仿宋_GB2312" w:eastAsia="仿宋_GB2312"/>
          <w:sz w:val="32"/>
          <w:szCs w:val="32"/>
        </w:rPr>
        <w:t>车辆燃油费、车辆维修费。</w:t>
      </w:r>
      <w:r>
        <w:rPr>
          <w:rFonts w:hint="eastAsia" w:ascii="仿宋_GB2312" w:eastAsia="仿宋_GB2312"/>
          <w:color w:val="auto"/>
          <w:sz w:val="32"/>
          <w:szCs w:val="32"/>
          <w:highlight w:val="none"/>
          <w:lang w:val="zh-CN" w:eastAsia="zh-CN"/>
        </w:rPr>
        <w:t>公务用车购置数0辆，公务用车保有量2辆。国有资产占用情况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val="zh-CN" w:eastAsia="zh-CN"/>
        </w:rPr>
        <w:t>辆公务用车的资产在塔里木河流域管理局，正在办理资产划转手续。</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ind w:firstLine="640" w:firstLineChars="200"/>
        <w:rPr>
          <w:rFonts w:ascii="仿宋_GB2312" w:eastAsia="仿宋_GB2312"/>
          <w:sz w:val="32"/>
          <w:szCs w:val="32"/>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预算数1.20万元，决算数1.20万元，预决算差异率0.00%，主要原因是：</w:t>
      </w:r>
      <w:r>
        <w:rPr>
          <w:rFonts w:hint="eastAsia" w:ascii="仿宋_GB2312" w:eastAsia="仿宋_GB2312"/>
          <w:sz w:val="32"/>
          <w:szCs w:val="32"/>
        </w:rPr>
        <w:t>“三公”经费预决算一致，无变化。</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预算数1.20万元，决算数1.20万元，预决算差异率0.00%，主要原因是：</w:t>
      </w:r>
      <w:r>
        <w:rPr>
          <w:rFonts w:hint="eastAsia" w:ascii="仿宋_GB2312" w:eastAsia="仿宋_GB2312"/>
          <w:sz w:val="32"/>
          <w:szCs w:val="32"/>
        </w:rPr>
        <w:t>公务用车运行费预决算一致，无变化；</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outlineLvl w:val="2"/>
        <w:rPr>
          <w:rFonts w:ascii="黑体" w:hAnsi="黑体" w:eastAsia="黑体"/>
          <w:sz w:val="32"/>
          <w:szCs w:val="32"/>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新疆维吾尔自治区塔里木河流域管理局驻乌鲁木齐办事处（事业单位）公用经费支出9.51万元，</w:t>
      </w:r>
      <w:r>
        <w:rPr>
          <w:rFonts w:hint="eastAsia" w:ascii="Times New Roman" w:hAnsi="Times New Roman" w:eastAsia="仿宋_GB2312" w:cs="Times New Roman"/>
          <w:color w:val="auto"/>
          <w:sz w:val="32"/>
          <w:szCs w:val="32"/>
          <w:highlight w:val="none"/>
          <w:lang w:val="zh-CN" w:eastAsia="zh-CN"/>
        </w:rPr>
        <w:t>比上年增加0.56万元，增长6.</w:t>
      </w:r>
      <w:r>
        <w:rPr>
          <w:rFonts w:hint="eastAsia" w:eastAsia="仿宋_GB2312" w:cs="Times New Roman"/>
          <w:color w:val="auto"/>
          <w:sz w:val="32"/>
          <w:szCs w:val="32"/>
          <w:highlight w:val="none"/>
          <w:lang w:val="en-US" w:eastAsia="zh-CN"/>
        </w:rPr>
        <w:t>26</w:t>
      </w:r>
      <w:r>
        <w:rPr>
          <w:rFonts w:hint="eastAsia" w:ascii="Times New Roman" w:hAnsi="Times New Roman" w:eastAsia="仿宋_GB2312" w:cs="Times New Roman"/>
          <w:color w:val="auto"/>
          <w:sz w:val="32"/>
          <w:szCs w:val="32"/>
          <w:highlight w:val="none"/>
          <w:lang w:val="zh-CN" w:eastAsia="zh-CN"/>
        </w:rPr>
        <w:t>%，主要原因是：</w:t>
      </w:r>
      <w:r>
        <w:rPr>
          <w:rFonts w:hint="eastAsia" w:ascii="仿宋_GB2312" w:eastAsia="仿宋_GB2312"/>
          <w:sz w:val="32"/>
          <w:szCs w:val="32"/>
        </w:rPr>
        <w:t>公用经费</w:t>
      </w:r>
      <w:r>
        <w:rPr>
          <w:rFonts w:hint="eastAsia" w:ascii="仿宋_GB2312" w:eastAsia="仿宋_GB2312"/>
          <w:sz w:val="32"/>
          <w:szCs w:val="32"/>
          <w:lang w:eastAsia="zh-CN"/>
        </w:rPr>
        <w:t>中福利费、工会经费增加</w:t>
      </w:r>
      <w:r>
        <w:rPr>
          <w:rFonts w:hint="eastAsia" w:ascii="仿宋_GB2312" w:eastAsia="仿宋_GB2312"/>
          <w:sz w:val="32"/>
          <w:szCs w:val="32"/>
        </w:rPr>
        <w:t>，导致公用经费</w:t>
      </w:r>
      <w:r>
        <w:rPr>
          <w:rFonts w:hint="eastAsia" w:ascii="仿宋_GB2312" w:eastAsia="仿宋_GB2312"/>
          <w:sz w:val="32"/>
          <w:szCs w:val="32"/>
          <w:lang w:eastAsia="zh-CN"/>
        </w:rPr>
        <w:t>增加</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107,398.50万元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其中：政府采购货物支出65.13万元、政府采购工程支出107,269.73万元、政府采购服务支出63.64万元。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授予中小企业合同金额107,352.98万元，占政府采购支出总额的99.96</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，其中：授予小微企业合同金额107,352.98万元，占政府采购支出总额的99.96</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177.36</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屋0.0平方米，价值0.00万元。车辆1辆，价值49.95万元，其中：副部（省）级及以上领导用车0辆、主要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用车0辆、其他用车1辆，其他用车主要是：</w:t>
      </w:r>
      <w:r>
        <w:rPr>
          <w:rFonts w:hint="eastAsia" w:ascii="仿宋_GB2312" w:eastAsia="仿宋_GB2312"/>
          <w:sz w:val="32"/>
          <w:szCs w:val="32"/>
        </w:rPr>
        <w:t>一般公务用车；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hAnsi="仿宋_GB2312" w:eastAsia="仿宋_GB2312" w:cs="仿宋_GB2312"/>
          <w:bCs/>
          <w:color w:val="auto"/>
          <w:kern w:val="0"/>
          <w:sz w:val="32"/>
          <w:szCs w:val="32"/>
          <w:highlight w:val="none"/>
          <w:lang w:val="en-US" w:eastAsia="zh-CN"/>
        </w:rPr>
        <w:t>无整体绩效</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sz w:val="32"/>
          <w:szCs w:val="32"/>
        </w:rPr>
        <w:t>预算绩效管理取得的成效：</w:t>
      </w:r>
      <w:r>
        <w:rPr>
          <w:rFonts w:ascii="仿宋_GB2312" w:eastAsia="仿宋_GB2312"/>
          <w:sz w:val="32"/>
          <w:szCs w:val="32"/>
        </w:rPr>
        <w:t>我单位无项目</w:t>
      </w:r>
      <w:r>
        <w:rPr>
          <w:rFonts w:hint="eastAsia" w:ascii="仿宋_GB2312" w:eastAsia="仿宋_GB2312"/>
          <w:sz w:val="32"/>
          <w:szCs w:val="32"/>
        </w:rPr>
        <w:t>。发现的问题及原因：</w:t>
      </w:r>
      <w:r>
        <w:rPr>
          <w:rFonts w:ascii="仿宋_GB2312" w:eastAsia="仿宋_GB2312"/>
          <w:sz w:val="32"/>
          <w:szCs w:val="32"/>
        </w:rPr>
        <w:t>我单位无项目</w:t>
      </w:r>
      <w:r>
        <w:rPr>
          <w:rFonts w:hint="eastAsia" w:ascii="仿宋_GB2312" w:eastAsia="仿宋_GB2312"/>
          <w:sz w:val="32"/>
          <w:szCs w:val="32"/>
        </w:rPr>
        <w:t>。下一步改进措施：</w:t>
      </w:r>
      <w:r>
        <w:rPr>
          <w:rFonts w:ascii="仿宋_GB2312" w:eastAsia="仿宋_GB2312"/>
          <w:sz w:val="32"/>
          <w:szCs w:val="32"/>
        </w:rPr>
        <w:t>我单位无项目</w:t>
      </w:r>
      <w:r>
        <w:rPr>
          <w:rFonts w:hint="eastAsia" w:ascii="仿宋_GB2312"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Microsoft Uighur">
    <w:panose1 w:val="02000000000000000000"/>
    <w:charset w:val="00"/>
    <w:family w:val="auto"/>
    <w:pitch w:val="default"/>
    <w:sig w:usb0="80002023" w:usb1="80000002" w:usb2="00000008" w:usb3="00000000" w:csb0="00000041" w:csb1="00000000"/>
  </w:font>
  <w:font w:name="Wingdings">
    <w:panose1 w:val="05000000000000000000"/>
    <w:charset w:val="00"/>
    <w:family w:val="auto"/>
    <w:pitch w:val="default"/>
    <w:sig w:usb0="00000000" w:usb1="00000000" w:usb2="00000000" w:usb3="00000000" w:csb0="80000000" w:csb1="00000000"/>
  </w:font>
  <w:font w:name="Courier New">
    <w:panose1 w:val="02070309020205020404"/>
    <w:charset w:val="00"/>
    <w:family w:val="auto"/>
    <w:pitch w:val="default"/>
    <w:sig w:usb0="E0002AFF" w:usb1="C0007843" w:usb2="00000009" w:usb3="00000000" w:csb0="400001FF" w:csb1="FFFF0000"/>
  </w:font>
  <w:font w:name="Symbol">
    <w:panose1 w:val="05050102010706020507"/>
    <w:charset w:val="00"/>
    <w:family w:val="auto"/>
    <w:pitch w:val="default"/>
    <w:sig w:usb0="00000000" w:usb1="00000000" w:usb2="00000000" w:usb3="00000000" w:csb0="80000000" w:csb1="00000000"/>
  </w:font>
  <w:font w:name="Cambria Math">
    <w:panose1 w:val="02040503050406030204"/>
    <w:charset w:val="00"/>
    <w:family w:val="auto"/>
    <w:pitch w:val="default"/>
    <w:sig w:usb0="E00002FF" w:usb1="420024FF" w:usb2="00000000" w:usb3="00000000" w:csb0="2000019F" w:csb1="00000000"/>
  </w:font>
  <w:font w:name="华文楷体">
    <w:panose1 w:val="02010600040101010101"/>
    <w:charset w:val="86"/>
    <w:family w:val="auto"/>
    <w:pitch w:val="default"/>
    <w:sig w:usb0="00000287" w:usb1="080F0000" w:usb2="00000000" w:usb3="00000000" w:csb0="0004009F" w:csb1="DFD70000"/>
  </w:font>
  <w:font w:name="@宋体">
    <w:panose1 w:val="02010600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ArialUnicodeMS">
    <w:altName w:val="Times New Roman"/>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黑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IDFont+F4">
    <w:altName w:val="Times New Roman"/>
    <w:panose1 w:val="00000000000000000000"/>
    <w:charset w:val="00"/>
    <w:family w:val="auto"/>
    <w:pitch w:val="default"/>
    <w:sig w:usb0="00000000" w:usb1="00000000" w:usb2="00000000" w:usb3="00000000" w:csb0="00000000" w:csb1="00000000"/>
  </w:font>
  <w:font w:name="CIDFont+F6">
    <w:altName w:val="Times New Roman"/>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10" w:usb3="00000000" w:csb0="00040000" w:csb1="00000000"/>
  </w:font>
  <w:font w:name="@楷体_GB2312">
    <w:altName w:val="宋体"/>
    <w:panose1 w:val="00000000000000000000"/>
    <w:charset w:val="00"/>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2BD3108"/>
    <w:rsid w:val="02F73D26"/>
    <w:rsid w:val="033E670B"/>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080F56"/>
    <w:rsid w:val="1C290ED5"/>
    <w:rsid w:val="1C317E4F"/>
    <w:rsid w:val="1C472464"/>
    <w:rsid w:val="1D22799A"/>
    <w:rsid w:val="1D5C1A72"/>
    <w:rsid w:val="1DAF458D"/>
    <w:rsid w:val="1E086ACE"/>
    <w:rsid w:val="1E62130A"/>
    <w:rsid w:val="1E97358B"/>
    <w:rsid w:val="1EAA4A5F"/>
    <w:rsid w:val="1EE869A7"/>
    <w:rsid w:val="1FA15E62"/>
    <w:rsid w:val="1FAA0CAF"/>
    <w:rsid w:val="1FED69B6"/>
    <w:rsid w:val="2064678E"/>
    <w:rsid w:val="20DC1AB9"/>
    <w:rsid w:val="20DD6197"/>
    <w:rsid w:val="212631E0"/>
    <w:rsid w:val="21A53757"/>
    <w:rsid w:val="221236C6"/>
    <w:rsid w:val="22A147BC"/>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5E0B20"/>
    <w:rsid w:val="2FBF7029"/>
    <w:rsid w:val="2FD0187F"/>
    <w:rsid w:val="2FD27414"/>
    <w:rsid w:val="2FFE4BB0"/>
    <w:rsid w:val="300E7B60"/>
    <w:rsid w:val="300F6E18"/>
    <w:rsid w:val="30862F5F"/>
    <w:rsid w:val="314029C9"/>
    <w:rsid w:val="31C63837"/>
    <w:rsid w:val="31C82E39"/>
    <w:rsid w:val="32601BAD"/>
    <w:rsid w:val="329F6389"/>
    <w:rsid w:val="3389023A"/>
    <w:rsid w:val="33CB74FA"/>
    <w:rsid w:val="33E25F6A"/>
    <w:rsid w:val="343642F2"/>
    <w:rsid w:val="343C4185"/>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5A25E4"/>
    <w:rsid w:val="3E731662"/>
    <w:rsid w:val="3E8168DD"/>
    <w:rsid w:val="3EA7725F"/>
    <w:rsid w:val="3EB03713"/>
    <w:rsid w:val="3EBF1A11"/>
    <w:rsid w:val="3EC52607"/>
    <w:rsid w:val="3EEC6CEF"/>
    <w:rsid w:val="3F103557"/>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3F40D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4FB40814"/>
    <w:rsid w:val="50447CC2"/>
    <w:rsid w:val="506B15ED"/>
    <w:rsid w:val="50874A7C"/>
    <w:rsid w:val="50895EE7"/>
    <w:rsid w:val="50921B9D"/>
    <w:rsid w:val="50C1531C"/>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13597"/>
    <w:rsid w:val="58CD2491"/>
    <w:rsid w:val="591B41B2"/>
    <w:rsid w:val="59254A26"/>
    <w:rsid w:val="59326325"/>
    <w:rsid w:val="595C505B"/>
    <w:rsid w:val="595E55C3"/>
    <w:rsid w:val="596E7E20"/>
    <w:rsid w:val="5A60780B"/>
    <w:rsid w:val="5AB34579"/>
    <w:rsid w:val="5AB51E34"/>
    <w:rsid w:val="5AFC6609"/>
    <w:rsid w:val="5B113480"/>
    <w:rsid w:val="5BD456CE"/>
    <w:rsid w:val="5C0D1F49"/>
    <w:rsid w:val="5CBB0CE2"/>
    <w:rsid w:val="5CC17177"/>
    <w:rsid w:val="5CF306BC"/>
    <w:rsid w:val="5D3F3D64"/>
    <w:rsid w:val="5D833043"/>
    <w:rsid w:val="5DD92690"/>
    <w:rsid w:val="5DDB1CFD"/>
    <w:rsid w:val="5E7E6D93"/>
    <w:rsid w:val="5ED44800"/>
    <w:rsid w:val="5ED83529"/>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42930"/>
    <w:rsid w:val="73674C62"/>
    <w:rsid w:val="73845865"/>
    <w:rsid w:val="739B6D9E"/>
    <w:rsid w:val="73BC1D76"/>
    <w:rsid w:val="73FB6630"/>
    <w:rsid w:val="748D790E"/>
    <w:rsid w:val="749820CC"/>
    <w:rsid w:val="74CE04EC"/>
    <w:rsid w:val="74E76DCD"/>
    <w:rsid w:val="751D7C0A"/>
    <w:rsid w:val="75722D56"/>
    <w:rsid w:val="75DB5477"/>
    <w:rsid w:val="75DF0BFE"/>
    <w:rsid w:val="75FC6AC3"/>
    <w:rsid w:val="7616619B"/>
    <w:rsid w:val="76660D7C"/>
    <w:rsid w:val="766C5968"/>
    <w:rsid w:val="76BE0C8F"/>
    <w:rsid w:val="76CD53B2"/>
    <w:rsid w:val="770719AC"/>
    <w:rsid w:val="776526CC"/>
    <w:rsid w:val="777C3640"/>
    <w:rsid w:val="77A262E1"/>
    <w:rsid w:val="77B13C33"/>
    <w:rsid w:val="77ED6F44"/>
    <w:rsid w:val="77F45548"/>
    <w:rsid w:val="784E7CA6"/>
    <w:rsid w:val="78574801"/>
    <w:rsid w:val="7873527F"/>
    <w:rsid w:val="78AD5D9D"/>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983A1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Title"/>
    <w:basedOn w:val="1"/>
    <w:qFormat/>
    <w:uiPriority w:val="0"/>
    <w:pPr>
      <w:spacing w:before="240" w:beforeLines="0" w:beforeAutospacing="0" w:after="60" w:afterAutospacing="0"/>
      <w:jc w:val="center"/>
      <w:outlineLvl w:val="0"/>
    </w:pPr>
    <w:rPr>
      <w:rFonts w:hint="default" w:ascii="Arial" w:hAnsi="Arial"/>
      <w:sz w:val="32"/>
    </w:r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6480</Words>
  <Characters>20825</Characters>
  <Lines>0</Lines>
  <Paragraphs>0</Paragraphs>
  <TotalTime>10</TotalTime>
  <ScaleCrop>false</ScaleCrop>
  <LinksUpToDate>false</LinksUpToDate>
  <CharactersWithSpaces>20937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nym</cp:lastModifiedBy>
  <dcterms:modified xsi:type="dcterms:W3CDTF">2024-09-02T03:28:40Z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D624B15633CD43C8BF9435464A96BF70</vt:lpwstr>
  </property>
</Properties>
</file>