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32DCF">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黑体" w:cs="Times New Roman"/>
          <w:color w:val="auto"/>
          <w:sz w:val="32"/>
          <w:szCs w:val="32"/>
          <w:highlight w:val="none"/>
        </w:rPr>
      </w:pPr>
    </w:p>
    <w:p w14:paraId="6E006ACB">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p>
    <w:p w14:paraId="23AD8D75">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lang w:val="en-US" w:eastAsia="zh-CN"/>
        </w:rPr>
      </w:pPr>
      <w:r>
        <w:rPr>
          <w:rFonts w:hint="default" w:ascii="Times New Roman" w:hAnsi="Times New Roman" w:eastAsia="方正小标宋_GBK" w:cs="Times New Roman"/>
          <w:color w:val="auto"/>
          <w:sz w:val="44"/>
          <w:szCs w:val="44"/>
          <w:highlight w:val="none"/>
          <w:lang w:val="en-US" w:eastAsia="zh-CN"/>
        </w:rPr>
        <w:t>新疆维吾尔自治区塔里木河流域干流管理局</w:t>
      </w:r>
    </w:p>
    <w:p w14:paraId="5065CBD8">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lang w:eastAsia="zh-CN"/>
        </w:rPr>
        <w:t xml:space="preserve"> 2023年度</w:t>
      </w:r>
      <w:r>
        <w:rPr>
          <w:rFonts w:hint="default" w:ascii="Times New Roman" w:hAnsi="Times New Roman" w:eastAsia="方正小标宋_GBK" w:cs="Times New Roman"/>
          <w:color w:val="auto"/>
          <w:sz w:val="44"/>
          <w:szCs w:val="44"/>
          <w:highlight w:val="none"/>
        </w:rPr>
        <w:t>部门决算</w:t>
      </w:r>
    </w:p>
    <w:p w14:paraId="26FEBD29">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公开说明</w:t>
      </w:r>
    </w:p>
    <w:p w14:paraId="5EECA413">
      <w:pPr>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br w:type="page"/>
      </w:r>
    </w:p>
    <w:p w14:paraId="4684626E">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color w:val="auto"/>
          <w:kern w:val="0"/>
          <w:sz w:val="32"/>
          <w:szCs w:val="32"/>
          <w:highlight w:val="none"/>
        </w:rPr>
      </w:pPr>
      <w:r>
        <w:rPr>
          <w:rFonts w:hint="default" w:ascii="Times New Roman" w:hAnsi="Times New Roman" w:eastAsia="仿宋_GB2312" w:cs="Times New Roman"/>
          <w:b/>
          <w:bCs w:val="0"/>
          <w:color w:val="auto"/>
          <w:kern w:val="0"/>
          <w:sz w:val="36"/>
          <w:szCs w:val="36"/>
          <w:highlight w:val="none"/>
        </w:rPr>
        <w:t>目  录</w:t>
      </w:r>
    </w:p>
    <w:p w14:paraId="52EFAC46">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TOC \o "1-3" \n  \h \u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_Toc32314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 xml:space="preserve">第一部分 </w:t>
      </w:r>
      <w:r>
        <w:rPr>
          <w:rFonts w:hint="default" w:ascii="Times New Roman" w:hAnsi="Times New Roman" w:eastAsia="仿宋_GB2312" w:cs="Times New Roman"/>
          <w:b/>
          <w:bCs/>
          <w:color w:val="auto"/>
          <w:sz w:val="32"/>
          <w:szCs w:val="32"/>
          <w:highlight w:val="none"/>
          <w:lang w:eastAsia="zh-CN"/>
        </w:rPr>
        <w:t>部门</w:t>
      </w:r>
      <w:r>
        <w:rPr>
          <w:rFonts w:hint="default" w:ascii="Times New Roman" w:hAnsi="Times New Roman" w:eastAsia="仿宋_GB2312" w:cs="Times New Roman"/>
          <w:b/>
          <w:bCs/>
          <w:color w:val="auto"/>
          <w:sz w:val="32"/>
          <w:szCs w:val="32"/>
          <w:highlight w:val="none"/>
        </w:rPr>
        <w:t>概况</w:t>
      </w:r>
      <w:r>
        <w:rPr>
          <w:rFonts w:hint="default" w:ascii="Times New Roman" w:hAnsi="Times New Roman" w:eastAsia="仿宋_GB2312" w:cs="Times New Roman"/>
          <w:b/>
          <w:bCs/>
          <w:color w:val="auto"/>
          <w:sz w:val="32"/>
          <w:szCs w:val="32"/>
          <w:highlight w:val="none"/>
        </w:rPr>
        <w:fldChar w:fldCharType="end"/>
      </w:r>
    </w:p>
    <w:p w14:paraId="2843EE7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_Toc30567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一、主要职能</w:t>
      </w:r>
      <w:r>
        <w:rPr>
          <w:rFonts w:hint="default" w:ascii="Times New Roman" w:hAnsi="Times New Roman" w:eastAsia="仿宋_GB2312" w:cs="Times New Roman"/>
          <w:color w:val="auto"/>
          <w:sz w:val="32"/>
          <w:szCs w:val="32"/>
          <w:highlight w:val="none"/>
        </w:rPr>
        <w:fldChar w:fldCharType="end"/>
      </w:r>
    </w:p>
    <w:p w14:paraId="13AD9BF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_Toc2151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二、机构设置</w:t>
      </w:r>
      <w:r>
        <w:rPr>
          <w:rFonts w:hint="default" w:ascii="Times New Roman" w:hAnsi="Times New Roman" w:eastAsia="仿宋_GB2312" w:cs="Times New Roman"/>
          <w:bCs/>
          <w:color w:val="auto"/>
          <w:kern w:val="0"/>
          <w:sz w:val="32"/>
          <w:szCs w:val="32"/>
          <w:highlight w:val="none"/>
          <w:lang w:eastAsia="zh-CN"/>
        </w:rPr>
        <w:t>及人员</w:t>
      </w:r>
      <w:r>
        <w:rPr>
          <w:rFonts w:hint="default" w:ascii="Times New Roman" w:hAnsi="Times New Roman" w:eastAsia="仿宋_GB2312" w:cs="Times New Roman"/>
          <w:bCs/>
          <w:color w:val="auto"/>
          <w:kern w:val="0"/>
          <w:sz w:val="32"/>
          <w:szCs w:val="32"/>
          <w:highlight w:val="none"/>
        </w:rPr>
        <w:t>情况</w:t>
      </w:r>
      <w:r>
        <w:rPr>
          <w:rFonts w:hint="default" w:ascii="Times New Roman" w:hAnsi="Times New Roman" w:eastAsia="仿宋_GB2312" w:cs="Times New Roman"/>
          <w:color w:val="auto"/>
          <w:sz w:val="32"/>
          <w:szCs w:val="32"/>
          <w:highlight w:val="none"/>
        </w:rPr>
        <w:fldChar w:fldCharType="end"/>
      </w:r>
    </w:p>
    <w:p w14:paraId="37B6DB98">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_Toc29374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第二部分 部门决算情况说明</w:t>
      </w:r>
      <w:r>
        <w:rPr>
          <w:rFonts w:hint="default" w:ascii="Times New Roman" w:hAnsi="Times New Roman" w:eastAsia="仿宋_GB2312" w:cs="Times New Roman"/>
          <w:b/>
          <w:bCs/>
          <w:color w:val="auto"/>
          <w:sz w:val="32"/>
          <w:szCs w:val="32"/>
          <w:highlight w:val="none"/>
        </w:rPr>
        <w:fldChar w:fldCharType="end"/>
      </w:r>
    </w:p>
    <w:p w14:paraId="59C3A42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_Toc25314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一、收入支出决算总体情况说明</w:t>
      </w:r>
      <w:r>
        <w:rPr>
          <w:rFonts w:hint="default" w:ascii="Times New Roman" w:hAnsi="Times New Roman" w:eastAsia="仿宋_GB2312" w:cs="Times New Roman"/>
          <w:color w:val="auto"/>
          <w:sz w:val="32"/>
          <w:szCs w:val="32"/>
          <w:highlight w:val="none"/>
        </w:rPr>
        <w:fldChar w:fldCharType="end"/>
      </w:r>
    </w:p>
    <w:p w14:paraId="23C0055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_Toc12142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二、</w:t>
      </w:r>
      <w:r>
        <w:rPr>
          <w:rFonts w:hint="default" w:ascii="Times New Roman" w:hAnsi="Times New Roman" w:eastAsia="仿宋_GB2312" w:cs="Times New Roman"/>
          <w:bCs/>
          <w:color w:val="auto"/>
          <w:kern w:val="0"/>
          <w:sz w:val="32"/>
          <w:szCs w:val="32"/>
          <w:highlight w:val="none"/>
        </w:rPr>
        <w:t>收入</w:t>
      </w:r>
      <w:r>
        <w:rPr>
          <w:rFonts w:hint="default" w:ascii="Times New Roman" w:hAnsi="Times New Roman" w:eastAsia="仿宋_GB2312" w:cs="Times New Roman"/>
          <w:bCs/>
          <w:color w:val="auto"/>
          <w:kern w:val="0"/>
          <w:sz w:val="32"/>
          <w:szCs w:val="32"/>
          <w:highlight w:val="none"/>
          <w:lang w:eastAsia="zh-CN"/>
        </w:rPr>
        <w:t>决算</w:t>
      </w:r>
      <w:r>
        <w:rPr>
          <w:rFonts w:hint="default" w:ascii="Times New Roman" w:hAnsi="Times New Roman" w:eastAsia="仿宋_GB2312" w:cs="Times New Roman"/>
          <w:bCs/>
          <w:color w:val="auto"/>
          <w:kern w:val="0"/>
          <w:sz w:val="32"/>
          <w:szCs w:val="32"/>
          <w:highlight w:val="none"/>
        </w:rPr>
        <w:t>情况说明</w:t>
      </w:r>
      <w:r>
        <w:rPr>
          <w:rFonts w:hint="default" w:ascii="Times New Roman" w:hAnsi="Times New Roman" w:eastAsia="仿宋_GB2312" w:cs="Times New Roman"/>
          <w:color w:val="auto"/>
          <w:sz w:val="32"/>
          <w:szCs w:val="32"/>
          <w:highlight w:val="none"/>
        </w:rPr>
        <w:fldChar w:fldCharType="end"/>
      </w:r>
    </w:p>
    <w:p w14:paraId="339D372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_Toc13201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三、支出决算情况说明</w:t>
      </w:r>
      <w:r>
        <w:rPr>
          <w:rFonts w:hint="default" w:ascii="Times New Roman" w:hAnsi="Times New Roman" w:eastAsia="仿宋_GB2312" w:cs="Times New Roman"/>
          <w:color w:val="auto"/>
          <w:sz w:val="32"/>
          <w:szCs w:val="32"/>
          <w:highlight w:val="none"/>
        </w:rPr>
        <w:fldChar w:fldCharType="end"/>
      </w:r>
    </w:p>
    <w:p w14:paraId="6690A56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_Toc26564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四、财政拨款收入支出决算总体情况说明</w:t>
      </w:r>
      <w:r>
        <w:rPr>
          <w:rFonts w:hint="default" w:ascii="Times New Roman" w:hAnsi="Times New Roman" w:eastAsia="仿宋_GB2312" w:cs="Times New Roman"/>
          <w:color w:val="auto"/>
          <w:sz w:val="32"/>
          <w:szCs w:val="32"/>
          <w:highlight w:val="none"/>
        </w:rPr>
        <w:fldChar w:fldCharType="end"/>
      </w:r>
    </w:p>
    <w:p w14:paraId="3764B98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_Toc20360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五、一般公共预算财政拨款支出决算情况说明</w:t>
      </w:r>
      <w:r>
        <w:rPr>
          <w:rFonts w:hint="default" w:ascii="Times New Roman" w:hAnsi="Times New Roman" w:eastAsia="仿宋_GB2312" w:cs="Times New Roman"/>
          <w:color w:val="auto"/>
          <w:sz w:val="32"/>
          <w:szCs w:val="32"/>
          <w:highlight w:val="none"/>
        </w:rPr>
        <w:fldChar w:fldCharType="end"/>
      </w:r>
    </w:p>
    <w:p w14:paraId="25388EE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_Toc30870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六、一般公共预算财政拨款基本支出决算情况说明</w:t>
      </w:r>
      <w:r>
        <w:rPr>
          <w:rFonts w:hint="default" w:ascii="Times New Roman" w:hAnsi="Times New Roman" w:eastAsia="仿宋_GB2312" w:cs="Times New Roman"/>
          <w:color w:val="auto"/>
          <w:sz w:val="32"/>
          <w:szCs w:val="32"/>
          <w:highlight w:val="none"/>
        </w:rPr>
        <w:fldChar w:fldCharType="end"/>
      </w:r>
    </w:p>
    <w:p w14:paraId="44FEEE9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_Toc21518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七</w:t>
      </w:r>
      <w:r>
        <w:rPr>
          <w:rFonts w:hint="default" w:ascii="Times New Roman" w:hAnsi="Times New Roman" w:eastAsia="仿宋_GB2312" w:cs="Times New Roman"/>
          <w:bCs/>
          <w:color w:val="auto"/>
          <w:kern w:val="0"/>
          <w:sz w:val="32"/>
          <w:szCs w:val="32"/>
          <w:highlight w:val="none"/>
        </w:rPr>
        <w:t>、</w:t>
      </w:r>
      <w:r>
        <w:rPr>
          <w:rFonts w:hint="default" w:ascii="Times New Roman" w:hAnsi="Times New Roman" w:eastAsia="仿宋_GB2312" w:cs="Times New Roman"/>
          <w:bCs/>
          <w:color w:val="auto"/>
          <w:kern w:val="0"/>
          <w:sz w:val="32"/>
          <w:szCs w:val="32"/>
          <w:highlight w:val="none"/>
          <w:lang w:eastAsia="zh-CN"/>
        </w:rPr>
        <w:t>财政拨款</w:t>
      </w:r>
      <w:r>
        <w:rPr>
          <w:rFonts w:hint="default" w:ascii="Times New Roman" w:hAnsi="Times New Roman" w:eastAsia="仿宋_GB2312" w:cs="Times New Roman"/>
          <w:bCs/>
          <w:color w:val="auto"/>
          <w:kern w:val="0"/>
          <w:sz w:val="32"/>
          <w:szCs w:val="32"/>
          <w:highlight w:val="none"/>
        </w:rPr>
        <w:t>“三公”经费支出</w:t>
      </w:r>
      <w:r>
        <w:rPr>
          <w:rFonts w:hint="default" w:ascii="Times New Roman" w:hAnsi="Times New Roman" w:eastAsia="仿宋_GB2312" w:cs="Times New Roman"/>
          <w:bCs/>
          <w:color w:val="auto"/>
          <w:kern w:val="0"/>
          <w:sz w:val="32"/>
          <w:szCs w:val="32"/>
          <w:highlight w:val="none"/>
          <w:lang w:eastAsia="zh-CN"/>
        </w:rPr>
        <w:t>决算</w:t>
      </w:r>
      <w:r>
        <w:rPr>
          <w:rFonts w:hint="default" w:ascii="Times New Roman" w:hAnsi="Times New Roman" w:eastAsia="仿宋_GB2312" w:cs="Times New Roman"/>
          <w:bCs/>
          <w:color w:val="auto"/>
          <w:kern w:val="0"/>
          <w:sz w:val="32"/>
          <w:szCs w:val="32"/>
          <w:highlight w:val="none"/>
        </w:rPr>
        <w:t>情况</w:t>
      </w:r>
      <w:r>
        <w:rPr>
          <w:rFonts w:hint="default" w:ascii="Times New Roman" w:hAnsi="Times New Roman" w:eastAsia="仿宋_GB2312" w:cs="Times New Roman"/>
          <w:bCs/>
          <w:color w:val="auto"/>
          <w:kern w:val="0"/>
          <w:sz w:val="32"/>
          <w:szCs w:val="32"/>
          <w:highlight w:val="none"/>
          <w:lang w:eastAsia="zh-CN"/>
        </w:rPr>
        <w:t>说明</w:t>
      </w:r>
      <w:r>
        <w:rPr>
          <w:rFonts w:hint="default" w:ascii="Times New Roman" w:hAnsi="Times New Roman" w:eastAsia="仿宋_GB2312" w:cs="Times New Roman"/>
          <w:color w:val="auto"/>
          <w:sz w:val="32"/>
          <w:szCs w:val="32"/>
          <w:highlight w:val="none"/>
        </w:rPr>
        <w:fldChar w:fldCharType="end"/>
      </w:r>
    </w:p>
    <w:p w14:paraId="138D391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_Toc5810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八、</w:t>
      </w:r>
      <w:r>
        <w:rPr>
          <w:rFonts w:hint="default" w:ascii="Times New Roman" w:hAnsi="Times New Roman" w:eastAsia="仿宋_GB2312" w:cs="Times New Roman"/>
          <w:bCs/>
          <w:color w:val="auto"/>
          <w:kern w:val="0"/>
          <w:sz w:val="32"/>
          <w:szCs w:val="32"/>
          <w:highlight w:val="none"/>
          <w:lang w:eastAsia="zh-CN"/>
        </w:rPr>
        <w:t>政府性基金预算财政拨款收入支出决算情况说明</w:t>
      </w:r>
      <w:r>
        <w:rPr>
          <w:rFonts w:hint="default" w:ascii="Times New Roman" w:hAnsi="Times New Roman" w:eastAsia="仿宋_GB2312" w:cs="Times New Roman"/>
          <w:color w:val="auto"/>
          <w:sz w:val="32"/>
          <w:szCs w:val="32"/>
          <w:highlight w:val="none"/>
        </w:rPr>
        <w:fldChar w:fldCharType="end"/>
      </w:r>
    </w:p>
    <w:p w14:paraId="1380D83B">
      <w:pPr>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_Toc5810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lang w:eastAsia="zh-CN"/>
        </w:rPr>
        <w:t>、国有资本经营预算财政拨款收入支出决算情况说明</w:t>
      </w:r>
      <w:r>
        <w:rPr>
          <w:rFonts w:hint="default" w:ascii="Times New Roman" w:hAnsi="Times New Roman" w:eastAsia="仿宋_GB2312" w:cs="Times New Roman"/>
          <w:color w:val="auto"/>
          <w:sz w:val="32"/>
          <w:szCs w:val="32"/>
          <w:highlight w:val="none"/>
        </w:rPr>
        <w:fldChar w:fldCharType="end"/>
      </w:r>
    </w:p>
    <w:p w14:paraId="36F79B8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_Toc1235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十</w:t>
      </w:r>
      <w:r>
        <w:rPr>
          <w:rFonts w:hint="default" w:ascii="Times New Roman" w:hAnsi="Times New Roman" w:eastAsia="仿宋_GB2312" w:cs="Times New Roman"/>
          <w:bCs/>
          <w:color w:val="auto"/>
          <w:kern w:val="0"/>
          <w:sz w:val="32"/>
          <w:szCs w:val="32"/>
          <w:highlight w:val="none"/>
        </w:rPr>
        <w:t>、其他重要事项的情况</w:t>
      </w:r>
      <w:r>
        <w:rPr>
          <w:rFonts w:hint="default" w:ascii="Times New Roman" w:hAnsi="Times New Roman" w:eastAsia="仿宋_GB2312" w:cs="Times New Roman"/>
          <w:bCs/>
          <w:color w:val="auto"/>
          <w:kern w:val="0"/>
          <w:sz w:val="32"/>
          <w:szCs w:val="32"/>
          <w:highlight w:val="none"/>
          <w:lang w:eastAsia="zh-CN"/>
        </w:rPr>
        <w:t>说明</w:t>
      </w:r>
      <w:r>
        <w:rPr>
          <w:rFonts w:hint="default" w:ascii="Times New Roman" w:hAnsi="Times New Roman" w:eastAsia="仿宋_GB2312" w:cs="Times New Roman"/>
          <w:color w:val="auto"/>
          <w:sz w:val="32"/>
          <w:szCs w:val="32"/>
          <w:highlight w:val="none"/>
        </w:rPr>
        <w:fldChar w:fldCharType="end"/>
      </w:r>
    </w:p>
    <w:p w14:paraId="56221B0B">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_Toc14519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（一）</w:t>
      </w:r>
      <w:r>
        <w:rPr>
          <w:rFonts w:hint="default" w:ascii="Times New Roman" w:hAnsi="Times New Roman" w:eastAsia="仿宋_GB2312" w:cs="Times New Roman"/>
          <w:color w:val="auto"/>
          <w:sz w:val="32"/>
          <w:szCs w:val="32"/>
          <w:highlight w:val="none"/>
        </w:rPr>
        <w:t>机关运行经费支出情况</w:t>
      </w:r>
      <w:r>
        <w:rPr>
          <w:rFonts w:hint="default" w:ascii="Times New Roman" w:hAnsi="Times New Roman" w:eastAsia="仿宋_GB2312" w:cs="Times New Roman"/>
          <w:color w:val="auto"/>
          <w:sz w:val="32"/>
          <w:szCs w:val="32"/>
          <w:highlight w:val="none"/>
        </w:rPr>
        <w:fldChar w:fldCharType="end"/>
      </w:r>
    </w:p>
    <w:p w14:paraId="78F289EF">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_Toc227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（二）政府采购情况</w:t>
      </w:r>
      <w:r>
        <w:rPr>
          <w:rFonts w:hint="default" w:ascii="Times New Roman" w:hAnsi="Times New Roman" w:eastAsia="仿宋_GB2312" w:cs="Times New Roman"/>
          <w:color w:val="auto"/>
          <w:sz w:val="32"/>
          <w:szCs w:val="32"/>
          <w:highlight w:val="none"/>
        </w:rPr>
        <w:fldChar w:fldCharType="end"/>
      </w:r>
    </w:p>
    <w:p w14:paraId="33EBB6CD">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_Toc8391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（三）国有资产占用情况说明</w:t>
      </w:r>
      <w:r>
        <w:rPr>
          <w:rFonts w:hint="default" w:ascii="Times New Roman" w:hAnsi="Times New Roman" w:eastAsia="仿宋_GB2312" w:cs="Times New Roman"/>
          <w:color w:val="auto"/>
          <w:sz w:val="32"/>
          <w:szCs w:val="32"/>
          <w:highlight w:val="none"/>
        </w:rPr>
        <w:fldChar w:fldCharType="end"/>
      </w:r>
    </w:p>
    <w:p w14:paraId="2D99F7D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_Toc11283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十</w:t>
      </w:r>
      <w:r>
        <w:rPr>
          <w:rFonts w:hint="default" w:ascii="Times New Roman" w:hAnsi="Times New Roman" w:eastAsia="仿宋_GB2312" w:cs="Times New Roman"/>
          <w:bCs/>
          <w:color w:val="auto"/>
          <w:kern w:val="0"/>
          <w:sz w:val="32"/>
          <w:szCs w:val="32"/>
          <w:highlight w:val="none"/>
          <w:lang w:val="en-US" w:eastAsia="zh-CN"/>
        </w:rPr>
        <w:t>一</w:t>
      </w:r>
      <w:r>
        <w:rPr>
          <w:rFonts w:hint="default" w:ascii="Times New Roman" w:hAnsi="Times New Roman" w:eastAsia="仿宋_GB2312" w:cs="Times New Roman"/>
          <w:bCs/>
          <w:color w:val="auto"/>
          <w:kern w:val="0"/>
          <w:sz w:val="32"/>
          <w:szCs w:val="32"/>
          <w:highlight w:val="none"/>
          <w:lang w:eastAsia="zh-CN"/>
        </w:rPr>
        <w:t>、预算绩效的情况说明</w:t>
      </w:r>
      <w:r>
        <w:rPr>
          <w:rFonts w:hint="default" w:ascii="Times New Roman" w:hAnsi="Times New Roman" w:eastAsia="仿宋_GB2312" w:cs="Times New Roman"/>
          <w:color w:val="auto"/>
          <w:sz w:val="32"/>
          <w:szCs w:val="32"/>
          <w:highlight w:val="none"/>
        </w:rPr>
        <w:fldChar w:fldCharType="end"/>
      </w:r>
    </w:p>
    <w:p w14:paraId="69E5516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十二、其他需说明的事项</w:t>
      </w:r>
    </w:p>
    <w:p w14:paraId="2C01FEF2">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_Toc3250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第三部分 专业名词解释</w:t>
      </w:r>
      <w:r>
        <w:rPr>
          <w:rFonts w:hint="default" w:ascii="Times New Roman" w:hAnsi="Times New Roman" w:eastAsia="仿宋_GB2312" w:cs="Times New Roman"/>
          <w:b/>
          <w:bCs/>
          <w:color w:val="auto"/>
          <w:sz w:val="32"/>
          <w:szCs w:val="32"/>
          <w:highlight w:val="none"/>
        </w:rPr>
        <w:fldChar w:fldCharType="end"/>
      </w:r>
    </w:p>
    <w:p w14:paraId="4AC0AC10">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_Toc22784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第四部分 部门决算报表（见附表）</w:t>
      </w:r>
      <w:r>
        <w:rPr>
          <w:rFonts w:hint="default" w:ascii="Times New Roman" w:hAnsi="Times New Roman" w:eastAsia="仿宋_GB2312" w:cs="Times New Roman"/>
          <w:b/>
          <w:bCs/>
          <w:color w:val="auto"/>
          <w:sz w:val="32"/>
          <w:szCs w:val="32"/>
          <w:highlight w:val="none"/>
        </w:rPr>
        <w:fldChar w:fldCharType="end"/>
      </w:r>
    </w:p>
    <w:p w14:paraId="4232683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_Toc2183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一、《收入支出决算总表》</w:t>
      </w:r>
      <w:r>
        <w:rPr>
          <w:rFonts w:hint="default" w:ascii="Times New Roman" w:hAnsi="Times New Roman" w:eastAsia="仿宋_GB2312" w:cs="Times New Roman"/>
          <w:color w:val="auto"/>
          <w:sz w:val="32"/>
          <w:szCs w:val="32"/>
          <w:highlight w:val="none"/>
        </w:rPr>
        <w:fldChar w:fldCharType="end"/>
      </w:r>
    </w:p>
    <w:p w14:paraId="0A91A1C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_Toc24532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二、《收入决算表》</w:t>
      </w:r>
      <w:r>
        <w:rPr>
          <w:rFonts w:hint="default" w:ascii="Times New Roman" w:hAnsi="Times New Roman" w:eastAsia="仿宋_GB2312" w:cs="Times New Roman"/>
          <w:color w:val="auto"/>
          <w:sz w:val="32"/>
          <w:szCs w:val="32"/>
          <w:highlight w:val="none"/>
        </w:rPr>
        <w:fldChar w:fldCharType="end"/>
      </w:r>
    </w:p>
    <w:p w14:paraId="0F1C5FE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_Toc32434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三、《支出决算表》</w:t>
      </w:r>
      <w:r>
        <w:rPr>
          <w:rFonts w:hint="default" w:ascii="Times New Roman" w:hAnsi="Times New Roman" w:eastAsia="仿宋_GB2312" w:cs="Times New Roman"/>
          <w:color w:val="auto"/>
          <w:sz w:val="32"/>
          <w:szCs w:val="32"/>
          <w:highlight w:val="none"/>
        </w:rPr>
        <w:fldChar w:fldCharType="end"/>
      </w:r>
    </w:p>
    <w:p w14:paraId="6DADC6E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_Toc28786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四、《财政拨款收入支出决算总表》</w:t>
      </w:r>
      <w:r>
        <w:rPr>
          <w:rFonts w:hint="default" w:ascii="Times New Roman" w:hAnsi="Times New Roman" w:eastAsia="仿宋_GB2312" w:cs="Times New Roman"/>
          <w:color w:val="auto"/>
          <w:sz w:val="32"/>
          <w:szCs w:val="32"/>
          <w:highlight w:val="none"/>
        </w:rPr>
        <w:fldChar w:fldCharType="end"/>
      </w:r>
    </w:p>
    <w:p w14:paraId="34B94A5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_Toc14869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五、《一般公共预算财政拨款支出决算表》</w:t>
      </w:r>
      <w:r>
        <w:rPr>
          <w:rFonts w:hint="default" w:ascii="Times New Roman" w:hAnsi="Times New Roman" w:eastAsia="仿宋_GB2312" w:cs="Times New Roman"/>
          <w:color w:val="auto"/>
          <w:sz w:val="32"/>
          <w:szCs w:val="32"/>
          <w:highlight w:val="none"/>
        </w:rPr>
        <w:fldChar w:fldCharType="end"/>
      </w:r>
    </w:p>
    <w:p w14:paraId="6E9053C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_Toc8884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六、《一般公共预算财政拨款基本支出决算表》</w:t>
      </w:r>
      <w:r>
        <w:rPr>
          <w:rFonts w:hint="default" w:ascii="Times New Roman" w:hAnsi="Times New Roman" w:eastAsia="仿宋_GB2312" w:cs="Times New Roman"/>
          <w:color w:val="auto"/>
          <w:sz w:val="32"/>
          <w:szCs w:val="32"/>
          <w:highlight w:val="none"/>
        </w:rPr>
        <w:fldChar w:fldCharType="end"/>
      </w:r>
    </w:p>
    <w:p w14:paraId="2B992C0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_Toc29106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七、《财政拨款“三公”经费支出决算表》</w:t>
      </w:r>
      <w:r>
        <w:rPr>
          <w:rFonts w:hint="default" w:ascii="Times New Roman" w:hAnsi="Times New Roman" w:eastAsia="仿宋_GB2312" w:cs="Times New Roman"/>
          <w:color w:val="auto"/>
          <w:sz w:val="32"/>
          <w:szCs w:val="32"/>
          <w:highlight w:val="none"/>
        </w:rPr>
        <w:fldChar w:fldCharType="end"/>
      </w:r>
    </w:p>
    <w:p w14:paraId="004EBCE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rPr>
        <w:fldChar w:fldCharType="begin"/>
      </w:r>
      <w:r>
        <w:rPr>
          <w:rFonts w:hint="default" w:ascii="Times New Roman" w:hAnsi="Times New Roman" w:eastAsia="仿宋_GB2312" w:cs="Times New Roman"/>
          <w:bCs/>
          <w:color w:val="auto"/>
          <w:kern w:val="0"/>
          <w:sz w:val="32"/>
          <w:szCs w:val="32"/>
          <w:highlight w:val="none"/>
        </w:rPr>
        <w:instrText xml:space="preserve"> HYPERLINK \l _Toc7643 </w:instrText>
      </w:r>
      <w:r>
        <w:rPr>
          <w:rFonts w:hint="default" w:ascii="Times New Roman" w:hAnsi="Times New Roman" w:eastAsia="仿宋_GB2312" w:cs="Times New Roman"/>
          <w:bCs/>
          <w:color w:val="auto"/>
          <w:kern w:val="0"/>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八、</w:t>
      </w:r>
      <w:r>
        <w:rPr>
          <w:rFonts w:hint="default" w:ascii="Times New Roman" w:hAnsi="Times New Roman" w:eastAsia="仿宋_GB2312" w:cs="Times New Roman"/>
          <w:bCs/>
          <w:color w:val="auto"/>
          <w:kern w:val="0"/>
          <w:sz w:val="32"/>
          <w:szCs w:val="32"/>
          <w:highlight w:val="none"/>
        </w:rPr>
        <w:t>《政府性基金预算财政拨款收入支出决算表》</w:t>
      </w:r>
      <w:r>
        <w:rPr>
          <w:rFonts w:hint="default" w:ascii="Times New Roman" w:hAnsi="Times New Roman" w:eastAsia="仿宋_GB2312" w:cs="Times New Roman"/>
          <w:bCs/>
          <w:color w:val="auto"/>
          <w:kern w:val="0"/>
          <w:sz w:val="32"/>
          <w:szCs w:val="32"/>
          <w:highlight w:val="none"/>
        </w:rPr>
        <w:fldChar w:fldCharType="end"/>
      </w:r>
    </w:p>
    <w:p w14:paraId="7565EE1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Cs/>
          <w:color w:val="auto"/>
          <w:kern w:val="0"/>
          <w:sz w:val="32"/>
          <w:szCs w:val="32"/>
          <w:highlight w:val="none"/>
          <w:lang w:eastAsia="zh-CN"/>
        </w:rPr>
      </w:pP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lang w:eastAsia="zh-CN"/>
        </w:rPr>
        <w:t>、《国有资本经营</w:t>
      </w:r>
      <w:r>
        <w:rPr>
          <w:rFonts w:hint="default" w:ascii="Times New Roman" w:hAnsi="Times New Roman" w:eastAsia="仿宋_GB2312" w:cs="Times New Roman"/>
          <w:bCs/>
          <w:color w:val="auto"/>
          <w:kern w:val="0"/>
          <w:sz w:val="32"/>
          <w:szCs w:val="32"/>
          <w:highlight w:val="none"/>
        </w:rPr>
        <w:t>预算财政拨款收入支出决算表</w:t>
      </w:r>
      <w:r>
        <w:rPr>
          <w:rFonts w:hint="default" w:ascii="Times New Roman" w:hAnsi="Times New Roman" w:eastAsia="仿宋_GB2312" w:cs="Times New Roman"/>
          <w:bCs/>
          <w:color w:val="auto"/>
          <w:kern w:val="0"/>
          <w:sz w:val="32"/>
          <w:szCs w:val="32"/>
          <w:highlight w:val="none"/>
          <w:lang w:eastAsia="zh-CN"/>
        </w:rPr>
        <w:t>》</w:t>
      </w:r>
    </w:p>
    <w:p w14:paraId="3A57A206">
      <w:pPr>
        <w:keepNext w:val="0"/>
        <w:keepLines w:val="0"/>
        <w:pageBreakBefore w:val="0"/>
        <w:widowControl w:val="0"/>
        <w:kinsoku/>
        <w:wordWrap/>
        <w:overflowPunct/>
        <w:topLinePunct w:val="0"/>
        <w:autoSpaceDE/>
        <w:autoSpaceDN/>
        <w:bidi w:val="0"/>
        <w:adjustRightInd/>
        <w:snapToGrid/>
        <w:ind w:left="0" w:leftChars="0"/>
        <w:jc w:val="both"/>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fldChar w:fldCharType="end"/>
      </w:r>
    </w:p>
    <w:p w14:paraId="1F299D53">
      <w:pP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p>
    <w:p w14:paraId="62BA745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0" w:name="_Toc24028"/>
      <w:bookmarkStart w:id="1" w:name="_Toc32314"/>
      <w:r>
        <w:rPr>
          <w:rFonts w:hint="default" w:ascii="Times New Roman" w:hAnsi="Times New Roman" w:eastAsia="黑体" w:cs="Times New Roman"/>
          <w:color w:val="auto"/>
          <w:sz w:val="32"/>
          <w:szCs w:val="32"/>
          <w:highlight w:val="none"/>
        </w:rPr>
        <w:t xml:space="preserve">第一部分 </w:t>
      </w:r>
      <w:r>
        <w:rPr>
          <w:rFonts w:hint="default" w:ascii="Times New Roman" w:hAnsi="Times New Roman" w:eastAsia="黑体" w:cs="Times New Roman"/>
          <w:color w:val="auto"/>
          <w:sz w:val="32"/>
          <w:szCs w:val="32"/>
          <w:highlight w:val="none"/>
          <w:lang w:eastAsia="zh-CN"/>
        </w:rPr>
        <w:t>部门</w:t>
      </w:r>
      <w:r>
        <w:rPr>
          <w:rFonts w:hint="default" w:ascii="Times New Roman" w:hAnsi="Times New Roman" w:eastAsia="黑体" w:cs="Times New Roman"/>
          <w:color w:val="auto"/>
          <w:sz w:val="32"/>
          <w:szCs w:val="32"/>
          <w:highlight w:val="none"/>
        </w:rPr>
        <w:t>概况</w:t>
      </w:r>
      <w:bookmarkEnd w:id="0"/>
      <w:bookmarkEnd w:id="1"/>
    </w:p>
    <w:p w14:paraId="1A71BC0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2" w:name="_Toc30738"/>
      <w:bookmarkStart w:id="3" w:name="_Toc30567"/>
      <w:r>
        <w:rPr>
          <w:rFonts w:hint="default" w:ascii="Times New Roman" w:hAnsi="Times New Roman" w:eastAsia="黑体" w:cs="Times New Roman"/>
          <w:bCs/>
          <w:color w:val="auto"/>
          <w:kern w:val="0"/>
          <w:sz w:val="32"/>
          <w:szCs w:val="32"/>
          <w:highlight w:val="none"/>
        </w:rPr>
        <w:t>一、主要职能</w:t>
      </w:r>
      <w:bookmarkEnd w:id="2"/>
      <w:bookmarkEnd w:id="3"/>
    </w:p>
    <w:p w14:paraId="7EB9FD00">
      <w:pPr>
        <w:ind w:firstLine="640" w:firstLineChars="200"/>
        <w:rPr>
          <w:rFonts w:hint="eastAsia" w:ascii="Times New Roman" w:hAnsi="Times New Roman" w:eastAsia="仿宋_GB2312" w:cs="Times New Roman"/>
          <w:sz w:val="32"/>
          <w:szCs w:val="32"/>
          <w:lang w:eastAsia="zh-CN"/>
        </w:rPr>
      </w:pPr>
      <w:bookmarkStart w:id="4" w:name="_Toc31238"/>
      <w:bookmarkStart w:id="5" w:name="_Toc2151"/>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rPr>
        <w:t>）塔里木河流域干流管理局的主要工作职</w:t>
      </w:r>
      <w:r>
        <w:rPr>
          <w:rFonts w:hint="eastAsia" w:eastAsia="仿宋_GB2312" w:cs="Times New Roman"/>
          <w:sz w:val="32"/>
          <w:szCs w:val="32"/>
          <w:lang w:val="en-US" w:eastAsia="zh-CN"/>
        </w:rPr>
        <w:t>能是：为合理配置水资源，维护塔里木河干流</w:t>
      </w:r>
      <w:r>
        <w:rPr>
          <w:rFonts w:hint="default" w:ascii="Times New Roman" w:hAnsi="Times New Roman" w:eastAsia="仿宋_GB2312" w:cs="Times New Roman"/>
          <w:sz w:val="32"/>
          <w:szCs w:val="32"/>
        </w:rPr>
        <w:t>生态提供管理服务</w:t>
      </w:r>
      <w:r>
        <w:rPr>
          <w:rFonts w:hint="eastAsia" w:eastAsia="仿宋_GB2312" w:cs="Times New Roman"/>
          <w:sz w:val="32"/>
          <w:szCs w:val="32"/>
          <w:lang w:eastAsia="zh-CN"/>
        </w:rPr>
        <w:t>。</w:t>
      </w:r>
      <w:r>
        <w:rPr>
          <w:rFonts w:hint="eastAsia" w:eastAsia="仿宋_GB2312" w:cs="Times New Roman"/>
          <w:sz w:val="32"/>
          <w:szCs w:val="32"/>
          <w:lang w:val="en-US" w:eastAsia="zh-CN"/>
        </w:rPr>
        <w:t>塔里木河干流水资源管理、流域综合治理和监督</w:t>
      </w:r>
      <w:r>
        <w:rPr>
          <w:rFonts w:hint="default" w:ascii="Times New Roman" w:hAnsi="Times New Roman" w:eastAsia="仿宋_GB2312" w:cs="Times New Roman"/>
          <w:sz w:val="32"/>
          <w:szCs w:val="32"/>
        </w:rPr>
        <w:t>等。</w:t>
      </w:r>
    </w:p>
    <w:p w14:paraId="61B729A2">
      <w:pPr>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rPr>
        <w:t>）塔里木河流域干流管理局上游管理处的主要工作职能是：为塔里木河干流上游水利工程提供管理保障，做好塔里木河肖夹克至英巴扎河段水资源管理、河道管理、水利工程的运行管理工作，协调水事关系及干流上游水量调配。</w:t>
      </w:r>
    </w:p>
    <w:p w14:paraId="1AE810DB">
      <w:pPr>
        <w:ind w:firstLine="640" w:firstLineChars="20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rPr>
        <w:t>）塔里木河流域干流管理局中游管理处的主要工作职能是：</w:t>
      </w:r>
      <w:r>
        <w:rPr>
          <w:rFonts w:hint="eastAsia" w:ascii="Times New Roman" w:hAnsi="Times New Roman" w:eastAsia="仿宋_GB2312" w:cs="Times New Roman"/>
          <w:sz w:val="32"/>
          <w:szCs w:val="32"/>
          <w:lang w:val="en-US" w:eastAsia="zh-CN"/>
        </w:rPr>
        <w:t>为塔里木河干流中游水利工程提供管理保障。塔里木河英巴扎至恰拉河段水资源管理、河道管理、水利工程的运行管理、协调水事关系、干流中游水量调配。</w:t>
      </w:r>
    </w:p>
    <w:p w14:paraId="20F6C2F8">
      <w:pPr>
        <w:ind w:firstLine="640" w:firstLineChars="200"/>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rPr>
        <w:t>）塔里木河流域干流管理局下游管理处的主要工作职能是：为塔里木河干流下游水利工程提供管理保障，做好塔里木河恰拉至台特玛湖水资源管理、河道管理、水利工程的运行管理工作，协调水事关系及干流上游水量调配。</w:t>
      </w:r>
    </w:p>
    <w:p w14:paraId="7B2831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r>
        <w:rPr>
          <w:rFonts w:hint="default" w:ascii="Times New Roman" w:hAnsi="Times New Roman" w:eastAsia="黑体" w:cs="Times New Roman"/>
          <w:bCs/>
          <w:color w:val="auto"/>
          <w:kern w:val="0"/>
          <w:sz w:val="32"/>
          <w:szCs w:val="32"/>
          <w:highlight w:val="none"/>
        </w:rPr>
        <w:t>二、机构设置</w:t>
      </w:r>
      <w:r>
        <w:rPr>
          <w:rFonts w:hint="default" w:ascii="Times New Roman" w:hAnsi="Times New Roman" w:eastAsia="黑体" w:cs="Times New Roman"/>
          <w:bCs/>
          <w:color w:val="auto"/>
          <w:kern w:val="0"/>
          <w:sz w:val="32"/>
          <w:szCs w:val="32"/>
          <w:highlight w:val="none"/>
          <w:lang w:eastAsia="zh-CN"/>
        </w:rPr>
        <w:t>及</w:t>
      </w:r>
      <w:bookmarkEnd w:id="4"/>
      <w:r>
        <w:rPr>
          <w:rFonts w:hint="default" w:ascii="Times New Roman" w:hAnsi="Times New Roman" w:eastAsia="黑体" w:cs="Times New Roman"/>
          <w:bCs/>
          <w:color w:val="auto"/>
          <w:kern w:val="0"/>
          <w:sz w:val="32"/>
          <w:szCs w:val="32"/>
          <w:highlight w:val="none"/>
          <w:lang w:eastAsia="zh-CN"/>
        </w:rPr>
        <w:t>人员</w:t>
      </w:r>
      <w:r>
        <w:rPr>
          <w:rFonts w:hint="default" w:ascii="Times New Roman" w:hAnsi="Times New Roman" w:eastAsia="黑体" w:cs="Times New Roman"/>
          <w:bCs/>
          <w:color w:val="auto"/>
          <w:kern w:val="0"/>
          <w:sz w:val="32"/>
          <w:szCs w:val="32"/>
          <w:highlight w:val="none"/>
        </w:rPr>
        <w:t>情况</w:t>
      </w:r>
      <w:bookmarkEnd w:id="5"/>
    </w:p>
    <w:p w14:paraId="1D10D4C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新疆维吾尔自治区塔里木河流域干流管理局</w:t>
      </w:r>
      <w:r>
        <w:rPr>
          <w:rFonts w:hint="default" w:ascii="Times New Roman" w:hAnsi="Times New Roman" w:eastAsia="仿宋_GB2312" w:cs="Times New Roman"/>
          <w:color w:val="auto"/>
          <w:sz w:val="32"/>
          <w:szCs w:val="32"/>
          <w:highlight w:val="none"/>
          <w:lang w:eastAsia="zh-CN"/>
        </w:rPr>
        <w:t>2023年度，</w:t>
      </w:r>
      <w:r>
        <w:rPr>
          <w:rFonts w:hint="default" w:ascii="Times New Roman" w:hAnsi="Times New Roman" w:eastAsia="仿宋_GB2312" w:cs="Times New Roman"/>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148</w:t>
      </w:r>
      <w:r>
        <w:rPr>
          <w:rFonts w:hint="default" w:ascii="Times New Roman" w:hAnsi="Times New Roman" w:eastAsia="仿宋_GB2312" w:cs="Times New Roman"/>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134</w:t>
      </w:r>
      <w:r>
        <w:rPr>
          <w:rFonts w:hint="default" w:ascii="Times New Roman" w:hAnsi="Times New Roman" w:eastAsia="仿宋_GB2312" w:cs="Times New Roman"/>
          <w:color w:val="auto"/>
          <w:sz w:val="32"/>
          <w:szCs w:val="32"/>
          <w:highlight w:val="none"/>
        </w:rPr>
        <w:t>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0</w:t>
      </w:r>
      <w:r>
        <w:rPr>
          <w:rFonts w:hint="default" w:ascii="Times New Roman" w:hAnsi="Times New Roman" w:eastAsia="仿宋_GB2312" w:cs="Times New Roman"/>
          <w:color w:val="auto"/>
          <w:sz w:val="32"/>
          <w:szCs w:val="32"/>
          <w:highlight w:val="none"/>
        </w:rPr>
        <w:t>人，退休人员</w:t>
      </w:r>
      <w:r>
        <w:rPr>
          <w:rFonts w:hint="default" w:ascii="Times New Roman" w:hAnsi="Times New Roman" w:eastAsia="仿宋_GB2312" w:cs="Times New Roman"/>
          <w:color w:val="auto"/>
          <w:sz w:val="32"/>
          <w:szCs w:val="32"/>
          <w:highlight w:val="none"/>
          <w:lang w:val="zh-CN" w:eastAsia="zh-CN"/>
        </w:rPr>
        <w:t>14</w:t>
      </w:r>
      <w:r>
        <w:rPr>
          <w:rFonts w:hint="default" w:ascii="Times New Roman" w:hAnsi="Times New Roman" w:eastAsia="仿宋_GB2312" w:cs="Times New Roman"/>
          <w:color w:val="auto"/>
          <w:sz w:val="32"/>
          <w:szCs w:val="32"/>
          <w:highlight w:val="none"/>
        </w:rPr>
        <w:t>人。</w:t>
      </w:r>
    </w:p>
    <w:p w14:paraId="60A6649D">
      <w:pPr>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从</w:t>
      </w:r>
      <w:r>
        <w:rPr>
          <w:rFonts w:hint="default" w:ascii="Times New Roman" w:hAnsi="Times New Roman" w:eastAsia="仿宋_GB2312" w:cs="Times New Roman"/>
          <w:color w:val="auto"/>
          <w:sz w:val="32"/>
          <w:szCs w:val="32"/>
          <w:highlight w:val="none"/>
          <w:lang w:eastAsia="zh-CN"/>
        </w:rPr>
        <w:t>部门</w:t>
      </w:r>
      <w:r>
        <w:rPr>
          <w:rFonts w:hint="default" w:ascii="Times New Roman" w:hAnsi="Times New Roman" w:eastAsia="仿宋_GB2312" w:cs="Times New Roman"/>
          <w:color w:val="auto"/>
          <w:sz w:val="32"/>
          <w:szCs w:val="32"/>
          <w:highlight w:val="none"/>
        </w:rPr>
        <w:t>决算单位构成看，</w:t>
      </w:r>
      <w:r>
        <w:rPr>
          <w:rFonts w:hint="default" w:ascii="Times New Roman" w:hAnsi="Times New Roman" w:eastAsia="仿宋_GB2312" w:cs="Times New Roman"/>
          <w:sz w:val="32"/>
          <w:szCs w:val="32"/>
        </w:rPr>
        <w:t>新疆维吾尔自治区塔里木河流域干流管理局</w:t>
      </w:r>
      <w:r>
        <w:rPr>
          <w:rFonts w:hint="default" w:ascii="Times New Roman" w:hAnsi="Times New Roman" w:eastAsia="仿宋_GB2312" w:cs="Times New Roman"/>
          <w:color w:val="auto"/>
          <w:sz w:val="32"/>
          <w:szCs w:val="32"/>
          <w:highlight w:val="none"/>
        </w:rPr>
        <w:t>部门决算包括：</w:t>
      </w:r>
      <w:r>
        <w:rPr>
          <w:rFonts w:hint="default" w:ascii="Times New Roman" w:hAnsi="Times New Roman" w:eastAsia="仿宋_GB2312" w:cs="Times New Roman"/>
          <w:sz w:val="32"/>
          <w:szCs w:val="32"/>
        </w:rPr>
        <w:t>新疆维吾尔自治区塔里木河流域干流管理局本级</w:t>
      </w:r>
      <w:r>
        <w:rPr>
          <w:rFonts w:hint="default" w:ascii="Times New Roman" w:hAnsi="Times New Roman" w:eastAsia="仿宋_GB2312" w:cs="Times New Roman"/>
          <w:color w:val="auto"/>
          <w:sz w:val="32"/>
          <w:szCs w:val="32"/>
          <w:highlight w:val="none"/>
        </w:rPr>
        <w:t>决算</w:t>
      </w:r>
      <w:r>
        <w:rPr>
          <w:rFonts w:hint="default" w:ascii="Times New Roman" w:hAnsi="Times New Roman" w:eastAsia="仿宋_GB2312" w:cs="Times New Roman"/>
          <w:color w:val="auto"/>
          <w:sz w:val="32"/>
          <w:szCs w:val="32"/>
          <w:highlight w:val="none"/>
          <w:lang w:eastAsia="zh-CN"/>
        </w:rPr>
        <w:t>及</w:t>
      </w:r>
      <w:r>
        <w:rPr>
          <w:rFonts w:hint="default" w:ascii="Times New Roman" w:hAnsi="Times New Roman" w:eastAsia="仿宋_GB2312" w:cs="Times New Roman"/>
          <w:color w:val="auto"/>
          <w:sz w:val="32"/>
          <w:szCs w:val="32"/>
          <w:highlight w:val="none"/>
        </w:rPr>
        <w:t>所属单位决算。</w:t>
      </w:r>
    </w:p>
    <w:p w14:paraId="5971F17E">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新疆维吾尔自治区塔里木河流域干流管理局</w:t>
      </w:r>
      <w:r>
        <w:rPr>
          <w:rFonts w:hint="default" w:ascii="Times New Roman" w:hAnsi="Times New Roman" w:eastAsia="仿宋_GB2312" w:cs="Times New Roman"/>
          <w:kern w:val="0"/>
          <w:sz w:val="32"/>
          <w:szCs w:val="32"/>
        </w:rPr>
        <w:t>本级</w:t>
      </w:r>
      <w:r>
        <w:rPr>
          <w:rFonts w:hint="default" w:ascii="Times New Roman" w:hAnsi="Times New Roman" w:eastAsia="仿宋_GB2312" w:cs="Times New Roman"/>
          <w:bCs/>
          <w:kern w:val="0"/>
          <w:sz w:val="32"/>
          <w:szCs w:val="32"/>
        </w:rPr>
        <w:t>下设</w:t>
      </w:r>
      <w:r>
        <w:rPr>
          <w:rFonts w:hint="default" w:ascii="Times New Roman" w:hAnsi="Times New Roman" w:eastAsia="仿宋_GB2312" w:cs="Times New Roman"/>
          <w:sz w:val="32"/>
          <w:szCs w:val="32"/>
        </w:rPr>
        <w:t>9</w:t>
      </w:r>
      <w:r>
        <w:rPr>
          <w:rFonts w:hint="default" w:ascii="Times New Roman" w:hAnsi="Times New Roman" w:eastAsia="仿宋_GB2312" w:cs="Times New Roman"/>
          <w:bCs/>
          <w:kern w:val="0"/>
          <w:sz w:val="32"/>
          <w:szCs w:val="32"/>
        </w:rPr>
        <w:t>个处室，分别是：办公室、组织人事科、财务审计科、水量调度信息科、机关服务中心、规划与建设管理科（安监科）、水政水资源科、纪检监察室、工会</w:t>
      </w:r>
      <w:r>
        <w:rPr>
          <w:rFonts w:hint="default" w:ascii="Times New Roman" w:hAnsi="Times New Roman" w:eastAsia="仿宋_GB2312" w:cs="Times New Roman"/>
          <w:kern w:val="0"/>
          <w:sz w:val="32"/>
          <w:szCs w:val="32"/>
        </w:rPr>
        <w:t>。</w:t>
      </w:r>
    </w:p>
    <w:p w14:paraId="5F12467C">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sz w:val="32"/>
          <w:szCs w:val="32"/>
        </w:rPr>
        <w:t>纳入新疆维吾尔自治区塔里木河流域干流管理局</w:t>
      </w: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pacing w:val="0"/>
          <w:sz w:val="32"/>
          <w:szCs w:val="32"/>
          <w:highlight w:val="none"/>
        </w:rPr>
        <w:t>部门决算编制范围的</w:t>
      </w:r>
      <w:r>
        <w:rPr>
          <w:rFonts w:hint="default" w:ascii="Times New Roman" w:hAnsi="Times New Roman" w:eastAsia="仿宋_GB2312" w:cs="Times New Roman"/>
          <w:color w:val="auto"/>
          <w:spacing w:val="0"/>
          <w:sz w:val="32"/>
          <w:szCs w:val="32"/>
          <w:highlight w:val="none"/>
          <w:lang w:val="en-US" w:eastAsia="zh-CN"/>
        </w:rPr>
        <w:t>下属预算</w:t>
      </w:r>
      <w:r>
        <w:rPr>
          <w:rFonts w:hint="default" w:ascii="Times New Roman" w:hAnsi="Times New Roman" w:eastAsia="仿宋_GB2312" w:cs="Times New Roman"/>
          <w:color w:val="auto"/>
          <w:spacing w:val="0"/>
          <w:sz w:val="32"/>
          <w:szCs w:val="32"/>
          <w:highlight w:val="none"/>
        </w:rPr>
        <w:t>单位</w:t>
      </w:r>
      <w:r>
        <w:rPr>
          <w:rFonts w:hint="default" w:ascii="Times New Roman" w:hAnsi="Times New Roman" w:eastAsia="仿宋_GB2312" w:cs="Times New Roman"/>
          <w:color w:val="auto"/>
          <w:spacing w:val="0"/>
          <w:sz w:val="32"/>
          <w:szCs w:val="32"/>
          <w:highlight w:val="none"/>
          <w:lang w:val="en-US" w:eastAsia="zh-CN"/>
        </w:rPr>
        <w:t>包括</w:t>
      </w:r>
      <w:r>
        <w:rPr>
          <w:rFonts w:hint="default" w:ascii="Times New Roman" w:hAnsi="Times New Roman" w:eastAsia="仿宋_GB2312" w:cs="Times New Roman"/>
          <w:color w:val="auto"/>
          <w:spacing w:val="0"/>
          <w:sz w:val="32"/>
          <w:szCs w:val="32"/>
          <w:highlight w:val="none"/>
          <w:lang w:eastAsia="zh-CN"/>
        </w:rPr>
        <w:t>：</w:t>
      </w:r>
    </w:p>
    <w:p w14:paraId="472CEB72">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Times New Roman" w:hAnsi="Times New Roman" w:eastAsia="仿宋_GB2312" w:cs="Times New Roman"/>
          <w:sz w:val="32"/>
          <w:szCs w:val="32"/>
          <w:lang w:val="en-US" w:eastAsia="zh-CN"/>
        </w:rPr>
      </w:pPr>
      <w:bookmarkStart w:id="6" w:name="_Toc3092"/>
      <w:bookmarkStart w:id="7" w:name="_Toc29374"/>
      <w:r>
        <w:rPr>
          <w:rFonts w:hint="default" w:ascii="Times New Roman" w:hAnsi="Times New Roman" w:eastAsia="仿宋_GB2312" w:cs="Times New Roman"/>
          <w:color w:val="auto"/>
          <w:spacing w:val="0"/>
          <w:sz w:val="32"/>
          <w:szCs w:val="32"/>
          <w:highlight w:val="none"/>
          <w:lang w:val="en-US" w:eastAsia="zh-CN"/>
        </w:rPr>
        <w:t>1.</w:t>
      </w:r>
      <w:r>
        <w:rPr>
          <w:rFonts w:hint="default" w:ascii="Times New Roman" w:hAnsi="Times New Roman" w:eastAsia="仿宋_GB2312" w:cs="Times New Roman"/>
          <w:sz w:val="32"/>
          <w:szCs w:val="32"/>
        </w:rPr>
        <w:t>新疆维吾尔自治区塔里木河流域干流管理局</w:t>
      </w:r>
      <w:r>
        <w:rPr>
          <w:rFonts w:hint="default" w:ascii="Times New Roman" w:hAnsi="Times New Roman" w:eastAsia="仿宋_GB2312" w:cs="Times New Roman"/>
          <w:sz w:val="32"/>
          <w:szCs w:val="32"/>
          <w:lang w:val="en-US" w:eastAsia="zh-CN"/>
        </w:rPr>
        <w:t>机关</w:t>
      </w:r>
    </w:p>
    <w:p w14:paraId="20A4360D">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pacing w:val="0"/>
          <w:sz w:val="32"/>
          <w:szCs w:val="32"/>
          <w:highlight w:val="none"/>
          <w:lang w:val="en-US" w:eastAsia="zh-CN"/>
        </w:rPr>
        <w:t>2.</w:t>
      </w:r>
      <w:r>
        <w:rPr>
          <w:rFonts w:hint="default" w:ascii="Times New Roman" w:hAnsi="Times New Roman" w:eastAsia="仿宋_GB2312" w:cs="Times New Roman"/>
          <w:sz w:val="32"/>
          <w:szCs w:val="32"/>
        </w:rPr>
        <w:t>新疆维吾尔自治区塔里木河流域干流管理局</w:t>
      </w:r>
      <w:r>
        <w:rPr>
          <w:rFonts w:hint="default" w:ascii="Times New Roman" w:hAnsi="Times New Roman" w:eastAsia="仿宋_GB2312" w:cs="Times New Roman"/>
          <w:sz w:val="32"/>
          <w:szCs w:val="32"/>
          <w:lang w:val="en-US" w:eastAsia="zh-CN"/>
        </w:rPr>
        <w:t>上游管理处</w:t>
      </w:r>
    </w:p>
    <w:p w14:paraId="7CBE009B">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pacing w:val="0"/>
          <w:sz w:val="32"/>
          <w:szCs w:val="32"/>
          <w:highlight w:val="none"/>
          <w:lang w:val="en-US" w:eastAsia="zh-CN"/>
        </w:rPr>
        <w:t>3.</w:t>
      </w:r>
      <w:r>
        <w:rPr>
          <w:rFonts w:hint="default" w:ascii="Times New Roman" w:hAnsi="Times New Roman" w:eastAsia="仿宋_GB2312" w:cs="Times New Roman"/>
          <w:sz w:val="32"/>
          <w:szCs w:val="32"/>
        </w:rPr>
        <w:t>新疆维吾尔自治区塔里木河流域干流管理局</w:t>
      </w:r>
      <w:r>
        <w:rPr>
          <w:rFonts w:hint="default" w:ascii="Times New Roman" w:hAnsi="Times New Roman" w:eastAsia="仿宋_GB2312" w:cs="Times New Roman"/>
          <w:sz w:val="32"/>
          <w:szCs w:val="32"/>
          <w:lang w:val="en-US" w:eastAsia="zh-CN"/>
        </w:rPr>
        <w:t>中游管理处</w:t>
      </w:r>
    </w:p>
    <w:p w14:paraId="72A9DC36">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pacing w:val="0"/>
          <w:sz w:val="32"/>
          <w:szCs w:val="32"/>
          <w:highlight w:val="none"/>
          <w:lang w:val="en-US" w:eastAsia="zh-CN"/>
        </w:rPr>
        <w:t>4.</w:t>
      </w:r>
      <w:r>
        <w:rPr>
          <w:rFonts w:hint="default" w:ascii="Times New Roman" w:hAnsi="Times New Roman" w:eastAsia="仿宋_GB2312" w:cs="Times New Roman"/>
          <w:sz w:val="32"/>
          <w:szCs w:val="32"/>
        </w:rPr>
        <w:t>新疆维吾尔自治区塔里木河流域干流管理局</w:t>
      </w:r>
      <w:r>
        <w:rPr>
          <w:rFonts w:hint="default" w:ascii="Times New Roman" w:hAnsi="Times New Roman" w:eastAsia="仿宋_GB2312" w:cs="Times New Roman"/>
          <w:sz w:val="32"/>
          <w:szCs w:val="32"/>
          <w:lang w:val="en-US" w:eastAsia="zh-CN"/>
        </w:rPr>
        <w:t>下游管理处</w:t>
      </w:r>
    </w:p>
    <w:p w14:paraId="645F93E8">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Times New Roman" w:hAnsi="Times New Roman" w:eastAsia="仿宋_GB2312" w:cs="Times New Roman"/>
          <w:sz w:val="32"/>
          <w:szCs w:val="32"/>
          <w:lang w:val="en-US" w:eastAsia="zh-CN"/>
        </w:rPr>
      </w:pPr>
    </w:p>
    <w:p w14:paraId="362F52C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7E4FE00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7C4D8FF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5266B15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2E2AD14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22E8CE2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4444A26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二</w:t>
      </w:r>
      <w:r>
        <w:rPr>
          <w:rFonts w:hint="default" w:ascii="Times New Roman" w:hAnsi="Times New Roman" w:eastAsia="黑体" w:cs="Times New Roman"/>
          <w:color w:val="auto"/>
          <w:sz w:val="32"/>
          <w:szCs w:val="32"/>
          <w:highlight w:val="none"/>
        </w:rPr>
        <w:t>部分 部门决算情况说明</w:t>
      </w:r>
      <w:bookmarkEnd w:id="6"/>
      <w:bookmarkEnd w:id="7"/>
    </w:p>
    <w:p w14:paraId="23D4F62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8" w:name="_Toc12566"/>
      <w:bookmarkStart w:id="9" w:name="_Toc25314"/>
      <w:r>
        <w:rPr>
          <w:rFonts w:hint="default" w:ascii="Times New Roman" w:hAnsi="Times New Roman" w:eastAsia="黑体" w:cs="Times New Roman"/>
          <w:bCs/>
          <w:color w:val="auto"/>
          <w:kern w:val="0"/>
          <w:sz w:val="32"/>
          <w:szCs w:val="32"/>
          <w:highlight w:val="none"/>
        </w:rPr>
        <w:t>一、收入支出决算总体情况说明</w:t>
      </w:r>
      <w:bookmarkEnd w:id="8"/>
      <w:bookmarkEnd w:id="9"/>
    </w:p>
    <w:p w14:paraId="02A9298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5,282.62万元，</w:t>
      </w:r>
      <w:r>
        <w:rPr>
          <w:rFonts w:hint="default" w:ascii="Times New Roman" w:hAnsi="Times New Roman" w:eastAsia="仿宋_GB2312" w:cs="Times New Roman"/>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5,282.62万元，使用非财政拨款结余0.00万元，年初结转和结余0.00万元。</w:t>
      </w:r>
    </w:p>
    <w:p w14:paraId="1B5EA3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default" w:ascii="Times New Roman" w:hAnsi="Times New Roman" w:eastAsia="仿宋_GB2312" w:cs="Times New Roman"/>
          <w:color w:val="auto"/>
          <w:spacing w:val="0"/>
          <w:sz w:val="32"/>
          <w:szCs w:val="32"/>
          <w:highlight w:val="none"/>
          <w:lang w:eastAsia="zh-CN"/>
        </w:rPr>
        <w:t>年</w:t>
      </w:r>
      <w:r>
        <w:rPr>
          <w:rFonts w:hint="default" w:ascii="Times New Roman" w:hAnsi="Times New Roman" w:eastAsia="仿宋_GB2312" w:cs="Times New Roman"/>
          <w:color w:val="auto"/>
          <w:spacing w:val="0"/>
          <w:sz w:val="32"/>
          <w:szCs w:val="32"/>
          <w:highlight w:val="none"/>
          <w:lang w:val="en-US" w:eastAsia="zh-CN"/>
        </w:rPr>
        <w:t>度</w:t>
      </w:r>
      <w:r>
        <w:rPr>
          <w:rFonts w:hint="default" w:ascii="Times New Roman" w:hAnsi="Times New Roman" w:eastAsia="仿宋_GB2312" w:cs="Times New Roman"/>
          <w:color w:val="auto"/>
          <w:spacing w:val="0"/>
          <w:sz w:val="32"/>
          <w:szCs w:val="32"/>
          <w:highlight w:val="none"/>
          <w:lang w:eastAsia="zh-CN"/>
        </w:rPr>
        <w:t>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5,282.62万元，</w:t>
      </w:r>
      <w:r>
        <w:rPr>
          <w:rFonts w:hint="default" w:ascii="Times New Roman" w:hAnsi="Times New Roman" w:eastAsia="仿宋_GB2312" w:cs="Times New Roman"/>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5,282.62万元，</w:t>
      </w:r>
      <w:r>
        <w:rPr>
          <w:rFonts w:hint="default" w:ascii="Times New Roman" w:hAnsi="Times New Roman" w:eastAsia="仿宋_GB2312" w:cs="Times New Roman"/>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0.00万元，年末结转和结余0.00万元。</w:t>
      </w:r>
    </w:p>
    <w:p w14:paraId="559B2A8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收入支出总体与上年相比</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减少492.00万元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en-US" w:eastAsia="zh-CN"/>
        </w:rPr>
        <w:t>下降8.52%</w:t>
      </w:r>
      <w:r>
        <w:rPr>
          <w:rFonts w:hint="default" w:ascii="Times New Roman" w:hAnsi="Times New Roman" w:eastAsia="仿宋_GB2312" w:cs="Times New Roman"/>
          <w:color w:val="auto"/>
          <w:spacing w:val="0"/>
          <w:sz w:val="32"/>
          <w:szCs w:val="32"/>
          <w:highlight w:val="none"/>
          <w:lang w:eastAsia="zh-CN"/>
        </w:rPr>
        <w:t>，主要原因是：2022年综合经营收入是2483.87万元，2023年综合经营收入是1464万元，减少了1019.87万元。</w:t>
      </w:r>
    </w:p>
    <w:p w14:paraId="381ECF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rPr>
      </w:pPr>
      <w:bookmarkStart w:id="10" w:name="_Toc12142"/>
      <w:bookmarkStart w:id="11" w:name="_Toc1979"/>
      <w:r>
        <w:rPr>
          <w:rFonts w:hint="default" w:ascii="Times New Roman" w:hAnsi="Times New Roman" w:eastAsia="黑体" w:cs="Times New Roman"/>
          <w:bCs/>
          <w:color w:val="auto"/>
          <w:kern w:val="0"/>
          <w:sz w:val="32"/>
          <w:szCs w:val="32"/>
          <w:highlight w:val="none"/>
          <w:lang w:eastAsia="zh-CN"/>
        </w:rPr>
        <w:t>二、</w:t>
      </w:r>
      <w:r>
        <w:rPr>
          <w:rFonts w:hint="default" w:ascii="Times New Roman" w:hAnsi="Times New Roman" w:eastAsia="黑体" w:cs="Times New Roman"/>
          <w:bCs/>
          <w:color w:val="auto"/>
          <w:kern w:val="0"/>
          <w:sz w:val="32"/>
          <w:szCs w:val="32"/>
          <w:highlight w:val="none"/>
        </w:rPr>
        <w:t>收入</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情况说明</w:t>
      </w:r>
      <w:bookmarkEnd w:id="10"/>
      <w:bookmarkEnd w:id="11"/>
    </w:p>
    <w:p w14:paraId="7FDF33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5,282.62</w:t>
      </w:r>
      <w:r>
        <w:rPr>
          <w:rFonts w:hint="default" w:ascii="Times New Roman" w:hAnsi="Times New Roman" w:eastAsia="仿宋_GB2312" w:cs="Times New Roman"/>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3,818.62</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72.29</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1,464.00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27.71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p>
    <w:p w14:paraId="2EDF7CE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2" w:name="_Toc13201"/>
      <w:bookmarkStart w:id="13" w:name="_Toc27961"/>
      <w:r>
        <w:rPr>
          <w:rFonts w:hint="default" w:ascii="Times New Roman" w:hAnsi="Times New Roman" w:eastAsia="黑体" w:cs="Times New Roman"/>
          <w:bCs/>
          <w:color w:val="auto"/>
          <w:kern w:val="0"/>
          <w:sz w:val="32"/>
          <w:szCs w:val="32"/>
          <w:highlight w:val="none"/>
          <w:lang w:eastAsia="zh-CN"/>
        </w:rPr>
        <w:t>三、支出决算情况说明</w:t>
      </w:r>
      <w:bookmarkEnd w:id="12"/>
      <w:bookmarkEnd w:id="13"/>
    </w:p>
    <w:p w14:paraId="324C4F7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0"/>
          <w:szCs w:val="30"/>
          <w:highlight w:val="none"/>
          <w:lang w:val="zh-CN" w:eastAsia="zh-CN"/>
        </w:rPr>
      </w:pPr>
      <w:r>
        <w:rPr>
          <w:rFonts w:hint="default" w:ascii="Times New Roman" w:hAnsi="Times New Roman" w:eastAsia="仿宋_GB2312" w:cs="Times New Roman"/>
          <w:color w:val="auto"/>
          <w:sz w:val="32"/>
          <w:szCs w:val="32"/>
          <w:highlight w:val="none"/>
          <w:lang w:val="zh-CN" w:eastAsia="zh-CN"/>
        </w:rPr>
        <w:t>本年支出5,282.62万元，其中：基本支出2,745.62万元，占51.97%；项目支出1,073.00万元，占20.31%；上缴上级支出0.00万元，占0.00%；经营支出1,464.00万元，占27.71%；对附属单位补助支出0.00万元，占0.00%。</w:t>
      </w:r>
    </w:p>
    <w:p w14:paraId="0F3D407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4" w:name="_Toc4393"/>
      <w:bookmarkStart w:id="15" w:name="_Toc26564"/>
      <w:r>
        <w:rPr>
          <w:rFonts w:hint="default" w:ascii="Times New Roman" w:hAnsi="Times New Roman" w:eastAsia="黑体" w:cs="Times New Roman"/>
          <w:bCs/>
          <w:color w:val="auto"/>
          <w:kern w:val="0"/>
          <w:sz w:val="32"/>
          <w:szCs w:val="32"/>
          <w:highlight w:val="none"/>
          <w:lang w:eastAsia="zh-CN"/>
        </w:rPr>
        <w:t>四、财政拨款收入支出决算总体情况说明</w:t>
      </w:r>
      <w:bookmarkEnd w:id="14"/>
      <w:bookmarkEnd w:id="15"/>
    </w:p>
    <w:p w14:paraId="102910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2023年度财政拨款收入</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3,818.62</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3,818.62</w:t>
      </w:r>
      <w:r>
        <w:rPr>
          <w:rFonts w:hint="default" w:ascii="Times New Roman" w:hAnsi="Times New Roman" w:eastAsia="仿宋_GB2312" w:cs="Times New Roman"/>
          <w:color w:val="auto"/>
          <w:spacing w:val="0"/>
          <w:sz w:val="32"/>
          <w:szCs w:val="32"/>
          <w:highlight w:val="none"/>
          <w:lang w:eastAsia="zh-CN"/>
        </w:rPr>
        <w:t>万元。财政拨款支出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3,818.62</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3,818.62</w:t>
      </w:r>
      <w:r>
        <w:rPr>
          <w:rFonts w:hint="default" w:ascii="Times New Roman" w:hAnsi="Times New Roman" w:eastAsia="仿宋_GB2312" w:cs="Times New Roman"/>
          <w:color w:val="auto"/>
          <w:spacing w:val="0"/>
          <w:sz w:val="32"/>
          <w:szCs w:val="32"/>
          <w:highlight w:val="none"/>
          <w:lang w:eastAsia="zh-CN"/>
        </w:rPr>
        <w:t>万元。</w:t>
      </w:r>
    </w:p>
    <w:p w14:paraId="4B31132F">
      <w:pPr>
        <w:ind w:left="0" w:leftChars="0" w:firstLine="640" w:firstLineChars="0"/>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财政拨款收入支出总体与上年相比</w:t>
      </w:r>
      <w:r>
        <w:rPr>
          <w:rFonts w:hint="default" w:ascii="Times New Roman" w:hAnsi="Times New Roman"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pacing w:val="0"/>
          <w:sz w:val="32"/>
          <w:szCs w:val="32"/>
          <w:highlight w:val="none"/>
          <w:lang w:val="zh-CN" w:eastAsia="zh-CN"/>
        </w:rPr>
        <w:t>增加527.86万元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增长16.04%，</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auto"/>
          <w:spacing w:val="0"/>
          <w:sz w:val="32"/>
          <w:szCs w:val="32"/>
          <w:highlight w:val="none"/>
          <w:lang w:val="en-US" w:eastAsia="zh-CN"/>
        </w:rPr>
        <w:t>1.</w:t>
      </w:r>
      <w:r>
        <w:rPr>
          <w:rFonts w:hint="default" w:ascii="Times New Roman" w:hAnsi="Times New Roman" w:eastAsia="仿宋_GB2312" w:cs="Times New Roman"/>
          <w:color w:val="auto"/>
          <w:sz w:val="32"/>
          <w:szCs w:val="32"/>
          <w:lang w:val="en-US" w:eastAsia="zh-CN"/>
        </w:rPr>
        <w:t>项目支出上年度为990万元，本年度为1073万元，比上年增加83万元，增加原因是：2023年项目支出较2022年增加两个项目（</w:t>
      </w:r>
      <w:r>
        <w:rPr>
          <w:rFonts w:hint="default" w:ascii="Times New Roman" w:hAnsi="Times New Roman" w:eastAsia="仿宋_GB2312" w:cs="Times New Roman"/>
          <w:sz w:val="32"/>
          <w:szCs w:val="32"/>
          <w:highlight w:val="none"/>
          <w:lang w:val="en-US" w:eastAsia="zh-CN"/>
        </w:rPr>
        <w:t>水利技术推广30万元、防汛资金50万元</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基本支出上年度为2,300.76万元，本年度为2745.62万元，比上年增加444.86万元，增加原因是工资正常晋升调增、提高基础性绩效和基本工资调整，</w:t>
      </w:r>
      <w:r>
        <w:rPr>
          <w:rFonts w:hint="default" w:ascii="Times New Roman" w:hAnsi="Times New Roman" w:eastAsia="仿宋_GB2312" w:cs="Times New Roman"/>
          <w:sz w:val="32"/>
          <w:szCs w:val="32"/>
          <w:highlight w:val="none"/>
          <w:lang w:val="en-US" w:eastAsia="zh-CN"/>
        </w:rPr>
        <w:t>追加职业年金缴费。与年初预算相比，年初预算数2,767.26万元，决算数3,818.62万元，预决算差异率37.99%，主要原因是：1.2023年项目支出调增预算水利发展专项二次分配893万元、水利技术推广30万元、防汛资金50万元。2.基本支出</w:t>
      </w:r>
      <w:r>
        <w:rPr>
          <w:rFonts w:hint="default" w:ascii="Times New Roman" w:hAnsi="Times New Roman" w:eastAsia="仿宋_GB2312" w:cs="Times New Roman"/>
          <w:color w:val="auto"/>
          <w:spacing w:val="0"/>
          <w:sz w:val="32"/>
          <w:szCs w:val="32"/>
          <w:highlight w:val="none"/>
          <w:lang w:val="en-US" w:eastAsia="zh-CN"/>
        </w:rPr>
        <w:t>2023年</w:t>
      </w:r>
      <w:r>
        <w:rPr>
          <w:rFonts w:hint="default" w:ascii="Times New Roman" w:hAnsi="Times New Roman" w:eastAsia="仿宋_GB2312" w:cs="Times New Roman"/>
          <w:color w:val="auto"/>
          <w:spacing w:val="0"/>
          <w:sz w:val="32"/>
          <w:szCs w:val="32"/>
          <w:highlight w:val="none"/>
          <w:lang w:eastAsia="zh-CN"/>
        </w:rPr>
        <w:t>追加2022年职业年金缴费20.32万元</w:t>
      </w:r>
      <w:r>
        <w:rPr>
          <w:rFonts w:hint="default" w:ascii="Times New Roman" w:hAnsi="Times New Roman" w:eastAsia="仿宋_GB2312" w:cs="Times New Roman"/>
          <w:sz w:val="32"/>
          <w:szCs w:val="32"/>
          <w:highlight w:val="none"/>
          <w:lang w:val="en-US" w:eastAsia="zh-CN"/>
        </w:rPr>
        <w:t>。2022年度考核奖19.78万元。</w:t>
      </w:r>
    </w:p>
    <w:p w14:paraId="6BFAE1B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6" w:name="_Toc20360"/>
      <w:bookmarkStart w:id="17" w:name="_Toc13833"/>
      <w:r>
        <w:rPr>
          <w:rFonts w:hint="default" w:ascii="Times New Roman" w:hAnsi="Times New Roman" w:eastAsia="黑体" w:cs="Times New Roman"/>
          <w:bCs/>
          <w:color w:val="auto"/>
          <w:kern w:val="0"/>
          <w:sz w:val="32"/>
          <w:szCs w:val="32"/>
          <w:highlight w:val="none"/>
          <w:lang w:eastAsia="zh-CN"/>
        </w:rPr>
        <w:t>五、一般公共预算财政拨款支出决算情况说明</w:t>
      </w:r>
      <w:bookmarkEnd w:id="16"/>
      <w:bookmarkEnd w:id="17"/>
    </w:p>
    <w:p w14:paraId="65CB428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（一）一般公共预算财政拨款支出决算总体情况</w:t>
      </w:r>
    </w:p>
    <w:p w14:paraId="5DDAD38D">
      <w:pPr>
        <w:ind w:left="0" w:leftChars="0" w:firstLine="640" w:firstLineChars="0"/>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2023年度一般公共预算财政拨款支出3,818.62万元，占本年支出合计的</w:t>
      </w:r>
      <w:r>
        <w:rPr>
          <w:rFonts w:hint="default" w:ascii="Times New Roman" w:hAnsi="Times New Roman" w:eastAsia="仿宋_GB2312" w:cs="Times New Roman"/>
          <w:color w:val="auto"/>
          <w:spacing w:val="0"/>
          <w:sz w:val="32"/>
          <w:szCs w:val="32"/>
          <w:highlight w:val="none"/>
          <w:lang w:val="zh-CN" w:eastAsia="zh-CN"/>
        </w:rPr>
        <w:t>72.29%</w:t>
      </w:r>
      <w:r>
        <w:rPr>
          <w:rFonts w:hint="default" w:ascii="Times New Roman" w:hAnsi="Times New Roman" w:eastAsia="仿宋_GB2312" w:cs="Times New Roman"/>
          <w:color w:val="auto"/>
          <w:spacing w:val="0"/>
          <w:sz w:val="32"/>
          <w:szCs w:val="32"/>
          <w:highlight w:val="none"/>
          <w:lang w:eastAsia="zh-CN"/>
        </w:rPr>
        <w:t>。与上年相比，</w:t>
      </w:r>
      <w:r>
        <w:rPr>
          <w:rFonts w:hint="default" w:ascii="Times New Roman" w:hAnsi="Times New Roman" w:eastAsia="仿宋_GB2312" w:cs="Times New Roman"/>
          <w:color w:val="auto"/>
          <w:spacing w:val="0"/>
          <w:sz w:val="32"/>
          <w:szCs w:val="32"/>
          <w:highlight w:val="none"/>
          <w:lang w:val="zh-CN" w:eastAsia="zh-CN"/>
        </w:rPr>
        <w:t>增加527.86万元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增长16.04%，</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auto"/>
          <w:spacing w:val="0"/>
          <w:sz w:val="32"/>
          <w:szCs w:val="32"/>
          <w:highlight w:val="none"/>
          <w:lang w:val="en-US" w:eastAsia="zh-CN"/>
        </w:rPr>
        <w:t>1.</w:t>
      </w:r>
      <w:r>
        <w:rPr>
          <w:rFonts w:hint="default" w:ascii="Times New Roman" w:hAnsi="Times New Roman" w:eastAsia="仿宋_GB2312" w:cs="Times New Roman"/>
          <w:color w:val="auto"/>
          <w:sz w:val="32"/>
          <w:szCs w:val="32"/>
          <w:lang w:val="en-US" w:eastAsia="zh-CN"/>
        </w:rPr>
        <w:t>项目支出上年度为990万元，本年度为1073万元，比上年增加83万元，增加原因是：2023年项目支出较2022年增加两个项目（</w:t>
      </w:r>
      <w:r>
        <w:rPr>
          <w:rFonts w:hint="default" w:ascii="Times New Roman" w:hAnsi="Times New Roman" w:eastAsia="仿宋_GB2312" w:cs="Times New Roman"/>
          <w:sz w:val="32"/>
          <w:szCs w:val="32"/>
          <w:highlight w:val="none"/>
          <w:lang w:val="en-US" w:eastAsia="zh-CN"/>
        </w:rPr>
        <w:t>水利技术推广30万元、防汛资金50万元</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基本支出上年度为2,300.76万元，本年度为2745.62万元，比上年增加444.86万元，增加原因是工资正常晋升调增、提高基础性绩效和基本工资调整，</w:t>
      </w:r>
      <w:r>
        <w:rPr>
          <w:rFonts w:hint="default" w:ascii="Times New Roman" w:hAnsi="Times New Roman" w:eastAsia="仿宋_GB2312" w:cs="Times New Roman"/>
          <w:sz w:val="32"/>
          <w:szCs w:val="32"/>
          <w:highlight w:val="none"/>
          <w:lang w:val="en-US" w:eastAsia="zh-CN"/>
        </w:rPr>
        <w:t>追加职业年金缴费。与年初预算相比，年初预算数2,767.26万元，决算数3,818.62万元，预决算差异率37.99%，主要原因是：1.2023年项目支出调增预算水利发展专项二次分配893万元、水利技术推广30万元、防汛资金50万元。2.基本支出</w:t>
      </w:r>
      <w:r>
        <w:rPr>
          <w:rFonts w:hint="default" w:ascii="Times New Roman" w:hAnsi="Times New Roman" w:eastAsia="仿宋_GB2312" w:cs="Times New Roman"/>
          <w:color w:val="auto"/>
          <w:spacing w:val="0"/>
          <w:sz w:val="32"/>
          <w:szCs w:val="32"/>
          <w:highlight w:val="none"/>
          <w:lang w:val="en-US" w:eastAsia="zh-CN"/>
        </w:rPr>
        <w:t>2023年</w:t>
      </w:r>
      <w:r>
        <w:rPr>
          <w:rFonts w:hint="default" w:ascii="Times New Roman" w:hAnsi="Times New Roman" w:eastAsia="仿宋_GB2312" w:cs="Times New Roman"/>
          <w:color w:val="auto"/>
          <w:spacing w:val="0"/>
          <w:sz w:val="32"/>
          <w:szCs w:val="32"/>
          <w:highlight w:val="none"/>
          <w:lang w:eastAsia="zh-CN"/>
        </w:rPr>
        <w:t>追加2022年职业年金缴费20.32万元</w:t>
      </w:r>
      <w:r>
        <w:rPr>
          <w:rFonts w:hint="default" w:ascii="Times New Roman" w:hAnsi="Times New Roman" w:eastAsia="仿宋_GB2312" w:cs="Times New Roman"/>
          <w:sz w:val="32"/>
          <w:szCs w:val="32"/>
          <w:highlight w:val="none"/>
          <w:lang w:val="en-US" w:eastAsia="zh-CN"/>
        </w:rPr>
        <w:t>，2022年度考核奖19.78万元。</w:t>
      </w:r>
    </w:p>
    <w:p w14:paraId="2B33408A">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一般公共预算</w:t>
      </w:r>
      <w:r>
        <w:rPr>
          <w:rFonts w:hint="default" w:ascii="Times New Roman" w:hAnsi="Times New Roman" w:eastAsia="黑体" w:cs="Times New Roman"/>
          <w:color w:val="auto"/>
          <w:sz w:val="32"/>
          <w:szCs w:val="32"/>
          <w:highlight w:val="none"/>
          <w:lang w:val="en-US" w:eastAsia="zh-CN"/>
        </w:rPr>
        <w:t>财政拨款支出决算</w:t>
      </w:r>
      <w:r>
        <w:rPr>
          <w:rFonts w:hint="default" w:ascii="Times New Roman" w:hAnsi="Times New Roman" w:eastAsia="黑体" w:cs="Times New Roman"/>
          <w:color w:val="auto"/>
          <w:sz w:val="32"/>
          <w:szCs w:val="32"/>
          <w:highlight w:val="none"/>
          <w:lang w:eastAsia="zh-CN"/>
        </w:rPr>
        <w:t>结构情况</w:t>
      </w:r>
    </w:p>
    <w:p w14:paraId="17BF0164">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1</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社会保障和就业支出（类）298.31万元，占7.81%；</w:t>
      </w:r>
    </w:p>
    <w:p w14:paraId="0666B4B6">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2</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卫生健康支出（类）237.94万元，占6.23%；</w:t>
      </w:r>
    </w:p>
    <w:p w14:paraId="384F6081">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3</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农林水支出（类）3,085.45万元，占80.80%；</w:t>
      </w:r>
    </w:p>
    <w:p w14:paraId="06805824">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4</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住房保障支出（类）196.92万元，占5.16%；</w:t>
      </w:r>
    </w:p>
    <w:p w14:paraId="32CD49A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（三）一般公共预算财政拨款支出决算具体情况</w:t>
      </w:r>
    </w:p>
    <w:p w14:paraId="0B77F43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1.农林水支出（类）水利（款）防汛（项）:支出决算数为50.00万元，比上年决算增加50.00万元，增长100%，主要原因是：2023年追加了项目支出</w:t>
      </w:r>
      <w:r>
        <w:rPr>
          <w:rFonts w:hint="default" w:ascii="Times New Roman" w:hAnsi="Times New Roman" w:eastAsia="仿宋_GB2312" w:cs="Times New Roman"/>
          <w:sz w:val="32"/>
          <w:szCs w:val="32"/>
          <w:highlight w:val="none"/>
          <w:lang w:val="en-US" w:eastAsia="zh-CN"/>
        </w:rPr>
        <w:t>防汛资金50万元</w:t>
      </w:r>
      <w:r>
        <w:rPr>
          <w:rFonts w:hint="default" w:ascii="Times New Roman" w:hAnsi="Times New Roman" w:eastAsia="仿宋_GB2312" w:cs="Times New Roman"/>
          <w:color w:val="auto"/>
          <w:kern w:val="2"/>
          <w:sz w:val="32"/>
          <w:szCs w:val="32"/>
          <w:highlight w:val="none"/>
          <w:lang w:val="zh-CN" w:eastAsia="zh-CN" w:bidi="ar-SA"/>
        </w:rPr>
        <w:t>。</w:t>
      </w:r>
    </w:p>
    <w:p w14:paraId="23B3BD0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2.卫生健康支出（类）行政事业单位医疗（款）事业单位医疗（项）:支出决算数为123.07万元，比上年决算增加6.02万元，增长5.14%，主要原因是：因</w:t>
      </w:r>
      <w:r>
        <w:rPr>
          <w:rFonts w:hint="default" w:ascii="Times New Roman" w:hAnsi="Times New Roman" w:eastAsia="仿宋_GB2312" w:cs="Times New Roman"/>
          <w:sz w:val="32"/>
          <w:szCs w:val="32"/>
          <w:lang w:val="en-US" w:eastAsia="zh-CN"/>
        </w:rPr>
        <w:t>单位人员</w:t>
      </w:r>
      <w:r>
        <w:rPr>
          <w:rFonts w:hint="default" w:ascii="Times New Roman" w:hAnsi="Times New Roman" w:eastAsia="仿宋_GB2312" w:cs="Times New Roman"/>
          <w:sz w:val="32"/>
          <w:szCs w:val="32"/>
        </w:rPr>
        <w:t>岗位晋升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工资津补贴按年度正常调增</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调增</w:t>
      </w:r>
      <w:r>
        <w:rPr>
          <w:rFonts w:hint="default" w:ascii="Times New Roman" w:hAnsi="Times New Roman" w:eastAsia="仿宋_GB2312" w:cs="Times New Roman"/>
          <w:sz w:val="32"/>
          <w:szCs w:val="32"/>
          <w:lang w:val="en-US" w:eastAsia="zh-CN"/>
        </w:rPr>
        <w:t>人员</w:t>
      </w:r>
      <w:r>
        <w:rPr>
          <w:rFonts w:hint="default" w:ascii="Times New Roman" w:hAnsi="Times New Roman" w:eastAsia="仿宋_GB2312" w:cs="Times New Roman"/>
          <w:sz w:val="32"/>
          <w:szCs w:val="32"/>
        </w:rPr>
        <w:t>基础绩效奖</w:t>
      </w:r>
      <w:r>
        <w:rPr>
          <w:rFonts w:hint="default" w:ascii="Times New Roman" w:hAnsi="Times New Roman" w:eastAsia="仿宋_GB2312" w:cs="Times New Roman"/>
          <w:sz w:val="32"/>
          <w:szCs w:val="32"/>
          <w:lang w:val="en-US" w:eastAsia="zh-CN"/>
        </w:rPr>
        <w:t>，社会保障缴费基数增加，导致事业单位医疗费缴费增加</w:t>
      </w:r>
      <w:r>
        <w:rPr>
          <w:rFonts w:hint="default" w:ascii="Times New Roman" w:hAnsi="Times New Roman" w:eastAsia="仿宋_GB2312" w:cs="Times New Roman"/>
          <w:color w:val="auto"/>
          <w:kern w:val="2"/>
          <w:sz w:val="32"/>
          <w:szCs w:val="32"/>
          <w:highlight w:val="none"/>
          <w:lang w:val="zh-CN" w:eastAsia="zh-CN" w:bidi="ar-SA"/>
        </w:rPr>
        <w:t>。</w:t>
      </w:r>
    </w:p>
    <w:p w14:paraId="6825520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3.卫生健康支出（类）行政事业单位医疗（款）公务员医疗补助（项）:支出决算数为114.87万元，比上年决算增加23.83万元，增长26.17%，主要原因是：因</w:t>
      </w:r>
      <w:r>
        <w:rPr>
          <w:rFonts w:hint="default" w:ascii="Times New Roman" w:hAnsi="Times New Roman" w:eastAsia="仿宋_GB2312" w:cs="Times New Roman"/>
          <w:sz w:val="32"/>
          <w:szCs w:val="32"/>
          <w:lang w:val="en-US" w:eastAsia="zh-CN"/>
        </w:rPr>
        <w:t>单位人员</w:t>
      </w:r>
      <w:r>
        <w:rPr>
          <w:rFonts w:hint="default" w:ascii="Times New Roman" w:hAnsi="Times New Roman" w:eastAsia="仿宋_GB2312" w:cs="Times New Roman"/>
          <w:sz w:val="32"/>
          <w:szCs w:val="32"/>
        </w:rPr>
        <w:t>岗位晋升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工资津补贴按年度正常调增</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调增</w:t>
      </w:r>
      <w:r>
        <w:rPr>
          <w:rFonts w:hint="default" w:ascii="Times New Roman" w:hAnsi="Times New Roman" w:eastAsia="仿宋_GB2312" w:cs="Times New Roman"/>
          <w:sz w:val="32"/>
          <w:szCs w:val="32"/>
          <w:lang w:val="en-US" w:eastAsia="zh-CN"/>
        </w:rPr>
        <w:t>人员</w:t>
      </w:r>
      <w:r>
        <w:rPr>
          <w:rFonts w:hint="default" w:ascii="Times New Roman" w:hAnsi="Times New Roman" w:eastAsia="仿宋_GB2312" w:cs="Times New Roman"/>
          <w:sz w:val="32"/>
          <w:szCs w:val="32"/>
        </w:rPr>
        <w:t>基础绩效奖</w:t>
      </w:r>
      <w:r>
        <w:rPr>
          <w:rFonts w:hint="default" w:ascii="Times New Roman" w:hAnsi="Times New Roman" w:eastAsia="仿宋_GB2312" w:cs="Times New Roman"/>
          <w:sz w:val="32"/>
          <w:szCs w:val="32"/>
          <w:lang w:val="en-US" w:eastAsia="zh-CN"/>
        </w:rPr>
        <w:t>，社会保障缴费基数增加，导致公务员医疗补助缴费增加</w:t>
      </w:r>
      <w:r>
        <w:rPr>
          <w:rFonts w:hint="default" w:ascii="Times New Roman" w:hAnsi="Times New Roman" w:eastAsia="仿宋_GB2312" w:cs="Times New Roman"/>
          <w:color w:val="auto"/>
          <w:kern w:val="2"/>
          <w:sz w:val="32"/>
          <w:szCs w:val="32"/>
          <w:highlight w:val="none"/>
          <w:lang w:val="zh-CN" w:eastAsia="zh-CN" w:bidi="ar-SA"/>
        </w:rPr>
        <w:t>。</w:t>
      </w:r>
    </w:p>
    <w:p w14:paraId="5429D28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4.住房保障支出（类）住房改革支出（款）住房公积金（项）:支出决算数为196.92万元，比上年决算增加35.54万元，增长22.02%，主要原因是：因</w:t>
      </w:r>
      <w:r>
        <w:rPr>
          <w:rFonts w:hint="default" w:ascii="Times New Roman" w:hAnsi="Times New Roman" w:eastAsia="仿宋_GB2312" w:cs="Times New Roman"/>
          <w:sz w:val="32"/>
          <w:szCs w:val="32"/>
          <w:lang w:val="en-US" w:eastAsia="zh-CN"/>
        </w:rPr>
        <w:t>单位人员</w:t>
      </w:r>
      <w:r>
        <w:rPr>
          <w:rFonts w:hint="default" w:ascii="Times New Roman" w:hAnsi="Times New Roman" w:eastAsia="仿宋_GB2312" w:cs="Times New Roman"/>
          <w:sz w:val="32"/>
          <w:szCs w:val="32"/>
        </w:rPr>
        <w:t>岗位晋升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工资津补贴按年度正常调增</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调增</w:t>
      </w:r>
      <w:r>
        <w:rPr>
          <w:rFonts w:hint="default" w:ascii="Times New Roman" w:hAnsi="Times New Roman" w:eastAsia="仿宋_GB2312" w:cs="Times New Roman"/>
          <w:sz w:val="32"/>
          <w:szCs w:val="32"/>
          <w:lang w:val="en-US" w:eastAsia="zh-CN"/>
        </w:rPr>
        <w:t>人员</w:t>
      </w:r>
      <w:r>
        <w:rPr>
          <w:rFonts w:hint="default" w:ascii="Times New Roman" w:hAnsi="Times New Roman" w:eastAsia="仿宋_GB2312" w:cs="Times New Roman"/>
          <w:sz w:val="32"/>
          <w:szCs w:val="32"/>
        </w:rPr>
        <w:t>基础绩效奖</w:t>
      </w:r>
      <w:r>
        <w:rPr>
          <w:rFonts w:hint="default" w:ascii="Times New Roman" w:hAnsi="Times New Roman" w:eastAsia="仿宋_GB2312" w:cs="Times New Roman"/>
          <w:sz w:val="32"/>
          <w:szCs w:val="32"/>
          <w:lang w:val="en-US" w:eastAsia="zh-CN"/>
        </w:rPr>
        <w:t>，住房公积金缴费基数增加，导致住房公积金缴费增加</w:t>
      </w:r>
      <w:r>
        <w:rPr>
          <w:rFonts w:hint="default" w:ascii="Times New Roman" w:hAnsi="Times New Roman" w:eastAsia="仿宋_GB2312" w:cs="Times New Roman"/>
          <w:color w:val="auto"/>
          <w:kern w:val="2"/>
          <w:sz w:val="32"/>
          <w:szCs w:val="32"/>
          <w:highlight w:val="none"/>
          <w:lang w:val="zh-CN" w:eastAsia="zh-CN" w:bidi="ar-SA"/>
        </w:rPr>
        <w:t>。</w:t>
      </w:r>
    </w:p>
    <w:p w14:paraId="75E7C5D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5.农林水支出（类）水利（款）水利工程运行与维护（项）:支出决算数为2,112.45万元，比上年决算减少578.30万元，下降21.49%，主要原因是：1.</w:t>
      </w:r>
      <w:r>
        <w:rPr>
          <w:rFonts w:hint="default" w:ascii="Times New Roman" w:hAnsi="Times New Roman" w:eastAsia="仿宋_GB2312" w:cs="Times New Roman"/>
          <w:sz w:val="32"/>
          <w:szCs w:val="32"/>
          <w:highlight w:val="none"/>
          <w:lang w:val="en-US" w:eastAsia="zh-CN"/>
        </w:rPr>
        <w:t>2023年项目支出调增预算水利发展专项二次分配893万元，由上年的</w:t>
      </w:r>
      <w:r>
        <w:rPr>
          <w:rFonts w:hint="default" w:ascii="Times New Roman" w:hAnsi="Times New Roman" w:eastAsia="仿宋_GB2312" w:cs="Times New Roman"/>
          <w:color w:val="auto"/>
          <w:kern w:val="2"/>
          <w:sz w:val="32"/>
          <w:szCs w:val="32"/>
          <w:highlight w:val="none"/>
          <w:lang w:val="en-US" w:eastAsia="zh-CN" w:bidi="ar-SA"/>
        </w:rPr>
        <w:t>农林水支出（类）水利（款）水利工程运行与维护（项）调整为农林水支出（类）水利（款）水资源节约管理与保护（项）</w:t>
      </w:r>
      <w:r>
        <w:rPr>
          <w:rFonts w:hint="eastAsia"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en-US" w:eastAsia="zh-CN" w:bidi="ar-SA"/>
        </w:rPr>
        <w:t>2.</w:t>
      </w:r>
      <w:r>
        <w:rPr>
          <w:rFonts w:hint="default" w:ascii="Times New Roman" w:hAnsi="Times New Roman" w:eastAsia="仿宋_GB2312" w:cs="Times New Roman"/>
          <w:color w:val="auto"/>
          <w:kern w:val="2"/>
          <w:sz w:val="32"/>
          <w:szCs w:val="32"/>
          <w:highlight w:val="none"/>
          <w:lang w:val="en-US" w:eastAsia="zh-CN" w:bidi="ar-SA"/>
        </w:rPr>
        <w:t>因</w:t>
      </w:r>
      <w:r>
        <w:rPr>
          <w:rFonts w:hint="default" w:ascii="Times New Roman" w:hAnsi="Times New Roman" w:eastAsia="仿宋_GB2312" w:cs="Times New Roman"/>
          <w:sz w:val="32"/>
          <w:szCs w:val="32"/>
          <w:lang w:val="en-US" w:eastAsia="zh-CN"/>
        </w:rPr>
        <w:t>单位人员</w:t>
      </w:r>
      <w:r>
        <w:rPr>
          <w:rFonts w:hint="default" w:ascii="Times New Roman" w:hAnsi="Times New Roman" w:eastAsia="仿宋_GB2312" w:cs="Times New Roman"/>
          <w:sz w:val="32"/>
          <w:szCs w:val="32"/>
        </w:rPr>
        <w:t>岗位晋升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工资津补贴按年度正常调增</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调增</w:t>
      </w:r>
      <w:r>
        <w:rPr>
          <w:rFonts w:hint="default" w:ascii="Times New Roman" w:hAnsi="Times New Roman" w:eastAsia="仿宋_GB2312" w:cs="Times New Roman"/>
          <w:sz w:val="32"/>
          <w:szCs w:val="32"/>
          <w:lang w:val="en-US" w:eastAsia="zh-CN"/>
        </w:rPr>
        <w:t>人员</w:t>
      </w:r>
      <w:r>
        <w:rPr>
          <w:rFonts w:hint="default" w:ascii="Times New Roman" w:hAnsi="Times New Roman" w:eastAsia="仿宋_GB2312" w:cs="Times New Roman"/>
          <w:sz w:val="32"/>
          <w:szCs w:val="32"/>
        </w:rPr>
        <w:t>基础绩效奖</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color w:val="auto"/>
          <w:kern w:val="2"/>
          <w:sz w:val="32"/>
          <w:szCs w:val="32"/>
          <w:highlight w:val="none"/>
          <w:lang w:val="en-US" w:eastAsia="zh-CN" w:bidi="ar-SA"/>
        </w:rPr>
        <w:t>农林水支出（类）水利（款）水利工程运行与维护（项）</w:t>
      </w:r>
      <w:r>
        <w:rPr>
          <w:rFonts w:hint="eastAsia" w:ascii="Times New Roman" w:hAnsi="Times New Roman" w:eastAsia="仿宋_GB2312" w:cs="Times New Roman"/>
          <w:color w:val="auto"/>
          <w:kern w:val="2"/>
          <w:sz w:val="32"/>
          <w:szCs w:val="32"/>
          <w:highlight w:val="none"/>
          <w:lang w:val="en-US" w:eastAsia="zh-CN" w:bidi="ar-SA"/>
        </w:rPr>
        <w:t>中的</w:t>
      </w:r>
      <w:r>
        <w:rPr>
          <w:rFonts w:hint="eastAsia" w:ascii="Times New Roman" w:hAnsi="Times New Roman" w:eastAsia="仿宋_GB2312" w:cs="Times New Roman"/>
          <w:sz w:val="32"/>
          <w:szCs w:val="32"/>
          <w:lang w:val="en-US" w:eastAsia="zh-CN"/>
        </w:rPr>
        <w:t>工资福利支出增加，综上两个原因，该项总体减少。</w:t>
      </w:r>
    </w:p>
    <w:p w14:paraId="30C13D1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6.农林水支出（类）水利（款）水利技术推广（项）:支出决算数为30.00万元，比上年决算增加30.00万元，增长100%，主要原因是：2023年追加项目支出</w:t>
      </w:r>
      <w:r>
        <w:rPr>
          <w:rFonts w:hint="default" w:ascii="Times New Roman" w:hAnsi="Times New Roman" w:eastAsia="仿宋_GB2312" w:cs="Times New Roman"/>
          <w:sz w:val="32"/>
          <w:szCs w:val="32"/>
          <w:highlight w:val="none"/>
          <w:lang w:val="en-US" w:eastAsia="zh-CN"/>
        </w:rPr>
        <w:t>水利技术推广30万元</w:t>
      </w:r>
      <w:r>
        <w:rPr>
          <w:rFonts w:hint="default" w:ascii="Times New Roman" w:hAnsi="Times New Roman" w:eastAsia="仿宋_GB2312" w:cs="Times New Roman"/>
          <w:color w:val="auto"/>
          <w:kern w:val="2"/>
          <w:sz w:val="32"/>
          <w:szCs w:val="32"/>
          <w:highlight w:val="none"/>
          <w:lang w:val="zh-CN" w:eastAsia="zh-CN" w:bidi="ar-SA"/>
        </w:rPr>
        <w:t>。</w:t>
      </w:r>
    </w:p>
    <w:p w14:paraId="788B8B3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7.社会保障和就业支出（类）行政事业单位养老支出（款）事业单位离退休（项）:支出决算数为21.97万元，比上年决算增加0.03万元，增长0.12%，主要原因是：</w:t>
      </w:r>
      <w:r>
        <w:rPr>
          <w:rFonts w:hint="eastAsia" w:ascii="Times New Roman" w:hAnsi="Times New Roman" w:eastAsia="仿宋_GB2312" w:cs="Times New Roman"/>
          <w:color w:val="auto"/>
          <w:kern w:val="2"/>
          <w:sz w:val="32"/>
          <w:szCs w:val="32"/>
          <w:highlight w:val="none"/>
          <w:lang w:val="en-US" w:eastAsia="zh-CN" w:bidi="ar-SA"/>
        </w:rPr>
        <w:t>1.增加退休人员1.退休人员增加3人，导致</w:t>
      </w:r>
      <w:r>
        <w:rPr>
          <w:rFonts w:hint="default" w:ascii="Times New Roman" w:hAnsi="Times New Roman" w:eastAsia="仿宋_GB2312" w:cs="Times New Roman"/>
          <w:color w:val="auto"/>
          <w:kern w:val="2"/>
          <w:sz w:val="32"/>
          <w:szCs w:val="32"/>
          <w:highlight w:val="none"/>
          <w:lang w:val="en-US" w:eastAsia="zh-CN" w:bidi="ar-SA"/>
        </w:rPr>
        <w:t>社会保障和就业支出（类）行政事业单位养老支出（款）事业单位离退休（项）</w:t>
      </w:r>
      <w:r>
        <w:rPr>
          <w:rFonts w:hint="eastAsia" w:ascii="Times New Roman" w:hAnsi="Times New Roman" w:eastAsia="仿宋_GB2312" w:cs="Times New Roman"/>
          <w:color w:val="auto"/>
          <w:kern w:val="2"/>
          <w:sz w:val="32"/>
          <w:szCs w:val="32"/>
          <w:highlight w:val="none"/>
          <w:lang w:val="en-US" w:eastAsia="zh-CN" w:bidi="ar-SA"/>
        </w:rPr>
        <w:t>增加；2</w:t>
      </w:r>
      <w:r>
        <w:rPr>
          <w:rFonts w:hint="default" w:ascii="Times New Roman" w:hAnsi="Times New Roman" w:eastAsia="仿宋_GB2312" w:cs="Times New Roman"/>
          <w:color w:val="auto"/>
          <w:kern w:val="2"/>
          <w:sz w:val="32"/>
          <w:szCs w:val="32"/>
          <w:highlight w:val="none"/>
          <w:lang w:val="en-US" w:eastAsia="zh-CN" w:bidi="ar-SA"/>
        </w:rPr>
        <w:t>根据自治区财政厅要求，2023年</w:t>
      </w:r>
      <w:r>
        <w:rPr>
          <w:rFonts w:hint="default" w:ascii="Times New Roman" w:hAnsi="Times New Roman" w:eastAsia="仿宋" w:cs="Times New Roman"/>
          <w:sz w:val="32"/>
          <w:szCs w:val="32"/>
          <w:highlight w:val="none"/>
          <w:lang w:val="en-US" w:eastAsia="zh-CN"/>
        </w:rPr>
        <w:t>退休人员医疗费退回国库，</w:t>
      </w:r>
      <w:r>
        <w:rPr>
          <w:rFonts w:hint="eastAsia" w:ascii="Times New Roman" w:hAnsi="Times New Roman" w:eastAsia="仿宋_GB2312" w:cs="Times New Roman"/>
          <w:sz w:val="32"/>
          <w:szCs w:val="32"/>
          <w:lang w:val="en-US" w:eastAsia="zh-CN"/>
        </w:rPr>
        <w:t>综上两个原因，</w:t>
      </w:r>
      <w:r>
        <w:rPr>
          <w:rFonts w:hint="eastAsia" w:ascii="Times New Roman" w:hAnsi="Times New Roman" w:eastAsia="仿宋" w:cs="Times New Roman"/>
          <w:sz w:val="32"/>
          <w:szCs w:val="32"/>
          <w:highlight w:val="none"/>
          <w:lang w:val="en-US" w:eastAsia="zh-CN"/>
        </w:rPr>
        <w:t>该项总体略增</w:t>
      </w:r>
      <w:r>
        <w:rPr>
          <w:rFonts w:hint="default" w:ascii="Times New Roman" w:hAnsi="Times New Roman" w:eastAsia="仿宋_GB2312" w:cs="Times New Roman"/>
          <w:color w:val="auto"/>
          <w:kern w:val="2"/>
          <w:sz w:val="32"/>
          <w:szCs w:val="32"/>
          <w:highlight w:val="none"/>
          <w:lang w:val="zh-CN" w:eastAsia="zh-CN" w:bidi="ar-SA"/>
        </w:rPr>
        <w:t>。</w:t>
      </w:r>
    </w:p>
    <w:p w14:paraId="17CC6DD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8.农林水支出（类）水利（款）水资源节约管理与保护（项）:支出决算数为893.00万元，比上年决算增加893.00万元，增长100%，主要原因是：</w:t>
      </w:r>
      <w:r>
        <w:rPr>
          <w:rFonts w:hint="default" w:ascii="Times New Roman" w:hAnsi="Times New Roman" w:eastAsia="仿宋_GB2312" w:cs="Times New Roman"/>
          <w:sz w:val="32"/>
          <w:szCs w:val="32"/>
          <w:highlight w:val="none"/>
          <w:lang w:val="en-US" w:eastAsia="zh-CN"/>
        </w:rPr>
        <w:t>2023年项目支出调增预算水利发展专项二次分配893万元，由上年的</w:t>
      </w:r>
      <w:r>
        <w:rPr>
          <w:rFonts w:hint="default" w:ascii="Times New Roman" w:hAnsi="Times New Roman" w:eastAsia="仿宋_GB2312" w:cs="Times New Roman"/>
          <w:color w:val="auto"/>
          <w:kern w:val="2"/>
          <w:sz w:val="32"/>
          <w:szCs w:val="32"/>
          <w:highlight w:val="none"/>
          <w:lang w:val="en-US" w:eastAsia="zh-CN" w:bidi="ar-SA"/>
        </w:rPr>
        <w:t>农林水支出（类）水利（款）水利工程运行与维护（项）调整为农林水支出（类）水利（款）水资源节约管理与保护（项）</w:t>
      </w:r>
      <w:r>
        <w:rPr>
          <w:rFonts w:hint="default" w:ascii="Times New Roman" w:hAnsi="Times New Roman" w:eastAsia="仿宋_GB2312" w:cs="Times New Roman"/>
          <w:color w:val="auto"/>
          <w:kern w:val="2"/>
          <w:sz w:val="32"/>
          <w:szCs w:val="32"/>
          <w:highlight w:val="none"/>
          <w:lang w:val="zh-CN" w:eastAsia="zh-CN" w:bidi="ar-SA"/>
        </w:rPr>
        <w:t>。</w:t>
      </w:r>
    </w:p>
    <w:p w14:paraId="21C7C2B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9.社会保障和就业支出（类）行政事业单位养老支出（款）机关事业单位职业年金缴费支出（项）:支出决算数为20.32万元，比上年决算增加20.32万元，增长100%，主要原因是：2023年度，</w:t>
      </w:r>
      <w:r>
        <w:rPr>
          <w:rFonts w:hint="default" w:ascii="Times New Roman" w:hAnsi="Times New Roman" w:eastAsia="仿宋_GB2312" w:cs="Times New Roman"/>
          <w:sz w:val="32"/>
          <w:szCs w:val="32"/>
          <w:highlight w:val="none"/>
          <w:lang w:val="en-US" w:eastAsia="zh-CN"/>
        </w:rPr>
        <w:t>基本支出追加2022年职业年金缴费20.32万元</w:t>
      </w:r>
      <w:r>
        <w:rPr>
          <w:rFonts w:hint="default" w:ascii="Times New Roman" w:hAnsi="Times New Roman" w:eastAsia="仿宋_GB2312" w:cs="Times New Roman"/>
          <w:color w:val="auto"/>
          <w:kern w:val="2"/>
          <w:sz w:val="32"/>
          <w:szCs w:val="32"/>
          <w:highlight w:val="none"/>
          <w:lang w:val="zh-CN" w:eastAsia="zh-CN" w:bidi="ar-SA"/>
        </w:rPr>
        <w:t>。</w:t>
      </w:r>
    </w:p>
    <w:p w14:paraId="64C40D5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10.社会保障和就业支出（类）行政事业单位养老支出（款）机关事业单位基本养老保险缴费支出（项）:支出决算数为256.02万元，比上年决算增加47.44万元，增长22.74%，主要原因是：因</w:t>
      </w:r>
      <w:r>
        <w:rPr>
          <w:rFonts w:hint="default" w:ascii="Times New Roman" w:hAnsi="Times New Roman" w:eastAsia="仿宋_GB2312" w:cs="Times New Roman"/>
          <w:sz w:val="32"/>
          <w:szCs w:val="32"/>
          <w:lang w:val="en-US" w:eastAsia="zh-CN"/>
        </w:rPr>
        <w:t>单位人员</w:t>
      </w:r>
      <w:r>
        <w:rPr>
          <w:rFonts w:hint="default" w:ascii="Times New Roman" w:hAnsi="Times New Roman" w:eastAsia="仿宋_GB2312" w:cs="Times New Roman"/>
          <w:sz w:val="32"/>
          <w:szCs w:val="32"/>
        </w:rPr>
        <w:t>岗位晋升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工资津补贴按年度正常调增</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调增</w:t>
      </w:r>
      <w:r>
        <w:rPr>
          <w:rFonts w:hint="default" w:ascii="Times New Roman" w:hAnsi="Times New Roman" w:eastAsia="仿宋_GB2312" w:cs="Times New Roman"/>
          <w:sz w:val="32"/>
          <w:szCs w:val="32"/>
          <w:lang w:val="en-US" w:eastAsia="zh-CN"/>
        </w:rPr>
        <w:t>人员</w:t>
      </w:r>
      <w:r>
        <w:rPr>
          <w:rFonts w:hint="default" w:ascii="Times New Roman" w:hAnsi="Times New Roman" w:eastAsia="仿宋_GB2312" w:cs="Times New Roman"/>
          <w:sz w:val="32"/>
          <w:szCs w:val="32"/>
        </w:rPr>
        <w:t>基础绩效奖</w:t>
      </w:r>
      <w:r>
        <w:rPr>
          <w:rFonts w:hint="default" w:ascii="Times New Roman" w:hAnsi="Times New Roman" w:eastAsia="仿宋_GB2312" w:cs="Times New Roman"/>
          <w:sz w:val="32"/>
          <w:szCs w:val="32"/>
          <w:lang w:val="en-US" w:eastAsia="zh-CN"/>
        </w:rPr>
        <w:t>，社会保障缴费基数增加，导致</w:t>
      </w:r>
      <w:r>
        <w:rPr>
          <w:rFonts w:hint="default" w:ascii="Times New Roman" w:hAnsi="Times New Roman" w:eastAsia="仿宋_GB2312" w:cs="Times New Roman"/>
          <w:color w:val="auto"/>
          <w:kern w:val="2"/>
          <w:sz w:val="32"/>
          <w:szCs w:val="32"/>
          <w:highlight w:val="none"/>
          <w:lang w:val="en-US" w:eastAsia="zh-CN" w:bidi="ar-SA"/>
        </w:rPr>
        <w:t>机关事业单位基本养老保险缴费</w:t>
      </w:r>
      <w:r>
        <w:rPr>
          <w:rFonts w:hint="default" w:ascii="Times New Roman" w:hAnsi="Times New Roman" w:eastAsia="仿宋_GB2312" w:cs="Times New Roman"/>
          <w:sz w:val="32"/>
          <w:szCs w:val="32"/>
          <w:lang w:val="en-US" w:eastAsia="zh-CN"/>
        </w:rPr>
        <w:t>增加</w:t>
      </w:r>
      <w:r>
        <w:rPr>
          <w:rFonts w:hint="default" w:ascii="Times New Roman" w:hAnsi="Times New Roman" w:eastAsia="仿宋_GB2312" w:cs="Times New Roman"/>
          <w:color w:val="auto"/>
          <w:kern w:val="2"/>
          <w:sz w:val="32"/>
          <w:szCs w:val="32"/>
          <w:highlight w:val="none"/>
          <w:lang w:val="zh-CN" w:eastAsia="zh-CN" w:bidi="ar-SA"/>
        </w:rPr>
        <w:t>。</w:t>
      </w:r>
    </w:p>
    <w:p w14:paraId="3C9981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六、一般公共预算财政拨款基本支出决算情况说明</w:t>
      </w:r>
    </w:p>
    <w:p w14:paraId="3571EDE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2,745.62</w:t>
      </w:r>
      <w:r>
        <w:rPr>
          <w:rFonts w:hint="default" w:ascii="Times New Roman" w:hAnsi="Times New Roman" w:eastAsia="仿宋_GB2312" w:cs="Times New Roman"/>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2,557.90</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其他对个人和家庭的补助。</w:t>
      </w:r>
    </w:p>
    <w:p w14:paraId="3B65540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red"/>
          <w:lang w:val="en-US" w:eastAsia="zh-CN"/>
        </w:rPr>
      </w:pPr>
      <w:r>
        <w:rPr>
          <w:rFonts w:hint="default" w:ascii="Times New Roman" w:hAnsi="Times New Roman" w:eastAsia="仿宋_GB2312" w:cs="Times New Roman"/>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187.72</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color w:val="auto"/>
          <w:sz w:val="32"/>
          <w:szCs w:val="32"/>
          <w:highlight w:val="none"/>
          <w:lang w:val="en-US" w:eastAsia="zh-CN"/>
        </w:rPr>
        <w:t>办公费、水费、电费、取暖费、差旅费、公务接待费、工会经费、福利费、公务用车运行维护费、其他商品和服务支出</w:t>
      </w:r>
      <w:r>
        <w:rPr>
          <w:rFonts w:hint="eastAsia" w:ascii="Times New Roman" w:hAnsi="Times New Roman" w:eastAsia="仿宋_GB2312" w:cs="Times New Roman"/>
          <w:color w:val="auto"/>
          <w:sz w:val="32"/>
          <w:szCs w:val="32"/>
          <w:highlight w:val="none"/>
          <w:lang w:val="en-US" w:eastAsia="zh-CN"/>
        </w:rPr>
        <w:t>。</w:t>
      </w:r>
    </w:p>
    <w:p w14:paraId="57A3C09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七、</w:t>
      </w:r>
      <w:r>
        <w:rPr>
          <w:rFonts w:hint="default" w:ascii="Times New Roman" w:hAnsi="Times New Roman" w:eastAsia="黑体" w:cs="Times New Roman"/>
          <w:bCs/>
          <w:color w:val="auto"/>
          <w:kern w:val="0"/>
          <w:sz w:val="32"/>
          <w:szCs w:val="32"/>
          <w:highlight w:val="none"/>
          <w:lang w:eastAsia="zh-CN"/>
        </w:rPr>
        <w:t>财政拨款</w:t>
      </w:r>
      <w:r>
        <w:rPr>
          <w:rFonts w:hint="default" w:ascii="Times New Roman" w:hAnsi="Times New Roman" w:eastAsia="黑体" w:cs="Times New Roman"/>
          <w:bCs/>
          <w:color w:val="auto"/>
          <w:kern w:val="0"/>
          <w:sz w:val="32"/>
          <w:szCs w:val="32"/>
          <w:highlight w:val="none"/>
        </w:rPr>
        <w:t>“三公”经费支出</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w:t>
      </w:r>
      <w:r>
        <w:rPr>
          <w:rFonts w:hint="default" w:ascii="Times New Roman" w:hAnsi="Times New Roman" w:eastAsia="黑体" w:cs="Times New Roman"/>
          <w:bCs/>
          <w:color w:val="auto"/>
          <w:kern w:val="0"/>
          <w:sz w:val="32"/>
          <w:szCs w:val="32"/>
          <w:highlight w:val="none"/>
          <w:lang w:eastAsia="zh-CN"/>
        </w:rPr>
        <w:t>说明</w:t>
      </w:r>
    </w:p>
    <w:p w14:paraId="54488DE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zh-CN" w:eastAsia="zh-CN"/>
        </w:rPr>
        <w:t>“三公”经费支出9.46万元，</w:t>
      </w:r>
      <w:r>
        <w:rPr>
          <w:rFonts w:hint="default" w:ascii="Times New Roman" w:hAnsi="Times New Roman" w:eastAsia="仿宋_GB2312" w:cs="Times New Roman"/>
          <w:color w:val="auto"/>
          <w:sz w:val="32"/>
          <w:szCs w:val="32"/>
          <w:highlight w:val="none"/>
          <w:lang w:val="en-US" w:eastAsia="zh-CN"/>
        </w:rPr>
        <w:t>比上年</w:t>
      </w:r>
      <w:r>
        <w:rPr>
          <w:rFonts w:hint="default" w:ascii="Times New Roman" w:hAnsi="Times New Roman" w:eastAsia="仿宋_GB2312" w:cs="Times New Roman"/>
          <w:color w:val="auto"/>
          <w:sz w:val="32"/>
          <w:szCs w:val="32"/>
          <w:highlight w:val="none"/>
          <w:lang w:val="zh-CN" w:eastAsia="zh-CN"/>
        </w:rPr>
        <w:t>增加0.23万元，增长2.49%，主要原因是：公务接待费支出</w:t>
      </w:r>
      <w:r>
        <w:rPr>
          <w:rFonts w:hint="default" w:ascii="Times New Roman" w:hAnsi="Times New Roman" w:eastAsia="仿宋_GB2312" w:cs="Times New Roman"/>
          <w:color w:val="auto"/>
          <w:sz w:val="32"/>
          <w:szCs w:val="32"/>
          <w:highlight w:val="none"/>
          <w:lang w:val="en-US" w:eastAsia="zh-CN"/>
        </w:rPr>
        <w:t>比上年增加0.</w:t>
      </w:r>
      <w:r>
        <w:rPr>
          <w:rFonts w:hint="eastAsia" w:ascii="Times New Roman" w:hAnsi="Times New Roman" w:eastAsia="仿宋_GB2312" w:cs="Times New Roman"/>
          <w:color w:val="auto"/>
          <w:sz w:val="32"/>
          <w:szCs w:val="32"/>
          <w:highlight w:val="none"/>
          <w:lang w:val="en-US" w:eastAsia="zh-CN"/>
        </w:rPr>
        <w:t>23</w:t>
      </w:r>
      <w:r>
        <w:rPr>
          <w:rFonts w:hint="default" w:ascii="Times New Roman" w:hAnsi="Times New Roman" w:eastAsia="仿宋_GB2312" w:cs="Times New Roman"/>
          <w:color w:val="auto"/>
          <w:sz w:val="32"/>
          <w:szCs w:val="32"/>
          <w:highlight w:val="none"/>
          <w:lang w:val="en-US" w:eastAsia="zh-CN"/>
        </w:rPr>
        <w:t>万元</w:t>
      </w:r>
      <w:r>
        <w:rPr>
          <w:rFonts w:hint="default" w:ascii="Times New Roman" w:hAnsi="Times New Roman" w:eastAsia="仿宋_GB2312" w:cs="Times New Roman"/>
          <w:color w:val="auto"/>
          <w:sz w:val="32"/>
          <w:szCs w:val="32"/>
          <w:highlight w:val="none"/>
          <w:lang w:val="zh-CN" w:eastAsia="zh-CN"/>
        </w:rPr>
        <w:t>。其中：因公出国（境）费支出0.00万元，占0.00%，比上年增加0.00万元，增长0.00%，主要原因是：</w:t>
      </w:r>
      <w:r>
        <w:rPr>
          <w:rFonts w:hint="default" w:ascii="Times New Roman" w:hAnsi="Times New Roman" w:eastAsia="仿宋_GB2312" w:cs="Times New Roman"/>
          <w:sz w:val="32"/>
          <w:szCs w:val="32"/>
        </w:rPr>
        <w:t>我单位无因公出国（境）费</w:t>
      </w:r>
      <w:r>
        <w:rPr>
          <w:rFonts w:hint="default" w:ascii="Times New Roman" w:hAnsi="Times New Roman" w:eastAsia="仿宋_GB2312" w:cs="Times New Roman"/>
          <w:color w:val="auto"/>
          <w:sz w:val="32"/>
          <w:szCs w:val="32"/>
          <w:highlight w:val="none"/>
          <w:lang w:val="zh-CN" w:eastAsia="zh-CN"/>
        </w:rPr>
        <w:t>；公务用车购置及运行维护费支出8.72万元，占92.</w:t>
      </w:r>
      <w:r>
        <w:rPr>
          <w:rFonts w:hint="eastAsia" w:eastAsia="仿宋_GB2312" w:cs="Times New Roman"/>
          <w:color w:val="auto"/>
          <w:sz w:val="32"/>
          <w:szCs w:val="32"/>
          <w:highlight w:val="none"/>
          <w:lang w:val="en-US" w:eastAsia="zh-CN"/>
        </w:rPr>
        <w:t>18</w:t>
      </w:r>
      <w:r>
        <w:rPr>
          <w:rFonts w:hint="default" w:ascii="Times New Roman" w:hAnsi="Times New Roman" w:eastAsia="仿宋_GB2312" w:cs="Times New Roman"/>
          <w:color w:val="auto"/>
          <w:sz w:val="32"/>
          <w:szCs w:val="32"/>
          <w:highlight w:val="none"/>
          <w:lang w:val="zh-CN" w:eastAsia="zh-CN"/>
        </w:rPr>
        <w:t>%，比上年增加0.00万元，增长0.00%，主要原因是：</w:t>
      </w:r>
      <w:r>
        <w:rPr>
          <w:rFonts w:hint="default" w:ascii="Times New Roman" w:hAnsi="Times New Roman" w:eastAsia="仿宋_GB2312" w:cs="Times New Roman"/>
          <w:sz w:val="32"/>
          <w:szCs w:val="32"/>
        </w:rPr>
        <w:t>公务用车运行维护费与上年一致，无差</w:t>
      </w:r>
      <w:r>
        <w:rPr>
          <w:rFonts w:hint="eastAsia" w:ascii="Times New Roman" w:hAnsi="Times New Roman" w:eastAsia="仿宋_GB2312" w:cs="Times New Roman"/>
          <w:sz w:val="32"/>
          <w:szCs w:val="32"/>
          <w:lang w:val="en-US" w:eastAsia="zh-CN"/>
        </w:rPr>
        <w:t>异</w:t>
      </w:r>
      <w:r>
        <w:rPr>
          <w:rFonts w:hint="default" w:ascii="Times New Roman" w:hAnsi="Times New Roman" w:eastAsia="仿宋_GB2312" w:cs="Times New Roman"/>
          <w:color w:val="auto"/>
          <w:sz w:val="32"/>
          <w:szCs w:val="32"/>
          <w:highlight w:val="none"/>
          <w:lang w:val="zh-CN" w:eastAsia="zh-CN"/>
        </w:rPr>
        <w:t>；公务接待费支出0.74万元，占7.</w:t>
      </w:r>
      <w:r>
        <w:rPr>
          <w:rFonts w:hint="eastAsia" w:eastAsia="仿宋_GB2312" w:cs="Times New Roman"/>
          <w:color w:val="auto"/>
          <w:sz w:val="32"/>
          <w:szCs w:val="32"/>
          <w:highlight w:val="none"/>
          <w:lang w:val="en-US" w:eastAsia="zh-CN"/>
        </w:rPr>
        <w:t>82</w:t>
      </w:r>
      <w:r>
        <w:rPr>
          <w:rFonts w:hint="default" w:ascii="Times New Roman" w:hAnsi="Times New Roman" w:eastAsia="仿宋_GB2312" w:cs="Times New Roman"/>
          <w:color w:val="auto"/>
          <w:sz w:val="32"/>
          <w:szCs w:val="32"/>
          <w:highlight w:val="none"/>
          <w:lang w:val="zh-CN" w:eastAsia="zh-CN"/>
        </w:rPr>
        <w:t>%，比上年增加0.23万元，增长45.</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2023年塔河向下游生态输水效果显著，新闻报道宣传团队和科研课题团队来访增加，导致公务接待费支出略增</w:t>
      </w:r>
      <w:r>
        <w:rPr>
          <w:rFonts w:hint="eastAsia" w:eastAsia="仿宋_GB2312" w:cs="Times New Roman"/>
          <w:color w:val="auto"/>
          <w:sz w:val="32"/>
          <w:szCs w:val="32"/>
          <w:highlight w:val="none"/>
          <w:lang w:val="en-US" w:eastAsia="zh-CN"/>
        </w:rPr>
        <w:t>，</w:t>
      </w:r>
      <w:r>
        <w:rPr>
          <w:rFonts w:hint="eastAsia" w:ascii="仿宋_GB2312" w:eastAsia="仿宋_GB2312"/>
          <w:color w:val="auto"/>
          <w:sz w:val="32"/>
          <w:szCs w:val="32"/>
          <w:highlight w:val="none"/>
          <w:lang w:val="zh-CN" w:eastAsia="zh-CN"/>
        </w:rPr>
        <w:t>未超预算</w:t>
      </w:r>
      <w:r>
        <w:rPr>
          <w:rFonts w:hint="default" w:ascii="Times New Roman" w:hAnsi="Times New Roman" w:eastAsia="仿宋_GB2312" w:cs="Times New Roman"/>
          <w:color w:val="auto"/>
          <w:sz w:val="32"/>
          <w:szCs w:val="32"/>
          <w:highlight w:val="none"/>
          <w:lang w:val="en-US" w:eastAsia="zh-CN"/>
        </w:rPr>
        <w:t>。</w:t>
      </w:r>
      <w:bookmarkStart w:id="48" w:name="_GoBack"/>
      <w:bookmarkEnd w:id="48"/>
    </w:p>
    <w:p w14:paraId="67D305D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具体情况如下：</w:t>
      </w:r>
    </w:p>
    <w:p w14:paraId="4E98843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因公出国（境）费支出0.00万元，开支内容包括</w:t>
      </w:r>
      <w:r>
        <w:rPr>
          <w:rFonts w:hint="default" w:ascii="Times New Roman" w:hAnsi="Times New Roman" w:eastAsia="仿宋_GB2312" w:cs="Times New Roman"/>
          <w:sz w:val="32"/>
          <w:szCs w:val="32"/>
        </w:rPr>
        <w:t>我单位无因公出国（境）费。</w:t>
      </w:r>
      <w:r>
        <w:rPr>
          <w:rFonts w:hint="default" w:ascii="Times New Roman" w:hAnsi="Times New Roman" w:eastAsia="仿宋_GB2312" w:cs="Times New Roman"/>
          <w:color w:val="auto"/>
          <w:sz w:val="32"/>
          <w:szCs w:val="32"/>
          <w:highlight w:val="none"/>
          <w:lang w:val="zh-CN" w:eastAsia="zh-CN"/>
        </w:rPr>
        <w:t>单位全年安排的因公出国（境）团组0个，因公出国（境）0人次。</w:t>
      </w:r>
    </w:p>
    <w:p w14:paraId="39E3810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公务用车购置及运行维护费8.72万元，其中：公务用车购置费0.00万元，公务用车运行维护费8.72万元。公务用车运行维护费开支内容包括</w:t>
      </w:r>
      <w:r>
        <w:rPr>
          <w:rFonts w:hint="default" w:ascii="Times New Roman" w:hAnsi="Times New Roman" w:eastAsia="仿宋_GB2312" w:cs="Times New Roman"/>
          <w:sz w:val="32"/>
          <w:szCs w:val="32"/>
        </w:rPr>
        <w:t>公务用车发生</w:t>
      </w:r>
      <w:r>
        <w:rPr>
          <w:rFonts w:hint="eastAsia" w:eastAsia="仿宋_GB2312" w:cs="Times New Roman"/>
          <w:sz w:val="32"/>
          <w:szCs w:val="32"/>
          <w:lang w:val="en-US" w:eastAsia="zh-CN"/>
        </w:rPr>
        <w:t>的</w:t>
      </w:r>
      <w:r>
        <w:rPr>
          <w:rFonts w:hint="default" w:ascii="Times New Roman" w:hAnsi="Times New Roman" w:eastAsia="仿宋_GB2312" w:cs="Times New Roman"/>
          <w:sz w:val="32"/>
          <w:szCs w:val="32"/>
        </w:rPr>
        <w:t>燃料费、维修费、过路过桥费、保险费</w:t>
      </w:r>
      <w:r>
        <w:rPr>
          <w:rFonts w:hint="default" w:ascii="Times New Roman" w:hAnsi="Times New Roman" w:eastAsia="仿宋_GB2312" w:cs="Times New Roman"/>
          <w:sz w:val="32"/>
          <w:szCs w:val="32"/>
          <w:lang w:val="en-US" w:eastAsia="zh-CN"/>
        </w:rPr>
        <w:t>等</w:t>
      </w:r>
      <w:r>
        <w:rPr>
          <w:rFonts w:hint="default" w:ascii="Times New Roman" w:hAnsi="Times New Roman" w:eastAsia="仿宋_GB2312" w:cs="Times New Roman"/>
          <w:color w:val="auto"/>
          <w:sz w:val="32"/>
          <w:szCs w:val="32"/>
          <w:highlight w:val="none"/>
          <w:lang w:val="zh-CN" w:eastAsia="zh-CN"/>
        </w:rPr>
        <w:t>。公务用车购置数0辆，公务用车保有量12辆。国有资产占用情况</w:t>
      </w:r>
      <w:r>
        <w:rPr>
          <w:rFonts w:hint="default" w:ascii="Times New Roman" w:hAnsi="Times New Roman" w:eastAsia="仿宋_GB2312" w:cs="Times New Roman"/>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0辆，</w:t>
      </w:r>
      <w:r>
        <w:rPr>
          <w:rFonts w:hint="default" w:ascii="Times New Roman" w:hAnsi="Times New Roman" w:eastAsia="仿宋_GB2312" w:cs="Times New Roman"/>
          <w:color w:val="auto"/>
          <w:sz w:val="32"/>
          <w:szCs w:val="32"/>
          <w:highlight w:val="none"/>
          <w:lang w:val="en-US" w:eastAsia="zh-CN"/>
        </w:rPr>
        <w:t>与</w:t>
      </w:r>
      <w:r>
        <w:rPr>
          <w:rFonts w:hint="default" w:ascii="Times New Roman" w:hAnsi="Times New Roman" w:eastAsia="仿宋_GB2312" w:cs="Times New Roman"/>
          <w:color w:val="auto"/>
          <w:sz w:val="32"/>
          <w:szCs w:val="32"/>
          <w:highlight w:val="none"/>
          <w:lang w:val="zh-CN" w:eastAsia="zh-CN"/>
        </w:rPr>
        <w:t>公务用车</w:t>
      </w:r>
      <w:r>
        <w:rPr>
          <w:rFonts w:hint="default" w:ascii="Times New Roman" w:hAnsi="Times New Roman" w:eastAsia="仿宋_GB2312" w:cs="Times New Roman"/>
          <w:color w:val="auto"/>
          <w:sz w:val="32"/>
          <w:szCs w:val="32"/>
          <w:highlight w:val="none"/>
          <w:lang w:val="en-US" w:eastAsia="zh-CN"/>
        </w:rPr>
        <w:t>保有量差异</w:t>
      </w:r>
      <w:r>
        <w:rPr>
          <w:rFonts w:hint="default" w:ascii="Times New Roman" w:hAnsi="Times New Roman" w:eastAsia="仿宋_GB2312" w:cs="Times New Roman"/>
          <w:color w:val="auto"/>
          <w:sz w:val="32"/>
          <w:szCs w:val="32"/>
          <w:highlight w:val="none"/>
          <w:lang w:val="zh-CN" w:eastAsia="zh-CN"/>
        </w:rPr>
        <w:t>原因是：</w:t>
      </w:r>
      <w:r>
        <w:rPr>
          <w:rFonts w:hint="default" w:ascii="Times New Roman" w:hAnsi="Times New Roman" w:eastAsia="仿宋_GB2312" w:cs="Times New Roman"/>
          <w:color w:val="auto"/>
          <w:sz w:val="32"/>
          <w:szCs w:val="32"/>
          <w:highlight w:val="none"/>
          <w:lang w:val="en-US" w:eastAsia="zh-CN"/>
        </w:rPr>
        <w:t>公务用车保有量</w:t>
      </w:r>
      <w:r>
        <w:rPr>
          <w:rFonts w:hint="eastAsia" w:ascii="Times New Roman" w:hAnsi="Times New Roman"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lang w:val="en-US" w:eastAsia="zh-CN"/>
        </w:rPr>
        <w:t>辆车为自有资金购买的车辆</w:t>
      </w:r>
      <w:r>
        <w:rPr>
          <w:rFonts w:hint="default" w:ascii="Times New Roman" w:hAnsi="Times New Roman" w:eastAsia="仿宋_GB2312" w:cs="Times New Roman"/>
          <w:color w:val="auto"/>
          <w:sz w:val="32"/>
          <w:szCs w:val="32"/>
          <w:highlight w:val="none"/>
          <w:lang w:val="zh-CN" w:eastAsia="zh-CN"/>
        </w:rPr>
        <w:t>。</w:t>
      </w:r>
    </w:p>
    <w:p w14:paraId="5D2A8FD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公务接待费0.74万元，开支内容包括</w:t>
      </w:r>
      <w:r>
        <w:rPr>
          <w:rFonts w:hint="default" w:ascii="Times New Roman" w:hAnsi="Times New Roman" w:eastAsia="仿宋_GB2312" w:cs="Times New Roman"/>
          <w:sz w:val="32"/>
          <w:szCs w:val="32"/>
        </w:rPr>
        <w:t>接待上级检查指导工作餐费</w:t>
      </w:r>
      <w:r>
        <w:rPr>
          <w:rFonts w:hint="default" w:ascii="Times New Roman" w:hAnsi="Times New Roman" w:eastAsia="仿宋_GB2312" w:cs="Times New Roman"/>
          <w:color w:val="auto"/>
          <w:sz w:val="32"/>
          <w:szCs w:val="32"/>
          <w:highlight w:val="none"/>
          <w:lang w:val="zh-CN" w:eastAsia="zh-CN"/>
        </w:rPr>
        <w:t>。单位全年安排的国内公务接待5批次，93人次。</w:t>
      </w:r>
    </w:p>
    <w:p w14:paraId="41C4A36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与</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预算相比</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财政拨款“三公”经费支出</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预算数9.46万元，决算数9.46万元，预决算差异率0.00%，主要原因是：</w:t>
      </w:r>
      <w:r>
        <w:rPr>
          <w:rFonts w:hint="default" w:ascii="Times New Roman" w:hAnsi="Times New Roman" w:eastAsia="仿宋_GB2312" w:cs="Times New Roman"/>
          <w:sz w:val="32"/>
          <w:szCs w:val="32"/>
        </w:rPr>
        <w:t>“三公”经费预决算一致，无差异</w:t>
      </w:r>
      <w:r>
        <w:rPr>
          <w:rFonts w:hint="default" w:ascii="Times New Roman" w:hAnsi="Times New Roman" w:eastAsia="仿宋_GB2312" w:cs="Times New Roman"/>
          <w:color w:val="auto"/>
          <w:sz w:val="32"/>
          <w:szCs w:val="32"/>
          <w:highlight w:val="none"/>
          <w:lang w:val="zh-CN" w:eastAsia="zh-CN"/>
        </w:rPr>
        <w:t>。其中：因公出国（境）费</w:t>
      </w:r>
      <w:r>
        <w:rPr>
          <w:rFonts w:hint="default" w:ascii="Times New Roman" w:hAnsi="Times New Roman" w:eastAsia="仿宋_GB2312" w:cs="Times New Roman"/>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0.00万元，决算数0.00万元，预决算差异率0.00%，主要原因是：</w:t>
      </w:r>
      <w:r>
        <w:rPr>
          <w:rFonts w:hint="default" w:ascii="Times New Roman" w:hAnsi="Times New Roman" w:eastAsia="仿宋_GB2312" w:cs="Times New Roman"/>
          <w:sz w:val="32"/>
          <w:szCs w:val="32"/>
        </w:rPr>
        <w:t>我单位无因公出国（境）费</w:t>
      </w:r>
      <w:r>
        <w:rPr>
          <w:rFonts w:hint="default" w:ascii="Times New Roman" w:hAnsi="Times New Roman" w:eastAsia="仿宋_GB2312" w:cs="Times New Roman"/>
          <w:color w:val="auto"/>
          <w:sz w:val="32"/>
          <w:szCs w:val="32"/>
          <w:highlight w:val="none"/>
          <w:lang w:val="zh-CN" w:eastAsia="zh-CN"/>
        </w:rPr>
        <w:t>；公务用车购置费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sz w:val="32"/>
          <w:szCs w:val="32"/>
        </w:rPr>
        <w:t>我单位无公务用车购置费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color w:val="auto"/>
          <w:sz w:val="32"/>
          <w:szCs w:val="32"/>
          <w:highlight w:val="none"/>
          <w:lang w:val="zh-CN" w:eastAsia="zh-CN"/>
        </w:rPr>
        <w:t>公务用车运行费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预算数8.72万元，决算数8.72万元，预决算差异率0.00%，主要原因是：</w:t>
      </w:r>
      <w:r>
        <w:rPr>
          <w:rFonts w:hint="default" w:ascii="Times New Roman" w:hAnsi="Times New Roman" w:eastAsia="仿宋_GB2312" w:cs="Times New Roman"/>
          <w:sz w:val="32"/>
          <w:szCs w:val="32"/>
        </w:rPr>
        <w:t>公务用车运行费预决算一致，无差异</w:t>
      </w:r>
      <w:r>
        <w:rPr>
          <w:rFonts w:hint="default" w:ascii="Times New Roman" w:hAnsi="Times New Roman" w:eastAsia="仿宋_GB2312" w:cs="Times New Roman"/>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预算数0.74万元，决算数0.74万元，预决算差异率0.00%，主要原因是：</w:t>
      </w:r>
      <w:r>
        <w:rPr>
          <w:rFonts w:hint="default" w:ascii="Times New Roman" w:hAnsi="Times New Roman" w:eastAsia="仿宋_GB2312" w:cs="Times New Roman"/>
          <w:sz w:val="32"/>
          <w:szCs w:val="32"/>
        </w:rPr>
        <w:t>公务接待费预决算一致，无差异。</w:t>
      </w:r>
    </w:p>
    <w:p w14:paraId="7DCEC1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8" w:name="_Toc5810"/>
      <w:bookmarkStart w:id="19" w:name="_Toc7927"/>
      <w:r>
        <w:rPr>
          <w:rFonts w:hint="default" w:ascii="Times New Roman" w:hAnsi="Times New Roman" w:eastAsia="黑体" w:cs="Times New Roman"/>
          <w:bCs/>
          <w:color w:val="auto"/>
          <w:kern w:val="0"/>
          <w:sz w:val="32"/>
          <w:szCs w:val="32"/>
          <w:highlight w:val="none"/>
          <w:lang w:val="en-US" w:eastAsia="zh-CN"/>
        </w:rPr>
        <w:t>八</w:t>
      </w:r>
      <w:r>
        <w:rPr>
          <w:rFonts w:hint="default" w:ascii="Times New Roman" w:hAnsi="Times New Roman" w:eastAsia="黑体" w:cs="Times New Roman"/>
          <w:bCs/>
          <w:color w:val="auto"/>
          <w:kern w:val="0"/>
          <w:sz w:val="32"/>
          <w:szCs w:val="32"/>
          <w:highlight w:val="none"/>
          <w:lang w:eastAsia="zh-CN"/>
        </w:rPr>
        <w:t>、政府性基金预算财政拨款收入支出决算情况说明</w:t>
      </w:r>
      <w:bookmarkEnd w:id="18"/>
      <w:bookmarkEnd w:id="19"/>
    </w:p>
    <w:p w14:paraId="49BA75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w:t>
      </w:r>
      <w:r>
        <w:rPr>
          <w:rFonts w:hint="default" w:ascii="Times New Roman" w:hAnsi="Times New Roman" w:eastAsia="仿宋_GB2312" w:cs="Times New Roman"/>
          <w:color w:val="auto"/>
          <w:sz w:val="32"/>
          <w:szCs w:val="32"/>
          <w:highlight w:val="none"/>
          <w:lang w:val="en-US" w:eastAsia="zh-CN"/>
        </w:rPr>
        <w:t>部门</w:t>
      </w:r>
      <w:r>
        <w:rPr>
          <w:rFonts w:hint="default" w:ascii="Times New Roman" w:hAnsi="Times New Roman" w:eastAsia="仿宋_GB2312" w:cs="Times New Roman"/>
          <w:color w:val="auto"/>
          <w:sz w:val="32"/>
          <w:szCs w:val="32"/>
          <w:highlight w:val="none"/>
          <w:lang w:eastAsia="zh-CN"/>
        </w:rPr>
        <w:t>本年度无政府性基金预算财政拨款收入、支出</w:t>
      </w:r>
      <w:r>
        <w:rPr>
          <w:rFonts w:hint="default" w:ascii="Times New Roman" w:hAnsi="Times New Roman" w:eastAsia="仿宋_GB2312" w:cs="Times New Roman"/>
          <w:color w:val="auto"/>
          <w:sz w:val="32"/>
          <w:szCs w:val="32"/>
          <w:highlight w:val="none"/>
          <w:lang w:val="en-US" w:eastAsia="zh-CN"/>
        </w:rPr>
        <w:t>及结转和结余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政府性基金预算财政拨款收入支出决算表为空表。</w:t>
      </w:r>
    </w:p>
    <w:p w14:paraId="6353170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九</w:t>
      </w:r>
      <w:r>
        <w:rPr>
          <w:rFonts w:hint="default" w:ascii="Times New Roman" w:hAnsi="Times New Roman" w:eastAsia="黑体" w:cs="Times New Roman"/>
          <w:bCs/>
          <w:color w:val="auto"/>
          <w:kern w:val="0"/>
          <w:sz w:val="32"/>
          <w:szCs w:val="32"/>
          <w:highlight w:val="none"/>
          <w:lang w:eastAsia="zh-CN"/>
        </w:rPr>
        <w:t>、国有资本经营预算财政拨款收入支出决算情况说明</w:t>
      </w:r>
    </w:p>
    <w:p w14:paraId="5B60BB6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w:t>
      </w:r>
      <w:r>
        <w:rPr>
          <w:rFonts w:hint="default" w:ascii="Times New Roman" w:hAnsi="Times New Roman" w:eastAsia="仿宋_GB2312" w:cs="Times New Roman"/>
          <w:color w:val="auto"/>
          <w:sz w:val="32"/>
          <w:szCs w:val="32"/>
          <w:highlight w:val="none"/>
          <w:lang w:val="en-US" w:eastAsia="zh-CN"/>
        </w:rPr>
        <w:t>部门</w:t>
      </w:r>
      <w:r>
        <w:rPr>
          <w:rFonts w:hint="default" w:ascii="Times New Roman" w:hAnsi="Times New Roman" w:eastAsia="仿宋_GB2312" w:cs="Times New Roman"/>
          <w:color w:val="auto"/>
          <w:sz w:val="32"/>
          <w:szCs w:val="32"/>
          <w:highlight w:val="none"/>
          <w:lang w:eastAsia="zh-CN"/>
        </w:rPr>
        <w:t>本年度无国有资本经营预算财政拨款收入、支出</w:t>
      </w:r>
      <w:r>
        <w:rPr>
          <w:rFonts w:hint="default" w:ascii="Times New Roman" w:hAnsi="Times New Roman" w:eastAsia="仿宋_GB2312" w:cs="Times New Roman"/>
          <w:color w:val="auto"/>
          <w:sz w:val="32"/>
          <w:szCs w:val="32"/>
          <w:highlight w:val="none"/>
          <w:lang w:val="en-US" w:eastAsia="zh-CN"/>
        </w:rPr>
        <w:t>及结转和结余</w:t>
      </w:r>
      <w:r>
        <w:rPr>
          <w:rFonts w:hint="default" w:ascii="Times New Roman" w:hAnsi="Times New Roman" w:eastAsia="仿宋_GB2312" w:cs="Times New Roman"/>
          <w:color w:val="auto"/>
          <w:sz w:val="32"/>
          <w:szCs w:val="32"/>
          <w:highlight w:val="none"/>
          <w:lang w:eastAsia="zh-CN"/>
        </w:rPr>
        <w:t>，国有资本经营</w:t>
      </w:r>
      <w:r>
        <w:rPr>
          <w:rFonts w:hint="default" w:ascii="Times New Roman" w:hAnsi="Times New Roman" w:eastAsia="仿宋_GB2312" w:cs="Times New Roman"/>
          <w:color w:val="auto"/>
          <w:sz w:val="32"/>
          <w:szCs w:val="32"/>
          <w:highlight w:val="none"/>
        </w:rPr>
        <w:t>预算财政拨款收入支出决算表为空表。</w:t>
      </w:r>
    </w:p>
    <w:p w14:paraId="6AF824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20" w:name="_Toc1235"/>
      <w:bookmarkStart w:id="21" w:name="_Toc7314"/>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rPr>
        <w:t>、其他重要事项的情况</w:t>
      </w:r>
      <w:r>
        <w:rPr>
          <w:rFonts w:hint="default" w:ascii="Times New Roman" w:hAnsi="Times New Roman" w:eastAsia="黑体" w:cs="Times New Roman"/>
          <w:bCs/>
          <w:color w:val="auto"/>
          <w:kern w:val="0"/>
          <w:sz w:val="32"/>
          <w:szCs w:val="32"/>
          <w:highlight w:val="none"/>
          <w:lang w:eastAsia="zh-CN"/>
        </w:rPr>
        <w:t>说明</w:t>
      </w:r>
      <w:bookmarkEnd w:id="20"/>
      <w:bookmarkEnd w:id="21"/>
    </w:p>
    <w:p w14:paraId="3E90E5B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rPr>
      </w:pPr>
      <w:bookmarkStart w:id="22" w:name="_Toc13105"/>
      <w:bookmarkStart w:id="23" w:name="_Toc14519"/>
      <w:r>
        <w:rPr>
          <w:rFonts w:hint="default" w:ascii="Times New Roman" w:hAnsi="Times New Roman" w:eastAsia="黑体" w:cs="Times New Roman"/>
          <w:color w:val="auto"/>
          <w:sz w:val="32"/>
          <w:szCs w:val="32"/>
          <w:highlight w:val="none"/>
          <w:lang w:eastAsia="zh-CN"/>
        </w:rPr>
        <w:t>（一）</w:t>
      </w:r>
      <w:r>
        <w:rPr>
          <w:rFonts w:hint="default" w:ascii="Times New Roman" w:hAnsi="Times New Roman" w:eastAsia="黑体" w:cs="Times New Roman"/>
          <w:color w:val="auto"/>
          <w:sz w:val="32"/>
          <w:szCs w:val="32"/>
          <w:highlight w:val="none"/>
        </w:rPr>
        <w:t>机关运行经费支出情况</w:t>
      </w:r>
      <w:bookmarkEnd w:id="22"/>
      <w:bookmarkEnd w:id="23"/>
    </w:p>
    <w:p w14:paraId="42C00766">
      <w:pPr>
        <w:ind w:firstLine="640" w:firstLineChars="200"/>
        <w:outlineLvl w:val="2"/>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新疆维吾尔自治区塔里木河流域干流管理局</w:t>
      </w:r>
      <w:r>
        <w:rPr>
          <w:rFonts w:hint="eastAsia" w:ascii="Times New Roman" w:hAnsi="Times New Roman" w:eastAsia="仿宋_GB2312" w:cs="Times New Roman"/>
          <w:color w:val="auto"/>
          <w:sz w:val="32"/>
          <w:szCs w:val="32"/>
          <w:highlight w:val="none"/>
          <w:lang w:val="zh-CN" w:eastAsia="zh-CN"/>
        </w:rPr>
        <w:t>（事业单位）公用经费支出</w:t>
      </w:r>
      <w:r>
        <w:rPr>
          <w:rFonts w:hint="eastAsia" w:eastAsia="仿宋_GB2312" w:cs="Times New Roman"/>
          <w:color w:val="auto"/>
          <w:sz w:val="32"/>
          <w:szCs w:val="32"/>
          <w:highlight w:val="none"/>
          <w:lang w:val="en-US" w:eastAsia="zh-CN"/>
        </w:rPr>
        <w:t>187.72</w:t>
      </w:r>
      <w:r>
        <w:rPr>
          <w:rFonts w:hint="eastAsia" w:ascii="Times New Roman" w:hAnsi="Times New Roman" w:eastAsia="仿宋_GB2312" w:cs="Times New Roman"/>
          <w:color w:val="auto"/>
          <w:sz w:val="32"/>
          <w:szCs w:val="32"/>
          <w:highlight w:val="none"/>
          <w:lang w:val="zh-CN" w:eastAsia="zh-CN"/>
        </w:rPr>
        <w:t>万元，比上年减少</w:t>
      </w:r>
      <w:r>
        <w:rPr>
          <w:rFonts w:hint="eastAsia" w:eastAsia="仿宋_GB2312" w:cs="Times New Roman"/>
          <w:color w:val="auto"/>
          <w:sz w:val="32"/>
          <w:szCs w:val="32"/>
          <w:highlight w:val="none"/>
          <w:lang w:val="en-US" w:eastAsia="zh-CN"/>
        </w:rPr>
        <w:t>1.41</w:t>
      </w:r>
      <w:r>
        <w:rPr>
          <w:rFonts w:hint="eastAsia" w:ascii="Times New Roman" w:hAnsi="Times New Roman" w:eastAsia="仿宋_GB2312" w:cs="Times New Roman"/>
          <w:color w:val="auto"/>
          <w:sz w:val="32"/>
          <w:szCs w:val="32"/>
          <w:highlight w:val="none"/>
          <w:lang w:val="zh-CN" w:eastAsia="zh-CN"/>
        </w:rPr>
        <w:t>万元，下降</w:t>
      </w:r>
      <w:r>
        <w:rPr>
          <w:rFonts w:hint="eastAsia" w:eastAsia="仿宋_GB2312" w:cs="Times New Roman"/>
          <w:color w:val="auto"/>
          <w:sz w:val="32"/>
          <w:szCs w:val="32"/>
          <w:highlight w:val="none"/>
          <w:lang w:val="en-US" w:eastAsia="zh-CN"/>
        </w:rPr>
        <w:t>0.75</w:t>
      </w:r>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color w:val="auto"/>
          <w:sz w:val="32"/>
          <w:szCs w:val="32"/>
          <w:highlight w:val="none"/>
          <w:lang w:val="en-US" w:eastAsia="zh-CN"/>
        </w:rPr>
        <w:t>1.</w:t>
      </w:r>
      <w:r>
        <w:rPr>
          <w:rFonts w:hint="eastAsia" w:ascii="仿宋_GB2312" w:eastAsia="仿宋_GB2312"/>
          <w:color w:val="auto"/>
          <w:sz w:val="32"/>
          <w:szCs w:val="32"/>
          <w:lang w:val="en-US" w:eastAsia="zh-CN"/>
        </w:rPr>
        <w:t>因在职人员人数有所减少；2.</w:t>
      </w:r>
      <w:r>
        <w:rPr>
          <w:rFonts w:hint="default" w:ascii="Times New Roman" w:hAnsi="Times New Roman" w:eastAsia="仿宋_GB2312" w:cs="Times New Roman"/>
          <w:color w:val="auto"/>
          <w:sz w:val="32"/>
          <w:szCs w:val="32"/>
          <w:highlight w:val="none"/>
          <w:lang w:val="en-US" w:eastAsia="zh-CN"/>
        </w:rPr>
        <w:t>我单位全面落实“过紧日子”要求，厉行勤俭节约，压减</w:t>
      </w:r>
      <w:r>
        <w:rPr>
          <w:rFonts w:hint="default" w:ascii="Times New Roman" w:hAnsi="Times New Roman" w:eastAsia="仿宋_GB2312" w:cs="Times New Roman"/>
          <w:color w:val="auto"/>
          <w:sz w:val="32"/>
          <w:szCs w:val="32"/>
          <w:highlight w:val="none"/>
          <w:lang w:val="zh-CN" w:eastAsia="zh-CN"/>
        </w:rPr>
        <w:t>公用经费支出</w:t>
      </w:r>
      <w:r>
        <w:rPr>
          <w:rFonts w:hint="default" w:ascii="Times New Roman" w:hAnsi="Times New Roman" w:eastAsia="仿宋_GB2312" w:cs="Times New Roman"/>
          <w:color w:val="auto"/>
          <w:sz w:val="32"/>
          <w:szCs w:val="32"/>
          <w:highlight w:val="none"/>
          <w:lang w:val="en-US" w:eastAsia="zh-CN"/>
        </w:rPr>
        <w:t>。</w:t>
      </w:r>
    </w:p>
    <w:p w14:paraId="0280F5F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黑体" w:cs="Times New Roman"/>
          <w:color w:val="auto"/>
          <w:sz w:val="32"/>
          <w:szCs w:val="30"/>
          <w:highlight w:val="none"/>
          <w:lang w:val="zh-CN" w:eastAsia="zh-CN"/>
        </w:rPr>
      </w:pPr>
      <w:r>
        <w:rPr>
          <w:rFonts w:hint="default" w:ascii="Times New Roman" w:hAnsi="Times New Roman" w:eastAsia="黑体" w:cs="Times New Roman"/>
          <w:color w:val="auto"/>
          <w:sz w:val="32"/>
          <w:szCs w:val="30"/>
          <w:highlight w:val="none"/>
          <w:lang w:val="zh-CN" w:eastAsia="zh-CN"/>
        </w:rPr>
        <w:t>（二）政府采购情况</w:t>
      </w:r>
      <w:bookmarkEnd w:id="24"/>
      <w:bookmarkEnd w:id="25"/>
    </w:p>
    <w:p w14:paraId="50ACE03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4,183.56万元</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eastAsia="zh-CN"/>
        </w:rPr>
        <w:t>其中：政府采购货物支出480.00万元、政府采购工程支出2,229.71万元、政府采购服务支出1,473.85万元。</w:t>
      </w:r>
    </w:p>
    <w:p w14:paraId="1678F5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授予中小企业合同金额4,066.29万元，占政府采购支出总额的97.20%，其中：授予小微企业合同金额2,421.23万元，占政府采购支出总额的57.87%</w:t>
      </w:r>
      <w:r>
        <w:rPr>
          <w:rFonts w:hint="default" w:ascii="Times New Roman" w:hAnsi="Times New Roman" w:eastAsia="仿宋_GB2312" w:cs="Times New Roman"/>
          <w:color w:val="auto"/>
          <w:sz w:val="32"/>
          <w:szCs w:val="32"/>
          <w:highlight w:val="none"/>
          <w:lang w:val="en-US" w:eastAsia="zh-CN"/>
        </w:rPr>
        <w:t>。</w:t>
      </w:r>
    </w:p>
    <w:p w14:paraId="382C0E2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黑体" w:cs="Times New Roman"/>
          <w:color w:val="auto"/>
          <w:sz w:val="32"/>
          <w:szCs w:val="30"/>
          <w:highlight w:val="none"/>
          <w:lang w:val="zh-CN" w:eastAsia="zh-CN"/>
        </w:rPr>
      </w:pPr>
      <w:bookmarkStart w:id="26" w:name="_Toc8391"/>
      <w:bookmarkStart w:id="27" w:name="_Toc4591"/>
      <w:r>
        <w:rPr>
          <w:rFonts w:hint="default" w:ascii="Times New Roman" w:hAnsi="Times New Roman" w:eastAsia="黑体" w:cs="Times New Roman"/>
          <w:color w:val="auto"/>
          <w:sz w:val="32"/>
          <w:szCs w:val="30"/>
          <w:highlight w:val="none"/>
          <w:lang w:val="zh-CN" w:eastAsia="zh-CN"/>
        </w:rPr>
        <w:t>（三）国有资产占用情况说明</w:t>
      </w:r>
      <w:bookmarkEnd w:id="26"/>
      <w:bookmarkEnd w:id="27"/>
    </w:p>
    <w:p w14:paraId="0D537F9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en-US" w:eastAsia="zh-CN"/>
        </w:rPr>
        <w:t>截至2023</w:t>
      </w:r>
      <w:r>
        <w:rPr>
          <w:rFonts w:hint="default" w:ascii="Times New Roman" w:hAnsi="Times New Roman" w:eastAsia="仿宋_GB2312" w:cs="Times New Roman"/>
          <w:color w:val="auto"/>
          <w:sz w:val="32"/>
          <w:szCs w:val="32"/>
          <w:highlight w:val="none"/>
          <w:lang w:val="zh-CN" w:eastAsia="zh-CN"/>
        </w:rPr>
        <w:t>年</w:t>
      </w:r>
      <w:r>
        <w:rPr>
          <w:rFonts w:hint="default" w:ascii="Times New Roman" w:hAnsi="Times New Roman" w:eastAsia="仿宋_GB2312" w:cs="Times New Roman"/>
          <w:color w:val="auto"/>
          <w:sz w:val="32"/>
          <w:szCs w:val="32"/>
          <w:highlight w:val="none"/>
          <w:lang w:val="en-US" w:eastAsia="zh-CN"/>
        </w:rPr>
        <w:t>12月31日</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en-US" w:eastAsia="zh-CN"/>
        </w:rPr>
        <w:t>固定资产原值</w:t>
      </w:r>
      <w:r>
        <w:rPr>
          <w:rFonts w:hint="default" w:ascii="Times New Roman" w:hAnsi="Times New Roman" w:eastAsia="仿宋_GB2312" w:cs="Times New Roman"/>
          <w:color w:val="auto"/>
          <w:sz w:val="32"/>
          <w:szCs w:val="32"/>
          <w:highlight w:val="none"/>
          <w:lang w:val="zh-CN" w:eastAsia="zh-CN"/>
        </w:rPr>
        <w:t>1,431.21</w:t>
      </w:r>
      <w:r>
        <w:rPr>
          <w:rFonts w:hint="default" w:ascii="Times New Roman" w:hAnsi="Times New Roman" w:eastAsia="仿宋_GB2312" w:cs="Times New Roman"/>
          <w:color w:val="auto"/>
          <w:sz w:val="32"/>
          <w:szCs w:val="32"/>
          <w:highlight w:val="none"/>
          <w:lang w:val="en-US" w:eastAsia="zh-CN"/>
        </w:rPr>
        <w:t>万元，房</w:t>
      </w:r>
      <w:r>
        <w:rPr>
          <w:rFonts w:hint="default" w:ascii="Times New Roman" w:hAnsi="Times New Roman" w:eastAsia="仿宋_GB2312" w:cs="Times New Roman"/>
          <w:color w:val="auto"/>
          <w:sz w:val="32"/>
          <w:szCs w:val="32"/>
          <w:highlight w:val="none"/>
          <w:lang w:val="zh-CN" w:eastAsia="zh-CN"/>
        </w:rPr>
        <w:t>屋5336.53平方米，价值1,235.85万元。车辆0辆，价值0.00万元，其中：副部（省）级及以上领导用车0辆、主要</w:t>
      </w:r>
      <w:r>
        <w:rPr>
          <w:rFonts w:hint="default" w:ascii="Times New Roman" w:hAnsi="Times New Roman" w:eastAsia="仿宋_GB2312" w:cs="Times New Roman"/>
          <w:color w:val="auto"/>
          <w:sz w:val="32"/>
          <w:szCs w:val="32"/>
          <w:highlight w:val="none"/>
          <w:lang w:val="en-US" w:eastAsia="zh-CN"/>
        </w:rPr>
        <w:t>负责人</w:t>
      </w:r>
      <w:r>
        <w:rPr>
          <w:rFonts w:hint="default"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default" w:ascii="Times New Roman" w:hAnsi="Times New Roman" w:eastAsia="仿宋_GB2312" w:cs="Times New Roman"/>
          <w:color w:val="auto"/>
          <w:sz w:val="32"/>
          <w:szCs w:val="32"/>
          <w:highlight w:val="none"/>
          <w:lang w:val="en-US" w:eastAsia="zh-CN"/>
        </w:rPr>
        <w:t>服务</w:t>
      </w:r>
      <w:r>
        <w:rPr>
          <w:rFonts w:hint="default" w:ascii="Times New Roman" w:hAnsi="Times New Roman" w:eastAsia="仿宋_GB2312" w:cs="Times New Roman"/>
          <w:color w:val="auto"/>
          <w:sz w:val="32"/>
          <w:szCs w:val="32"/>
          <w:highlight w:val="none"/>
          <w:lang w:val="zh-CN" w:eastAsia="zh-CN"/>
        </w:rPr>
        <w:t>用车0辆、其他用车0辆，其他用车主要是：</w:t>
      </w:r>
      <w:r>
        <w:rPr>
          <w:rFonts w:hint="default" w:ascii="Times New Roman" w:hAnsi="Times New Roman" w:eastAsia="仿宋_GB2312" w:cs="Times New Roman"/>
          <w:color w:val="auto"/>
          <w:sz w:val="32"/>
          <w:szCs w:val="32"/>
          <w:highlight w:val="none"/>
          <w:lang w:val="en-US" w:eastAsia="zh-CN"/>
        </w:rPr>
        <w:t>我单位无其他用车</w:t>
      </w:r>
      <w:r>
        <w:rPr>
          <w:rFonts w:hint="default" w:ascii="Times New Roman" w:hAnsi="Times New Roman" w:eastAsia="仿宋_GB2312" w:cs="Times New Roman"/>
          <w:color w:val="auto"/>
          <w:sz w:val="32"/>
          <w:szCs w:val="32"/>
          <w:highlight w:val="none"/>
          <w:lang w:val="zh-CN" w:eastAsia="zh-CN"/>
        </w:rPr>
        <w:t>；单价100万元（含）以上设备（不含车辆）0</w:t>
      </w:r>
      <w:r>
        <w:rPr>
          <w:rFonts w:hint="default" w:ascii="Times New Roman" w:hAnsi="Times New Roman" w:eastAsia="仿宋_GB2312" w:cs="Times New Roman"/>
          <w:color w:val="auto"/>
          <w:sz w:val="32"/>
          <w:szCs w:val="32"/>
          <w:highlight w:val="none"/>
          <w:lang w:val="en-US" w:eastAsia="zh-CN"/>
        </w:rPr>
        <w:t>台（</w:t>
      </w:r>
      <w:r>
        <w:rPr>
          <w:rFonts w:hint="default" w:ascii="Times New Roman" w:hAnsi="Times New Roman" w:eastAsia="仿宋_GB2312" w:cs="Times New Roman"/>
          <w:color w:val="auto"/>
          <w:sz w:val="32"/>
          <w:szCs w:val="32"/>
          <w:highlight w:val="none"/>
          <w:lang w:val="zh-CN" w:eastAsia="zh-CN"/>
        </w:rPr>
        <w:t>套）。</w:t>
      </w:r>
    </w:p>
    <w:p w14:paraId="6D33F9B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28" w:name="_Toc435"/>
      <w:bookmarkStart w:id="29" w:name="_Toc11283"/>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一</w:t>
      </w:r>
      <w:r>
        <w:rPr>
          <w:rFonts w:hint="default" w:ascii="Times New Roman" w:hAnsi="Times New Roman" w:eastAsia="黑体" w:cs="Times New Roman"/>
          <w:bCs/>
          <w:color w:val="auto"/>
          <w:kern w:val="0"/>
          <w:sz w:val="32"/>
          <w:szCs w:val="32"/>
          <w:highlight w:val="none"/>
          <w:lang w:eastAsia="zh-CN"/>
        </w:rPr>
        <w:t>、预算绩效的情况说明</w:t>
      </w:r>
      <w:bookmarkEnd w:id="28"/>
      <w:bookmarkEnd w:id="29"/>
    </w:p>
    <w:p w14:paraId="5C2CD0D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根据预算绩效管理要求，我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2023年度</w:t>
      </w:r>
      <w:r>
        <w:rPr>
          <w:rFonts w:hint="default" w:ascii="Times New Roman" w:hAnsi="Times New Roman" w:eastAsia="仿宋_GB2312" w:cs="Times New Roman"/>
          <w:color w:val="auto"/>
          <w:kern w:val="0"/>
          <w:sz w:val="32"/>
          <w:szCs w:val="32"/>
          <w:highlight w:val="none"/>
        </w:rPr>
        <w:t>预算绩效管理整体</w:t>
      </w:r>
      <w:r>
        <w:rPr>
          <w:rFonts w:hint="default" w:ascii="Times New Roman" w:hAnsi="Times New Roman" w:eastAsia="仿宋_GB2312" w:cs="Times New Roman"/>
          <w:color w:val="auto"/>
          <w:kern w:val="0"/>
          <w:sz w:val="32"/>
          <w:szCs w:val="32"/>
          <w:highlight w:val="none"/>
          <w:lang w:val="en-US" w:eastAsia="zh-CN"/>
        </w:rPr>
        <w:t>支出</w:t>
      </w:r>
      <w:r>
        <w:rPr>
          <w:rFonts w:hint="default" w:ascii="Times New Roman" w:hAnsi="Times New Roman" w:eastAsia="仿宋_GB2312" w:cs="Times New Roman"/>
          <w:color w:val="auto"/>
          <w:kern w:val="0"/>
          <w:sz w:val="32"/>
          <w:szCs w:val="32"/>
          <w:highlight w:val="none"/>
        </w:rPr>
        <w:t>绩效自评表</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kern w:val="0"/>
          <w:sz w:val="32"/>
          <w:szCs w:val="32"/>
          <w:highlight w:val="none"/>
          <w:lang w:val="en-US" w:eastAsia="zh-CN"/>
        </w:rPr>
        <w:t>个，全年</w:t>
      </w:r>
      <w:r>
        <w:rPr>
          <w:rFonts w:hint="default" w:ascii="Times New Roman" w:hAnsi="Times New Roman" w:eastAsia="仿宋_GB2312" w:cs="Times New Roman"/>
          <w:color w:val="auto"/>
          <w:sz w:val="32"/>
          <w:szCs w:val="32"/>
          <w:highlight w:val="none"/>
          <w:lang w:val="en-US" w:eastAsia="zh-CN"/>
        </w:rPr>
        <w:t>预算总额</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实际执行总额</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我单位整体支出绩效自评表由主管部门编报并公开</w:t>
      </w:r>
      <w:r>
        <w:rPr>
          <w:rFonts w:hint="default" w:ascii="Times New Roman" w:hAnsi="Times New Roman" w:eastAsia="仿宋_GB2312" w:cs="Times New Roman"/>
          <w:color w:val="auto"/>
          <w:kern w:val="0"/>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预算绩效评价项目</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个，</w:t>
      </w:r>
      <w:r>
        <w:rPr>
          <w:rFonts w:hint="default" w:ascii="Times New Roman" w:hAnsi="Times New Roman" w:eastAsia="仿宋_GB2312" w:cs="Times New Roman"/>
          <w:color w:val="auto"/>
          <w:sz w:val="32"/>
          <w:szCs w:val="32"/>
          <w:highlight w:val="none"/>
          <w:lang w:val="en-US" w:eastAsia="zh-CN"/>
        </w:rPr>
        <w:t>全年预算数</w:t>
      </w:r>
      <w:r>
        <w:rPr>
          <w:rFonts w:hint="eastAsia" w:eastAsia="仿宋_GB2312" w:cs="Times New Roman"/>
          <w:color w:val="auto"/>
          <w:sz w:val="32"/>
          <w:szCs w:val="32"/>
          <w:highlight w:val="none"/>
          <w:lang w:val="en-US" w:eastAsia="zh-CN"/>
        </w:rPr>
        <w:t>1564</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1564</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预算绩效管理取得的成效：一是严格落实安全生产责任制，积极构建查找、研判、预警、防范、处置和责任等风险管控“六项机制”，开展专项检查20次，闭环完成隐患整改。坚持抓早抓实抓细各项防御措施，完成9处险工险段除险加固工程，封堵5处跑水口。汛期及时启动洪水灾害应急响应，充分挖掘现有水利工程调蓄能力和水库蓄水潜力，排除险情4处，为塔河干流战洪峰、防洪灾、保安全、保灌溉提供坚强保障；二是贯彻落实自治区党委、塔管局党委对水利工作各项部署要求，不断提高水资源节约集约利用水平，加强河湖治理保护，健全生态输水工作机制，进一步巩固生态治理成效；抓好水利工程标准化管理和基层管理站“十个一”标准化创建，补齐水利工程短板和弱项；水生态环境不断改善。水利工程建设和标准化管理持续推进，完成塔河干流6处取水口在线监测工程建设，完成塔河干流4处视频监测点和车尔臣河入台特玛湖视频监测点项目。按照水利工程标准化关于信息化建设的工作要求，开展网络信息化整改和安全加固工作，完成年度信息化系统巡检维护，持续推进信息化与水利业务的深度融合。发现的问题及原因：</w:t>
      </w:r>
      <w:r>
        <w:rPr>
          <w:rFonts w:ascii="仿宋_GB2312" w:eastAsia="仿宋_GB2312"/>
          <w:sz w:val="32"/>
          <w:szCs w:val="32"/>
        </w:rPr>
        <w:t>一是相关绩效管理方面专业知识的系统性学习有待加强</w:t>
      </w:r>
      <w:r>
        <w:rPr>
          <w:rFonts w:hint="eastAsia" w:ascii="仿宋_GB2312" w:eastAsia="仿宋_GB2312"/>
          <w:sz w:val="32"/>
          <w:szCs w:val="32"/>
          <w:lang w:eastAsia="zh-CN"/>
        </w:rPr>
        <w:t>，</w:t>
      </w:r>
      <w:r>
        <w:rPr>
          <w:rFonts w:ascii="仿宋_GB2312" w:eastAsia="仿宋_GB2312"/>
          <w:sz w:val="32"/>
          <w:szCs w:val="32"/>
        </w:rPr>
        <w:t>各项指标的设置要进一步优化、完善，主要在细化、量化上改进</w:t>
      </w:r>
      <w:r>
        <w:rPr>
          <w:rFonts w:hint="eastAsia" w:ascii="仿宋_GB2312" w:eastAsia="仿宋_GB2312"/>
          <w:sz w:val="32"/>
          <w:szCs w:val="32"/>
          <w:lang w:eastAsia="zh-CN"/>
        </w:rPr>
        <w:t>。</w:t>
      </w:r>
      <w:r>
        <w:rPr>
          <w:rFonts w:hint="eastAsia" w:ascii="仿宋_GB2312" w:eastAsia="仿宋_GB2312"/>
          <w:sz w:val="32"/>
          <w:szCs w:val="32"/>
          <w:lang w:val="en-US" w:eastAsia="zh-CN"/>
        </w:rPr>
        <w:t>二是</w:t>
      </w:r>
      <w:r>
        <w:rPr>
          <w:rFonts w:ascii="仿宋_GB2312" w:eastAsia="仿宋_GB2312"/>
          <w:sz w:val="32"/>
          <w:szCs w:val="32"/>
        </w:rPr>
        <w:t>在绩效自评过程中，由于部分人员缺乏相关绩效管理专业知识，自评价工作还存在自查审定的局限性</w:t>
      </w:r>
      <w:r>
        <w:rPr>
          <w:rFonts w:hint="default" w:ascii="Times New Roman" w:hAnsi="Times New Roman" w:eastAsia="仿宋_GB2312" w:cs="Times New Roman"/>
          <w:color w:val="auto"/>
          <w:sz w:val="32"/>
          <w:szCs w:val="32"/>
          <w:highlight w:val="none"/>
          <w:lang w:eastAsia="zh-CN"/>
        </w:rPr>
        <w:t>。下一步改进措施：</w:t>
      </w:r>
      <w:r>
        <w:rPr>
          <w:rFonts w:ascii="仿宋_GB2312" w:eastAsia="仿宋_GB2312"/>
          <w:sz w:val="32"/>
          <w:szCs w:val="32"/>
        </w:rPr>
        <w:t>一是多进行有关绩效管理工作方面的培训</w:t>
      </w:r>
      <w:r>
        <w:rPr>
          <w:rFonts w:hint="eastAsia" w:ascii="仿宋_GB2312" w:eastAsia="仿宋_GB2312"/>
          <w:sz w:val="32"/>
          <w:szCs w:val="32"/>
          <w:lang w:eastAsia="zh-CN"/>
        </w:rPr>
        <w:t>，</w:t>
      </w:r>
      <w:r>
        <w:rPr>
          <w:rFonts w:ascii="仿宋_GB2312" w:eastAsia="仿宋_GB2312"/>
          <w:sz w:val="32"/>
          <w:szCs w:val="32"/>
        </w:rPr>
        <w:t>进一步夯实业务基础，提高单位绩效</w:t>
      </w:r>
      <w:r>
        <w:rPr>
          <w:rFonts w:hint="eastAsia" w:ascii="仿宋_GB2312" w:eastAsia="仿宋_GB2312"/>
          <w:sz w:val="32"/>
          <w:szCs w:val="32"/>
          <w:lang w:val="en-US" w:eastAsia="zh-CN"/>
        </w:rPr>
        <w:t>管理</w:t>
      </w:r>
      <w:r>
        <w:rPr>
          <w:rFonts w:ascii="仿宋_GB2312" w:eastAsia="仿宋_GB2312"/>
          <w:sz w:val="32"/>
          <w:szCs w:val="32"/>
        </w:rPr>
        <w:t>人员水平；二是进一步加强对绩效管理工作的组织领导，提高对预算绩效管理工作重要性的认识，总结经验查找问题，抓紧研究制定更全面更完善的绩效评价管理办法</w:t>
      </w:r>
      <w:r>
        <w:rPr>
          <w:rFonts w:hint="eastAsia" w:ascii="仿宋_GB2312" w:eastAsia="仿宋_GB2312"/>
          <w:sz w:val="32"/>
          <w:szCs w:val="32"/>
          <w:lang w:eastAsia="zh-CN"/>
        </w:rPr>
        <w:t>，</w:t>
      </w:r>
      <w:r>
        <w:rPr>
          <w:rFonts w:ascii="仿宋_GB2312" w:eastAsia="仿宋_GB2312"/>
          <w:sz w:val="32"/>
          <w:szCs w:val="32"/>
        </w:rPr>
        <w:t>加大全局对全面实施预算绩效管理和绩效管理工作的学习力度，让“花钱必问效，无效必问责”的理念深入工作每个环节</w:t>
      </w:r>
      <w:r>
        <w:rPr>
          <w:rFonts w:hint="eastAsia" w:ascii="仿宋_GB2312" w:eastAsia="仿宋_GB2312"/>
          <w:sz w:val="32"/>
          <w:szCs w:val="32"/>
        </w:rPr>
        <w:t>。</w:t>
      </w:r>
      <w:r>
        <w:rPr>
          <w:rFonts w:hint="default" w:ascii="Times New Roman" w:hAnsi="Times New Roman" w:eastAsia="仿宋_GB2312" w:cs="Times New Roman"/>
          <w:color w:val="auto"/>
          <w:sz w:val="32"/>
          <w:szCs w:val="32"/>
          <w:highlight w:val="none"/>
          <w:lang w:eastAsia="zh-CN"/>
        </w:rPr>
        <w:t>具体</w:t>
      </w:r>
      <w:r>
        <w:rPr>
          <w:rFonts w:hint="default" w:ascii="Times New Roman" w:hAnsi="Times New Roman" w:eastAsia="仿宋_GB2312" w:cs="Times New Roman"/>
          <w:color w:val="auto"/>
          <w:sz w:val="32"/>
          <w:szCs w:val="32"/>
          <w:highlight w:val="none"/>
        </w:rPr>
        <w:t>项目自评情况附绩效自评表</w:t>
      </w:r>
      <w:r>
        <w:rPr>
          <w:rFonts w:hint="default" w:ascii="Times New Roman" w:hAnsi="Times New Roman" w:eastAsia="仿宋_GB2312" w:cs="Times New Roman"/>
          <w:color w:val="auto"/>
          <w:sz w:val="32"/>
          <w:szCs w:val="32"/>
          <w:highlight w:val="none"/>
          <w:lang w:val="en-US" w:eastAsia="zh-CN"/>
        </w:rPr>
        <w:t>及自评报告</w:t>
      </w:r>
      <w:r>
        <w:rPr>
          <w:rFonts w:hint="default" w:ascii="Times New Roman" w:hAnsi="Times New Roman" w:eastAsia="仿宋_GB2312" w:cs="Times New Roman"/>
          <w:color w:val="auto"/>
          <w:sz w:val="32"/>
          <w:szCs w:val="32"/>
          <w:highlight w:val="none"/>
        </w:rPr>
        <w:t>。</w:t>
      </w:r>
    </w:p>
    <w:p w14:paraId="25513C7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二</w:t>
      </w:r>
      <w:r>
        <w:rPr>
          <w:rFonts w:hint="default" w:ascii="Times New Roman" w:hAnsi="Times New Roman" w:eastAsia="黑体" w:cs="Times New Roman"/>
          <w:bCs/>
          <w:color w:val="auto"/>
          <w:kern w:val="0"/>
          <w:sz w:val="32"/>
          <w:szCs w:val="32"/>
          <w:highlight w:val="none"/>
          <w:lang w:eastAsia="zh-CN"/>
        </w:rPr>
        <w:t>、其他需说明的事项</w:t>
      </w:r>
    </w:p>
    <w:p w14:paraId="38E28DA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本部门无其他需说明事项</w:t>
      </w:r>
    </w:p>
    <w:p w14:paraId="1200721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30" w:name="_Toc24143"/>
      <w:bookmarkStart w:id="31" w:name="_Toc3250"/>
    </w:p>
    <w:p w14:paraId="668D9F6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22D3AE5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4C85182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018C154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2900FD8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4AC1F78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56E5A5B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7214F6A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44C5983A">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default" w:ascii="Times New Roman" w:hAnsi="Times New Roman" w:eastAsia="黑体" w:cs="Times New Roman"/>
          <w:color w:val="auto"/>
          <w:sz w:val="32"/>
          <w:szCs w:val="32"/>
          <w:highlight w:val="none"/>
        </w:rPr>
      </w:pPr>
    </w:p>
    <w:p w14:paraId="2CCADC7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部分 专业名词解释</w:t>
      </w:r>
      <w:bookmarkEnd w:id="30"/>
      <w:bookmarkEnd w:id="31"/>
    </w:p>
    <w:p w14:paraId="6B0BFB9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一、</w:t>
      </w:r>
      <w:r>
        <w:rPr>
          <w:rFonts w:hint="default" w:ascii="Times New Roman" w:hAnsi="Times New Roman" w:eastAsia="仿宋_GB2312" w:cs="Times New Roman"/>
          <w:b/>
          <w:bCs/>
          <w:color w:val="auto"/>
          <w:sz w:val="32"/>
          <w:szCs w:val="32"/>
          <w:highlight w:val="none"/>
        </w:rPr>
        <w:t>财政拨款收入：</w:t>
      </w:r>
      <w:r>
        <w:rPr>
          <w:rFonts w:hint="default" w:ascii="Times New Roman" w:hAnsi="Times New Roman" w:eastAsia="仿宋_GB2312" w:cs="Times New Roman"/>
          <w:color w:val="auto"/>
          <w:sz w:val="32"/>
          <w:szCs w:val="32"/>
          <w:highlight w:val="none"/>
        </w:rPr>
        <w:t>指同级财政当年拨付的资金。</w:t>
      </w:r>
    </w:p>
    <w:p w14:paraId="0610F2F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二、</w:t>
      </w:r>
      <w:r>
        <w:rPr>
          <w:rFonts w:hint="default" w:ascii="Times New Roman" w:hAnsi="Times New Roman" w:eastAsia="仿宋_GB2312" w:cs="Times New Roman"/>
          <w:b/>
          <w:bCs/>
          <w:color w:val="auto"/>
          <w:sz w:val="32"/>
          <w:szCs w:val="32"/>
          <w:highlight w:val="none"/>
        </w:rPr>
        <w:t>上级补助收入：</w:t>
      </w:r>
      <w:r>
        <w:rPr>
          <w:rFonts w:hint="default" w:ascii="Times New Roman" w:hAnsi="Times New Roman" w:eastAsia="仿宋_GB2312" w:cs="Times New Roman"/>
          <w:color w:val="auto"/>
          <w:sz w:val="32"/>
          <w:szCs w:val="32"/>
          <w:highlight w:val="none"/>
        </w:rPr>
        <w:t>指事业单位从主管部门和上级单位取得的非财政补助收入。</w:t>
      </w:r>
    </w:p>
    <w:p w14:paraId="38D389B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三、</w:t>
      </w:r>
      <w:r>
        <w:rPr>
          <w:rFonts w:hint="default" w:ascii="Times New Roman" w:hAnsi="Times New Roman" w:eastAsia="仿宋_GB2312" w:cs="Times New Roman"/>
          <w:b/>
          <w:bCs/>
          <w:color w:val="auto"/>
          <w:sz w:val="32"/>
          <w:szCs w:val="32"/>
          <w:highlight w:val="none"/>
        </w:rPr>
        <w:t>事业收入：</w:t>
      </w:r>
      <w:r>
        <w:rPr>
          <w:rFonts w:hint="default" w:ascii="Times New Roman" w:hAnsi="Times New Roman" w:eastAsia="仿宋_GB2312" w:cs="Times New Roman"/>
          <w:color w:val="auto"/>
          <w:sz w:val="32"/>
          <w:szCs w:val="32"/>
          <w:highlight w:val="none"/>
        </w:rPr>
        <w:t>指事业单位开展专业业务活动及其辅助活动所取得的收入。</w:t>
      </w:r>
    </w:p>
    <w:p w14:paraId="3F06F09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四、</w:t>
      </w:r>
      <w:r>
        <w:rPr>
          <w:rFonts w:hint="default" w:ascii="Times New Roman" w:hAnsi="Times New Roman" w:eastAsia="仿宋_GB2312" w:cs="Times New Roman"/>
          <w:b/>
          <w:bCs/>
          <w:color w:val="auto"/>
          <w:sz w:val="32"/>
          <w:szCs w:val="32"/>
          <w:highlight w:val="none"/>
        </w:rPr>
        <w:t>经营收入：</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指事业单位在专业业务活动及其辅助活动之外开展非独立核算经营活动取得的收入。</w:t>
      </w:r>
    </w:p>
    <w:p w14:paraId="2474D2B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rPr>
        <w:t>附属单位上缴收入：</w:t>
      </w:r>
      <w:r>
        <w:rPr>
          <w:rFonts w:hint="default" w:ascii="Times New Roman" w:hAnsi="Times New Roman" w:eastAsia="仿宋_GB2312" w:cs="Times New Roman"/>
          <w:color w:val="auto"/>
          <w:sz w:val="32"/>
          <w:szCs w:val="32"/>
          <w:highlight w:val="none"/>
        </w:rPr>
        <w:t>指事业单位附属的独立核算单位按有关规定上缴的收入。</w:t>
      </w:r>
    </w:p>
    <w:p w14:paraId="14159DB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六、</w:t>
      </w:r>
      <w:r>
        <w:rPr>
          <w:rFonts w:hint="default" w:ascii="Times New Roman" w:hAnsi="Times New Roman" w:eastAsia="仿宋_GB2312" w:cs="Times New Roman"/>
          <w:b/>
          <w:bCs/>
          <w:color w:val="auto"/>
          <w:sz w:val="32"/>
          <w:szCs w:val="32"/>
          <w:highlight w:val="none"/>
        </w:rPr>
        <w:t>其他收入：</w:t>
      </w:r>
      <w:r>
        <w:rPr>
          <w:rFonts w:hint="default" w:ascii="Times New Roman" w:hAnsi="Times New Roman" w:eastAsia="仿宋_GB2312" w:cs="Times New Roman"/>
          <w:color w:val="auto"/>
          <w:sz w:val="32"/>
          <w:szCs w:val="32"/>
          <w:highlight w:val="none"/>
        </w:rPr>
        <w:t>指除上述“财政拨款收入”、“事业收入”、“经营收入”、“附属单位上缴收入”等之外取得的收入。</w:t>
      </w:r>
    </w:p>
    <w:p w14:paraId="1C1431C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eastAsia="zh-CN"/>
        </w:rPr>
        <w:t>年初</w:t>
      </w:r>
      <w:r>
        <w:rPr>
          <w:rFonts w:hint="default" w:ascii="Times New Roman" w:hAnsi="Times New Roman" w:eastAsia="仿宋_GB2312" w:cs="Times New Roman"/>
          <w:b/>
          <w:bCs/>
          <w:color w:val="auto"/>
          <w:sz w:val="32"/>
          <w:szCs w:val="32"/>
          <w:highlight w:val="none"/>
        </w:rPr>
        <w:t>结转和结余：</w:t>
      </w:r>
      <w:r>
        <w:rPr>
          <w:rFonts w:hint="default" w:ascii="Times New Roman" w:hAnsi="Times New Roman" w:eastAsia="仿宋_GB2312" w:cs="Times New Roman"/>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9EA5BA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八、</w:t>
      </w:r>
      <w:r>
        <w:rPr>
          <w:rFonts w:hint="default" w:ascii="Times New Roman" w:hAnsi="Times New Roman" w:eastAsia="仿宋_GB2312" w:cs="Times New Roman"/>
          <w:b/>
          <w:bCs/>
          <w:color w:val="auto"/>
          <w:sz w:val="32"/>
          <w:szCs w:val="32"/>
          <w:highlight w:val="none"/>
        </w:rPr>
        <w:t>年末结转和结余：</w:t>
      </w:r>
      <w:r>
        <w:rPr>
          <w:rFonts w:hint="default" w:ascii="Times New Roman" w:hAnsi="Times New Roman" w:eastAsia="仿宋_GB2312" w:cs="Times New Roman"/>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33C3A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九、</w:t>
      </w:r>
      <w:r>
        <w:rPr>
          <w:rFonts w:hint="default" w:ascii="Times New Roman" w:hAnsi="Times New Roman" w:eastAsia="仿宋_GB2312" w:cs="Times New Roman"/>
          <w:b/>
          <w:bCs/>
          <w:color w:val="auto"/>
          <w:sz w:val="32"/>
          <w:szCs w:val="32"/>
          <w:highlight w:val="none"/>
        </w:rPr>
        <w:t>基本支出：</w:t>
      </w:r>
      <w:r>
        <w:rPr>
          <w:rFonts w:hint="default" w:ascii="Times New Roman" w:hAnsi="Times New Roman" w:eastAsia="仿宋_GB2312" w:cs="Times New Roman"/>
          <w:color w:val="auto"/>
          <w:sz w:val="32"/>
          <w:szCs w:val="32"/>
          <w:highlight w:val="none"/>
        </w:rPr>
        <w:t>指为保障机构正常运转、完成日常工作任务而发生的人员支出和公用支出。</w:t>
      </w:r>
    </w:p>
    <w:p w14:paraId="78EDCFC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w:t>
      </w:r>
      <w:r>
        <w:rPr>
          <w:rFonts w:hint="default" w:ascii="Times New Roman" w:hAnsi="Times New Roman" w:eastAsia="仿宋_GB2312" w:cs="Times New Roman"/>
          <w:b/>
          <w:bCs/>
          <w:color w:val="auto"/>
          <w:sz w:val="32"/>
          <w:szCs w:val="32"/>
          <w:highlight w:val="none"/>
        </w:rPr>
        <w:t>项目支出：</w:t>
      </w:r>
      <w:r>
        <w:rPr>
          <w:rFonts w:hint="default" w:ascii="Times New Roman" w:hAnsi="Times New Roman" w:eastAsia="仿宋_GB2312" w:cs="Times New Roman"/>
          <w:color w:val="auto"/>
          <w:sz w:val="32"/>
          <w:szCs w:val="32"/>
          <w:highlight w:val="none"/>
        </w:rPr>
        <w:t>指在基本支出之外为完成特定行政任务和事业发展目标所发生的支出。</w:t>
      </w:r>
    </w:p>
    <w:p w14:paraId="55C50CE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十一、</w:t>
      </w:r>
      <w:r>
        <w:rPr>
          <w:rFonts w:hint="default" w:ascii="Times New Roman" w:hAnsi="Times New Roman" w:eastAsia="仿宋_GB2312" w:cs="Times New Roman"/>
          <w:b/>
          <w:bCs/>
          <w:color w:val="auto"/>
          <w:sz w:val="32"/>
          <w:szCs w:val="32"/>
          <w:highlight w:val="none"/>
        </w:rPr>
        <w:t>经营支出：</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指事业单位在专业业务活动及其辅助活动之外开展非独立核算经营活动发生的支出。</w:t>
      </w:r>
    </w:p>
    <w:p w14:paraId="6A548B4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十二、</w:t>
      </w:r>
      <w:r>
        <w:rPr>
          <w:rFonts w:hint="default" w:ascii="Times New Roman" w:hAnsi="Times New Roman" w:eastAsia="仿宋_GB2312" w:cs="Times New Roman"/>
          <w:b/>
          <w:bCs/>
          <w:color w:val="auto"/>
          <w:sz w:val="32"/>
          <w:szCs w:val="32"/>
          <w:highlight w:val="none"/>
        </w:rPr>
        <w:t>对附属单位补助支出：</w:t>
      </w:r>
      <w:r>
        <w:rPr>
          <w:rFonts w:hint="default" w:ascii="Times New Roman" w:hAnsi="Times New Roman" w:eastAsia="仿宋_GB2312" w:cs="Times New Roman"/>
          <w:color w:val="auto"/>
          <w:sz w:val="32"/>
          <w:szCs w:val="32"/>
          <w:highlight w:val="none"/>
        </w:rPr>
        <w:t>指事业单位发生的用非财政预算资金对附属单位的补助支出。</w:t>
      </w:r>
    </w:p>
    <w:p w14:paraId="47ED530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十三、</w:t>
      </w:r>
      <w:r>
        <w:rPr>
          <w:rFonts w:hint="default" w:ascii="Times New Roman" w:hAnsi="Times New Roman" w:eastAsia="仿宋_GB2312" w:cs="Times New Roman"/>
          <w:b/>
          <w:bCs/>
          <w:color w:val="auto"/>
          <w:sz w:val="32"/>
          <w:szCs w:val="32"/>
          <w:highlight w:val="none"/>
        </w:rPr>
        <w:t>“三公”经费：</w:t>
      </w:r>
      <w:r>
        <w:rPr>
          <w:rFonts w:hint="default" w:ascii="Times New Roman" w:hAnsi="Times New Roman" w:eastAsia="仿宋_GB2312" w:cs="Times New Roman"/>
          <w:color w:val="auto"/>
          <w:sz w:val="32"/>
          <w:szCs w:val="32"/>
          <w:highlight w:val="none"/>
        </w:rPr>
        <w:t>指用财政拨款安排的因公出国（境）费、公务用车购置及运行费和公务接待费。其中，因公出国（境）费反映单位公务出国（境）的</w:t>
      </w:r>
      <w:r>
        <w:rPr>
          <w:rFonts w:hint="default" w:ascii="Times New Roman" w:hAnsi="Times New Roman" w:eastAsia="仿宋_GB2312" w:cs="Times New Roman"/>
          <w:color w:val="auto"/>
          <w:sz w:val="32"/>
          <w:szCs w:val="32"/>
          <w:highlight w:val="none"/>
          <w:lang w:eastAsia="zh-CN"/>
        </w:rPr>
        <w:t>国际旅费、国外城市间交通费、</w:t>
      </w:r>
      <w:r>
        <w:rPr>
          <w:rFonts w:hint="default" w:ascii="Times New Roman" w:hAnsi="Times New Roman" w:eastAsia="仿宋_GB2312" w:cs="Times New Roman"/>
          <w:color w:val="auto"/>
          <w:sz w:val="32"/>
          <w:szCs w:val="32"/>
          <w:highlight w:val="none"/>
        </w:rPr>
        <w:t>住宿费、伙食费、培训费、</w:t>
      </w:r>
      <w:r>
        <w:rPr>
          <w:rFonts w:hint="default" w:ascii="Times New Roman" w:hAnsi="Times New Roman" w:eastAsia="仿宋_GB2312" w:cs="Times New Roman"/>
          <w:color w:val="auto"/>
          <w:sz w:val="32"/>
          <w:szCs w:val="32"/>
          <w:highlight w:val="none"/>
          <w:lang w:eastAsia="zh-CN"/>
        </w:rPr>
        <w:t>公</w:t>
      </w:r>
      <w:r>
        <w:rPr>
          <w:rFonts w:hint="default" w:ascii="Times New Roman" w:hAnsi="Times New Roman" w:eastAsia="仿宋_GB2312" w:cs="Times New Roman"/>
          <w:color w:val="auto"/>
          <w:sz w:val="32"/>
          <w:szCs w:val="32"/>
          <w:highlight w:val="none"/>
        </w:rPr>
        <w:t>杂费等支出；公务用车购置费</w:t>
      </w:r>
      <w:r>
        <w:rPr>
          <w:rFonts w:hint="default" w:ascii="Times New Roman" w:hAnsi="Times New Roman" w:eastAsia="仿宋_GB2312" w:cs="Times New Roman"/>
          <w:color w:val="auto"/>
          <w:sz w:val="32"/>
          <w:szCs w:val="32"/>
          <w:highlight w:val="none"/>
          <w:lang w:eastAsia="zh-CN"/>
        </w:rPr>
        <w:t>反映公务用车购置支出（含车辆购置税、牌照费）；</w:t>
      </w:r>
      <w:r>
        <w:rPr>
          <w:rFonts w:hint="default" w:ascii="Times New Roman" w:hAnsi="Times New Roman" w:eastAsia="仿宋_GB2312" w:cs="Times New Roman"/>
          <w:color w:val="auto"/>
          <w:sz w:val="32"/>
          <w:szCs w:val="32"/>
          <w:highlight w:val="none"/>
        </w:rPr>
        <w:t>公务用车运行</w:t>
      </w:r>
      <w:r>
        <w:rPr>
          <w:rFonts w:hint="default" w:ascii="Times New Roman" w:hAnsi="Times New Roman" w:eastAsia="仿宋_GB2312" w:cs="Times New Roman"/>
          <w:color w:val="auto"/>
          <w:sz w:val="32"/>
          <w:szCs w:val="32"/>
          <w:highlight w:val="none"/>
          <w:lang w:eastAsia="zh-CN"/>
        </w:rPr>
        <w:t>维护</w:t>
      </w:r>
      <w:r>
        <w:rPr>
          <w:rFonts w:hint="default" w:ascii="Times New Roman" w:hAnsi="Times New Roman" w:eastAsia="仿宋_GB2312" w:cs="Times New Roman"/>
          <w:color w:val="auto"/>
          <w:sz w:val="32"/>
          <w:szCs w:val="32"/>
          <w:highlight w:val="none"/>
        </w:rPr>
        <w:t>费反映</w:t>
      </w:r>
      <w:r>
        <w:rPr>
          <w:rFonts w:hint="default" w:ascii="Times New Roman" w:hAnsi="Times New Roman" w:eastAsia="仿宋_GB2312" w:cs="Times New Roman"/>
          <w:color w:val="auto"/>
          <w:sz w:val="32"/>
          <w:szCs w:val="32"/>
          <w:highlight w:val="none"/>
          <w:lang w:eastAsia="zh-CN"/>
        </w:rPr>
        <w:t>单位按规定保留的公务用车燃料费、维修费、</w:t>
      </w:r>
      <w:r>
        <w:rPr>
          <w:rFonts w:hint="default" w:ascii="Times New Roman" w:hAnsi="Times New Roman" w:eastAsia="仿宋_GB2312" w:cs="Times New Roman"/>
          <w:color w:val="auto"/>
          <w:sz w:val="32"/>
          <w:szCs w:val="32"/>
          <w:highlight w:val="none"/>
        </w:rPr>
        <w:t>过路过桥费、保险费、安全奖励费用等支出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公务接待费反映单位按规定开支的各类公务接待（含外宾接待）</w:t>
      </w:r>
      <w:r>
        <w:rPr>
          <w:rFonts w:hint="default" w:ascii="Times New Roman" w:hAnsi="Times New Roman" w:eastAsia="仿宋_GB2312" w:cs="Times New Roman"/>
          <w:color w:val="auto"/>
          <w:sz w:val="32"/>
          <w:szCs w:val="32"/>
          <w:highlight w:val="none"/>
          <w:lang w:eastAsia="zh-CN"/>
        </w:rPr>
        <w:t>费用</w:t>
      </w:r>
      <w:r>
        <w:rPr>
          <w:rFonts w:hint="default" w:ascii="Times New Roman" w:hAnsi="Times New Roman" w:eastAsia="仿宋_GB2312" w:cs="Times New Roman"/>
          <w:color w:val="auto"/>
          <w:sz w:val="32"/>
          <w:szCs w:val="32"/>
          <w:highlight w:val="none"/>
        </w:rPr>
        <w:t>。</w:t>
      </w:r>
    </w:p>
    <w:p w14:paraId="3815CC71">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十四、</w:t>
      </w:r>
      <w:r>
        <w:rPr>
          <w:rFonts w:hint="default" w:ascii="Times New Roman" w:hAnsi="Times New Roman" w:eastAsia="仿宋_GB2312" w:cs="Times New Roman"/>
          <w:b/>
          <w:bCs/>
          <w:color w:val="auto"/>
          <w:sz w:val="32"/>
          <w:szCs w:val="32"/>
          <w:highlight w:val="none"/>
        </w:rPr>
        <w:t>机关运行经费：</w:t>
      </w:r>
      <w:r>
        <w:rPr>
          <w:rFonts w:hint="default" w:ascii="Times New Roman" w:hAnsi="Times New Roman" w:eastAsia="仿宋_GB2312" w:cs="Times New Roman"/>
          <w:color w:val="auto"/>
          <w:sz w:val="32"/>
          <w:szCs w:val="32"/>
          <w:highlight w:val="none"/>
        </w:rPr>
        <w:t>行政单位和参照公务员法管理的事业单位财政拨款基本支出中的公用经费支出。</w:t>
      </w:r>
    </w:p>
    <w:p w14:paraId="30256BC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r>
        <w:rPr>
          <w:rFonts w:hint="default" w:ascii="Times New Roman" w:hAnsi="Times New Roman" w:eastAsia="黑体" w:cs="Times New Roman"/>
          <w:color w:val="auto"/>
          <w:sz w:val="32"/>
          <w:szCs w:val="32"/>
          <w:highlight w:val="none"/>
        </w:rPr>
        <w:t>第四部分 部门决算报表（见附表）</w:t>
      </w:r>
    </w:p>
    <w:p w14:paraId="1F7187D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2" w:name="_Toc2183"/>
      <w:bookmarkStart w:id="33" w:name="_Toc6062"/>
      <w:r>
        <w:rPr>
          <w:rFonts w:hint="default" w:ascii="Times New Roman" w:hAnsi="Times New Roman" w:eastAsia="仿宋_GB2312" w:cs="Times New Roman"/>
          <w:bCs/>
          <w:color w:val="auto"/>
          <w:kern w:val="0"/>
          <w:sz w:val="32"/>
          <w:szCs w:val="32"/>
          <w:highlight w:val="none"/>
        </w:rPr>
        <w:t>一、《收入支出决算总表》</w:t>
      </w:r>
      <w:bookmarkEnd w:id="32"/>
      <w:bookmarkEnd w:id="33"/>
    </w:p>
    <w:p w14:paraId="0021B9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4" w:name="_Toc30364"/>
      <w:bookmarkStart w:id="35" w:name="_Toc24532"/>
      <w:r>
        <w:rPr>
          <w:rFonts w:hint="default" w:ascii="Times New Roman" w:hAnsi="Times New Roman" w:eastAsia="仿宋_GB2312" w:cs="Times New Roman"/>
          <w:bCs/>
          <w:color w:val="auto"/>
          <w:kern w:val="0"/>
          <w:sz w:val="32"/>
          <w:szCs w:val="32"/>
          <w:highlight w:val="none"/>
        </w:rPr>
        <w:t>二、《收入决算表》</w:t>
      </w:r>
      <w:bookmarkEnd w:id="34"/>
      <w:bookmarkEnd w:id="35"/>
    </w:p>
    <w:p w14:paraId="3ADFA8B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6" w:name="_Toc21304"/>
      <w:bookmarkStart w:id="37" w:name="_Toc32434"/>
      <w:r>
        <w:rPr>
          <w:rFonts w:hint="default" w:ascii="Times New Roman" w:hAnsi="Times New Roman" w:eastAsia="仿宋_GB2312" w:cs="Times New Roman"/>
          <w:bCs/>
          <w:color w:val="auto"/>
          <w:kern w:val="0"/>
          <w:sz w:val="32"/>
          <w:szCs w:val="32"/>
          <w:highlight w:val="none"/>
        </w:rPr>
        <w:t>三、《支出决算表》</w:t>
      </w:r>
      <w:bookmarkEnd w:id="36"/>
      <w:bookmarkEnd w:id="37"/>
    </w:p>
    <w:p w14:paraId="76CD0C2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8" w:name="_Toc28786"/>
      <w:bookmarkStart w:id="39" w:name="_Toc14238"/>
      <w:r>
        <w:rPr>
          <w:rFonts w:hint="default" w:ascii="Times New Roman" w:hAnsi="Times New Roman" w:eastAsia="仿宋_GB2312" w:cs="Times New Roman"/>
          <w:bCs/>
          <w:color w:val="auto"/>
          <w:kern w:val="0"/>
          <w:sz w:val="32"/>
          <w:szCs w:val="32"/>
          <w:highlight w:val="none"/>
        </w:rPr>
        <w:t>四、《财政拨款收入支出决算总表》</w:t>
      </w:r>
      <w:bookmarkEnd w:id="38"/>
      <w:bookmarkEnd w:id="39"/>
    </w:p>
    <w:p w14:paraId="2C0175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0" w:name="_Toc10347"/>
      <w:bookmarkStart w:id="41" w:name="_Toc14869"/>
      <w:r>
        <w:rPr>
          <w:rFonts w:hint="default" w:ascii="Times New Roman" w:hAnsi="Times New Roman" w:eastAsia="仿宋_GB2312" w:cs="Times New Roman"/>
          <w:bCs/>
          <w:color w:val="auto"/>
          <w:kern w:val="0"/>
          <w:sz w:val="32"/>
          <w:szCs w:val="32"/>
          <w:highlight w:val="none"/>
        </w:rPr>
        <w:t>五、《一般公共预算财政拨款支出决算表》</w:t>
      </w:r>
      <w:bookmarkEnd w:id="40"/>
      <w:bookmarkEnd w:id="41"/>
    </w:p>
    <w:p w14:paraId="16D1FB2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2" w:name="_Toc5626"/>
      <w:bookmarkStart w:id="43" w:name="_Toc8884"/>
      <w:r>
        <w:rPr>
          <w:rFonts w:hint="default" w:ascii="Times New Roman" w:hAnsi="Times New Roman" w:eastAsia="仿宋_GB2312" w:cs="Times New Roman"/>
          <w:bCs/>
          <w:color w:val="auto"/>
          <w:kern w:val="0"/>
          <w:sz w:val="32"/>
          <w:szCs w:val="32"/>
          <w:highlight w:val="none"/>
        </w:rPr>
        <w:t>六、《一般公共预算财政拨款基本支出决算表》</w:t>
      </w:r>
      <w:bookmarkEnd w:id="42"/>
      <w:bookmarkEnd w:id="43"/>
    </w:p>
    <w:p w14:paraId="26C0E7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rPr>
        <w:t>七、</w:t>
      </w:r>
      <w:bookmarkStart w:id="44" w:name="_Toc29106"/>
      <w:bookmarkStart w:id="45" w:name="_Toc32663"/>
      <w:r>
        <w:rPr>
          <w:rFonts w:hint="default" w:ascii="Times New Roman" w:hAnsi="Times New Roman" w:eastAsia="仿宋_GB2312" w:cs="Times New Roman"/>
          <w:bCs/>
          <w:color w:val="auto"/>
          <w:kern w:val="0"/>
          <w:sz w:val="32"/>
          <w:szCs w:val="32"/>
          <w:highlight w:val="none"/>
        </w:rPr>
        <w:t>《财政拨款“三公”经费支出决算表》</w:t>
      </w:r>
      <w:bookmarkEnd w:id="44"/>
      <w:bookmarkEnd w:id="45"/>
    </w:p>
    <w:p w14:paraId="3288E1D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6" w:name="_Toc5453"/>
      <w:bookmarkStart w:id="47" w:name="_Toc7643"/>
      <w:r>
        <w:rPr>
          <w:rFonts w:hint="default" w:ascii="Times New Roman" w:hAnsi="Times New Roman" w:eastAsia="仿宋_GB2312" w:cs="Times New Roman"/>
          <w:bCs/>
          <w:color w:val="auto"/>
          <w:kern w:val="0"/>
          <w:sz w:val="32"/>
          <w:szCs w:val="32"/>
          <w:highlight w:val="none"/>
        </w:rPr>
        <w:t>八、《政府性基金预算财政拨款收入支出决算表》</w:t>
      </w:r>
      <w:bookmarkEnd w:id="46"/>
      <w:bookmarkEnd w:id="47"/>
    </w:p>
    <w:p w14:paraId="5EFB25A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rPr>
        <w:t>、《</w:t>
      </w:r>
      <w:r>
        <w:rPr>
          <w:rFonts w:hint="default" w:ascii="Times New Roman" w:hAnsi="Times New Roman" w:eastAsia="仿宋_GB2312" w:cs="Times New Roman"/>
          <w:bCs/>
          <w:color w:val="auto"/>
          <w:kern w:val="0"/>
          <w:sz w:val="32"/>
          <w:szCs w:val="32"/>
          <w:highlight w:val="none"/>
          <w:lang w:eastAsia="zh-CN"/>
        </w:rPr>
        <w:t>国有资本经营</w:t>
      </w:r>
      <w:r>
        <w:rPr>
          <w:rFonts w:hint="default" w:ascii="Times New Roman" w:hAnsi="Times New Roman" w:eastAsia="仿宋_GB2312" w:cs="Times New Roman"/>
          <w:bCs/>
          <w:color w:val="auto"/>
          <w:kern w:val="0"/>
          <w:sz w:val="32"/>
          <w:szCs w:val="32"/>
          <w:highlight w:val="none"/>
        </w:rPr>
        <w:t>预算财政拨款收入支出决算表》</w:t>
      </w:r>
    </w:p>
    <w:p w14:paraId="425AFFAD">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highlight w:val="none"/>
        </w:rPr>
      </w:pPr>
    </w:p>
    <w:p w14:paraId="3CFC650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19DF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D7E24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AD7E24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wMzgzODgyMmVhZDY3MzEyOTJlMWY2MGNkOTFiY2UifQ=="/>
    <w:docVar w:name="KSO_WPS_MARK_KEY" w:val="41ee2a61-2d54-4f93-83be-afdb9a40d732"/>
  </w:docVars>
  <w:rsids>
    <w:rsidRoot w:val="00000000"/>
    <w:rsid w:val="00213C59"/>
    <w:rsid w:val="003210CE"/>
    <w:rsid w:val="00B70D59"/>
    <w:rsid w:val="00F52A8D"/>
    <w:rsid w:val="019404F8"/>
    <w:rsid w:val="01AB1CEF"/>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485EB3"/>
    <w:rsid w:val="095A5B83"/>
    <w:rsid w:val="096466E3"/>
    <w:rsid w:val="0968304D"/>
    <w:rsid w:val="099531AB"/>
    <w:rsid w:val="09AF3D17"/>
    <w:rsid w:val="0A7809B7"/>
    <w:rsid w:val="0A7B4867"/>
    <w:rsid w:val="0A840954"/>
    <w:rsid w:val="0A9928ED"/>
    <w:rsid w:val="0B247451"/>
    <w:rsid w:val="0B61769D"/>
    <w:rsid w:val="0B8C3ECC"/>
    <w:rsid w:val="0B9C639D"/>
    <w:rsid w:val="0BB052B2"/>
    <w:rsid w:val="0BD33FFC"/>
    <w:rsid w:val="0BE97AC1"/>
    <w:rsid w:val="0C1C4780"/>
    <w:rsid w:val="0C3613A3"/>
    <w:rsid w:val="0C5E519C"/>
    <w:rsid w:val="0C6C62F9"/>
    <w:rsid w:val="0C7227A7"/>
    <w:rsid w:val="0CA52EE8"/>
    <w:rsid w:val="0CBD6988"/>
    <w:rsid w:val="0CD208AC"/>
    <w:rsid w:val="0D4903E8"/>
    <w:rsid w:val="0D7A4A46"/>
    <w:rsid w:val="0E640559"/>
    <w:rsid w:val="0F1113DA"/>
    <w:rsid w:val="0F78534A"/>
    <w:rsid w:val="0F7E3A23"/>
    <w:rsid w:val="0F89358A"/>
    <w:rsid w:val="0F8C6D51"/>
    <w:rsid w:val="105B0B5E"/>
    <w:rsid w:val="108D1378"/>
    <w:rsid w:val="112E58D0"/>
    <w:rsid w:val="11731CAC"/>
    <w:rsid w:val="119500A0"/>
    <w:rsid w:val="11C0733B"/>
    <w:rsid w:val="11D50D17"/>
    <w:rsid w:val="120E0809"/>
    <w:rsid w:val="127F665A"/>
    <w:rsid w:val="12F7068C"/>
    <w:rsid w:val="14207DC0"/>
    <w:rsid w:val="144731A8"/>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9FD4A34"/>
    <w:rsid w:val="1A3E3450"/>
    <w:rsid w:val="1A926BBD"/>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01708C"/>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61D85"/>
    <w:rsid w:val="2ADB2B70"/>
    <w:rsid w:val="2AF5378F"/>
    <w:rsid w:val="2BB94DBF"/>
    <w:rsid w:val="2C6F314E"/>
    <w:rsid w:val="2CC206BE"/>
    <w:rsid w:val="2D1136DF"/>
    <w:rsid w:val="2D20606D"/>
    <w:rsid w:val="2DB87198"/>
    <w:rsid w:val="2DB93C54"/>
    <w:rsid w:val="2E09579E"/>
    <w:rsid w:val="2E3D144C"/>
    <w:rsid w:val="2E891204"/>
    <w:rsid w:val="2F3F0A28"/>
    <w:rsid w:val="2F716A9E"/>
    <w:rsid w:val="2FBF7029"/>
    <w:rsid w:val="2FD0187F"/>
    <w:rsid w:val="2FD27414"/>
    <w:rsid w:val="2FFE4BB0"/>
    <w:rsid w:val="300E7B60"/>
    <w:rsid w:val="300F6E18"/>
    <w:rsid w:val="30862F5F"/>
    <w:rsid w:val="314029C9"/>
    <w:rsid w:val="31C63837"/>
    <w:rsid w:val="31C82E39"/>
    <w:rsid w:val="32601BAD"/>
    <w:rsid w:val="329F6389"/>
    <w:rsid w:val="3389023A"/>
    <w:rsid w:val="33CB74FA"/>
    <w:rsid w:val="34272982"/>
    <w:rsid w:val="343642F2"/>
    <w:rsid w:val="343F3010"/>
    <w:rsid w:val="345D0A00"/>
    <w:rsid w:val="34713BFD"/>
    <w:rsid w:val="34C13589"/>
    <w:rsid w:val="353369E3"/>
    <w:rsid w:val="35E00D72"/>
    <w:rsid w:val="36031B5C"/>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9E44E71"/>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753A5"/>
    <w:rsid w:val="43BA0E31"/>
    <w:rsid w:val="43C15147"/>
    <w:rsid w:val="43E14DD2"/>
    <w:rsid w:val="43F800E9"/>
    <w:rsid w:val="443A7E4B"/>
    <w:rsid w:val="44EE129A"/>
    <w:rsid w:val="452F5B3A"/>
    <w:rsid w:val="454E7FD2"/>
    <w:rsid w:val="46061BDC"/>
    <w:rsid w:val="461404F8"/>
    <w:rsid w:val="46413018"/>
    <w:rsid w:val="464B7E04"/>
    <w:rsid w:val="468041AA"/>
    <w:rsid w:val="468123C6"/>
    <w:rsid w:val="46901EEE"/>
    <w:rsid w:val="46933EA7"/>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1F44B6"/>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633896"/>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B75893"/>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5FF03BE8"/>
    <w:rsid w:val="603D5080"/>
    <w:rsid w:val="60D0261B"/>
    <w:rsid w:val="611D6D37"/>
    <w:rsid w:val="618E3791"/>
    <w:rsid w:val="61947DCA"/>
    <w:rsid w:val="61A11716"/>
    <w:rsid w:val="61A46A97"/>
    <w:rsid w:val="61D1382F"/>
    <w:rsid w:val="61F114A2"/>
    <w:rsid w:val="62512BB4"/>
    <w:rsid w:val="625D7D1A"/>
    <w:rsid w:val="62DD7D21"/>
    <w:rsid w:val="637D586B"/>
    <w:rsid w:val="63A52CE5"/>
    <w:rsid w:val="63A5560B"/>
    <w:rsid w:val="63E9091F"/>
    <w:rsid w:val="64322AF9"/>
    <w:rsid w:val="648A5791"/>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17909"/>
    <w:rsid w:val="6D4B2604"/>
    <w:rsid w:val="6D8030E4"/>
    <w:rsid w:val="6E0E35C4"/>
    <w:rsid w:val="6E0F7A08"/>
    <w:rsid w:val="6E3947F5"/>
    <w:rsid w:val="6E9C74ED"/>
    <w:rsid w:val="6EF410D7"/>
    <w:rsid w:val="6EF72976"/>
    <w:rsid w:val="6F795A80"/>
    <w:rsid w:val="6F7C1D2E"/>
    <w:rsid w:val="6F8E0407"/>
    <w:rsid w:val="6FDD069F"/>
    <w:rsid w:val="70096E04"/>
    <w:rsid w:val="702B4D16"/>
    <w:rsid w:val="70AA6621"/>
    <w:rsid w:val="7111480F"/>
    <w:rsid w:val="71261F49"/>
    <w:rsid w:val="712E6956"/>
    <w:rsid w:val="71473612"/>
    <w:rsid w:val="71504F32"/>
    <w:rsid w:val="7152309F"/>
    <w:rsid w:val="718F7F65"/>
    <w:rsid w:val="719F25D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455C87"/>
    <w:rsid w:val="76660D7C"/>
    <w:rsid w:val="766C5968"/>
    <w:rsid w:val="76BE0C8F"/>
    <w:rsid w:val="76CD53B2"/>
    <w:rsid w:val="770719AC"/>
    <w:rsid w:val="776526CC"/>
    <w:rsid w:val="77A262E1"/>
    <w:rsid w:val="77B13C33"/>
    <w:rsid w:val="77BA09E4"/>
    <w:rsid w:val="77ED6F44"/>
    <w:rsid w:val="77F45548"/>
    <w:rsid w:val="784E7CA6"/>
    <w:rsid w:val="78574801"/>
    <w:rsid w:val="7873527F"/>
    <w:rsid w:val="790A6425"/>
    <w:rsid w:val="790E2D96"/>
    <w:rsid w:val="791B54B2"/>
    <w:rsid w:val="795A0A34"/>
    <w:rsid w:val="797339C3"/>
    <w:rsid w:val="79D57D57"/>
    <w:rsid w:val="79F00650"/>
    <w:rsid w:val="7A4E1809"/>
    <w:rsid w:val="7A6242BF"/>
    <w:rsid w:val="7A794513"/>
    <w:rsid w:val="7AE952D2"/>
    <w:rsid w:val="7C976D69"/>
    <w:rsid w:val="7CD752DA"/>
    <w:rsid w:val="7CDE40AB"/>
    <w:rsid w:val="7CF057E2"/>
    <w:rsid w:val="7D1548B5"/>
    <w:rsid w:val="7D272678"/>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7315</Words>
  <Characters>8260</Characters>
  <Lines>0</Lines>
  <Paragraphs>0</Paragraphs>
  <TotalTime>7</TotalTime>
  <ScaleCrop>false</ScaleCrop>
  <LinksUpToDate>false</LinksUpToDate>
  <CharactersWithSpaces>8277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竹酒＊</cp:lastModifiedBy>
  <dcterms:modified xsi:type="dcterms:W3CDTF">2024-09-02T08:01:25Z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D624B15633CD43C8BF9435464A96BF70</vt:lpwstr>
  </property>
</Properties>
</file>