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新疆喀什噶尔河流域管理局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目录</w:t>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1"/>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主要职能</w:t>
      </w:r>
      <w:bookmarkEnd w:id="2"/>
      <w:bookmarkEnd w:id="3"/>
      <w:bookmarkStart w:id="4" w:name="_Toc31238"/>
      <w:bookmarkStart w:id="5" w:name="_Toc215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1"/>
        <w:rPr>
          <w:rFonts w:ascii="仿宋" w:hAnsi="仿宋" w:eastAsia="仿宋" w:cs="仿宋"/>
          <w:sz w:val="31"/>
          <w:szCs w:val="31"/>
        </w:rPr>
      </w:pPr>
      <w:r>
        <w:rPr>
          <w:rFonts w:hint="eastAsia" w:ascii="仿宋" w:hAnsi="仿宋" w:eastAsia="仿宋" w:cs="仿宋"/>
          <w:spacing w:val="4"/>
          <w:sz w:val="31"/>
          <w:szCs w:val="31"/>
          <w:lang w:val="en-US" w:eastAsia="zh-CN"/>
        </w:rPr>
        <w:t xml:space="preserve">    </w:t>
      </w:r>
      <w:r>
        <w:rPr>
          <w:rFonts w:ascii="仿宋" w:hAnsi="仿宋" w:eastAsia="仿宋" w:cs="仿宋"/>
          <w:spacing w:val="4"/>
          <w:sz w:val="31"/>
          <w:szCs w:val="31"/>
        </w:rPr>
        <w:t>我单位作为水利厅派出机构，根据国家、自治区有关法</w:t>
      </w:r>
      <w:r>
        <w:rPr>
          <w:rFonts w:ascii="仿宋" w:hAnsi="仿宋" w:eastAsia="仿宋" w:cs="仿宋"/>
          <w:spacing w:val="8"/>
          <w:sz w:val="31"/>
          <w:szCs w:val="31"/>
        </w:rPr>
        <w:t>律法规和政策，在喀什噶尔河流域内行使水行政主管部门的职责。主要职责是负责本流域内水法规宣传及贯彻落实，负责管辖范围内的水行政执法、水政监察和水事纠纷的调处工作，组织编制和修订流域综合规划和专业规划并监督实施，负责流域水资源统一管理，统筹协调流域用水，实施取水总量控制，负责流域水资源保护工作，负责管辖范围内的河道管理，组织编制流域防洪方案，负责流域内水价水权改革工作，负责开展流域水利科技、统计和信息化建设工作，领导喀什噶尔河流域管理局水利管理中心，承办自治区水行政主</w:t>
      </w:r>
      <w:r>
        <w:rPr>
          <w:rFonts w:ascii="仿宋" w:hAnsi="仿宋" w:eastAsia="仿宋" w:cs="仿宋"/>
          <w:spacing w:val="7"/>
          <w:sz w:val="31"/>
          <w:szCs w:val="31"/>
        </w:rPr>
        <w:t>管部门和流域管理委员会交办的其他工作。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9"/>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val="en-US" w:eastAsia="zh-CN"/>
        </w:rPr>
        <w:t>新疆喀什噶尔河流域管理局</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sz w:val="32"/>
          <w:szCs w:val="32"/>
          <w:highlight w:val="none"/>
        </w:rPr>
        <w:t>实有人数</w:t>
      </w:r>
      <w:r>
        <w:rPr>
          <w:rFonts w:hint="eastAsia" w:ascii="仿宋_GB2312" w:hAnsi="仿宋_GB2312" w:eastAsia="仿宋_GB2312" w:cs="仿宋_GB2312"/>
          <w:color w:val="auto"/>
          <w:sz w:val="32"/>
          <w:szCs w:val="32"/>
          <w:highlight w:val="none"/>
          <w:lang w:val="zh-CN" w:eastAsia="zh-CN"/>
        </w:rPr>
        <w:t>39</w:t>
      </w:r>
      <w:r>
        <w:rPr>
          <w:rFonts w:hint="eastAsia" w:ascii="仿宋_GB2312" w:hAnsi="仿宋_GB2312" w:eastAsia="仿宋_GB2312" w:cs="仿宋_GB2312"/>
          <w:color w:val="auto"/>
          <w:sz w:val="32"/>
          <w:szCs w:val="32"/>
          <w:highlight w:val="none"/>
        </w:rPr>
        <w:t>人，其中：在职人员</w:t>
      </w:r>
      <w:r>
        <w:rPr>
          <w:rFonts w:hint="eastAsia" w:ascii="仿宋_GB2312" w:hAnsi="仿宋_GB2312" w:eastAsia="仿宋_GB2312" w:cs="仿宋_GB2312"/>
          <w:color w:val="auto"/>
          <w:sz w:val="32"/>
          <w:szCs w:val="32"/>
          <w:highlight w:val="none"/>
          <w:lang w:val="zh-CN" w:eastAsia="zh-CN"/>
        </w:rPr>
        <w:t>30</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离休人员</w:t>
      </w:r>
      <w:r>
        <w:rPr>
          <w:rFonts w:hint="eastAsia" w:ascii="仿宋_GB2312" w:hAnsi="仿宋_GB2312" w:eastAsia="仿宋_GB2312" w:cs="仿宋_GB2312"/>
          <w:color w:val="auto"/>
          <w:sz w:val="32"/>
          <w:szCs w:val="32"/>
          <w:highlight w:val="none"/>
          <w:lang w:val="zh-CN" w:eastAsia="zh-CN"/>
        </w:rPr>
        <w:t>0</w:t>
      </w:r>
      <w:r>
        <w:rPr>
          <w:rFonts w:hint="eastAsia" w:ascii="仿宋_GB2312" w:hAnsi="仿宋_GB2312" w:eastAsia="仿宋_GB2312" w:cs="仿宋_GB2312"/>
          <w:color w:val="auto"/>
          <w:sz w:val="32"/>
          <w:szCs w:val="32"/>
          <w:highlight w:val="none"/>
        </w:rPr>
        <w:t>人，退休人员</w:t>
      </w:r>
      <w:r>
        <w:rPr>
          <w:rFonts w:hint="eastAsia" w:ascii="仿宋_GB2312" w:hAnsi="仿宋_GB2312" w:eastAsia="仿宋_GB2312" w:cs="仿宋_GB2312"/>
          <w:color w:val="auto"/>
          <w:sz w:val="32"/>
          <w:szCs w:val="32"/>
          <w:highlight w:val="none"/>
          <w:lang w:val="zh-CN" w:eastAsia="zh-CN"/>
        </w:rPr>
        <w:t>9</w:t>
      </w:r>
      <w:r>
        <w:rPr>
          <w:rFonts w:hint="eastAsia" w:ascii="仿宋_GB2312" w:hAnsi="仿宋_GB2312" w:eastAsia="仿宋_GB2312" w:cs="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560" w:lineRule="exact"/>
        <w:ind w:left="36" w:right="0" w:rightChars="0" w:firstLine="638"/>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pacing w:val="6"/>
          <w:sz w:val="32"/>
          <w:szCs w:val="32"/>
        </w:rPr>
        <w:t>单位无下属预算单位，下设9个处室，分别是：办公</w:t>
      </w:r>
      <w:r>
        <w:rPr>
          <w:rFonts w:hint="eastAsia" w:ascii="仿宋_GB2312" w:hAnsi="仿宋_GB2312" w:eastAsia="仿宋_GB2312" w:cs="仿宋_GB2312"/>
          <w:spacing w:val="8"/>
          <w:sz w:val="32"/>
          <w:szCs w:val="32"/>
        </w:rPr>
        <w:t>室、组织人事科、计划财务科、河长制办公室、水资源管理科、水利建设科、水旱灾害防御科、纪检监察室、工会办公</w:t>
      </w:r>
      <w:bookmarkStart w:id="6" w:name="bookmark4"/>
      <w:bookmarkEnd w:id="6"/>
      <w:r>
        <w:rPr>
          <w:rFonts w:hint="eastAsia" w:ascii="仿宋_GB2312" w:hAnsi="仿宋_GB2312" w:eastAsia="仿宋_GB2312" w:cs="仿宋_GB2312"/>
          <w:spacing w:val="-18"/>
          <w:sz w:val="32"/>
          <w:szCs w:val="32"/>
        </w:rPr>
        <w:t>室。</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0" w:firstLineChars="0"/>
        <w:jc w:val="center"/>
        <w:textAlignment w:val="auto"/>
        <w:outlineLvl w:val="0"/>
        <w:rPr>
          <w:rFonts w:hint="eastAsia" w:ascii="黑体" w:hAnsi="黑体" w:eastAsia="黑体"/>
          <w:color w:val="auto"/>
          <w:sz w:val="32"/>
          <w:szCs w:val="32"/>
          <w:highlight w:val="none"/>
        </w:rPr>
      </w:pPr>
      <w:bookmarkStart w:id="7" w:name="_Toc3092"/>
      <w:bookmarkStart w:id="8"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7"/>
      <w:bookmarkEnd w:id="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黑体" w:cs="宋体"/>
          <w:bCs/>
          <w:color w:val="auto"/>
          <w:kern w:val="0"/>
          <w:sz w:val="32"/>
          <w:szCs w:val="32"/>
          <w:highlight w:val="none"/>
        </w:rPr>
      </w:pPr>
      <w:bookmarkStart w:id="9" w:name="_Toc12566"/>
      <w:bookmarkStart w:id="10" w:name="_Toc25314"/>
      <w:r>
        <w:rPr>
          <w:rFonts w:hint="eastAsia" w:ascii="黑体" w:hAnsi="黑体" w:eastAsia="黑体" w:cs="宋体"/>
          <w:bCs/>
          <w:color w:val="auto"/>
          <w:kern w:val="0"/>
          <w:sz w:val="32"/>
          <w:szCs w:val="32"/>
          <w:highlight w:val="none"/>
        </w:rPr>
        <w:t>一、收入支出决算总体情况说明</w:t>
      </w:r>
      <w:bookmarkEnd w:id="9"/>
      <w:bookmarkEnd w:id="10"/>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35,292.17万元，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35,283.03万元，使用非财政拨款结余0.00万元，年初结转和结余9.13万元。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35,292.17万元，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35,267.23万元，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0.00万元，年末结转和结余24.94万元。</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增加53.40万元</w:t>
      </w:r>
      <w:r>
        <w:rPr>
          <w:rFonts w:hint="eastAsia" w:ascii="仿宋_GB2312" w:eastAsia="仿宋_GB2312"/>
          <w:color w:val="auto"/>
          <w:spacing w:val="0"/>
          <w:sz w:val="32"/>
          <w:szCs w:val="32"/>
          <w:highlight w:val="none"/>
          <w:lang w:eastAsia="zh-CN"/>
        </w:rPr>
        <w:t>，增长0.15%，主要原因是：</w:t>
      </w:r>
      <w:r>
        <w:rPr>
          <w:rFonts w:hint="eastAsia" w:ascii="仿宋_GB2312" w:eastAsia="仿宋_GB2312"/>
          <w:color w:val="auto"/>
          <w:spacing w:val="0"/>
          <w:sz w:val="32"/>
          <w:szCs w:val="32"/>
          <w:highlight w:val="none"/>
          <w:lang w:val="en-US" w:eastAsia="zh-CN"/>
        </w:rPr>
        <w:t>2023年度</w:t>
      </w:r>
      <w:r>
        <w:rPr>
          <w:rFonts w:hint="eastAsia" w:ascii="仿宋_GB2312" w:hAnsi="仿宋" w:eastAsia="仿宋_GB2312"/>
          <w:sz w:val="32"/>
          <w:szCs w:val="32"/>
          <w:lang w:val="en-US" w:eastAsia="zh-CN"/>
        </w:rPr>
        <w:t>工资中提高了基础绩效奖和艰苦边远津贴，故以此为基数测算的人员经费和公用经费相应增加，基本支出增加。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rPr>
      </w:pPr>
      <w:bookmarkStart w:id="11" w:name="_Toc1979"/>
      <w:bookmarkStart w:id="12"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1"/>
      <w:bookmarkEnd w:id="12"/>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35,283.03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35,283.03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3" w:name="_Toc13201"/>
      <w:bookmarkStart w:id="14" w:name="_Toc27961"/>
      <w:r>
        <w:rPr>
          <w:rFonts w:hint="eastAsia" w:ascii="黑体" w:hAnsi="黑体" w:eastAsia="黑体" w:cs="宋体"/>
          <w:bCs/>
          <w:color w:val="auto"/>
          <w:kern w:val="0"/>
          <w:sz w:val="32"/>
          <w:szCs w:val="32"/>
          <w:highlight w:val="none"/>
          <w:lang w:eastAsia="zh-CN"/>
        </w:rPr>
        <w:t>三、支出决算情况说明</w:t>
      </w:r>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本年支出35,267.23万元，其中：基本支出747.23万元，占2.12%；项目支出34,520.00万元，占97.88%；上缴上级支出0.00万元，占0.00%；经营支出0.00万元，占0.00%；对附属单位补助支出0.00万元，占0.00%。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5" w:name="_Toc26564"/>
      <w:bookmarkStart w:id="16" w:name="_Toc4393"/>
      <w:r>
        <w:rPr>
          <w:rFonts w:hint="eastAsia" w:ascii="黑体" w:hAnsi="黑体" w:eastAsia="黑体" w:cs="宋体"/>
          <w:bCs/>
          <w:color w:val="auto"/>
          <w:kern w:val="0"/>
          <w:sz w:val="32"/>
          <w:szCs w:val="32"/>
          <w:highlight w:val="none"/>
          <w:lang w:eastAsia="zh-CN"/>
        </w:rPr>
        <w:t>四、财政拨款收入支出决算总体情况说明</w:t>
      </w:r>
      <w:bookmarkEnd w:id="15"/>
      <w:bookmarkEnd w:id="16"/>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35,292.17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9.13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35,283.03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35,292.17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24.94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35,267.23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增加53.40万元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增长0.15%,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w:t>
      </w:r>
      <w:r>
        <w:rPr>
          <w:rFonts w:hint="eastAsia" w:ascii="仿宋_GB2312" w:hAnsi="仿宋" w:eastAsia="仿宋_GB2312"/>
          <w:sz w:val="32"/>
          <w:szCs w:val="32"/>
          <w:lang w:val="en-US" w:eastAsia="zh-CN"/>
        </w:rPr>
        <w:t>工资中提高了基础绩效奖，基本支出增加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773.36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35,292.17</w:t>
      </w:r>
      <w:r>
        <w:rPr>
          <w:rFonts w:hint="eastAsia" w:ascii="仿宋_GB2312" w:eastAsia="仿宋_GB2312"/>
          <w:color w:val="auto"/>
          <w:spacing w:val="0"/>
          <w:sz w:val="32"/>
          <w:szCs w:val="32"/>
          <w:highlight w:val="none"/>
          <w:lang w:eastAsia="zh-CN"/>
        </w:rPr>
        <w:t>万元，预决算差异率4463.46%，主要原因是：年中追加了资金，主要有</w:t>
      </w:r>
      <w:r>
        <w:rPr>
          <w:rFonts w:hint="eastAsia" w:ascii="仿宋_GB2312" w:hAnsi="仿宋" w:eastAsia="仿宋_GB2312" w:cs="仿宋"/>
          <w:b w:val="0"/>
          <w:bCs w:val="0"/>
          <w:color w:val="auto"/>
          <w:sz w:val="32"/>
          <w:szCs w:val="32"/>
          <w:u w:val="none"/>
          <w:lang w:val="en-US" w:eastAsia="zh-CN"/>
        </w:rPr>
        <w:t>库尔干水利工程项目专项债20000万元和库尔干水利工程项目下达2023年度基本建设资金14300万元由财政拨付至库尔干水利枢纽建管中心账户，根据上级部门决算编制要求，计入本次决算。新疆喀什噶尔河流域管理局年中追加资金主要有：下达2023年自治区水利发展资金专项150万元，下达2022年年度考核奖24.08万元，下达提高基础绩效奖在职和退休人员经费29.73万元，下达2023年度全额单位职业年金缴费9.788万元，下达非统发单位追加人员工资39.14万元，下达2022-2023年调增艰边贴14.85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7" w:name="_Toc13833"/>
      <w:bookmarkStart w:id="18"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7"/>
      <w:bookmarkEnd w:id="18"/>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2023年度一般公共预算财政拨款支出15,267.23万元，占本年支出合计的</w:t>
      </w:r>
      <w:r>
        <w:rPr>
          <w:rFonts w:hint="eastAsia" w:ascii="仿宋_GB2312" w:eastAsia="仿宋_GB2312"/>
          <w:color w:val="auto"/>
          <w:spacing w:val="0"/>
          <w:sz w:val="32"/>
          <w:szCs w:val="32"/>
          <w:highlight w:val="none"/>
          <w:lang w:val="zh-CN" w:eastAsia="zh-CN"/>
        </w:rPr>
        <w:t>43.29%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增加37.60万元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增长0.25%,</w:t>
      </w:r>
      <w:r>
        <w:rPr>
          <w:rFonts w:hint="eastAsia" w:ascii="仿宋_GB2312" w:eastAsia="仿宋_GB2312"/>
          <w:color w:val="auto"/>
          <w:spacing w:val="0"/>
          <w:sz w:val="32"/>
          <w:szCs w:val="32"/>
          <w:highlight w:val="none"/>
          <w:lang w:eastAsia="zh-CN"/>
        </w:rPr>
        <w:t>主要原因是：人员经费中</w:t>
      </w:r>
      <w:r>
        <w:rPr>
          <w:rFonts w:hint="eastAsia" w:ascii="仿宋_GB2312" w:hAnsi="仿宋" w:eastAsia="仿宋_GB2312"/>
          <w:sz w:val="32"/>
          <w:szCs w:val="32"/>
          <w:lang w:val="en-US" w:eastAsia="zh-CN"/>
        </w:rPr>
        <w:t>2023年工资提高了基础绩效奖和艰苦边远津贴</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773.36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15,267.23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1874.13%</w:t>
      </w:r>
      <w:r>
        <w:rPr>
          <w:rFonts w:hint="eastAsia" w:ascii="仿宋_GB2312" w:eastAsia="仿宋_GB2312"/>
          <w:color w:val="auto"/>
          <w:spacing w:val="0"/>
          <w:sz w:val="32"/>
          <w:szCs w:val="32"/>
          <w:highlight w:val="none"/>
          <w:lang w:eastAsia="zh-CN"/>
        </w:rPr>
        <w:t>，主要原因是：年中追加项目资金和人员经费资金，主要有</w:t>
      </w:r>
      <w:r>
        <w:rPr>
          <w:rFonts w:hint="eastAsia" w:ascii="仿宋_GB2312" w:hAnsi="仿宋" w:eastAsia="仿宋_GB2312" w:cs="仿宋"/>
          <w:b w:val="0"/>
          <w:bCs w:val="0"/>
          <w:color w:val="auto"/>
          <w:sz w:val="32"/>
          <w:szCs w:val="32"/>
          <w:u w:val="none"/>
          <w:lang w:val="en-US" w:eastAsia="zh-CN"/>
        </w:rPr>
        <w:t>库尔干水利工程项目下达2023年度基本建设资金14300万元、2023年自治区水利发展资金专项150万元，下达2022年年度考核奖24.08万元，下达提高基础绩效奖在职和退休人员经费29.73万元，下达2023年度全额单位职业年金缴费9.788万元，下达非统发单位追加人员工资39.14万元，下达2022-2023年调增艰边贴14.85万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90.95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0.60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38.04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15,087.25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98.82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50.99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0.33</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1.农林水支出（类）水利（款）水利行业业务管理（项）:支出决算数为637.25万元，比上年决算增加36.94万元，增长6.15%，主要原因是：</w:t>
      </w:r>
      <w:r>
        <w:rPr>
          <w:rFonts w:hint="eastAsia" w:ascii="仿宋_GB2312" w:hAnsi="仿宋_GB2312" w:eastAsia="仿宋_GB2312" w:cs="仿宋_GB2312"/>
          <w:color w:val="auto"/>
          <w:spacing w:val="0"/>
          <w:sz w:val="32"/>
          <w:szCs w:val="32"/>
          <w:highlight w:val="none"/>
          <w:lang w:eastAsia="zh-CN"/>
        </w:rPr>
        <w:t>人员经费中</w:t>
      </w:r>
      <w:r>
        <w:rPr>
          <w:rFonts w:hint="eastAsia" w:ascii="仿宋_GB2312" w:hAnsi="仿宋_GB2312" w:eastAsia="仿宋_GB2312" w:cs="仿宋_GB2312"/>
          <w:sz w:val="32"/>
          <w:szCs w:val="32"/>
          <w:lang w:val="en-US" w:eastAsia="zh-CN"/>
        </w:rPr>
        <w:t>2023年工资增加了基础绩效奖和艰苦边远津贴</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2.卫生健康支出（类）行政事业单位医疗（款）事业单位医疗（项）:支出决算数为26.39万元，比上年决算减少4.53万元，下降14.65%，主要原因是：</w:t>
      </w:r>
      <w:r>
        <w:rPr>
          <w:rFonts w:hint="eastAsia" w:ascii="仿宋_GB2312" w:hAnsi="仿宋_GB2312" w:eastAsia="仿宋_GB2312" w:cs="仿宋_GB2312"/>
          <w:color w:val="auto"/>
          <w:kern w:val="2"/>
          <w:sz w:val="32"/>
          <w:szCs w:val="32"/>
          <w:highlight w:val="none"/>
          <w:lang w:val="zh-CN" w:eastAsia="zh-CN" w:bidi="ar-SA"/>
        </w:rPr>
        <w:t>人员较上年实际减少</w:t>
      </w:r>
      <w:r>
        <w:rPr>
          <w:rFonts w:hint="eastAsia" w:ascii="仿宋_GB2312" w:hAnsi="仿宋_GB2312" w:eastAsia="仿宋_GB2312" w:cs="仿宋_GB2312"/>
          <w:color w:val="auto"/>
          <w:kern w:val="2"/>
          <w:sz w:val="32"/>
          <w:szCs w:val="32"/>
          <w:highlight w:val="none"/>
          <w:lang w:val="en-US" w:eastAsia="zh-CN" w:bidi="ar-SA"/>
        </w:rPr>
        <w:t>2人，故医疗保险支出减少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3.卫生健康支出（类）行政事业单位医疗（款）公务员医疗补助（项）:支出决算数为11.66万元，比上年决算减少12.39万元，下降51.52%，主要原因是：</w:t>
      </w:r>
      <w:r>
        <w:rPr>
          <w:rFonts w:hint="eastAsia" w:ascii="仿宋_GB2312" w:hAnsi="仿宋_GB2312" w:eastAsia="仿宋_GB2312" w:cs="仿宋_GB2312"/>
          <w:color w:val="auto"/>
          <w:kern w:val="2"/>
          <w:sz w:val="32"/>
          <w:szCs w:val="32"/>
          <w:highlight w:val="none"/>
          <w:lang w:val="zh-CN" w:eastAsia="zh-CN" w:bidi="ar-SA"/>
        </w:rPr>
        <w:t>人员较上年实际减少</w:t>
      </w:r>
      <w:r>
        <w:rPr>
          <w:rFonts w:hint="eastAsia" w:ascii="仿宋_GB2312" w:hAnsi="仿宋_GB2312" w:eastAsia="仿宋_GB2312" w:cs="仿宋_GB2312"/>
          <w:color w:val="auto"/>
          <w:kern w:val="2"/>
          <w:sz w:val="32"/>
          <w:szCs w:val="32"/>
          <w:highlight w:val="none"/>
          <w:lang w:val="en-US" w:eastAsia="zh-CN" w:bidi="ar-SA"/>
        </w:rPr>
        <w:t>2人，故公务员医疗补助减少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4.农林水支出（类）水利（款）水利工程建设（项）:支出决算数为14,300.00万元，比上年决算增加0.00万元，增长0.00%，主要原因是：2023年度</w:t>
      </w:r>
      <w:r>
        <w:rPr>
          <w:rFonts w:hint="eastAsia" w:ascii="仿宋_GB2312" w:hAnsi="仿宋_GB2312" w:eastAsia="仿宋_GB2312" w:cs="仿宋_GB2312"/>
          <w:b w:val="0"/>
          <w:bCs w:val="0"/>
          <w:color w:val="auto"/>
          <w:sz w:val="32"/>
          <w:szCs w:val="32"/>
          <w:u w:val="none"/>
          <w:lang w:val="en-US" w:eastAsia="zh-CN"/>
        </w:rPr>
        <w:t>库尔干水利工程项目下达基本建设资金14300万元与上年一致无变化</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35" w:right="0" w:rightChars="0" w:firstLine="46"/>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highlight w:val="none"/>
          <w:lang w:val="en-US" w:eastAsia="zh-CN" w:bidi="ar-SA"/>
        </w:rPr>
        <w:t xml:space="preserve">    5.住房保障支出（类）住房改革支出（款）住房公积金（项）:支出决算数为50.99万元，比上年决算增加8.27万元，增长19.35%，主要原因是：</w:t>
      </w:r>
      <w:r>
        <w:rPr>
          <w:rFonts w:hint="eastAsia" w:ascii="仿宋_GB2312" w:hAnsi="仿宋_GB2312" w:eastAsia="仿宋_GB2312" w:cs="仿宋_GB2312"/>
          <w:spacing w:val="3"/>
          <w:sz w:val="32"/>
          <w:szCs w:val="32"/>
        </w:rPr>
        <w:t>在职人员年度工资</w:t>
      </w:r>
      <w:r>
        <w:rPr>
          <w:rFonts w:hint="eastAsia" w:ascii="仿宋_GB2312" w:hAnsi="仿宋_GB2312" w:eastAsia="仿宋_GB2312" w:cs="仿宋_GB2312"/>
          <w:spacing w:val="3"/>
          <w:sz w:val="32"/>
          <w:szCs w:val="32"/>
          <w:lang w:eastAsia="zh-CN"/>
        </w:rPr>
        <w:t>中</w:t>
      </w:r>
      <w:r>
        <w:rPr>
          <w:rFonts w:hint="eastAsia" w:ascii="仿宋_GB2312" w:hAnsi="仿宋_GB2312" w:eastAsia="仿宋_GB2312" w:cs="仿宋_GB2312"/>
          <w:sz w:val="32"/>
          <w:szCs w:val="32"/>
          <w:lang w:val="en-US" w:eastAsia="zh-CN"/>
        </w:rPr>
        <w:t>增加了基础绩效奖和艰苦边远津贴</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pacing w:val="8"/>
          <w:sz w:val="32"/>
          <w:szCs w:val="32"/>
        </w:rPr>
        <w:t>住房公积金缴纳基数提高，所以住房公积金缴费支出</w:t>
      </w:r>
      <w:r>
        <w:rPr>
          <w:rFonts w:hint="eastAsia" w:ascii="仿宋_GB2312" w:hAnsi="仿宋_GB2312" w:eastAsia="仿宋_GB2312" w:cs="仿宋_GB2312"/>
          <w:spacing w:val="5"/>
          <w:sz w:val="32"/>
          <w:szCs w:val="32"/>
        </w:rPr>
        <w:t>较上年有所增加。</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6.社会保障和就业支出（类）行政事业单位养老支出（款）事业单位离退休（项）:支出决算数为20.71万元，比上年决算增加4.04万元，增长24.23%，主要原因是：2023年度财政拨付了退休人员生活补助即退休人员南疆补贴，2022年度未拨付该项经费</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7.农林水支出（类）水利（款）水资源节约管理与保护（项）:支出决算数为150.00万元，比上年决算增加0.00万元，增长0.00%，主要原因是：2023年度未安排新项目，项目金额较上年数无变化</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机关事业单位职业年金缴费支出（项）:支出决算数为9.79万元，比上年决算减少3.11万元，下降24.13%，主要原因是：2023年度正常退休1人，较上年有所减少，退休时缴纳的职业年金较上年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35" w:right="0" w:rightChars="0" w:firstLine="707" w:firstLineChars="221"/>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9.社会保障和就业支出（类）行政事业单位养老支出（款）机关事业单位基本养老保险缴费支出（项）:支出决算数为60.45万元，比上年决算增加8.39万元，增长16.11%，主要原因是：</w:t>
      </w:r>
      <w:r>
        <w:rPr>
          <w:rFonts w:hint="eastAsia" w:ascii="仿宋_GB2312" w:hAnsi="仿宋_GB2312" w:eastAsia="仿宋_GB2312" w:cs="仿宋_GB2312"/>
          <w:spacing w:val="3"/>
          <w:sz w:val="32"/>
          <w:szCs w:val="32"/>
        </w:rPr>
        <w:t>在职人员年度工资</w:t>
      </w:r>
      <w:r>
        <w:rPr>
          <w:rFonts w:hint="eastAsia" w:ascii="仿宋_GB2312" w:hAnsi="仿宋_GB2312" w:eastAsia="仿宋_GB2312" w:cs="仿宋_GB2312"/>
          <w:spacing w:val="3"/>
          <w:sz w:val="32"/>
          <w:szCs w:val="32"/>
          <w:lang w:eastAsia="zh-CN"/>
        </w:rPr>
        <w:t>中</w:t>
      </w:r>
      <w:r>
        <w:rPr>
          <w:rFonts w:hint="eastAsia" w:ascii="仿宋_GB2312" w:hAnsi="仿宋_GB2312" w:eastAsia="仿宋_GB2312" w:cs="仿宋_GB2312"/>
          <w:sz w:val="32"/>
          <w:szCs w:val="32"/>
          <w:lang w:val="en-US" w:eastAsia="zh-CN"/>
        </w:rPr>
        <w:t>增加了基础绩效奖和艰苦边远津贴</w:t>
      </w:r>
      <w:r>
        <w:rPr>
          <w:rFonts w:hint="eastAsia" w:ascii="仿宋_GB2312" w:hAnsi="仿宋_GB2312" w:eastAsia="仿宋_GB2312" w:cs="仿宋_GB2312"/>
          <w:spacing w:val="3"/>
          <w:sz w:val="32"/>
          <w:szCs w:val="32"/>
        </w:rPr>
        <w:t>，</w:t>
      </w:r>
      <w:r>
        <w:rPr>
          <w:rFonts w:hint="eastAsia" w:ascii="仿宋_GB2312" w:hAnsi="仿宋_GB2312" w:eastAsia="仿宋_GB2312" w:cs="仿宋_GB2312"/>
          <w:spacing w:val="3"/>
          <w:sz w:val="32"/>
          <w:szCs w:val="32"/>
          <w:lang w:eastAsia="zh-CN"/>
        </w:rPr>
        <w:t>养老</w:t>
      </w:r>
      <w:r>
        <w:rPr>
          <w:rFonts w:hint="eastAsia" w:ascii="仿宋_GB2312" w:hAnsi="仿宋_GB2312" w:eastAsia="仿宋_GB2312" w:cs="仿宋_GB2312"/>
          <w:spacing w:val="3"/>
          <w:sz w:val="32"/>
          <w:szCs w:val="32"/>
        </w:rPr>
        <w:t>保险</w:t>
      </w:r>
      <w:r>
        <w:rPr>
          <w:rFonts w:hint="eastAsia" w:ascii="仿宋_GB2312" w:hAnsi="仿宋_GB2312" w:eastAsia="仿宋_GB2312" w:cs="仿宋_GB2312"/>
          <w:spacing w:val="8"/>
          <w:sz w:val="32"/>
          <w:szCs w:val="32"/>
        </w:rPr>
        <w:t>等社保缴纳基数提高，所以</w:t>
      </w:r>
      <w:r>
        <w:rPr>
          <w:rFonts w:hint="eastAsia" w:ascii="仿宋_GB2312" w:hAnsi="仿宋_GB2312" w:eastAsia="仿宋_GB2312" w:cs="仿宋_GB2312"/>
          <w:spacing w:val="8"/>
          <w:sz w:val="32"/>
          <w:szCs w:val="32"/>
          <w:lang w:eastAsia="zh-CN"/>
        </w:rPr>
        <w:t>基本养老保险</w:t>
      </w:r>
      <w:r>
        <w:rPr>
          <w:rFonts w:hint="eastAsia" w:ascii="仿宋_GB2312" w:hAnsi="仿宋_GB2312" w:eastAsia="仿宋_GB2312" w:cs="仿宋_GB2312"/>
          <w:spacing w:val="8"/>
          <w:sz w:val="32"/>
          <w:szCs w:val="32"/>
        </w:rPr>
        <w:t>缴费支出</w:t>
      </w:r>
      <w:r>
        <w:rPr>
          <w:rFonts w:hint="eastAsia" w:ascii="仿宋_GB2312" w:hAnsi="仿宋_GB2312" w:eastAsia="仿宋_GB2312" w:cs="仿宋_GB2312"/>
          <w:spacing w:val="5"/>
          <w:sz w:val="32"/>
          <w:szCs w:val="32"/>
        </w:rPr>
        <w:t>较上年有所增加。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747.23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706.82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其他对个人和家庭的补助。</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40.41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办公费、水费、电费、邮电费、差旅费、公务接待费、工会经费、福利费、公务用车运行维护费、其他商品和服务支出。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“三公”经费支出1.59万元，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5"/>
          <w:sz w:val="31"/>
          <w:szCs w:val="31"/>
        </w:rPr>
        <w:t>厉行节约，</w:t>
      </w:r>
      <w:r>
        <w:rPr>
          <w:rFonts w:ascii="仿宋" w:hAnsi="仿宋" w:eastAsia="仿宋" w:cs="仿宋"/>
          <w:spacing w:val="2"/>
          <w:sz w:val="31"/>
          <w:szCs w:val="31"/>
        </w:rPr>
        <w:t>上下年度无差异</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8"/>
          <w:sz w:val="31"/>
          <w:szCs w:val="31"/>
        </w:rPr>
        <w:t>我单位无因公出国（境）费</w:t>
      </w:r>
      <w:r>
        <w:rPr>
          <w:rFonts w:hint="eastAsia" w:ascii="仿宋_GB2312" w:eastAsia="仿宋_GB2312"/>
          <w:color w:val="auto"/>
          <w:sz w:val="32"/>
          <w:szCs w:val="32"/>
          <w:highlight w:val="none"/>
          <w:lang w:val="zh-CN" w:eastAsia="zh-CN"/>
        </w:rPr>
        <w:t>；公务用车购置及运行维护费支出1.39万元，占87.42%，比上年增加0.00万元，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9"/>
          <w:sz w:val="31"/>
          <w:szCs w:val="31"/>
        </w:rPr>
        <w:t>厉行节约，上下年度无差异</w:t>
      </w:r>
      <w:r>
        <w:rPr>
          <w:rFonts w:hint="eastAsia" w:ascii="仿宋_GB2312" w:eastAsia="仿宋_GB2312"/>
          <w:color w:val="auto"/>
          <w:sz w:val="32"/>
          <w:szCs w:val="32"/>
          <w:highlight w:val="none"/>
          <w:lang w:val="zh-CN" w:eastAsia="zh-CN"/>
        </w:rPr>
        <w:t>；公务接待费支出0.20万元，占12.58%，比上年增加0.00万元，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 w:hAnsi="仿宋" w:eastAsia="仿宋" w:cs="仿宋"/>
          <w:spacing w:val="8"/>
          <w:sz w:val="31"/>
          <w:szCs w:val="31"/>
        </w:rPr>
        <w:t>厉行节约，上下年度无差异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公务用车购置及运行维护费1.39万元，其中：公务用车购置费0.00万元，公务用车运行维护费1.39万元。公务用车运行维护费开支内容</w:t>
      </w:r>
      <w:r>
        <w:rPr>
          <w:rFonts w:ascii="仿宋" w:hAnsi="仿宋" w:eastAsia="仿宋" w:cs="仿宋"/>
          <w:spacing w:val="6"/>
          <w:sz w:val="31"/>
          <w:szCs w:val="31"/>
        </w:rPr>
        <w:t>包括公务用车加油款1万元，公务</w:t>
      </w:r>
      <w:r>
        <w:rPr>
          <w:rFonts w:ascii="仿宋" w:hAnsi="仿宋" w:eastAsia="仿宋" w:cs="仿宋"/>
          <w:spacing w:val="10"/>
          <w:sz w:val="31"/>
          <w:szCs w:val="31"/>
        </w:rPr>
        <w:t>用车修理费0.39万元</w:t>
      </w:r>
      <w:r>
        <w:rPr>
          <w:rFonts w:hint="eastAsia" w:ascii="仿宋_GB2312" w:eastAsia="仿宋_GB2312"/>
          <w:color w:val="auto"/>
          <w:sz w:val="32"/>
          <w:szCs w:val="32"/>
          <w:highlight w:val="none"/>
          <w:lang w:val="zh-CN" w:eastAsia="zh-CN"/>
        </w:rPr>
        <w:t>。公务用车购置数0辆，公务用车保有量2辆。国有资产占用情况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原因是：固定资产车辆与公务用车保有量无差异。</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公务接待费0.20万元，开支内容包括</w:t>
      </w:r>
      <w:r>
        <w:rPr>
          <w:rFonts w:ascii="仿宋" w:hAnsi="仿宋" w:eastAsia="仿宋" w:cs="仿宋"/>
          <w:spacing w:val="11"/>
          <w:sz w:val="31"/>
          <w:szCs w:val="31"/>
        </w:rPr>
        <w:t>接待上级单位及</w:t>
      </w:r>
      <w:r>
        <w:rPr>
          <w:rFonts w:ascii="仿宋" w:hAnsi="仿宋" w:eastAsia="仿宋" w:cs="仿宋"/>
          <w:spacing w:val="-1"/>
          <w:sz w:val="31"/>
          <w:szCs w:val="31"/>
        </w:rPr>
        <w:t>业务往来单位就餐费</w:t>
      </w:r>
      <w:r>
        <w:rPr>
          <w:rFonts w:hint="eastAsia" w:ascii="仿宋_GB2312" w:eastAsia="仿宋_GB2312"/>
          <w:color w:val="auto"/>
          <w:sz w:val="32"/>
          <w:szCs w:val="32"/>
          <w:highlight w:val="none"/>
          <w:lang w:val="zh-CN" w:eastAsia="zh-CN"/>
        </w:rPr>
        <w:t>。单位全年安排的国内公务接待共3批次，20人次。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预算数1.59万元，决算数1.59万元，预决算差异率0.00%，主要原因是：</w:t>
      </w:r>
      <w:r>
        <w:rPr>
          <w:rFonts w:ascii="仿宋" w:hAnsi="仿宋" w:eastAsia="仿宋" w:cs="仿宋"/>
          <w:spacing w:val="6"/>
          <w:sz w:val="31"/>
          <w:szCs w:val="31"/>
        </w:rPr>
        <w:t>严格按照预算执行，预决算无差异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ascii="仿宋" w:hAnsi="仿宋" w:eastAsia="仿宋" w:cs="仿宋"/>
          <w:spacing w:val="2"/>
          <w:sz w:val="31"/>
          <w:szCs w:val="31"/>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预算数1.39万元，决算数1.39万元，预决算差异率0.00%，主要原因是：</w:t>
      </w:r>
      <w:r>
        <w:rPr>
          <w:rFonts w:ascii="仿宋" w:hAnsi="仿宋" w:eastAsia="仿宋" w:cs="仿宋"/>
          <w:spacing w:val="2"/>
          <w:sz w:val="31"/>
          <w:szCs w:val="31"/>
        </w:rPr>
        <w:t>严格按照预算执行，</w:t>
      </w:r>
      <w:r>
        <w:rPr>
          <w:rFonts w:ascii="仿宋" w:hAnsi="仿宋" w:eastAsia="仿宋" w:cs="仿宋"/>
          <w:spacing w:val="12"/>
          <w:sz w:val="31"/>
          <w:szCs w:val="31"/>
        </w:rPr>
        <w:t>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预算数0.20万元，决算数0.20万元，预决算差异率0.00%，主要原因是：</w:t>
      </w:r>
      <w:r>
        <w:rPr>
          <w:rFonts w:ascii="仿宋" w:hAnsi="仿宋" w:eastAsia="仿宋" w:cs="仿宋"/>
          <w:spacing w:val="2"/>
          <w:sz w:val="31"/>
          <w:szCs w:val="31"/>
        </w:rPr>
        <w:t>严格按照预算执行，</w:t>
      </w:r>
      <w:r>
        <w:rPr>
          <w:rFonts w:ascii="仿宋" w:hAnsi="仿宋" w:eastAsia="仿宋" w:cs="仿宋"/>
          <w:spacing w:val="12"/>
          <w:sz w:val="31"/>
          <w:szCs w:val="31"/>
        </w:rPr>
        <w:t>预决算无差异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9" w:name="_Toc7927"/>
      <w:bookmarkStart w:id="20"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9"/>
      <w:bookmarkEnd w:id="20"/>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政府性基金预算</w:t>
      </w:r>
      <w:r>
        <w:rPr>
          <w:rFonts w:hint="eastAsia" w:ascii="Times New Roman" w:hAnsi="Times New Roman" w:eastAsia="仿宋_GB2312" w:cs="Times New Roman"/>
          <w:color w:val="auto"/>
          <w:sz w:val="32"/>
          <w:szCs w:val="32"/>
          <w:highlight w:val="none"/>
          <w:lang w:val="en-US" w:eastAsia="zh-CN"/>
        </w:rPr>
        <w:t>财政拨款</w:t>
      </w:r>
      <w:r>
        <w:rPr>
          <w:rFonts w:hint="eastAsia" w:ascii="Times New Roman" w:hAnsi="Times New Roman" w:eastAsia="仿宋_GB2312" w:cs="Times New Roman"/>
          <w:color w:val="auto"/>
          <w:sz w:val="32"/>
          <w:szCs w:val="32"/>
          <w:highlight w:val="none"/>
          <w:lang w:val="zh-CN"/>
        </w:rPr>
        <w:t>收入</w:t>
      </w:r>
      <w:r>
        <w:rPr>
          <w:rFonts w:hint="eastAsia" w:ascii="Times New Roman" w:hAnsi="Times New Roman" w:eastAsia="仿宋_GB2312" w:cs="Times New Roman"/>
          <w:color w:val="auto"/>
          <w:sz w:val="32"/>
          <w:szCs w:val="32"/>
          <w:highlight w:val="none"/>
          <w:lang w:val="en-US" w:eastAsia="zh-CN"/>
        </w:rPr>
        <w:t>总计20,000.00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其中：年初结转和结余0.00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本年收入20,000.00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en-US" w:eastAsia="zh-CN"/>
        </w:rPr>
        <w:t>总计20,000.00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其中：年末结转和结余0.00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本年支出20,000.00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kinsoku/>
        <w:wordWrap/>
        <w:overflowPunct/>
        <w:topLinePunct w:val="0"/>
        <w:autoSpaceDE/>
        <w:autoSpaceDN/>
        <w:bidi w:val="0"/>
        <w:adjustRightInd/>
        <w:spacing w:line="560" w:lineRule="exact"/>
        <w:ind w:right="0" w:rightChars="0" w:firstLine="640" w:firstLineChars="200"/>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rPr>
        <w:t>政府性基金预算财政拨款</w:t>
      </w:r>
      <w:r>
        <w:rPr>
          <w:rFonts w:hint="eastAsia" w:ascii="Times New Roman" w:hAnsi="Times New Roman" w:eastAsia="仿宋_GB2312" w:cs="Times New Roman"/>
          <w:color w:val="auto"/>
          <w:sz w:val="32"/>
          <w:szCs w:val="32"/>
          <w:highlight w:val="none"/>
          <w:lang w:val="en-US" w:eastAsia="zh-CN"/>
        </w:rPr>
        <w:t>收入支出</w:t>
      </w:r>
      <w:r>
        <w:rPr>
          <w:rFonts w:hint="eastAsia" w:ascii="Times New Roman" w:hAnsi="Times New Roman" w:eastAsia="仿宋_GB2312" w:cs="Times New Roman"/>
          <w:color w:val="auto"/>
          <w:sz w:val="32"/>
          <w:szCs w:val="32"/>
          <w:highlight w:val="none"/>
          <w:lang w:val="zh-CN"/>
        </w:rPr>
        <w:t>与上年相比，增加0.00万元</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rPr>
        <w:t>增长0.00%</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color w:val="auto"/>
          <w:sz w:val="32"/>
          <w:szCs w:val="32"/>
          <w:highlight w:val="none"/>
          <w:lang w:val="zh-CN"/>
        </w:rPr>
        <w:t>：</w:t>
      </w:r>
      <w:r>
        <w:rPr>
          <w:rFonts w:hint="eastAsia" w:ascii="仿宋" w:hAnsi="仿宋" w:eastAsia="仿宋" w:cs="仿宋"/>
          <w:b w:val="0"/>
          <w:bCs w:val="0"/>
          <w:spacing w:val="5"/>
          <w:sz w:val="31"/>
          <w:szCs w:val="31"/>
          <w:lang w:val="en-US" w:eastAsia="zh-CN"/>
        </w:rPr>
        <w:t>与上年相比无变化</w:t>
      </w:r>
      <w:r>
        <w:rPr>
          <w:rFonts w:hint="eastAsia" w:ascii="仿宋" w:hAnsi="仿宋" w:eastAsia="仿宋" w:cs="仿宋"/>
          <w:spacing w:val="5"/>
          <w:sz w:val="31"/>
          <w:szCs w:val="31"/>
          <w:lang w:eastAsia="zh-CN"/>
        </w:rPr>
        <w:t>。</w:t>
      </w:r>
      <w:r>
        <w:rPr>
          <w:rFonts w:hint="eastAsia" w:ascii="Times New Roman" w:hAnsi="Times New Roman" w:eastAsia="仿宋_GB2312" w:cs="Times New Roman"/>
          <w:color w:val="auto"/>
          <w:sz w:val="32"/>
          <w:szCs w:val="32"/>
          <w:highlight w:val="none"/>
          <w:lang w:val="zh-CN"/>
        </w:rPr>
        <w:t>与</w:t>
      </w:r>
      <w:r>
        <w:rPr>
          <w:rFonts w:hint="eastAsia" w:ascii="Times New Roman" w:hAnsi="Times New Roman" w:eastAsia="仿宋_GB2312" w:cs="Times New Roman"/>
          <w:color w:val="auto"/>
          <w:sz w:val="32"/>
          <w:szCs w:val="32"/>
          <w:highlight w:val="none"/>
          <w:lang w:val="zh-CN" w:eastAsia="zh-CN"/>
        </w:rPr>
        <w:t>年初预算</w:t>
      </w:r>
      <w:r>
        <w:rPr>
          <w:rFonts w:hint="eastAsia" w:ascii="Times New Roman" w:hAnsi="Times New Roman" w:eastAsia="仿宋_GB2312" w:cs="Times New Roman"/>
          <w:color w:val="auto"/>
          <w:sz w:val="32"/>
          <w:szCs w:val="32"/>
          <w:highlight w:val="none"/>
          <w:lang w:val="zh-CN"/>
        </w:rPr>
        <w:t>相比</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年初预算数</w:t>
      </w:r>
      <w:r>
        <w:rPr>
          <w:rFonts w:hint="eastAsia" w:ascii="Times New Roman" w:hAnsi="Times New Roman" w:eastAsia="仿宋_GB2312" w:cs="Times New Roman"/>
          <w:color w:val="auto"/>
          <w:sz w:val="32"/>
          <w:szCs w:val="32"/>
          <w:highlight w:val="none"/>
          <w:lang w:val="en-US" w:eastAsia="zh-CN"/>
        </w:rPr>
        <w:t>0.00</w:t>
      </w:r>
      <w:r>
        <w:rPr>
          <w:rFonts w:hint="eastAsia" w:ascii="Times New Roman" w:hAnsi="Times New Roman" w:eastAsia="仿宋_GB2312" w:cs="Times New Roman"/>
          <w:color w:val="auto"/>
          <w:sz w:val="32"/>
          <w:szCs w:val="32"/>
          <w:highlight w:val="none"/>
          <w:lang w:val="zh-CN"/>
        </w:rPr>
        <w:t>万元，决算数</w:t>
      </w:r>
      <w:r>
        <w:rPr>
          <w:rFonts w:hint="eastAsia" w:ascii="Times New Roman" w:hAnsi="Times New Roman" w:eastAsia="仿宋_GB2312" w:cs="Times New Roman"/>
          <w:color w:val="auto"/>
          <w:sz w:val="30"/>
          <w:szCs w:val="30"/>
          <w:highlight w:val="none"/>
          <w:lang w:val="en-US" w:eastAsia="zh-CN"/>
        </w:rPr>
        <w:t>20,000.00</w:t>
      </w:r>
      <w:r>
        <w:rPr>
          <w:rFonts w:hint="eastAsia" w:ascii="Times New Roman" w:hAnsi="Times New Roman" w:eastAsia="仿宋_GB2312" w:cs="Times New Roman"/>
          <w:color w:val="auto"/>
          <w:sz w:val="32"/>
          <w:szCs w:val="32"/>
          <w:highlight w:val="none"/>
          <w:lang w:val="zh-CN"/>
        </w:rPr>
        <w:t>万元，预决算差异率100.00%</w:t>
      </w:r>
      <w:r>
        <w:rPr>
          <w:rFonts w:hint="eastAsia" w:ascii="Times New Roman" w:hAnsi="Times New Roman" w:eastAsia="仿宋_GB2312" w:cs="Times New Roman"/>
          <w:color w:val="auto"/>
          <w:sz w:val="32"/>
          <w:szCs w:val="32"/>
          <w:highlight w:val="none"/>
          <w:lang w:val="zh-CN" w:eastAsia="zh-CN"/>
        </w:rPr>
        <w:t>，主要原因是：</w:t>
      </w:r>
      <w:r>
        <w:rPr>
          <w:rFonts w:ascii="仿宋" w:hAnsi="仿宋" w:eastAsia="仿宋" w:cs="仿宋"/>
          <w:spacing w:val="8"/>
          <w:sz w:val="31"/>
          <w:szCs w:val="31"/>
        </w:rPr>
        <w:t>库尔干水利工程项目专</w:t>
      </w:r>
      <w:r>
        <w:rPr>
          <w:rFonts w:ascii="仿宋" w:hAnsi="仿宋" w:eastAsia="仿宋" w:cs="仿宋"/>
          <w:spacing w:val="5"/>
          <w:sz w:val="31"/>
          <w:szCs w:val="31"/>
        </w:rPr>
        <w:t>项债20000万元</w:t>
      </w:r>
      <w:r>
        <w:rPr>
          <w:rFonts w:hint="eastAsia" w:ascii="仿宋" w:hAnsi="仿宋" w:eastAsia="仿宋" w:cs="仿宋"/>
          <w:spacing w:val="5"/>
          <w:sz w:val="31"/>
          <w:szCs w:val="31"/>
          <w:lang w:eastAsia="zh-CN"/>
        </w:rPr>
        <w:t>为年中项目安排拨付</w:t>
      </w:r>
      <w:r>
        <w:rPr>
          <w:rFonts w:hint="eastAsia" w:ascii="Times New Roman" w:hAnsi="Times New Roman" w:eastAsia="仿宋_GB2312" w:cs="Times New Roman"/>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zh-CN" w:eastAsia="zh-CN"/>
        </w:rPr>
        <w:t>20,000.00</w:t>
      </w:r>
      <w:r>
        <w:rPr>
          <w:rFonts w:hint="eastAsia" w:ascii="Times New Roman" w:hAnsi="Times New Roman" w:eastAsia="仿宋_GB2312" w:cs="Times New Roman"/>
          <w:color w:val="auto"/>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rPr>
        <w:t>1.其他支出（类）其他政府性基金及对应专项债务收入安排的支出（款）其他地方自行试点项目收益专项债券收入安排的支出（项）:支出决算数为20,000.00</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，比上年决算</w:t>
      </w:r>
      <w:r>
        <w:rPr>
          <w:rFonts w:hint="eastAsia" w:ascii="Times New Roman" w:hAnsi="Times New Roman" w:eastAsia="仿宋_GB2312" w:cs="Times New Roman"/>
          <w:color w:val="auto"/>
          <w:sz w:val="32"/>
          <w:szCs w:val="32"/>
          <w:highlight w:val="none"/>
          <w:lang w:val="en-US" w:eastAsia="zh-CN"/>
        </w:rPr>
        <w:t>增加</w:t>
      </w:r>
      <w:r>
        <w:rPr>
          <w:rFonts w:hint="eastAsia" w:ascii="Times New Roman" w:hAnsi="Times New Roman" w:eastAsia="仿宋_GB2312" w:cs="Times New Roman"/>
          <w:color w:val="auto"/>
          <w:sz w:val="32"/>
          <w:szCs w:val="32"/>
          <w:highlight w:val="none"/>
          <w:lang w:val="zh-CN"/>
        </w:rPr>
        <w:t>0.00</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增长</w:t>
      </w:r>
      <w:r>
        <w:rPr>
          <w:rFonts w:hint="eastAsia" w:ascii="Times New Roman" w:hAnsi="Times New Roman" w:eastAsia="仿宋_GB2312" w:cs="Times New Roman"/>
          <w:color w:val="auto"/>
          <w:sz w:val="32"/>
          <w:szCs w:val="32"/>
          <w:highlight w:val="none"/>
          <w:lang w:val="zh-CN"/>
        </w:rPr>
        <w:t>0.00%，主要原因是：</w:t>
      </w:r>
      <w:r>
        <w:rPr>
          <w:rFonts w:hint="eastAsia" w:ascii="仿宋" w:hAnsi="仿宋" w:eastAsia="仿宋" w:cs="仿宋"/>
          <w:spacing w:val="8"/>
          <w:sz w:val="31"/>
          <w:szCs w:val="31"/>
          <w:lang w:eastAsia="zh-CN"/>
        </w:rPr>
        <w:t>与上年相比无变化</w:t>
      </w:r>
      <w:r>
        <w:rPr>
          <w:rFonts w:hint="eastAsia" w:ascii="Times New Roman" w:hAnsi="Times New Roman" w:eastAsia="仿宋_GB2312" w:cs="Times New Roman"/>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1" w:name="_Toc7314"/>
      <w:bookmarkStart w:id="22"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1"/>
      <w:bookmarkEnd w:id="22"/>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2"/>
        <w:rPr>
          <w:rFonts w:hint="eastAsia" w:ascii="黑体" w:hAnsi="黑体" w:eastAsia="黑体"/>
          <w:color w:val="auto"/>
          <w:sz w:val="32"/>
          <w:szCs w:val="32"/>
          <w:highlight w:val="none"/>
        </w:rPr>
      </w:pPr>
      <w:bookmarkStart w:id="23" w:name="_Toc14519"/>
      <w:bookmarkStart w:id="24"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5" w:name="_Toc26704"/>
      <w:bookmarkStart w:id="26"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新疆喀什噶尔河流域管理局（事业单位）公用经费支出40.41万元，</w:t>
      </w:r>
      <w:r>
        <w:rPr>
          <w:rFonts w:hint="eastAsia" w:ascii="Times New Roman" w:hAnsi="Times New Roman" w:eastAsia="仿宋_GB2312" w:cs="Times New Roman"/>
          <w:color w:val="auto"/>
          <w:sz w:val="32"/>
          <w:szCs w:val="32"/>
          <w:highlight w:val="none"/>
          <w:lang w:val="zh-CN" w:eastAsia="zh-CN"/>
        </w:rPr>
        <w:t>比上年增加2.47万元，增长6.51%，主要原因是：</w:t>
      </w:r>
      <w:r>
        <w:rPr>
          <w:rFonts w:hint="eastAsia" w:eastAsia="仿宋_GB2312" w:cs="Times New Roman"/>
          <w:color w:val="auto"/>
          <w:sz w:val="32"/>
          <w:szCs w:val="32"/>
          <w:highlight w:val="none"/>
          <w:lang w:val="zh-CN" w:eastAsia="zh-CN"/>
        </w:rPr>
        <w:t>年度人员工资中基础绩效奖和艰苦边远津贴增加，以工资为基数计算的公用经费支出较上年有所增加</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5"/>
      <w:bookmarkEnd w:id="26"/>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30.91万元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其中：政府采购货物支出6.00万元、政府采购工程支出0.00万元、政府采购服务支出24.91万元。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授予中小企业合同金额30.91万元，占政府采购支出总额的100.00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，其中：授予小微企业合同金额1.39万元，占政府采购支出总额的4.50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7" w:name="_Toc8391"/>
      <w:bookmarkStart w:id="28" w:name="_Toc4591"/>
      <w:r>
        <w:rPr>
          <w:rFonts w:hint="eastAsia" w:ascii="Times New Roman" w:hAnsi="Times New Roman" w:eastAsia="黑体" w:cs="Times New Roman"/>
          <w:color w:val="auto"/>
          <w:sz w:val="32"/>
          <w:szCs w:val="30"/>
          <w:highlight w:val="none"/>
          <w:lang w:val="zh-CN" w:eastAsia="zh-CN"/>
        </w:rPr>
        <w:t>（三）国有资产占用情况说明</w:t>
      </w:r>
      <w:bookmarkEnd w:id="27"/>
      <w:bookmarkEnd w:id="2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667.46</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屋1,542.78平方米，价值500.87万元。车辆2辆，价值72.58万元，其中：副部（省）级及以上领导用车0辆、主要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用车0辆、机要通信用车0辆、应急保障用车0辆、执法执勤用车2辆、特种专业技术用车0辆、离退休干部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eastAsia="仿宋_GB2312" w:cs="Times New Roman"/>
          <w:color w:val="auto"/>
          <w:sz w:val="32"/>
          <w:szCs w:val="32"/>
          <w:highlight w:val="none"/>
          <w:lang w:val="zh-CN" w:eastAsia="zh-CN"/>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9" w:name="_Toc11283"/>
      <w:bookmarkStart w:id="30"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9"/>
      <w:bookmarkEnd w:id="30"/>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，我单位整体支出绩效自评表由主管部门编报并公开</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全年预算数1070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全年执行数10</w:t>
      </w:r>
      <w:bookmarkStart w:id="49" w:name="_GoBack"/>
      <w:bookmarkEnd w:id="49"/>
      <w:r>
        <w:rPr>
          <w:rFonts w:hint="eastAsia" w:ascii="仿宋_GB2312" w:eastAsia="仿宋_GB2312"/>
          <w:color w:val="auto"/>
          <w:sz w:val="32"/>
          <w:szCs w:val="32"/>
          <w:highlight w:val="none"/>
          <w:lang w:val="en-US" w:eastAsia="zh-CN"/>
        </w:rPr>
        <w:t>70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仿宋_GB2312" w:hAnsi="仿宋_GB2312" w:eastAsia="仿宋_GB2312" w:cs="仿宋_GB2312"/>
          <w:spacing w:val="9"/>
          <w:sz w:val="32"/>
          <w:szCs w:val="32"/>
        </w:rPr>
        <w:t>以项目实</w:t>
      </w:r>
      <w:r>
        <w:rPr>
          <w:rFonts w:hint="eastAsia" w:ascii="仿宋_GB2312" w:hAnsi="仿宋_GB2312" w:eastAsia="仿宋_GB2312" w:cs="仿宋_GB2312"/>
          <w:sz w:val="32"/>
          <w:szCs w:val="32"/>
        </w:rPr>
        <w:t>施为依托，通过开展水土保持监督检查、河长制工作的推进，</w:t>
      </w:r>
      <w:r>
        <w:rPr>
          <w:rFonts w:hint="eastAsia" w:ascii="仿宋_GB2312" w:hAnsi="仿宋_GB2312" w:eastAsia="仿宋_GB2312" w:cs="仿宋_GB2312"/>
          <w:spacing w:val="8"/>
          <w:sz w:val="32"/>
          <w:szCs w:val="32"/>
        </w:rPr>
        <w:t>完成喀什噶尔河流域各条河流水域岸线确权，依法加强水域岸线管理和保护。组织协调各相关部门实施水资源保护、水域岸线管理、水污染防治、水环境治理、水生态修复和执法监督等六项河长制主要任务。二是研究明确喀什噶尔河灌区用水定额及灌溉水利用系数，为建立作物的灌溉制度、制定科学合理的</w:t>
      </w:r>
      <w:r>
        <w:rPr>
          <w:rFonts w:hint="eastAsia" w:ascii="仿宋_GB2312" w:hAnsi="仿宋_GB2312" w:eastAsia="仿宋_GB2312" w:cs="仿宋_GB2312"/>
          <w:spacing w:val="8"/>
          <w:sz w:val="32"/>
          <w:szCs w:val="32"/>
          <w:lang w:eastAsia="zh-CN"/>
        </w:rPr>
        <w:t>灌溉</w:t>
      </w:r>
      <w:r>
        <w:rPr>
          <w:rFonts w:hint="eastAsia" w:ascii="仿宋_GB2312" w:hAnsi="仿宋_GB2312" w:eastAsia="仿宋_GB2312" w:cs="仿宋_GB2312"/>
          <w:spacing w:val="8"/>
          <w:sz w:val="32"/>
          <w:szCs w:val="32"/>
        </w:rPr>
        <w:t>方案提供依据。同时，助力灌区信息化建设进一步加强水资源管理，推进节约集约高效利用农业灌溉水资源。发现的问题及原因：一是项目建设程序</w:t>
      </w:r>
      <w:r>
        <w:rPr>
          <w:rFonts w:hint="eastAsia" w:ascii="仿宋_GB2312" w:hAnsi="仿宋_GB2312" w:eastAsia="仿宋_GB2312" w:cs="仿宋_GB2312"/>
          <w:spacing w:val="8"/>
          <w:sz w:val="32"/>
          <w:szCs w:val="32"/>
          <w:lang w:eastAsia="zh-CN"/>
        </w:rPr>
        <w:t>有</w:t>
      </w:r>
      <w:r>
        <w:rPr>
          <w:rFonts w:hint="eastAsia" w:ascii="仿宋_GB2312" w:hAnsi="仿宋_GB2312" w:eastAsia="仿宋_GB2312" w:cs="仿宋_GB2312"/>
          <w:spacing w:val="8"/>
          <w:sz w:val="32"/>
          <w:szCs w:val="32"/>
        </w:rPr>
        <w:t>待进一步完善。二是项目资料</w:t>
      </w:r>
      <w:r>
        <w:rPr>
          <w:rFonts w:hint="eastAsia" w:ascii="仿宋_GB2312" w:hAnsi="仿宋_GB2312" w:eastAsia="仿宋_GB2312" w:cs="仿宋_GB2312"/>
          <w:spacing w:val="8"/>
          <w:sz w:val="32"/>
          <w:szCs w:val="32"/>
          <w:lang w:eastAsia="zh-CN"/>
        </w:rPr>
        <w:t>有</w:t>
      </w:r>
      <w:r>
        <w:rPr>
          <w:rFonts w:hint="eastAsia" w:ascii="仿宋_GB2312" w:hAnsi="仿宋_GB2312" w:eastAsia="仿宋_GB2312" w:cs="仿宋_GB2312"/>
          <w:spacing w:val="8"/>
          <w:sz w:val="32"/>
          <w:szCs w:val="32"/>
        </w:rPr>
        <w:t>待进一步齐全。三是项目</w:t>
      </w:r>
      <w:r>
        <w:rPr>
          <w:rFonts w:hint="eastAsia" w:ascii="仿宋_GB2312" w:hAnsi="仿宋_GB2312" w:eastAsia="仿宋_GB2312" w:cs="仿宋_GB2312"/>
          <w:spacing w:val="8"/>
          <w:sz w:val="32"/>
          <w:szCs w:val="32"/>
          <w:lang w:eastAsia="zh-CN"/>
        </w:rPr>
        <w:t>监管</w:t>
      </w:r>
      <w:r>
        <w:rPr>
          <w:rFonts w:hint="eastAsia" w:ascii="仿宋_GB2312" w:hAnsi="仿宋_GB2312" w:eastAsia="仿宋_GB2312" w:cs="仿宋_GB2312"/>
          <w:spacing w:val="8"/>
          <w:sz w:val="32"/>
          <w:szCs w:val="32"/>
        </w:rPr>
        <w:t>进一步加强。下一步改进措施：一是按照上级文件精神要求、坚持科学性、合理性、实效性、节约性原则，结合实际合理安排专项项目资金。二是建立项目资金管理体系、专项资金实行专人管理、专账核算、专项使用。组织监督项目资金的用途、工程质量、工程进度</w:t>
      </w:r>
      <w:r>
        <w:rPr>
          <w:rFonts w:hint="eastAsia" w:ascii="仿宋_GB2312" w:hAnsi="仿宋_GB2312" w:eastAsia="仿宋_GB2312" w:cs="仿宋_GB2312"/>
          <w:spacing w:val="8"/>
          <w:sz w:val="32"/>
          <w:szCs w:val="32"/>
          <w:lang w:eastAsia="zh-CN"/>
        </w:rPr>
        <w:t>等</w:t>
      </w:r>
      <w:r>
        <w:rPr>
          <w:rFonts w:hint="eastAsia" w:ascii="仿宋_GB2312" w:hAnsi="仿宋_GB2312" w:eastAsia="仿宋_GB2312" w:cs="仿宋_GB2312"/>
          <w:spacing w:val="8"/>
          <w:sz w:val="32"/>
          <w:szCs w:val="32"/>
        </w:rPr>
        <w:t>。三是项目实施完成后</w:t>
      </w:r>
      <w:r>
        <w:rPr>
          <w:rFonts w:hint="eastAsia" w:ascii="仿宋_GB2312" w:hAnsi="仿宋_GB2312" w:eastAsia="仿宋_GB2312" w:cs="仿宋_GB2312"/>
          <w:spacing w:val="7"/>
          <w:sz w:val="32"/>
          <w:szCs w:val="32"/>
        </w:rPr>
        <w:t>强化后</w:t>
      </w:r>
      <w:r>
        <w:rPr>
          <w:rFonts w:hint="eastAsia" w:ascii="仿宋_GB2312" w:hAnsi="仿宋_GB2312" w:eastAsia="仿宋_GB2312" w:cs="仿宋_GB2312"/>
          <w:spacing w:val="8"/>
          <w:sz w:val="32"/>
          <w:szCs w:val="32"/>
        </w:rPr>
        <w:t>期管理，建立健全项目使用期科学管理机制。</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560" w:lineRule="exact"/>
        <w:ind w:right="0" w:rightChars="0"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0"/>
        <w:jc w:val="both"/>
        <w:textAlignment w:val="auto"/>
        <w:outlineLvl w:val="0"/>
        <w:rPr>
          <w:rFonts w:hint="eastAsia" w:ascii="仿宋_GB2312" w:eastAsia="仿宋_GB2312"/>
          <w:color w:val="auto"/>
          <w:sz w:val="32"/>
          <w:szCs w:val="32"/>
          <w:highlight w:val="none"/>
          <w:lang w:val="en-US" w:eastAsia="zh-CN"/>
        </w:rPr>
      </w:pPr>
      <w:bookmarkStart w:id="31" w:name="_Toc24143"/>
      <w:bookmarkStart w:id="32" w:name="_Toc3250"/>
      <w:r>
        <w:rPr>
          <w:rFonts w:hint="eastAsia" w:ascii="仿宋_GB2312" w:eastAsia="仿宋_GB2312"/>
          <w:color w:val="auto"/>
          <w:sz w:val="32"/>
          <w:szCs w:val="32"/>
          <w:highlight w:val="none"/>
          <w:lang w:eastAsia="zh-CN"/>
        </w:rPr>
        <w:t>我单位无其他需说明的事项</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1"/>
      <w:bookmarkEnd w:id="32"/>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right="0" w:rightChars="0"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560" w:lineRule="exact"/>
        <w:ind w:right="0" w:rightChars="0"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3" w:name="_Toc2183"/>
      <w:bookmarkStart w:id="34" w:name="_Toc6062"/>
      <w:r>
        <w:rPr>
          <w:rFonts w:hint="eastAsia" w:ascii="黑体" w:hAnsi="黑体" w:eastAsia="仿宋_GB2312" w:cs="宋体"/>
          <w:bCs/>
          <w:color w:val="auto"/>
          <w:kern w:val="0"/>
          <w:sz w:val="32"/>
          <w:szCs w:val="32"/>
          <w:highlight w:val="none"/>
        </w:rPr>
        <w:t>一、《收入支出决算总表》</w:t>
      </w:r>
      <w:bookmarkEnd w:id="33"/>
      <w:bookmarkEnd w:id="3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5" w:name="_Toc30364"/>
      <w:bookmarkStart w:id="36" w:name="_Toc24532"/>
      <w:r>
        <w:rPr>
          <w:rFonts w:hint="eastAsia" w:ascii="黑体" w:hAnsi="黑体" w:eastAsia="仿宋_GB2312" w:cs="宋体"/>
          <w:bCs/>
          <w:color w:val="auto"/>
          <w:kern w:val="0"/>
          <w:sz w:val="32"/>
          <w:szCs w:val="32"/>
          <w:highlight w:val="none"/>
        </w:rPr>
        <w:t>二、《收入决算表》</w:t>
      </w:r>
      <w:bookmarkEnd w:id="35"/>
      <w:bookmarkEnd w:id="36"/>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7" w:name="_Toc32434"/>
      <w:bookmarkStart w:id="38" w:name="_Toc21304"/>
      <w:r>
        <w:rPr>
          <w:rFonts w:hint="eastAsia" w:ascii="黑体" w:hAnsi="黑体" w:eastAsia="仿宋_GB2312" w:cs="宋体"/>
          <w:bCs/>
          <w:color w:val="auto"/>
          <w:kern w:val="0"/>
          <w:sz w:val="32"/>
          <w:szCs w:val="32"/>
          <w:highlight w:val="none"/>
        </w:rPr>
        <w:t>三、《支出决算表》</w:t>
      </w:r>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9" w:name="_Toc14238"/>
      <w:bookmarkStart w:id="40" w:name="_Toc28786"/>
      <w:r>
        <w:rPr>
          <w:rFonts w:hint="eastAsia" w:ascii="黑体" w:hAnsi="黑体" w:eastAsia="仿宋_GB2312" w:cs="宋体"/>
          <w:bCs/>
          <w:color w:val="auto"/>
          <w:kern w:val="0"/>
          <w:sz w:val="32"/>
          <w:szCs w:val="32"/>
          <w:highlight w:val="none"/>
        </w:rPr>
        <w:t>四、《财政拨款收入支出决算总表》</w:t>
      </w:r>
      <w:bookmarkEnd w:id="39"/>
      <w:bookmarkEnd w:id="40"/>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1" w:name="_Toc10347"/>
      <w:bookmarkStart w:id="42" w:name="_Toc14869"/>
      <w:r>
        <w:rPr>
          <w:rFonts w:hint="eastAsia" w:ascii="黑体" w:hAnsi="黑体" w:eastAsia="仿宋_GB2312" w:cs="宋体"/>
          <w:bCs/>
          <w:color w:val="auto"/>
          <w:kern w:val="0"/>
          <w:sz w:val="32"/>
          <w:szCs w:val="32"/>
          <w:highlight w:val="none"/>
        </w:rPr>
        <w:t>五、《一般公共预算财政拨款支出决算表》</w:t>
      </w:r>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3" w:name="_Toc5626"/>
      <w:bookmarkStart w:id="44" w:name="_Toc8884"/>
      <w:r>
        <w:rPr>
          <w:rFonts w:hint="eastAsia" w:ascii="黑体" w:hAnsi="黑体" w:eastAsia="仿宋_GB2312" w:cs="宋体"/>
          <w:bCs/>
          <w:color w:val="auto"/>
          <w:kern w:val="0"/>
          <w:sz w:val="32"/>
          <w:szCs w:val="32"/>
          <w:highlight w:val="none"/>
        </w:rPr>
        <w:t>六、《一般公共预算财政拨款基本支出决算表》</w:t>
      </w:r>
      <w:bookmarkEnd w:id="43"/>
      <w:bookmarkEnd w:id="44"/>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5" w:name="_Toc32663"/>
      <w:bookmarkStart w:id="46" w:name="_Toc29106"/>
      <w:r>
        <w:rPr>
          <w:rFonts w:hint="eastAsia" w:ascii="黑体" w:hAnsi="黑体" w:eastAsia="仿宋_GB2312" w:cs="宋体"/>
          <w:bCs/>
          <w:color w:val="auto"/>
          <w:kern w:val="0"/>
          <w:sz w:val="32"/>
          <w:szCs w:val="32"/>
          <w:highlight w:val="none"/>
        </w:rPr>
        <w:t>《财政拨款“三公”经费支出决算表》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7" w:name="_Toc5453"/>
      <w:bookmarkStart w:id="48" w:name="_Toc7643"/>
      <w:r>
        <w:rPr>
          <w:rFonts w:hint="eastAsia" w:ascii="黑体" w:hAnsi="黑体" w:eastAsia="仿宋_GB2312" w:cs="宋体"/>
          <w:bCs/>
          <w:color w:val="auto"/>
          <w:kern w:val="0"/>
          <w:sz w:val="32"/>
          <w:szCs w:val="32"/>
          <w:highlight w:val="none"/>
        </w:rPr>
        <w:t>八、《政府性基金预算财政拨款收入支出决算表》</w:t>
      </w:r>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560" w:lineRule="exact"/>
        <w:ind w:right="0" w:rightChars="0"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EU-B1"/>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EU-B1"/>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JIJGtD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66C72442"/>
    <w:multiLevelType w:val="singleLevel"/>
    <w:tmpl w:val="66C72442"/>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xNjgzMDNkNzkzNjJlZmMyNWJlMmQzNDY0Zjk0YzMifQ=="/>
    <w:docVar w:name="KSO_WPS_MARK_KEY" w:val="41ee2a61-2d54-4f93-83be-afdb9a40d732"/>
  </w:docVars>
  <w:rsids>
    <w:rsidRoot w:val="00000000"/>
    <w:rsid w:val="00213C59"/>
    <w:rsid w:val="003210CE"/>
    <w:rsid w:val="0086035F"/>
    <w:rsid w:val="00B70D59"/>
    <w:rsid w:val="00F52A8D"/>
    <w:rsid w:val="019404F8"/>
    <w:rsid w:val="01DA571A"/>
    <w:rsid w:val="01ED22F2"/>
    <w:rsid w:val="02BD3108"/>
    <w:rsid w:val="02F73D26"/>
    <w:rsid w:val="032A08BF"/>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A64CB"/>
    <w:rsid w:val="0CBD6988"/>
    <w:rsid w:val="0CD208AC"/>
    <w:rsid w:val="0D4903E8"/>
    <w:rsid w:val="0D7A4A46"/>
    <w:rsid w:val="0DAE6A7F"/>
    <w:rsid w:val="0E640559"/>
    <w:rsid w:val="0F1113DA"/>
    <w:rsid w:val="0F78534A"/>
    <w:rsid w:val="0F89358A"/>
    <w:rsid w:val="0F8C6D51"/>
    <w:rsid w:val="105B0B5E"/>
    <w:rsid w:val="112E58D0"/>
    <w:rsid w:val="11731CAC"/>
    <w:rsid w:val="119500A0"/>
    <w:rsid w:val="11C0733B"/>
    <w:rsid w:val="11D50D17"/>
    <w:rsid w:val="120E0809"/>
    <w:rsid w:val="127F665A"/>
    <w:rsid w:val="12EB221A"/>
    <w:rsid w:val="12F7068C"/>
    <w:rsid w:val="14207DC0"/>
    <w:rsid w:val="14B932DA"/>
    <w:rsid w:val="150A66AF"/>
    <w:rsid w:val="154C1139"/>
    <w:rsid w:val="158C5B77"/>
    <w:rsid w:val="160D1149"/>
    <w:rsid w:val="163563C0"/>
    <w:rsid w:val="164315EF"/>
    <w:rsid w:val="16557DFE"/>
    <w:rsid w:val="167268FB"/>
    <w:rsid w:val="16770D0A"/>
    <w:rsid w:val="168D18F9"/>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4821DF"/>
    <w:rsid w:val="1FA15E62"/>
    <w:rsid w:val="1FED69B6"/>
    <w:rsid w:val="20030393"/>
    <w:rsid w:val="2064678E"/>
    <w:rsid w:val="20DC1AB9"/>
    <w:rsid w:val="20DD6197"/>
    <w:rsid w:val="212631E0"/>
    <w:rsid w:val="21A53757"/>
    <w:rsid w:val="221236C6"/>
    <w:rsid w:val="22D7662C"/>
    <w:rsid w:val="23326B7F"/>
    <w:rsid w:val="2380045B"/>
    <w:rsid w:val="23B422E0"/>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2E1AAC"/>
    <w:rsid w:val="314029C9"/>
    <w:rsid w:val="31C63837"/>
    <w:rsid w:val="31C82E39"/>
    <w:rsid w:val="32601BAD"/>
    <w:rsid w:val="329F6389"/>
    <w:rsid w:val="3389023A"/>
    <w:rsid w:val="33CB74FA"/>
    <w:rsid w:val="340919EE"/>
    <w:rsid w:val="343642F2"/>
    <w:rsid w:val="343F3010"/>
    <w:rsid w:val="345D0A00"/>
    <w:rsid w:val="34713BFD"/>
    <w:rsid w:val="34C13589"/>
    <w:rsid w:val="353369E3"/>
    <w:rsid w:val="35B21E0B"/>
    <w:rsid w:val="35E00D72"/>
    <w:rsid w:val="364A7E1F"/>
    <w:rsid w:val="36965B9D"/>
    <w:rsid w:val="36C549FD"/>
    <w:rsid w:val="378673A6"/>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427BB"/>
    <w:rsid w:val="3EEC6CEF"/>
    <w:rsid w:val="3F183429"/>
    <w:rsid w:val="3F556A0F"/>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8A7ACA"/>
    <w:rsid w:val="46901EEE"/>
    <w:rsid w:val="469C74D2"/>
    <w:rsid w:val="47445515"/>
    <w:rsid w:val="474B4782"/>
    <w:rsid w:val="47D90D14"/>
    <w:rsid w:val="48387FB0"/>
    <w:rsid w:val="483A6114"/>
    <w:rsid w:val="488727DB"/>
    <w:rsid w:val="48B82268"/>
    <w:rsid w:val="48C354B3"/>
    <w:rsid w:val="48F92C46"/>
    <w:rsid w:val="493D58B5"/>
    <w:rsid w:val="49431DC1"/>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BB1278"/>
    <w:rsid w:val="5AFC6609"/>
    <w:rsid w:val="5B113480"/>
    <w:rsid w:val="5BD456CE"/>
    <w:rsid w:val="5C0D1F49"/>
    <w:rsid w:val="5CBB0CE2"/>
    <w:rsid w:val="5CC17177"/>
    <w:rsid w:val="5CF306BC"/>
    <w:rsid w:val="5D3F3D64"/>
    <w:rsid w:val="5D833043"/>
    <w:rsid w:val="5DD92690"/>
    <w:rsid w:val="5DDB1CFD"/>
    <w:rsid w:val="5DF66A37"/>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7E0125"/>
    <w:rsid w:val="62DD7D21"/>
    <w:rsid w:val="637D586B"/>
    <w:rsid w:val="63A5560B"/>
    <w:rsid w:val="63E9091F"/>
    <w:rsid w:val="641E7CB4"/>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4C7FA1"/>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 w:val="F6D1F3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样式1"/>
    <w:basedOn w:val="3"/>
    <w:next w:val="5"/>
    <w:qFormat/>
    <w:uiPriority w:val="0"/>
    <w:pPr>
      <w:jc w:val="left"/>
    </w:pPr>
    <w:rPr>
      <w:rFonts w:ascii="Calibri" w:hAnsi="Calibri" w:eastAsia="仿宋_GB2312"/>
      <w:sz w:val="32"/>
    </w:rPr>
  </w:style>
  <w:style w:type="paragraph" w:customStyle="1" w:styleId="3">
    <w:name w:val="样式 标题 3 + 宋体 非加粗 黑色 段前: 6 磅 行距: 多倍行距 1.25 字行"/>
    <w:basedOn w:val="4"/>
    <w:qFormat/>
    <w:uiPriority w:val="0"/>
    <w:pPr>
      <w:spacing w:before="40" w:beforeLines="0" w:line="400" w:lineRule="exact"/>
    </w:pPr>
    <w:rPr>
      <w:rFonts w:cs="宋体"/>
      <w:color w:val="000000"/>
      <w:sz w:val="24"/>
      <w:szCs w:val="24"/>
    </w:rPr>
  </w:style>
  <w:style w:type="paragraph" w:customStyle="1" w:styleId="5">
    <w:name w:val="样式2"/>
    <w:basedOn w:val="1"/>
    <w:qFormat/>
    <w:uiPriority w:val="0"/>
    <w:pPr>
      <w:ind w:firstLine="200" w:firstLineChars="200"/>
    </w:pPr>
    <w:rPr>
      <w:rFonts w:eastAsia="仿宋_GB2312"/>
      <w:sz w:val="32"/>
    </w:rPr>
  </w:style>
  <w:style w:type="paragraph" w:styleId="6">
    <w:name w:val="annotation text"/>
    <w:basedOn w:val="1"/>
    <w:qFormat/>
    <w:uiPriority w:val="0"/>
    <w:pPr>
      <w:jc w:val="left"/>
    </w:p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5">
    <w:name w:val="Strong"/>
    <w:basedOn w:val="14"/>
    <w:qFormat/>
    <w:uiPriority w:val="0"/>
    <w:rPr>
      <w:b/>
    </w:rPr>
  </w:style>
  <w:style w:type="paragraph" w:customStyle="1" w:styleId="16">
    <w:name w:val="WPSOffice手动目录 3"/>
    <w:qFormat/>
    <w:uiPriority w:val="0"/>
    <w:pPr>
      <w:ind w:leftChars="40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6497</Words>
  <Characters>7407</Characters>
  <Lines>0</Lines>
  <Paragraphs>0</Paragraphs>
  <TotalTime>0</TotalTime>
  <ScaleCrop>false</ScaleCrop>
  <LinksUpToDate>false</LinksUpToDate>
  <CharactersWithSpaces>7434</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user</cp:lastModifiedBy>
  <dcterms:modified xsi:type="dcterms:W3CDTF">2024-09-12T16:37:45Z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D624B15633CD43C8BF9435464A96BF70</vt:lpwstr>
  </property>
</Properties>
</file>