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32A1BF">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黑体" w:cs="Times New Roman"/>
          <w:color w:val="auto"/>
          <w:sz w:val="32"/>
          <w:szCs w:val="32"/>
          <w:highlight w:val="none"/>
        </w:rPr>
      </w:pPr>
    </w:p>
    <w:p w14:paraId="50DB0B8E">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方正小标宋_GBK" w:cs="Times New Roman"/>
          <w:color w:val="auto"/>
          <w:sz w:val="44"/>
          <w:szCs w:val="44"/>
          <w:highlight w:val="none"/>
        </w:rPr>
      </w:pPr>
    </w:p>
    <w:p w14:paraId="222DF8C7">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方正小标宋_GBK" w:cs="Times New Roman"/>
          <w:color w:val="auto"/>
          <w:sz w:val="44"/>
          <w:szCs w:val="44"/>
          <w:highlight w:val="none"/>
          <w:lang w:val="en-US" w:eastAsia="zh-CN"/>
        </w:rPr>
      </w:pPr>
      <w:r>
        <w:rPr>
          <w:rFonts w:hint="default" w:ascii="Times New Roman" w:hAnsi="Times New Roman" w:eastAsia="方正小标宋_GBK" w:cs="Times New Roman"/>
          <w:color w:val="auto"/>
          <w:sz w:val="44"/>
          <w:szCs w:val="44"/>
          <w:highlight w:val="none"/>
          <w:lang w:val="en-US" w:eastAsia="zh-CN"/>
        </w:rPr>
        <w:t>新疆维吾尔自治区塔里木河流域阿克苏管理局</w:t>
      </w:r>
    </w:p>
    <w:p w14:paraId="027A982E">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方正小标宋_GBK" w:cs="Times New Roman"/>
          <w:color w:val="auto"/>
          <w:sz w:val="44"/>
          <w:szCs w:val="44"/>
          <w:highlight w:val="none"/>
        </w:rPr>
      </w:pPr>
      <w:r>
        <w:rPr>
          <w:rFonts w:hint="default" w:ascii="Times New Roman" w:hAnsi="Times New Roman" w:eastAsia="方正小标宋_GBK" w:cs="Times New Roman"/>
          <w:color w:val="auto"/>
          <w:sz w:val="44"/>
          <w:szCs w:val="44"/>
          <w:highlight w:val="none"/>
          <w:lang w:eastAsia="zh-CN"/>
        </w:rPr>
        <w:t xml:space="preserve"> 2023年度</w:t>
      </w:r>
      <w:r>
        <w:rPr>
          <w:rFonts w:hint="default" w:ascii="Times New Roman" w:hAnsi="Times New Roman" w:eastAsia="方正小标宋_GBK" w:cs="Times New Roman"/>
          <w:color w:val="auto"/>
          <w:sz w:val="44"/>
          <w:szCs w:val="44"/>
          <w:highlight w:val="none"/>
        </w:rPr>
        <w:t>部门决算</w:t>
      </w:r>
    </w:p>
    <w:p w14:paraId="1EF9A0DE">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方正小标宋_GBK" w:cs="Times New Roman"/>
          <w:color w:val="auto"/>
          <w:sz w:val="44"/>
          <w:szCs w:val="44"/>
          <w:highlight w:val="none"/>
        </w:rPr>
      </w:pPr>
      <w:r>
        <w:rPr>
          <w:rFonts w:hint="default" w:ascii="Times New Roman" w:hAnsi="Times New Roman" w:eastAsia="方正小标宋_GBK" w:cs="Times New Roman"/>
          <w:color w:val="auto"/>
          <w:sz w:val="44"/>
          <w:szCs w:val="44"/>
          <w:highlight w:val="none"/>
        </w:rPr>
        <w:t>公开说明</w:t>
      </w:r>
    </w:p>
    <w:p w14:paraId="6B69086C">
      <w:pPr>
        <w:rPr>
          <w:rFonts w:hint="default" w:ascii="Times New Roman" w:hAnsi="Times New Roman" w:eastAsia="方正小标宋_GBK" w:cs="Times New Roman"/>
          <w:color w:val="auto"/>
          <w:sz w:val="44"/>
          <w:szCs w:val="44"/>
          <w:highlight w:val="none"/>
        </w:rPr>
      </w:pPr>
      <w:r>
        <w:rPr>
          <w:rFonts w:hint="default" w:ascii="Times New Roman" w:hAnsi="Times New Roman" w:eastAsia="方正小标宋_GBK" w:cs="Times New Roman"/>
          <w:color w:val="auto"/>
          <w:sz w:val="44"/>
          <w:szCs w:val="44"/>
          <w:highlight w:val="none"/>
        </w:rPr>
        <w:br w:type="page"/>
      </w:r>
    </w:p>
    <w:p w14:paraId="449DD8F9">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b w:val="0"/>
          <w:bCs/>
          <w:color w:val="auto"/>
          <w:kern w:val="0"/>
          <w:sz w:val="32"/>
          <w:szCs w:val="32"/>
          <w:highlight w:val="none"/>
        </w:rPr>
      </w:pPr>
      <w:r>
        <w:rPr>
          <w:rFonts w:hint="default" w:ascii="Times New Roman" w:hAnsi="Times New Roman" w:eastAsia="仿宋_GB2312" w:cs="Times New Roman"/>
          <w:b/>
          <w:bCs w:val="0"/>
          <w:color w:val="auto"/>
          <w:kern w:val="0"/>
          <w:sz w:val="36"/>
          <w:szCs w:val="36"/>
          <w:highlight w:val="none"/>
        </w:rPr>
        <w:t>目  录</w:t>
      </w:r>
    </w:p>
    <w:p w14:paraId="7AE3BBF3">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TOC \o "1-3" \n  \h \u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
          <w:bCs/>
          <w:color w:val="auto"/>
          <w:sz w:val="32"/>
          <w:szCs w:val="32"/>
          <w:highlight w:val="none"/>
        </w:rPr>
        <w:fldChar w:fldCharType="begin"/>
      </w:r>
      <w:r>
        <w:rPr>
          <w:rFonts w:hint="default" w:ascii="Times New Roman" w:hAnsi="Times New Roman" w:eastAsia="仿宋_GB2312" w:cs="Times New Roman"/>
          <w:b/>
          <w:bCs/>
          <w:color w:val="auto"/>
          <w:sz w:val="32"/>
          <w:szCs w:val="32"/>
          <w:highlight w:val="none"/>
        </w:rPr>
        <w:instrText xml:space="preserve"> HYPERLINK \l _Toc32314 </w:instrText>
      </w:r>
      <w:r>
        <w:rPr>
          <w:rFonts w:hint="default" w:ascii="Times New Roman" w:hAnsi="Times New Roman" w:eastAsia="仿宋_GB2312" w:cs="Times New Roman"/>
          <w:b/>
          <w:bCs/>
          <w:color w:val="auto"/>
          <w:sz w:val="32"/>
          <w:szCs w:val="32"/>
          <w:highlight w:val="none"/>
        </w:rPr>
        <w:fldChar w:fldCharType="separate"/>
      </w:r>
      <w:r>
        <w:rPr>
          <w:rFonts w:hint="default" w:ascii="Times New Roman" w:hAnsi="Times New Roman" w:eastAsia="仿宋_GB2312" w:cs="Times New Roman"/>
          <w:b/>
          <w:bCs/>
          <w:color w:val="auto"/>
          <w:sz w:val="32"/>
          <w:szCs w:val="32"/>
          <w:highlight w:val="none"/>
        </w:rPr>
        <w:t xml:space="preserve">第一部分 </w:t>
      </w:r>
      <w:r>
        <w:rPr>
          <w:rFonts w:hint="default" w:ascii="Times New Roman" w:hAnsi="Times New Roman" w:eastAsia="仿宋_GB2312" w:cs="Times New Roman"/>
          <w:b/>
          <w:bCs/>
          <w:color w:val="auto"/>
          <w:sz w:val="32"/>
          <w:szCs w:val="32"/>
          <w:highlight w:val="none"/>
          <w:lang w:eastAsia="zh-CN"/>
        </w:rPr>
        <w:t>单位</w:t>
      </w:r>
      <w:r>
        <w:rPr>
          <w:rFonts w:hint="default" w:ascii="Times New Roman" w:hAnsi="Times New Roman" w:eastAsia="仿宋_GB2312" w:cs="Times New Roman"/>
          <w:b/>
          <w:bCs/>
          <w:color w:val="auto"/>
          <w:sz w:val="32"/>
          <w:szCs w:val="32"/>
          <w:highlight w:val="none"/>
        </w:rPr>
        <w:t>概况</w:t>
      </w:r>
      <w:r>
        <w:rPr>
          <w:rFonts w:hint="default" w:ascii="Times New Roman" w:hAnsi="Times New Roman" w:eastAsia="仿宋_GB2312" w:cs="Times New Roman"/>
          <w:b/>
          <w:bCs/>
          <w:color w:val="auto"/>
          <w:sz w:val="32"/>
          <w:szCs w:val="32"/>
          <w:highlight w:val="none"/>
        </w:rPr>
        <w:fldChar w:fldCharType="end"/>
      </w:r>
    </w:p>
    <w:p w14:paraId="0E3B700C">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_Toc30567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一、主要职能</w:t>
      </w:r>
      <w:r>
        <w:rPr>
          <w:rFonts w:hint="default" w:ascii="Times New Roman" w:hAnsi="Times New Roman" w:eastAsia="仿宋_GB2312" w:cs="Times New Roman"/>
          <w:color w:val="auto"/>
          <w:sz w:val="32"/>
          <w:szCs w:val="32"/>
          <w:highlight w:val="none"/>
        </w:rPr>
        <w:fldChar w:fldCharType="end"/>
      </w:r>
    </w:p>
    <w:p w14:paraId="27AA0992">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_Toc2151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二、机构设置</w:t>
      </w:r>
      <w:r>
        <w:rPr>
          <w:rFonts w:hint="default" w:ascii="Times New Roman" w:hAnsi="Times New Roman" w:eastAsia="仿宋_GB2312" w:cs="Times New Roman"/>
          <w:bCs/>
          <w:color w:val="auto"/>
          <w:kern w:val="0"/>
          <w:sz w:val="32"/>
          <w:szCs w:val="32"/>
          <w:highlight w:val="none"/>
          <w:lang w:eastAsia="zh-CN"/>
        </w:rPr>
        <w:t>及人员</w:t>
      </w:r>
      <w:r>
        <w:rPr>
          <w:rFonts w:hint="default" w:ascii="Times New Roman" w:hAnsi="Times New Roman" w:eastAsia="仿宋_GB2312" w:cs="Times New Roman"/>
          <w:bCs/>
          <w:color w:val="auto"/>
          <w:kern w:val="0"/>
          <w:sz w:val="32"/>
          <w:szCs w:val="32"/>
          <w:highlight w:val="none"/>
        </w:rPr>
        <w:t>情况</w:t>
      </w:r>
      <w:r>
        <w:rPr>
          <w:rFonts w:hint="default" w:ascii="Times New Roman" w:hAnsi="Times New Roman" w:eastAsia="仿宋_GB2312" w:cs="Times New Roman"/>
          <w:color w:val="auto"/>
          <w:sz w:val="32"/>
          <w:szCs w:val="32"/>
          <w:highlight w:val="none"/>
        </w:rPr>
        <w:fldChar w:fldCharType="end"/>
      </w:r>
    </w:p>
    <w:p w14:paraId="313844B3">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fldChar w:fldCharType="begin"/>
      </w:r>
      <w:r>
        <w:rPr>
          <w:rFonts w:hint="default" w:ascii="Times New Roman" w:hAnsi="Times New Roman" w:eastAsia="仿宋_GB2312" w:cs="Times New Roman"/>
          <w:b/>
          <w:bCs/>
          <w:color w:val="auto"/>
          <w:sz w:val="32"/>
          <w:szCs w:val="32"/>
          <w:highlight w:val="none"/>
        </w:rPr>
        <w:instrText xml:space="preserve"> HYPERLINK \l _Toc29374 </w:instrText>
      </w:r>
      <w:r>
        <w:rPr>
          <w:rFonts w:hint="default" w:ascii="Times New Roman" w:hAnsi="Times New Roman" w:eastAsia="仿宋_GB2312" w:cs="Times New Roman"/>
          <w:b/>
          <w:bCs/>
          <w:color w:val="auto"/>
          <w:sz w:val="32"/>
          <w:szCs w:val="32"/>
          <w:highlight w:val="none"/>
        </w:rPr>
        <w:fldChar w:fldCharType="separate"/>
      </w:r>
      <w:r>
        <w:rPr>
          <w:rFonts w:hint="default" w:ascii="Times New Roman" w:hAnsi="Times New Roman" w:eastAsia="仿宋_GB2312" w:cs="Times New Roman"/>
          <w:b/>
          <w:bCs/>
          <w:color w:val="auto"/>
          <w:sz w:val="32"/>
          <w:szCs w:val="32"/>
          <w:highlight w:val="none"/>
        </w:rPr>
        <w:t>第二部分 部门决算情况说明</w:t>
      </w:r>
      <w:r>
        <w:rPr>
          <w:rFonts w:hint="default" w:ascii="Times New Roman" w:hAnsi="Times New Roman" w:eastAsia="仿宋_GB2312" w:cs="Times New Roman"/>
          <w:b/>
          <w:bCs/>
          <w:color w:val="auto"/>
          <w:sz w:val="32"/>
          <w:szCs w:val="32"/>
          <w:highlight w:val="none"/>
        </w:rPr>
        <w:fldChar w:fldCharType="end"/>
      </w:r>
    </w:p>
    <w:p w14:paraId="4AC3E5B7">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_Toc25314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一、收入支出决算总体情况说明</w:t>
      </w:r>
      <w:r>
        <w:rPr>
          <w:rFonts w:hint="default" w:ascii="Times New Roman" w:hAnsi="Times New Roman" w:eastAsia="仿宋_GB2312" w:cs="Times New Roman"/>
          <w:color w:val="auto"/>
          <w:sz w:val="32"/>
          <w:szCs w:val="32"/>
          <w:highlight w:val="none"/>
        </w:rPr>
        <w:fldChar w:fldCharType="end"/>
      </w:r>
    </w:p>
    <w:p w14:paraId="25313BD7">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_Toc12142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eastAsia="zh-CN"/>
        </w:rPr>
        <w:t>二、</w:t>
      </w:r>
      <w:r>
        <w:rPr>
          <w:rFonts w:hint="default" w:ascii="Times New Roman" w:hAnsi="Times New Roman" w:eastAsia="仿宋_GB2312" w:cs="Times New Roman"/>
          <w:bCs/>
          <w:color w:val="auto"/>
          <w:kern w:val="0"/>
          <w:sz w:val="32"/>
          <w:szCs w:val="32"/>
          <w:highlight w:val="none"/>
        </w:rPr>
        <w:t>收入</w:t>
      </w:r>
      <w:r>
        <w:rPr>
          <w:rFonts w:hint="default" w:ascii="Times New Roman" w:hAnsi="Times New Roman" w:eastAsia="仿宋_GB2312" w:cs="Times New Roman"/>
          <w:bCs/>
          <w:color w:val="auto"/>
          <w:kern w:val="0"/>
          <w:sz w:val="32"/>
          <w:szCs w:val="32"/>
          <w:highlight w:val="none"/>
          <w:lang w:eastAsia="zh-CN"/>
        </w:rPr>
        <w:t>决算</w:t>
      </w:r>
      <w:r>
        <w:rPr>
          <w:rFonts w:hint="default" w:ascii="Times New Roman" w:hAnsi="Times New Roman" w:eastAsia="仿宋_GB2312" w:cs="Times New Roman"/>
          <w:bCs/>
          <w:color w:val="auto"/>
          <w:kern w:val="0"/>
          <w:sz w:val="32"/>
          <w:szCs w:val="32"/>
          <w:highlight w:val="none"/>
        </w:rPr>
        <w:t>情况说明</w:t>
      </w:r>
      <w:r>
        <w:rPr>
          <w:rFonts w:hint="default" w:ascii="Times New Roman" w:hAnsi="Times New Roman" w:eastAsia="仿宋_GB2312" w:cs="Times New Roman"/>
          <w:color w:val="auto"/>
          <w:sz w:val="32"/>
          <w:szCs w:val="32"/>
          <w:highlight w:val="none"/>
        </w:rPr>
        <w:fldChar w:fldCharType="end"/>
      </w:r>
    </w:p>
    <w:p w14:paraId="7A297456">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_Toc13201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eastAsia="zh-CN"/>
        </w:rPr>
        <w:t>三、支出决算情况说明</w:t>
      </w:r>
      <w:r>
        <w:rPr>
          <w:rFonts w:hint="default" w:ascii="Times New Roman" w:hAnsi="Times New Roman" w:eastAsia="仿宋_GB2312" w:cs="Times New Roman"/>
          <w:color w:val="auto"/>
          <w:sz w:val="32"/>
          <w:szCs w:val="32"/>
          <w:highlight w:val="none"/>
        </w:rPr>
        <w:fldChar w:fldCharType="end"/>
      </w:r>
    </w:p>
    <w:p w14:paraId="04F42A0A">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_Toc26564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eastAsia="zh-CN"/>
        </w:rPr>
        <w:t>四、财政拨款收入支出决算总体情况说明</w:t>
      </w:r>
      <w:r>
        <w:rPr>
          <w:rFonts w:hint="default" w:ascii="Times New Roman" w:hAnsi="Times New Roman" w:eastAsia="仿宋_GB2312" w:cs="Times New Roman"/>
          <w:color w:val="auto"/>
          <w:sz w:val="32"/>
          <w:szCs w:val="32"/>
          <w:highlight w:val="none"/>
        </w:rPr>
        <w:fldChar w:fldCharType="end"/>
      </w:r>
    </w:p>
    <w:p w14:paraId="52249784">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_Toc20360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eastAsia="zh-CN"/>
        </w:rPr>
        <w:t>五、一般公共预算财政拨款支出决算情况说明</w:t>
      </w:r>
      <w:r>
        <w:rPr>
          <w:rFonts w:hint="default" w:ascii="Times New Roman" w:hAnsi="Times New Roman" w:eastAsia="仿宋_GB2312" w:cs="Times New Roman"/>
          <w:color w:val="auto"/>
          <w:sz w:val="32"/>
          <w:szCs w:val="32"/>
          <w:highlight w:val="none"/>
        </w:rPr>
        <w:fldChar w:fldCharType="end"/>
      </w:r>
    </w:p>
    <w:p w14:paraId="1DBEF8B2">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_Toc30870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eastAsia="zh-CN"/>
        </w:rPr>
        <w:t>六、一般公共预算财政拨款基本支出决算情况说明</w:t>
      </w:r>
      <w:r>
        <w:rPr>
          <w:rFonts w:hint="default" w:ascii="Times New Roman" w:hAnsi="Times New Roman" w:eastAsia="仿宋_GB2312" w:cs="Times New Roman"/>
          <w:color w:val="auto"/>
          <w:sz w:val="32"/>
          <w:szCs w:val="32"/>
          <w:highlight w:val="none"/>
        </w:rPr>
        <w:fldChar w:fldCharType="end"/>
      </w:r>
    </w:p>
    <w:p w14:paraId="5D02381A">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_Toc21518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eastAsia="zh-CN"/>
        </w:rPr>
        <w:t>七</w:t>
      </w:r>
      <w:r>
        <w:rPr>
          <w:rFonts w:hint="default" w:ascii="Times New Roman" w:hAnsi="Times New Roman" w:eastAsia="仿宋_GB2312" w:cs="Times New Roman"/>
          <w:bCs/>
          <w:color w:val="auto"/>
          <w:kern w:val="0"/>
          <w:sz w:val="32"/>
          <w:szCs w:val="32"/>
          <w:highlight w:val="none"/>
        </w:rPr>
        <w:t>、</w:t>
      </w:r>
      <w:r>
        <w:rPr>
          <w:rFonts w:hint="default" w:ascii="Times New Roman" w:hAnsi="Times New Roman" w:eastAsia="仿宋_GB2312" w:cs="Times New Roman"/>
          <w:bCs/>
          <w:color w:val="auto"/>
          <w:kern w:val="0"/>
          <w:sz w:val="32"/>
          <w:szCs w:val="32"/>
          <w:highlight w:val="none"/>
          <w:lang w:eastAsia="zh-CN"/>
        </w:rPr>
        <w:t>财政拨款</w:t>
      </w:r>
      <w:r>
        <w:rPr>
          <w:rFonts w:hint="default" w:ascii="Times New Roman" w:hAnsi="Times New Roman" w:eastAsia="仿宋_GB2312" w:cs="Times New Roman"/>
          <w:bCs/>
          <w:color w:val="auto"/>
          <w:kern w:val="0"/>
          <w:sz w:val="32"/>
          <w:szCs w:val="32"/>
          <w:highlight w:val="none"/>
        </w:rPr>
        <w:t>“三公”经费支出</w:t>
      </w:r>
      <w:r>
        <w:rPr>
          <w:rFonts w:hint="default" w:ascii="Times New Roman" w:hAnsi="Times New Roman" w:eastAsia="仿宋_GB2312" w:cs="Times New Roman"/>
          <w:bCs/>
          <w:color w:val="auto"/>
          <w:kern w:val="0"/>
          <w:sz w:val="32"/>
          <w:szCs w:val="32"/>
          <w:highlight w:val="none"/>
          <w:lang w:eastAsia="zh-CN"/>
        </w:rPr>
        <w:t>决算</w:t>
      </w:r>
      <w:r>
        <w:rPr>
          <w:rFonts w:hint="default" w:ascii="Times New Roman" w:hAnsi="Times New Roman" w:eastAsia="仿宋_GB2312" w:cs="Times New Roman"/>
          <w:bCs/>
          <w:color w:val="auto"/>
          <w:kern w:val="0"/>
          <w:sz w:val="32"/>
          <w:szCs w:val="32"/>
          <w:highlight w:val="none"/>
        </w:rPr>
        <w:t>情况</w:t>
      </w:r>
      <w:r>
        <w:rPr>
          <w:rFonts w:hint="default" w:ascii="Times New Roman" w:hAnsi="Times New Roman" w:eastAsia="仿宋_GB2312" w:cs="Times New Roman"/>
          <w:bCs/>
          <w:color w:val="auto"/>
          <w:kern w:val="0"/>
          <w:sz w:val="32"/>
          <w:szCs w:val="32"/>
          <w:highlight w:val="none"/>
          <w:lang w:eastAsia="zh-CN"/>
        </w:rPr>
        <w:t>说明</w:t>
      </w:r>
      <w:r>
        <w:rPr>
          <w:rFonts w:hint="default" w:ascii="Times New Roman" w:hAnsi="Times New Roman" w:eastAsia="仿宋_GB2312" w:cs="Times New Roman"/>
          <w:color w:val="auto"/>
          <w:sz w:val="32"/>
          <w:szCs w:val="32"/>
          <w:highlight w:val="none"/>
        </w:rPr>
        <w:fldChar w:fldCharType="end"/>
      </w:r>
    </w:p>
    <w:p w14:paraId="5818AAEB">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_Toc5810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val="en-US" w:eastAsia="zh-CN"/>
        </w:rPr>
        <w:t>八、</w:t>
      </w:r>
      <w:r>
        <w:rPr>
          <w:rFonts w:hint="default" w:ascii="Times New Roman" w:hAnsi="Times New Roman" w:eastAsia="仿宋_GB2312" w:cs="Times New Roman"/>
          <w:bCs/>
          <w:color w:val="auto"/>
          <w:kern w:val="0"/>
          <w:sz w:val="32"/>
          <w:szCs w:val="32"/>
          <w:highlight w:val="none"/>
          <w:lang w:eastAsia="zh-CN"/>
        </w:rPr>
        <w:t>政府性基金预算财政拨款收入支出决算情况说明</w:t>
      </w:r>
      <w:r>
        <w:rPr>
          <w:rFonts w:hint="default" w:ascii="Times New Roman" w:hAnsi="Times New Roman" w:eastAsia="仿宋_GB2312" w:cs="Times New Roman"/>
          <w:color w:val="auto"/>
          <w:sz w:val="32"/>
          <w:szCs w:val="32"/>
          <w:highlight w:val="none"/>
        </w:rPr>
        <w:fldChar w:fldCharType="end"/>
      </w:r>
    </w:p>
    <w:p w14:paraId="2AFBDD7A">
      <w:pPr>
        <w:rPr>
          <w:rFonts w:hint="default" w:ascii="Times New Roman" w:hAnsi="Times New Roman" w:cs="Times New Roman"/>
          <w:color w:val="auto"/>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_Toc5810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val="en-US" w:eastAsia="zh-CN"/>
        </w:rPr>
        <w:t>九</w:t>
      </w:r>
      <w:r>
        <w:rPr>
          <w:rFonts w:hint="default" w:ascii="Times New Roman" w:hAnsi="Times New Roman" w:eastAsia="仿宋_GB2312" w:cs="Times New Roman"/>
          <w:bCs/>
          <w:color w:val="auto"/>
          <w:kern w:val="0"/>
          <w:sz w:val="32"/>
          <w:szCs w:val="32"/>
          <w:highlight w:val="none"/>
          <w:lang w:eastAsia="zh-CN"/>
        </w:rPr>
        <w:t>、国有资本经营预算财政拨款收入支出决算情况说明</w:t>
      </w:r>
      <w:r>
        <w:rPr>
          <w:rFonts w:hint="default" w:ascii="Times New Roman" w:hAnsi="Times New Roman" w:eastAsia="仿宋_GB2312" w:cs="Times New Roman"/>
          <w:color w:val="auto"/>
          <w:sz w:val="32"/>
          <w:szCs w:val="32"/>
          <w:highlight w:val="none"/>
        </w:rPr>
        <w:fldChar w:fldCharType="end"/>
      </w:r>
    </w:p>
    <w:p w14:paraId="52FC3470">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_Toc1235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lang w:eastAsia="zh-CN"/>
        </w:rPr>
        <w:t>十</w:t>
      </w:r>
      <w:r>
        <w:rPr>
          <w:rFonts w:hint="default" w:ascii="Times New Roman" w:hAnsi="Times New Roman" w:eastAsia="仿宋_GB2312" w:cs="Times New Roman"/>
          <w:bCs/>
          <w:color w:val="auto"/>
          <w:kern w:val="0"/>
          <w:sz w:val="32"/>
          <w:szCs w:val="32"/>
          <w:highlight w:val="none"/>
        </w:rPr>
        <w:t>、其他重要事项的情况</w:t>
      </w:r>
      <w:r>
        <w:rPr>
          <w:rFonts w:hint="default" w:ascii="Times New Roman" w:hAnsi="Times New Roman" w:eastAsia="仿宋_GB2312" w:cs="Times New Roman"/>
          <w:bCs/>
          <w:color w:val="auto"/>
          <w:kern w:val="0"/>
          <w:sz w:val="32"/>
          <w:szCs w:val="32"/>
          <w:highlight w:val="none"/>
          <w:lang w:eastAsia="zh-CN"/>
        </w:rPr>
        <w:t>说明</w:t>
      </w:r>
      <w:r>
        <w:rPr>
          <w:rFonts w:hint="default" w:ascii="Times New Roman" w:hAnsi="Times New Roman" w:eastAsia="仿宋_GB2312" w:cs="Times New Roman"/>
          <w:color w:val="auto"/>
          <w:sz w:val="32"/>
          <w:szCs w:val="32"/>
          <w:highlight w:val="none"/>
        </w:rPr>
        <w:fldChar w:fldCharType="end"/>
      </w:r>
    </w:p>
    <w:p w14:paraId="280CDAC4">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_Toc14519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lang w:eastAsia="zh-CN"/>
        </w:rPr>
        <w:t>（一）</w:t>
      </w:r>
      <w:r>
        <w:rPr>
          <w:rFonts w:hint="default" w:ascii="Times New Roman" w:hAnsi="Times New Roman" w:eastAsia="仿宋_GB2312" w:cs="Times New Roman"/>
          <w:color w:val="auto"/>
          <w:sz w:val="32"/>
          <w:szCs w:val="32"/>
          <w:highlight w:val="none"/>
        </w:rPr>
        <w:t>机关运行经费支出情况</w:t>
      </w:r>
      <w:r>
        <w:rPr>
          <w:rFonts w:hint="default" w:ascii="Times New Roman" w:hAnsi="Times New Roman" w:eastAsia="仿宋_GB2312" w:cs="Times New Roman"/>
          <w:color w:val="auto"/>
          <w:sz w:val="32"/>
          <w:szCs w:val="32"/>
          <w:highlight w:val="none"/>
        </w:rPr>
        <w:fldChar w:fldCharType="end"/>
      </w:r>
    </w:p>
    <w:p w14:paraId="511296A7">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_Toc227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lang w:eastAsia="zh-CN"/>
        </w:rPr>
        <w:t>（二）政府采购情况</w:t>
      </w:r>
      <w:r>
        <w:rPr>
          <w:rFonts w:hint="default" w:ascii="Times New Roman" w:hAnsi="Times New Roman" w:eastAsia="仿宋_GB2312" w:cs="Times New Roman"/>
          <w:color w:val="auto"/>
          <w:sz w:val="32"/>
          <w:szCs w:val="32"/>
          <w:highlight w:val="none"/>
        </w:rPr>
        <w:fldChar w:fldCharType="end"/>
      </w:r>
    </w:p>
    <w:p w14:paraId="0CC7C02D">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_Toc8391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lang w:eastAsia="zh-CN"/>
        </w:rPr>
        <w:t>（三）国有资产占用情况说明</w:t>
      </w:r>
      <w:r>
        <w:rPr>
          <w:rFonts w:hint="default" w:ascii="Times New Roman" w:hAnsi="Times New Roman" w:eastAsia="仿宋_GB2312" w:cs="Times New Roman"/>
          <w:color w:val="auto"/>
          <w:sz w:val="32"/>
          <w:szCs w:val="32"/>
          <w:highlight w:val="none"/>
        </w:rPr>
        <w:fldChar w:fldCharType="end"/>
      </w:r>
    </w:p>
    <w:p w14:paraId="2FDA541D">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_Toc11283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eastAsia="zh-CN"/>
        </w:rPr>
        <w:t>十</w:t>
      </w:r>
      <w:r>
        <w:rPr>
          <w:rFonts w:hint="default" w:ascii="Times New Roman" w:hAnsi="Times New Roman" w:eastAsia="仿宋_GB2312" w:cs="Times New Roman"/>
          <w:bCs/>
          <w:color w:val="auto"/>
          <w:kern w:val="0"/>
          <w:sz w:val="32"/>
          <w:szCs w:val="32"/>
          <w:highlight w:val="none"/>
          <w:lang w:val="en-US" w:eastAsia="zh-CN"/>
        </w:rPr>
        <w:t>一</w:t>
      </w:r>
      <w:r>
        <w:rPr>
          <w:rFonts w:hint="default" w:ascii="Times New Roman" w:hAnsi="Times New Roman" w:eastAsia="仿宋_GB2312" w:cs="Times New Roman"/>
          <w:bCs/>
          <w:color w:val="auto"/>
          <w:kern w:val="0"/>
          <w:sz w:val="32"/>
          <w:szCs w:val="32"/>
          <w:highlight w:val="none"/>
          <w:lang w:eastAsia="zh-CN"/>
        </w:rPr>
        <w:t>、预算绩效的情况说明</w:t>
      </w:r>
      <w:r>
        <w:rPr>
          <w:rFonts w:hint="default" w:ascii="Times New Roman" w:hAnsi="Times New Roman" w:eastAsia="仿宋_GB2312" w:cs="Times New Roman"/>
          <w:color w:val="auto"/>
          <w:sz w:val="32"/>
          <w:szCs w:val="32"/>
          <w:highlight w:val="none"/>
        </w:rPr>
        <w:fldChar w:fldCharType="end"/>
      </w:r>
    </w:p>
    <w:p w14:paraId="3962200C">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十二、其他需说明的事项</w:t>
      </w:r>
    </w:p>
    <w:p w14:paraId="6B9701FA">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fldChar w:fldCharType="begin"/>
      </w:r>
      <w:r>
        <w:rPr>
          <w:rFonts w:hint="default" w:ascii="Times New Roman" w:hAnsi="Times New Roman" w:eastAsia="仿宋_GB2312" w:cs="Times New Roman"/>
          <w:b/>
          <w:bCs/>
          <w:color w:val="auto"/>
          <w:sz w:val="32"/>
          <w:szCs w:val="32"/>
          <w:highlight w:val="none"/>
        </w:rPr>
        <w:instrText xml:space="preserve"> HYPERLINK \l _Toc3250 </w:instrText>
      </w:r>
      <w:r>
        <w:rPr>
          <w:rFonts w:hint="default" w:ascii="Times New Roman" w:hAnsi="Times New Roman" w:eastAsia="仿宋_GB2312" w:cs="Times New Roman"/>
          <w:b/>
          <w:bCs/>
          <w:color w:val="auto"/>
          <w:sz w:val="32"/>
          <w:szCs w:val="32"/>
          <w:highlight w:val="none"/>
        </w:rPr>
        <w:fldChar w:fldCharType="separate"/>
      </w:r>
      <w:r>
        <w:rPr>
          <w:rFonts w:hint="default" w:ascii="Times New Roman" w:hAnsi="Times New Roman" w:eastAsia="仿宋_GB2312" w:cs="Times New Roman"/>
          <w:b/>
          <w:bCs/>
          <w:color w:val="auto"/>
          <w:sz w:val="32"/>
          <w:szCs w:val="32"/>
          <w:highlight w:val="none"/>
        </w:rPr>
        <w:t>第三部分 专业名词解释</w:t>
      </w:r>
      <w:r>
        <w:rPr>
          <w:rFonts w:hint="default" w:ascii="Times New Roman" w:hAnsi="Times New Roman" w:eastAsia="仿宋_GB2312" w:cs="Times New Roman"/>
          <w:b/>
          <w:bCs/>
          <w:color w:val="auto"/>
          <w:sz w:val="32"/>
          <w:szCs w:val="32"/>
          <w:highlight w:val="none"/>
        </w:rPr>
        <w:fldChar w:fldCharType="end"/>
      </w:r>
    </w:p>
    <w:p w14:paraId="5F43284C">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fldChar w:fldCharType="begin"/>
      </w:r>
      <w:r>
        <w:rPr>
          <w:rFonts w:hint="default" w:ascii="Times New Roman" w:hAnsi="Times New Roman" w:eastAsia="仿宋_GB2312" w:cs="Times New Roman"/>
          <w:b/>
          <w:bCs/>
          <w:color w:val="auto"/>
          <w:sz w:val="32"/>
          <w:szCs w:val="32"/>
          <w:highlight w:val="none"/>
        </w:rPr>
        <w:instrText xml:space="preserve"> HYPERLINK \l _Toc22784 </w:instrText>
      </w:r>
      <w:r>
        <w:rPr>
          <w:rFonts w:hint="default" w:ascii="Times New Roman" w:hAnsi="Times New Roman" w:eastAsia="仿宋_GB2312" w:cs="Times New Roman"/>
          <w:b/>
          <w:bCs/>
          <w:color w:val="auto"/>
          <w:sz w:val="32"/>
          <w:szCs w:val="32"/>
          <w:highlight w:val="none"/>
        </w:rPr>
        <w:fldChar w:fldCharType="separate"/>
      </w:r>
      <w:r>
        <w:rPr>
          <w:rFonts w:hint="default" w:ascii="Times New Roman" w:hAnsi="Times New Roman" w:eastAsia="仿宋_GB2312" w:cs="Times New Roman"/>
          <w:b/>
          <w:bCs/>
          <w:color w:val="auto"/>
          <w:sz w:val="32"/>
          <w:szCs w:val="32"/>
          <w:highlight w:val="none"/>
        </w:rPr>
        <w:t>第四部分 部门决算报表（见附表）</w:t>
      </w:r>
      <w:r>
        <w:rPr>
          <w:rFonts w:hint="default" w:ascii="Times New Roman" w:hAnsi="Times New Roman" w:eastAsia="仿宋_GB2312" w:cs="Times New Roman"/>
          <w:b/>
          <w:bCs/>
          <w:color w:val="auto"/>
          <w:sz w:val="32"/>
          <w:szCs w:val="32"/>
          <w:highlight w:val="none"/>
        </w:rPr>
        <w:fldChar w:fldCharType="end"/>
      </w:r>
    </w:p>
    <w:p w14:paraId="7A91EC5F">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_Toc2183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一、《收入支出决算总表》</w:t>
      </w:r>
      <w:r>
        <w:rPr>
          <w:rFonts w:hint="default" w:ascii="Times New Roman" w:hAnsi="Times New Roman" w:eastAsia="仿宋_GB2312" w:cs="Times New Roman"/>
          <w:color w:val="auto"/>
          <w:sz w:val="32"/>
          <w:szCs w:val="32"/>
          <w:highlight w:val="none"/>
        </w:rPr>
        <w:fldChar w:fldCharType="end"/>
      </w:r>
    </w:p>
    <w:p w14:paraId="222101BD">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_Toc24532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二、《收入决算表》</w:t>
      </w:r>
      <w:r>
        <w:rPr>
          <w:rFonts w:hint="default" w:ascii="Times New Roman" w:hAnsi="Times New Roman" w:eastAsia="仿宋_GB2312" w:cs="Times New Roman"/>
          <w:color w:val="auto"/>
          <w:sz w:val="32"/>
          <w:szCs w:val="32"/>
          <w:highlight w:val="none"/>
        </w:rPr>
        <w:fldChar w:fldCharType="end"/>
      </w:r>
    </w:p>
    <w:p w14:paraId="6E6F4AD6">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_Toc32434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三、《支出决算表》</w:t>
      </w:r>
      <w:r>
        <w:rPr>
          <w:rFonts w:hint="default" w:ascii="Times New Roman" w:hAnsi="Times New Roman" w:eastAsia="仿宋_GB2312" w:cs="Times New Roman"/>
          <w:color w:val="auto"/>
          <w:sz w:val="32"/>
          <w:szCs w:val="32"/>
          <w:highlight w:val="none"/>
        </w:rPr>
        <w:fldChar w:fldCharType="end"/>
      </w:r>
    </w:p>
    <w:p w14:paraId="21311A72">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_Toc28786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四、《财政拨款收入支出决算总表》</w:t>
      </w:r>
      <w:r>
        <w:rPr>
          <w:rFonts w:hint="default" w:ascii="Times New Roman" w:hAnsi="Times New Roman" w:eastAsia="仿宋_GB2312" w:cs="Times New Roman"/>
          <w:color w:val="auto"/>
          <w:sz w:val="32"/>
          <w:szCs w:val="32"/>
          <w:highlight w:val="none"/>
        </w:rPr>
        <w:fldChar w:fldCharType="end"/>
      </w:r>
    </w:p>
    <w:p w14:paraId="16730C65">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_Toc14869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五、《一般公共预算财政拨款支出决算表》</w:t>
      </w:r>
      <w:r>
        <w:rPr>
          <w:rFonts w:hint="default" w:ascii="Times New Roman" w:hAnsi="Times New Roman" w:eastAsia="仿宋_GB2312" w:cs="Times New Roman"/>
          <w:color w:val="auto"/>
          <w:sz w:val="32"/>
          <w:szCs w:val="32"/>
          <w:highlight w:val="none"/>
        </w:rPr>
        <w:fldChar w:fldCharType="end"/>
      </w:r>
    </w:p>
    <w:p w14:paraId="07B18E23">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_Toc8884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六、《一般公共预算财政拨款基本支出决算表》</w:t>
      </w:r>
      <w:r>
        <w:rPr>
          <w:rFonts w:hint="default" w:ascii="Times New Roman" w:hAnsi="Times New Roman" w:eastAsia="仿宋_GB2312" w:cs="Times New Roman"/>
          <w:color w:val="auto"/>
          <w:sz w:val="32"/>
          <w:szCs w:val="32"/>
          <w:highlight w:val="none"/>
        </w:rPr>
        <w:fldChar w:fldCharType="end"/>
      </w:r>
    </w:p>
    <w:p w14:paraId="570C3017">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_Toc29106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七、《财政拨款“三公”经费支出决算表》</w:t>
      </w:r>
      <w:r>
        <w:rPr>
          <w:rFonts w:hint="default" w:ascii="Times New Roman" w:hAnsi="Times New Roman" w:eastAsia="仿宋_GB2312" w:cs="Times New Roman"/>
          <w:color w:val="auto"/>
          <w:sz w:val="32"/>
          <w:szCs w:val="32"/>
          <w:highlight w:val="none"/>
        </w:rPr>
        <w:fldChar w:fldCharType="end"/>
      </w:r>
    </w:p>
    <w:p w14:paraId="3AEBFFC9">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bCs/>
          <w:color w:val="auto"/>
          <w:kern w:val="0"/>
          <w:sz w:val="32"/>
          <w:szCs w:val="32"/>
          <w:highlight w:val="none"/>
        </w:rPr>
      </w:pPr>
      <w:r>
        <w:rPr>
          <w:rFonts w:hint="default" w:ascii="Times New Roman" w:hAnsi="Times New Roman" w:eastAsia="仿宋_GB2312" w:cs="Times New Roman"/>
          <w:bCs/>
          <w:color w:val="auto"/>
          <w:kern w:val="0"/>
          <w:sz w:val="32"/>
          <w:szCs w:val="32"/>
          <w:highlight w:val="none"/>
        </w:rPr>
        <w:fldChar w:fldCharType="begin"/>
      </w:r>
      <w:r>
        <w:rPr>
          <w:rFonts w:hint="default" w:ascii="Times New Roman" w:hAnsi="Times New Roman" w:eastAsia="仿宋_GB2312" w:cs="Times New Roman"/>
          <w:bCs/>
          <w:color w:val="auto"/>
          <w:kern w:val="0"/>
          <w:sz w:val="32"/>
          <w:szCs w:val="32"/>
          <w:highlight w:val="none"/>
        </w:rPr>
        <w:instrText xml:space="preserve"> HYPERLINK \l _Toc7643 </w:instrText>
      </w:r>
      <w:r>
        <w:rPr>
          <w:rFonts w:hint="default" w:ascii="Times New Roman" w:hAnsi="Times New Roman" w:eastAsia="仿宋_GB2312" w:cs="Times New Roman"/>
          <w:bCs/>
          <w:color w:val="auto"/>
          <w:kern w:val="0"/>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val="en-US" w:eastAsia="zh-CN"/>
        </w:rPr>
        <w:t>八、</w:t>
      </w:r>
      <w:r>
        <w:rPr>
          <w:rFonts w:hint="default" w:ascii="Times New Roman" w:hAnsi="Times New Roman" w:eastAsia="仿宋_GB2312" w:cs="Times New Roman"/>
          <w:bCs/>
          <w:color w:val="auto"/>
          <w:kern w:val="0"/>
          <w:sz w:val="32"/>
          <w:szCs w:val="32"/>
          <w:highlight w:val="none"/>
        </w:rPr>
        <w:t>《政府性基金预算财政拨款收入支出决算表》</w:t>
      </w:r>
      <w:r>
        <w:rPr>
          <w:rFonts w:hint="default" w:ascii="Times New Roman" w:hAnsi="Times New Roman" w:eastAsia="仿宋_GB2312" w:cs="Times New Roman"/>
          <w:bCs/>
          <w:color w:val="auto"/>
          <w:kern w:val="0"/>
          <w:sz w:val="32"/>
          <w:szCs w:val="32"/>
          <w:highlight w:val="none"/>
        </w:rPr>
        <w:fldChar w:fldCharType="end"/>
      </w:r>
    </w:p>
    <w:p w14:paraId="75BF081D">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bCs/>
          <w:color w:val="auto"/>
          <w:kern w:val="0"/>
          <w:sz w:val="32"/>
          <w:szCs w:val="32"/>
          <w:highlight w:val="none"/>
          <w:lang w:eastAsia="zh-CN"/>
        </w:rPr>
      </w:pPr>
      <w:r>
        <w:rPr>
          <w:rFonts w:hint="default" w:ascii="Times New Roman" w:hAnsi="Times New Roman" w:eastAsia="仿宋_GB2312" w:cs="Times New Roman"/>
          <w:bCs/>
          <w:color w:val="auto"/>
          <w:kern w:val="0"/>
          <w:sz w:val="32"/>
          <w:szCs w:val="32"/>
          <w:highlight w:val="none"/>
          <w:lang w:val="en-US" w:eastAsia="zh-CN"/>
        </w:rPr>
        <w:t>九</w:t>
      </w:r>
      <w:r>
        <w:rPr>
          <w:rFonts w:hint="default" w:ascii="Times New Roman" w:hAnsi="Times New Roman" w:eastAsia="仿宋_GB2312" w:cs="Times New Roman"/>
          <w:bCs/>
          <w:color w:val="auto"/>
          <w:kern w:val="0"/>
          <w:sz w:val="32"/>
          <w:szCs w:val="32"/>
          <w:highlight w:val="none"/>
          <w:lang w:eastAsia="zh-CN"/>
        </w:rPr>
        <w:t>、《国有资本经营</w:t>
      </w:r>
      <w:r>
        <w:rPr>
          <w:rFonts w:hint="default" w:ascii="Times New Roman" w:hAnsi="Times New Roman" w:eastAsia="仿宋_GB2312" w:cs="Times New Roman"/>
          <w:bCs/>
          <w:color w:val="auto"/>
          <w:kern w:val="0"/>
          <w:sz w:val="32"/>
          <w:szCs w:val="32"/>
          <w:highlight w:val="none"/>
        </w:rPr>
        <w:t>预算财政拨款收入支出决算表</w:t>
      </w:r>
      <w:r>
        <w:rPr>
          <w:rFonts w:hint="default" w:ascii="Times New Roman" w:hAnsi="Times New Roman" w:eastAsia="仿宋_GB2312" w:cs="Times New Roman"/>
          <w:bCs/>
          <w:color w:val="auto"/>
          <w:kern w:val="0"/>
          <w:sz w:val="32"/>
          <w:szCs w:val="32"/>
          <w:highlight w:val="none"/>
          <w:lang w:eastAsia="zh-CN"/>
        </w:rPr>
        <w:t>》</w:t>
      </w:r>
    </w:p>
    <w:p w14:paraId="69B637D9">
      <w:pPr>
        <w:keepNext w:val="0"/>
        <w:keepLines w:val="0"/>
        <w:pageBreakBefore w:val="0"/>
        <w:widowControl w:val="0"/>
        <w:kinsoku/>
        <w:wordWrap/>
        <w:overflowPunct/>
        <w:topLinePunct w:val="0"/>
        <w:autoSpaceDE/>
        <w:autoSpaceDN/>
        <w:bidi w:val="0"/>
        <w:adjustRightInd/>
        <w:snapToGrid/>
        <w:ind w:left="0" w:leftChars="0"/>
        <w:jc w:val="both"/>
        <w:textAlignment w:val="auto"/>
        <w:rPr>
          <w:rFonts w:hint="default" w:ascii="Times New Roman" w:hAnsi="Times New Roman" w:cs="Times New Roman"/>
          <w:color w:val="auto"/>
          <w:highlight w:val="none"/>
        </w:rPr>
      </w:pPr>
      <w:r>
        <w:rPr>
          <w:rFonts w:hint="default" w:ascii="Times New Roman" w:hAnsi="Times New Roman" w:eastAsia="仿宋_GB2312" w:cs="Times New Roman"/>
          <w:color w:val="auto"/>
          <w:sz w:val="32"/>
          <w:szCs w:val="32"/>
          <w:highlight w:val="none"/>
        </w:rPr>
        <w:fldChar w:fldCharType="end"/>
      </w:r>
    </w:p>
    <w:p w14:paraId="231690DC">
      <w:pP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br w:type="page"/>
      </w:r>
    </w:p>
    <w:p w14:paraId="0AAFCF9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bookmarkStart w:id="0" w:name="_Toc24028"/>
      <w:bookmarkStart w:id="1" w:name="_Toc32314"/>
      <w:r>
        <w:rPr>
          <w:rFonts w:hint="default" w:ascii="Times New Roman" w:hAnsi="Times New Roman" w:eastAsia="黑体" w:cs="Times New Roman"/>
          <w:color w:val="auto"/>
          <w:sz w:val="32"/>
          <w:szCs w:val="32"/>
          <w:highlight w:val="none"/>
        </w:rPr>
        <w:t xml:space="preserve">第一部分 </w:t>
      </w:r>
      <w:r>
        <w:rPr>
          <w:rFonts w:hint="default" w:ascii="Times New Roman" w:hAnsi="Times New Roman" w:eastAsia="黑体" w:cs="Times New Roman"/>
          <w:color w:val="auto"/>
          <w:sz w:val="32"/>
          <w:szCs w:val="32"/>
          <w:highlight w:val="none"/>
          <w:lang w:eastAsia="zh-CN"/>
        </w:rPr>
        <w:t>单位</w:t>
      </w:r>
      <w:r>
        <w:rPr>
          <w:rFonts w:hint="default" w:ascii="Times New Roman" w:hAnsi="Times New Roman" w:eastAsia="黑体" w:cs="Times New Roman"/>
          <w:color w:val="auto"/>
          <w:sz w:val="32"/>
          <w:szCs w:val="32"/>
          <w:highlight w:val="none"/>
        </w:rPr>
        <w:t>概况</w:t>
      </w:r>
      <w:bookmarkEnd w:id="0"/>
      <w:bookmarkEnd w:id="1"/>
    </w:p>
    <w:p w14:paraId="5487093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黑体" w:cs="Times New Roman"/>
          <w:bCs/>
          <w:color w:val="auto"/>
          <w:kern w:val="0"/>
          <w:sz w:val="32"/>
          <w:szCs w:val="32"/>
          <w:highlight w:val="none"/>
        </w:rPr>
      </w:pPr>
      <w:bookmarkStart w:id="2" w:name="_Toc30738"/>
      <w:bookmarkStart w:id="3" w:name="_Toc30567"/>
      <w:r>
        <w:rPr>
          <w:rFonts w:hint="default" w:ascii="Times New Roman" w:hAnsi="Times New Roman" w:eastAsia="黑体" w:cs="Times New Roman"/>
          <w:bCs/>
          <w:color w:val="auto"/>
          <w:kern w:val="0"/>
          <w:sz w:val="32"/>
          <w:szCs w:val="32"/>
          <w:highlight w:val="none"/>
        </w:rPr>
        <w:t>一、主要职能</w:t>
      </w:r>
      <w:bookmarkEnd w:id="2"/>
      <w:bookmarkEnd w:id="3"/>
    </w:p>
    <w:p w14:paraId="4F41758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color w:val="auto"/>
          <w:sz w:val="32"/>
          <w:szCs w:val="32"/>
          <w:highlight w:val="none"/>
        </w:rPr>
      </w:pPr>
      <w:bookmarkStart w:id="4" w:name="_Toc31238"/>
      <w:bookmarkStart w:id="5" w:name="_Toc2151"/>
      <w:r>
        <w:rPr>
          <w:rFonts w:hint="default" w:ascii="Times New Roman" w:hAnsi="Times New Roman" w:eastAsia="仿宋_GB2312" w:cs="Times New Roman"/>
          <w:color w:val="auto"/>
          <w:sz w:val="32"/>
          <w:szCs w:val="32"/>
          <w:highlight w:val="none"/>
        </w:rPr>
        <w:t>自治区机构编制委员会在“关于新疆维吾尔自治区塔里木河流域阿克苏管理局主要职责机构设置和人员编制方案的批复”(新塔组人〔2014〕41号）和“关于印发（新疆维吾尔自治区塔里木河流域管理局分类改革方案）的通知”（新事改办〔2014〕71号）中，授予阿克苏管理局的主要职责任务是：</w:t>
      </w:r>
    </w:p>
    <w:p w14:paraId="3452618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（1）贯彻落实《中华人民共和国水</w:t>
      </w:r>
      <w:r>
        <w:rPr>
          <w:rFonts w:hint="eastAsia" w:eastAsia="仿宋_GB2312" w:cs="Times New Roman"/>
          <w:color w:val="auto"/>
          <w:sz w:val="32"/>
          <w:szCs w:val="32"/>
          <w:highlight w:val="none"/>
          <w:lang w:val="en-US" w:eastAsia="zh-CN"/>
        </w:rPr>
        <w:t>法</w:t>
      </w:r>
      <w:bookmarkStart w:id="48" w:name="_GoBack"/>
      <w:bookmarkEnd w:id="48"/>
      <w:r>
        <w:rPr>
          <w:rFonts w:hint="default" w:ascii="Times New Roman" w:hAnsi="Times New Roman" w:eastAsia="仿宋_GB2312" w:cs="Times New Roman"/>
          <w:color w:val="auto"/>
          <w:sz w:val="32"/>
          <w:szCs w:val="32"/>
          <w:highlight w:val="none"/>
        </w:rPr>
        <w:t>》法律、法规；负责管辖范围内的水行政执法、水政监察和水事纠纷调处工作。</w:t>
      </w:r>
    </w:p>
    <w:p w14:paraId="537FEF2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组织编制流域综合规划和专业规划并监督实施，在授权范围内，组织开展水利项目的前期工作；负责水工建设项目规划同意书和水资源论证报告审查、水利项目初步技术审查；提出管辖范围内水利建设项目年度投资建设计划并组织实施。</w:t>
      </w:r>
    </w:p>
    <w:p w14:paraId="0127E36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负责流域水资源统一管理，统筹协调流域用水，实施取用水总量控制，组织编制流域水量分配方案，年度水量调度计划以及旱情紧急情况下水量调度预案并组织实施；指导流域水能资源开发，按照电调服从水调的原则，负责管辖范围内水库及电站水量统一调度；负责组织实施向塔里木河流域下游生态输水；在管辖范围内依法组织实施取水许可证、水资源有偿使用等制度。</w:t>
      </w:r>
    </w:p>
    <w:p w14:paraId="756E18F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4）负责流域水资源保护工作，根据授权，开展流域水功能区划工作、组织编制管辖范围的水功能区划，核定水域纳污能力，提出限制排污总量意见；负责入河排污口设置的审查许可；依法在管辖范围内开展水土保持监督管理；指导流域节约用水工作。</w:t>
      </w:r>
    </w:p>
    <w:p w14:paraId="7482605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（5）负责管辖范围内的河道管理，承担河道管理范围内采砂管理和涉河建设项目的审查及监督工作；负责直管水利工程的建设与运行管理。</w:t>
      </w:r>
    </w:p>
    <w:p w14:paraId="72B3A18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（6）组织编制流域防洪方案，在自治区防汛抗旱总指挥部的统一领导下，开展防汛抗旱协调、调度和监督管理等工作；参与协调水利突发时间应急工作。</w:t>
      </w:r>
    </w:p>
    <w:p w14:paraId="066DCB3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（7）研究提出直管工程的水价以及其他有关收费项目的立项、调整建议方案，负责直管水利项目资金的使用、管理和监督。</w:t>
      </w:r>
    </w:p>
    <w:p w14:paraId="0D097AA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（8）负责开展流域水利科技、统计和信息化建设工作。</w:t>
      </w:r>
    </w:p>
    <w:p w14:paraId="54792B9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（9）承担塔里木河流域水利委员会，执行委员会和自治区水行政主管部门交办的其他工作。</w:t>
      </w:r>
    </w:p>
    <w:p w14:paraId="7544A63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黑体" w:cs="Times New Roman"/>
          <w:bCs/>
          <w:color w:val="auto"/>
          <w:kern w:val="0"/>
          <w:sz w:val="32"/>
          <w:szCs w:val="32"/>
          <w:highlight w:val="none"/>
        </w:rPr>
      </w:pPr>
      <w:r>
        <w:rPr>
          <w:rFonts w:hint="default" w:ascii="Times New Roman" w:hAnsi="Times New Roman" w:eastAsia="黑体" w:cs="Times New Roman"/>
          <w:bCs/>
          <w:color w:val="auto"/>
          <w:kern w:val="0"/>
          <w:sz w:val="32"/>
          <w:szCs w:val="32"/>
          <w:highlight w:val="none"/>
        </w:rPr>
        <w:t>二、机构设置</w:t>
      </w:r>
      <w:r>
        <w:rPr>
          <w:rFonts w:hint="default" w:ascii="Times New Roman" w:hAnsi="Times New Roman" w:eastAsia="黑体" w:cs="Times New Roman"/>
          <w:bCs/>
          <w:color w:val="auto"/>
          <w:kern w:val="0"/>
          <w:sz w:val="32"/>
          <w:szCs w:val="32"/>
          <w:highlight w:val="none"/>
          <w:lang w:eastAsia="zh-CN"/>
        </w:rPr>
        <w:t>及</w:t>
      </w:r>
      <w:bookmarkEnd w:id="4"/>
      <w:r>
        <w:rPr>
          <w:rFonts w:hint="default" w:ascii="Times New Roman" w:hAnsi="Times New Roman" w:eastAsia="黑体" w:cs="Times New Roman"/>
          <w:bCs/>
          <w:color w:val="auto"/>
          <w:kern w:val="0"/>
          <w:sz w:val="32"/>
          <w:szCs w:val="32"/>
          <w:highlight w:val="none"/>
          <w:lang w:eastAsia="zh-CN"/>
        </w:rPr>
        <w:t>人员</w:t>
      </w:r>
      <w:r>
        <w:rPr>
          <w:rFonts w:hint="default" w:ascii="Times New Roman" w:hAnsi="Times New Roman" w:eastAsia="黑体" w:cs="Times New Roman"/>
          <w:bCs/>
          <w:color w:val="auto"/>
          <w:kern w:val="0"/>
          <w:sz w:val="32"/>
          <w:szCs w:val="32"/>
          <w:highlight w:val="none"/>
        </w:rPr>
        <w:t>情况</w:t>
      </w:r>
      <w:bookmarkEnd w:id="5"/>
    </w:p>
    <w:p w14:paraId="3D7FD18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新疆维吾尔自治区塔里木河流域阿克苏管理局</w:t>
      </w:r>
      <w:r>
        <w:rPr>
          <w:rFonts w:hint="default" w:ascii="Times New Roman" w:hAnsi="Times New Roman" w:eastAsia="仿宋_GB2312" w:cs="Times New Roman"/>
          <w:color w:val="auto"/>
          <w:sz w:val="32"/>
          <w:szCs w:val="32"/>
          <w:highlight w:val="none"/>
          <w:lang w:eastAsia="zh-CN"/>
        </w:rPr>
        <w:t>2023年度，</w:t>
      </w:r>
      <w:r>
        <w:rPr>
          <w:rFonts w:hint="default" w:ascii="Times New Roman" w:hAnsi="Times New Roman" w:eastAsia="仿宋_GB2312" w:cs="Times New Roman"/>
          <w:color w:val="auto"/>
          <w:sz w:val="32"/>
          <w:szCs w:val="32"/>
          <w:highlight w:val="none"/>
        </w:rPr>
        <w:t>实有人数</w:t>
      </w:r>
      <w:r>
        <w:rPr>
          <w:rFonts w:hint="default" w:ascii="Times New Roman" w:hAnsi="Times New Roman" w:eastAsia="仿宋_GB2312" w:cs="Times New Roman"/>
          <w:color w:val="auto"/>
          <w:sz w:val="32"/>
          <w:szCs w:val="32"/>
          <w:highlight w:val="none"/>
          <w:lang w:val="en-US" w:eastAsia="zh-CN"/>
        </w:rPr>
        <w:t>322</w:t>
      </w:r>
      <w:r>
        <w:rPr>
          <w:rFonts w:hint="default" w:ascii="Times New Roman" w:hAnsi="Times New Roman" w:eastAsia="仿宋_GB2312" w:cs="Times New Roman"/>
          <w:color w:val="auto"/>
          <w:sz w:val="32"/>
          <w:szCs w:val="32"/>
          <w:highlight w:val="none"/>
        </w:rPr>
        <w:t>人，其中：在职人员</w:t>
      </w:r>
      <w:r>
        <w:rPr>
          <w:rFonts w:hint="default" w:ascii="Times New Roman" w:hAnsi="Times New Roman" w:eastAsia="仿宋_GB2312" w:cs="Times New Roman"/>
          <w:color w:val="auto"/>
          <w:sz w:val="32"/>
          <w:szCs w:val="32"/>
          <w:highlight w:val="none"/>
          <w:lang w:val="zh-CN" w:eastAsia="zh-CN"/>
        </w:rPr>
        <w:t>191</w:t>
      </w:r>
      <w:r>
        <w:rPr>
          <w:rFonts w:hint="default" w:ascii="Times New Roman" w:hAnsi="Times New Roman" w:eastAsia="仿宋_GB2312" w:cs="Times New Roman"/>
          <w:color w:val="auto"/>
          <w:sz w:val="32"/>
          <w:szCs w:val="32"/>
          <w:highlight w:val="none"/>
        </w:rPr>
        <w:t>人</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离休人员</w:t>
      </w:r>
      <w:r>
        <w:rPr>
          <w:rFonts w:hint="default" w:ascii="Times New Roman" w:hAnsi="Times New Roman" w:eastAsia="仿宋_GB2312" w:cs="Times New Roman"/>
          <w:color w:val="auto"/>
          <w:sz w:val="32"/>
          <w:szCs w:val="32"/>
          <w:highlight w:val="none"/>
          <w:lang w:val="zh-CN" w:eastAsia="zh-CN"/>
        </w:rPr>
        <w:t>0</w:t>
      </w:r>
      <w:r>
        <w:rPr>
          <w:rFonts w:hint="default" w:ascii="Times New Roman" w:hAnsi="Times New Roman" w:eastAsia="仿宋_GB2312" w:cs="Times New Roman"/>
          <w:color w:val="auto"/>
          <w:sz w:val="32"/>
          <w:szCs w:val="32"/>
          <w:highlight w:val="none"/>
        </w:rPr>
        <w:t>人，退休人员</w:t>
      </w:r>
      <w:r>
        <w:rPr>
          <w:rFonts w:hint="default" w:ascii="Times New Roman" w:hAnsi="Times New Roman" w:eastAsia="仿宋_GB2312" w:cs="Times New Roman"/>
          <w:color w:val="auto"/>
          <w:sz w:val="32"/>
          <w:szCs w:val="32"/>
          <w:highlight w:val="none"/>
          <w:lang w:val="en-US" w:eastAsia="zh-CN"/>
        </w:rPr>
        <w:t>131</w:t>
      </w:r>
      <w:r>
        <w:rPr>
          <w:rFonts w:hint="default" w:ascii="Times New Roman" w:hAnsi="Times New Roman" w:eastAsia="仿宋_GB2312" w:cs="Times New Roman"/>
          <w:color w:val="auto"/>
          <w:sz w:val="32"/>
          <w:szCs w:val="32"/>
          <w:highlight w:val="none"/>
        </w:rPr>
        <w:t>人。</w:t>
      </w:r>
    </w:p>
    <w:p w14:paraId="4AFDDF1C">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Times New Roman" w:hAnsi="Times New Roman" w:eastAsia="仿宋_GB2312" w:cs="Times New Roman"/>
          <w:color w:val="FF0000"/>
          <w:kern w:val="0"/>
          <w:sz w:val="32"/>
          <w:szCs w:val="32"/>
          <w:highlight w:val="none"/>
          <w:lang w:eastAsia="zh-CN"/>
        </w:rPr>
        <w:sectPr>
          <w:footerReference r:id="rId3" w:type="default"/>
          <w:pgSz w:w="11906" w:h="16838"/>
          <w:pgMar w:top="1440" w:right="1800" w:bottom="1440" w:left="1800" w:header="851" w:footer="992" w:gutter="0"/>
          <w:cols w:space="720" w:num="1"/>
          <w:docGrid w:type="lines" w:linePitch="312" w:charSpace="0"/>
        </w:sectPr>
      </w:pPr>
      <w:r>
        <w:rPr>
          <w:rFonts w:hint="default" w:ascii="Times New Roman" w:hAnsi="Times New Roman" w:eastAsia="仿宋_GB2312" w:cs="Times New Roman"/>
          <w:bCs/>
          <w:color w:val="auto"/>
          <w:kern w:val="0"/>
          <w:sz w:val="32"/>
          <w:szCs w:val="32"/>
          <w:highlight w:val="none"/>
        </w:rPr>
        <w:t>单位无下属预算单位</w:t>
      </w:r>
      <w:r>
        <w:rPr>
          <w:rFonts w:hint="eastAsia" w:eastAsia="仿宋_GB2312" w:cs="Times New Roman"/>
          <w:bCs/>
          <w:color w:val="auto"/>
          <w:kern w:val="0"/>
          <w:sz w:val="32"/>
          <w:szCs w:val="32"/>
          <w:highlight w:val="none"/>
          <w:lang w:eastAsia="zh-CN"/>
        </w:rPr>
        <w:t>，</w:t>
      </w:r>
      <w:r>
        <w:rPr>
          <w:rFonts w:hint="default" w:ascii="Times New Roman" w:hAnsi="Times New Roman" w:eastAsia="仿宋_GB2312" w:cs="Times New Roman"/>
          <w:bCs/>
          <w:color w:val="auto"/>
          <w:kern w:val="0"/>
          <w:sz w:val="32"/>
          <w:szCs w:val="32"/>
          <w:highlight w:val="none"/>
        </w:rPr>
        <w:t>下设</w:t>
      </w:r>
      <w:r>
        <w:rPr>
          <w:rFonts w:hint="eastAsia" w:eastAsia="仿宋_GB2312" w:cs="Times New Roman"/>
          <w:bCs/>
          <w:color w:val="auto"/>
          <w:kern w:val="0"/>
          <w:sz w:val="32"/>
          <w:szCs w:val="32"/>
          <w:highlight w:val="none"/>
          <w:lang w:val="en-US" w:eastAsia="zh-CN"/>
        </w:rPr>
        <w:t>11</w:t>
      </w:r>
      <w:r>
        <w:rPr>
          <w:rFonts w:hint="default" w:ascii="Times New Roman" w:hAnsi="Times New Roman" w:eastAsia="仿宋_GB2312" w:cs="Times New Roman"/>
          <w:bCs/>
          <w:color w:val="auto"/>
          <w:kern w:val="0"/>
          <w:sz w:val="32"/>
          <w:szCs w:val="32"/>
          <w:highlight w:val="none"/>
        </w:rPr>
        <w:t>个处</w:t>
      </w:r>
      <w:r>
        <w:rPr>
          <w:rFonts w:hint="eastAsia" w:eastAsia="仿宋_GB2312" w:cs="Times New Roman"/>
          <w:bCs/>
          <w:color w:val="auto"/>
          <w:kern w:val="0"/>
          <w:sz w:val="32"/>
          <w:szCs w:val="32"/>
          <w:highlight w:val="none"/>
          <w:lang w:eastAsia="zh-CN"/>
        </w:rPr>
        <w:t>（</w:t>
      </w:r>
      <w:r>
        <w:rPr>
          <w:rFonts w:hint="eastAsia" w:eastAsia="仿宋_GB2312" w:cs="Times New Roman"/>
          <w:bCs/>
          <w:color w:val="auto"/>
          <w:kern w:val="0"/>
          <w:sz w:val="32"/>
          <w:szCs w:val="32"/>
          <w:highlight w:val="none"/>
          <w:lang w:val="en-US" w:eastAsia="zh-CN"/>
        </w:rPr>
        <w:t>科</w:t>
      </w:r>
      <w:r>
        <w:rPr>
          <w:rFonts w:hint="eastAsia" w:eastAsia="仿宋_GB2312" w:cs="Times New Roman"/>
          <w:bCs/>
          <w:color w:val="auto"/>
          <w:kern w:val="0"/>
          <w:sz w:val="32"/>
          <w:szCs w:val="32"/>
          <w:highlight w:val="none"/>
          <w:lang w:eastAsia="zh-CN"/>
        </w:rPr>
        <w:t>）</w:t>
      </w:r>
      <w:r>
        <w:rPr>
          <w:rFonts w:hint="eastAsia" w:eastAsia="仿宋_GB2312" w:cs="Times New Roman"/>
          <w:bCs/>
          <w:color w:val="auto"/>
          <w:kern w:val="0"/>
          <w:sz w:val="32"/>
          <w:szCs w:val="32"/>
          <w:highlight w:val="none"/>
          <w:lang w:val="en-US" w:eastAsia="zh-CN"/>
        </w:rPr>
        <w:t>室</w:t>
      </w:r>
      <w:r>
        <w:rPr>
          <w:rFonts w:hint="default" w:ascii="Times New Roman" w:hAnsi="Times New Roman" w:eastAsia="仿宋_GB2312" w:cs="Times New Roman"/>
          <w:bCs/>
          <w:color w:val="auto"/>
          <w:kern w:val="0"/>
          <w:sz w:val="32"/>
          <w:szCs w:val="32"/>
          <w:highlight w:val="none"/>
        </w:rPr>
        <w:t>，分别是：库玛拉克河和托什干河管理处、阿克苏河管理处</w:t>
      </w:r>
      <w:r>
        <w:rPr>
          <w:rFonts w:hint="eastAsia" w:eastAsia="仿宋_GB2312" w:cs="Times New Roman"/>
          <w:bCs/>
          <w:color w:val="auto"/>
          <w:kern w:val="0"/>
          <w:sz w:val="32"/>
          <w:szCs w:val="32"/>
          <w:highlight w:val="none"/>
          <w:lang w:eastAsia="zh-CN"/>
        </w:rPr>
        <w:t>、</w:t>
      </w:r>
      <w:r>
        <w:rPr>
          <w:rFonts w:hint="default" w:ascii="Times New Roman" w:hAnsi="Times New Roman" w:eastAsia="仿宋_GB2312" w:cs="Times New Roman"/>
          <w:bCs/>
          <w:color w:val="auto"/>
          <w:kern w:val="0"/>
          <w:sz w:val="32"/>
          <w:szCs w:val="32"/>
          <w:highlight w:val="none"/>
        </w:rPr>
        <w:t>办公室（党委办公室）、水量调度信息科（防洪办）、财务审计科、建设与管理科（安全监督科）、规划计划科、组织人事科、水政水资源科（水政监察支队）、工会、纪检监察室</w:t>
      </w:r>
      <w:r>
        <w:rPr>
          <w:rFonts w:hint="eastAsia" w:eastAsia="仿宋_GB2312" w:cs="Times New Roman"/>
          <w:bCs/>
          <w:color w:val="auto"/>
          <w:kern w:val="0"/>
          <w:sz w:val="32"/>
          <w:szCs w:val="32"/>
          <w:highlight w:val="none"/>
          <w:lang w:eastAsia="zh-CN"/>
        </w:rPr>
        <w:t>。</w:t>
      </w:r>
    </w:p>
    <w:p w14:paraId="4971508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bookmarkStart w:id="6" w:name="_Toc29374"/>
      <w:bookmarkStart w:id="7" w:name="_Toc3092"/>
      <w:r>
        <w:rPr>
          <w:rFonts w:hint="default" w:ascii="Times New Roman" w:hAnsi="Times New Roman" w:eastAsia="黑体" w:cs="Times New Roman"/>
          <w:color w:val="auto"/>
          <w:sz w:val="32"/>
          <w:szCs w:val="32"/>
          <w:highlight w:val="none"/>
        </w:rPr>
        <w:t>第</w:t>
      </w:r>
      <w:r>
        <w:rPr>
          <w:rFonts w:hint="default" w:ascii="Times New Roman" w:hAnsi="Times New Roman" w:eastAsia="黑体" w:cs="Times New Roman"/>
          <w:color w:val="auto"/>
          <w:sz w:val="32"/>
          <w:szCs w:val="32"/>
          <w:highlight w:val="none"/>
          <w:lang w:val="en-US" w:eastAsia="zh-CN"/>
        </w:rPr>
        <w:t>二</w:t>
      </w:r>
      <w:r>
        <w:rPr>
          <w:rFonts w:hint="default" w:ascii="Times New Roman" w:hAnsi="Times New Roman" w:eastAsia="黑体" w:cs="Times New Roman"/>
          <w:color w:val="auto"/>
          <w:sz w:val="32"/>
          <w:szCs w:val="32"/>
          <w:highlight w:val="none"/>
        </w:rPr>
        <w:t>部分 部门决算情况说明</w:t>
      </w:r>
      <w:bookmarkEnd w:id="6"/>
      <w:bookmarkEnd w:id="7"/>
    </w:p>
    <w:p w14:paraId="4D790BB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黑体" w:cs="Times New Roman"/>
          <w:bCs/>
          <w:color w:val="auto"/>
          <w:kern w:val="0"/>
          <w:sz w:val="32"/>
          <w:szCs w:val="32"/>
          <w:highlight w:val="none"/>
        </w:rPr>
      </w:pPr>
      <w:bookmarkStart w:id="8" w:name="_Toc12566"/>
      <w:bookmarkStart w:id="9" w:name="_Toc25314"/>
      <w:r>
        <w:rPr>
          <w:rFonts w:hint="default" w:ascii="Times New Roman" w:hAnsi="Times New Roman" w:eastAsia="黑体" w:cs="Times New Roman"/>
          <w:bCs/>
          <w:color w:val="auto"/>
          <w:kern w:val="0"/>
          <w:sz w:val="32"/>
          <w:szCs w:val="32"/>
          <w:highlight w:val="none"/>
        </w:rPr>
        <w:t>一、收入支出决算总体情况说明</w:t>
      </w:r>
      <w:bookmarkEnd w:id="8"/>
      <w:bookmarkEnd w:id="9"/>
    </w:p>
    <w:p w14:paraId="5F70342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eastAsia="zh-CN"/>
        </w:rPr>
        <w:t>2023年度</w:t>
      </w:r>
      <w:r>
        <w:rPr>
          <w:rFonts w:hint="default" w:ascii="Times New Roman" w:hAnsi="Times New Roman" w:eastAsia="仿宋_GB2312" w:cs="Times New Roman"/>
          <w:color w:val="auto"/>
          <w:spacing w:val="0"/>
          <w:sz w:val="32"/>
          <w:szCs w:val="32"/>
          <w:highlight w:val="none"/>
          <w:lang w:val="en-US" w:eastAsia="zh-CN"/>
        </w:rPr>
        <w:t>收入总计</w:t>
      </w:r>
      <w:r>
        <w:rPr>
          <w:rFonts w:hint="default" w:ascii="Times New Roman" w:hAnsi="Times New Roman" w:eastAsia="仿宋_GB2312" w:cs="Times New Roman"/>
          <w:color w:val="auto"/>
          <w:spacing w:val="0"/>
          <w:sz w:val="32"/>
          <w:szCs w:val="32"/>
          <w:highlight w:val="none"/>
          <w:lang w:eastAsia="zh-CN"/>
        </w:rPr>
        <w:t>19,663.14万元，</w:t>
      </w:r>
      <w:r>
        <w:rPr>
          <w:rFonts w:hint="default" w:ascii="Times New Roman" w:hAnsi="Times New Roman" w:eastAsia="仿宋_GB2312" w:cs="Times New Roman"/>
          <w:color w:val="auto"/>
          <w:spacing w:val="0"/>
          <w:sz w:val="32"/>
          <w:szCs w:val="32"/>
          <w:highlight w:val="none"/>
          <w:lang w:val="en-US" w:eastAsia="zh-CN"/>
        </w:rPr>
        <w:t>其中：本年收入合计</w:t>
      </w:r>
      <w:r>
        <w:rPr>
          <w:rFonts w:hint="default" w:ascii="Times New Roman" w:hAnsi="Times New Roman" w:eastAsia="仿宋_GB2312" w:cs="Times New Roman"/>
          <w:color w:val="auto"/>
          <w:spacing w:val="0"/>
          <w:sz w:val="32"/>
          <w:szCs w:val="32"/>
          <w:highlight w:val="none"/>
          <w:lang w:eastAsia="zh-CN"/>
        </w:rPr>
        <w:t>15,435.81万元，使用非财政拨款结余4,227.33万元，年初结转和结余0.00万元。</w:t>
      </w:r>
    </w:p>
    <w:p w14:paraId="63EFE69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val="en-US" w:eastAsia="zh-CN"/>
        </w:rPr>
        <w:t>2023</w:t>
      </w:r>
      <w:r>
        <w:rPr>
          <w:rFonts w:hint="default" w:ascii="Times New Roman" w:hAnsi="Times New Roman" w:eastAsia="仿宋_GB2312" w:cs="Times New Roman"/>
          <w:color w:val="auto"/>
          <w:spacing w:val="0"/>
          <w:sz w:val="32"/>
          <w:szCs w:val="32"/>
          <w:highlight w:val="none"/>
          <w:lang w:eastAsia="zh-CN"/>
        </w:rPr>
        <w:t>年</w:t>
      </w:r>
      <w:r>
        <w:rPr>
          <w:rFonts w:hint="default" w:ascii="Times New Roman" w:hAnsi="Times New Roman" w:eastAsia="仿宋_GB2312" w:cs="Times New Roman"/>
          <w:color w:val="auto"/>
          <w:spacing w:val="0"/>
          <w:sz w:val="32"/>
          <w:szCs w:val="32"/>
          <w:highlight w:val="none"/>
          <w:lang w:val="en-US" w:eastAsia="zh-CN"/>
        </w:rPr>
        <w:t>度</w:t>
      </w:r>
      <w:r>
        <w:rPr>
          <w:rFonts w:hint="default" w:ascii="Times New Roman" w:hAnsi="Times New Roman" w:eastAsia="仿宋_GB2312" w:cs="Times New Roman"/>
          <w:color w:val="auto"/>
          <w:spacing w:val="0"/>
          <w:sz w:val="32"/>
          <w:szCs w:val="32"/>
          <w:highlight w:val="none"/>
          <w:lang w:eastAsia="zh-CN"/>
        </w:rPr>
        <w:t>支出</w:t>
      </w:r>
      <w:r>
        <w:rPr>
          <w:rFonts w:hint="default" w:ascii="Times New Roman" w:hAnsi="Times New Roman" w:eastAsia="仿宋_GB2312" w:cs="Times New Roman"/>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eastAsia="zh-CN"/>
        </w:rPr>
        <w:t>19,663.14万元，</w:t>
      </w:r>
      <w:r>
        <w:rPr>
          <w:rFonts w:hint="default" w:ascii="Times New Roman" w:hAnsi="Times New Roman" w:eastAsia="仿宋_GB2312" w:cs="Times New Roman"/>
          <w:color w:val="auto"/>
          <w:spacing w:val="0"/>
          <w:sz w:val="32"/>
          <w:szCs w:val="32"/>
          <w:highlight w:val="none"/>
          <w:lang w:val="en-US" w:eastAsia="zh-CN"/>
        </w:rPr>
        <w:t>其中：本年支出合计</w:t>
      </w:r>
      <w:r>
        <w:rPr>
          <w:rFonts w:hint="default" w:ascii="Times New Roman" w:hAnsi="Times New Roman" w:eastAsia="仿宋_GB2312" w:cs="Times New Roman"/>
          <w:color w:val="auto"/>
          <w:spacing w:val="0"/>
          <w:sz w:val="32"/>
          <w:szCs w:val="32"/>
          <w:highlight w:val="none"/>
          <w:lang w:eastAsia="zh-CN"/>
        </w:rPr>
        <w:t>19,663.14万元，</w:t>
      </w:r>
      <w:r>
        <w:rPr>
          <w:rFonts w:hint="default" w:ascii="Times New Roman" w:hAnsi="Times New Roman" w:eastAsia="仿宋_GB2312" w:cs="Times New Roman"/>
          <w:color w:val="auto"/>
          <w:spacing w:val="0"/>
          <w:sz w:val="32"/>
          <w:szCs w:val="32"/>
          <w:highlight w:val="none"/>
          <w:lang w:val="en-US" w:eastAsia="zh-CN"/>
        </w:rPr>
        <w:t>结余分配</w:t>
      </w:r>
      <w:r>
        <w:rPr>
          <w:rFonts w:hint="default" w:ascii="Times New Roman" w:hAnsi="Times New Roman" w:eastAsia="仿宋_GB2312" w:cs="Times New Roman"/>
          <w:color w:val="auto"/>
          <w:spacing w:val="0"/>
          <w:sz w:val="32"/>
          <w:szCs w:val="32"/>
          <w:highlight w:val="none"/>
          <w:lang w:eastAsia="zh-CN"/>
        </w:rPr>
        <w:t>0.00万元，年末结转和结余0.00万元。</w:t>
      </w:r>
    </w:p>
    <w:p w14:paraId="19E6007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val="en-US" w:eastAsia="zh-CN"/>
        </w:rPr>
        <w:t>收入支出总体与上年相比</w:t>
      </w:r>
      <w:r>
        <w:rPr>
          <w:rFonts w:hint="default" w:ascii="Times New Roman" w:hAnsi="Times New Roman" w:eastAsia="仿宋_GB2312" w:cs="Times New Roman"/>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val="zh-CN" w:eastAsia="zh-CN"/>
        </w:rPr>
        <w:t>增加11,417.18万元</w:t>
      </w:r>
      <w:r>
        <w:rPr>
          <w:rFonts w:hint="default" w:ascii="Times New Roman" w:hAnsi="Times New Roman" w:eastAsia="仿宋_GB2312" w:cs="Times New Roman"/>
          <w:color w:val="auto"/>
          <w:spacing w:val="0"/>
          <w:sz w:val="32"/>
          <w:szCs w:val="32"/>
          <w:highlight w:val="none"/>
          <w:lang w:eastAsia="zh-CN"/>
        </w:rPr>
        <w:t>，增长138.46%，主要原因是：自有资金账套202</w:t>
      </w:r>
      <w:r>
        <w:rPr>
          <w:rFonts w:hint="default" w:ascii="Times New Roman" w:hAnsi="Times New Roman" w:eastAsia="仿宋_GB2312" w:cs="Times New Roman"/>
          <w:color w:val="auto"/>
          <w:spacing w:val="0"/>
          <w:sz w:val="32"/>
          <w:szCs w:val="32"/>
          <w:highlight w:val="none"/>
          <w:lang w:val="en-US" w:eastAsia="zh-CN"/>
        </w:rPr>
        <w:t>2</w:t>
      </w:r>
      <w:r>
        <w:rPr>
          <w:rFonts w:hint="default" w:ascii="Times New Roman" w:hAnsi="Times New Roman" w:eastAsia="仿宋_GB2312" w:cs="Times New Roman"/>
          <w:color w:val="auto"/>
          <w:spacing w:val="0"/>
          <w:sz w:val="32"/>
          <w:szCs w:val="32"/>
          <w:highlight w:val="none"/>
          <w:lang w:eastAsia="zh-CN"/>
        </w:rPr>
        <w:t>年</w:t>
      </w:r>
      <w:r>
        <w:rPr>
          <w:rFonts w:hint="default" w:ascii="Times New Roman" w:hAnsi="Times New Roman" w:eastAsia="仿宋_GB2312" w:cs="Times New Roman"/>
          <w:color w:val="auto"/>
          <w:spacing w:val="0"/>
          <w:sz w:val="32"/>
          <w:szCs w:val="32"/>
          <w:highlight w:val="none"/>
          <w:lang w:val="en-US" w:eastAsia="zh-CN"/>
        </w:rPr>
        <w:t>填报的是财政企业决算，因此收入数据未在2022年部门决算反应</w:t>
      </w:r>
      <w:r>
        <w:rPr>
          <w:rFonts w:hint="default" w:ascii="Times New Roman" w:hAnsi="Times New Roman" w:eastAsia="仿宋_GB2312" w:cs="Times New Roman"/>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val="en-US" w:eastAsia="zh-CN"/>
        </w:rPr>
        <w:t>2023年</w:t>
      </w:r>
      <w:r>
        <w:rPr>
          <w:rFonts w:hint="default" w:ascii="Times New Roman" w:hAnsi="Times New Roman" w:eastAsia="仿宋_GB2312" w:cs="Times New Roman"/>
          <w:color w:val="auto"/>
          <w:spacing w:val="0"/>
          <w:sz w:val="32"/>
          <w:szCs w:val="32"/>
          <w:highlight w:val="none"/>
          <w:lang w:eastAsia="zh-CN"/>
        </w:rPr>
        <w:t>经营</w:t>
      </w:r>
      <w:r>
        <w:rPr>
          <w:rFonts w:hint="default" w:ascii="Times New Roman" w:hAnsi="Times New Roman" w:eastAsia="仿宋_GB2312" w:cs="Times New Roman"/>
          <w:color w:val="auto"/>
          <w:spacing w:val="0"/>
          <w:sz w:val="32"/>
          <w:szCs w:val="32"/>
          <w:highlight w:val="none"/>
          <w:lang w:val="en-US" w:eastAsia="zh-CN"/>
        </w:rPr>
        <w:t>收入</w:t>
      </w:r>
      <w:r>
        <w:rPr>
          <w:rFonts w:hint="default" w:ascii="Times New Roman" w:hAnsi="Times New Roman" w:eastAsia="仿宋_GB2312" w:cs="Times New Roman"/>
          <w:color w:val="auto"/>
          <w:spacing w:val="0"/>
          <w:sz w:val="32"/>
          <w:szCs w:val="32"/>
          <w:highlight w:val="none"/>
          <w:lang w:eastAsia="zh-CN"/>
        </w:rPr>
        <w:t>12762.2</w:t>
      </w:r>
      <w:r>
        <w:rPr>
          <w:rFonts w:hint="default" w:ascii="Times New Roman" w:hAnsi="Times New Roman" w:eastAsia="仿宋_GB2312" w:cs="Times New Roman"/>
          <w:color w:val="auto"/>
          <w:spacing w:val="0"/>
          <w:sz w:val="32"/>
          <w:szCs w:val="32"/>
          <w:highlight w:val="none"/>
          <w:lang w:val="en-US" w:eastAsia="zh-CN"/>
        </w:rPr>
        <w:t>万元并入2023年部门决算</w:t>
      </w:r>
      <w:r>
        <w:rPr>
          <w:rFonts w:hint="default" w:ascii="Times New Roman" w:hAnsi="Times New Roman" w:eastAsia="仿宋_GB2312" w:cs="Times New Roman"/>
          <w:color w:val="auto"/>
          <w:spacing w:val="0"/>
          <w:sz w:val="32"/>
          <w:szCs w:val="32"/>
          <w:highlight w:val="none"/>
          <w:lang w:eastAsia="zh-CN"/>
        </w:rPr>
        <w:t>，由此造成</w:t>
      </w:r>
      <w:r>
        <w:rPr>
          <w:rFonts w:hint="default" w:ascii="Times New Roman" w:hAnsi="Times New Roman" w:eastAsia="仿宋_GB2312" w:cs="Times New Roman"/>
          <w:color w:val="auto"/>
          <w:spacing w:val="0"/>
          <w:sz w:val="32"/>
          <w:szCs w:val="32"/>
          <w:highlight w:val="none"/>
          <w:lang w:val="en-US" w:eastAsia="zh-CN"/>
        </w:rPr>
        <w:t>收入</w:t>
      </w:r>
      <w:r>
        <w:rPr>
          <w:rFonts w:hint="default" w:ascii="Times New Roman" w:hAnsi="Times New Roman" w:eastAsia="仿宋_GB2312" w:cs="Times New Roman"/>
          <w:color w:val="auto"/>
          <w:spacing w:val="0"/>
          <w:sz w:val="32"/>
          <w:szCs w:val="32"/>
          <w:highlight w:val="none"/>
          <w:lang w:eastAsia="zh-CN"/>
        </w:rPr>
        <w:t>数据变动差</w:t>
      </w:r>
      <w:r>
        <w:rPr>
          <w:rFonts w:hint="default" w:ascii="Times New Roman" w:hAnsi="Times New Roman" w:eastAsia="仿宋_GB2312" w:cs="Times New Roman"/>
          <w:color w:val="auto"/>
          <w:spacing w:val="0"/>
          <w:sz w:val="32"/>
          <w:szCs w:val="32"/>
          <w:highlight w:val="none"/>
          <w:lang w:val="en-US" w:eastAsia="zh-CN"/>
        </w:rPr>
        <w:t>较大。</w:t>
      </w:r>
    </w:p>
    <w:p w14:paraId="4F5B4D0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黑体" w:cs="Times New Roman"/>
          <w:bCs/>
          <w:color w:val="auto"/>
          <w:kern w:val="0"/>
          <w:sz w:val="32"/>
          <w:szCs w:val="32"/>
          <w:highlight w:val="none"/>
        </w:rPr>
      </w:pPr>
      <w:bookmarkStart w:id="10" w:name="_Toc12142"/>
      <w:bookmarkStart w:id="11" w:name="_Toc1979"/>
      <w:r>
        <w:rPr>
          <w:rFonts w:hint="default" w:ascii="Times New Roman" w:hAnsi="Times New Roman" w:eastAsia="黑体" w:cs="Times New Roman"/>
          <w:bCs/>
          <w:color w:val="auto"/>
          <w:kern w:val="0"/>
          <w:sz w:val="32"/>
          <w:szCs w:val="32"/>
          <w:highlight w:val="none"/>
          <w:lang w:eastAsia="zh-CN"/>
        </w:rPr>
        <w:t>二、</w:t>
      </w:r>
      <w:r>
        <w:rPr>
          <w:rFonts w:hint="default" w:ascii="Times New Roman" w:hAnsi="Times New Roman" w:eastAsia="黑体" w:cs="Times New Roman"/>
          <w:bCs/>
          <w:color w:val="auto"/>
          <w:kern w:val="0"/>
          <w:sz w:val="32"/>
          <w:szCs w:val="32"/>
          <w:highlight w:val="none"/>
        </w:rPr>
        <w:t>收入</w:t>
      </w:r>
      <w:r>
        <w:rPr>
          <w:rFonts w:hint="default" w:ascii="Times New Roman" w:hAnsi="Times New Roman" w:eastAsia="黑体" w:cs="Times New Roman"/>
          <w:bCs/>
          <w:color w:val="auto"/>
          <w:kern w:val="0"/>
          <w:sz w:val="32"/>
          <w:szCs w:val="32"/>
          <w:highlight w:val="none"/>
          <w:lang w:eastAsia="zh-CN"/>
        </w:rPr>
        <w:t>决算</w:t>
      </w:r>
      <w:r>
        <w:rPr>
          <w:rFonts w:hint="default" w:ascii="Times New Roman" w:hAnsi="Times New Roman" w:eastAsia="黑体" w:cs="Times New Roman"/>
          <w:bCs/>
          <w:color w:val="auto"/>
          <w:kern w:val="0"/>
          <w:sz w:val="32"/>
          <w:szCs w:val="32"/>
          <w:highlight w:val="none"/>
        </w:rPr>
        <w:t>情况说明</w:t>
      </w:r>
      <w:bookmarkEnd w:id="10"/>
      <w:bookmarkEnd w:id="11"/>
    </w:p>
    <w:p w14:paraId="19E2666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本年收入</w:t>
      </w:r>
      <w:r>
        <w:rPr>
          <w:rFonts w:hint="default" w:ascii="Times New Roman" w:hAnsi="Times New Roman" w:eastAsia="仿宋_GB2312" w:cs="Times New Roman"/>
          <w:color w:val="auto"/>
          <w:sz w:val="32"/>
          <w:szCs w:val="32"/>
          <w:highlight w:val="none"/>
          <w:lang w:eastAsia="zh-CN"/>
        </w:rPr>
        <w:t>15,435.81</w:t>
      </w:r>
      <w:r>
        <w:rPr>
          <w:rFonts w:hint="default" w:ascii="Times New Roman" w:hAnsi="Times New Roman" w:eastAsia="仿宋_GB2312" w:cs="Times New Roman"/>
          <w:color w:val="auto"/>
          <w:sz w:val="32"/>
          <w:szCs w:val="32"/>
          <w:highlight w:val="none"/>
        </w:rPr>
        <w:t>万元，其中：财政拨款收入</w:t>
      </w:r>
      <w:r>
        <w:rPr>
          <w:rFonts w:hint="default" w:ascii="Times New Roman" w:hAnsi="Times New Roman" w:eastAsia="仿宋_GB2312" w:cs="Times New Roman"/>
          <w:color w:val="auto"/>
          <w:sz w:val="32"/>
          <w:szCs w:val="32"/>
          <w:highlight w:val="none"/>
          <w:lang w:val="zh-CN"/>
        </w:rPr>
        <w:t>2,602.32</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16.86</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；上级补助收入</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；事业收入</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；经营收入</w:t>
      </w:r>
      <w:r>
        <w:rPr>
          <w:rFonts w:hint="default" w:ascii="Times New Roman" w:hAnsi="Times New Roman" w:eastAsia="仿宋_GB2312" w:cs="Times New Roman"/>
          <w:color w:val="auto"/>
          <w:sz w:val="32"/>
          <w:szCs w:val="32"/>
          <w:highlight w:val="none"/>
          <w:lang w:val="zh-CN"/>
        </w:rPr>
        <w:t>12,762.29</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82.68</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附属单位上缴收入</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；其他收入</w:t>
      </w:r>
      <w:r>
        <w:rPr>
          <w:rFonts w:hint="default" w:ascii="Times New Roman" w:hAnsi="Times New Roman" w:eastAsia="仿宋_GB2312" w:cs="Times New Roman"/>
          <w:color w:val="auto"/>
          <w:sz w:val="32"/>
          <w:szCs w:val="32"/>
          <w:highlight w:val="none"/>
          <w:lang w:val="zh-CN"/>
        </w:rPr>
        <w:t>71.19</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0.46</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w:t>
      </w:r>
    </w:p>
    <w:p w14:paraId="40C68D5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黑体" w:cs="Times New Roman"/>
          <w:bCs/>
          <w:color w:val="auto"/>
          <w:kern w:val="0"/>
          <w:sz w:val="32"/>
          <w:szCs w:val="32"/>
          <w:highlight w:val="none"/>
          <w:lang w:eastAsia="zh-CN"/>
        </w:rPr>
      </w:pPr>
      <w:bookmarkStart w:id="12" w:name="_Toc27961"/>
      <w:bookmarkStart w:id="13" w:name="_Toc13201"/>
      <w:r>
        <w:rPr>
          <w:rFonts w:hint="default" w:ascii="Times New Roman" w:hAnsi="Times New Roman" w:eastAsia="黑体" w:cs="Times New Roman"/>
          <w:bCs/>
          <w:color w:val="auto"/>
          <w:kern w:val="0"/>
          <w:sz w:val="32"/>
          <w:szCs w:val="32"/>
          <w:highlight w:val="none"/>
          <w:lang w:eastAsia="zh-CN"/>
        </w:rPr>
        <w:t>三、支出决算情况说明</w:t>
      </w:r>
      <w:bookmarkEnd w:id="12"/>
      <w:bookmarkEnd w:id="13"/>
    </w:p>
    <w:p w14:paraId="2F9A4F0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0"/>
          <w:szCs w:val="30"/>
          <w:highlight w:val="none"/>
          <w:lang w:val="zh-CN" w:eastAsia="zh-CN"/>
        </w:rPr>
      </w:pPr>
      <w:r>
        <w:rPr>
          <w:rFonts w:hint="default" w:ascii="Times New Roman" w:hAnsi="Times New Roman" w:eastAsia="仿宋_GB2312" w:cs="Times New Roman"/>
          <w:color w:val="auto"/>
          <w:sz w:val="32"/>
          <w:szCs w:val="32"/>
          <w:highlight w:val="none"/>
          <w:lang w:val="zh-CN" w:eastAsia="zh-CN"/>
        </w:rPr>
        <w:t>本年支出19,663.14万元，其中：基本支出6,394.84万元，占32.52%；项目支出506.00万元，占2.57%；上缴上级支出0.00万元，占0.00%；经营支出12,762.29万元，占64.90%；对附属单位补助支出0.00万元，占0.00%。</w:t>
      </w:r>
    </w:p>
    <w:p w14:paraId="082A1C9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黑体" w:cs="Times New Roman"/>
          <w:bCs/>
          <w:color w:val="auto"/>
          <w:kern w:val="0"/>
          <w:sz w:val="32"/>
          <w:szCs w:val="32"/>
          <w:highlight w:val="none"/>
          <w:lang w:eastAsia="zh-CN"/>
        </w:rPr>
      </w:pPr>
      <w:bookmarkStart w:id="14" w:name="_Toc26564"/>
      <w:bookmarkStart w:id="15" w:name="_Toc4393"/>
      <w:r>
        <w:rPr>
          <w:rFonts w:hint="default" w:ascii="Times New Roman" w:hAnsi="Times New Roman" w:eastAsia="黑体" w:cs="Times New Roman"/>
          <w:bCs/>
          <w:color w:val="auto"/>
          <w:kern w:val="0"/>
          <w:sz w:val="32"/>
          <w:szCs w:val="32"/>
          <w:highlight w:val="none"/>
          <w:lang w:eastAsia="zh-CN"/>
        </w:rPr>
        <w:t>四、财政拨款收入支出决算总体情况说明</w:t>
      </w:r>
      <w:bookmarkEnd w:id="14"/>
      <w:bookmarkEnd w:id="15"/>
    </w:p>
    <w:p w14:paraId="5D156BC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eastAsia="zh-CN"/>
        </w:rPr>
        <w:t>2023年度财政拨款收入</w:t>
      </w:r>
      <w:r>
        <w:rPr>
          <w:rFonts w:hint="default" w:ascii="Times New Roman" w:hAnsi="Times New Roman" w:eastAsia="仿宋_GB2312" w:cs="Times New Roman"/>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val="zh-CN" w:eastAsia="zh-CN"/>
        </w:rPr>
        <w:t>2,602.32</w:t>
      </w:r>
      <w:r>
        <w:rPr>
          <w:rFonts w:hint="default" w:ascii="Times New Roman" w:hAnsi="Times New Roman" w:eastAsia="仿宋_GB2312" w:cs="Times New Roman"/>
          <w:color w:val="auto"/>
          <w:spacing w:val="0"/>
          <w:sz w:val="32"/>
          <w:szCs w:val="32"/>
          <w:highlight w:val="none"/>
          <w:lang w:eastAsia="zh-CN"/>
        </w:rPr>
        <w:t>万元，</w:t>
      </w:r>
      <w:r>
        <w:rPr>
          <w:rFonts w:hint="default" w:ascii="Times New Roman" w:hAnsi="Times New Roman" w:eastAsia="仿宋_GB2312" w:cs="Times New Roman"/>
          <w:color w:val="auto"/>
          <w:spacing w:val="0"/>
          <w:sz w:val="32"/>
          <w:szCs w:val="32"/>
          <w:highlight w:val="none"/>
          <w:lang w:val="en-US" w:eastAsia="zh-CN"/>
        </w:rPr>
        <w:t>其中：年初财政拨款结转和结余</w:t>
      </w:r>
      <w:r>
        <w:rPr>
          <w:rFonts w:hint="default" w:ascii="Times New Roman" w:hAnsi="Times New Roman" w:eastAsia="仿宋_GB2312" w:cs="Times New Roman"/>
          <w:color w:val="auto"/>
          <w:spacing w:val="0"/>
          <w:sz w:val="32"/>
          <w:szCs w:val="32"/>
          <w:highlight w:val="none"/>
          <w:lang w:val="zh-CN" w:eastAsia="zh-CN"/>
        </w:rPr>
        <w:t>0.00</w:t>
      </w:r>
      <w:r>
        <w:rPr>
          <w:rFonts w:hint="default" w:ascii="Times New Roman" w:hAnsi="Times New Roman" w:eastAsia="仿宋_GB2312" w:cs="Times New Roman"/>
          <w:color w:val="auto"/>
          <w:spacing w:val="0"/>
          <w:sz w:val="32"/>
          <w:szCs w:val="32"/>
          <w:highlight w:val="none"/>
          <w:lang w:eastAsia="zh-CN"/>
        </w:rPr>
        <w:t>万元，</w:t>
      </w:r>
      <w:r>
        <w:rPr>
          <w:rFonts w:hint="default" w:ascii="Times New Roman" w:hAnsi="Times New Roman" w:eastAsia="仿宋_GB2312" w:cs="Times New Roman"/>
          <w:color w:val="auto"/>
          <w:spacing w:val="0"/>
          <w:sz w:val="32"/>
          <w:szCs w:val="32"/>
          <w:highlight w:val="none"/>
          <w:lang w:val="en-US" w:eastAsia="zh-CN"/>
        </w:rPr>
        <w:t>本年财政拨款收入</w:t>
      </w:r>
      <w:r>
        <w:rPr>
          <w:rFonts w:hint="default" w:ascii="Times New Roman" w:hAnsi="Times New Roman" w:eastAsia="仿宋_GB2312" w:cs="Times New Roman"/>
          <w:color w:val="auto"/>
          <w:spacing w:val="0"/>
          <w:sz w:val="32"/>
          <w:szCs w:val="32"/>
          <w:highlight w:val="none"/>
          <w:lang w:val="zh-CN" w:eastAsia="zh-CN"/>
        </w:rPr>
        <w:t>2,602.32</w:t>
      </w:r>
      <w:r>
        <w:rPr>
          <w:rFonts w:hint="default" w:ascii="Times New Roman" w:hAnsi="Times New Roman" w:eastAsia="仿宋_GB2312" w:cs="Times New Roman"/>
          <w:color w:val="auto"/>
          <w:spacing w:val="0"/>
          <w:sz w:val="32"/>
          <w:szCs w:val="32"/>
          <w:highlight w:val="none"/>
          <w:lang w:eastAsia="zh-CN"/>
        </w:rPr>
        <w:t>万元。财政拨款支出</w:t>
      </w:r>
      <w:r>
        <w:rPr>
          <w:rFonts w:hint="default" w:ascii="Times New Roman" w:hAnsi="Times New Roman" w:eastAsia="仿宋_GB2312" w:cs="Times New Roman"/>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val="zh-CN" w:eastAsia="zh-CN"/>
        </w:rPr>
        <w:t>2,602.32</w:t>
      </w:r>
      <w:r>
        <w:rPr>
          <w:rFonts w:hint="default" w:ascii="Times New Roman" w:hAnsi="Times New Roman" w:eastAsia="仿宋_GB2312" w:cs="Times New Roman"/>
          <w:color w:val="auto"/>
          <w:spacing w:val="0"/>
          <w:sz w:val="32"/>
          <w:szCs w:val="32"/>
          <w:highlight w:val="none"/>
          <w:lang w:eastAsia="zh-CN"/>
        </w:rPr>
        <w:t>万元，</w:t>
      </w:r>
      <w:r>
        <w:rPr>
          <w:rFonts w:hint="default" w:ascii="Times New Roman" w:hAnsi="Times New Roman" w:eastAsia="仿宋_GB2312" w:cs="Times New Roman"/>
          <w:color w:val="auto"/>
          <w:spacing w:val="0"/>
          <w:sz w:val="32"/>
          <w:szCs w:val="32"/>
          <w:highlight w:val="none"/>
          <w:lang w:val="en-US" w:eastAsia="zh-CN"/>
        </w:rPr>
        <w:t>其中：年末财政拨款结转和结余</w:t>
      </w:r>
      <w:r>
        <w:rPr>
          <w:rFonts w:hint="default" w:ascii="Times New Roman" w:hAnsi="Times New Roman" w:eastAsia="仿宋_GB2312" w:cs="Times New Roman"/>
          <w:color w:val="auto"/>
          <w:spacing w:val="0"/>
          <w:sz w:val="32"/>
          <w:szCs w:val="32"/>
          <w:highlight w:val="none"/>
          <w:lang w:val="zh-CN" w:eastAsia="zh-CN"/>
        </w:rPr>
        <w:t>0.00</w:t>
      </w:r>
      <w:r>
        <w:rPr>
          <w:rFonts w:hint="default" w:ascii="Times New Roman" w:hAnsi="Times New Roman" w:eastAsia="仿宋_GB2312" w:cs="Times New Roman"/>
          <w:color w:val="auto"/>
          <w:spacing w:val="0"/>
          <w:sz w:val="32"/>
          <w:szCs w:val="32"/>
          <w:highlight w:val="none"/>
          <w:lang w:eastAsia="zh-CN"/>
        </w:rPr>
        <w:t>万元，</w:t>
      </w:r>
      <w:r>
        <w:rPr>
          <w:rFonts w:hint="default" w:ascii="Times New Roman" w:hAnsi="Times New Roman" w:eastAsia="仿宋_GB2312" w:cs="Times New Roman"/>
          <w:color w:val="auto"/>
          <w:spacing w:val="0"/>
          <w:sz w:val="32"/>
          <w:szCs w:val="32"/>
          <w:highlight w:val="none"/>
          <w:lang w:val="en-US" w:eastAsia="zh-CN"/>
        </w:rPr>
        <w:t>本年财政拨款支出</w:t>
      </w:r>
      <w:r>
        <w:rPr>
          <w:rFonts w:hint="default" w:ascii="Times New Roman" w:hAnsi="Times New Roman" w:eastAsia="仿宋_GB2312" w:cs="Times New Roman"/>
          <w:color w:val="auto"/>
          <w:spacing w:val="0"/>
          <w:sz w:val="32"/>
          <w:szCs w:val="32"/>
          <w:highlight w:val="none"/>
          <w:lang w:val="zh-CN" w:eastAsia="zh-CN"/>
        </w:rPr>
        <w:t>2,602.32</w:t>
      </w:r>
      <w:r>
        <w:rPr>
          <w:rFonts w:hint="default" w:ascii="Times New Roman" w:hAnsi="Times New Roman" w:eastAsia="仿宋_GB2312" w:cs="Times New Roman"/>
          <w:color w:val="auto"/>
          <w:spacing w:val="0"/>
          <w:sz w:val="32"/>
          <w:szCs w:val="32"/>
          <w:highlight w:val="none"/>
          <w:lang w:eastAsia="zh-CN"/>
        </w:rPr>
        <w:t>万元。</w:t>
      </w:r>
    </w:p>
    <w:p w14:paraId="51675F3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pacing w:val="0"/>
          <w:sz w:val="32"/>
          <w:szCs w:val="32"/>
          <w:highlight w:val="none"/>
          <w:lang w:val="en-US" w:eastAsia="zh-CN"/>
        </w:rPr>
      </w:pPr>
      <w:r>
        <w:rPr>
          <w:rFonts w:hint="default" w:ascii="Times New Roman" w:hAnsi="Times New Roman" w:eastAsia="仿宋_GB2312" w:cs="Times New Roman"/>
          <w:color w:val="auto"/>
          <w:spacing w:val="0"/>
          <w:sz w:val="32"/>
          <w:szCs w:val="32"/>
          <w:highlight w:val="none"/>
          <w:lang w:val="en-US" w:eastAsia="zh-CN"/>
        </w:rPr>
        <w:t>财政拨款收入支出总体与上年相比,</w:t>
      </w:r>
      <w:r>
        <w:rPr>
          <w:rFonts w:hint="default" w:ascii="Times New Roman" w:hAnsi="Times New Roman" w:eastAsia="仿宋_GB2312" w:cs="Times New Roman"/>
          <w:color w:val="auto"/>
          <w:spacing w:val="0"/>
          <w:sz w:val="32"/>
          <w:szCs w:val="32"/>
          <w:highlight w:val="none"/>
          <w:lang w:val="zh-CN" w:eastAsia="zh-CN"/>
        </w:rPr>
        <w:t>减少1,762.46万元</w:t>
      </w:r>
      <w:r>
        <w:rPr>
          <w:rFonts w:hint="default" w:ascii="Times New Roman" w:hAnsi="Times New Roman" w:eastAsia="仿宋_GB2312" w:cs="Times New Roman"/>
          <w:color w:val="auto"/>
          <w:spacing w:val="0"/>
          <w:sz w:val="32"/>
          <w:szCs w:val="32"/>
          <w:highlight w:val="none"/>
          <w:lang w:val="en-US" w:eastAsia="zh-CN"/>
        </w:rPr>
        <w:t>，下降40.38%,主要原因是：2023年减少阿克苏河西大桥引水枢纽除险加固工程项目1863万元。与年初预算相比，年初预算数</w:t>
      </w:r>
      <w:r>
        <w:rPr>
          <w:rFonts w:hint="default" w:ascii="Times New Roman" w:hAnsi="Times New Roman" w:eastAsia="仿宋_GB2312" w:cs="Times New Roman"/>
          <w:color w:val="auto"/>
          <w:spacing w:val="0"/>
          <w:sz w:val="32"/>
          <w:szCs w:val="32"/>
          <w:highlight w:val="none"/>
          <w:lang w:val="zh-CN" w:eastAsia="zh-CN"/>
        </w:rPr>
        <w:t>2,501.78</w:t>
      </w:r>
      <w:r>
        <w:rPr>
          <w:rFonts w:hint="default" w:ascii="Times New Roman" w:hAnsi="Times New Roman" w:eastAsia="仿宋_GB2312" w:cs="Times New Roman"/>
          <w:color w:val="auto"/>
          <w:spacing w:val="0"/>
          <w:sz w:val="32"/>
          <w:szCs w:val="32"/>
          <w:highlight w:val="none"/>
          <w:lang w:val="en-US" w:eastAsia="zh-CN"/>
        </w:rPr>
        <w:t>万元，决算数</w:t>
      </w:r>
      <w:r>
        <w:rPr>
          <w:rFonts w:hint="default" w:ascii="Times New Roman" w:hAnsi="Times New Roman" w:eastAsia="仿宋_GB2312" w:cs="Times New Roman"/>
          <w:color w:val="auto"/>
          <w:spacing w:val="0"/>
          <w:sz w:val="32"/>
          <w:szCs w:val="32"/>
          <w:highlight w:val="none"/>
          <w:lang w:val="zh-CN" w:eastAsia="zh-CN"/>
        </w:rPr>
        <w:t>2,602.32</w:t>
      </w:r>
      <w:r>
        <w:rPr>
          <w:rFonts w:hint="default" w:ascii="Times New Roman" w:hAnsi="Times New Roman" w:eastAsia="仿宋_GB2312" w:cs="Times New Roman"/>
          <w:color w:val="auto"/>
          <w:spacing w:val="0"/>
          <w:sz w:val="32"/>
          <w:szCs w:val="32"/>
          <w:highlight w:val="none"/>
          <w:lang w:val="en-US" w:eastAsia="zh-CN"/>
        </w:rPr>
        <w:t>万元，预决算差异率4.02%，主要原因是：新财农〔2023〕9号2022年年度考核奖22.36万元；新财农〔2023〕8号下拨2022-2023年提高基础绩效奖（在职离休）25.87万元；新财农〔2023〕14号下拨非统发单位追加人员工资28.41万元；新财农〔2023〕020号下拨2022-2023年调增艰边贴26万元。</w:t>
      </w:r>
    </w:p>
    <w:p w14:paraId="2C4FE26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黑体" w:cs="Times New Roman"/>
          <w:bCs/>
          <w:color w:val="auto"/>
          <w:kern w:val="0"/>
          <w:sz w:val="32"/>
          <w:szCs w:val="32"/>
          <w:highlight w:val="none"/>
          <w:lang w:eastAsia="zh-CN"/>
        </w:rPr>
      </w:pPr>
      <w:bookmarkStart w:id="16" w:name="_Toc13833"/>
      <w:bookmarkStart w:id="17" w:name="_Toc20360"/>
      <w:r>
        <w:rPr>
          <w:rFonts w:hint="default" w:ascii="Times New Roman" w:hAnsi="Times New Roman" w:eastAsia="黑体" w:cs="Times New Roman"/>
          <w:bCs/>
          <w:color w:val="auto"/>
          <w:kern w:val="0"/>
          <w:sz w:val="32"/>
          <w:szCs w:val="32"/>
          <w:highlight w:val="none"/>
          <w:lang w:eastAsia="zh-CN"/>
        </w:rPr>
        <w:t>五、一般公共预算财政拨款支出决算情况说明</w:t>
      </w:r>
      <w:bookmarkEnd w:id="16"/>
      <w:bookmarkEnd w:id="17"/>
    </w:p>
    <w:p w14:paraId="1F34A13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default" w:ascii="Times New Roman" w:hAnsi="Times New Roman" w:eastAsia="黑体" w:cs="Times New Roman"/>
          <w:color w:val="auto"/>
          <w:sz w:val="32"/>
          <w:szCs w:val="32"/>
          <w:highlight w:val="none"/>
          <w:lang w:eastAsia="zh-CN"/>
        </w:rPr>
      </w:pPr>
      <w:r>
        <w:rPr>
          <w:rFonts w:hint="default" w:ascii="Times New Roman" w:hAnsi="Times New Roman" w:eastAsia="黑体" w:cs="Times New Roman"/>
          <w:color w:val="auto"/>
          <w:sz w:val="32"/>
          <w:szCs w:val="32"/>
          <w:highlight w:val="none"/>
          <w:lang w:eastAsia="zh-CN"/>
        </w:rPr>
        <w:t>（一）一般公共预算财政拨款支出决算总体情况</w:t>
      </w:r>
    </w:p>
    <w:p w14:paraId="0DF684B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pacing w:val="0"/>
          <w:sz w:val="32"/>
          <w:szCs w:val="32"/>
          <w:highlight w:val="none"/>
          <w:lang w:val="en-US" w:eastAsia="zh-CN"/>
        </w:rPr>
      </w:pPr>
      <w:r>
        <w:rPr>
          <w:rFonts w:hint="default" w:ascii="Times New Roman" w:hAnsi="Times New Roman" w:eastAsia="仿宋_GB2312" w:cs="Times New Roman"/>
          <w:color w:val="auto"/>
          <w:spacing w:val="0"/>
          <w:sz w:val="32"/>
          <w:szCs w:val="32"/>
          <w:highlight w:val="none"/>
          <w:lang w:val="en-US" w:eastAsia="zh-CN"/>
        </w:rPr>
        <w:t>2023年度一般公共预算财政拨款支出2,602.32万元，占本年支出合计的</w:t>
      </w:r>
      <w:r>
        <w:rPr>
          <w:rFonts w:hint="default" w:ascii="Times New Roman" w:hAnsi="Times New Roman" w:eastAsia="仿宋_GB2312" w:cs="Times New Roman"/>
          <w:color w:val="auto"/>
          <w:spacing w:val="0"/>
          <w:sz w:val="32"/>
          <w:szCs w:val="32"/>
          <w:highlight w:val="none"/>
          <w:lang w:val="zh-CN" w:eastAsia="zh-CN"/>
        </w:rPr>
        <w:t>13.23%</w:t>
      </w:r>
      <w:r>
        <w:rPr>
          <w:rFonts w:hint="default" w:ascii="Times New Roman" w:hAnsi="Times New Roman" w:eastAsia="仿宋_GB2312" w:cs="Times New Roman"/>
          <w:color w:val="auto"/>
          <w:spacing w:val="0"/>
          <w:sz w:val="32"/>
          <w:szCs w:val="32"/>
          <w:highlight w:val="none"/>
          <w:lang w:val="en-US" w:eastAsia="zh-CN"/>
        </w:rPr>
        <w:t>。与上年相比，</w:t>
      </w:r>
      <w:r>
        <w:rPr>
          <w:rFonts w:hint="default" w:ascii="Times New Roman" w:hAnsi="Times New Roman" w:eastAsia="仿宋_GB2312" w:cs="Times New Roman"/>
          <w:color w:val="auto"/>
          <w:spacing w:val="0"/>
          <w:sz w:val="32"/>
          <w:szCs w:val="32"/>
          <w:highlight w:val="none"/>
          <w:lang w:val="zh-CN" w:eastAsia="zh-CN"/>
        </w:rPr>
        <w:t>减少1,762.46万元</w:t>
      </w:r>
      <w:r>
        <w:rPr>
          <w:rFonts w:hint="default" w:ascii="Times New Roman" w:hAnsi="Times New Roman" w:eastAsia="仿宋_GB2312" w:cs="Times New Roman"/>
          <w:color w:val="auto"/>
          <w:spacing w:val="0"/>
          <w:sz w:val="32"/>
          <w:szCs w:val="32"/>
          <w:highlight w:val="none"/>
          <w:lang w:val="en-US" w:eastAsia="zh-CN"/>
        </w:rPr>
        <w:t>，下降40.38%,主要原因是：2023年减少阿克苏河西大桥引水枢纽除险加固工程项目1863万元。与年初预算相比，年初预算数</w:t>
      </w:r>
      <w:r>
        <w:rPr>
          <w:rFonts w:hint="default" w:ascii="Times New Roman" w:hAnsi="Times New Roman" w:eastAsia="仿宋_GB2312" w:cs="Times New Roman"/>
          <w:color w:val="auto"/>
          <w:spacing w:val="0"/>
          <w:sz w:val="32"/>
          <w:szCs w:val="32"/>
          <w:highlight w:val="none"/>
          <w:lang w:val="zh-CN" w:eastAsia="zh-CN"/>
        </w:rPr>
        <w:t>2,501.78</w:t>
      </w:r>
      <w:r>
        <w:rPr>
          <w:rFonts w:hint="default" w:ascii="Times New Roman" w:hAnsi="Times New Roman" w:eastAsia="仿宋_GB2312" w:cs="Times New Roman"/>
          <w:color w:val="auto"/>
          <w:spacing w:val="0"/>
          <w:sz w:val="32"/>
          <w:szCs w:val="32"/>
          <w:highlight w:val="none"/>
          <w:lang w:val="en-US" w:eastAsia="zh-CN"/>
        </w:rPr>
        <w:t>万元，决算数</w:t>
      </w:r>
      <w:r>
        <w:rPr>
          <w:rFonts w:hint="default" w:ascii="Times New Roman" w:hAnsi="Times New Roman" w:eastAsia="仿宋_GB2312" w:cs="Times New Roman"/>
          <w:color w:val="auto"/>
          <w:spacing w:val="0"/>
          <w:sz w:val="32"/>
          <w:szCs w:val="32"/>
          <w:highlight w:val="none"/>
          <w:lang w:val="zh-CN" w:eastAsia="zh-CN"/>
        </w:rPr>
        <w:t>2,602.32</w:t>
      </w:r>
      <w:r>
        <w:rPr>
          <w:rFonts w:hint="default" w:ascii="Times New Roman" w:hAnsi="Times New Roman" w:eastAsia="仿宋_GB2312" w:cs="Times New Roman"/>
          <w:color w:val="auto"/>
          <w:spacing w:val="0"/>
          <w:sz w:val="32"/>
          <w:szCs w:val="32"/>
          <w:highlight w:val="none"/>
          <w:lang w:val="en-US" w:eastAsia="zh-CN"/>
        </w:rPr>
        <w:t>万元，预决算差异率</w:t>
      </w:r>
      <w:r>
        <w:rPr>
          <w:rFonts w:hint="default" w:ascii="Times New Roman" w:hAnsi="Times New Roman" w:eastAsia="仿宋_GB2312" w:cs="Times New Roman"/>
          <w:color w:val="auto"/>
          <w:spacing w:val="0"/>
          <w:sz w:val="32"/>
          <w:szCs w:val="32"/>
          <w:highlight w:val="none"/>
          <w:lang w:val="zh-CN" w:eastAsia="zh-CN"/>
        </w:rPr>
        <w:t>4.02%</w:t>
      </w:r>
      <w:r>
        <w:rPr>
          <w:rFonts w:hint="default" w:ascii="Times New Roman" w:hAnsi="Times New Roman" w:eastAsia="仿宋_GB2312" w:cs="Times New Roman"/>
          <w:color w:val="auto"/>
          <w:spacing w:val="0"/>
          <w:sz w:val="32"/>
          <w:szCs w:val="32"/>
          <w:highlight w:val="none"/>
          <w:lang w:val="en-US" w:eastAsia="zh-CN"/>
        </w:rPr>
        <w:t>，主要原因是：新财农〔2023〕9号2022年年度考核奖22.36万元；新财农〔2023〕8号下拨2022-2023年提高基础绩效奖（在职离休）25.87万元；新财农〔2023〕14号下拨非统发单位追加人员工资28.41万元；新财农〔2023〕020号下拨2022-2023年调增艰边贴26万元。</w:t>
      </w:r>
    </w:p>
    <w:p w14:paraId="4778A610">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default" w:ascii="Times New Roman" w:hAnsi="Times New Roman" w:eastAsia="黑体" w:cs="Times New Roman"/>
          <w:color w:val="auto"/>
          <w:sz w:val="32"/>
          <w:szCs w:val="32"/>
          <w:highlight w:val="none"/>
          <w:lang w:eastAsia="zh-CN"/>
        </w:rPr>
      </w:pPr>
      <w:r>
        <w:rPr>
          <w:rFonts w:hint="default" w:ascii="Times New Roman" w:hAnsi="Times New Roman" w:eastAsia="黑体" w:cs="Times New Roman"/>
          <w:color w:val="auto"/>
          <w:sz w:val="32"/>
          <w:szCs w:val="32"/>
          <w:highlight w:val="none"/>
          <w:lang w:eastAsia="zh-CN"/>
        </w:rPr>
        <w:t>一般公共预算</w:t>
      </w:r>
      <w:r>
        <w:rPr>
          <w:rFonts w:hint="default" w:ascii="Times New Roman" w:hAnsi="Times New Roman" w:eastAsia="黑体" w:cs="Times New Roman"/>
          <w:color w:val="auto"/>
          <w:sz w:val="32"/>
          <w:szCs w:val="32"/>
          <w:highlight w:val="none"/>
          <w:lang w:val="en-US" w:eastAsia="zh-CN"/>
        </w:rPr>
        <w:t>财政拨款支出决算</w:t>
      </w:r>
      <w:r>
        <w:rPr>
          <w:rFonts w:hint="default" w:ascii="Times New Roman" w:hAnsi="Times New Roman" w:eastAsia="黑体" w:cs="Times New Roman"/>
          <w:color w:val="auto"/>
          <w:sz w:val="32"/>
          <w:szCs w:val="32"/>
          <w:highlight w:val="none"/>
          <w:lang w:eastAsia="zh-CN"/>
        </w:rPr>
        <w:t>结构情况</w:t>
      </w:r>
    </w:p>
    <w:p w14:paraId="53EB44E5">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Times New Roman" w:hAnsi="Times New Roman" w:eastAsia="仿宋_GB2312" w:cs="Times New Roman"/>
          <w:color w:val="auto"/>
          <w:spacing w:val="0"/>
          <w:kern w:val="2"/>
          <w:sz w:val="32"/>
          <w:szCs w:val="32"/>
          <w:highlight w:val="none"/>
          <w:lang w:val="zh-CN" w:eastAsia="zh-CN" w:bidi="ar-SA"/>
        </w:rPr>
      </w:pPr>
      <w:r>
        <w:rPr>
          <w:rFonts w:hint="default" w:ascii="Times New Roman" w:hAnsi="Times New Roman" w:eastAsia="仿宋_GB2312" w:cs="Times New Roman"/>
          <w:color w:val="auto"/>
          <w:spacing w:val="0"/>
          <w:kern w:val="2"/>
          <w:sz w:val="32"/>
          <w:szCs w:val="32"/>
          <w:lang w:val="en-US" w:eastAsia="zh-CN" w:bidi="ar-SA"/>
        </w:rPr>
        <w:t>1</w:t>
      </w:r>
      <w:r>
        <w:rPr>
          <w:rFonts w:hint="default" w:ascii="Times New Roman" w:hAnsi="Times New Roman" w:eastAsia="仿宋_GB2312" w:cs="Times New Roman"/>
          <w:color w:val="auto"/>
          <w:spacing w:val="0"/>
          <w:kern w:val="2"/>
          <w:sz w:val="32"/>
          <w:szCs w:val="32"/>
          <w:lang w:val="zh-CN" w:eastAsia="zh-CN" w:bidi="ar-SA"/>
        </w:rPr>
        <w:t>.</w:t>
      </w:r>
      <w:r>
        <w:rPr>
          <w:rFonts w:hint="default" w:ascii="Times New Roman" w:hAnsi="Times New Roman" w:eastAsia="仿宋_GB2312" w:cs="Times New Roman"/>
          <w:color w:val="auto"/>
          <w:spacing w:val="0"/>
          <w:kern w:val="2"/>
          <w:sz w:val="32"/>
          <w:szCs w:val="32"/>
          <w:highlight w:val="none"/>
          <w:lang w:val="zh-CN" w:eastAsia="zh-CN" w:bidi="ar-SA"/>
        </w:rPr>
        <w:t>社会保障和就业支出（类）79.66万元，占3.06%；</w:t>
      </w:r>
    </w:p>
    <w:p w14:paraId="5739ED20">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Times New Roman" w:hAnsi="Times New Roman" w:eastAsia="仿宋_GB2312" w:cs="Times New Roman"/>
          <w:color w:val="auto"/>
          <w:spacing w:val="0"/>
          <w:kern w:val="2"/>
          <w:sz w:val="32"/>
          <w:szCs w:val="32"/>
          <w:highlight w:val="none"/>
          <w:lang w:val="zh-CN" w:eastAsia="zh-CN" w:bidi="ar-SA"/>
        </w:rPr>
      </w:pPr>
      <w:r>
        <w:rPr>
          <w:rFonts w:hint="default" w:ascii="Times New Roman" w:hAnsi="Times New Roman" w:eastAsia="仿宋_GB2312" w:cs="Times New Roman"/>
          <w:color w:val="auto"/>
          <w:spacing w:val="0"/>
          <w:kern w:val="2"/>
          <w:sz w:val="32"/>
          <w:szCs w:val="32"/>
          <w:lang w:val="en-US" w:eastAsia="zh-CN" w:bidi="ar-SA"/>
        </w:rPr>
        <w:t>2</w:t>
      </w:r>
      <w:r>
        <w:rPr>
          <w:rFonts w:hint="default" w:ascii="Times New Roman" w:hAnsi="Times New Roman" w:eastAsia="仿宋_GB2312" w:cs="Times New Roman"/>
          <w:color w:val="auto"/>
          <w:spacing w:val="0"/>
          <w:kern w:val="2"/>
          <w:sz w:val="32"/>
          <w:szCs w:val="32"/>
          <w:lang w:val="zh-CN" w:eastAsia="zh-CN" w:bidi="ar-SA"/>
        </w:rPr>
        <w:t>.</w:t>
      </w:r>
      <w:r>
        <w:rPr>
          <w:rFonts w:hint="default" w:ascii="Times New Roman" w:hAnsi="Times New Roman" w:eastAsia="仿宋_GB2312" w:cs="Times New Roman"/>
          <w:color w:val="auto"/>
          <w:spacing w:val="0"/>
          <w:kern w:val="2"/>
          <w:sz w:val="32"/>
          <w:szCs w:val="32"/>
          <w:highlight w:val="none"/>
          <w:lang w:val="zh-CN" w:eastAsia="zh-CN" w:bidi="ar-SA"/>
        </w:rPr>
        <w:t>卫生健康支出（类）49.59万元，占1.91%；</w:t>
      </w:r>
    </w:p>
    <w:p w14:paraId="4FDECCDD">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Times New Roman" w:hAnsi="Times New Roman" w:eastAsia="仿宋_GB2312" w:cs="Times New Roman"/>
          <w:color w:val="auto"/>
          <w:spacing w:val="0"/>
          <w:kern w:val="2"/>
          <w:sz w:val="32"/>
          <w:szCs w:val="32"/>
          <w:highlight w:val="none"/>
          <w:lang w:val="zh-CN" w:eastAsia="zh-CN" w:bidi="ar-SA"/>
        </w:rPr>
      </w:pPr>
      <w:r>
        <w:rPr>
          <w:rFonts w:hint="default" w:ascii="Times New Roman" w:hAnsi="Times New Roman" w:eastAsia="仿宋_GB2312" w:cs="Times New Roman"/>
          <w:color w:val="auto"/>
          <w:spacing w:val="0"/>
          <w:kern w:val="2"/>
          <w:sz w:val="32"/>
          <w:szCs w:val="32"/>
          <w:lang w:val="en-US" w:eastAsia="zh-CN" w:bidi="ar-SA"/>
        </w:rPr>
        <w:t>3</w:t>
      </w:r>
      <w:r>
        <w:rPr>
          <w:rFonts w:hint="default" w:ascii="Times New Roman" w:hAnsi="Times New Roman" w:eastAsia="仿宋_GB2312" w:cs="Times New Roman"/>
          <w:color w:val="auto"/>
          <w:spacing w:val="0"/>
          <w:kern w:val="2"/>
          <w:sz w:val="32"/>
          <w:szCs w:val="32"/>
          <w:lang w:val="zh-CN" w:eastAsia="zh-CN" w:bidi="ar-SA"/>
        </w:rPr>
        <w:t>.</w:t>
      </w:r>
      <w:r>
        <w:rPr>
          <w:rFonts w:hint="default" w:ascii="Times New Roman" w:hAnsi="Times New Roman" w:eastAsia="仿宋_GB2312" w:cs="Times New Roman"/>
          <w:color w:val="auto"/>
          <w:spacing w:val="0"/>
          <w:kern w:val="2"/>
          <w:sz w:val="32"/>
          <w:szCs w:val="32"/>
          <w:highlight w:val="none"/>
          <w:lang w:val="zh-CN" w:eastAsia="zh-CN" w:bidi="ar-SA"/>
        </w:rPr>
        <w:t>农林水支出（类）2,432.02万元，占93.46%；</w:t>
      </w:r>
    </w:p>
    <w:p w14:paraId="0BCEBDBE">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Times New Roman" w:hAnsi="Times New Roman" w:eastAsia="仿宋_GB2312" w:cs="Times New Roman"/>
          <w:color w:val="auto"/>
          <w:spacing w:val="0"/>
          <w:kern w:val="2"/>
          <w:sz w:val="32"/>
          <w:szCs w:val="32"/>
          <w:highlight w:val="none"/>
          <w:lang w:val="zh-CN" w:eastAsia="zh-CN" w:bidi="ar-SA"/>
        </w:rPr>
      </w:pPr>
      <w:r>
        <w:rPr>
          <w:rFonts w:hint="default" w:ascii="Times New Roman" w:hAnsi="Times New Roman" w:eastAsia="仿宋_GB2312" w:cs="Times New Roman"/>
          <w:color w:val="auto"/>
          <w:spacing w:val="0"/>
          <w:kern w:val="2"/>
          <w:sz w:val="32"/>
          <w:szCs w:val="32"/>
          <w:lang w:val="en-US" w:eastAsia="zh-CN" w:bidi="ar-SA"/>
        </w:rPr>
        <w:t>4</w:t>
      </w:r>
      <w:r>
        <w:rPr>
          <w:rFonts w:hint="default" w:ascii="Times New Roman" w:hAnsi="Times New Roman" w:eastAsia="仿宋_GB2312" w:cs="Times New Roman"/>
          <w:color w:val="auto"/>
          <w:spacing w:val="0"/>
          <w:kern w:val="2"/>
          <w:sz w:val="32"/>
          <w:szCs w:val="32"/>
          <w:lang w:val="zh-CN" w:eastAsia="zh-CN" w:bidi="ar-SA"/>
        </w:rPr>
        <w:t>.</w:t>
      </w:r>
      <w:r>
        <w:rPr>
          <w:rFonts w:hint="default" w:ascii="Times New Roman" w:hAnsi="Times New Roman" w:eastAsia="仿宋_GB2312" w:cs="Times New Roman"/>
          <w:color w:val="auto"/>
          <w:spacing w:val="0"/>
          <w:kern w:val="2"/>
          <w:sz w:val="32"/>
          <w:szCs w:val="32"/>
          <w:highlight w:val="none"/>
          <w:lang w:val="zh-CN" w:eastAsia="zh-CN" w:bidi="ar-SA"/>
        </w:rPr>
        <w:t>住房保障支出（类）41.05万元，占1.58%；</w:t>
      </w:r>
    </w:p>
    <w:p w14:paraId="727C808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default" w:ascii="Times New Roman" w:hAnsi="Times New Roman" w:eastAsia="黑体" w:cs="Times New Roman"/>
          <w:color w:val="auto"/>
          <w:sz w:val="32"/>
          <w:szCs w:val="32"/>
          <w:highlight w:val="none"/>
          <w:lang w:eastAsia="zh-CN"/>
        </w:rPr>
      </w:pPr>
      <w:r>
        <w:rPr>
          <w:rFonts w:hint="default" w:ascii="Times New Roman" w:hAnsi="Times New Roman" w:eastAsia="黑体" w:cs="Times New Roman"/>
          <w:color w:val="auto"/>
          <w:sz w:val="32"/>
          <w:szCs w:val="32"/>
          <w:highlight w:val="none"/>
          <w:lang w:eastAsia="zh-CN"/>
        </w:rPr>
        <w:t>（三）一般公共预算财政拨款支出决算具体情况</w:t>
      </w:r>
    </w:p>
    <w:p w14:paraId="15D6FC4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pacing w:val="0"/>
          <w:sz w:val="32"/>
          <w:szCs w:val="32"/>
          <w:highlight w:val="none"/>
          <w:lang w:val="zh-CN" w:eastAsia="zh-CN"/>
        </w:rPr>
      </w:pPr>
      <w:r>
        <w:rPr>
          <w:rFonts w:hint="default" w:ascii="Times New Roman" w:hAnsi="Times New Roman" w:eastAsia="仿宋_GB2312" w:cs="Times New Roman"/>
          <w:color w:val="auto"/>
          <w:spacing w:val="0"/>
          <w:sz w:val="32"/>
          <w:szCs w:val="32"/>
          <w:highlight w:val="none"/>
          <w:lang w:val="en-US" w:eastAsia="zh-CN"/>
        </w:rPr>
        <w:t>1.卫生健康支出（类）行政事业单位医疗（款）事业单位医疗（项）:支出决算数为25.65万元，比上年决算减少121.20万元，下降82.53%，主要原因是：2022年公益性人员卫生健康支出（类）行政事业单位医疗（款）事业单位医疗列入财政拨款基本支出，2023年公益性人员卫生健康支出（类）行政事业单位医疗（款）事业单位医疗未列入财政拨款基本支出</w:t>
      </w:r>
      <w:r>
        <w:rPr>
          <w:rFonts w:hint="default" w:ascii="Times New Roman" w:hAnsi="Times New Roman" w:eastAsia="仿宋_GB2312" w:cs="Times New Roman"/>
          <w:color w:val="auto"/>
          <w:spacing w:val="0"/>
          <w:sz w:val="32"/>
          <w:szCs w:val="32"/>
          <w:highlight w:val="none"/>
          <w:lang w:val="zh-CN" w:eastAsia="zh-CN"/>
        </w:rPr>
        <w:t>。</w:t>
      </w:r>
    </w:p>
    <w:p w14:paraId="3D62B90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pacing w:val="0"/>
          <w:sz w:val="32"/>
          <w:szCs w:val="32"/>
          <w:highlight w:val="none"/>
          <w:lang w:val="zh-CN" w:eastAsia="zh-CN"/>
        </w:rPr>
      </w:pPr>
      <w:r>
        <w:rPr>
          <w:rFonts w:hint="default" w:ascii="Times New Roman" w:hAnsi="Times New Roman" w:eastAsia="仿宋_GB2312" w:cs="Times New Roman"/>
          <w:color w:val="auto"/>
          <w:spacing w:val="0"/>
          <w:sz w:val="32"/>
          <w:szCs w:val="32"/>
          <w:highlight w:val="none"/>
          <w:lang w:val="en-US" w:eastAsia="zh-CN"/>
        </w:rPr>
        <w:t>2.卫生健康支出（类）行政事业单位医疗（款）公务员医疗补助（项）:支出决算数为23.94万元，比上年决算减少90.28万元，下降79.04%，主要原因是：2022年公益性人员卫生健康支出（类）行政事业单位医疗（款）公务员医疗补助列入财政拨款基本支出，2023年公益性人员卫生健康支出（类）行政事业单位医疗（款）公务员医疗补助未列入财政拨款基本支出</w:t>
      </w:r>
      <w:r>
        <w:rPr>
          <w:rFonts w:hint="default" w:ascii="Times New Roman" w:hAnsi="Times New Roman" w:eastAsia="仿宋_GB2312" w:cs="Times New Roman"/>
          <w:color w:val="auto"/>
          <w:spacing w:val="0"/>
          <w:sz w:val="32"/>
          <w:szCs w:val="32"/>
          <w:highlight w:val="none"/>
          <w:lang w:val="zh-CN" w:eastAsia="zh-CN"/>
        </w:rPr>
        <w:t>。</w:t>
      </w:r>
    </w:p>
    <w:p w14:paraId="3EDEBE1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pacing w:val="0"/>
          <w:sz w:val="32"/>
          <w:szCs w:val="32"/>
          <w:highlight w:val="none"/>
          <w:lang w:val="zh-CN" w:eastAsia="zh-CN"/>
        </w:rPr>
      </w:pPr>
      <w:r>
        <w:rPr>
          <w:rFonts w:hint="default" w:ascii="Times New Roman" w:hAnsi="Times New Roman" w:eastAsia="仿宋_GB2312" w:cs="Times New Roman"/>
          <w:color w:val="auto"/>
          <w:spacing w:val="0"/>
          <w:sz w:val="32"/>
          <w:szCs w:val="32"/>
          <w:highlight w:val="none"/>
          <w:lang w:val="en-US" w:eastAsia="zh-CN"/>
        </w:rPr>
        <w:t>3.住房保障支出（类）住房改革支出（款）住房公积金（项）:支出决算数为41.05万元，比上年决算减少161.89万元，下降79.77%，主要原因是：2022年公益性人员住房保障支出（类）住房改革支出（款）住房公积金列入财政拨款基本支出，2023年公益性人员住房保障支出（类）住房改革支出（款）住房公积金未列入财政拨款基本支出</w:t>
      </w:r>
      <w:r>
        <w:rPr>
          <w:rFonts w:hint="default" w:ascii="Times New Roman" w:hAnsi="Times New Roman" w:eastAsia="仿宋_GB2312" w:cs="Times New Roman"/>
          <w:color w:val="auto"/>
          <w:spacing w:val="0"/>
          <w:sz w:val="32"/>
          <w:szCs w:val="32"/>
          <w:highlight w:val="none"/>
          <w:lang w:val="zh-CN" w:eastAsia="zh-CN"/>
        </w:rPr>
        <w:t>。</w:t>
      </w:r>
    </w:p>
    <w:p w14:paraId="3371854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pacing w:val="0"/>
          <w:sz w:val="32"/>
          <w:szCs w:val="32"/>
          <w:highlight w:val="none"/>
          <w:lang w:val="en-US" w:eastAsia="zh-CN"/>
        </w:rPr>
      </w:pPr>
      <w:r>
        <w:rPr>
          <w:rFonts w:hint="default" w:ascii="Times New Roman" w:hAnsi="Times New Roman" w:eastAsia="仿宋_GB2312" w:cs="Times New Roman"/>
          <w:color w:val="auto"/>
          <w:spacing w:val="0"/>
          <w:sz w:val="32"/>
          <w:szCs w:val="32"/>
          <w:highlight w:val="none"/>
          <w:lang w:val="en-US" w:eastAsia="zh-CN"/>
        </w:rPr>
        <w:t>4.农林水支出（类）水利（款）水利工程运行与维护（项）:支出决算数为2,432.02万元，比上年决算增加866.34万元，增长55.33%，主要原因是：2023年农林水支出（类）水利（款）水资源节约管理与保护200万元预算列入农林水支出-水利工程运行与维护</w:t>
      </w:r>
      <w:r>
        <w:rPr>
          <w:rFonts w:hint="default" w:ascii="Times New Roman" w:hAnsi="Times New Roman" w:eastAsia="仿宋_GB2312" w:cs="Times New Roman"/>
          <w:color w:val="auto"/>
          <w:spacing w:val="0"/>
          <w:sz w:val="32"/>
          <w:szCs w:val="32"/>
          <w:highlight w:val="none"/>
          <w:lang w:val="zh-CN" w:eastAsia="zh-CN"/>
        </w:rPr>
        <w:t>。</w:t>
      </w:r>
      <w:r>
        <w:rPr>
          <w:rFonts w:hint="default" w:ascii="Times New Roman" w:hAnsi="Times New Roman" w:eastAsia="仿宋_GB2312" w:cs="Times New Roman"/>
          <w:color w:val="auto"/>
          <w:spacing w:val="0"/>
          <w:sz w:val="32"/>
          <w:szCs w:val="32"/>
          <w:highlight w:val="none"/>
          <w:lang w:val="en-US" w:eastAsia="zh-CN"/>
        </w:rPr>
        <w:t>新财农〔2023〕9号2022年年度考核奖22.36万元；新财农〔2023〕8号下拨2022-2023年提高基础绩效奖（在职离休）25.87万元；新财农〔2023〕14号下拨非统发单位追加人员工资28.41万元；新财农〔2023〕020号下拨2022-2023年调增艰边贴26万元。</w:t>
      </w:r>
    </w:p>
    <w:p w14:paraId="0B5F67F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pacing w:val="0"/>
          <w:sz w:val="32"/>
          <w:szCs w:val="32"/>
          <w:highlight w:val="none"/>
          <w:lang w:val="zh-CN" w:eastAsia="zh-CN"/>
        </w:rPr>
      </w:pPr>
      <w:r>
        <w:rPr>
          <w:rFonts w:hint="default" w:ascii="Times New Roman" w:hAnsi="Times New Roman" w:eastAsia="仿宋_GB2312" w:cs="Times New Roman"/>
          <w:color w:val="auto"/>
          <w:spacing w:val="0"/>
          <w:sz w:val="32"/>
          <w:szCs w:val="32"/>
          <w:highlight w:val="none"/>
          <w:lang w:val="en-US" w:eastAsia="zh-CN"/>
        </w:rPr>
        <w:t>5.社会保障和就业支出（类）行政事业单位养老支出（款）事业单位离退休（项）:支出决算数为22.73万元，比上年决算减少4.19万元，下降15.57%，主要原因是：2023年退休人员医疗费不再缴纳</w:t>
      </w:r>
      <w:r>
        <w:rPr>
          <w:rFonts w:hint="default" w:ascii="Times New Roman" w:hAnsi="Times New Roman" w:eastAsia="仿宋_GB2312" w:cs="Times New Roman"/>
          <w:color w:val="auto"/>
          <w:spacing w:val="0"/>
          <w:sz w:val="32"/>
          <w:szCs w:val="32"/>
          <w:highlight w:val="none"/>
          <w:lang w:val="zh-CN" w:eastAsia="zh-CN"/>
        </w:rPr>
        <w:t>。</w:t>
      </w:r>
    </w:p>
    <w:p w14:paraId="6086498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pacing w:val="0"/>
          <w:sz w:val="32"/>
          <w:szCs w:val="32"/>
          <w:highlight w:val="none"/>
          <w:lang w:val="zh-CN" w:eastAsia="zh-CN"/>
        </w:rPr>
      </w:pPr>
      <w:r>
        <w:rPr>
          <w:rFonts w:hint="default" w:ascii="Times New Roman" w:hAnsi="Times New Roman" w:eastAsia="仿宋_GB2312" w:cs="Times New Roman"/>
          <w:color w:val="auto"/>
          <w:spacing w:val="0"/>
          <w:sz w:val="32"/>
          <w:szCs w:val="32"/>
          <w:highlight w:val="none"/>
          <w:lang w:val="en-US" w:eastAsia="zh-CN"/>
        </w:rPr>
        <w:t>6.社会保障和就业支出（类）行政事业单位养老支出（款）机关事业单位职业年金缴费支出（项）:支出决算数为6.41万元，比上年决算增加6.41万元，增长100%，主要原因是：2023年新增全额退休人员一名，2022年未有新增全额退休人员</w:t>
      </w:r>
      <w:r>
        <w:rPr>
          <w:rFonts w:hint="default" w:ascii="Times New Roman" w:hAnsi="Times New Roman" w:eastAsia="仿宋_GB2312" w:cs="Times New Roman"/>
          <w:color w:val="auto"/>
          <w:spacing w:val="0"/>
          <w:sz w:val="32"/>
          <w:szCs w:val="32"/>
          <w:highlight w:val="none"/>
          <w:lang w:val="zh-CN" w:eastAsia="zh-CN"/>
        </w:rPr>
        <w:t>。</w:t>
      </w:r>
    </w:p>
    <w:p w14:paraId="6E579F3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pacing w:val="0"/>
          <w:sz w:val="32"/>
          <w:szCs w:val="32"/>
          <w:highlight w:val="none"/>
          <w:lang w:val="zh-CN" w:eastAsia="zh-CN"/>
        </w:rPr>
      </w:pPr>
      <w:r>
        <w:rPr>
          <w:rFonts w:hint="default" w:ascii="Times New Roman" w:hAnsi="Times New Roman" w:eastAsia="仿宋_GB2312" w:cs="Times New Roman"/>
          <w:color w:val="auto"/>
          <w:spacing w:val="0"/>
          <w:sz w:val="32"/>
          <w:szCs w:val="32"/>
          <w:highlight w:val="none"/>
          <w:lang w:val="en-US" w:eastAsia="zh-CN"/>
        </w:rPr>
        <w:t>7.社会保障和就业支出（类）行政事业单位养老支出（款）机关事业单位基本养老保险缴费支出（项）:支出决算数为50.52万元，比上年决算减少194.64万元，下降79.39%，主要原因是：2022年公益性人员社会保障和就业支出（类）行政事业单位养老支出（款）机关事业单位基本养老保险缴费支出列入财政拨款基本支出，2023年公益性人员社会保障和就业支出（类）行政事业单位养老支出（款）机关事业单位基本养老保险缴费支出未列入财政拨款基本支出</w:t>
      </w:r>
      <w:r>
        <w:rPr>
          <w:rFonts w:hint="default" w:ascii="Times New Roman" w:hAnsi="Times New Roman" w:eastAsia="仿宋_GB2312" w:cs="Times New Roman"/>
          <w:color w:val="auto"/>
          <w:spacing w:val="0"/>
          <w:sz w:val="32"/>
          <w:szCs w:val="32"/>
          <w:highlight w:val="none"/>
          <w:lang w:val="zh-CN" w:eastAsia="zh-CN"/>
        </w:rPr>
        <w:t>。</w:t>
      </w:r>
    </w:p>
    <w:p w14:paraId="2E51CFE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pacing w:val="0"/>
          <w:sz w:val="32"/>
          <w:szCs w:val="32"/>
          <w:highlight w:val="none"/>
          <w:lang w:val="zh-CN" w:eastAsia="zh-CN"/>
        </w:rPr>
      </w:pPr>
      <w:r>
        <w:rPr>
          <w:rFonts w:hint="default" w:ascii="Times New Roman" w:hAnsi="Times New Roman" w:eastAsia="仿宋_GB2312" w:cs="Times New Roman"/>
          <w:color w:val="auto"/>
          <w:spacing w:val="0"/>
          <w:sz w:val="32"/>
          <w:szCs w:val="32"/>
          <w:highlight w:val="none"/>
          <w:lang w:val="en-US" w:eastAsia="zh-CN"/>
        </w:rPr>
        <w:t>8.其他支出（类）其他支出（款）其他支出（项）:支出决算数为0.00万元，比上年决算减少1,863.00万元，下降100%，主要原因是：2023年减少阿克苏河西大桥引水枢纽除险加固工程项目1863万元。</w:t>
      </w:r>
    </w:p>
    <w:p w14:paraId="564DD5F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pacing w:val="0"/>
          <w:sz w:val="32"/>
          <w:szCs w:val="32"/>
          <w:highlight w:val="none"/>
          <w:lang w:val="zh-CN" w:eastAsia="zh-CN"/>
        </w:rPr>
      </w:pPr>
      <w:r>
        <w:rPr>
          <w:rFonts w:hint="default" w:ascii="Times New Roman" w:hAnsi="Times New Roman" w:eastAsia="仿宋_GB2312" w:cs="Times New Roman"/>
          <w:color w:val="auto"/>
          <w:spacing w:val="0"/>
          <w:sz w:val="32"/>
          <w:szCs w:val="32"/>
          <w:highlight w:val="none"/>
          <w:lang w:val="en-US" w:eastAsia="zh-CN"/>
        </w:rPr>
        <w:t>9.农林水支出（类）水利（款）水资源节约管理与保护（项）:支出决算数为0.00万元，比上年决算减少200.00万元，下降100%，主要原因是：2023年农林水支出（类）水利（款）水资源节约管理与保护预算列入农林水支出-水利工程运行与维护</w:t>
      </w:r>
      <w:r>
        <w:rPr>
          <w:rFonts w:hint="default" w:ascii="Times New Roman" w:hAnsi="Times New Roman" w:eastAsia="仿宋_GB2312" w:cs="Times New Roman"/>
          <w:color w:val="auto"/>
          <w:spacing w:val="0"/>
          <w:sz w:val="32"/>
          <w:szCs w:val="32"/>
          <w:highlight w:val="none"/>
          <w:lang w:val="zh-CN" w:eastAsia="zh-CN"/>
        </w:rPr>
        <w:t>。</w:t>
      </w:r>
    </w:p>
    <w:p w14:paraId="54B948C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黑体" w:cs="Times New Roman"/>
          <w:bCs/>
          <w:color w:val="auto"/>
          <w:kern w:val="0"/>
          <w:sz w:val="32"/>
          <w:szCs w:val="32"/>
          <w:highlight w:val="none"/>
          <w:lang w:eastAsia="zh-CN"/>
        </w:rPr>
      </w:pPr>
      <w:r>
        <w:rPr>
          <w:rFonts w:hint="default" w:ascii="Times New Roman" w:hAnsi="Times New Roman" w:eastAsia="黑体" w:cs="Times New Roman"/>
          <w:bCs/>
          <w:color w:val="auto"/>
          <w:kern w:val="0"/>
          <w:sz w:val="32"/>
          <w:szCs w:val="32"/>
          <w:highlight w:val="none"/>
          <w:lang w:eastAsia="zh-CN"/>
        </w:rPr>
        <w:t>六、一般公共预算财政拨款基本支出决算情况说明</w:t>
      </w:r>
    </w:p>
    <w:p w14:paraId="799256E7">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pacing w:val="0"/>
          <w:sz w:val="32"/>
          <w:szCs w:val="32"/>
          <w:highlight w:val="none"/>
          <w:lang w:eastAsia="zh-CN"/>
        </w:rPr>
        <w:t>2023年度</w:t>
      </w:r>
      <w:r>
        <w:rPr>
          <w:rFonts w:hint="default" w:ascii="Times New Roman" w:hAnsi="Times New Roman" w:eastAsia="仿宋_GB2312" w:cs="Times New Roman"/>
          <w:color w:val="auto"/>
          <w:sz w:val="32"/>
          <w:szCs w:val="32"/>
          <w:highlight w:val="none"/>
        </w:rPr>
        <w:t>一般公共预算财政拨款基本支出</w:t>
      </w:r>
      <w:r>
        <w:rPr>
          <w:rFonts w:hint="default" w:ascii="Times New Roman" w:hAnsi="Times New Roman" w:eastAsia="仿宋_GB2312" w:cs="Times New Roman"/>
          <w:color w:val="auto"/>
          <w:sz w:val="32"/>
          <w:szCs w:val="32"/>
          <w:highlight w:val="none"/>
          <w:lang w:eastAsia="zh-CN"/>
        </w:rPr>
        <w:t>2,096.32</w:t>
      </w:r>
      <w:r>
        <w:rPr>
          <w:rFonts w:hint="default" w:ascii="Times New Roman" w:hAnsi="Times New Roman" w:eastAsia="仿宋_GB2312" w:cs="Times New Roman"/>
          <w:color w:val="auto"/>
          <w:sz w:val="32"/>
          <w:szCs w:val="32"/>
          <w:highlight w:val="none"/>
        </w:rPr>
        <w:t>万元，其中：人员经费</w:t>
      </w:r>
      <w:r>
        <w:rPr>
          <w:rFonts w:hint="default" w:ascii="Times New Roman" w:hAnsi="Times New Roman" w:eastAsia="仿宋_GB2312" w:cs="Times New Roman"/>
          <w:color w:val="auto"/>
          <w:sz w:val="32"/>
          <w:szCs w:val="32"/>
          <w:highlight w:val="none"/>
          <w:lang w:eastAsia="zh-CN"/>
        </w:rPr>
        <w:t>2,053.05</w:t>
      </w:r>
      <w:r>
        <w:rPr>
          <w:rFonts w:hint="default" w:ascii="Times New Roman" w:hAnsi="Times New Roman" w:eastAsia="仿宋_GB2312" w:cs="Times New Roman"/>
          <w:color w:val="auto"/>
          <w:sz w:val="32"/>
          <w:szCs w:val="32"/>
          <w:highlight w:val="none"/>
        </w:rPr>
        <w:t>万元，包括：</w:t>
      </w:r>
      <w:r>
        <w:rPr>
          <w:rFonts w:hint="default" w:ascii="Times New Roman" w:hAnsi="Times New Roman" w:eastAsia="仿宋_GB2312" w:cs="Times New Roman"/>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退休费、生活补助、其他对个人和家庭的补助。</w:t>
      </w:r>
    </w:p>
    <w:p w14:paraId="3429A747">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red"/>
          <w:lang w:val="en-US" w:eastAsia="zh-CN"/>
        </w:rPr>
      </w:pPr>
      <w:r>
        <w:rPr>
          <w:rFonts w:hint="default" w:ascii="Times New Roman" w:hAnsi="Times New Roman" w:eastAsia="仿宋_GB2312" w:cs="Times New Roman"/>
          <w:color w:val="auto"/>
          <w:sz w:val="32"/>
          <w:szCs w:val="32"/>
          <w:highlight w:val="none"/>
        </w:rPr>
        <w:t>公用经费</w:t>
      </w:r>
      <w:r>
        <w:rPr>
          <w:rFonts w:hint="default" w:ascii="Times New Roman" w:hAnsi="Times New Roman" w:eastAsia="仿宋_GB2312" w:cs="Times New Roman"/>
          <w:color w:val="auto"/>
          <w:sz w:val="32"/>
          <w:szCs w:val="32"/>
          <w:highlight w:val="none"/>
          <w:lang w:eastAsia="zh-CN"/>
        </w:rPr>
        <w:t>43.27</w:t>
      </w:r>
      <w:r>
        <w:rPr>
          <w:rFonts w:hint="default" w:ascii="Times New Roman" w:hAnsi="Times New Roman" w:eastAsia="仿宋_GB2312" w:cs="Times New Roman"/>
          <w:color w:val="auto"/>
          <w:sz w:val="32"/>
          <w:szCs w:val="32"/>
          <w:highlight w:val="none"/>
        </w:rPr>
        <w:t>万元，包括：</w:t>
      </w:r>
      <w:r>
        <w:rPr>
          <w:rFonts w:hint="default" w:ascii="Times New Roman" w:hAnsi="Times New Roman" w:eastAsia="仿宋_GB2312" w:cs="Times New Roman"/>
          <w:color w:val="auto"/>
          <w:sz w:val="32"/>
          <w:szCs w:val="32"/>
          <w:highlight w:val="none"/>
          <w:lang w:val="en-US" w:eastAsia="zh-CN"/>
        </w:rPr>
        <w:t>邮电费、差旅费、工会经费、福利费、公务用车运行维护费、其他商品和服务支出。</w:t>
      </w:r>
    </w:p>
    <w:p w14:paraId="2A33F93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黑体" w:cs="Times New Roman"/>
          <w:bCs/>
          <w:color w:val="auto"/>
          <w:kern w:val="0"/>
          <w:sz w:val="32"/>
          <w:szCs w:val="32"/>
          <w:highlight w:val="none"/>
          <w:lang w:eastAsia="zh-CN"/>
        </w:rPr>
      </w:pPr>
      <w:r>
        <w:rPr>
          <w:rFonts w:hint="default" w:ascii="Times New Roman" w:hAnsi="Times New Roman" w:eastAsia="黑体" w:cs="Times New Roman"/>
          <w:bCs/>
          <w:color w:val="auto"/>
          <w:kern w:val="0"/>
          <w:sz w:val="32"/>
          <w:szCs w:val="32"/>
          <w:highlight w:val="none"/>
          <w:lang w:val="en-US" w:eastAsia="zh-CN"/>
        </w:rPr>
        <w:t>七、</w:t>
      </w:r>
      <w:r>
        <w:rPr>
          <w:rFonts w:hint="default" w:ascii="Times New Roman" w:hAnsi="Times New Roman" w:eastAsia="黑体" w:cs="Times New Roman"/>
          <w:bCs/>
          <w:color w:val="auto"/>
          <w:kern w:val="0"/>
          <w:sz w:val="32"/>
          <w:szCs w:val="32"/>
          <w:highlight w:val="none"/>
          <w:lang w:eastAsia="zh-CN"/>
        </w:rPr>
        <w:t>财政拨款</w:t>
      </w:r>
      <w:r>
        <w:rPr>
          <w:rFonts w:hint="default" w:ascii="Times New Roman" w:hAnsi="Times New Roman" w:eastAsia="黑体" w:cs="Times New Roman"/>
          <w:bCs/>
          <w:color w:val="auto"/>
          <w:kern w:val="0"/>
          <w:sz w:val="32"/>
          <w:szCs w:val="32"/>
          <w:highlight w:val="none"/>
        </w:rPr>
        <w:t>“三公”经费支出</w:t>
      </w:r>
      <w:r>
        <w:rPr>
          <w:rFonts w:hint="default" w:ascii="Times New Roman" w:hAnsi="Times New Roman" w:eastAsia="黑体" w:cs="Times New Roman"/>
          <w:bCs/>
          <w:color w:val="auto"/>
          <w:kern w:val="0"/>
          <w:sz w:val="32"/>
          <w:szCs w:val="32"/>
          <w:highlight w:val="none"/>
          <w:lang w:eastAsia="zh-CN"/>
        </w:rPr>
        <w:t>决算</w:t>
      </w:r>
      <w:r>
        <w:rPr>
          <w:rFonts w:hint="default" w:ascii="Times New Roman" w:hAnsi="Times New Roman" w:eastAsia="黑体" w:cs="Times New Roman"/>
          <w:bCs/>
          <w:color w:val="auto"/>
          <w:kern w:val="0"/>
          <w:sz w:val="32"/>
          <w:szCs w:val="32"/>
          <w:highlight w:val="none"/>
        </w:rPr>
        <w:t>情况</w:t>
      </w:r>
      <w:r>
        <w:rPr>
          <w:rFonts w:hint="default" w:ascii="Times New Roman" w:hAnsi="Times New Roman" w:eastAsia="黑体" w:cs="Times New Roman"/>
          <w:bCs/>
          <w:color w:val="auto"/>
          <w:kern w:val="0"/>
          <w:sz w:val="32"/>
          <w:szCs w:val="32"/>
          <w:highlight w:val="none"/>
          <w:lang w:eastAsia="zh-CN"/>
        </w:rPr>
        <w:t>说明</w:t>
      </w:r>
    </w:p>
    <w:p w14:paraId="635EF54E">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eastAsia="zh-CN"/>
        </w:rPr>
        <w:t>2023年度</w:t>
      </w:r>
      <w:r>
        <w:rPr>
          <w:rFonts w:hint="default" w:ascii="Times New Roman" w:hAnsi="Times New Roman" w:eastAsia="仿宋_GB2312" w:cs="Times New Roman"/>
          <w:color w:val="auto"/>
          <w:sz w:val="32"/>
          <w:szCs w:val="32"/>
          <w:highlight w:val="none"/>
          <w:lang w:val="en-US" w:eastAsia="zh-CN"/>
        </w:rPr>
        <w:t>财政拨款</w:t>
      </w:r>
      <w:r>
        <w:rPr>
          <w:rFonts w:hint="default" w:ascii="Times New Roman" w:hAnsi="Times New Roman" w:eastAsia="仿宋_GB2312" w:cs="Times New Roman"/>
          <w:color w:val="auto"/>
          <w:sz w:val="32"/>
          <w:szCs w:val="32"/>
          <w:highlight w:val="none"/>
          <w:lang w:val="zh-CN" w:eastAsia="zh-CN"/>
        </w:rPr>
        <w:t>“三公”经费支出4.00万元，</w:t>
      </w:r>
      <w:r>
        <w:rPr>
          <w:rFonts w:hint="default" w:ascii="Times New Roman" w:hAnsi="Times New Roman" w:eastAsia="仿宋_GB2312" w:cs="Times New Roman"/>
          <w:color w:val="auto"/>
          <w:sz w:val="32"/>
          <w:szCs w:val="32"/>
          <w:highlight w:val="none"/>
          <w:lang w:val="en-US" w:eastAsia="zh-CN"/>
        </w:rPr>
        <w:t>比上年</w:t>
      </w:r>
      <w:r>
        <w:rPr>
          <w:rFonts w:hint="default" w:ascii="Times New Roman" w:hAnsi="Times New Roman" w:eastAsia="仿宋_GB2312" w:cs="Times New Roman"/>
          <w:color w:val="auto"/>
          <w:sz w:val="32"/>
          <w:szCs w:val="32"/>
          <w:highlight w:val="none"/>
          <w:lang w:val="zh-CN" w:eastAsia="zh-CN"/>
        </w:rPr>
        <w:t>增加0.00万元，</w:t>
      </w:r>
      <w:r>
        <w:rPr>
          <w:rFonts w:hint="default" w:ascii="Times New Roman" w:hAnsi="Times New Roman" w:eastAsia="仿宋_GB2312" w:cs="Times New Roman"/>
          <w:color w:val="auto"/>
          <w:spacing w:val="0"/>
          <w:sz w:val="32"/>
          <w:szCs w:val="32"/>
          <w:highlight w:val="none"/>
          <w:lang w:val="en-US" w:eastAsia="zh-CN"/>
        </w:rPr>
        <w:t>增长0.00%,</w:t>
      </w:r>
      <w:r>
        <w:rPr>
          <w:rFonts w:hint="eastAsia" w:eastAsia="仿宋_GB2312" w:cs="Times New Roman"/>
          <w:color w:val="auto"/>
          <w:spacing w:val="0"/>
          <w:sz w:val="32"/>
          <w:szCs w:val="32"/>
          <w:highlight w:val="none"/>
          <w:lang w:val="en-US" w:eastAsia="zh-CN"/>
        </w:rPr>
        <w:t>主要原因是：</w:t>
      </w:r>
      <w:r>
        <w:rPr>
          <w:rFonts w:hint="default" w:ascii="Times New Roman" w:hAnsi="Times New Roman" w:eastAsia="仿宋_GB2312" w:cs="Times New Roman"/>
          <w:color w:val="auto"/>
          <w:sz w:val="32"/>
          <w:szCs w:val="32"/>
          <w:highlight w:val="none"/>
          <w:lang w:val="zh-CN" w:eastAsia="zh-CN"/>
        </w:rPr>
        <w:t>2023年我单位“三公”经费支出按照只减不增的原则与上年保持一致</w:t>
      </w:r>
      <w:r>
        <w:rPr>
          <w:rFonts w:hint="eastAsia" w:eastAsia="仿宋_GB2312" w:cs="Times New Roman"/>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其中：因公出国（境）费支出0.00万元，占0.00%，比上年增加0.00万元，</w:t>
      </w:r>
      <w:r>
        <w:rPr>
          <w:rFonts w:hint="default" w:ascii="Times New Roman" w:hAnsi="Times New Roman" w:eastAsia="仿宋_GB2312" w:cs="Times New Roman"/>
          <w:color w:val="auto"/>
          <w:spacing w:val="0"/>
          <w:sz w:val="32"/>
          <w:szCs w:val="32"/>
          <w:highlight w:val="none"/>
          <w:lang w:val="en-US" w:eastAsia="zh-CN"/>
        </w:rPr>
        <w:t>增长0.00%</w:t>
      </w:r>
      <w:r>
        <w:rPr>
          <w:rFonts w:hint="eastAsia" w:eastAsia="仿宋_GB2312" w:cs="Times New Roman"/>
          <w:color w:val="auto"/>
          <w:spacing w:val="0"/>
          <w:sz w:val="32"/>
          <w:szCs w:val="32"/>
          <w:highlight w:val="none"/>
          <w:lang w:val="en-US" w:eastAsia="zh-CN"/>
        </w:rPr>
        <w:t>，主要原因是：因公出国（境）费支出0.00万元，开支内容包括无因公出国（境）费支出。单位全年安排的因公出国（境）团组0个，因公出国（境）0人次</w:t>
      </w:r>
      <w:r>
        <w:rPr>
          <w:rFonts w:hint="default" w:eastAsia="仿宋_GB2312" w:cs="Times New Roman"/>
          <w:color w:val="auto"/>
          <w:spacing w:val="0"/>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公务用车购置及运行维护费支出4.00万元，占100.00%，比上年增加0.00万元，</w:t>
      </w:r>
      <w:r>
        <w:rPr>
          <w:rFonts w:hint="default" w:ascii="Times New Roman" w:hAnsi="Times New Roman" w:eastAsia="仿宋_GB2312" w:cs="Times New Roman"/>
          <w:color w:val="auto"/>
          <w:spacing w:val="0"/>
          <w:sz w:val="32"/>
          <w:szCs w:val="32"/>
          <w:highlight w:val="none"/>
          <w:lang w:val="en-US" w:eastAsia="zh-CN"/>
        </w:rPr>
        <w:t>增长0.00%</w:t>
      </w:r>
      <w:r>
        <w:rPr>
          <w:rFonts w:hint="eastAsia" w:eastAsia="仿宋_GB2312" w:cs="Times New Roman"/>
          <w:color w:val="auto"/>
          <w:spacing w:val="0"/>
          <w:sz w:val="32"/>
          <w:szCs w:val="32"/>
          <w:highlight w:val="none"/>
          <w:lang w:val="en-US" w:eastAsia="zh-CN"/>
        </w:rPr>
        <w:t>，主要原因是：</w:t>
      </w:r>
      <w:r>
        <w:rPr>
          <w:rFonts w:hint="default" w:ascii="Times New Roman" w:hAnsi="Times New Roman" w:eastAsia="仿宋_GB2312" w:cs="Times New Roman"/>
          <w:color w:val="auto"/>
          <w:sz w:val="32"/>
          <w:szCs w:val="32"/>
          <w:highlight w:val="none"/>
          <w:lang w:val="zh-CN" w:eastAsia="zh-CN"/>
        </w:rPr>
        <w:t>我单位2023年公务用车情况与上年保持一致，无新增的公务用车；公务接待费支出0.00万元，占0.00%，比上年增加0.00万元，</w:t>
      </w:r>
      <w:r>
        <w:rPr>
          <w:rFonts w:hint="default" w:ascii="Times New Roman" w:hAnsi="Times New Roman" w:eastAsia="仿宋_GB2312" w:cs="Times New Roman"/>
          <w:color w:val="auto"/>
          <w:spacing w:val="0"/>
          <w:sz w:val="32"/>
          <w:szCs w:val="32"/>
          <w:highlight w:val="none"/>
          <w:lang w:val="en-US" w:eastAsia="zh-CN"/>
        </w:rPr>
        <w:t>增长0.00%</w:t>
      </w:r>
      <w:r>
        <w:rPr>
          <w:rFonts w:hint="eastAsia" w:eastAsia="仿宋_GB2312" w:cs="Times New Roman"/>
          <w:color w:val="auto"/>
          <w:spacing w:val="0"/>
          <w:sz w:val="32"/>
          <w:szCs w:val="32"/>
          <w:highlight w:val="none"/>
          <w:lang w:val="en-US" w:eastAsia="zh-CN"/>
        </w:rPr>
        <w:t>，主要原因是：</w:t>
      </w:r>
      <w:r>
        <w:rPr>
          <w:rFonts w:hint="eastAsia" w:ascii="Times New Roman" w:hAnsi="Times New Roman" w:eastAsia="仿宋_GB2312" w:cs="Times New Roman"/>
          <w:color w:val="auto"/>
          <w:sz w:val="32"/>
          <w:szCs w:val="32"/>
          <w:highlight w:val="none"/>
          <w:lang w:val="zh-CN" w:eastAsia="zh-CN"/>
        </w:rPr>
        <w:t>我单位2023年与上年均无公务接待费。</w:t>
      </w:r>
    </w:p>
    <w:p w14:paraId="27842520">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eastAsia="zh-CN"/>
        </w:rPr>
        <w:t>具体情况如下：</w:t>
      </w:r>
    </w:p>
    <w:p w14:paraId="0479FD15">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eastAsia="zh-CN"/>
        </w:rPr>
        <w:t>公务用车购置及运行维护费4.00万元，其中：公务用车购置费0.00万元，公务用车运行维护费4.00万元</w:t>
      </w:r>
      <w:r>
        <w:rPr>
          <w:rFonts w:hint="eastAsia" w:eastAsia="仿宋_GB2312" w:cs="Times New Roman"/>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公务用车运行维护费开支内容</w:t>
      </w:r>
      <w:r>
        <w:rPr>
          <w:rFonts w:hint="default" w:ascii="Times New Roman" w:hAnsi="Times New Roman" w:eastAsia="仿宋_GB2312" w:cs="Times New Roman"/>
          <w:color w:val="auto"/>
          <w:sz w:val="32"/>
          <w:szCs w:val="32"/>
          <w:highlight w:val="none"/>
          <w:lang w:val="en-US" w:eastAsia="zh-CN"/>
        </w:rPr>
        <w:t>是车辆保险费4.00万元</w:t>
      </w:r>
      <w:r>
        <w:rPr>
          <w:rFonts w:hint="default" w:ascii="Times New Roman" w:hAnsi="Times New Roman" w:eastAsia="仿宋_GB2312" w:cs="Times New Roman"/>
          <w:color w:val="auto"/>
          <w:sz w:val="32"/>
          <w:szCs w:val="32"/>
          <w:highlight w:val="none"/>
          <w:lang w:val="zh-CN" w:eastAsia="zh-CN"/>
        </w:rPr>
        <w:t>。公务用车购置数0辆，公务用车保有量2辆。国有资产占用情况</w:t>
      </w:r>
      <w:r>
        <w:rPr>
          <w:rFonts w:hint="default" w:ascii="Times New Roman" w:hAnsi="Times New Roman" w:eastAsia="仿宋_GB2312" w:cs="Times New Roman"/>
          <w:color w:val="auto"/>
          <w:sz w:val="32"/>
          <w:szCs w:val="32"/>
          <w:highlight w:val="none"/>
          <w:lang w:val="en-US" w:eastAsia="zh-CN"/>
        </w:rPr>
        <w:t>中固定资产车辆</w:t>
      </w:r>
      <w:r>
        <w:rPr>
          <w:rFonts w:hint="default" w:ascii="Times New Roman" w:hAnsi="Times New Roman" w:eastAsia="仿宋_GB2312" w:cs="Times New Roman"/>
          <w:color w:val="auto"/>
          <w:sz w:val="32"/>
          <w:szCs w:val="32"/>
          <w:highlight w:val="none"/>
          <w:lang w:val="zh-CN" w:eastAsia="zh-CN"/>
        </w:rPr>
        <w:t>26辆，</w:t>
      </w:r>
      <w:r>
        <w:rPr>
          <w:rFonts w:hint="default" w:ascii="Times New Roman" w:hAnsi="Times New Roman" w:eastAsia="仿宋_GB2312" w:cs="Times New Roman"/>
          <w:color w:val="auto"/>
          <w:sz w:val="32"/>
          <w:szCs w:val="32"/>
          <w:highlight w:val="none"/>
          <w:lang w:val="en-US" w:eastAsia="zh-CN"/>
        </w:rPr>
        <w:t>与</w:t>
      </w:r>
      <w:r>
        <w:rPr>
          <w:rFonts w:hint="default" w:ascii="Times New Roman" w:hAnsi="Times New Roman" w:eastAsia="仿宋_GB2312" w:cs="Times New Roman"/>
          <w:color w:val="auto"/>
          <w:sz w:val="32"/>
          <w:szCs w:val="32"/>
          <w:highlight w:val="none"/>
          <w:lang w:val="zh-CN" w:eastAsia="zh-CN"/>
        </w:rPr>
        <w:t>公务用车</w:t>
      </w:r>
      <w:r>
        <w:rPr>
          <w:rFonts w:hint="default" w:ascii="Times New Roman" w:hAnsi="Times New Roman" w:eastAsia="仿宋_GB2312" w:cs="Times New Roman"/>
          <w:color w:val="auto"/>
          <w:sz w:val="32"/>
          <w:szCs w:val="32"/>
          <w:highlight w:val="none"/>
          <w:lang w:val="en-US" w:eastAsia="zh-CN"/>
        </w:rPr>
        <w:t>保有量差异</w:t>
      </w:r>
      <w:r>
        <w:rPr>
          <w:rFonts w:hint="default" w:ascii="Times New Roman" w:hAnsi="Times New Roman" w:eastAsia="仿宋_GB2312" w:cs="Times New Roman"/>
          <w:color w:val="auto"/>
          <w:sz w:val="32"/>
          <w:szCs w:val="32"/>
          <w:highlight w:val="none"/>
          <w:lang w:val="zh-CN" w:eastAsia="zh-CN"/>
        </w:rPr>
        <w:t>原因是：</w:t>
      </w:r>
      <w:r>
        <w:rPr>
          <w:rFonts w:hint="default" w:ascii="Times New Roman" w:hAnsi="Times New Roman" w:eastAsia="仿宋_GB2312" w:cs="Times New Roman"/>
          <w:color w:val="auto"/>
          <w:sz w:val="32"/>
          <w:szCs w:val="32"/>
          <w:highlight w:val="none"/>
          <w:lang w:val="en-US" w:eastAsia="zh-CN"/>
        </w:rPr>
        <w:t>自有资金购买车辆并入财政资产一体化系统所导致</w:t>
      </w:r>
      <w:r>
        <w:rPr>
          <w:rFonts w:hint="default" w:ascii="Times New Roman" w:hAnsi="Times New Roman" w:eastAsia="仿宋_GB2312" w:cs="Times New Roman"/>
          <w:color w:val="auto"/>
          <w:sz w:val="32"/>
          <w:szCs w:val="32"/>
          <w:highlight w:val="none"/>
          <w:lang w:val="zh-CN" w:eastAsia="zh-CN"/>
        </w:rPr>
        <w:t>。</w:t>
      </w:r>
    </w:p>
    <w:p w14:paraId="1D73753D">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zh-CN" w:eastAsia="zh-CN"/>
        </w:rPr>
        <w:t>公务接待费0.00万元，</w:t>
      </w:r>
      <w:r>
        <w:rPr>
          <w:rFonts w:hint="eastAsia" w:eastAsia="仿宋_GB2312" w:cs="Times New Roman"/>
          <w:color w:val="auto"/>
          <w:sz w:val="32"/>
          <w:szCs w:val="32"/>
          <w:highlight w:val="none"/>
          <w:lang w:val="en-US" w:eastAsia="zh-CN"/>
        </w:rPr>
        <w:t>2023年无</w:t>
      </w:r>
      <w:r>
        <w:rPr>
          <w:rFonts w:hint="default" w:ascii="Times New Roman" w:hAnsi="Times New Roman" w:eastAsia="仿宋_GB2312" w:cs="Times New Roman"/>
          <w:color w:val="auto"/>
          <w:sz w:val="32"/>
          <w:szCs w:val="32"/>
          <w:highlight w:val="none"/>
          <w:lang w:val="zh-CN" w:eastAsia="zh-CN"/>
        </w:rPr>
        <w:t>开支内容</w:t>
      </w:r>
      <w:r>
        <w:rPr>
          <w:rFonts w:hint="eastAsia" w:eastAsia="仿宋_GB2312" w:cs="Times New Roman"/>
          <w:color w:val="auto"/>
          <w:sz w:val="32"/>
          <w:szCs w:val="32"/>
          <w:highlight w:val="none"/>
          <w:lang w:val="en-US" w:eastAsia="zh-CN"/>
        </w:rPr>
        <w:t>未发生</w:t>
      </w:r>
      <w:r>
        <w:rPr>
          <w:rFonts w:hint="default" w:ascii="Times New Roman" w:hAnsi="Times New Roman" w:eastAsia="仿宋_GB2312" w:cs="Times New Roman"/>
          <w:color w:val="auto"/>
          <w:sz w:val="32"/>
          <w:szCs w:val="32"/>
          <w:highlight w:val="none"/>
          <w:lang w:val="zh-CN" w:eastAsia="zh-CN"/>
        </w:rPr>
        <w:t>公务接待费。单位全年安排的国内公务接待0批次，0人次。</w:t>
      </w:r>
    </w:p>
    <w:p w14:paraId="04E113A2">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zh-CN" w:eastAsia="zh-CN"/>
        </w:rPr>
        <w:t>与</w:t>
      </w:r>
      <w:r>
        <w:rPr>
          <w:rFonts w:hint="default" w:ascii="Times New Roman" w:hAnsi="Times New Roman" w:eastAsia="仿宋_GB2312" w:cs="Times New Roman"/>
          <w:color w:val="auto"/>
          <w:sz w:val="32"/>
          <w:szCs w:val="32"/>
          <w:highlight w:val="none"/>
          <w:lang w:val="en-US" w:eastAsia="zh-CN"/>
        </w:rPr>
        <w:t>全年</w:t>
      </w:r>
      <w:r>
        <w:rPr>
          <w:rFonts w:hint="default" w:ascii="Times New Roman" w:hAnsi="Times New Roman" w:eastAsia="仿宋_GB2312" w:cs="Times New Roman"/>
          <w:color w:val="auto"/>
          <w:sz w:val="32"/>
          <w:szCs w:val="32"/>
          <w:highlight w:val="none"/>
          <w:lang w:val="zh-CN" w:eastAsia="zh-CN"/>
        </w:rPr>
        <w:t>预算相比</w:t>
      </w:r>
      <w:r>
        <w:rPr>
          <w:rFonts w:hint="default"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zh-CN" w:eastAsia="zh-CN"/>
        </w:rPr>
        <w:t>财政拨款“三公”经费支出</w:t>
      </w:r>
      <w:r>
        <w:rPr>
          <w:rFonts w:hint="default" w:ascii="Times New Roman" w:hAnsi="Times New Roman" w:eastAsia="仿宋_GB2312" w:cs="Times New Roman"/>
          <w:color w:val="auto"/>
          <w:sz w:val="32"/>
          <w:szCs w:val="32"/>
          <w:highlight w:val="none"/>
          <w:lang w:val="en-US" w:eastAsia="zh-CN"/>
        </w:rPr>
        <w:t>全年</w:t>
      </w:r>
      <w:r>
        <w:rPr>
          <w:rFonts w:hint="default" w:ascii="Times New Roman" w:hAnsi="Times New Roman" w:eastAsia="仿宋_GB2312" w:cs="Times New Roman"/>
          <w:color w:val="auto"/>
          <w:sz w:val="32"/>
          <w:szCs w:val="32"/>
          <w:highlight w:val="none"/>
          <w:lang w:val="zh-CN" w:eastAsia="zh-CN"/>
        </w:rPr>
        <w:t>预算数4.00万元，决算数4.00万元，预决算差异率0.00%。主要原因是：我单位2023年“三公”经费支出无调整。其中：因公出国（境）费</w:t>
      </w:r>
      <w:r>
        <w:rPr>
          <w:rFonts w:hint="default" w:ascii="Times New Roman" w:hAnsi="Times New Roman" w:eastAsia="仿宋_GB2312" w:cs="Times New Roman"/>
          <w:color w:val="auto"/>
          <w:sz w:val="32"/>
          <w:szCs w:val="32"/>
          <w:highlight w:val="none"/>
          <w:lang w:val="en-US" w:eastAsia="zh-CN"/>
        </w:rPr>
        <w:t>全年预算数</w:t>
      </w:r>
      <w:r>
        <w:rPr>
          <w:rFonts w:hint="default" w:ascii="Times New Roman" w:hAnsi="Times New Roman" w:eastAsia="仿宋_GB2312" w:cs="Times New Roman"/>
          <w:color w:val="auto"/>
          <w:sz w:val="32"/>
          <w:szCs w:val="32"/>
          <w:highlight w:val="none"/>
          <w:lang w:val="zh-CN" w:eastAsia="zh-CN"/>
        </w:rPr>
        <w:t>0.00万元，决算数0.00万元，预决算差异率0.00%</w:t>
      </w:r>
      <w:r>
        <w:rPr>
          <w:rFonts w:hint="eastAsia" w:eastAsia="仿宋_GB2312" w:cs="Times New Roman"/>
          <w:color w:val="auto"/>
          <w:sz w:val="32"/>
          <w:szCs w:val="32"/>
          <w:highlight w:val="none"/>
          <w:lang w:val="zh-CN" w:eastAsia="zh-CN"/>
        </w:rPr>
        <w:t>，主要原因是：我单位2023年因公出国（境）费支出无调整；</w:t>
      </w:r>
      <w:r>
        <w:rPr>
          <w:rFonts w:hint="default" w:ascii="Times New Roman" w:hAnsi="Times New Roman" w:eastAsia="仿宋_GB2312" w:cs="Times New Roman"/>
          <w:color w:val="auto"/>
          <w:sz w:val="32"/>
          <w:szCs w:val="32"/>
          <w:highlight w:val="none"/>
          <w:lang w:val="zh-CN" w:eastAsia="zh-CN"/>
        </w:rPr>
        <w:t>公务用车购置费</w:t>
      </w:r>
      <w:r>
        <w:rPr>
          <w:rFonts w:hint="default" w:ascii="Times New Roman" w:hAnsi="Times New Roman" w:eastAsia="仿宋_GB2312" w:cs="Times New Roman"/>
          <w:color w:val="auto"/>
          <w:sz w:val="32"/>
          <w:szCs w:val="32"/>
          <w:highlight w:val="none"/>
          <w:lang w:val="en-US" w:eastAsia="zh-CN"/>
        </w:rPr>
        <w:t>全年</w:t>
      </w:r>
      <w:r>
        <w:rPr>
          <w:rFonts w:hint="default" w:ascii="Times New Roman" w:hAnsi="Times New Roman" w:eastAsia="仿宋_GB2312" w:cs="Times New Roman"/>
          <w:color w:val="auto"/>
          <w:sz w:val="32"/>
          <w:szCs w:val="32"/>
          <w:highlight w:val="none"/>
          <w:lang w:val="zh-CN" w:eastAsia="zh-CN"/>
        </w:rPr>
        <w:t>预算数0.00万元，决算数0.00万元，预决算差异率0.00%，主要原因是</w:t>
      </w:r>
      <w:r>
        <w:rPr>
          <w:rFonts w:hint="eastAsia" w:eastAsia="仿宋_GB2312" w:cs="Times New Roman"/>
          <w:color w:val="auto"/>
          <w:sz w:val="32"/>
          <w:szCs w:val="32"/>
          <w:highlight w:val="none"/>
          <w:lang w:val="zh-CN" w:eastAsia="zh-CN"/>
        </w:rPr>
        <w:t>：我单位2023年公务用车购置费支出无调整；</w:t>
      </w:r>
      <w:r>
        <w:rPr>
          <w:rFonts w:hint="default" w:ascii="Times New Roman" w:hAnsi="Times New Roman" w:eastAsia="仿宋_GB2312" w:cs="Times New Roman"/>
          <w:color w:val="auto"/>
          <w:sz w:val="32"/>
          <w:szCs w:val="32"/>
          <w:highlight w:val="none"/>
          <w:lang w:val="zh-CN" w:eastAsia="zh-CN"/>
        </w:rPr>
        <w:t>公务用车运行费</w:t>
      </w:r>
      <w:r>
        <w:rPr>
          <w:rFonts w:hint="default" w:ascii="Times New Roman" w:hAnsi="Times New Roman" w:eastAsia="仿宋_GB2312" w:cs="Times New Roman"/>
          <w:color w:val="auto"/>
          <w:sz w:val="32"/>
          <w:szCs w:val="32"/>
          <w:highlight w:val="none"/>
          <w:lang w:val="en-US" w:eastAsia="zh-CN"/>
        </w:rPr>
        <w:t>全年</w:t>
      </w:r>
      <w:r>
        <w:rPr>
          <w:rFonts w:hint="default" w:ascii="Times New Roman" w:hAnsi="Times New Roman" w:eastAsia="仿宋_GB2312" w:cs="Times New Roman"/>
          <w:color w:val="auto"/>
          <w:sz w:val="32"/>
          <w:szCs w:val="32"/>
          <w:highlight w:val="none"/>
          <w:lang w:val="zh-CN" w:eastAsia="zh-CN"/>
        </w:rPr>
        <w:t>预算数4.00万元，决算数4.00万元，预决算差异率0.00%，主要原因是：我单位2023年公务用车运行费支出无调整；公务接待费</w:t>
      </w:r>
      <w:r>
        <w:rPr>
          <w:rFonts w:hint="default" w:ascii="Times New Roman" w:hAnsi="Times New Roman" w:eastAsia="仿宋_GB2312" w:cs="Times New Roman"/>
          <w:color w:val="auto"/>
          <w:sz w:val="32"/>
          <w:szCs w:val="32"/>
          <w:highlight w:val="none"/>
          <w:lang w:val="en-US" w:eastAsia="zh-CN"/>
        </w:rPr>
        <w:t>全年</w:t>
      </w:r>
      <w:r>
        <w:rPr>
          <w:rFonts w:hint="default" w:ascii="Times New Roman" w:hAnsi="Times New Roman" w:eastAsia="仿宋_GB2312" w:cs="Times New Roman"/>
          <w:color w:val="auto"/>
          <w:sz w:val="32"/>
          <w:szCs w:val="32"/>
          <w:highlight w:val="none"/>
          <w:lang w:val="zh-CN" w:eastAsia="zh-CN"/>
        </w:rPr>
        <w:t>预算数0.00万元，决算数0.00万元，预决算差异率0.00%。主要原因是</w:t>
      </w:r>
      <w:r>
        <w:rPr>
          <w:rFonts w:hint="eastAsia" w:eastAsia="仿宋_GB2312" w:cs="Times New Roman"/>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我单位2023年公务接待费无调整</w:t>
      </w:r>
      <w:r>
        <w:rPr>
          <w:rFonts w:hint="eastAsia" w:eastAsia="仿宋_GB2312" w:cs="Times New Roman"/>
          <w:color w:val="auto"/>
          <w:sz w:val="32"/>
          <w:szCs w:val="32"/>
          <w:highlight w:val="none"/>
          <w:lang w:val="zh-CN" w:eastAsia="zh-CN"/>
        </w:rPr>
        <w:t>，</w:t>
      </w:r>
      <w:r>
        <w:rPr>
          <w:rFonts w:hint="eastAsia" w:eastAsia="仿宋_GB2312" w:cs="Times New Roman"/>
          <w:color w:val="auto"/>
          <w:sz w:val="32"/>
          <w:szCs w:val="32"/>
          <w:highlight w:val="none"/>
          <w:lang w:val="en-US" w:eastAsia="zh-CN"/>
        </w:rPr>
        <w:t>无变化。</w:t>
      </w:r>
    </w:p>
    <w:p w14:paraId="6A1228C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黑体" w:cs="Times New Roman"/>
          <w:bCs/>
          <w:color w:val="auto"/>
          <w:kern w:val="0"/>
          <w:sz w:val="32"/>
          <w:szCs w:val="32"/>
          <w:highlight w:val="none"/>
          <w:lang w:eastAsia="zh-CN"/>
        </w:rPr>
      </w:pPr>
      <w:bookmarkStart w:id="18" w:name="_Toc7927"/>
      <w:bookmarkStart w:id="19" w:name="_Toc5810"/>
      <w:r>
        <w:rPr>
          <w:rFonts w:hint="default" w:ascii="Times New Roman" w:hAnsi="Times New Roman" w:eastAsia="黑体" w:cs="Times New Roman"/>
          <w:bCs/>
          <w:color w:val="auto"/>
          <w:kern w:val="0"/>
          <w:sz w:val="32"/>
          <w:szCs w:val="32"/>
          <w:highlight w:val="none"/>
          <w:lang w:val="en-US" w:eastAsia="zh-CN"/>
        </w:rPr>
        <w:t>八</w:t>
      </w:r>
      <w:r>
        <w:rPr>
          <w:rFonts w:hint="default" w:ascii="Times New Roman" w:hAnsi="Times New Roman" w:eastAsia="黑体" w:cs="Times New Roman"/>
          <w:bCs/>
          <w:color w:val="auto"/>
          <w:kern w:val="0"/>
          <w:sz w:val="32"/>
          <w:szCs w:val="32"/>
          <w:highlight w:val="none"/>
          <w:lang w:eastAsia="zh-CN"/>
        </w:rPr>
        <w:t>、政府性基金预算财政拨款收入支出决算情况说明</w:t>
      </w:r>
      <w:bookmarkEnd w:id="18"/>
      <w:bookmarkEnd w:id="19"/>
    </w:p>
    <w:p w14:paraId="1574442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我</w:t>
      </w:r>
      <w:r>
        <w:rPr>
          <w:rFonts w:hint="default" w:ascii="Times New Roman" w:hAnsi="Times New Roman" w:eastAsia="仿宋_GB2312" w:cs="Times New Roman"/>
          <w:color w:val="auto"/>
          <w:sz w:val="32"/>
          <w:szCs w:val="32"/>
          <w:highlight w:val="none"/>
          <w:lang w:val="en-US" w:eastAsia="zh-CN"/>
        </w:rPr>
        <w:t>单位</w:t>
      </w:r>
      <w:r>
        <w:rPr>
          <w:rFonts w:hint="default" w:ascii="Times New Roman" w:hAnsi="Times New Roman" w:eastAsia="仿宋_GB2312" w:cs="Times New Roman"/>
          <w:color w:val="auto"/>
          <w:sz w:val="32"/>
          <w:szCs w:val="32"/>
          <w:highlight w:val="none"/>
          <w:lang w:eastAsia="zh-CN"/>
        </w:rPr>
        <w:t>本年度无政府性基金预算财政拨款收入、支出</w:t>
      </w:r>
      <w:r>
        <w:rPr>
          <w:rFonts w:hint="default" w:ascii="Times New Roman" w:hAnsi="Times New Roman" w:eastAsia="仿宋_GB2312" w:cs="Times New Roman"/>
          <w:color w:val="auto"/>
          <w:sz w:val="32"/>
          <w:szCs w:val="32"/>
          <w:highlight w:val="none"/>
          <w:lang w:val="en-US" w:eastAsia="zh-CN"/>
        </w:rPr>
        <w:t>及结转和结余</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政府性基金预算财政拨款收入支出决算表为空表。</w:t>
      </w:r>
    </w:p>
    <w:p w14:paraId="1B2D16F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黑体" w:cs="Times New Roman"/>
          <w:bCs/>
          <w:color w:val="auto"/>
          <w:kern w:val="0"/>
          <w:sz w:val="32"/>
          <w:szCs w:val="32"/>
          <w:highlight w:val="none"/>
          <w:lang w:eastAsia="zh-CN"/>
        </w:rPr>
      </w:pPr>
      <w:r>
        <w:rPr>
          <w:rFonts w:hint="default" w:ascii="Times New Roman" w:hAnsi="Times New Roman" w:eastAsia="黑体" w:cs="Times New Roman"/>
          <w:bCs/>
          <w:color w:val="auto"/>
          <w:kern w:val="0"/>
          <w:sz w:val="32"/>
          <w:szCs w:val="32"/>
          <w:highlight w:val="none"/>
          <w:lang w:val="en-US" w:eastAsia="zh-CN"/>
        </w:rPr>
        <w:t>九</w:t>
      </w:r>
      <w:r>
        <w:rPr>
          <w:rFonts w:hint="default" w:ascii="Times New Roman" w:hAnsi="Times New Roman" w:eastAsia="黑体" w:cs="Times New Roman"/>
          <w:bCs/>
          <w:color w:val="auto"/>
          <w:kern w:val="0"/>
          <w:sz w:val="32"/>
          <w:szCs w:val="32"/>
          <w:highlight w:val="none"/>
          <w:lang w:eastAsia="zh-CN"/>
        </w:rPr>
        <w:t>、国有资本经营预算财政拨款收入支出决算情况说明</w:t>
      </w:r>
    </w:p>
    <w:p w14:paraId="0208D31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我</w:t>
      </w:r>
      <w:r>
        <w:rPr>
          <w:rFonts w:hint="default" w:ascii="Times New Roman" w:hAnsi="Times New Roman" w:eastAsia="仿宋_GB2312" w:cs="Times New Roman"/>
          <w:color w:val="auto"/>
          <w:sz w:val="32"/>
          <w:szCs w:val="32"/>
          <w:highlight w:val="none"/>
          <w:lang w:val="en-US" w:eastAsia="zh-CN"/>
        </w:rPr>
        <w:t>单位</w:t>
      </w:r>
      <w:r>
        <w:rPr>
          <w:rFonts w:hint="default" w:ascii="Times New Roman" w:hAnsi="Times New Roman" w:eastAsia="仿宋_GB2312" w:cs="Times New Roman"/>
          <w:color w:val="auto"/>
          <w:sz w:val="32"/>
          <w:szCs w:val="32"/>
          <w:highlight w:val="none"/>
          <w:lang w:eastAsia="zh-CN"/>
        </w:rPr>
        <w:t>本年度无国有资本经营预算财政拨款收入、支出</w:t>
      </w:r>
      <w:r>
        <w:rPr>
          <w:rFonts w:hint="default" w:ascii="Times New Roman" w:hAnsi="Times New Roman" w:eastAsia="仿宋_GB2312" w:cs="Times New Roman"/>
          <w:color w:val="auto"/>
          <w:sz w:val="32"/>
          <w:szCs w:val="32"/>
          <w:highlight w:val="none"/>
          <w:lang w:val="en-US" w:eastAsia="zh-CN"/>
        </w:rPr>
        <w:t>及结转和结余</w:t>
      </w:r>
      <w:r>
        <w:rPr>
          <w:rFonts w:hint="default" w:ascii="Times New Roman" w:hAnsi="Times New Roman" w:eastAsia="仿宋_GB2312" w:cs="Times New Roman"/>
          <w:color w:val="auto"/>
          <w:sz w:val="32"/>
          <w:szCs w:val="32"/>
          <w:highlight w:val="none"/>
          <w:lang w:eastAsia="zh-CN"/>
        </w:rPr>
        <w:t>，国有资本经营</w:t>
      </w:r>
      <w:r>
        <w:rPr>
          <w:rFonts w:hint="default" w:ascii="Times New Roman" w:hAnsi="Times New Roman" w:eastAsia="仿宋_GB2312" w:cs="Times New Roman"/>
          <w:color w:val="auto"/>
          <w:sz w:val="32"/>
          <w:szCs w:val="32"/>
          <w:highlight w:val="none"/>
        </w:rPr>
        <w:t>预算财政拨款收入支出决算表为空表。</w:t>
      </w:r>
    </w:p>
    <w:p w14:paraId="37DA7FC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黑体" w:cs="Times New Roman"/>
          <w:bCs/>
          <w:color w:val="auto"/>
          <w:kern w:val="0"/>
          <w:sz w:val="32"/>
          <w:szCs w:val="32"/>
          <w:highlight w:val="none"/>
          <w:lang w:eastAsia="zh-CN"/>
        </w:rPr>
      </w:pPr>
      <w:bookmarkStart w:id="20" w:name="_Toc7314"/>
      <w:bookmarkStart w:id="21" w:name="_Toc1235"/>
      <w:r>
        <w:rPr>
          <w:rFonts w:hint="default" w:ascii="Times New Roman" w:hAnsi="Times New Roman" w:eastAsia="黑体" w:cs="Times New Roman"/>
          <w:bCs/>
          <w:color w:val="auto"/>
          <w:kern w:val="0"/>
          <w:sz w:val="32"/>
          <w:szCs w:val="32"/>
          <w:highlight w:val="none"/>
          <w:lang w:eastAsia="zh-CN"/>
        </w:rPr>
        <w:t>十</w:t>
      </w:r>
      <w:r>
        <w:rPr>
          <w:rFonts w:hint="default" w:ascii="Times New Roman" w:hAnsi="Times New Roman" w:eastAsia="黑体" w:cs="Times New Roman"/>
          <w:bCs/>
          <w:color w:val="auto"/>
          <w:kern w:val="0"/>
          <w:sz w:val="32"/>
          <w:szCs w:val="32"/>
          <w:highlight w:val="none"/>
        </w:rPr>
        <w:t>、其他重要事项的情况</w:t>
      </w:r>
      <w:r>
        <w:rPr>
          <w:rFonts w:hint="default" w:ascii="Times New Roman" w:hAnsi="Times New Roman" w:eastAsia="黑体" w:cs="Times New Roman"/>
          <w:bCs/>
          <w:color w:val="auto"/>
          <w:kern w:val="0"/>
          <w:sz w:val="32"/>
          <w:szCs w:val="32"/>
          <w:highlight w:val="none"/>
          <w:lang w:eastAsia="zh-CN"/>
        </w:rPr>
        <w:t>说明</w:t>
      </w:r>
      <w:bookmarkEnd w:id="20"/>
      <w:bookmarkEnd w:id="21"/>
    </w:p>
    <w:p w14:paraId="56E236A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default" w:ascii="Times New Roman" w:hAnsi="Times New Roman" w:eastAsia="黑体" w:cs="Times New Roman"/>
          <w:color w:val="auto"/>
          <w:sz w:val="32"/>
          <w:szCs w:val="32"/>
          <w:highlight w:val="none"/>
        </w:rPr>
      </w:pPr>
      <w:bookmarkStart w:id="22" w:name="_Toc13105"/>
      <w:bookmarkStart w:id="23" w:name="_Toc14519"/>
      <w:r>
        <w:rPr>
          <w:rFonts w:hint="default" w:ascii="Times New Roman" w:hAnsi="Times New Roman" w:eastAsia="黑体" w:cs="Times New Roman"/>
          <w:color w:val="auto"/>
          <w:sz w:val="32"/>
          <w:szCs w:val="32"/>
          <w:highlight w:val="none"/>
          <w:lang w:eastAsia="zh-CN"/>
        </w:rPr>
        <w:t>（一）</w:t>
      </w:r>
      <w:r>
        <w:rPr>
          <w:rFonts w:hint="default" w:ascii="Times New Roman" w:hAnsi="Times New Roman" w:eastAsia="黑体" w:cs="Times New Roman"/>
          <w:color w:val="auto"/>
          <w:sz w:val="32"/>
          <w:szCs w:val="32"/>
          <w:highlight w:val="none"/>
        </w:rPr>
        <w:t>机关运行经费支出情况</w:t>
      </w:r>
      <w:bookmarkEnd w:id="22"/>
      <w:bookmarkEnd w:id="23"/>
    </w:p>
    <w:p w14:paraId="4D7F21A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pacing w:val="0"/>
          <w:sz w:val="32"/>
          <w:szCs w:val="32"/>
          <w:highlight w:val="none"/>
          <w:lang w:val="en-US" w:eastAsia="zh-CN"/>
        </w:rPr>
      </w:pPr>
      <w:bookmarkStart w:id="24" w:name="_Toc26704"/>
      <w:bookmarkStart w:id="25" w:name="_Toc227"/>
      <w:r>
        <w:rPr>
          <w:rFonts w:hint="default" w:ascii="Times New Roman" w:hAnsi="Times New Roman" w:eastAsia="仿宋_GB2312" w:cs="Times New Roman"/>
          <w:color w:val="auto"/>
          <w:spacing w:val="0"/>
          <w:sz w:val="32"/>
          <w:szCs w:val="32"/>
          <w:highlight w:val="none"/>
          <w:lang w:val="zh-CN" w:eastAsia="zh-CN"/>
        </w:rPr>
        <w:t>2023年度</w:t>
      </w:r>
      <w:r>
        <w:rPr>
          <w:rFonts w:hint="default" w:ascii="Times New Roman" w:hAnsi="Times New Roman" w:eastAsia="仿宋_GB2312" w:cs="Times New Roman"/>
          <w:color w:val="auto"/>
          <w:spacing w:val="0"/>
          <w:sz w:val="32"/>
          <w:szCs w:val="32"/>
          <w:highlight w:val="none"/>
          <w:lang w:val="en-US" w:eastAsia="zh-CN"/>
        </w:rPr>
        <w:t>新疆维吾尔自治区塔里木河流域阿克苏管理局（事业单位）公用经费支出43.27万元，</w:t>
      </w:r>
      <w:r>
        <w:rPr>
          <w:rFonts w:hint="default" w:ascii="Times New Roman" w:hAnsi="Times New Roman" w:eastAsia="仿宋_GB2312" w:cs="Times New Roman"/>
          <w:color w:val="auto"/>
          <w:spacing w:val="0"/>
          <w:sz w:val="32"/>
          <w:szCs w:val="32"/>
          <w:highlight w:val="none"/>
          <w:lang w:val="zh-CN" w:eastAsia="zh-CN"/>
        </w:rPr>
        <w:t>比上年增加1.25万元，增长2.97%，主要原因是：</w:t>
      </w:r>
      <w:r>
        <w:rPr>
          <w:rFonts w:hint="default" w:ascii="Times New Roman" w:hAnsi="Times New Roman" w:eastAsia="仿宋_GB2312" w:cs="Times New Roman"/>
          <w:color w:val="auto"/>
          <w:spacing w:val="0"/>
          <w:sz w:val="32"/>
          <w:szCs w:val="32"/>
          <w:highlight w:val="none"/>
          <w:lang w:val="en-US" w:eastAsia="zh-CN"/>
        </w:rPr>
        <w:t>2023年根据人员经费测算公用经费。</w:t>
      </w:r>
    </w:p>
    <w:p w14:paraId="5F68AAF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黑体" w:cs="Times New Roman"/>
          <w:color w:val="auto"/>
          <w:sz w:val="32"/>
          <w:szCs w:val="30"/>
          <w:highlight w:val="none"/>
          <w:lang w:val="zh-CN" w:eastAsia="zh-CN"/>
        </w:rPr>
      </w:pPr>
      <w:r>
        <w:rPr>
          <w:rFonts w:hint="default" w:ascii="Times New Roman" w:hAnsi="Times New Roman" w:eastAsia="黑体" w:cs="Times New Roman"/>
          <w:color w:val="auto"/>
          <w:sz w:val="32"/>
          <w:szCs w:val="30"/>
          <w:highlight w:val="none"/>
          <w:lang w:val="zh-CN" w:eastAsia="zh-CN"/>
        </w:rPr>
        <w:t>（二）政府采购情况</w:t>
      </w:r>
      <w:bookmarkEnd w:id="24"/>
      <w:bookmarkEnd w:id="25"/>
    </w:p>
    <w:p w14:paraId="07B5583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zh-CN"/>
        </w:rPr>
      </w:pPr>
      <w:r>
        <w:rPr>
          <w:rFonts w:hint="default" w:ascii="Times New Roman" w:hAnsi="Times New Roman" w:eastAsia="仿宋_GB2312" w:cs="Times New Roman"/>
          <w:color w:val="auto"/>
          <w:sz w:val="32"/>
          <w:szCs w:val="32"/>
          <w:highlight w:val="none"/>
          <w:lang w:val="zh-CN" w:eastAsia="zh-CN"/>
        </w:rPr>
        <w:t>2023年度</w:t>
      </w:r>
      <w:r>
        <w:rPr>
          <w:rFonts w:hint="default" w:ascii="Times New Roman" w:hAnsi="Times New Roman" w:eastAsia="仿宋_GB2312" w:cs="Times New Roman"/>
          <w:color w:val="auto"/>
          <w:sz w:val="32"/>
          <w:szCs w:val="32"/>
          <w:highlight w:val="none"/>
          <w:lang w:val="zh-CN"/>
        </w:rPr>
        <w:t>政府采购支出总额</w:t>
      </w:r>
      <w:r>
        <w:rPr>
          <w:rFonts w:hint="default" w:ascii="Times New Roman" w:hAnsi="Times New Roman" w:eastAsia="仿宋_GB2312" w:cs="Times New Roman"/>
          <w:color w:val="auto"/>
          <w:sz w:val="32"/>
          <w:szCs w:val="32"/>
          <w:highlight w:val="none"/>
          <w:lang w:val="zh-CN" w:eastAsia="zh-CN"/>
        </w:rPr>
        <w:t>3,892.23万元</w:t>
      </w:r>
      <w:r>
        <w:rPr>
          <w:rFonts w:hint="default" w:ascii="Times New Roman" w:hAnsi="Times New Roman" w:eastAsia="仿宋_GB2312" w:cs="Times New Roman"/>
          <w:color w:val="auto"/>
          <w:sz w:val="32"/>
          <w:szCs w:val="32"/>
          <w:highlight w:val="none"/>
          <w:lang w:val="zh-CN"/>
        </w:rPr>
        <w:t>，</w:t>
      </w:r>
      <w:r>
        <w:rPr>
          <w:rFonts w:hint="default" w:ascii="Times New Roman" w:hAnsi="Times New Roman" w:eastAsia="仿宋_GB2312" w:cs="Times New Roman"/>
          <w:color w:val="auto"/>
          <w:sz w:val="32"/>
          <w:szCs w:val="32"/>
          <w:highlight w:val="none"/>
          <w:lang w:val="zh-CN" w:eastAsia="zh-CN"/>
        </w:rPr>
        <w:t>其中：政府采购货物支出456.89万元、政府采购工程支出2,990.95万元、政府采购服务支出444.40万元。</w:t>
      </w:r>
    </w:p>
    <w:p w14:paraId="774AEA3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zh-CN" w:eastAsia="zh-CN"/>
        </w:rPr>
        <w:t>授予中小企业合同金额2,174.38万元，占政府采购支出总额的55.86%，其中：授予小微企业合同金额2,064.72万元，占政府采购支出总额的53.05%</w:t>
      </w:r>
      <w:r>
        <w:rPr>
          <w:rFonts w:hint="default" w:ascii="Times New Roman" w:hAnsi="Times New Roman" w:eastAsia="仿宋_GB2312" w:cs="Times New Roman"/>
          <w:color w:val="auto"/>
          <w:sz w:val="32"/>
          <w:szCs w:val="32"/>
          <w:highlight w:val="none"/>
          <w:lang w:val="en-US" w:eastAsia="zh-CN"/>
        </w:rPr>
        <w:t>。</w:t>
      </w:r>
    </w:p>
    <w:p w14:paraId="7524973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黑体" w:cs="Times New Roman"/>
          <w:color w:val="auto"/>
          <w:sz w:val="32"/>
          <w:szCs w:val="30"/>
          <w:highlight w:val="none"/>
          <w:lang w:val="zh-CN" w:eastAsia="zh-CN"/>
        </w:rPr>
      </w:pPr>
      <w:bookmarkStart w:id="26" w:name="_Toc4591"/>
      <w:bookmarkStart w:id="27" w:name="_Toc8391"/>
      <w:r>
        <w:rPr>
          <w:rFonts w:hint="default" w:ascii="Times New Roman" w:hAnsi="Times New Roman" w:eastAsia="黑体" w:cs="Times New Roman"/>
          <w:color w:val="auto"/>
          <w:sz w:val="32"/>
          <w:szCs w:val="30"/>
          <w:highlight w:val="none"/>
          <w:lang w:val="zh-CN" w:eastAsia="zh-CN"/>
        </w:rPr>
        <w:t>（三）国有资产占用情况说明</w:t>
      </w:r>
      <w:bookmarkEnd w:id="26"/>
      <w:bookmarkEnd w:id="27"/>
    </w:p>
    <w:p w14:paraId="5E76ADD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仿宋_GB2312" w:cs="Times New Roman"/>
          <w:color w:val="auto"/>
          <w:sz w:val="32"/>
          <w:szCs w:val="32"/>
          <w:highlight w:val="none"/>
          <w:lang w:val="en-US" w:eastAsia="zh-CN"/>
        </w:rPr>
      </w:pPr>
      <w:bookmarkStart w:id="28" w:name="_Toc435"/>
      <w:bookmarkStart w:id="29" w:name="_Toc11283"/>
      <w:r>
        <w:rPr>
          <w:rFonts w:hint="default" w:ascii="Times New Roman" w:hAnsi="Times New Roman" w:eastAsia="仿宋_GB2312" w:cs="Times New Roman"/>
          <w:color w:val="auto"/>
          <w:sz w:val="32"/>
          <w:szCs w:val="32"/>
          <w:highlight w:val="none"/>
          <w:lang w:val="en-US" w:eastAsia="zh-CN"/>
        </w:rPr>
        <w:t>截至2023年12月31日，固定资产原值44,328.42万元，房屋697,579.80平方米，价值9,577.86万元。车辆26辆，价值594.15万元，其中：副部（省）级及以上领导用车0辆、主要负责人用车0辆、机要通信用车0辆、应急保障用车0辆、执法执勤用车0辆、特种专业技术用车10辆、离退休干部服务用车0辆、其他用车16辆，其他用车主要是：</w:t>
      </w:r>
      <w:r>
        <w:rPr>
          <w:rFonts w:hint="eastAsia" w:eastAsia="仿宋_GB2312" w:cs="Times New Roman"/>
          <w:color w:val="auto"/>
          <w:sz w:val="32"/>
          <w:szCs w:val="32"/>
          <w:highlight w:val="none"/>
          <w:lang w:val="en-US" w:eastAsia="zh-CN"/>
        </w:rPr>
        <w:t>业务用车</w:t>
      </w:r>
      <w:r>
        <w:rPr>
          <w:rFonts w:hint="default" w:ascii="Times New Roman" w:hAnsi="Times New Roman" w:eastAsia="仿宋_GB2312" w:cs="Times New Roman"/>
          <w:color w:val="auto"/>
          <w:sz w:val="32"/>
          <w:szCs w:val="32"/>
          <w:highlight w:val="none"/>
          <w:lang w:val="en-US" w:eastAsia="zh-CN"/>
        </w:rPr>
        <w:t>；单价100万元（含）以上设备（不含车辆）9台（套）。</w:t>
      </w:r>
    </w:p>
    <w:p w14:paraId="09C4D53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黑体" w:cs="Times New Roman"/>
          <w:bCs/>
          <w:color w:val="auto"/>
          <w:kern w:val="0"/>
          <w:sz w:val="32"/>
          <w:szCs w:val="32"/>
          <w:highlight w:val="none"/>
          <w:lang w:eastAsia="zh-CN"/>
        </w:rPr>
      </w:pPr>
      <w:r>
        <w:rPr>
          <w:rFonts w:hint="default" w:ascii="Times New Roman" w:hAnsi="Times New Roman" w:eastAsia="黑体" w:cs="Times New Roman"/>
          <w:bCs/>
          <w:color w:val="auto"/>
          <w:kern w:val="0"/>
          <w:sz w:val="32"/>
          <w:szCs w:val="32"/>
          <w:highlight w:val="none"/>
          <w:lang w:eastAsia="zh-CN"/>
        </w:rPr>
        <w:t>十</w:t>
      </w:r>
      <w:r>
        <w:rPr>
          <w:rFonts w:hint="default" w:ascii="Times New Roman" w:hAnsi="Times New Roman" w:eastAsia="黑体" w:cs="Times New Roman"/>
          <w:bCs/>
          <w:color w:val="auto"/>
          <w:kern w:val="0"/>
          <w:sz w:val="32"/>
          <w:szCs w:val="32"/>
          <w:highlight w:val="none"/>
          <w:lang w:val="en-US" w:eastAsia="zh-CN"/>
        </w:rPr>
        <w:t>一</w:t>
      </w:r>
      <w:r>
        <w:rPr>
          <w:rFonts w:hint="default" w:ascii="Times New Roman" w:hAnsi="Times New Roman" w:eastAsia="黑体" w:cs="Times New Roman"/>
          <w:bCs/>
          <w:color w:val="auto"/>
          <w:kern w:val="0"/>
          <w:sz w:val="32"/>
          <w:szCs w:val="32"/>
          <w:highlight w:val="none"/>
          <w:lang w:eastAsia="zh-CN"/>
        </w:rPr>
        <w:t>、预算绩效的情况说明</w:t>
      </w:r>
      <w:bookmarkEnd w:id="28"/>
      <w:bookmarkEnd w:id="29"/>
    </w:p>
    <w:p w14:paraId="7251EB3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pacing w:val="0"/>
          <w:sz w:val="32"/>
          <w:szCs w:val="32"/>
          <w:highlight w:val="none"/>
          <w:lang w:val="en-US" w:eastAsia="zh-CN"/>
        </w:rPr>
      </w:pPr>
      <w:r>
        <w:rPr>
          <w:rFonts w:hint="default" w:ascii="Times New Roman" w:hAnsi="Times New Roman" w:eastAsia="仿宋_GB2312" w:cs="Times New Roman"/>
          <w:color w:val="auto"/>
          <w:spacing w:val="0"/>
          <w:sz w:val="32"/>
          <w:szCs w:val="32"/>
          <w:highlight w:val="none"/>
          <w:lang w:val="en-US" w:eastAsia="zh-CN"/>
        </w:rPr>
        <w:t>根据预算绩效管理要求，我单位2023年度预算绩效评价项目2个，全年预算数1288.51万元，全年执行数1288.51万元。预算绩效管理取得的成效：一是托北干渠维修养护，确保渠道的正常运转，提高项目区的农业生产保障能力，提高渠道工程灌溉水的利用率；二是加大河流监测管理信息化系统建设力度，在河湖全流域特别是关键点位、重点区域、矛盾问题多发地带，安装探头、球形机等设备，运用大数据等新技术手段完善监测网络，实时监测河流动态；三是加强水法宣传力度，以实现最严格水资源管理制度为目的，促进依法治水，依法管理水，推进水资源管理工作的深入进行，为水利事业的发展保驾护航。发现的问题及原因：一是项目实施过程中缺乏大局观；二是资金节约程度较低，缺乏经验。下一步改进措施：一是进一步加强对绩效管理工作的组织领导，提高对预算绩效管理工作重要性的认识，总结经验查找问题，抓紧研究制定更全面更完善的绩效评价管理办法。加大全局对全面实施预算绩效管理和绩效管理工作的学习力度，让“花钱必问效，无效必问责”的理念深入工作每个环节；二是进一步完善项目评价过程中有关数据和资料的收集、整理、审核及分析。项目启动时同步做好档案的归纳与整理，及时整理、收集、汇总，健全档案资料。项目后续管理有待进一步加强和跟踪。具体项目自评情况附绩效自评表及自评报告。</w:t>
      </w:r>
    </w:p>
    <w:p w14:paraId="68165D2A">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黑体" w:cs="Times New Roman"/>
          <w:bCs/>
          <w:color w:val="auto"/>
          <w:kern w:val="0"/>
          <w:sz w:val="32"/>
          <w:szCs w:val="32"/>
          <w:highlight w:val="none"/>
          <w:lang w:eastAsia="zh-CN"/>
        </w:rPr>
      </w:pPr>
      <w:r>
        <w:rPr>
          <w:rFonts w:hint="default" w:ascii="Times New Roman" w:hAnsi="Times New Roman" w:eastAsia="黑体" w:cs="Times New Roman"/>
          <w:bCs/>
          <w:color w:val="auto"/>
          <w:kern w:val="0"/>
          <w:sz w:val="32"/>
          <w:szCs w:val="32"/>
          <w:highlight w:val="none"/>
          <w:lang w:eastAsia="zh-CN"/>
        </w:rPr>
        <w:t>十</w:t>
      </w:r>
      <w:r>
        <w:rPr>
          <w:rFonts w:hint="default" w:ascii="Times New Roman" w:hAnsi="Times New Roman" w:eastAsia="黑体" w:cs="Times New Roman"/>
          <w:bCs/>
          <w:color w:val="auto"/>
          <w:kern w:val="0"/>
          <w:sz w:val="32"/>
          <w:szCs w:val="32"/>
          <w:highlight w:val="none"/>
          <w:lang w:val="en-US" w:eastAsia="zh-CN"/>
        </w:rPr>
        <w:t>二</w:t>
      </w:r>
      <w:r>
        <w:rPr>
          <w:rFonts w:hint="default" w:ascii="Times New Roman" w:hAnsi="Times New Roman" w:eastAsia="黑体" w:cs="Times New Roman"/>
          <w:bCs/>
          <w:color w:val="auto"/>
          <w:kern w:val="0"/>
          <w:sz w:val="32"/>
          <w:szCs w:val="32"/>
          <w:highlight w:val="none"/>
          <w:lang w:eastAsia="zh-CN"/>
        </w:rPr>
        <w:t>、其他需说明的事项</w:t>
      </w:r>
    </w:p>
    <w:p w14:paraId="6B3D10E9">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本单位无其他需说明事项</w:t>
      </w:r>
    </w:p>
    <w:p w14:paraId="7C7D3D74">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bookmarkStart w:id="30" w:name="_Toc3250"/>
      <w:bookmarkStart w:id="31" w:name="_Toc24143"/>
    </w:p>
    <w:p w14:paraId="38DA4805">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p>
    <w:p w14:paraId="5F8A8599">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p>
    <w:p w14:paraId="3A07A8EA">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仿宋_GB2312" w:cs="Times New Roman"/>
          <w:color w:val="auto"/>
          <w:spacing w:val="0"/>
          <w:sz w:val="32"/>
          <w:szCs w:val="32"/>
          <w:highlight w:val="none"/>
          <w:lang w:val="en-US" w:eastAsia="zh-CN"/>
        </w:rPr>
      </w:pPr>
      <w:r>
        <w:rPr>
          <w:rFonts w:hint="default" w:ascii="Times New Roman" w:hAnsi="Times New Roman" w:eastAsia="仿宋_GB2312" w:cs="Times New Roman"/>
          <w:color w:val="auto"/>
          <w:spacing w:val="0"/>
          <w:sz w:val="32"/>
          <w:szCs w:val="32"/>
          <w:highlight w:val="none"/>
          <w:lang w:val="en-US" w:eastAsia="zh-CN"/>
        </w:rPr>
        <w:t xml:space="preserve">           塔里木河流域阿克苏管理局</w:t>
      </w:r>
    </w:p>
    <w:p w14:paraId="5A077DE1">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仿宋_GB2312" w:cs="Times New Roman"/>
          <w:color w:val="auto"/>
          <w:spacing w:val="0"/>
          <w:sz w:val="32"/>
          <w:szCs w:val="32"/>
          <w:highlight w:val="none"/>
          <w:lang w:val="en-US" w:eastAsia="zh-CN"/>
        </w:rPr>
        <w:t xml:space="preserve">          2024年8月19日</w:t>
      </w:r>
      <w:r>
        <w:rPr>
          <w:rFonts w:hint="default" w:ascii="Times New Roman" w:hAnsi="Times New Roman" w:eastAsia="仿宋_GB2312" w:cs="Times New Roman"/>
          <w:color w:val="auto"/>
          <w:spacing w:val="0"/>
          <w:sz w:val="32"/>
          <w:szCs w:val="32"/>
          <w:highlight w:val="none"/>
          <w:lang w:val="en-US" w:eastAsia="zh-CN"/>
        </w:rPr>
        <w:br w:type="page"/>
      </w:r>
      <w:r>
        <w:rPr>
          <w:rFonts w:hint="default" w:ascii="Times New Roman" w:hAnsi="Times New Roman" w:eastAsia="黑体" w:cs="Times New Roman"/>
          <w:color w:val="auto"/>
          <w:sz w:val="32"/>
          <w:szCs w:val="32"/>
          <w:highlight w:val="none"/>
        </w:rPr>
        <w:t>第</w:t>
      </w:r>
      <w:r>
        <w:rPr>
          <w:rFonts w:hint="default" w:ascii="Times New Roman" w:hAnsi="Times New Roman" w:eastAsia="黑体" w:cs="Times New Roman"/>
          <w:color w:val="auto"/>
          <w:sz w:val="32"/>
          <w:szCs w:val="32"/>
          <w:highlight w:val="none"/>
          <w:lang w:val="en-US" w:eastAsia="zh-CN"/>
        </w:rPr>
        <w:t>三</w:t>
      </w:r>
      <w:r>
        <w:rPr>
          <w:rFonts w:hint="default" w:ascii="Times New Roman" w:hAnsi="Times New Roman" w:eastAsia="黑体" w:cs="Times New Roman"/>
          <w:color w:val="auto"/>
          <w:sz w:val="32"/>
          <w:szCs w:val="32"/>
          <w:highlight w:val="none"/>
        </w:rPr>
        <w:t>部分 专业名词解释</w:t>
      </w:r>
      <w:bookmarkEnd w:id="30"/>
      <w:bookmarkEnd w:id="31"/>
    </w:p>
    <w:p w14:paraId="159076D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一、</w:t>
      </w:r>
      <w:r>
        <w:rPr>
          <w:rFonts w:hint="default" w:ascii="Times New Roman" w:hAnsi="Times New Roman" w:eastAsia="仿宋_GB2312" w:cs="Times New Roman"/>
          <w:b/>
          <w:bCs/>
          <w:color w:val="auto"/>
          <w:sz w:val="32"/>
          <w:szCs w:val="32"/>
          <w:highlight w:val="none"/>
        </w:rPr>
        <w:t>财政拨款收入：</w:t>
      </w:r>
      <w:r>
        <w:rPr>
          <w:rFonts w:hint="default" w:ascii="Times New Roman" w:hAnsi="Times New Roman" w:eastAsia="仿宋_GB2312" w:cs="Times New Roman"/>
          <w:color w:val="auto"/>
          <w:sz w:val="32"/>
          <w:szCs w:val="32"/>
          <w:highlight w:val="none"/>
        </w:rPr>
        <w:t>指同级财政当年拨付的资金。</w:t>
      </w:r>
    </w:p>
    <w:p w14:paraId="6EDE97D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二、</w:t>
      </w:r>
      <w:r>
        <w:rPr>
          <w:rFonts w:hint="default" w:ascii="Times New Roman" w:hAnsi="Times New Roman" w:eastAsia="仿宋_GB2312" w:cs="Times New Roman"/>
          <w:b/>
          <w:bCs/>
          <w:color w:val="auto"/>
          <w:sz w:val="32"/>
          <w:szCs w:val="32"/>
          <w:highlight w:val="none"/>
        </w:rPr>
        <w:t>上级补助收入：</w:t>
      </w:r>
      <w:r>
        <w:rPr>
          <w:rFonts w:hint="default" w:ascii="Times New Roman" w:hAnsi="Times New Roman" w:eastAsia="仿宋_GB2312" w:cs="Times New Roman"/>
          <w:color w:val="auto"/>
          <w:sz w:val="32"/>
          <w:szCs w:val="32"/>
          <w:highlight w:val="none"/>
        </w:rPr>
        <w:t>指事业单位从主管部门和上级单位取得的非财政补助收入。</w:t>
      </w:r>
    </w:p>
    <w:p w14:paraId="7AC034A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三、</w:t>
      </w:r>
      <w:r>
        <w:rPr>
          <w:rFonts w:hint="default" w:ascii="Times New Roman" w:hAnsi="Times New Roman" w:eastAsia="仿宋_GB2312" w:cs="Times New Roman"/>
          <w:b/>
          <w:bCs/>
          <w:color w:val="auto"/>
          <w:sz w:val="32"/>
          <w:szCs w:val="32"/>
          <w:highlight w:val="none"/>
        </w:rPr>
        <w:t>事业收入：</w:t>
      </w:r>
      <w:r>
        <w:rPr>
          <w:rFonts w:hint="default" w:ascii="Times New Roman" w:hAnsi="Times New Roman" w:eastAsia="仿宋_GB2312" w:cs="Times New Roman"/>
          <w:color w:val="auto"/>
          <w:sz w:val="32"/>
          <w:szCs w:val="32"/>
          <w:highlight w:val="none"/>
        </w:rPr>
        <w:t>指事业单位开展专业业务活动及其辅助活动所取得的收入。</w:t>
      </w:r>
    </w:p>
    <w:p w14:paraId="4A94702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四、</w:t>
      </w:r>
      <w:r>
        <w:rPr>
          <w:rFonts w:hint="default" w:ascii="Times New Roman" w:hAnsi="Times New Roman" w:eastAsia="仿宋_GB2312" w:cs="Times New Roman"/>
          <w:b/>
          <w:bCs/>
          <w:color w:val="auto"/>
          <w:sz w:val="32"/>
          <w:szCs w:val="32"/>
          <w:highlight w:val="none"/>
        </w:rPr>
        <w:t>经营收入：</w:t>
      </w:r>
      <w:r>
        <w:rPr>
          <w:rFonts w:hint="default" w:ascii="Times New Roman" w:hAnsi="Times New Roman" w:eastAsia="仿宋_GB2312" w:cs="Times New Roman"/>
          <w:color w:val="auto"/>
          <w:sz w:val="32"/>
          <w:szCs w:val="32"/>
          <w:highlight w:val="none"/>
        </w:rPr>
        <w:t>指事业单位在专业业务活动及其辅助活动之外开展非独立核算经营活动取得的收入。</w:t>
      </w:r>
    </w:p>
    <w:p w14:paraId="0DDD61C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五、</w:t>
      </w:r>
      <w:r>
        <w:rPr>
          <w:rFonts w:hint="default" w:ascii="Times New Roman" w:hAnsi="Times New Roman" w:eastAsia="仿宋_GB2312" w:cs="Times New Roman"/>
          <w:b/>
          <w:bCs/>
          <w:color w:val="auto"/>
          <w:sz w:val="32"/>
          <w:szCs w:val="32"/>
          <w:highlight w:val="none"/>
        </w:rPr>
        <w:t>附属单位上缴收入：</w:t>
      </w:r>
      <w:r>
        <w:rPr>
          <w:rFonts w:hint="default" w:ascii="Times New Roman" w:hAnsi="Times New Roman" w:eastAsia="仿宋_GB2312" w:cs="Times New Roman"/>
          <w:color w:val="auto"/>
          <w:sz w:val="32"/>
          <w:szCs w:val="32"/>
          <w:highlight w:val="none"/>
        </w:rPr>
        <w:t>指事业单位附属的独立核算单位按有关规定上缴的收入。</w:t>
      </w:r>
    </w:p>
    <w:p w14:paraId="5942642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六、</w:t>
      </w:r>
      <w:r>
        <w:rPr>
          <w:rFonts w:hint="default" w:ascii="Times New Roman" w:hAnsi="Times New Roman" w:eastAsia="仿宋_GB2312" w:cs="Times New Roman"/>
          <w:b/>
          <w:bCs/>
          <w:color w:val="auto"/>
          <w:sz w:val="32"/>
          <w:szCs w:val="32"/>
          <w:highlight w:val="none"/>
        </w:rPr>
        <w:t>其他收入：</w:t>
      </w:r>
      <w:r>
        <w:rPr>
          <w:rFonts w:hint="default" w:ascii="Times New Roman" w:hAnsi="Times New Roman" w:eastAsia="仿宋_GB2312" w:cs="Times New Roman"/>
          <w:color w:val="auto"/>
          <w:sz w:val="32"/>
          <w:szCs w:val="32"/>
          <w:highlight w:val="none"/>
        </w:rPr>
        <w:t>指除上述“财政拨款收入”、“事业收入”、“经营收入”、“附属单位上缴收入”等之外取得的收入。</w:t>
      </w:r>
    </w:p>
    <w:p w14:paraId="0F93E02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七、</w:t>
      </w:r>
      <w:r>
        <w:rPr>
          <w:rFonts w:hint="default" w:ascii="Times New Roman" w:hAnsi="Times New Roman" w:eastAsia="仿宋_GB2312" w:cs="Times New Roman"/>
          <w:b/>
          <w:bCs/>
          <w:color w:val="auto"/>
          <w:sz w:val="32"/>
          <w:szCs w:val="32"/>
          <w:highlight w:val="none"/>
          <w:lang w:eastAsia="zh-CN"/>
        </w:rPr>
        <w:t>年初</w:t>
      </w:r>
      <w:r>
        <w:rPr>
          <w:rFonts w:hint="default" w:ascii="Times New Roman" w:hAnsi="Times New Roman" w:eastAsia="仿宋_GB2312" w:cs="Times New Roman"/>
          <w:b/>
          <w:bCs/>
          <w:color w:val="auto"/>
          <w:sz w:val="32"/>
          <w:szCs w:val="32"/>
          <w:highlight w:val="none"/>
        </w:rPr>
        <w:t>结转和结余：</w:t>
      </w:r>
      <w:r>
        <w:rPr>
          <w:rFonts w:hint="default" w:ascii="Times New Roman" w:hAnsi="Times New Roman" w:eastAsia="仿宋_GB2312" w:cs="Times New Roman"/>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238A042B">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八、</w:t>
      </w:r>
      <w:r>
        <w:rPr>
          <w:rFonts w:hint="default" w:ascii="Times New Roman" w:hAnsi="Times New Roman" w:eastAsia="仿宋_GB2312" w:cs="Times New Roman"/>
          <w:b/>
          <w:bCs/>
          <w:color w:val="auto"/>
          <w:sz w:val="32"/>
          <w:szCs w:val="32"/>
          <w:highlight w:val="none"/>
        </w:rPr>
        <w:t>年末结转和结余：</w:t>
      </w:r>
      <w:r>
        <w:rPr>
          <w:rFonts w:hint="default" w:ascii="Times New Roman" w:hAnsi="Times New Roman" w:eastAsia="仿宋_GB2312" w:cs="Times New Roman"/>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2EF159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九、</w:t>
      </w:r>
      <w:r>
        <w:rPr>
          <w:rFonts w:hint="default" w:ascii="Times New Roman" w:hAnsi="Times New Roman" w:eastAsia="仿宋_GB2312" w:cs="Times New Roman"/>
          <w:b/>
          <w:bCs/>
          <w:color w:val="auto"/>
          <w:sz w:val="32"/>
          <w:szCs w:val="32"/>
          <w:highlight w:val="none"/>
        </w:rPr>
        <w:t>基本支出：</w:t>
      </w:r>
      <w:r>
        <w:rPr>
          <w:rFonts w:hint="default" w:ascii="Times New Roman" w:hAnsi="Times New Roman" w:eastAsia="仿宋_GB2312" w:cs="Times New Roman"/>
          <w:color w:val="auto"/>
          <w:sz w:val="32"/>
          <w:szCs w:val="32"/>
          <w:highlight w:val="none"/>
        </w:rPr>
        <w:t>指为保障机构正常运转、完成日常工作任务而发生的人员支出和公用支出。</w:t>
      </w:r>
    </w:p>
    <w:p w14:paraId="5BA9E8C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十、</w:t>
      </w:r>
      <w:r>
        <w:rPr>
          <w:rFonts w:hint="default" w:ascii="Times New Roman" w:hAnsi="Times New Roman" w:eastAsia="仿宋_GB2312" w:cs="Times New Roman"/>
          <w:b/>
          <w:bCs/>
          <w:color w:val="auto"/>
          <w:sz w:val="32"/>
          <w:szCs w:val="32"/>
          <w:highlight w:val="none"/>
        </w:rPr>
        <w:t>项目支出：</w:t>
      </w:r>
      <w:r>
        <w:rPr>
          <w:rFonts w:hint="default" w:ascii="Times New Roman" w:hAnsi="Times New Roman" w:eastAsia="仿宋_GB2312" w:cs="Times New Roman"/>
          <w:color w:val="auto"/>
          <w:sz w:val="32"/>
          <w:szCs w:val="32"/>
          <w:highlight w:val="none"/>
        </w:rPr>
        <w:t>指在基本支出之外为完成特定行政任务和事业发展目标所发生的支出。</w:t>
      </w:r>
    </w:p>
    <w:p w14:paraId="32F5163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十一、</w:t>
      </w:r>
      <w:r>
        <w:rPr>
          <w:rFonts w:hint="default" w:ascii="Times New Roman" w:hAnsi="Times New Roman" w:eastAsia="仿宋_GB2312" w:cs="Times New Roman"/>
          <w:b/>
          <w:bCs/>
          <w:color w:val="auto"/>
          <w:sz w:val="32"/>
          <w:szCs w:val="32"/>
          <w:highlight w:val="none"/>
        </w:rPr>
        <w:t>经营支出：</w:t>
      </w:r>
      <w:r>
        <w:rPr>
          <w:rFonts w:hint="default" w:ascii="Times New Roman" w:hAnsi="Times New Roman" w:eastAsia="仿宋_GB2312" w:cs="Times New Roman"/>
          <w:color w:val="auto"/>
          <w:sz w:val="32"/>
          <w:szCs w:val="32"/>
          <w:highlight w:val="none"/>
        </w:rPr>
        <w:t>指事业单位在专业业务活动及其辅助活动之外开展非独立核算经营活动发生的支出。</w:t>
      </w:r>
    </w:p>
    <w:p w14:paraId="2F990EB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十二、</w:t>
      </w:r>
      <w:r>
        <w:rPr>
          <w:rFonts w:hint="default" w:ascii="Times New Roman" w:hAnsi="Times New Roman" w:eastAsia="仿宋_GB2312" w:cs="Times New Roman"/>
          <w:b/>
          <w:bCs/>
          <w:color w:val="auto"/>
          <w:sz w:val="32"/>
          <w:szCs w:val="32"/>
          <w:highlight w:val="none"/>
        </w:rPr>
        <w:t>对附属单位补助支出：</w:t>
      </w:r>
      <w:r>
        <w:rPr>
          <w:rFonts w:hint="default" w:ascii="Times New Roman" w:hAnsi="Times New Roman" w:eastAsia="仿宋_GB2312" w:cs="Times New Roman"/>
          <w:color w:val="auto"/>
          <w:sz w:val="32"/>
          <w:szCs w:val="32"/>
          <w:highlight w:val="none"/>
        </w:rPr>
        <w:t>指事业单位发生的用非财政预算资金对附属单位的补助支出。</w:t>
      </w:r>
    </w:p>
    <w:p w14:paraId="398936E6">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val="en-US" w:eastAsia="zh-CN"/>
        </w:rPr>
        <w:t>十三、</w:t>
      </w:r>
      <w:r>
        <w:rPr>
          <w:rFonts w:hint="default" w:ascii="Times New Roman" w:hAnsi="Times New Roman" w:eastAsia="仿宋_GB2312" w:cs="Times New Roman"/>
          <w:b/>
          <w:bCs/>
          <w:color w:val="auto"/>
          <w:sz w:val="32"/>
          <w:szCs w:val="32"/>
          <w:highlight w:val="none"/>
        </w:rPr>
        <w:t>“三公”经费：</w:t>
      </w:r>
      <w:r>
        <w:rPr>
          <w:rFonts w:hint="default" w:ascii="Times New Roman" w:hAnsi="Times New Roman" w:eastAsia="仿宋_GB2312" w:cs="Times New Roman"/>
          <w:color w:val="auto"/>
          <w:sz w:val="32"/>
          <w:szCs w:val="32"/>
          <w:highlight w:val="none"/>
        </w:rPr>
        <w:t>指用财政拨款安排的因公出国（境）费、公务用车购置及运行费和公务接待费。其中，因公出国（境）费反映单位公务出国（境）的</w:t>
      </w:r>
      <w:r>
        <w:rPr>
          <w:rFonts w:hint="default" w:ascii="Times New Roman" w:hAnsi="Times New Roman" w:eastAsia="仿宋_GB2312" w:cs="Times New Roman"/>
          <w:color w:val="auto"/>
          <w:sz w:val="32"/>
          <w:szCs w:val="32"/>
          <w:highlight w:val="none"/>
          <w:lang w:eastAsia="zh-CN"/>
        </w:rPr>
        <w:t>国际旅费、国外城市间交通费、</w:t>
      </w:r>
      <w:r>
        <w:rPr>
          <w:rFonts w:hint="default" w:ascii="Times New Roman" w:hAnsi="Times New Roman" w:eastAsia="仿宋_GB2312" w:cs="Times New Roman"/>
          <w:color w:val="auto"/>
          <w:sz w:val="32"/>
          <w:szCs w:val="32"/>
          <w:highlight w:val="none"/>
        </w:rPr>
        <w:t>住宿费、伙食费、培训费、</w:t>
      </w:r>
      <w:r>
        <w:rPr>
          <w:rFonts w:hint="default" w:ascii="Times New Roman" w:hAnsi="Times New Roman" w:eastAsia="仿宋_GB2312" w:cs="Times New Roman"/>
          <w:color w:val="auto"/>
          <w:sz w:val="32"/>
          <w:szCs w:val="32"/>
          <w:highlight w:val="none"/>
          <w:lang w:eastAsia="zh-CN"/>
        </w:rPr>
        <w:t>公</w:t>
      </w:r>
      <w:r>
        <w:rPr>
          <w:rFonts w:hint="default" w:ascii="Times New Roman" w:hAnsi="Times New Roman" w:eastAsia="仿宋_GB2312" w:cs="Times New Roman"/>
          <w:color w:val="auto"/>
          <w:sz w:val="32"/>
          <w:szCs w:val="32"/>
          <w:highlight w:val="none"/>
        </w:rPr>
        <w:t>杂费等支出；公务用车购置费</w:t>
      </w:r>
      <w:r>
        <w:rPr>
          <w:rFonts w:hint="default" w:ascii="Times New Roman" w:hAnsi="Times New Roman" w:eastAsia="仿宋_GB2312" w:cs="Times New Roman"/>
          <w:color w:val="auto"/>
          <w:sz w:val="32"/>
          <w:szCs w:val="32"/>
          <w:highlight w:val="none"/>
          <w:lang w:eastAsia="zh-CN"/>
        </w:rPr>
        <w:t>反映公务用车购置支出（含车辆购置税、牌照费）；</w:t>
      </w:r>
      <w:r>
        <w:rPr>
          <w:rFonts w:hint="default" w:ascii="Times New Roman" w:hAnsi="Times New Roman" w:eastAsia="仿宋_GB2312" w:cs="Times New Roman"/>
          <w:color w:val="auto"/>
          <w:sz w:val="32"/>
          <w:szCs w:val="32"/>
          <w:highlight w:val="none"/>
        </w:rPr>
        <w:t>公务用车运行</w:t>
      </w:r>
      <w:r>
        <w:rPr>
          <w:rFonts w:hint="default" w:ascii="Times New Roman" w:hAnsi="Times New Roman" w:eastAsia="仿宋_GB2312" w:cs="Times New Roman"/>
          <w:color w:val="auto"/>
          <w:sz w:val="32"/>
          <w:szCs w:val="32"/>
          <w:highlight w:val="none"/>
          <w:lang w:eastAsia="zh-CN"/>
        </w:rPr>
        <w:t>维护</w:t>
      </w:r>
      <w:r>
        <w:rPr>
          <w:rFonts w:hint="default" w:ascii="Times New Roman" w:hAnsi="Times New Roman" w:eastAsia="仿宋_GB2312" w:cs="Times New Roman"/>
          <w:color w:val="auto"/>
          <w:sz w:val="32"/>
          <w:szCs w:val="32"/>
          <w:highlight w:val="none"/>
        </w:rPr>
        <w:t>费反映</w:t>
      </w:r>
      <w:r>
        <w:rPr>
          <w:rFonts w:hint="default" w:ascii="Times New Roman" w:hAnsi="Times New Roman" w:eastAsia="仿宋_GB2312" w:cs="Times New Roman"/>
          <w:color w:val="auto"/>
          <w:sz w:val="32"/>
          <w:szCs w:val="32"/>
          <w:highlight w:val="none"/>
          <w:lang w:eastAsia="zh-CN"/>
        </w:rPr>
        <w:t>单位按规定保留的公务用车燃料费、维修费、</w:t>
      </w:r>
      <w:r>
        <w:rPr>
          <w:rFonts w:hint="default" w:ascii="Times New Roman" w:hAnsi="Times New Roman" w:eastAsia="仿宋_GB2312" w:cs="Times New Roman"/>
          <w:color w:val="auto"/>
          <w:sz w:val="32"/>
          <w:szCs w:val="32"/>
          <w:highlight w:val="none"/>
        </w:rPr>
        <w:t>过路过桥费、保险费、安全奖励费用等支出</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公务接待费反映单位按规定开支的各类公务接待（含外宾接待）</w:t>
      </w:r>
      <w:r>
        <w:rPr>
          <w:rFonts w:hint="default" w:ascii="Times New Roman" w:hAnsi="Times New Roman" w:eastAsia="仿宋_GB2312" w:cs="Times New Roman"/>
          <w:color w:val="auto"/>
          <w:sz w:val="32"/>
          <w:szCs w:val="32"/>
          <w:highlight w:val="none"/>
          <w:lang w:eastAsia="zh-CN"/>
        </w:rPr>
        <w:t>费用</w:t>
      </w:r>
      <w:r>
        <w:rPr>
          <w:rFonts w:hint="default" w:ascii="Times New Roman" w:hAnsi="Times New Roman" w:eastAsia="仿宋_GB2312" w:cs="Times New Roman"/>
          <w:color w:val="auto"/>
          <w:sz w:val="32"/>
          <w:szCs w:val="32"/>
          <w:highlight w:val="none"/>
        </w:rPr>
        <w:t>。</w:t>
      </w:r>
    </w:p>
    <w:p w14:paraId="1936D2D1">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十四、</w:t>
      </w:r>
      <w:r>
        <w:rPr>
          <w:rFonts w:hint="default" w:ascii="Times New Roman" w:hAnsi="Times New Roman" w:eastAsia="仿宋_GB2312" w:cs="Times New Roman"/>
          <w:b/>
          <w:bCs/>
          <w:color w:val="auto"/>
          <w:sz w:val="32"/>
          <w:szCs w:val="32"/>
          <w:highlight w:val="none"/>
        </w:rPr>
        <w:t>机关运行经费：</w:t>
      </w:r>
      <w:r>
        <w:rPr>
          <w:rFonts w:hint="default" w:ascii="Times New Roman" w:hAnsi="Times New Roman" w:eastAsia="仿宋_GB2312" w:cs="Times New Roman"/>
          <w:color w:val="auto"/>
          <w:sz w:val="32"/>
          <w:szCs w:val="32"/>
          <w:highlight w:val="none"/>
        </w:rPr>
        <w:t>行政单位和参照公务员法管理的事业单位财政拨款基本支出中的公用经费支出。</w:t>
      </w:r>
    </w:p>
    <w:p w14:paraId="7E5E900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仿宋_GB2312" w:cs="Times New Roman"/>
          <w:color w:val="auto"/>
          <w:sz w:val="32"/>
          <w:szCs w:val="32"/>
          <w:highlight w:val="none"/>
        </w:rPr>
        <w:br w:type="page"/>
      </w:r>
      <w:r>
        <w:rPr>
          <w:rFonts w:hint="default" w:ascii="Times New Roman" w:hAnsi="Times New Roman" w:eastAsia="黑体" w:cs="Times New Roman"/>
          <w:color w:val="auto"/>
          <w:sz w:val="32"/>
          <w:szCs w:val="32"/>
          <w:highlight w:val="none"/>
        </w:rPr>
        <w:t>第四部分 部门决算报表（见附表）</w:t>
      </w:r>
    </w:p>
    <w:p w14:paraId="49E21F7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32" w:name="_Toc2183"/>
      <w:bookmarkStart w:id="33" w:name="_Toc6062"/>
      <w:r>
        <w:rPr>
          <w:rFonts w:hint="default" w:ascii="Times New Roman" w:hAnsi="Times New Roman" w:eastAsia="仿宋_GB2312" w:cs="Times New Roman"/>
          <w:bCs/>
          <w:color w:val="auto"/>
          <w:kern w:val="0"/>
          <w:sz w:val="32"/>
          <w:szCs w:val="32"/>
          <w:highlight w:val="none"/>
        </w:rPr>
        <w:t>一、《收入支出决算总表》</w:t>
      </w:r>
      <w:bookmarkEnd w:id="32"/>
      <w:bookmarkEnd w:id="33"/>
    </w:p>
    <w:p w14:paraId="785EF30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34" w:name="_Toc24532"/>
      <w:bookmarkStart w:id="35" w:name="_Toc30364"/>
      <w:r>
        <w:rPr>
          <w:rFonts w:hint="default" w:ascii="Times New Roman" w:hAnsi="Times New Roman" w:eastAsia="仿宋_GB2312" w:cs="Times New Roman"/>
          <w:bCs/>
          <w:color w:val="auto"/>
          <w:kern w:val="0"/>
          <w:sz w:val="32"/>
          <w:szCs w:val="32"/>
          <w:highlight w:val="none"/>
        </w:rPr>
        <w:t>二、《收入决算表》</w:t>
      </w:r>
      <w:bookmarkEnd w:id="34"/>
      <w:bookmarkEnd w:id="35"/>
    </w:p>
    <w:p w14:paraId="1CF64C9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36" w:name="_Toc21304"/>
      <w:bookmarkStart w:id="37" w:name="_Toc32434"/>
      <w:r>
        <w:rPr>
          <w:rFonts w:hint="default" w:ascii="Times New Roman" w:hAnsi="Times New Roman" w:eastAsia="仿宋_GB2312" w:cs="Times New Roman"/>
          <w:bCs/>
          <w:color w:val="auto"/>
          <w:kern w:val="0"/>
          <w:sz w:val="32"/>
          <w:szCs w:val="32"/>
          <w:highlight w:val="none"/>
        </w:rPr>
        <w:t>三、《支出决算表》</w:t>
      </w:r>
      <w:bookmarkEnd w:id="36"/>
      <w:bookmarkEnd w:id="37"/>
    </w:p>
    <w:p w14:paraId="66D0E47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38" w:name="_Toc14238"/>
      <w:bookmarkStart w:id="39" w:name="_Toc28786"/>
      <w:r>
        <w:rPr>
          <w:rFonts w:hint="default" w:ascii="Times New Roman" w:hAnsi="Times New Roman" w:eastAsia="仿宋_GB2312" w:cs="Times New Roman"/>
          <w:bCs/>
          <w:color w:val="auto"/>
          <w:kern w:val="0"/>
          <w:sz w:val="32"/>
          <w:szCs w:val="32"/>
          <w:highlight w:val="none"/>
        </w:rPr>
        <w:t>四、《财政拨款收入支出决算总表》</w:t>
      </w:r>
      <w:bookmarkEnd w:id="38"/>
      <w:bookmarkEnd w:id="39"/>
    </w:p>
    <w:p w14:paraId="4897B89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40" w:name="_Toc14869"/>
      <w:bookmarkStart w:id="41" w:name="_Toc10347"/>
      <w:r>
        <w:rPr>
          <w:rFonts w:hint="default" w:ascii="Times New Roman" w:hAnsi="Times New Roman" w:eastAsia="仿宋_GB2312" w:cs="Times New Roman"/>
          <w:bCs/>
          <w:color w:val="auto"/>
          <w:kern w:val="0"/>
          <w:sz w:val="32"/>
          <w:szCs w:val="32"/>
          <w:highlight w:val="none"/>
        </w:rPr>
        <w:t>五、《一般公共预算财政拨款支出决算表》</w:t>
      </w:r>
      <w:bookmarkEnd w:id="40"/>
      <w:bookmarkEnd w:id="41"/>
    </w:p>
    <w:p w14:paraId="7C26D32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42" w:name="_Toc8884"/>
      <w:bookmarkStart w:id="43" w:name="_Toc5626"/>
      <w:r>
        <w:rPr>
          <w:rFonts w:hint="default" w:ascii="Times New Roman" w:hAnsi="Times New Roman" w:eastAsia="仿宋_GB2312" w:cs="Times New Roman"/>
          <w:bCs/>
          <w:color w:val="auto"/>
          <w:kern w:val="0"/>
          <w:sz w:val="32"/>
          <w:szCs w:val="32"/>
          <w:highlight w:val="none"/>
        </w:rPr>
        <w:t>六、《一般公共预算财政拨款基本支出决算表》</w:t>
      </w:r>
      <w:bookmarkEnd w:id="42"/>
      <w:bookmarkEnd w:id="43"/>
    </w:p>
    <w:p w14:paraId="521CEA0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r>
        <w:rPr>
          <w:rFonts w:hint="default" w:ascii="Times New Roman" w:hAnsi="Times New Roman" w:eastAsia="仿宋_GB2312" w:cs="Times New Roman"/>
          <w:bCs/>
          <w:color w:val="auto"/>
          <w:kern w:val="0"/>
          <w:sz w:val="32"/>
          <w:szCs w:val="32"/>
          <w:highlight w:val="none"/>
        </w:rPr>
        <w:t>七、</w:t>
      </w:r>
      <w:bookmarkStart w:id="44" w:name="_Toc29106"/>
      <w:bookmarkStart w:id="45" w:name="_Toc32663"/>
      <w:r>
        <w:rPr>
          <w:rFonts w:hint="default" w:ascii="Times New Roman" w:hAnsi="Times New Roman" w:eastAsia="仿宋_GB2312" w:cs="Times New Roman"/>
          <w:bCs/>
          <w:color w:val="auto"/>
          <w:kern w:val="0"/>
          <w:sz w:val="32"/>
          <w:szCs w:val="32"/>
          <w:highlight w:val="none"/>
        </w:rPr>
        <w:t>《财政拨款“三公”经费支出决算表》</w:t>
      </w:r>
      <w:bookmarkEnd w:id="44"/>
      <w:bookmarkEnd w:id="45"/>
    </w:p>
    <w:p w14:paraId="65CE0B0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46" w:name="_Toc7643"/>
      <w:bookmarkStart w:id="47" w:name="_Toc5453"/>
      <w:r>
        <w:rPr>
          <w:rFonts w:hint="default" w:ascii="Times New Roman" w:hAnsi="Times New Roman" w:eastAsia="仿宋_GB2312" w:cs="Times New Roman"/>
          <w:bCs/>
          <w:color w:val="auto"/>
          <w:kern w:val="0"/>
          <w:sz w:val="32"/>
          <w:szCs w:val="32"/>
          <w:highlight w:val="none"/>
        </w:rPr>
        <w:t>八、《政府性基金预算财政拨款收入支出决算表》</w:t>
      </w:r>
      <w:bookmarkEnd w:id="46"/>
      <w:bookmarkEnd w:id="47"/>
    </w:p>
    <w:p w14:paraId="7443CF2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r>
        <w:rPr>
          <w:rFonts w:hint="default" w:ascii="Times New Roman" w:hAnsi="Times New Roman" w:eastAsia="仿宋_GB2312" w:cs="Times New Roman"/>
          <w:bCs/>
          <w:color w:val="auto"/>
          <w:kern w:val="0"/>
          <w:sz w:val="32"/>
          <w:szCs w:val="32"/>
          <w:highlight w:val="none"/>
          <w:lang w:val="en-US" w:eastAsia="zh-CN"/>
        </w:rPr>
        <w:t>九</w:t>
      </w:r>
      <w:r>
        <w:rPr>
          <w:rFonts w:hint="default" w:ascii="Times New Roman" w:hAnsi="Times New Roman" w:eastAsia="仿宋_GB2312" w:cs="Times New Roman"/>
          <w:bCs/>
          <w:color w:val="auto"/>
          <w:kern w:val="0"/>
          <w:sz w:val="32"/>
          <w:szCs w:val="32"/>
          <w:highlight w:val="none"/>
        </w:rPr>
        <w:t>、《</w:t>
      </w:r>
      <w:r>
        <w:rPr>
          <w:rFonts w:hint="default" w:ascii="Times New Roman" w:hAnsi="Times New Roman" w:eastAsia="仿宋_GB2312" w:cs="Times New Roman"/>
          <w:bCs/>
          <w:color w:val="auto"/>
          <w:kern w:val="0"/>
          <w:sz w:val="32"/>
          <w:szCs w:val="32"/>
          <w:highlight w:val="none"/>
          <w:lang w:eastAsia="zh-CN"/>
        </w:rPr>
        <w:t>国有资本经营</w:t>
      </w:r>
      <w:r>
        <w:rPr>
          <w:rFonts w:hint="default" w:ascii="Times New Roman" w:hAnsi="Times New Roman" w:eastAsia="仿宋_GB2312" w:cs="Times New Roman"/>
          <w:bCs/>
          <w:color w:val="auto"/>
          <w:kern w:val="0"/>
          <w:sz w:val="32"/>
          <w:szCs w:val="32"/>
          <w:highlight w:val="none"/>
        </w:rPr>
        <w:t>预算财政拨款收入支出决算表》</w:t>
      </w:r>
    </w:p>
    <w:p w14:paraId="33040010">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Times New Roman" w:hAnsi="Times New Roman" w:eastAsia="仿宋_GB2312" w:cs="Times New Roman"/>
          <w:color w:val="auto"/>
          <w:sz w:val="32"/>
          <w:szCs w:val="32"/>
          <w:highlight w:val="none"/>
        </w:rPr>
      </w:pPr>
    </w:p>
    <w:p w14:paraId="034A805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黑体" w:cs="Times New Roman"/>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BB82E4">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381BB3E">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1381BB3E">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4Yzc5N2YwNTQ2ZGM1MWIyYWM0OGJiODc3YWQ0YjYifQ=="/>
    <w:docVar w:name="KSO_WPS_MARK_KEY" w:val="41ee2a61-2d54-4f93-83be-afdb9a40d732"/>
  </w:docVars>
  <w:rsids>
    <w:rsidRoot w:val="00000000"/>
    <w:rsid w:val="00213C59"/>
    <w:rsid w:val="003210CE"/>
    <w:rsid w:val="00B70D59"/>
    <w:rsid w:val="00CB69A1"/>
    <w:rsid w:val="00F52A8D"/>
    <w:rsid w:val="011C4016"/>
    <w:rsid w:val="018E7169"/>
    <w:rsid w:val="019404F8"/>
    <w:rsid w:val="02BD3108"/>
    <w:rsid w:val="02F73D26"/>
    <w:rsid w:val="034D4FEF"/>
    <w:rsid w:val="035D1785"/>
    <w:rsid w:val="039F47CE"/>
    <w:rsid w:val="03E05CE8"/>
    <w:rsid w:val="03F973EE"/>
    <w:rsid w:val="043E5B56"/>
    <w:rsid w:val="04C04386"/>
    <w:rsid w:val="04D96608"/>
    <w:rsid w:val="04FA68C4"/>
    <w:rsid w:val="05127352"/>
    <w:rsid w:val="053F5AE6"/>
    <w:rsid w:val="05663F59"/>
    <w:rsid w:val="057C0B0F"/>
    <w:rsid w:val="05AC4062"/>
    <w:rsid w:val="05EF4B48"/>
    <w:rsid w:val="05F76ECA"/>
    <w:rsid w:val="06792773"/>
    <w:rsid w:val="06E400F3"/>
    <w:rsid w:val="07093795"/>
    <w:rsid w:val="07804730"/>
    <w:rsid w:val="079052BE"/>
    <w:rsid w:val="08145C21"/>
    <w:rsid w:val="0822060B"/>
    <w:rsid w:val="08422688"/>
    <w:rsid w:val="085854ED"/>
    <w:rsid w:val="085B1D0C"/>
    <w:rsid w:val="0879188F"/>
    <w:rsid w:val="08A0354D"/>
    <w:rsid w:val="08CD4C49"/>
    <w:rsid w:val="09114954"/>
    <w:rsid w:val="095A5B83"/>
    <w:rsid w:val="096466E3"/>
    <w:rsid w:val="0968304D"/>
    <w:rsid w:val="09AF3D17"/>
    <w:rsid w:val="0A7809B7"/>
    <w:rsid w:val="0A7B4867"/>
    <w:rsid w:val="0A840954"/>
    <w:rsid w:val="0A9928ED"/>
    <w:rsid w:val="0AC36A56"/>
    <w:rsid w:val="0AF52007"/>
    <w:rsid w:val="0B61769D"/>
    <w:rsid w:val="0B8C3ECC"/>
    <w:rsid w:val="0B9C639D"/>
    <w:rsid w:val="0BB052B2"/>
    <w:rsid w:val="0BD33FFC"/>
    <w:rsid w:val="0BE97AC1"/>
    <w:rsid w:val="0C1C4780"/>
    <w:rsid w:val="0C3613A3"/>
    <w:rsid w:val="0C5E519C"/>
    <w:rsid w:val="0C7227A7"/>
    <w:rsid w:val="0CA52EE8"/>
    <w:rsid w:val="0CBD6988"/>
    <w:rsid w:val="0CD208AC"/>
    <w:rsid w:val="0CFA1B57"/>
    <w:rsid w:val="0D4903E8"/>
    <w:rsid w:val="0D7A4A46"/>
    <w:rsid w:val="0E3C1CFB"/>
    <w:rsid w:val="0E640559"/>
    <w:rsid w:val="0F1113DA"/>
    <w:rsid w:val="0F78534A"/>
    <w:rsid w:val="0F89358A"/>
    <w:rsid w:val="0F8C6D51"/>
    <w:rsid w:val="0F9F69E6"/>
    <w:rsid w:val="0FBC7598"/>
    <w:rsid w:val="105B0B5E"/>
    <w:rsid w:val="112E58D0"/>
    <w:rsid w:val="11731CAC"/>
    <w:rsid w:val="119500A0"/>
    <w:rsid w:val="11C0733B"/>
    <w:rsid w:val="11D50D17"/>
    <w:rsid w:val="120E0809"/>
    <w:rsid w:val="127F665A"/>
    <w:rsid w:val="12F7068C"/>
    <w:rsid w:val="13051D24"/>
    <w:rsid w:val="14060FAB"/>
    <w:rsid w:val="14207DC0"/>
    <w:rsid w:val="14B932DA"/>
    <w:rsid w:val="150A66AF"/>
    <w:rsid w:val="154C1139"/>
    <w:rsid w:val="158C5B77"/>
    <w:rsid w:val="160D1149"/>
    <w:rsid w:val="163563C0"/>
    <w:rsid w:val="164315EF"/>
    <w:rsid w:val="16557DFE"/>
    <w:rsid w:val="166E2C6E"/>
    <w:rsid w:val="167268FB"/>
    <w:rsid w:val="16770D0A"/>
    <w:rsid w:val="16D50C50"/>
    <w:rsid w:val="16E120E1"/>
    <w:rsid w:val="17385A05"/>
    <w:rsid w:val="173B3901"/>
    <w:rsid w:val="176747F9"/>
    <w:rsid w:val="17954A6E"/>
    <w:rsid w:val="180059E9"/>
    <w:rsid w:val="184510FD"/>
    <w:rsid w:val="18F57676"/>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67989"/>
    <w:rsid w:val="1E97358B"/>
    <w:rsid w:val="1EAA4A5F"/>
    <w:rsid w:val="1EE869A7"/>
    <w:rsid w:val="1FA15E62"/>
    <w:rsid w:val="1FED69B6"/>
    <w:rsid w:val="2064678E"/>
    <w:rsid w:val="20DC1AB9"/>
    <w:rsid w:val="20DD6197"/>
    <w:rsid w:val="210A0E25"/>
    <w:rsid w:val="212631E0"/>
    <w:rsid w:val="21A53757"/>
    <w:rsid w:val="221236C6"/>
    <w:rsid w:val="222C235B"/>
    <w:rsid w:val="22D7662C"/>
    <w:rsid w:val="23326B7F"/>
    <w:rsid w:val="2380045B"/>
    <w:rsid w:val="23BC04D2"/>
    <w:rsid w:val="23EF1892"/>
    <w:rsid w:val="244F2331"/>
    <w:rsid w:val="2483647E"/>
    <w:rsid w:val="24A32D55"/>
    <w:rsid w:val="24ED38F7"/>
    <w:rsid w:val="25292727"/>
    <w:rsid w:val="252E5CA9"/>
    <w:rsid w:val="256F7692"/>
    <w:rsid w:val="25BA2154"/>
    <w:rsid w:val="25C8773F"/>
    <w:rsid w:val="25CB33C4"/>
    <w:rsid w:val="264A7253"/>
    <w:rsid w:val="26F0170C"/>
    <w:rsid w:val="271C2272"/>
    <w:rsid w:val="27201D62"/>
    <w:rsid w:val="27286E73"/>
    <w:rsid w:val="27CF2642"/>
    <w:rsid w:val="27D81586"/>
    <w:rsid w:val="27E777F5"/>
    <w:rsid w:val="27EA1D4C"/>
    <w:rsid w:val="27EA2E41"/>
    <w:rsid w:val="282459E2"/>
    <w:rsid w:val="283A7FE5"/>
    <w:rsid w:val="285F51FF"/>
    <w:rsid w:val="28DF2665"/>
    <w:rsid w:val="29072599"/>
    <w:rsid w:val="291029F3"/>
    <w:rsid w:val="29CB58F0"/>
    <w:rsid w:val="2A053397"/>
    <w:rsid w:val="2A145E96"/>
    <w:rsid w:val="2A2131BB"/>
    <w:rsid w:val="2A373C91"/>
    <w:rsid w:val="2AF5378F"/>
    <w:rsid w:val="2BB94DBF"/>
    <w:rsid w:val="2C1A76C8"/>
    <w:rsid w:val="2C6F314E"/>
    <w:rsid w:val="2CC206BE"/>
    <w:rsid w:val="2D1136DF"/>
    <w:rsid w:val="2D20606D"/>
    <w:rsid w:val="2DB87198"/>
    <w:rsid w:val="2DB93C54"/>
    <w:rsid w:val="2E2B796A"/>
    <w:rsid w:val="2E3D144C"/>
    <w:rsid w:val="2E891204"/>
    <w:rsid w:val="2F375EF6"/>
    <w:rsid w:val="2F3F0A28"/>
    <w:rsid w:val="2FBF7029"/>
    <w:rsid w:val="2FD0187F"/>
    <w:rsid w:val="2FD27414"/>
    <w:rsid w:val="2FFE4BB0"/>
    <w:rsid w:val="300E7B60"/>
    <w:rsid w:val="300F6E18"/>
    <w:rsid w:val="30862F5F"/>
    <w:rsid w:val="314029C9"/>
    <w:rsid w:val="31C63837"/>
    <w:rsid w:val="31C82E39"/>
    <w:rsid w:val="32601BAD"/>
    <w:rsid w:val="3292044B"/>
    <w:rsid w:val="329F6389"/>
    <w:rsid w:val="32B85545"/>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B650BF"/>
    <w:rsid w:val="39CB0253"/>
    <w:rsid w:val="39DA0497"/>
    <w:rsid w:val="3A893816"/>
    <w:rsid w:val="3A893B6D"/>
    <w:rsid w:val="3AC13EE4"/>
    <w:rsid w:val="3AD1763A"/>
    <w:rsid w:val="3B6716E3"/>
    <w:rsid w:val="3B6C6B2D"/>
    <w:rsid w:val="3C242659"/>
    <w:rsid w:val="3C96719C"/>
    <w:rsid w:val="3CA72BE8"/>
    <w:rsid w:val="3CF37F8C"/>
    <w:rsid w:val="3D137554"/>
    <w:rsid w:val="3D4A5478"/>
    <w:rsid w:val="3D5275AC"/>
    <w:rsid w:val="3DCC2473"/>
    <w:rsid w:val="3DEB0883"/>
    <w:rsid w:val="3E2527BF"/>
    <w:rsid w:val="3E731662"/>
    <w:rsid w:val="3E7E5894"/>
    <w:rsid w:val="3E8168DD"/>
    <w:rsid w:val="3EA7725F"/>
    <w:rsid w:val="3EB03713"/>
    <w:rsid w:val="3EB968CD"/>
    <w:rsid w:val="3EBF1A11"/>
    <w:rsid w:val="3EC52607"/>
    <w:rsid w:val="3EEC6CEF"/>
    <w:rsid w:val="3F183429"/>
    <w:rsid w:val="3FA91930"/>
    <w:rsid w:val="3FB77A1D"/>
    <w:rsid w:val="3FDC3674"/>
    <w:rsid w:val="3FED7F8A"/>
    <w:rsid w:val="40094AEF"/>
    <w:rsid w:val="405470BD"/>
    <w:rsid w:val="40794A29"/>
    <w:rsid w:val="40834692"/>
    <w:rsid w:val="4084438A"/>
    <w:rsid w:val="41431AD5"/>
    <w:rsid w:val="414B3C0F"/>
    <w:rsid w:val="417C1CE7"/>
    <w:rsid w:val="41900018"/>
    <w:rsid w:val="41944406"/>
    <w:rsid w:val="41CE128F"/>
    <w:rsid w:val="41DA6F12"/>
    <w:rsid w:val="42171FB1"/>
    <w:rsid w:val="42401DC4"/>
    <w:rsid w:val="434E6957"/>
    <w:rsid w:val="43BA0E31"/>
    <w:rsid w:val="43C15147"/>
    <w:rsid w:val="43E14DD2"/>
    <w:rsid w:val="43F800E9"/>
    <w:rsid w:val="443A7E4B"/>
    <w:rsid w:val="4476136E"/>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871F75"/>
    <w:rsid w:val="4A934476"/>
    <w:rsid w:val="4AAA220A"/>
    <w:rsid w:val="4AE12E67"/>
    <w:rsid w:val="4B4C0111"/>
    <w:rsid w:val="4B8553A9"/>
    <w:rsid w:val="4BCC0F12"/>
    <w:rsid w:val="4BDB3730"/>
    <w:rsid w:val="4C200F7A"/>
    <w:rsid w:val="4CEE3180"/>
    <w:rsid w:val="4D0F4AF6"/>
    <w:rsid w:val="4D4C4DB0"/>
    <w:rsid w:val="4DF94F37"/>
    <w:rsid w:val="4E0A1DD5"/>
    <w:rsid w:val="4E3160E5"/>
    <w:rsid w:val="4E4D37AF"/>
    <w:rsid w:val="4E8C6496"/>
    <w:rsid w:val="4EFD18DE"/>
    <w:rsid w:val="4F144236"/>
    <w:rsid w:val="4F663C87"/>
    <w:rsid w:val="4F7E29A8"/>
    <w:rsid w:val="4F9E1FFC"/>
    <w:rsid w:val="4FDF38FC"/>
    <w:rsid w:val="50447CC2"/>
    <w:rsid w:val="50874A7C"/>
    <w:rsid w:val="50895EE7"/>
    <w:rsid w:val="50921B9D"/>
    <w:rsid w:val="50A12CA1"/>
    <w:rsid w:val="50D16158"/>
    <w:rsid w:val="50DB5F45"/>
    <w:rsid w:val="50F43794"/>
    <w:rsid w:val="51025EB1"/>
    <w:rsid w:val="51141503"/>
    <w:rsid w:val="518D0ED5"/>
    <w:rsid w:val="525C687F"/>
    <w:rsid w:val="52C11D9C"/>
    <w:rsid w:val="52E141EC"/>
    <w:rsid w:val="52F647F7"/>
    <w:rsid w:val="52F92565"/>
    <w:rsid w:val="53D0387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6B6A32"/>
    <w:rsid w:val="58CD2491"/>
    <w:rsid w:val="58FA7DB6"/>
    <w:rsid w:val="591B41B2"/>
    <w:rsid w:val="59254A26"/>
    <w:rsid w:val="59326325"/>
    <w:rsid w:val="59526FF3"/>
    <w:rsid w:val="595C505B"/>
    <w:rsid w:val="595E55C3"/>
    <w:rsid w:val="596E7E20"/>
    <w:rsid w:val="59B12B6A"/>
    <w:rsid w:val="5A60780B"/>
    <w:rsid w:val="5AB34579"/>
    <w:rsid w:val="5AFA7CFB"/>
    <w:rsid w:val="5AFC6609"/>
    <w:rsid w:val="5B0864E1"/>
    <w:rsid w:val="5B113480"/>
    <w:rsid w:val="5B8F2A37"/>
    <w:rsid w:val="5BD456CE"/>
    <w:rsid w:val="5C0D1F49"/>
    <w:rsid w:val="5CBB0CE2"/>
    <w:rsid w:val="5CC17177"/>
    <w:rsid w:val="5CF306BC"/>
    <w:rsid w:val="5D3F3D64"/>
    <w:rsid w:val="5D6D4FFA"/>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2E53885"/>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6F12112"/>
    <w:rsid w:val="66F50EE0"/>
    <w:rsid w:val="67134CEF"/>
    <w:rsid w:val="671F1ABD"/>
    <w:rsid w:val="67521A59"/>
    <w:rsid w:val="67BF46A4"/>
    <w:rsid w:val="67C304AB"/>
    <w:rsid w:val="67E932FA"/>
    <w:rsid w:val="683F0658"/>
    <w:rsid w:val="684D63CB"/>
    <w:rsid w:val="689C6793"/>
    <w:rsid w:val="68DB0208"/>
    <w:rsid w:val="68FB170C"/>
    <w:rsid w:val="691B3D98"/>
    <w:rsid w:val="693748F0"/>
    <w:rsid w:val="69846A0E"/>
    <w:rsid w:val="69AA1366"/>
    <w:rsid w:val="69AD798C"/>
    <w:rsid w:val="69D005C0"/>
    <w:rsid w:val="69D80B96"/>
    <w:rsid w:val="6A376846"/>
    <w:rsid w:val="6B68175F"/>
    <w:rsid w:val="6BE15D5B"/>
    <w:rsid w:val="6BFD799F"/>
    <w:rsid w:val="6C4A2E5A"/>
    <w:rsid w:val="6C8138D0"/>
    <w:rsid w:val="6CEF0725"/>
    <w:rsid w:val="6D4B2604"/>
    <w:rsid w:val="6D8030E4"/>
    <w:rsid w:val="6E0E35C4"/>
    <w:rsid w:val="6E0F7A08"/>
    <w:rsid w:val="6E3947F5"/>
    <w:rsid w:val="6E9C74ED"/>
    <w:rsid w:val="6E9F0D8B"/>
    <w:rsid w:val="6EF72976"/>
    <w:rsid w:val="6F795A80"/>
    <w:rsid w:val="6F7C1D2E"/>
    <w:rsid w:val="6F8E0407"/>
    <w:rsid w:val="6FDD069F"/>
    <w:rsid w:val="70294DB1"/>
    <w:rsid w:val="702B4D16"/>
    <w:rsid w:val="70AA6621"/>
    <w:rsid w:val="70D0538F"/>
    <w:rsid w:val="70DF7B65"/>
    <w:rsid w:val="7111480F"/>
    <w:rsid w:val="71261F49"/>
    <w:rsid w:val="712E6956"/>
    <w:rsid w:val="7137174F"/>
    <w:rsid w:val="71473612"/>
    <w:rsid w:val="71504F32"/>
    <w:rsid w:val="7152309F"/>
    <w:rsid w:val="718F7F65"/>
    <w:rsid w:val="719026D2"/>
    <w:rsid w:val="727B234E"/>
    <w:rsid w:val="72A561D3"/>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25204A"/>
    <w:rsid w:val="776526CC"/>
    <w:rsid w:val="77A262E1"/>
    <w:rsid w:val="77B13C33"/>
    <w:rsid w:val="77ED6F44"/>
    <w:rsid w:val="77F45548"/>
    <w:rsid w:val="784E7CA6"/>
    <w:rsid w:val="78574801"/>
    <w:rsid w:val="7873527F"/>
    <w:rsid w:val="790A6425"/>
    <w:rsid w:val="790E2D96"/>
    <w:rsid w:val="791B54B2"/>
    <w:rsid w:val="795A0A34"/>
    <w:rsid w:val="796E7ED4"/>
    <w:rsid w:val="797339C3"/>
    <w:rsid w:val="79D57D57"/>
    <w:rsid w:val="79F00650"/>
    <w:rsid w:val="7A6242BF"/>
    <w:rsid w:val="7A794513"/>
    <w:rsid w:val="7AE952D2"/>
    <w:rsid w:val="7C5F7DAC"/>
    <w:rsid w:val="7C7248A0"/>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6"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6"/>
    <w:pPr>
      <w:spacing w:before="100" w:beforeAutospacing="1" w:after="100" w:afterAutospacing="1"/>
      <w:jc w:val="left"/>
      <w:outlineLvl w:val="2"/>
    </w:pPr>
    <w:rPr>
      <w:rFonts w:ascii="宋体" w:hAnsi="宋体" w:cs="Times New Roman"/>
      <w:b/>
      <w:sz w:val="27"/>
      <w:szCs w:val="27"/>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4">
    <w:name w:val="annotation text"/>
    <w:basedOn w:val="1"/>
    <w:qFormat/>
    <w:uiPriority w:val="0"/>
    <w:pPr>
      <w:jc w:val="left"/>
    </w:pPr>
  </w:style>
  <w:style w:type="paragraph" w:styleId="5">
    <w:name w:val="toc 3"/>
    <w:basedOn w:val="1"/>
    <w:next w:val="1"/>
    <w:qFormat/>
    <w:uiPriority w:val="0"/>
    <w:pPr>
      <w:ind w:left="840" w:leftChars="4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paragraph" w:styleId="10">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3">
    <w:name w:val="Strong"/>
    <w:basedOn w:val="12"/>
    <w:qFormat/>
    <w:uiPriority w:val="0"/>
    <w:rPr>
      <w:b/>
    </w:rPr>
  </w:style>
  <w:style w:type="paragraph" w:customStyle="1" w:styleId="14">
    <w:name w:val="WPSOffice手动目录 3"/>
    <w:qFormat/>
    <w:uiPriority w:val="0"/>
    <w:pPr>
      <w:ind w:leftChars="400"/>
    </w:pPr>
    <w:rPr>
      <w:rFonts w:ascii="Times New Roman" w:hAnsi="Times New Roman" w:eastAsia="宋体" w:cs="Times New Roman"/>
      <w:sz w:val="20"/>
      <w:szCs w:val="20"/>
    </w:rPr>
  </w:style>
  <w:style w:type="paragraph" w:customStyle="1" w:styleId="15">
    <w:name w:val="WPSOffice手动目录 2"/>
    <w:qFormat/>
    <w:uiPriority w:val="0"/>
    <w:pPr>
      <w:ind w:leftChars="200"/>
    </w:pPr>
    <w:rPr>
      <w:rFonts w:ascii="Times New Roman" w:hAnsi="Times New Roman" w:eastAsia="宋体" w:cs="Times New Roman"/>
      <w:sz w:val="20"/>
      <w:szCs w:val="20"/>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6898</Words>
  <Characters>7905</Characters>
  <Lines>0</Lines>
  <Paragraphs>0</Paragraphs>
  <TotalTime>31</TotalTime>
  <ScaleCrop>false</ScaleCrop>
  <LinksUpToDate>false</LinksUpToDate>
  <CharactersWithSpaces>7937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北巷的小王</cp:lastModifiedBy>
  <dcterms:modified xsi:type="dcterms:W3CDTF">2024-09-12T10:08:30Z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6E7D2E9437FE4E43A1DF63384BCA3BAB_13</vt:lpwstr>
  </property>
</Properties>
</file>