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新疆维吾尔自治区乌鲁木齐水文勘测中心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1E6DB653">
      <w:r>
        <w:br w:type="page"/>
      </w:r>
    </w:p>
    <w:p w14:paraId="3E3F214D">
      <w:pPr>
        <w:spacing w:line="640" w:lineRule="exact"/>
        <w:jc w:val="center"/>
        <w:outlineLvl w:val="1"/>
      </w:pPr>
      <w:r>
        <w:rPr>
          <w:rFonts w:ascii="黑体" w:hAnsi="黑体" w:eastAsia="黑体"/>
          <w:sz w:val="32"/>
        </w:rPr>
        <w:t>第一部分 单位概况</w:t>
      </w:r>
    </w:p>
    <w:p w14:paraId="1AE655B7">
      <w:pPr>
        <w:spacing w:line="640" w:lineRule="exact"/>
        <w:ind w:firstLine="640"/>
        <w:jc w:val="both"/>
        <w:outlineLvl w:val="2"/>
      </w:pPr>
      <w:r>
        <w:rPr>
          <w:rFonts w:ascii="黑体" w:hAnsi="黑体" w:eastAsia="黑体"/>
          <w:sz w:val="32"/>
        </w:rPr>
        <w:t>一、主要职能</w:t>
      </w:r>
    </w:p>
    <w:p w14:paraId="2EB0324E">
      <w:pPr>
        <w:spacing w:line="580" w:lineRule="exact"/>
        <w:ind w:firstLine="640"/>
        <w:jc w:val="both"/>
      </w:pPr>
      <w:r>
        <w:rPr>
          <w:rFonts w:ascii="仿宋_GB2312" w:hAnsi="仿宋_GB2312" w:eastAsia="仿宋_GB2312"/>
          <w:sz w:val="32"/>
        </w:rPr>
        <w:t>自治区乌鲁木齐水文勘测中心是全额拨款事业单位，预算管理级次三级，是水资源调查评价及建设项目水资源论证乙级资质单位。单位承担水资源调查评价、水资源论证、各种工程水文分析计算、水环境规划、水功能区划、水承载能力研究、水供需平衡计算、水质监测、桥涵水文设计、地下水监测、调洪演算、流域规划、防汛报汛、防洪减灾等工作。</w:t>
      </w:r>
    </w:p>
    <w:p w14:paraId="2BA3AE4C">
      <w:pPr>
        <w:spacing w:line="640" w:lineRule="exact"/>
        <w:ind w:firstLine="640"/>
        <w:jc w:val="both"/>
        <w:outlineLvl w:val="2"/>
      </w:pPr>
      <w:r>
        <w:rPr>
          <w:rFonts w:ascii="黑体" w:hAnsi="黑体" w:eastAsia="黑体"/>
          <w:sz w:val="32"/>
        </w:rPr>
        <w:t>二、机构设置</w:t>
      </w:r>
    </w:p>
    <w:p w14:paraId="2869CDDC">
      <w:pPr>
        <w:spacing w:line="580" w:lineRule="exact"/>
        <w:ind w:firstLine="640"/>
        <w:jc w:val="both"/>
      </w:pPr>
      <w:r>
        <w:rPr>
          <w:rFonts w:ascii="仿宋_GB2312" w:hAnsi="仿宋_GB2312" w:eastAsia="仿宋_GB2312"/>
          <w:sz w:val="32"/>
        </w:rPr>
        <w:t>新疆维吾尔自治区乌鲁木齐水文勘测中心无下属预算单位。</w:t>
      </w:r>
    </w:p>
    <w:p w14:paraId="0A587F58">
      <w:r>
        <w:br w:type="page"/>
      </w:r>
    </w:p>
    <w:p w14:paraId="7468C2AA">
      <w:pPr>
        <w:spacing w:line="240" w:lineRule="auto"/>
        <w:jc w:val="center"/>
        <w:outlineLvl w:val="1"/>
      </w:pPr>
      <w:r>
        <w:rPr>
          <w:rFonts w:ascii="黑体" w:hAnsi="黑体" w:eastAsia="黑体"/>
          <w:sz w:val="32"/>
        </w:rPr>
        <w:t>第二部分 部门决算情况说明</w:t>
      </w:r>
    </w:p>
    <w:p w14:paraId="43E40BCB">
      <w:pPr>
        <w:spacing w:line="640" w:lineRule="exact"/>
        <w:ind w:firstLine="640"/>
        <w:jc w:val="both"/>
        <w:outlineLvl w:val="2"/>
      </w:pPr>
      <w:r>
        <w:rPr>
          <w:rFonts w:ascii="黑体" w:hAnsi="黑体" w:eastAsia="黑体"/>
          <w:sz w:val="32"/>
        </w:rPr>
        <w:t>一、收入支出决算总体情况说明</w:t>
      </w:r>
    </w:p>
    <w:p w14:paraId="66A3F29C">
      <w:pPr>
        <w:spacing w:line="580" w:lineRule="exact"/>
        <w:ind w:firstLine="640"/>
        <w:jc w:val="both"/>
      </w:pPr>
      <w:r>
        <w:rPr>
          <w:rFonts w:ascii="仿宋_GB2312" w:hAnsi="仿宋_GB2312" w:eastAsia="仿宋_GB2312"/>
          <w:b/>
          <w:sz w:val="32"/>
        </w:rPr>
        <w:t>2025年度收入总计3,135.25万元，</w:t>
      </w:r>
      <w:r>
        <w:rPr>
          <w:rFonts w:ascii="仿宋_GB2312" w:hAnsi="仿宋_GB2312" w:eastAsia="仿宋_GB2312"/>
          <w:b w:val="0"/>
          <w:sz w:val="32"/>
        </w:rPr>
        <w:t>其中：本年收入合计3,068.14万元，使用非财政拨款结余（含专用结余）16.25万元，年初结转和结余50.86万元。</w:t>
      </w:r>
    </w:p>
    <w:p w14:paraId="63C0E49A">
      <w:pPr>
        <w:spacing w:line="580" w:lineRule="exact"/>
        <w:ind w:firstLine="640"/>
        <w:jc w:val="both"/>
      </w:pPr>
      <w:r>
        <w:rPr>
          <w:rFonts w:ascii="仿宋_GB2312" w:hAnsi="仿宋_GB2312" w:eastAsia="仿宋_GB2312"/>
          <w:b/>
          <w:sz w:val="32"/>
        </w:rPr>
        <w:t>2025年度支出总计3,135.25万元，</w:t>
      </w:r>
      <w:r>
        <w:rPr>
          <w:rFonts w:ascii="仿宋_GB2312" w:hAnsi="仿宋_GB2312" w:eastAsia="仿宋_GB2312"/>
          <w:b w:val="0"/>
          <w:sz w:val="32"/>
        </w:rPr>
        <w:t>其中：本年支出合计3,050.59万元，结余分配0.00万元，年末结转和结余84.66万元。</w:t>
      </w:r>
    </w:p>
    <w:p w14:paraId="574DBD7E">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增加1,872.59万元，增长148.31%，主要原因是：一是本年新增2025年中央水利发展资金项目；二是</w:t>
      </w:r>
      <w:r>
        <w:rPr>
          <w:rFonts w:hint="eastAsia" w:ascii="仿宋_GB2312" w:hAnsi="仿宋_GB2312" w:eastAsia="仿宋_GB2312"/>
          <w:b w:val="0"/>
          <w:sz w:val="32"/>
          <w:lang w:val="en-US" w:eastAsia="zh-CN"/>
        </w:rPr>
        <w:t>本年增加</w:t>
      </w:r>
      <w:r>
        <w:rPr>
          <w:rFonts w:ascii="仿宋_GB2312" w:hAnsi="仿宋_GB2312" w:eastAsia="仿宋_GB2312"/>
          <w:b w:val="0"/>
          <w:sz w:val="32"/>
        </w:rPr>
        <w:t>在职、退休人员考核奖、退休人员职业年金、抚恤金等人员经费。</w:t>
      </w:r>
    </w:p>
    <w:p w14:paraId="361F0C44">
      <w:pPr>
        <w:spacing w:line="640" w:lineRule="exact"/>
        <w:ind w:firstLine="640"/>
        <w:jc w:val="both"/>
        <w:outlineLvl w:val="2"/>
      </w:pPr>
      <w:r>
        <w:rPr>
          <w:rFonts w:ascii="黑体" w:hAnsi="黑体" w:eastAsia="黑体"/>
          <w:sz w:val="32"/>
        </w:rPr>
        <w:t>二、收入决算情况说明</w:t>
      </w:r>
    </w:p>
    <w:p w14:paraId="42D892F8">
      <w:pPr>
        <w:spacing w:line="580" w:lineRule="exact"/>
        <w:ind w:firstLine="640"/>
        <w:jc w:val="both"/>
      </w:pPr>
      <w:r>
        <w:rPr>
          <w:rFonts w:ascii="仿宋_GB2312" w:hAnsi="仿宋_GB2312" w:eastAsia="仿宋_GB2312"/>
          <w:b/>
          <w:sz w:val="32"/>
        </w:rPr>
        <w:t>本年收入3,068.14万元，</w:t>
      </w:r>
      <w:r>
        <w:rPr>
          <w:rFonts w:ascii="仿宋_GB2312" w:hAnsi="仿宋_GB2312" w:eastAsia="仿宋_GB2312"/>
          <w:b w:val="0"/>
          <w:sz w:val="32"/>
        </w:rPr>
        <w:t>其中：财政拨款收入2,963.07万元，占96.58%；上级补助收入0.00万元，占0.00%；事业收入0.00万元，占0.00%；经营收入102.78万元，占3.35%；附属单位上缴收入0.00万元，占0.00%；其他收入2.29万元，占0.07%。</w:t>
      </w:r>
    </w:p>
    <w:p w14:paraId="557382C1">
      <w:pPr>
        <w:spacing w:line="640" w:lineRule="exact"/>
        <w:ind w:firstLine="640"/>
        <w:jc w:val="both"/>
        <w:outlineLvl w:val="2"/>
      </w:pPr>
      <w:r>
        <w:rPr>
          <w:rFonts w:ascii="黑体" w:hAnsi="黑体" w:eastAsia="黑体"/>
          <w:sz w:val="32"/>
        </w:rPr>
        <w:t>三、支出决算情况说明</w:t>
      </w:r>
    </w:p>
    <w:p w14:paraId="539E58C5">
      <w:pPr>
        <w:spacing w:line="580" w:lineRule="exact"/>
        <w:ind w:firstLine="640"/>
        <w:jc w:val="both"/>
      </w:pPr>
      <w:r>
        <w:rPr>
          <w:rFonts w:ascii="仿宋_GB2312" w:hAnsi="仿宋_GB2312" w:eastAsia="仿宋_GB2312"/>
          <w:b/>
          <w:sz w:val="32"/>
        </w:rPr>
        <w:t>本年支出3,050.59万元，</w:t>
      </w:r>
      <w:r>
        <w:rPr>
          <w:rFonts w:ascii="仿宋_GB2312" w:hAnsi="仿宋_GB2312" w:eastAsia="仿宋_GB2312"/>
          <w:b w:val="0"/>
          <w:sz w:val="32"/>
        </w:rPr>
        <w:t>其中：基本支出943.88万元，占30.94%；项目支出2,003.93万元，占65.69%；上缴上级支出0.00万元，占0.00%；经营支出102.78万元，占3.37%；对附属单位补助支出0.00万元，占0.00%。</w:t>
      </w:r>
    </w:p>
    <w:p w14:paraId="4046D236">
      <w:pPr>
        <w:spacing w:line="640" w:lineRule="exact"/>
        <w:ind w:firstLine="640"/>
        <w:jc w:val="both"/>
        <w:outlineLvl w:val="2"/>
      </w:pPr>
      <w:r>
        <w:rPr>
          <w:rFonts w:ascii="黑体" w:hAnsi="黑体" w:eastAsia="黑体"/>
          <w:sz w:val="32"/>
        </w:rPr>
        <w:t>四、财政拨款收入支出决算总体情况说明</w:t>
      </w:r>
    </w:p>
    <w:p w14:paraId="3BB1F467">
      <w:pPr>
        <w:spacing w:line="580" w:lineRule="exact"/>
        <w:ind w:firstLine="640"/>
        <w:jc w:val="both"/>
      </w:pPr>
      <w:r>
        <w:rPr>
          <w:rFonts w:ascii="仿宋_GB2312" w:hAnsi="仿宋_GB2312" w:eastAsia="仿宋_GB2312"/>
          <w:b/>
          <w:sz w:val="32"/>
        </w:rPr>
        <w:t>2025年度财政拨款收入总计3,013.93万元，</w:t>
      </w:r>
      <w:r>
        <w:rPr>
          <w:rFonts w:ascii="仿宋_GB2312" w:hAnsi="仿宋_GB2312" w:eastAsia="仿宋_GB2312"/>
          <w:b w:val="0"/>
          <w:sz w:val="32"/>
        </w:rPr>
        <w:t>其中：年初财政拨款结转和结余50.86万元，本年财政拨款收入2,963.07万元。</w:t>
      </w:r>
      <w:r>
        <w:rPr>
          <w:rFonts w:ascii="仿宋_GB2312" w:hAnsi="仿宋_GB2312" w:eastAsia="仿宋_GB2312"/>
          <w:b/>
          <w:sz w:val="32"/>
        </w:rPr>
        <w:t>财政拨款支出总计3,013.93万元，</w:t>
      </w:r>
      <w:r>
        <w:rPr>
          <w:rFonts w:ascii="仿宋_GB2312" w:hAnsi="仿宋_GB2312" w:eastAsia="仿宋_GB2312"/>
          <w:b w:val="0"/>
          <w:sz w:val="32"/>
        </w:rPr>
        <w:t>其中：年末财政拨款结转和结余84.66万元，本年财政拨款支出2,929.27万元。</w:t>
      </w:r>
    </w:p>
    <w:p w14:paraId="3632248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增加1,888.95万元，增长167.91%，主要原因是：本年新增2025年中央水利发展资金项目。</w:t>
      </w:r>
      <w:r>
        <w:rPr>
          <w:rFonts w:ascii="仿宋_GB2312" w:hAnsi="仿宋_GB2312" w:eastAsia="仿宋_GB2312"/>
          <w:b/>
          <w:sz w:val="32"/>
        </w:rPr>
        <w:t>与年初预算相比，</w:t>
      </w:r>
      <w:r>
        <w:rPr>
          <w:rFonts w:ascii="仿宋_GB2312" w:hAnsi="仿宋_GB2312" w:eastAsia="仿宋_GB2312"/>
          <w:b w:val="0"/>
          <w:sz w:val="32"/>
        </w:rPr>
        <w:t>年初预算数903.91万元，决算数3,013.93万元，预决算差异率233.43%，主要原因是：一是年中追加2025年中央水利发展资金项目；二是追加了在职人员考核奖、退休人员职业年金、抚恤金等人员经费。</w:t>
      </w:r>
    </w:p>
    <w:p w14:paraId="1BCC14B8">
      <w:pPr>
        <w:spacing w:line="640" w:lineRule="exact"/>
        <w:ind w:firstLine="640"/>
        <w:jc w:val="both"/>
        <w:outlineLvl w:val="2"/>
      </w:pPr>
      <w:r>
        <w:rPr>
          <w:rFonts w:ascii="黑体" w:hAnsi="黑体" w:eastAsia="黑体"/>
          <w:sz w:val="32"/>
        </w:rPr>
        <w:t>五、一般公共预算财政拨款支出决算情况说明</w:t>
      </w:r>
    </w:p>
    <w:p w14:paraId="666F67D4">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事业发展、民生保障等重点支出，体现在有关支出科目中。</w:t>
      </w:r>
    </w:p>
    <w:p w14:paraId="01684178">
      <w:pPr>
        <w:spacing w:line="580" w:lineRule="exact"/>
        <w:ind w:firstLine="640"/>
        <w:jc w:val="both"/>
      </w:pPr>
      <w:r>
        <w:rPr>
          <w:rFonts w:ascii="仿宋_GB2312" w:hAnsi="仿宋_GB2312" w:eastAsia="仿宋_GB2312"/>
          <w:b w:val="0"/>
          <w:sz w:val="32"/>
        </w:rPr>
        <w:t>按照支出功能分类，农林水支出（类）水利（款）江河湖库水系综合整治（项）的支出占本年财政拨款支出总额的比重最高，2025年度决算数为1,951.77万元，占比66.63%，主要用于2025年中央水利发展资金项目（中小河流雨水情监测预报“三道防线”工程水利测雨雷达建设项目）。</w:t>
      </w:r>
    </w:p>
    <w:p w14:paraId="41F76CDB">
      <w:pPr>
        <w:spacing w:line="640" w:lineRule="exact"/>
        <w:ind w:firstLine="640"/>
        <w:jc w:val="both"/>
        <w:outlineLvl w:val="3"/>
      </w:pPr>
      <w:r>
        <w:rPr>
          <w:rFonts w:ascii="楷体_GB2312" w:hAnsi="楷体_GB2312" w:eastAsia="楷体_GB2312"/>
          <w:b/>
          <w:sz w:val="32"/>
        </w:rPr>
        <w:t>（一）一般公共预算财政拨款支出决算总体情况</w:t>
      </w:r>
    </w:p>
    <w:p w14:paraId="4BA4BD56">
      <w:pPr>
        <w:spacing w:line="580" w:lineRule="exact"/>
        <w:ind w:firstLine="640"/>
        <w:jc w:val="both"/>
      </w:pPr>
      <w:r>
        <w:rPr>
          <w:rFonts w:ascii="仿宋_GB2312" w:hAnsi="仿宋_GB2312" w:eastAsia="仿宋_GB2312"/>
          <w:b/>
          <w:sz w:val="32"/>
        </w:rPr>
        <w:t>2025年度一般公共预算财政拨款支出2,929.27万元，</w:t>
      </w:r>
      <w:r>
        <w:rPr>
          <w:rFonts w:ascii="仿宋_GB2312" w:hAnsi="仿宋_GB2312" w:eastAsia="仿宋_GB2312"/>
          <w:b w:val="0"/>
          <w:sz w:val="32"/>
        </w:rPr>
        <w:t>占本年支出合计的96.02%。</w:t>
      </w:r>
      <w:r>
        <w:rPr>
          <w:rFonts w:ascii="仿宋_GB2312" w:hAnsi="仿宋_GB2312" w:eastAsia="仿宋_GB2312"/>
          <w:b/>
          <w:sz w:val="32"/>
        </w:rPr>
        <w:t>与上年相比，</w:t>
      </w:r>
      <w:r>
        <w:rPr>
          <w:rFonts w:ascii="仿宋_GB2312" w:hAnsi="仿宋_GB2312" w:eastAsia="仿宋_GB2312"/>
          <w:b w:val="0"/>
          <w:sz w:val="32"/>
        </w:rPr>
        <w:t>增加1,855.14万元，增长172.71%，主要原因是：本年新增2025年中央水利发展资金项目。</w:t>
      </w:r>
      <w:r>
        <w:rPr>
          <w:rFonts w:ascii="仿宋_GB2312" w:hAnsi="仿宋_GB2312" w:eastAsia="仿宋_GB2312"/>
          <w:b/>
          <w:sz w:val="32"/>
        </w:rPr>
        <w:t>与年初预算相比，</w:t>
      </w:r>
      <w:r>
        <w:rPr>
          <w:rFonts w:ascii="仿宋_GB2312" w:hAnsi="仿宋_GB2312" w:eastAsia="仿宋_GB2312"/>
          <w:b w:val="0"/>
          <w:sz w:val="32"/>
        </w:rPr>
        <w:t>年初预算数903.91万元，决算数2,929.27万元，预决算差异率224.07%，主要原因是：一是年中追加2025年中央水利发展资金项目；二是追加了在职人员考核奖、退休人员职业年金、抚恤金等人员经费。</w:t>
      </w:r>
    </w:p>
    <w:p w14:paraId="1D27ABEB">
      <w:pPr>
        <w:spacing w:line="640" w:lineRule="exact"/>
        <w:ind w:firstLine="640"/>
        <w:jc w:val="both"/>
        <w:outlineLvl w:val="3"/>
      </w:pPr>
      <w:r>
        <w:rPr>
          <w:rFonts w:ascii="楷体_GB2312" w:hAnsi="楷体_GB2312" w:eastAsia="楷体_GB2312"/>
          <w:b/>
          <w:sz w:val="32"/>
        </w:rPr>
        <w:t>（二）一般公共预算财政拨款支出决算结构情况</w:t>
      </w:r>
    </w:p>
    <w:p w14:paraId="336E082A">
      <w:pPr>
        <w:spacing w:line="580" w:lineRule="exact"/>
        <w:ind w:firstLine="640"/>
        <w:jc w:val="both"/>
      </w:pPr>
      <w:r>
        <w:rPr>
          <w:rFonts w:ascii="仿宋_GB2312" w:hAnsi="仿宋_GB2312" w:eastAsia="仿宋_GB2312"/>
          <w:b w:val="0"/>
          <w:sz w:val="32"/>
        </w:rPr>
        <w:t>1.社会保障和就业支出（类）215.67万元，占7.36%。</w:t>
      </w:r>
    </w:p>
    <w:p w14:paraId="399A3DE9">
      <w:pPr>
        <w:spacing w:line="580" w:lineRule="exact"/>
        <w:ind w:firstLine="640"/>
        <w:jc w:val="both"/>
      </w:pPr>
      <w:r>
        <w:rPr>
          <w:rFonts w:ascii="仿宋_GB2312" w:hAnsi="仿宋_GB2312" w:eastAsia="仿宋_GB2312"/>
          <w:b w:val="0"/>
          <w:sz w:val="32"/>
        </w:rPr>
        <w:t>2.卫生健康支出（类）73.36万元，占2.50%。</w:t>
      </w:r>
    </w:p>
    <w:p w14:paraId="7676BCDF">
      <w:pPr>
        <w:spacing w:line="580" w:lineRule="exact"/>
        <w:ind w:firstLine="640"/>
        <w:jc w:val="both"/>
      </w:pPr>
      <w:r>
        <w:rPr>
          <w:rFonts w:ascii="仿宋_GB2312" w:hAnsi="仿宋_GB2312" w:eastAsia="仿宋_GB2312"/>
          <w:b w:val="0"/>
          <w:sz w:val="32"/>
        </w:rPr>
        <w:t>3.农林水支出（类）2,583.25万元，占88.19%。</w:t>
      </w:r>
    </w:p>
    <w:p w14:paraId="722F8933">
      <w:pPr>
        <w:spacing w:line="580" w:lineRule="exact"/>
        <w:ind w:firstLine="640"/>
        <w:jc w:val="both"/>
      </w:pPr>
      <w:r>
        <w:rPr>
          <w:rFonts w:ascii="仿宋_GB2312" w:hAnsi="仿宋_GB2312" w:eastAsia="仿宋_GB2312"/>
          <w:b w:val="0"/>
          <w:sz w:val="32"/>
        </w:rPr>
        <w:t>4.住房保障支出（类）56.99万元，占1.95%。</w:t>
      </w:r>
    </w:p>
    <w:p w14:paraId="77DC6980">
      <w:pPr>
        <w:spacing w:line="640" w:lineRule="exact"/>
        <w:ind w:firstLine="640"/>
        <w:jc w:val="both"/>
        <w:outlineLvl w:val="3"/>
      </w:pPr>
      <w:r>
        <w:rPr>
          <w:rFonts w:ascii="楷体_GB2312" w:hAnsi="楷体_GB2312" w:eastAsia="楷体_GB2312"/>
          <w:b/>
          <w:sz w:val="32"/>
        </w:rPr>
        <w:t>（三）一般公共预算财政拨款支出决算具体情况</w:t>
      </w:r>
    </w:p>
    <w:p w14:paraId="5BC490D4">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1.社会保障和就业支出（类）行政事业单位养老支出（款）事业单位离退休（项）：支出决算数为98.78万元，比上年决算增加12.57万元，增长14.58%，主要原因是：本年在职转退休</w:t>
      </w:r>
      <w:r>
        <w:rPr>
          <w:rFonts w:hint="eastAsia" w:ascii="仿宋_GB2312" w:hAnsi="仿宋_GB2312" w:eastAsia="仿宋_GB2312"/>
          <w:b w:val="0"/>
          <w:sz w:val="32"/>
          <w:lang w:val="en-US" w:eastAsia="zh-CN"/>
        </w:rPr>
        <w:t>人员</w:t>
      </w:r>
      <w:r>
        <w:rPr>
          <w:rFonts w:ascii="仿宋_GB2312" w:hAnsi="仿宋_GB2312" w:eastAsia="仿宋_GB2312"/>
          <w:b w:val="0"/>
          <w:sz w:val="32"/>
        </w:rPr>
        <w:t>级别高，退休费支出增加。</w:t>
      </w:r>
    </w:p>
    <w:p w14:paraId="0EBF543E">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70.53万元，比上年决算减少10.66万元，下降13.13%，主要原因是：本年在职人员调出，单位基本养老保险缴费较上年减少。</w:t>
      </w:r>
    </w:p>
    <w:p w14:paraId="60830121">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46.37万元，比上年决算增加28.09万元，增长153.67%，主要原因是：本年新增退休人数较上年增加，职业年金缴费支出增加。</w:t>
      </w:r>
    </w:p>
    <w:p w14:paraId="6414D272">
      <w:pPr>
        <w:spacing w:line="580" w:lineRule="exact"/>
        <w:ind w:firstLine="640"/>
        <w:jc w:val="both"/>
      </w:pPr>
      <w:r>
        <w:rPr>
          <w:rFonts w:ascii="仿宋_GB2312" w:hAnsi="仿宋_GB2312" w:eastAsia="仿宋_GB2312"/>
          <w:b w:val="0"/>
          <w:sz w:val="32"/>
        </w:rPr>
        <w:t>4.卫生健康支出（类）行政事业单位医疗（款）事业单位医疗（项）：支出决算数为42.19万元，比上年决算增加0.07万元，增长0.17%，主要原因是：本年在职人员工资基数调增，医疗缴费基数上涨，相应支出增加。</w:t>
      </w:r>
    </w:p>
    <w:p w14:paraId="00365ECB">
      <w:pPr>
        <w:spacing w:line="580" w:lineRule="exact"/>
        <w:ind w:firstLine="640"/>
        <w:jc w:val="both"/>
      </w:pPr>
      <w:r>
        <w:rPr>
          <w:rFonts w:ascii="仿宋_GB2312" w:hAnsi="仿宋_GB2312" w:eastAsia="仿宋_GB2312"/>
          <w:b w:val="0"/>
          <w:sz w:val="32"/>
        </w:rPr>
        <w:t>5.卫生健康支出（类）行政事业单位医疗（款）公务员医疗补助（项）：支出决算数为31.17万元，比上年决算减少4.35万元，下降12.25%，主要原因是：本年在职人员减少，公务员医疗补助较上年减少。</w:t>
      </w:r>
    </w:p>
    <w:p w14:paraId="73CF85E1">
      <w:pPr>
        <w:spacing w:line="580" w:lineRule="exact"/>
        <w:ind w:firstLine="640"/>
        <w:jc w:val="both"/>
      </w:pPr>
      <w:r>
        <w:rPr>
          <w:rFonts w:ascii="仿宋_GB2312" w:hAnsi="仿宋_GB2312" w:eastAsia="仿宋_GB2312"/>
          <w:b w:val="0"/>
          <w:sz w:val="32"/>
        </w:rPr>
        <w:t>6.农林水支出（类）水利（款）水文测报（项）：支出决算数为611.47万元，比上年决算减少138.45万元，下降18.46%，主要原因是：本年自治区水利发展资金项目（转移支付）由新疆维吾尔自治区水文局统筹管理，经费较上年减少。</w:t>
      </w:r>
    </w:p>
    <w:p w14:paraId="5EE28D35">
      <w:pPr>
        <w:spacing w:line="580" w:lineRule="exact"/>
        <w:ind w:firstLine="640"/>
        <w:jc w:val="both"/>
      </w:pPr>
      <w:r>
        <w:rPr>
          <w:rFonts w:ascii="仿宋_GB2312" w:hAnsi="仿宋_GB2312" w:eastAsia="仿宋_GB2312"/>
          <w:b w:val="0"/>
          <w:sz w:val="32"/>
        </w:rPr>
        <w:t>7.农林水支出（类）水利（款）防汛（项）：支出决算数为20.00万元，比上年决算增加20.00万元，增长100.00%，主要原因是：本年增加农业防灾减灾和水利救灾资金预算（防灾救灾第十三批）项目。</w:t>
      </w:r>
    </w:p>
    <w:p w14:paraId="2CFD0DFD">
      <w:pPr>
        <w:spacing w:line="580" w:lineRule="exact"/>
        <w:ind w:firstLine="640"/>
        <w:jc w:val="both"/>
      </w:pPr>
      <w:r>
        <w:rPr>
          <w:rFonts w:ascii="仿宋_GB2312" w:hAnsi="仿宋_GB2312" w:eastAsia="仿宋_GB2312"/>
          <w:b w:val="0"/>
          <w:sz w:val="32"/>
        </w:rPr>
        <w:t>8.农林水支出（类）水利（款）江河湖库水系综合整治（项）：支出决算数为1,951.77万元，比上年决算增加1,951.77万元，增长100.00%，主要原因是：本年新增2025年中央水利发展资金项目。</w:t>
      </w:r>
    </w:p>
    <w:p w14:paraId="75A84041">
      <w:pPr>
        <w:spacing w:line="580" w:lineRule="exact"/>
        <w:ind w:firstLine="640"/>
        <w:jc w:val="both"/>
      </w:pPr>
      <w:r>
        <w:rPr>
          <w:rFonts w:ascii="仿宋_GB2312" w:hAnsi="仿宋_GB2312" w:eastAsia="仿宋_GB2312"/>
          <w:b w:val="0"/>
          <w:sz w:val="32"/>
        </w:rPr>
        <w:t>9.住房保障支出（类）住房改革支出（款）住房公积金（项）：支出决算数为56.99万元，比上年决算减少3.90万元，下降6.40%，主要原因是：本年在职人员减少，住房公积金缴费较上年减少。</w:t>
      </w:r>
    </w:p>
    <w:p w14:paraId="10F764E2">
      <w:pPr>
        <w:spacing w:line="640" w:lineRule="exact"/>
        <w:ind w:firstLine="640"/>
        <w:jc w:val="both"/>
        <w:outlineLvl w:val="2"/>
      </w:pPr>
      <w:r>
        <w:rPr>
          <w:rFonts w:ascii="黑体" w:hAnsi="黑体" w:eastAsia="黑体"/>
          <w:sz w:val="32"/>
        </w:rPr>
        <w:t>六、一般公共预算财政拨款基本支出决算情况说明</w:t>
      </w:r>
    </w:p>
    <w:p w14:paraId="7EE3DDB4">
      <w:pPr>
        <w:spacing w:line="580" w:lineRule="exact"/>
        <w:ind w:firstLine="640"/>
        <w:jc w:val="both"/>
      </w:pPr>
      <w:r>
        <w:rPr>
          <w:rFonts w:ascii="仿宋_GB2312" w:hAnsi="仿宋_GB2312" w:eastAsia="仿宋_GB2312"/>
          <w:b w:val="0"/>
          <w:sz w:val="32"/>
        </w:rPr>
        <w:t>2025年度一般公共预算财政拨款基本支出927.50万元，其中：</w:t>
      </w:r>
      <w:r>
        <w:rPr>
          <w:rFonts w:ascii="仿宋_GB2312" w:hAnsi="仿宋_GB2312" w:eastAsia="仿宋_GB2312"/>
          <w:b/>
          <w:sz w:val="32"/>
        </w:rPr>
        <w:t>人员经费882.61万元，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奖励金、其他对个人和家庭的补助。</w:t>
      </w:r>
    </w:p>
    <w:p w14:paraId="73DE3D55">
      <w:pPr>
        <w:spacing w:line="580" w:lineRule="exact"/>
        <w:ind w:firstLine="640"/>
        <w:jc w:val="both"/>
      </w:pPr>
      <w:r>
        <w:rPr>
          <w:rFonts w:ascii="仿宋_GB2312" w:hAnsi="仿宋_GB2312" w:eastAsia="仿宋_GB2312"/>
          <w:b/>
          <w:sz w:val="32"/>
        </w:rPr>
        <w:t>公用经费44.89万元，</w:t>
      </w:r>
      <w:r>
        <w:rPr>
          <w:rFonts w:ascii="仿宋_GB2312" w:hAnsi="仿宋_GB2312" w:eastAsia="仿宋_GB2312"/>
          <w:b w:val="0"/>
          <w:sz w:val="32"/>
        </w:rPr>
        <w:t>包括：办公费、水费、电费、邮电费、取暖费、差旅费、维修（护）费、培训费、工会经费、福利费、公务用车运行维护费、其他交通费用、其他商品和服务支出。</w:t>
      </w:r>
    </w:p>
    <w:p w14:paraId="1A7AEBFD">
      <w:pPr>
        <w:spacing w:line="640" w:lineRule="exact"/>
        <w:ind w:firstLine="640"/>
        <w:jc w:val="both"/>
        <w:outlineLvl w:val="2"/>
      </w:pPr>
      <w:r>
        <w:rPr>
          <w:rFonts w:ascii="黑体" w:hAnsi="黑体" w:eastAsia="黑体"/>
          <w:sz w:val="32"/>
        </w:rPr>
        <w:t>七、政府性基金预算财政拨款收入支出决算情况说明</w:t>
      </w:r>
    </w:p>
    <w:p w14:paraId="4FB04C4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08E3BF8">
      <w:pPr>
        <w:spacing w:line="640" w:lineRule="exact"/>
        <w:ind w:firstLine="640"/>
        <w:jc w:val="both"/>
        <w:outlineLvl w:val="2"/>
      </w:pPr>
      <w:r>
        <w:rPr>
          <w:rFonts w:ascii="黑体" w:hAnsi="黑体" w:eastAsia="黑体"/>
          <w:sz w:val="32"/>
        </w:rPr>
        <w:t>八、国有资本经营预算财政拨款收入支出决算情况说明</w:t>
      </w:r>
    </w:p>
    <w:p w14:paraId="569D162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AB61ACE">
      <w:pPr>
        <w:spacing w:line="640" w:lineRule="exact"/>
        <w:ind w:firstLine="640"/>
        <w:jc w:val="both"/>
        <w:outlineLvl w:val="2"/>
      </w:pPr>
      <w:r>
        <w:rPr>
          <w:rFonts w:ascii="黑体" w:hAnsi="黑体" w:eastAsia="黑体"/>
          <w:sz w:val="32"/>
        </w:rPr>
        <w:t>九、财政拨款“三公”经费支出决算情况说明</w:t>
      </w:r>
    </w:p>
    <w:p w14:paraId="42250F60">
      <w:pPr>
        <w:spacing w:line="580" w:lineRule="exact"/>
        <w:ind w:firstLine="640"/>
        <w:jc w:val="both"/>
      </w:pPr>
      <w:r>
        <w:rPr>
          <w:rFonts w:ascii="仿宋_GB2312" w:hAnsi="仿宋_GB2312" w:eastAsia="仿宋_GB2312"/>
          <w:b/>
          <w:sz w:val="32"/>
        </w:rPr>
        <w:t>2025年度财政拨款“三公”经费支出6.88万元，</w:t>
      </w:r>
      <w:r>
        <w:rPr>
          <w:rFonts w:ascii="仿宋_GB2312" w:hAnsi="仿宋_GB2312" w:eastAsia="仿宋_GB2312"/>
          <w:b w:val="0"/>
          <w:sz w:val="32"/>
        </w:rPr>
        <w:t>比上年增加0.00万元，增长0.00%，主要原因是：本单位财政拨款“三公”经费与上年一致无变化。其中：因公出国（境）费用支出0.00万元，占0.00%，比上年增加0.00万元，增长0.00%，主要原因是：2024年与2025年均无因公出国（境）费用支出。公务用车购置及运行维护费支出6.88万元，占100.00%，比上年增加0.00万元，增长0.00%，主要原因是：本单位公务用车购置及运行维护费与上年一致无变化。公务接待费支出0.00万元，占0.00%，比上年增加0.00万元，增长0.00%，主要原因是：2024年与2025年均无公务接待费支出。</w:t>
      </w:r>
    </w:p>
    <w:p w14:paraId="5BABD7C4">
      <w:pPr>
        <w:spacing w:line="580" w:lineRule="exact"/>
        <w:ind w:firstLine="640"/>
        <w:jc w:val="both"/>
      </w:pPr>
      <w:r>
        <w:rPr>
          <w:rFonts w:ascii="仿宋_GB2312" w:hAnsi="仿宋_GB2312" w:eastAsia="仿宋_GB2312"/>
          <w:b/>
          <w:sz w:val="32"/>
        </w:rPr>
        <w:t>具体情况如下：</w:t>
      </w:r>
    </w:p>
    <w:p w14:paraId="278BAF04">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505F8C61">
      <w:pPr>
        <w:spacing w:line="580" w:lineRule="exact"/>
        <w:ind w:firstLine="640"/>
        <w:jc w:val="both"/>
      </w:pPr>
      <w:r>
        <w:rPr>
          <w:rFonts w:ascii="仿宋_GB2312" w:hAnsi="仿宋_GB2312" w:eastAsia="仿宋_GB2312"/>
          <w:b w:val="0"/>
          <w:sz w:val="32"/>
        </w:rPr>
        <w:t>公务用车购置及运行维护费6.88万元，其中：公务用车购置费0.00万元，公务用车运行维护费6.88万元。公务用车运行维护费开支内容包括车辆加油费、维修费、保险费、审车费、过路费、检测费等。公务用车购置数0辆，公务用车保有量3辆。国有资产占用情况中固定资产车辆3辆，与公务用车保有量差异原因是：本单位公务用车保有量与固定资产车辆一致无差异。</w:t>
      </w:r>
    </w:p>
    <w:p w14:paraId="3BA9620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F33AF7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6.88万元，决算数6.88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6.88万元，决算数6.88万元，预决算差异率0.00%，主要原因是：严格按照预算执行，预决算无差异。公务接待费全年预算数0.00万元，决算数0.00万元，预决算差异率0.00%，主要原因是：本单位无公务接待费。</w:t>
      </w:r>
    </w:p>
    <w:p w14:paraId="4DF9E06A">
      <w:pPr>
        <w:spacing w:line="640" w:lineRule="exact"/>
        <w:ind w:firstLine="640"/>
        <w:jc w:val="both"/>
        <w:outlineLvl w:val="2"/>
      </w:pPr>
      <w:r>
        <w:rPr>
          <w:rFonts w:ascii="黑体" w:hAnsi="黑体" w:eastAsia="黑体"/>
          <w:sz w:val="32"/>
        </w:rPr>
        <w:t>十、其他重要事项的情况说明</w:t>
      </w:r>
    </w:p>
    <w:p w14:paraId="18E90038">
      <w:pPr>
        <w:spacing w:line="640" w:lineRule="exact"/>
        <w:ind w:firstLine="640"/>
        <w:jc w:val="both"/>
        <w:outlineLvl w:val="3"/>
      </w:pPr>
      <w:r>
        <w:rPr>
          <w:rFonts w:ascii="楷体_GB2312" w:hAnsi="楷体_GB2312" w:eastAsia="楷体_GB2312"/>
          <w:b/>
          <w:sz w:val="32"/>
        </w:rPr>
        <w:t>（一）机关运行经费及公用经费支出情况</w:t>
      </w:r>
    </w:p>
    <w:p w14:paraId="14E5BCAE">
      <w:pPr>
        <w:spacing w:line="580" w:lineRule="exact"/>
        <w:ind w:firstLine="640"/>
        <w:jc w:val="both"/>
      </w:pPr>
      <w:r>
        <w:rPr>
          <w:rFonts w:ascii="仿宋_GB2312" w:hAnsi="仿宋_GB2312" w:eastAsia="仿宋_GB2312"/>
          <w:b w:val="0"/>
          <w:sz w:val="32"/>
        </w:rPr>
        <w:t>2025年度新疆维吾尔自治区乌鲁木齐水文勘测中心（事业单位）公用经费支出44.89万元，比上年减少4.24万元，下降8.63%，主要原因是：严格控制公用经费，合理节约办公用品，减少不必要开支。</w:t>
      </w:r>
    </w:p>
    <w:p w14:paraId="55EF05A3">
      <w:pPr>
        <w:spacing w:line="640" w:lineRule="exact"/>
        <w:ind w:firstLine="640"/>
        <w:jc w:val="both"/>
        <w:outlineLvl w:val="3"/>
      </w:pPr>
      <w:r>
        <w:rPr>
          <w:rFonts w:ascii="楷体_GB2312" w:hAnsi="楷体_GB2312" w:eastAsia="楷体_GB2312"/>
          <w:b/>
          <w:sz w:val="32"/>
        </w:rPr>
        <w:t>（二）政府采购情况</w:t>
      </w:r>
    </w:p>
    <w:p w14:paraId="3002D053">
      <w:pPr>
        <w:spacing w:line="580" w:lineRule="exact"/>
        <w:ind w:firstLine="640"/>
        <w:jc w:val="both"/>
      </w:pPr>
      <w:r>
        <w:rPr>
          <w:rFonts w:ascii="仿宋_GB2312" w:hAnsi="仿宋_GB2312" w:eastAsia="仿宋_GB2312"/>
          <w:b w:val="0"/>
          <w:sz w:val="32"/>
        </w:rPr>
        <w:t>2025年度政府采购支出总额1,849.75万元，其中：政府采购货物支出1,728.97万元、政府采购工程支出51.00万元、政府采购服务支出69.78万元。</w:t>
      </w:r>
    </w:p>
    <w:p w14:paraId="449A0FC7">
      <w:pPr>
        <w:spacing w:line="580" w:lineRule="exact"/>
        <w:ind w:firstLine="640"/>
        <w:jc w:val="both"/>
      </w:pPr>
      <w:r>
        <w:rPr>
          <w:rFonts w:ascii="仿宋_GB2312" w:hAnsi="仿宋_GB2312" w:eastAsia="仿宋_GB2312"/>
          <w:b w:val="0"/>
          <w:sz w:val="32"/>
        </w:rPr>
        <w:t>授予中小企业合同金额1,823.02万元，占政府采购支出总额的98.55%，其中：授予小微企业合同金额57.56万元，占政府采购支出总额的3.11%。</w:t>
      </w:r>
    </w:p>
    <w:p w14:paraId="42E614D1">
      <w:pPr>
        <w:spacing w:line="640" w:lineRule="exact"/>
        <w:ind w:firstLine="640"/>
        <w:jc w:val="both"/>
        <w:outlineLvl w:val="3"/>
      </w:pPr>
      <w:r>
        <w:rPr>
          <w:rFonts w:ascii="楷体_GB2312" w:hAnsi="楷体_GB2312" w:eastAsia="楷体_GB2312"/>
          <w:b/>
          <w:sz w:val="32"/>
        </w:rPr>
        <w:t>（三）国有资产占用情况说明</w:t>
      </w:r>
    </w:p>
    <w:p w14:paraId="2F749789">
      <w:pPr>
        <w:spacing w:line="580" w:lineRule="exact"/>
        <w:ind w:firstLine="640"/>
        <w:jc w:val="both"/>
      </w:pPr>
      <w:r>
        <w:rPr>
          <w:rFonts w:ascii="仿宋_GB2312" w:hAnsi="仿宋_GB2312" w:eastAsia="仿宋_GB2312"/>
          <w:b w:val="0"/>
          <w:sz w:val="32"/>
        </w:rPr>
        <w:t>截至2025年12月31日，房屋4,027.07平方米，价值849.34万元。车辆3辆，价值90.76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14:paraId="2E0BAC7A">
      <w:pPr>
        <w:spacing w:line="640" w:lineRule="exact"/>
        <w:ind w:firstLine="640"/>
        <w:jc w:val="both"/>
        <w:outlineLvl w:val="2"/>
      </w:pPr>
      <w:r>
        <w:rPr>
          <w:rFonts w:ascii="黑体" w:hAnsi="黑体" w:eastAsia="黑体"/>
          <w:sz w:val="32"/>
        </w:rPr>
        <w:t>十一、预算绩效的情况说明</w:t>
      </w:r>
    </w:p>
    <w:p w14:paraId="45FCFDE2">
      <w:pPr>
        <w:spacing w:line="580" w:lineRule="exact"/>
        <w:ind w:firstLine="640"/>
        <w:jc w:val="both"/>
      </w:pPr>
      <w:r>
        <w:rPr>
          <w:rFonts w:ascii="仿宋_GB2312" w:hAnsi="仿宋_GB2312" w:eastAsia="仿宋_GB2312"/>
          <w:b w:val="0"/>
          <w:sz w:val="32"/>
        </w:rPr>
        <w:t>根据预算绩效管理要求，本单位预算绩效评价项目2个，全年预算数182.20万元，全年执行数149.16万元。预算绩效管理取得的成效：一是水文监测预警与资料整编任务圆满完成。全年财政项目预算执行率达100%，确保了水文站网运行维护、水文监测设备等重点项目的资金需求，为乌鲁木齐及周边地区的水旱灾害防御提供了精准的数据支撑；二是资金使用效益显著提升。通过加强预算刚性约束和过程监管，优化了资源配置，在保证水文勘测业务正常开展的前提下，有效控制了成本，实现了财政资金的合规、高效使用。发现的问题及原因：一是预算执行进度不均衡，项目全年执行率为81.8%，主要为非财政项目执行率低造成。主要原因是个别水文设施维修改造项目受新疆冬季严寒气候影响，施工进度滞后，导致款项未能在当年及时支付；二是预算编制的前瞻性有待提高。部分水文监测设备的采购需求在年初未能精准预测，导致年中调整追加或采购流程耗时较长，影响了资金支付的时效性。下一步改进措施：一是强化预算执行动态监控。建立“周调度、月通报”机制，针对季节性强的工程项目提前做好预案，加快预算执行进度，力争明年项目资金执行率达到95%以上，减少结转结余；二是提升预算编制的科学性与精准度。结合历年水文监测业务实际需求，做实做细项目储备，优化政府采购预算编制，确保预算一经批准即可迅速形成实际支出。具体附项目支出绩效自评表。</w:t>
      </w:r>
    </w:p>
    <w:p w14:paraId="4F8721BC">
      <w:r>
        <w:br w:type="page"/>
      </w:r>
    </w:p>
    <w:p w14:paraId="29FDDC03">
      <w:pPr>
        <w:sectPr>
          <w:footerReference r:id="rId3" w:type="default"/>
          <w:pgSz w:w="11906" w:h="16838"/>
          <w:pgMar w:top="2098" w:right="1531" w:bottom="1985" w:left="1531" w:header="851" w:footer="992" w:gutter="0"/>
          <w:cols w:space="720" w:num="1"/>
          <w:docGrid w:type="lines" w:linePitch="312" w:charSpace="0"/>
        </w:sectPr>
      </w:pPr>
    </w:p>
    <w:tbl>
      <w:tblPr>
        <w:tblStyle w:val="8"/>
        <w:tblW w:w="4914" w:type="pct"/>
        <w:tblInd w:w="0" w:type="dxa"/>
        <w:tblLayout w:type="autofit"/>
        <w:tblCellMar>
          <w:top w:w="36" w:type="dxa"/>
          <w:left w:w="36" w:type="dxa"/>
          <w:bottom w:w="36" w:type="dxa"/>
          <w:right w:w="36" w:type="dxa"/>
        </w:tblCellMar>
      </w:tblPr>
      <w:tblGrid>
        <w:gridCol w:w="577"/>
        <w:gridCol w:w="579"/>
        <w:gridCol w:w="579"/>
        <w:gridCol w:w="585"/>
        <w:gridCol w:w="589"/>
        <w:gridCol w:w="587"/>
        <w:gridCol w:w="585"/>
        <w:gridCol w:w="585"/>
        <w:gridCol w:w="587"/>
        <w:gridCol w:w="579"/>
        <w:gridCol w:w="582"/>
        <w:gridCol w:w="582"/>
        <w:gridCol w:w="581"/>
        <w:gridCol w:w="586"/>
      </w:tblGrid>
      <w:tr w14:paraId="1A98592C">
        <w:tblPrEx>
          <w:tblCellMar>
            <w:top w:w="36" w:type="dxa"/>
            <w:left w:w="36" w:type="dxa"/>
            <w:bottom w:w="36" w:type="dxa"/>
            <w:right w:w="36" w:type="dxa"/>
          </w:tblCellMar>
        </w:tblPrEx>
        <w:tc>
          <w:tcPr>
            <w:tcW w:w="8235"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3BD8297">
            <w:pPr>
              <w:spacing w:before="0" w:after="0" w:line="240" w:lineRule="auto"/>
              <w:jc w:val="center"/>
            </w:pPr>
            <w:r>
              <w:rPr>
                <w:rFonts w:ascii="宋体" w:hAnsi="宋体" w:eastAsia="宋体"/>
                <w:sz w:val="14"/>
              </w:rPr>
              <w:t>项目支出绩效自评表</w:t>
            </w:r>
          </w:p>
        </w:tc>
      </w:tr>
      <w:tr w14:paraId="5A571580">
        <w:tblPrEx>
          <w:tblCellMar>
            <w:top w:w="36" w:type="dxa"/>
            <w:left w:w="36" w:type="dxa"/>
            <w:bottom w:w="36" w:type="dxa"/>
            <w:right w:w="36" w:type="dxa"/>
          </w:tblCellMar>
        </w:tblPrEx>
        <w:tc>
          <w:tcPr>
            <w:tcW w:w="8235"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602C773">
            <w:pPr>
              <w:spacing w:before="0" w:after="0" w:line="240" w:lineRule="auto"/>
              <w:jc w:val="center"/>
            </w:pPr>
            <w:r>
              <w:rPr>
                <w:rFonts w:ascii="宋体" w:hAnsi="宋体" w:eastAsia="宋体"/>
                <w:sz w:val="14"/>
              </w:rPr>
              <w:t>(2025年度)</w:t>
            </w:r>
          </w:p>
        </w:tc>
      </w:tr>
      <w:tr w14:paraId="6793319A">
        <w:tblPrEx>
          <w:tblCellMar>
            <w:top w:w="36" w:type="dxa"/>
            <w:left w:w="36" w:type="dxa"/>
            <w:bottom w:w="36" w:type="dxa"/>
            <w:right w:w="36" w:type="dxa"/>
          </w:tblCellMar>
        </w:tblPrEx>
        <w:tc>
          <w:tcPr>
            <w:tcW w:w="11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4C771">
            <w:pPr>
              <w:spacing w:before="0" w:after="0" w:line="240" w:lineRule="auto"/>
              <w:jc w:val="center"/>
            </w:pPr>
            <w:r>
              <w:rPr>
                <w:rFonts w:ascii="宋体" w:hAnsi="宋体" w:eastAsia="宋体"/>
                <w:sz w:val="14"/>
              </w:rPr>
              <w:t>项目名称</w:t>
            </w:r>
          </w:p>
        </w:tc>
        <w:tc>
          <w:tcPr>
            <w:tcW w:w="7064"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2AA1F9CB">
            <w:pPr>
              <w:spacing w:before="0" w:after="0" w:line="240" w:lineRule="auto"/>
              <w:jc w:val="center"/>
            </w:pPr>
            <w:r>
              <w:rPr>
                <w:rFonts w:ascii="宋体" w:hAnsi="宋体" w:eastAsia="宋体"/>
                <w:sz w:val="14"/>
              </w:rPr>
              <w:t>水文组织建设与经营成本性支出</w:t>
            </w:r>
          </w:p>
        </w:tc>
      </w:tr>
      <w:tr w14:paraId="2830BA96">
        <w:tblPrEx>
          <w:tblCellMar>
            <w:top w:w="36" w:type="dxa"/>
            <w:left w:w="36" w:type="dxa"/>
            <w:bottom w:w="36" w:type="dxa"/>
            <w:right w:w="36" w:type="dxa"/>
          </w:tblCellMar>
        </w:tblPrEx>
        <w:tc>
          <w:tcPr>
            <w:tcW w:w="11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72D4B">
            <w:pPr>
              <w:spacing w:before="0" w:after="0" w:line="240" w:lineRule="auto"/>
              <w:jc w:val="center"/>
            </w:pPr>
            <w:r>
              <w:rPr>
                <w:rFonts w:ascii="宋体" w:hAnsi="宋体" w:eastAsia="宋体"/>
                <w:sz w:val="14"/>
              </w:rPr>
              <w:t>主管部门</w:t>
            </w:r>
          </w:p>
        </w:tc>
        <w:tc>
          <w:tcPr>
            <w:tcW w:w="294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C831C2">
            <w:pPr>
              <w:spacing w:before="0" w:after="0" w:line="240" w:lineRule="auto"/>
              <w:jc w:val="center"/>
            </w:pPr>
            <w:r>
              <w:rPr>
                <w:rFonts w:ascii="宋体" w:hAnsi="宋体" w:eastAsia="宋体"/>
                <w:sz w:val="14"/>
              </w:rPr>
              <w:t>新疆维吾尔自治区水文局</w:t>
            </w:r>
          </w:p>
        </w:tc>
        <w:tc>
          <w:tcPr>
            <w:tcW w:w="11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AC6E8">
            <w:pPr>
              <w:spacing w:before="0" w:after="0" w:line="240" w:lineRule="auto"/>
              <w:jc w:val="center"/>
            </w:pPr>
            <w:r>
              <w:rPr>
                <w:rFonts w:ascii="宋体" w:hAnsi="宋体" w:eastAsia="宋体"/>
                <w:sz w:val="14"/>
              </w:rPr>
              <w:t>实施单位</w:t>
            </w:r>
          </w:p>
        </w:tc>
        <w:tc>
          <w:tcPr>
            <w:tcW w:w="294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9868DD">
            <w:pPr>
              <w:spacing w:before="0" w:after="0" w:line="240" w:lineRule="auto"/>
              <w:jc w:val="center"/>
            </w:pPr>
            <w:r>
              <w:rPr>
                <w:rFonts w:ascii="宋体" w:hAnsi="宋体" w:eastAsia="宋体"/>
                <w:sz w:val="14"/>
              </w:rPr>
              <w:t>新疆维吾尔自治区乌鲁木齐水文勘测中心</w:t>
            </w:r>
          </w:p>
        </w:tc>
      </w:tr>
      <w:tr w14:paraId="16A691F3">
        <w:tblPrEx>
          <w:tblCellMar>
            <w:top w:w="36" w:type="dxa"/>
            <w:left w:w="36" w:type="dxa"/>
            <w:bottom w:w="36" w:type="dxa"/>
            <w:right w:w="36" w:type="dxa"/>
          </w:tblCellMar>
        </w:tblPrEx>
        <w:tc>
          <w:tcPr>
            <w:tcW w:w="1171"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8E432A">
            <w:pPr>
              <w:spacing w:before="0" w:after="0" w:line="240" w:lineRule="auto"/>
              <w:jc w:val="center"/>
            </w:pPr>
            <w:r>
              <w:rPr>
                <w:rFonts w:ascii="宋体" w:hAnsi="宋体" w:eastAsia="宋体"/>
                <w:sz w:val="14"/>
              </w:rPr>
              <w:t>项目资金
（万元）</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5F5B0">
            <w:pPr>
              <w:spacing w:before="0" w:after="0" w:line="240" w:lineRule="auto"/>
              <w:jc w:val="center"/>
            </w:pP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7C0E0D01">
            <w:pPr>
              <w:spacing w:before="0" w:after="0" w:line="240" w:lineRule="auto"/>
              <w:jc w:val="center"/>
            </w:pPr>
            <w:r>
              <w:rPr>
                <w:rFonts w:ascii="宋体" w:hAnsi="宋体" w:eastAsia="宋体"/>
                <w:sz w:val="14"/>
              </w:rPr>
              <w:t>年初预算数</w:t>
            </w:r>
          </w:p>
        </w:tc>
        <w:tc>
          <w:tcPr>
            <w:tcW w:w="11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E1996">
            <w:pPr>
              <w:spacing w:before="0" w:after="0" w:line="240" w:lineRule="auto"/>
              <w:jc w:val="center"/>
            </w:pPr>
            <w:r>
              <w:rPr>
                <w:rFonts w:ascii="宋体" w:hAnsi="宋体" w:eastAsia="宋体"/>
                <w:sz w:val="14"/>
              </w:rPr>
              <w:t>全年预算数</w:t>
            </w:r>
          </w:p>
        </w:tc>
        <w:tc>
          <w:tcPr>
            <w:tcW w:w="11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77F04">
            <w:pPr>
              <w:spacing w:before="0" w:after="0" w:line="240" w:lineRule="auto"/>
              <w:jc w:val="center"/>
            </w:pPr>
            <w:r>
              <w:rPr>
                <w:rFonts w:ascii="宋体" w:hAnsi="宋体" w:eastAsia="宋体"/>
                <w:sz w:val="14"/>
              </w:rPr>
              <w:t>全年执行数</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BA750">
            <w:pPr>
              <w:spacing w:before="0" w:after="0" w:line="240" w:lineRule="auto"/>
              <w:jc w:val="center"/>
            </w:pPr>
            <w:r>
              <w:rPr>
                <w:rFonts w:ascii="宋体" w:hAnsi="宋体" w:eastAsia="宋体"/>
                <w:sz w:val="14"/>
              </w:rPr>
              <w:t>分值</w:t>
            </w:r>
          </w:p>
        </w:tc>
        <w:tc>
          <w:tcPr>
            <w:tcW w:w="11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3A35B">
            <w:pPr>
              <w:spacing w:before="0" w:after="0" w:line="240" w:lineRule="auto"/>
              <w:jc w:val="center"/>
            </w:pPr>
            <w:r>
              <w:rPr>
                <w:rFonts w:ascii="宋体" w:hAnsi="宋体" w:eastAsia="宋体"/>
                <w:sz w:val="14"/>
              </w:rPr>
              <w:t>执行率</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330622E2">
            <w:pPr>
              <w:spacing w:before="0" w:after="0" w:line="240" w:lineRule="auto"/>
              <w:jc w:val="center"/>
            </w:pPr>
            <w:r>
              <w:rPr>
                <w:rFonts w:ascii="宋体" w:hAnsi="宋体" w:eastAsia="宋体"/>
                <w:sz w:val="14"/>
              </w:rPr>
              <w:t>得分</w:t>
            </w:r>
          </w:p>
        </w:tc>
      </w:tr>
      <w:tr w14:paraId="2510CE7F">
        <w:tblPrEx>
          <w:tblCellMar>
            <w:top w:w="36" w:type="dxa"/>
            <w:left w:w="36" w:type="dxa"/>
            <w:bottom w:w="36" w:type="dxa"/>
            <w:right w:w="36" w:type="dxa"/>
          </w:tblCellMar>
        </w:tblPrEx>
        <w:tc>
          <w:tcPr>
            <w:tcW w:w="1171"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A917E4B"/>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F0CE2">
            <w:pPr>
              <w:spacing w:before="0" w:after="0" w:line="240" w:lineRule="auto"/>
              <w:jc w:val="center"/>
            </w:pPr>
            <w:r>
              <w:rPr>
                <w:rFonts w:ascii="宋体" w:hAnsi="宋体" w:eastAsia="宋体"/>
                <w:sz w:val="14"/>
              </w:rPr>
              <w:t>年度资金总额</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42A62FCB">
            <w:pPr>
              <w:spacing w:before="0" w:after="0" w:line="240" w:lineRule="auto"/>
              <w:jc w:val="center"/>
            </w:pPr>
            <w:r>
              <w:rPr>
                <w:rFonts w:ascii="宋体" w:hAnsi="宋体" w:eastAsia="宋体"/>
                <w:sz w:val="14"/>
              </w:rPr>
              <w:t>219.20</w:t>
            </w:r>
          </w:p>
        </w:tc>
        <w:tc>
          <w:tcPr>
            <w:tcW w:w="11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448DE">
            <w:pPr>
              <w:spacing w:before="0" w:after="0" w:line="240" w:lineRule="auto"/>
              <w:jc w:val="center"/>
            </w:pPr>
            <w:r>
              <w:rPr>
                <w:rFonts w:ascii="宋体" w:hAnsi="宋体" w:eastAsia="宋体"/>
                <w:sz w:val="14"/>
              </w:rPr>
              <w:t>152.20</w:t>
            </w:r>
          </w:p>
        </w:tc>
        <w:tc>
          <w:tcPr>
            <w:tcW w:w="11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A9B00">
            <w:pPr>
              <w:spacing w:before="0" w:after="0" w:line="240" w:lineRule="auto"/>
              <w:jc w:val="center"/>
            </w:pPr>
            <w:r>
              <w:rPr>
                <w:rFonts w:ascii="宋体" w:hAnsi="宋体" w:eastAsia="宋体"/>
                <w:sz w:val="14"/>
              </w:rPr>
              <w:t>119.16</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9E54A">
            <w:pPr>
              <w:spacing w:before="0" w:after="0" w:line="240" w:lineRule="auto"/>
              <w:jc w:val="center"/>
            </w:pPr>
            <w:r>
              <w:rPr>
                <w:rFonts w:ascii="宋体" w:hAnsi="宋体" w:eastAsia="宋体"/>
                <w:sz w:val="14"/>
              </w:rPr>
              <w:t>10</w:t>
            </w:r>
          </w:p>
        </w:tc>
        <w:tc>
          <w:tcPr>
            <w:tcW w:w="11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C4034">
            <w:pPr>
              <w:spacing w:before="0" w:after="0" w:line="240" w:lineRule="auto"/>
              <w:jc w:val="center"/>
            </w:pPr>
            <w:r>
              <w:rPr>
                <w:rFonts w:ascii="宋体" w:hAnsi="宋体" w:eastAsia="宋体"/>
                <w:sz w:val="14"/>
              </w:rPr>
              <w:t>78.29%</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2539583A">
            <w:pPr>
              <w:spacing w:before="0" w:after="0" w:line="240" w:lineRule="auto"/>
              <w:jc w:val="center"/>
            </w:pPr>
            <w:r>
              <w:rPr>
                <w:rFonts w:ascii="宋体" w:hAnsi="宋体" w:eastAsia="宋体"/>
                <w:sz w:val="14"/>
              </w:rPr>
              <w:t>4.57</w:t>
            </w:r>
          </w:p>
        </w:tc>
      </w:tr>
      <w:tr w14:paraId="768755F3">
        <w:tblPrEx>
          <w:tblCellMar>
            <w:top w:w="36" w:type="dxa"/>
            <w:left w:w="36" w:type="dxa"/>
            <w:bottom w:w="36" w:type="dxa"/>
            <w:right w:w="36" w:type="dxa"/>
          </w:tblCellMar>
        </w:tblPrEx>
        <w:tc>
          <w:tcPr>
            <w:tcW w:w="1171"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1733334"/>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0C123">
            <w:pPr>
              <w:spacing w:before="0" w:after="0" w:line="240" w:lineRule="auto"/>
              <w:jc w:val="center"/>
            </w:pPr>
            <w:r>
              <w:rPr>
                <w:rFonts w:ascii="宋体" w:hAnsi="宋体" w:eastAsia="宋体"/>
                <w:sz w:val="14"/>
              </w:rPr>
              <w:t>其中：当年财政拨款</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3C1A8707">
            <w:pPr>
              <w:spacing w:before="0" w:after="0" w:line="240" w:lineRule="auto"/>
              <w:jc w:val="center"/>
            </w:pPr>
            <w:r>
              <w:rPr>
                <w:rFonts w:ascii="宋体" w:hAnsi="宋体" w:eastAsia="宋体"/>
                <w:sz w:val="14"/>
              </w:rPr>
              <w:t>0.00</w:t>
            </w:r>
          </w:p>
        </w:tc>
        <w:tc>
          <w:tcPr>
            <w:tcW w:w="11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266C0">
            <w:pPr>
              <w:spacing w:before="0" w:after="0" w:line="240" w:lineRule="auto"/>
              <w:jc w:val="center"/>
            </w:pPr>
            <w:r>
              <w:rPr>
                <w:rFonts w:ascii="宋体" w:hAnsi="宋体" w:eastAsia="宋体"/>
                <w:sz w:val="14"/>
              </w:rPr>
              <w:t>0.00</w:t>
            </w:r>
          </w:p>
        </w:tc>
        <w:tc>
          <w:tcPr>
            <w:tcW w:w="11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D2215">
            <w:pPr>
              <w:spacing w:before="0" w:after="0" w:line="240" w:lineRule="auto"/>
              <w:jc w:val="center"/>
            </w:pPr>
            <w:r>
              <w:rPr>
                <w:rFonts w:ascii="宋体" w:hAnsi="宋体" w:eastAsia="宋体"/>
                <w:sz w:val="14"/>
              </w:rPr>
              <w:t>0.00</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47AAC">
            <w:pPr>
              <w:spacing w:before="0" w:after="0" w:line="240" w:lineRule="auto"/>
              <w:jc w:val="center"/>
            </w:pPr>
            <w:r>
              <w:rPr>
                <w:rFonts w:ascii="宋体" w:hAnsi="宋体" w:eastAsia="宋体"/>
                <w:sz w:val="14"/>
              </w:rPr>
              <w:t>-</w:t>
            </w:r>
          </w:p>
        </w:tc>
        <w:tc>
          <w:tcPr>
            <w:tcW w:w="11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6CAD3">
            <w:pPr>
              <w:spacing w:before="0" w:after="0" w:line="240" w:lineRule="auto"/>
              <w:jc w:val="center"/>
            </w:pPr>
            <w:r>
              <w:rPr>
                <w:rFonts w:ascii="宋体" w:hAnsi="宋体" w:eastAsia="宋体"/>
                <w:sz w:val="14"/>
              </w:rPr>
              <w:t>-</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11E560A2">
            <w:pPr>
              <w:spacing w:before="0" w:after="0" w:line="240" w:lineRule="auto"/>
              <w:jc w:val="center"/>
            </w:pPr>
            <w:r>
              <w:rPr>
                <w:rFonts w:ascii="宋体" w:hAnsi="宋体" w:eastAsia="宋体"/>
                <w:sz w:val="14"/>
              </w:rPr>
              <w:t>-</w:t>
            </w:r>
          </w:p>
        </w:tc>
      </w:tr>
      <w:tr w14:paraId="27AD2611">
        <w:tblPrEx>
          <w:tblCellMar>
            <w:top w:w="36" w:type="dxa"/>
            <w:left w:w="36" w:type="dxa"/>
            <w:bottom w:w="36" w:type="dxa"/>
            <w:right w:w="36" w:type="dxa"/>
          </w:tblCellMar>
        </w:tblPrEx>
        <w:tc>
          <w:tcPr>
            <w:tcW w:w="1171"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509E4B0"/>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DE4B1">
            <w:pPr>
              <w:spacing w:before="0" w:after="0" w:line="240" w:lineRule="auto"/>
              <w:jc w:val="center"/>
            </w:pPr>
            <w:r>
              <w:rPr>
                <w:rFonts w:ascii="宋体" w:hAnsi="宋体" w:eastAsia="宋体"/>
                <w:sz w:val="14"/>
              </w:rPr>
              <w:t>其他资金</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3AC5060A">
            <w:pPr>
              <w:spacing w:before="0" w:after="0" w:line="240" w:lineRule="auto"/>
              <w:jc w:val="center"/>
            </w:pPr>
            <w:r>
              <w:rPr>
                <w:rFonts w:ascii="宋体" w:hAnsi="宋体" w:eastAsia="宋体"/>
                <w:sz w:val="14"/>
              </w:rPr>
              <w:t>219.20</w:t>
            </w:r>
          </w:p>
        </w:tc>
        <w:tc>
          <w:tcPr>
            <w:tcW w:w="11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94076">
            <w:pPr>
              <w:spacing w:before="0" w:after="0" w:line="240" w:lineRule="auto"/>
              <w:jc w:val="center"/>
            </w:pPr>
            <w:r>
              <w:rPr>
                <w:rFonts w:ascii="宋体" w:hAnsi="宋体" w:eastAsia="宋体"/>
                <w:sz w:val="14"/>
              </w:rPr>
              <w:t>152.20</w:t>
            </w:r>
          </w:p>
        </w:tc>
        <w:tc>
          <w:tcPr>
            <w:tcW w:w="11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F8C01">
            <w:pPr>
              <w:spacing w:before="0" w:after="0" w:line="240" w:lineRule="auto"/>
              <w:jc w:val="center"/>
            </w:pPr>
            <w:r>
              <w:rPr>
                <w:rFonts w:ascii="宋体" w:hAnsi="宋体" w:eastAsia="宋体"/>
                <w:sz w:val="14"/>
              </w:rPr>
              <w:t>119.16</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9B202">
            <w:pPr>
              <w:spacing w:before="0" w:after="0" w:line="240" w:lineRule="auto"/>
              <w:jc w:val="center"/>
            </w:pPr>
            <w:r>
              <w:rPr>
                <w:rFonts w:ascii="宋体" w:hAnsi="宋体" w:eastAsia="宋体"/>
                <w:sz w:val="14"/>
              </w:rPr>
              <w:t>-</w:t>
            </w:r>
          </w:p>
        </w:tc>
        <w:tc>
          <w:tcPr>
            <w:tcW w:w="11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20AAC">
            <w:pPr>
              <w:spacing w:before="0" w:after="0" w:line="240" w:lineRule="auto"/>
              <w:jc w:val="center"/>
            </w:pPr>
            <w:r>
              <w:rPr>
                <w:rFonts w:ascii="宋体" w:hAnsi="宋体" w:eastAsia="宋体"/>
                <w:sz w:val="14"/>
              </w:rPr>
              <w:t>-</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6BA21656">
            <w:pPr>
              <w:spacing w:before="0" w:after="0" w:line="240" w:lineRule="auto"/>
              <w:jc w:val="center"/>
            </w:pPr>
            <w:r>
              <w:rPr>
                <w:rFonts w:ascii="宋体" w:hAnsi="宋体" w:eastAsia="宋体"/>
                <w:sz w:val="14"/>
              </w:rPr>
              <w:t>-</w:t>
            </w:r>
          </w:p>
        </w:tc>
      </w:tr>
      <w:tr w14:paraId="232DD3D8">
        <w:tblPrEx>
          <w:tblCellMar>
            <w:top w:w="36" w:type="dxa"/>
            <w:left w:w="36" w:type="dxa"/>
            <w:bottom w:w="36" w:type="dxa"/>
            <w:right w:w="36" w:type="dxa"/>
          </w:tblCellMar>
        </w:tblPrEx>
        <w:tc>
          <w:tcPr>
            <w:tcW w:w="58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54F93C">
            <w:pPr>
              <w:spacing w:before="0" w:after="0" w:line="240" w:lineRule="auto"/>
              <w:jc w:val="center"/>
            </w:pPr>
            <w:r>
              <w:rPr>
                <w:rFonts w:ascii="宋体" w:hAnsi="宋体" w:eastAsia="宋体"/>
                <w:sz w:val="14"/>
              </w:rPr>
              <w:t>年度总体目标</w:t>
            </w:r>
          </w:p>
        </w:tc>
        <w:tc>
          <w:tcPr>
            <w:tcW w:w="353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57D264">
            <w:pPr>
              <w:spacing w:before="0" w:after="0" w:line="240" w:lineRule="auto"/>
              <w:jc w:val="center"/>
            </w:pPr>
            <w:r>
              <w:rPr>
                <w:rFonts w:ascii="宋体" w:hAnsi="宋体" w:eastAsia="宋体"/>
                <w:sz w:val="14"/>
              </w:rPr>
              <w:t>预期目标</w:t>
            </w:r>
          </w:p>
        </w:tc>
        <w:tc>
          <w:tcPr>
            <w:tcW w:w="411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F8A326">
            <w:pPr>
              <w:spacing w:before="0" w:after="0" w:line="240" w:lineRule="auto"/>
              <w:jc w:val="center"/>
            </w:pPr>
            <w:r>
              <w:rPr>
                <w:rFonts w:ascii="宋体" w:hAnsi="宋体" w:eastAsia="宋体"/>
                <w:sz w:val="14"/>
              </w:rPr>
              <w:t>实际完成情况</w:t>
            </w:r>
          </w:p>
        </w:tc>
      </w:tr>
      <w:tr w14:paraId="1898B491">
        <w:tblPrEx>
          <w:tblCellMar>
            <w:top w:w="36" w:type="dxa"/>
            <w:left w:w="36" w:type="dxa"/>
            <w:bottom w:w="36" w:type="dxa"/>
            <w:right w:w="36" w:type="dxa"/>
          </w:tblCellMar>
        </w:tblPrEx>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390E0596"/>
        </w:tc>
        <w:tc>
          <w:tcPr>
            <w:tcW w:w="353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FC7FFC">
            <w:pPr>
              <w:spacing w:before="0" w:after="0" w:line="240" w:lineRule="auto"/>
              <w:jc w:val="both"/>
            </w:pPr>
            <w:r>
              <w:rPr>
                <w:rFonts w:ascii="宋体" w:hAnsi="宋体" w:eastAsia="宋体"/>
                <w:sz w:val="14"/>
              </w:rPr>
              <w:t>通过水文组织能力建设与经营成本性支出，用于弥补测站运行经费不足及开展本单位的组织能力建设活动，组织开展业务培训，关心关爱单位职工，提升职工的工作积极性和业务水平。及时支付单位承接项目的专家评审费，确保承接项目能高质量、高标准</w:t>
            </w:r>
            <w:r>
              <w:rPr>
                <w:rFonts w:hint="eastAsia" w:ascii="宋体" w:hAnsi="宋体"/>
                <w:sz w:val="14"/>
                <w:lang w:eastAsia="zh-CN"/>
              </w:rPr>
              <w:t>地</w:t>
            </w:r>
            <w:r>
              <w:rPr>
                <w:rFonts w:ascii="宋体" w:hAnsi="宋体" w:eastAsia="宋体"/>
                <w:sz w:val="14"/>
              </w:rPr>
              <w:t>通过评审并提交甲方。对于</w:t>
            </w:r>
            <w:r>
              <w:rPr>
                <w:rFonts w:hint="eastAsia" w:ascii="宋体" w:hAnsi="宋体"/>
                <w:sz w:val="14"/>
                <w:lang w:eastAsia="zh-CN"/>
              </w:rPr>
              <w:t>本单位</w:t>
            </w:r>
            <w:r>
              <w:rPr>
                <w:rFonts w:ascii="宋体" w:hAnsi="宋体" w:eastAsia="宋体"/>
                <w:sz w:val="14"/>
              </w:rPr>
              <w:t>无法完成的、无相关资质的部分业务，及时联系相关有资质单位来负责完成，“让专业的人做专业的事”。支付机关职工工作日的午餐伙食费，支付单位聘请的保安、保洁全年工资和相关社保费用，支付单位其他费用。通过水文现代化、信息化发展，为政府决策和经济社会发展提供高效服务，为推动新阶段水利高质量发展提供有力支撑。</w:t>
            </w:r>
          </w:p>
        </w:tc>
        <w:tc>
          <w:tcPr>
            <w:tcW w:w="411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D0CF54">
            <w:pPr>
              <w:spacing w:before="0" w:after="0" w:line="240" w:lineRule="auto"/>
              <w:jc w:val="both"/>
            </w:pPr>
            <w:r>
              <w:rPr>
                <w:rFonts w:ascii="宋体" w:hAnsi="宋体" w:eastAsia="宋体"/>
                <w:sz w:val="14"/>
              </w:rPr>
              <w:t>2025年乌鲁木齐水文勘测中心水文组织建设和经营性成本支出项目绩效目标完成情况较好，重点工作均已完成，且达到预期目标。全年开展渠道率定、水文分析计算、水资源公报等咨询项目，按时发放专家劳务费、评审费，保障了项目按时验收，各项成果、报告按时提交，有效支撑了区域水资源管理决策；组织业务培训2次，大大提升了职工的业务能力水平。按时巡检维护水文仪器设备，设备利用率、数据到报率达90%，提升了测验效率和测洪报汛能力；对测验断面、水毁工程及时进行修复，保障了汛期安全度汛，为防汛抗旱提供准确及时的水情情报。</w:t>
            </w:r>
          </w:p>
        </w:tc>
      </w:tr>
      <w:tr w14:paraId="084CDF8F">
        <w:tblPrEx>
          <w:tblCellMar>
            <w:top w:w="36" w:type="dxa"/>
            <w:left w:w="36" w:type="dxa"/>
            <w:bottom w:w="36" w:type="dxa"/>
            <w:right w:w="36" w:type="dxa"/>
          </w:tblCellMar>
        </w:tblPrEx>
        <w:tc>
          <w:tcPr>
            <w:tcW w:w="58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9BAB5C">
            <w:pPr>
              <w:spacing w:before="0" w:after="0" w:line="240" w:lineRule="auto"/>
              <w:jc w:val="center"/>
            </w:pPr>
          </w:p>
        </w:tc>
        <w:tc>
          <w:tcPr>
            <w:tcW w:w="58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2A72D6">
            <w:pPr>
              <w:spacing w:before="0" w:after="0" w:line="240" w:lineRule="auto"/>
              <w:jc w:val="center"/>
            </w:pPr>
            <w:r>
              <w:rPr>
                <w:rFonts w:ascii="宋体" w:hAnsi="宋体" w:eastAsia="宋体"/>
                <w:sz w:val="14"/>
              </w:rPr>
              <w:t>一级指标</w:t>
            </w:r>
          </w:p>
        </w:tc>
        <w:tc>
          <w:tcPr>
            <w:tcW w:w="58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12F1FE">
            <w:pPr>
              <w:spacing w:before="0" w:after="0" w:line="240" w:lineRule="auto"/>
              <w:jc w:val="center"/>
            </w:pPr>
            <w:r>
              <w:rPr>
                <w:rFonts w:ascii="宋体" w:hAnsi="宋体" w:eastAsia="宋体"/>
                <w:sz w:val="14"/>
              </w:rPr>
              <w:t>二级指标</w:t>
            </w:r>
          </w:p>
        </w:tc>
        <w:tc>
          <w:tcPr>
            <w:tcW w:w="58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6F00BC">
            <w:pPr>
              <w:spacing w:before="0" w:after="0" w:line="240" w:lineRule="auto"/>
              <w:jc w:val="center"/>
            </w:pPr>
            <w:r>
              <w:rPr>
                <w:rFonts w:ascii="宋体" w:hAnsi="宋体" w:eastAsia="宋体"/>
                <w:sz w:val="14"/>
              </w:rPr>
              <w:t>三级指标</w:t>
            </w:r>
          </w:p>
        </w:tc>
        <w:tc>
          <w:tcPr>
            <w:tcW w:w="59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E943DF">
            <w:pPr>
              <w:spacing w:before="0" w:after="0" w:line="240" w:lineRule="auto"/>
              <w:jc w:val="center"/>
            </w:pPr>
            <w:r>
              <w:rPr>
                <w:rFonts w:ascii="宋体" w:hAnsi="宋体" w:eastAsia="宋体"/>
                <w:sz w:val="14"/>
              </w:rPr>
              <w:t>权重</w:t>
            </w:r>
          </w:p>
        </w:tc>
        <w:tc>
          <w:tcPr>
            <w:tcW w:w="59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23C08D">
            <w:pPr>
              <w:spacing w:before="0" w:after="0" w:line="240" w:lineRule="auto"/>
              <w:jc w:val="center"/>
            </w:pPr>
            <w:r>
              <w:rPr>
                <w:rFonts w:ascii="宋体" w:hAnsi="宋体" w:eastAsia="宋体"/>
                <w:sz w:val="14"/>
              </w:rPr>
              <w:t>目标值</w:t>
            </w:r>
          </w:p>
        </w:tc>
        <w:tc>
          <w:tcPr>
            <w:tcW w:w="58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640FE5">
            <w:pPr>
              <w:spacing w:before="0" w:after="0" w:line="240" w:lineRule="auto"/>
              <w:jc w:val="center"/>
            </w:pPr>
            <w:r>
              <w:rPr>
                <w:rFonts w:ascii="宋体" w:hAnsi="宋体" w:eastAsia="宋体"/>
                <w:sz w:val="14"/>
              </w:rPr>
              <w:t>业绩值</w:t>
            </w:r>
          </w:p>
        </w:tc>
        <w:tc>
          <w:tcPr>
            <w:tcW w:w="58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DE1090">
            <w:pPr>
              <w:spacing w:before="0" w:after="0" w:line="240" w:lineRule="auto"/>
              <w:jc w:val="center"/>
            </w:pPr>
            <w:r>
              <w:rPr>
                <w:rFonts w:ascii="宋体" w:hAnsi="宋体" w:eastAsia="宋体"/>
                <w:sz w:val="14"/>
              </w:rPr>
              <w:t>完成率</w:t>
            </w:r>
          </w:p>
        </w:tc>
        <w:tc>
          <w:tcPr>
            <w:tcW w:w="59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8990D0">
            <w:pPr>
              <w:spacing w:before="0" w:after="0" w:line="240" w:lineRule="auto"/>
              <w:jc w:val="center"/>
            </w:pPr>
            <w:r>
              <w:rPr>
                <w:rFonts w:ascii="宋体" w:hAnsi="宋体" w:eastAsia="宋体"/>
                <w:sz w:val="14"/>
              </w:rPr>
              <w:t>指标得分</w:t>
            </w:r>
          </w:p>
        </w:tc>
        <w:tc>
          <w:tcPr>
            <w:tcW w:w="58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E6A197">
            <w:pPr>
              <w:spacing w:before="0" w:after="0" w:line="240" w:lineRule="auto"/>
              <w:jc w:val="center"/>
            </w:pPr>
            <w:r>
              <w:rPr>
                <w:rFonts w:ascii="宋体" w:hAnsi="宋体" w:eastAsia="宋体"/>
                <w:sz w:val="14"/>
              </w:rPr>
              <w:t>指标值设定依据</w:t>
            </w:r>
          </w:p>
        </w:tc>
        <w:tc>
          <w:tcPr>
            <w:tcW w:w="5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7AD654">
            <w:pPr>
              <w:spacing w:before="0" w:after="0" w:line="240" w:lineRule="auto"/>
              <w:jc w:val="center"/>
            </w:pPr>
            <w:r>
              <w:rPr>
                <w:rFonts w:ascii="宋体" w:hAnsi="宋体" w:eastAsia="宋体"/>
                <w:sz w:val="14"/>
              </w:rPr>
              <w:t>上年完成情况</w:t>
            </w:r>
          </w:p>
        </w:tc>
        <w:tc>
          <w:tcPr>
            <w:tcW w:w="5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76D1E8">
            <w:pPr>
              <w:spacing w:before="0" w:after="0" w:line="240" w:lineRule="auto"/>
              <w:jc w:val="center"/>
            </w:pPr>
            <w:r>
              <w:rPr>
                <w:rFonts w:ascii="宋体" w:hAnsi="宋体" w:eastAsia="宋体"/>
                <w:sz w:val="14"/>
              </w:rPr>
              <w:t>赋分规则</w:t>
            </w:r>
          </w:p>
        </w:tc>
        <w:tc>
          <w:tcPr>
            <w:tcW w:w="5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2620A0">
            <w:pPr>
              <w:spacing w:before="0" w:after="0" w:line="240" w:lineRule="auto"/>
              <w:jc w:val="center"/>
            </w:pPr>
            <w:r>
              <w:rPr>
                <w:rFonts w:ascii="宋体" w:hAnsi="宋体" w:eastAsia="宋体"/>
                <w:sz w:val="14"/>
              </w:rPr>
              <w:t>佐证资料</w:t>
            </w:r>
          </w:p>
        </w:tc>
        <w:tc>
          <w:tcPr>
            <w:tcW w:w="59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02450F">
            <w:pPr>
              <w:spacing w:before="0" w:after="0" w:line="240" w:lineRule="auto"/>
              <w:jc w:val="center"/>
            </w:pPr>
            <w:r>
              <w:rPr>
                <w:rFonts w:ascii="宋体" w:hAnsi="宋体" w:eastAsia="宋体"/>
                <w:sz w:val="14"/>
              </w:rPr>
              <w:t>偏差原因分析及改进措施</w:t>
            </w:r>
          </w:p>
        </w:tc>
      </w:tr>
      <w:tr w14:paraId="23795FAF">
        <w:tblPrEx>
          <w:tblCellMar>
            <w:top w:w="36" w:type="dxa"/>
            <w:left w:w="36" w:type="dxa"/>
            <w:bottom w:w="36" w:type="dxa"/>
            <w:right w:w="36" w:type="dxa"/>
          </w:tblCellMar>
        </w:tblPrEx>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014970A3"/>
        </w:tc>
        <w:tc>
          <w:tcPr>
            <w:tcW w:w="586" w:type="dxa"/>
            <w:vMerge w:val="continue"/>
            <w:tcBorders>
              <w:top w:val="single" w:color="auto" w:sz="10" w:space="0"/>
              <w:left w:val="single" w:color="auto" w:sz="10" w:space="0"/>
              <w:bottom w:val="single" w:color="auto" w:sz="10" w:space="0"/>
              <w:right w:val="single" w:color="auto" w:sz="10" w:space="0"/>
              <w:insideV w:val="single" w:sz="10" w:space="0"/>
            </w:tcBorders>
          </w:tcPr>
          <w:p w14:paraId="64B4A04F"/>
        </w:tc>
        <w:tc>
          <w:tcPr>
            <w:tcW w:w="586" w:type="dxa"/>
            <w:vMerge w:val="continue"/>
            <w:tcBorders>
              <w:top w:val="single" w:color="auto" w:sz="10" w:space="0"/>
              <w:left w:val="single" w:color="auto" w:sz="10" w:space="0"/>
              <w:bottom w:val="single" w:color="auto" w:sz="10" w:space="0"/>
              <w:right w:val="single" w:color="auto" w:sz="10" w:space="0"/>
              <w:insideV w:val="single" w:sz="10" w:space="0"/>
            </w:tcBorders>
          </w:tcPr>
          <w:p w14:paraId="311739BE"/>
        </w:tc>
        <w:tc>
          <w:tcPr>
            <w:tcW w:w="589" w:type="dxa"/>
            <w:vMerge w:val="continue"/>
            <w:tcBorders>
              <w:top w:val="single" w:color="auto" w:sz="10" w:space="0"/>
              <w:left w:val="single" w:color="auto" w:sz="10" w:space="0"/>
              <w:bottom w:val="single" w:color="auto" w:sz="10" w:space="0"/>
              <w:right w:val="single" w:color="auto" w:sz="10" w:space="0"/>
              <w:insideV w:val="single" w:sz="10" w:space="0"/>
            </w:tcBorders>
          </w:tcPr>
          <w:p w14:paraId="214B43E3"/>
        </w:tc>
        <w:tc>
          <w:tcPr>
            <w:tcW w:w="591" w:type="dxa"/>
            <w:vMerge w:val="continue"/>
            <w:tcBorders>
              <w:top w:val="single" w:color="auto" w:sz="10" w:space="0"/>
              <w:left w:val="single" w:color="auto" w:sz="10" w:space="0"/>
              <w:bottom w:val="single" w:color="auto" w:sz="10" w:space="0"/>
              <w:right w:val="single" w:color="auto" w:sz="10" w:space="0"/>
              <w:insideV w:val="single" w:sz="10" w:space="0"/>
            </w:tcBorders>
          </w:tcPr>
          <w:p w14:paraId="3BD0CE50"/>
        </w:tc>
        <w:tc>
          <w:tcPr>
            <w:tcW w:w="590" w:type="dxa"/>
            <w:vMerge w:val="continue"/>
            <w:tcBorders>
              <w:top w:val="single" w:color="auto" w:sz="10" w:space="0"/>
              <w:left w:val="single" w:color="auto" w:sz="10" w:space="0"/>
              <w:bottom w:val="single" w:color="auto" w:sz="10" w:space="0"/>
              <w:right w:val="single" w:color="auto" w:sz="10" w:space="0"/>
              <w:insideV w:val="single" w:sz="10" w:space="0"/>
            </w:tcBorders>
          </w:tcPr>
          <w:p w14:paraId="25ECBCBA"/>
        </w:tc>
        <w:tc>
          <w:tcPr>
            <w:tcW w:w="589" w:type="dxa"/>
            <w:vMerge w:val="continue"/>
            <w:tcBorders>
              <w:top w:val="single" w:color="auto" w:sz="10" w:space="0"/>
              <w:left w:val="single" w:color="auto" w:sz="10" w:space="0"/>
              <w:bottom w:val="single" w:color="auto" w:sz="10" w:space="0"/>
              <w:right w:val="single" w:color="auto" w:sz="10" w:space="0"/>
              <w:insideV w:val="single" w:sz="10" w:space="0"/>
            </w:tcBorders>
          </w:tcPr>
          <w:p w14:paraId="4EA7E45C"/>
        </w:tc>
        <w:tc>
          <w:tcPr>
            <w:tcW w:w="589" w:type="dxa"/>
            <w:vMerge w:val="continue"/>
            <w:tcBorders>
              <w:top w:val="single" w:color="auto" w:sz="10" w:space="0"/>
              <w:left w:val="single" w:color="auto" w:sz="10" w:space="0"/>
              <w:bottom w:val="single" w:color="auto" w:sz="10" w:space="0"/>
              <w:right w:val="single" w:color="auto" w:sz="10" w:space="0"/>
              <w:insideV w:val="single" w:sz="10" w:space="0"/>
            </w:tcBorders>
          </w:tcPr>
          <w:p w14:paraId="385BDDCF"/>
        </w:tc>
        <w:tc>
          <w:tcPr>
            <w:tcW w:w="590" w:type="dxa"/>
            <w:vMerge w:val="continue"/>
            <w:tcBorders>
              <w:top w:val="single" w:color="auto" w:sz="10" w:space="0"/>
              <w:left w:val="single" w:color="auto" w:sz="10" w:space="0"/>
              <w:bottom w:val="single" w:color="auto" w:sz="10" w:space="0"/>
              <w:right w:val="single" w:color="auto" w:sz="10" w:space="0"/>
              <w:insideV w:val="single" w:sz="10" w:space="0"/>
            </w:tcBorders>
          </w:tcPr>
          <w:p w14:paraId="3C170C12"/>
        </w:tc>
        <w:tc>
          <w:tcPr>
            <w:tcW w:w="586" w:type="dxa"/>
            <w:vMerge w:val="continue"/>
            <w:tcBorders>
              <w:top w:val="single" w:color="auto" w:sz="10" w:space="0"/>
              <w:left w:val="single" w:color="auto" w:sz="10" w:space="0"/>
              <w:bottom w:val="single" w:color="auto" w:sz="10" w:space="0"/>
              <w:right w:val="single" w:color="auto" w:sz="10" w:space="0"/>
              <w:insideV w:val="single" w:sz="10" w:space="0"/>
            </w:tcBorders>
          </w:tcPr>
          <w:p w14:paraId="135C790B"/>
        </w:tc>
        <w:tc>
          <w:tcPr>
            <w:tcW w:w="588" w:type="dxa"/>
            <w:vMerge w:val="continue"/>
            <w:tcBorders>
              <w:top w:val="single" w:color="auto" w:sz="10" w:space="0"/>
              <w:left w:val="single" w:color="auto" w:sz="10" w:space="0"/>
              <w:bottom w:val="single" w:color="auto" w:sz="10" w:space="0"/>
              <w:right w:val="single" w:color="auto" w:sz="10" w:space="0"/>
              <w:insideV w:val="single" w:sz="10" w:space="0"/>
            </w:tcBorders>
          </w:tcPr>
          <w:p w14:paraId="306465AF"/>
        </w:tc>
        <w:tc>
          <w:tcPr>
            <w:tcW w:w="588" w:type="dxa"/>
            <w:vMerge w:val="continue"/>
            <w:tcBorders>
              <w:top w:val="single" w:color="auto" w:sz="10" w:space="0"/>
              <w:left w:val="single" w:color="auto" w:sz="10" w:space="0"/>
              <w:bottom w:val="single" w:color="auto" w:sz="10" w:space="0"/>
              <w:right w:val="single" w:color="auto" w:sz="10" w:space="0"/>
              <w:insideV w:val="single" w:sz="10" w:space="0"/>
            </w:tcBorders>
          </w:tcPr>
          <w:p w14:paraId="7D48D547"/>
        </w:tc>
        <w:tc>
          <w:tcPr>
            <w:tcW w:w="588" w:type="dxa"/>
            <w:vMerge w:val="continue"/>
            <w:tcBorders>
              <w:top w:val="single" w:color="auto" w:sz="10" w:space="0"/>
              <w:left w:val="single" w:color="auto" w:sz="10" w:space="0"/>
              <w:bottom w:val="single" w:color="auto" w:sz="10" w:space="0"/>
              <w:right w:val="single" w:color="auto" w:sz="10" w:space="0"/>
              <w:insideV w:val="single" w:sz="10" w:space="0"/>
            </w:tcBorders>
          </w:tcPr>
          <w:p w14:paraId="668BB5CE"/>
        </w:tc>
        <w:tc>
          <w:tcPr>
            <w:tcW w:w="590" w:type="dxa"/>
            <w:vMerge w:val="continue"/>
            <w:tcBorders>
              <w:top w:val="single" w:color="auto" w:sz="10" w:space="0"/>
              <w:left w:val="single" w:color="auto" w:sz="10" w:space="0"/>
              <w:bottom w:val="single" w:color="auto" w:sz="10" w:space="0"/>
              <w:right w:val="single" w:color="auto" w:sz="10" w:space="0"/>
              <w:insideV w:val="single" w:sz="10" w:space="0"/>
            </w:tcBorders>
          </w:tcPr>
          <w:p w14:paraId="1EDC1CF9"/>
        </w:tc>
      </w:tr>
      <w:tr w14:paraId="35190402">
        <w:tblPrEx>
          <w:tblCellMar>
            <w:top w:w="36" w:type="dxa"/>
            <w:left w:w="36" w:type="dxa"/>
            <w:bottom w:w="36" w:type="dxa"/>
            <w:right w:w="36" w:type="dxa"/>
          </w:tblCellMar>
        </w:tblPrEx>
        <w:tc>
          <w:tcPr>
            <w:tcW w:w="58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D1DA00">
            <w:pPr>
              <w:spacing w:before="0" w:after="0" w:line="240" w:lineRule="auto"/>
              <w:jc w:val="center"/>
            </w:pPr>
            <w:r>
              <w:rPr>
                <w:rFonts w:ascii="宋体" w:hAnsi="宋体" w:eastAsia="宋体"/>
                <w:sz w:val="14"/>
              </w:rPr>
              <w:t>年度绩效指标完成情况</w:t>
            </w:r>
          </w:p>
        </w:tc>
        <w:tc>
          <w:tcPr>
            <w:tcW w:w="58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232923">
            <w:pPr>
              <w:spacing w:before="0" w:after="0" w:line="240" w:lineRule="auto"/>
              <w:jc w:val="center"/>
            </w:pPr>
            <w:r>
              <w:rPr>
                <w:rFonts w:ascii="宋体" w:hAnsi="宋体" w:eastAsia="宋体"/>
                <w:sz w:val="14"/>
              </w:rPr>
              <w:t>产出指标</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4A908E36">
            <w:pPr>
              <w:spacing w:before="0" w:after="0" w:line="240" w:lineRule="auto"/>
              <w:jc w:val="center"/>
            </w:pPr>
            <w:r>
              <w:rPr>
                <w:rFonts w:ascii="宋体" w:hAnsi="宋体" w:eastAsia="宋体"/>
                <w:sz w:val="14"/>
              </w:rPr>
              <w:t>数量指标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7DD02F3">
            <w:pPr>
              <w:spacing w:before="0" w:after="0" w:line="240" w:lineRule="auto"/>
              <w:jc w:val="center"/>
            </w:pPr>
            <w:r>
              <w:rPr>
                <w:rFonts w:ascii="宋体" w:hAnsi="宋体" w:eastAsia="宋体"/>
                <w:sz w:val="14"/>
              </w:rPr>
              <w:t>委托业务服务次数</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517D7678">
            <w:pPr>
              <w:spacing w:before="0" w:after="0" w:line="240" w:lineRule="auto"/>
              <w:jc w:val="center"/>
            </w:pPr>
            <w:r>
              <w:rPr>
                <w:rFonts w:ascii="宋体" w:hAnsi="宋体" w:eastAsia="宋体"/>
                <w:sz w:val="14"/>
              </w:rPr>
              <w:t>10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00C93D78">
            <w:pPr>
              <w:spacing w:before="0" w:after="0" w:line="240" w:lineRule="auto"/>
              <w:jc w:val="center"/>
            </w:pPr>
            <w:r>
              <w:rPr>
                <w:rFonts w:ascii="宋体" w:hAnsi="宋体" w:eastAsia="宋体"/>
                <w:sz w:val="14"/>
              </w:rPr>
              <w:t>&gt;=1次</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7014A9C">
            <w:pPr>
              <w:spacing w:before="0" w:after="0" w:line="240" w:lineRule="auto"/>
              <w:jc w:val="center"/>
            </w:pPr>
            <w:r>
              <w:rPr>
                <w:rFonts w:ascii="宋体" w:hAnsi="宋体" w:eastAsia="宋体"/>
                <w:sz w:val="14"/>
              </w:rPr>
              <w:t>=1次</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4EC378B">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14C68687">
            <w:pPr>
              <w:spacing w:before="0" w:after="0" w:line="240" w:lineRule="auto"/>
              <w:jc w:val="center"/>
            </w:pPr>
            <w:r>
              <w:rPr>
                <w:rFonts w:ascii="宋体" w:hAnsi="宋体" w:eastAsia="宋体"/>
                <w:sz w:val="14"/>
              </w:rPr>
              <w:t>10</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11E44442">
            <w:pPr>
              <w:spacing w:before="0" w:after="0" w:line="240" w:lineRule="auto"/>
              <w:jc w:val="center"/>
            </w:pPr>
            <w:r>
              <w:rPr>
                <w:rFonts w:ascii="宋体" w:hAnsi="宋体" w:eastAsia="宋体"/>
                <w:sz w:val="14"/>
              </w:rPr>
              <w:t>历史标准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3162A4D">
            <w:pPr>
              <w:spacing w:before="0" w:after="0" w:line="240" w:lineRule="auto"/>
              <w:jc w:val="center"/>
            </w:pPr>
            <w:r>
              <w:rPr>
                <w:rFonts w:ascii="宋体" w:hAnsi="宋体" w:eastAsia="宋体"/>
                <w:sz w:val="14"/>
              </w:rPr>
              <w:t>1次</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09DEF6A">
            <w:pPr>
              <w:spacing w:before="0" w:after="0" w:line="240" w:lineRule="auto"/>
              <w:jc w:val="center"/>
            </w:pPr>
            <w:r>
              <w:rPr>
                <w:rFonts w:ascii="宋体" w:hAnsi="宋体" w:eastAsia="宋体"/>
                <w:sz w:val="14"/>
              </w:rPr>
              <w:t>按照完成比例赋分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B7E2FF7">
            <w:pPr>
              <w:spacing w:before="0" w:after="0" w:line="240" w:lineRule="auto"/>
              <w:jc w:val="center"/>
            </w:pPr>
            <w:r>
              <w:rPr>
                <w:rFonts w:ascii="宋体" w:hAnsi="宋体" w:eastAsia="宋体"/>
                <w:sz w:val="14"/>
              </w:rPr>
              <w:t>工作资料</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746F5EC8">
            <w:pPr>
              <w:spacing w:before="0" w:after="0" w:line="240" w:lineRule="auto"/>
              <w:jc w:val="center"/>
            </w:pPr>
          </w:p>
        </w:tc>
      </w:tr>
      <w:tr w14:paraId="5F941DD4">
        <w:tblPrEx>
          <w:tblCellMar>
            <w:top w:w="36" w:type="dxa"/>
            <w:left w:w="36" w:type="dxa"/>
            <w:bottom w:w="36" w:type="dxa"/>
            <w:right w:w="36" w:type="dxa"/>
          </w:tblCellMar>
        </w:tblPrEx>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68786711"/>
        </w:tc>
        <w:tc>
          <w:tcPr>
            <w:tcW w:w="586" w:type="dxa"/>
            <w:vMerge w:val="continue"/>
            <w:tcBorders>
              <w:top w:val="single" w:color="auto" w:sz="10" w:space="0"/>
              <w:left w:val="single" w:color="auto" w:sz="10" w:space="0"/>
              <w:bottom w:val="single" w:color="auto" w:sz="10" w:space="0"/>
              <w:right w:val="single" w:color="auto" w:sz="10" w:space="0"/>
              <w:insideV w:val="single" w:sz="10" w:space="0"/>
            </w:tcBorders>
          </w:tcPr>
          <w:p w14:paraId="6271976C"/>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11A5818D">
            <w:pPr>
              <w:spacing w:before="0" w:after="0" w:line="240" w:lineRule="auto"/>
              <w:jc w:val="center"/>
            </w:pPr>
            <w:r>
              <w:rPr>
                <w:rFonts w:ascii="宋体" w:hAnsi="宋体" w:eastAsia="宋体"/>
                <w:sz w:val="14"/>
              </w:rPr>
              <w:t>数量指标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676D7A7">
            <w:pPr>
              <w:spacing w:before="0" w:after="0" w:line="240" w:lineRule="auto"/>
              <w:jc w:val="center"/>
            </w:pPr>
            <w:r>
              <w:rPr>
                <w:rFonts w:ascii="宋体" w:hAnsi="宋体" w:eastAsia="宋体"/>
                <w:sz w:val="14"/>
              </w:rPr>
              <w:t>业务培训次数</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05811D4F">
            <w:pPr>
              <w:spacing w:before="0" w:after="0" w:line="240" w:lineRule="auto"/>
              <w:jc w:val="center"/>
            </w:pPr>
            <w:r>
              <w:rPr>
                <w:rFonts w:ascii="宋体" w:hAnsi="宋体" w:eastAsia="宋体"/>
                <w:sz w:val="14"/>
              </w:rPr>
              <w:t>10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4E89F192">
            <w:pPr>
              <w:spacing w:before="0" w:after="0" w:line="240" w:lineRule="auto"/>
              <w:jc w:val="center"/>
            </w:pPr>
            <w:r>
              <w:rPr>
                <w:rFonts w:ascii="宋体" w:hAnsi="宋体" w:eastAsia="宋体"/>
                <w:sz w:val="14"/>
              </w:rPr>
              <w:t>&gt;=2次</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61A88EB4">
            <w:pPr>
              <w:spacing w:before="0" w:after="0" w:line="240" w:lineRule="auto"/>
              <w:jc w:val="center"/>
            </w:pPr>
            <w:r>
              <w:rPr>
                <w:rFonts w:ascii="宋体" w:hAnsi="宋体" w:eastAsia="宋体"/>
                <w:sz w:val="14"/>
              </w:rPr>
              <w:t>=2次</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1F6863E">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068AEC4C">
            <w:pPr>
              <w:spacing w:before="0" w:after="0" w:line="240" w:lineRule="auto"/>
              <w:jc w:val="center"/>
            </w:pPr>
            <w:r>
              <w:rPr>
                <w:rFonts w:ascii="宋体" w:hAnsi="宋体" w:eastAsia="宋体"/>
                <w:sz w:val="14"/>
              </w:rPr>
              <w:t>10</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1BCE7CF8">
            <w:pPr>
              <w:spacing w:before="0" w:after="0" w:line="240" w:lineRule="auto"/>
              <w:jc w:val="center"/>
            </w:pPr>
            <w:r>
              <w:rPr>
                <w:rFonts w:ascii="宋体" w:hAnsi="宋体" w:eastAsia="宋体"/>
                <w:sz w:val="14"/>
              </w:rPr>
              <w:t>计划标准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F08183B">
            <w:pPr>
              <w:spacing w:before="0" w:after="0" w:line="240" w:lineRule="auto"/>
              <w:jc w:val="center"/>
            </w:pPr>
            <w:r>
              <w:rPr>
                <w:rFonts w:ascii="宋体" w:hAnsi="宋体" w:eastAsia="宋体"/>
                <w:sz w:val="14"/>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228D29F">
            <w:pPr>
              <w:spacing w:before="0" w:after="0" w:line="240" w:lineRule="auto"/>
              <w:jc w:val="center"/>
            </w:pPr>
            <w:r>
              <w:rPr>
                <w:rFonts w:ascii="宋体" w:hAnsi="宋体" w:eastAsia="宋体"/>
                <w:sz w:val="14"/>
              </w:rPr>
              <w:t>按照完成比例赋分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8EDCC8F">
            <w:pPr>
              <w:spacing w:before="0" w:after="0" w:line="240" w:lineRule="auto"/>
              <w:jc w:val="center"/>
            </w:pPr>
            <w:r>
              <w:rPr>
                <w:rFonts w:ascii="宋体" w:hAnsi="宋体" w:eastAsia="宋体"/>
                <w:sz w:val="14"/>
              </w:rPr>
              <w:t>工作资料</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26420687">
            <w:pPr>
              <w:spacing w:before="0" w:after="0" w:line="240" w:lineRule="auto"/>
              <w:jc w:val="center"/>
            </w:pPr>
          </w:p>
        </w:tc>
      </w:tr>
      <w:tr w14:paraId="351FCBA9">
        <w:tblPrEx>
          <w:tblCellMar>
            <w:top w:w="36" w:type="dxa"/>
            <w:left w:w="36" w:type="dxa"/>
            <w:bottom w:w="36" w:type="dxa"/>
            <w:right w:w="36" w:type="dxa"/>
          </w:tblCellMar>
        </w:tblPrEx>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7CC4C21F"/>
        </w:tc>
        <w:tc>
          <w:tcPr>
            <w:tcW w:w="586" w:type="dxa"/>
            <w:vMerge w:val="continue"/>
            <w:tcBorders>
              <w:top w:val="single" w:color="auto" w:sz="10" w:space="0"/>
              <w:left w:val="single" w:color="auto" w:sz="10" w:space="0"/>
              <w:bottom w:val="single" w:color="auto" w:sz="10" w:space="0"/>
              <w:right w:val="single" w:color="auto" w:sz="10" w:space="0"/>
              <w:insideV w:val="single" w:sz="10" w:space="0"/>
            </w:tcBorders>
          </w:tcPr>
          <w:p w14:paraId="16D607ED"/>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6FC1063E">
            <w:pPr>
              <w:spacing w:before="0" w:after="0" w:line="240" w:lineRule="auto"/>
              <w:jc w:val="center"/>
            </w:pPr>
            <w:r>
              <w:rPr>
                <w:rFonts w:ascii="宋体" w:hAnsi="宋体" w:eastAsia="宋体"/>
                <w:sz w:val="14"/>
              </w:rPr>
              <w:t>数量指标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48C3FA2">
            <w:pPr>
              <w:spacing w:before="0" w:after="0" w:line="240" w:lineRule="auto"/>
              <w:jc w:val="center"/>
            </w:pPr>
            <w:r>
              <w:rPr>
                <w:rFonts w:ascii="宋体" w:hAnsi="宋体" w:eastAsia="宋体"/>
                <w:sz w:val="14"/>
              </w:rPr>
              <w:t>测站设备更新购置数量</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15167632">
            <w:pPr>
              <w:spacing w:before="0" w:after="0" w:line="240" w:lineRule="auto"/>
              <w:jc w:val="center"/>
            </w:pPr>
            <w:r>
              <w:rPr>
                <w:rFonts w:ascii="宋体" w:hAnsi="宋体" w:eastAsia="宋体"/>
                <w:sz w:val="14"/>
              </w:rPr>
              <w:t>10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3B29299E">
            <w:pPr>
              <w:spacing w:before="0" w:after="0" w:line="240" w:lineRule="auto"/>
              <w:jc w:val="center"/>
            </w:pPr>
            <w:r>
              <w:rPr>
                <w:rFonts w:ascii="宋体" w:hAnsi="宋体" w:eastAsia="宋体"/>
                <w:sz w:val="14"/>
              </w:rPr>
              <w:t>&gt;=1个</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50BB082">
            <w:pPr>
              <w:spacing w:before="0" w:after="0" w:line="240" w:lineRule="auto"/>
              <w:jc w:val="center"/>
            </w:pPr>
            <w:r>
              <w:rPr>
                <w:rFonts w:ascii="宋体" w:hAnsi="宋体" w:eastAsia="宋体"/>
                <w:sz w:val="14"/>
              </w:rPr>
              <w:t>=1个</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3FC6747">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2E17166D">
            <w:pPr>
              <w:spacing w:before="0" w:after="0" w:line="240" w:lineRule="auto"/>
              <w:jc w:val="center"/>
            </w:pPr>
            <w:r>
              <w:rPr>
                <w:rFonts w:ascii="宋体" w:hAnsi="宋体" w:eastAsia="宋体"/>
                <w:sz w:val="14"/>
              </w:rPr>
              <w:t>10</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2E096876">
            <w:pPr>
              <w:spacing w:before="0" w:after="0" w:line="240" w:lineRule="auto"/>
              <w:jc w:val="center"/>
            </w:pPr>
            <w:r>
              <w:rPr>
                <w:rFonts w:ascii="宋体" w:hAnsi="宋体" w:eastAsia="宋体"/>
                <w:sz w:val="14"/>
              </w:rPr>
              <w:t>计划标准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E864247">
            <w:pPr>
              <w:spacing w:before="0" w:after="0" w:line="240" w:lineRule="auto"/>
              <w:jc w:val="center"/>
            </w:pPr>
            <w:r>
              <w:rPr>
                <w:rFonts w:ascii="宋体" w:hAnsi="宋体" w:eastAsia="宋体"/>
                <w:sz w:val="14"/>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D390C5F">
            <w:pPr>
              <w:spacing w:before="0" w:after="0" w:line="240" w:lineRule="auto"/>
              <w:jc w:val="center"/>
            </w:pPr>
            <w:r>
              <w:rPr>
                <w:rFonts w:ascii="宋体" w:hAnsi="宋体" w:eastAsia="宋体"/>
                <w:sz w:val="14"/>
              </w:rPr>
              <w:t>按照完成比例赋分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53F1C25">
            <w:pPr>
              <w:spacing w:before="0" w:after="0" w:line="240" w:lineRule="auto"/>
              <w:jc w:val="center"/>
            </w:pPr>
            <w:r>
              <w:rPr>
                <w:rFonts w:ascii="宋体" w:hAnsi="宋体" w:eastAsia="宋体"/>
                <w:sz w:val="14"/>
              </w:rPr>
              <w:t>工作资料</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054D1A30">
            <w:pPr>
              <w:spacing w:before="0" w:after="0" w:line="240" w:lineRule="auto"/>
              <w:jc w:val="both"/>
            </w:pPr>
            <w:r>
              <w:rPr>
                <w:rFonts w:ascii="宋体" w:hAnsi="宋体" w:eastAsia="宋体"/>
                <w:sz w:val="14"/>
              </w:rPr>
              <w:t>偏差原因：部分老旧测站设备突发故障需更新替换，同时新增扫描仪、高拍仪用于资料扫描，以满足水文资料电子化归档需求。改进措施：下一步将加强设备需求的准确摸排，科学编制年度计划，充分考虑应急和新增需求，提高预算精准度；同时严格按计划执行，确保项目管理规范有序。</w:t>
            </w:r>
          </w:p>
        </w:tc>
      </w:tr>
      <w:tr w14:paraId="7C708DFF">
        <w:tblPrEx>
          <w:tblCellMar>
            <w:top w:w="36" w:type="dxa"/>
            <w:left w:w="36" w:type="dxa"/>
            <w:bottom w:w="36" w:type="dxa"/>
            <w:right w:w="36" w:type="dxa"/>
          </w:tblCellMar>
        </w:tblPrEx>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0CAFD951"/>
        </w:tc>
        <w:tc>
          <w:tcPr>
            <w:tcW w:w="586" w:type="dxa"/>
            <w:vMerge w:val="continue"/>
            <w:tcBorders>
              <w:top w:val="single" w:color="auto" w:sz="10" w:space="0"/>
              <w:left w:val="single" w:color="auto" w:sz="10" w:space="0"/>
              <w:bottom w:val="single" w:color="auto" w:sz="10" w:space="0"/>
              <w:right w:val="single" w:color="auto" w:sz="10" w:space="0"/>
              <w:insideV w:val="single" w:sz="10" w:space="0"/>
            </w:tcBorders>
          </w:tcPr>
          <w:p w14:paraId="56781B5E"/>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1C3253F0">
            <w:pPr>
              <w:spacing w:before="0" w:after="0" w:line="240" w:lineRule="auto"/>
              <w:jc w:val="center"/>
            </w:pPr>
            <w:r>
              <w:rPr>
                <w:rFonts w:ascii="宋体" w:hAnsi="宋体" w:eastAsia="宋体"/>
                <w:sz w:val="14"/>
              </w:rPr>
              <w:t>数量指标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9673295">
            <w:pPr>
              <w:spacing w:before="0" w:after="0" w:line="240" w:lineRule="auto"/>
              <w:jc w:val="center"/>
            </w:pPr>
            <w:r>
              <w:rPr>
                <w:rFonts w:ascii="宋体" w:hAnsi="宋体" w:eastAsia="宋体"/>
                <w:sz w:val="14"/>
              </w:rPr>
              <w:t>测站维修改造工程数量</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182D0594">
            <w:pPr>
              <w:spacing w:before="0" w:after="0" w:line="240" w:lineRule="auto"/>
              <w:jc w:val="center"/>
            </w:pPr>
            <w:r>
              <w:rPr>
                <w:rFonts w:ascii="宋体" w:hAnsi="宋体" w:eastAsia="宋体"/>
                <w:sz w:val="14"/>
              </w:rPr>
              <w:t>10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17B69499">
            <w:pPr>
              <w:spacing w:before="0" w:after="0" w:line="240" w:lineRule="auto"/>
              <w:jc w:val="center"/>
            </w:pPr>
            <w:r>
              <w:rPr>
                <w:rFonts w:ascii="宋体" w:hAnsi="宋体" w:eastAsia="宋体"/>
                <w:sz w:val="14"/>
              </w:rPr>
              <w:t>&gt;=2个</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FE1A7D9">
            <w:pPr>
              <w:spacing w:before="0" w:after="0" w:line="240" w:lineRule="auto"/>
              <w:jc w:val="center"/>
            </w:pPr>
            <w:r>
              <w:rPr>
                <w:rFonts w:ascii="宋体" w:hAnsi="宋体" w:eastAsia="宋体"/>
                <w:sz w:val="14"/>
              </w:rPr>
              <w:t>2次</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01ED3D5">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11F61FC2">
            <w:pPr>
              <w:spacing w:before="0" w:after="0" w:line="240" w:lineRule="auto"/>
              <w:jc w:val="center"/>
            </w:pPr>
            <w:r>
              <w:rPr>
                <w:rFonts w:ascii="宋体" w:hAnsi="宋体" w:eastAsia="宋体"/>
                <w:sz w:val="14"/>
              </w:rPr>
              <w:t>10</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529C3249">
            <w:pPr>
              <w:spacing w:before="0" w:after="0" w:line="240" w:lineRule="auto"/>
              <w:jc w:val="center"/>
            </w:pPr>
            <w:r>
              <w:rPr>
                <w:rFonts w:ascii="宋体" w:hAnsi="宋体" w:eastAsia="宋体"/>
                <w:sz w:val="14"/>
              </w:rPr>
              <w:t>计划标准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759AAF3">
            <w:pPr>
              <w:spacing w:before="0" w:after="0" w:line="240" w:lineRule="auto"/>
              <w:jc w:val="center"/>
            </w:pPr>
            <w:r>
              <w:rPr>
                <w:rFonts w:ascii="宋体" w:hAnsi="宋体" w:eastAsia="宋体"/>
                <w:sz w:val="14"/>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3FF7164">
            <w:pPr>
              <w:spacing w:before="0" w:after="0" w:line="240" w:lineRule="auto"/>
              <w:jc w:val="center"/>
            </w:pPr>
            <w:r>
              <w:rPr>
                <w:rFonts w:ascii="宋体" w:hAnsi="宋体" w:eastAsia="宋体"/>
                <w:sz w:val="14"/>
              </w:rPr>
              <w:t>按照完成比例赋分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A35894A">
            <w:pPr>
              <w:spacing w:before="0" w:after="0" w:line="240" w:lineRule="auto"/>
              <w:jc w:val="center"/>
            </w:pPr>
            <w:r>
              <w:rPr>
                <w:rFonts w:ascii="宋体" w:hAnsi="宋体" w:eastAsia="宋体"/>
                <w:sz w:val="14"/>
              </w:rPr>
              <w:t>工作资料</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52129DDA">
            <w:pPr>
              <w:spacing w:before="0" w:after="0" w:line="240" w:lineRule="auto"/>
              <w:jc w:val="center"/>
            </w:pPr>
          </w:p>
        </w:tc>
      </w:tr>
      <w:tr w14:paraId="077D7845">
        <w:tblPrEx>
          <w:tblCellMar>
            <w:top w:w="36" w:type="dxa"/>
            <w:left w:w="36" w:type="dxa"/>
            <w:bottom w:w="36" w:type="dxa"/>
            <w:right w:w="36" w:type="dxa"/>
          </w:tblCellMar>
        </w:tblPrEx>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4FFE3189"/>
        </w:tc>
        <w:tc>
          <w:tcPr>
            <w:tcW w:w="586" w:type="dxa"/>
            <w:vMerge w:val="continue"/>
            <w:tcBorders>
              <w:top w:val="single" w:color="auto" w:sz="10" w:space="0"/>
              <w:left w:val="single" w:color="auto" w:sz="10" w:space="0"/>
              <w:bottom w:val="single" w:color="auto" w:sz="10" w:space="0"/>
              <w:right w:val="single" w:color="auto" w:sz="10" w:space="0"/>
              <w:insideV w:val="single" w:sz="10" w:space="0"/>
            </w:tcBorders>
          </w:tcPr>
          <w:p w14:paraId="0C0CA540"/>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75E75E1A">
            <w:pPr>
              <w:spacing w:before="0" w:after="0" w:line="240" w:lineRule="auto"/>
              <w:jc w:val="center"/>
            </w:pPr>
            <w:r>
              <w:rPr>
                <w:rFonts w:ascii="宋体" w:hAnsi="宋体" w:eastAsia="宋体"/>
                <w:sz w:val="14"/>
              </w:rPr>
              <w:t>质量指标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698C2E24">
            <w:pPr>
              <w:spacing w:before="0" w:after="0" w:line="240" w:lineRule="auto"/>
              <w:jc w:val="center"/>
            </w:pPr>
            <w:r>
              <w:rPr>
                <w:rFonts w:ascii="宋体" w:hAnsi="宋体" w:eastAsia="宋体"/>
                <w:sz w:val="14"/>
              </w:rPr>
              <w:t>委托业务服务合格率</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10D10606">
            <w:pPr>
              <w:spacing w:before="0" w:after="0" w:line="240" w:lineRule="auto"/>
              <w:jc w:val="center"/>
            </w:pPr>
            <w:r>
              <w:rPr>
                <w:rFonts w:ascii="宋体" w:hAnsi="宋体" w:eastAsia="宋体"/>
                <w:sz w:val="14"/>
              </w:rPr>
              <w:t>8</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12E16899">
            <w:pPr>
              <w:spacing w:before="0" w:after="0" w:line="240" w:lineRule="auto"/>
              <w:jc w:val="center"/>
            </w:pPr>
            <w:r>
              <w:rPr>
                <w:rFonts w:ascii="宋体" w:hAnsi="宋体" w:eastAsia="宋体"/>
                <w:sz w:val="14"/>
              </w:rPr>
              <w:t>&gt;=90%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8032768">
            <w:pPr>
              <w:spacing w:before="0" w:after="0" w:line="240" w:lineRule="auto"/>
              <w:jc w:val="center"/>
            </w:pPr>
            <w:r>
              <w:rPr>
                <w:rFonts w:ascii="宋体" w:hAnsi="宋体" w:eastAsia="宋体"/>
                <w:sz w:val="14"/>
              </w:rPr>
              <w:t>=90%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B6B04F4">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059CD154">
            <w:pPr>
              <w:spacing w:before="0" w:after="0" w:line="240" w:lineRule="auto"/>
              <w:jc w:val="center"/>
            </w:pPr>
            <w:r>
              <w:rPr>
                <w:rFonts w:ascii="宋体" w:hAnsi="宋体" w:eastAsia="宋体"/>
                <w:sz w:val="14"/>
              </w:rPr>
              <w:t>8</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319580E3">
            <w:pPr>
              <w:spacing w:before="0" w:after="0" w:line="240" w:lineRule="auto"/>
              <w:jc w:val="center"/>
            </w:pPr>
            <w:r>
              <w:rPr>
                <w:rFonts w:ascii="宋体" w:hAnsi="宋体" w:eastAsia="宋体"/>
                <w:sz w:val="14"/>
              </w:rPr>
              <w:t>历史标准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A0ED472">
            <w:pPr>
              <w:spacing w:before="0" w:after="0" w:line="240" w:lineRule="auto"/>
              <w:jc w:val="center"/>
            </w:pPr>
            <w:r>
              <w:rPr>
                <w:rFonts w:ascii="宋体" w:hAnsi="宋体" w:eastAsia="宋体"/>
                <w:sz w:val="14"/>
              </w:rPr>
              <w:t>90%</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2F20777">
            <w:pPr>
              <w:spacing w:before="0" w:after="0" w:line="240" w:lineRule="auto"/>
              <w:jc w:val="center"/>
            </w:pPr>
            <w:r>
              <w:rPr>
                <w:rFonts w:ascii="宋体" w:hAnsi="宋体" w:eastAsia="宋体"/>
                <w:sz w:val="14"/>
              </w:rPr>
              <w:t>按照完成比例赋分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AD2963D">
            <w:pPr>
              <w:spacing w:before="0" w:after="0" w:line="240" w:lineRule="auto"/>
              <w:jc w:val="center"/>
            </w:pPr>
            <w:r>
              <w:rPr>
                <w:rFonts w:ascii="宋体" w:hAnsi="宋体" w:eastAsia="宋体"/>
                <w:sz w:val="14"/>
              </w:rPr>
              <w:t>说明材料</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0233EA03">
            <w:pPr>
              <w:spacing w:before="0" w:after="0" w:line="240" w:lineRule="auto"/>
              <w:jc w:val="center"/>
            </w:pPr>
          </w:p>
        </w:tc>
      </w:tr>
      <w:tr w14:paraId="52207832">
        <w:tblPrEx>
          <w:tblCellMar>
            <w:top w:w="36" w:type="dxa"/>
            <w:left w:w="36" w:type="dxa"/>
            <w:bottom w:w="36" w:type="dxa"/>
            <w:right w:w="36" w:type="dxa"/>
          </w:tblCellMar>
        </w:tblPrEx>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0002A32F"/>
        </w:tc>
        <w:tc>
          <w:tcPr>
            <w:tcW w:w="586" w:type="dxa"/>
            <w:vMerge w:val="continue"/>
            <w:tcBorders>
              <w:top w:val="single" w:color="auto" w:sz="10" w:space="0"/>
              <w:left w:val="single" w:color="auto" w:sz="10" w:space="0"/>
              <w:bottom w:val="single" w:color="auto" w:sz="10" w:space="0"/>
              <w:right w:val="single" w:color="auto" w:sz="10" w:space="0"/>
              <w:insideV w:val="single" w:sz="10" w:space="0"/>
            </w:tcBorders>
          </w:tcPr>
          <w:p w14:paraId="435D2394"/>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707E310B">
            <w:pPr>
              <w:spacing w:before="0" w:after="0" w:line="240" w:lineRule="auto"/>
              <w:jc w:val="center"/>
            </w:pPr>
            <w:r>
              <w:rPr>
                <w:rFonts w:ascii="宋体" w:hAnsi="宋体" w:eastAsia="宋体"/>
                <w:sz w:val="14"/>
              </w:rPr>
              <w:t>质量指标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E8150A2">
            <w:pPr>
              <w:spacing w:before="0" w:after="0" w:line="240" w:lineRule="auto"/>
              <w:jc w:val="center"/>
            </w:pPr>
            <w:r>
              <w:rPr>
                <w:rFonts w:ascii="宋体" w:hAnsi="宋体" w:eastAsia="宋体"/>
                <w:sz w:val="14"/>
              </w:rPr>
              <w:t>测站维修改造工程合格率</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42E74508">
            <w:pPr>
              <w:spacing w:before="0" w:after="0" w:line="240" w:lineRule="auto"/>
              <w:jc w:val="center"/>
            </w:pPr>
            <w:r>
              <w:rPr>
                <w:rFonts w:ascii="宋体" w:hAnsi="宋体" w:eastAsia="宋体"/>
                <w:sz w:val="14"/>
              </w:rPr>
              <w:t>8</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1F5466FA">
            <w:pPr>
              <w:spacing w:before="0" w:after="0" w:line="240" w:lineRule="auto"/>
              <w:jc w:val="center"/>
            </w:pPr>
            <w:r>
              <w:rPr>
                <w:rFonts w:ascii="宋体" w:hAnsi="宋体" w:eastAsia="宋体"/>
                <w:sz w:val="14"/>
              </w:rPr>
              <w:t>&gt;=90%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6CBDEDF">
            <w:pPr>
              <w:spacing w:before="0" w:after="0" w:line="240" w:lineRule="auto"/>
              <w:jc w:val="center"/>
            </w:pPr>
            <w:r>
              <w:rPr>
                <w:rFonts w:ascii="宋体" w:hAnsi="宋体" w:eastAsia="宋体"/>
                <w:sz w:val="14"/>
              </w:rPr>
              <w:t>=90%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B318349">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1F1D8AF4">
            <w:pPr>
              <w:spacing w:before="0" w:after="0" w:line="240" w:lineRule="auto"/>
              <w:jc w:val="center"/>
            </w:pPr>
            <w:r>
              <w:rPr>
                <w:rFonts w:ascii="宋体" w:hAnsi="宋体" w:eastAsia="宋体"/>
                <w:sz w:val="14"/>
              </w:rPr>
              <w:t>8</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13E881A7">
            <w:pPr>
              <w:spacing w:before="0" w:after="0" w:line="240" w:lineRule="auto"/>
              <w:jc w:val="center"/>
            </w:pPr>
            <w:r>
              <w:rPr>
                <w:rFonts w:ascii="宋体" w:hAnsi="宋体" w:eastAsia="宋体"/>
                <w:sz w:val="14"/>
              </w:rPr>
              <w:t>计划标准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98516DA">
            <w:pPr>
              <w:spacing w:before="0" w:after="0" w:line="240" w:lineRule="auto"/>
              <w:jc w:val="center"/>
            </w:pPr>
            <w:r>
              <w:rPr>
                <w:rFonts w:ascii="宋体" w:hAnsi="宋体" w:eastAsia="宋体"/>
                <w:sz w:val="14"/>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EB9BC6C">
            <w:pPr>
              <w:spacing w:before="0" w:after="0" w:line="240" w:lineRule="auto"/>
              <w:jc w:val="center"/>
            </w:pPr>
            <w:r>
              <w:rPr>
                <w:rFonts w:ascii="宋体" w:hAnsi="宋体" w:eastAsia="宋体"/>
                <w:sz w:val="14"/>
              </w:rPr>
              <w:t>按照完成比例赋分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04B05D0">
            <w:pPr>
              <w:spacing w:before="0" w:after="0" w:line="240" w:lineRule="auto"/>
              <w:jc w:val="center"/>
            </w:pPr>
            <w:r>
              <w:rPr>
                <w:rFonts w:ascii="宋体" w:hAnsi="宋体" w:eastAsia="宋体"/>
                <w:sz w:val="14"/>
              </w:rPr>
              <w:t>说明材料</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46234D90">
            <w:pPr>
              <w:spacing w:before="0" w:after="0" w:line="240" w:lineRule="auto"/>
              <w:jc w:val="center"/>
            </w:pPr>
          </w:p>
        </w:tc>
      </w:tr>
      <w:tr w14:paraId="468920CD">
        <w:tblPrEx>
          <w:tblCellMar>
            <w:top w:w="36" w:type="dxa"/>
            <w:left w:w="36" w:type="dxa"/>
            <w:bottom w:w="36" w:type="dxa"/>
            <w:right w:w="36" w:type="dxa"/>
          </w:tblCellMar>
        </w:tblPrEx>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6AB95C49"/>
        </w:tc>
        <w:tc>
          <w:tcPr>
            <w:tcW w:w="586" w:type="dxa"/>
            <w:vMerge w:val="continue"/>
            <w:tcBorders>
              <w:top w:val="single" w:color="auto" w:sz="10" w:space="0"/>
              <w:left w:val="single" w:color="auto" w:sz="10" w:space="0"/>
              <w:bottom w:val="single" w:color="auto" w:sz="10" w:space="0"/>
              <w:right w:val="single" w:color="auto" w:sz="10" w:space="0"/>
              <w:insideV w:val="single" w:sz="10" w:space="0"/>
            </w:tcBorders>
          </w:tcPr>
          <w:p w14:paraId="30BE0AB7"/>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5A0F62FD">
            <w:pPr>
              <w:spacing w:before="0" w:after="0" w:line="240" w:lineRule="auto"/>
              <w:jc w:val="center"/>
            </w:pPr>
            <w:r>
              <w:rPr>
                <w:rFonts w:ascii="宋体" w:hAnsi="宋体" w:eastAsia="宋体"/>
                <w:sz w:val="14"/>
              </w:rPr>
              <w:t>质量指标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277BE61">
            <w:pPr>
              <w:spacing w:before="0" w:after="0" w:line="240" w:lineRule="auto"/>
              <w:jc w:val="center"/>
            </w:pPr>
            <w:r>
              <w:rPr>
                <w:rFonts w:ascii="宋体" w:hAnsi="宋体" w:eastAsia="宋体"/>
                <w:sz w:val="14"/>
              </w:rPr>
              <w:t>业务培训合格率</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5BC6EEA5">
            <w:pPr>
              <w:spacing w:before="0" w:after="0" w:line="240" w:lineRule="auto"/>
              <w:jc w:val="center"/>
            </w:pPr>
            <w:r>
              <w:rPr>
                <w:rFonts w:ascii="宋体" w:hAnsi="宋体" w:eastAsia="宋体"/>
                <w:sz w:val="14"/>
              </w:rPr>
              <w:t>8</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3D0C99A3">
            <w:pPr>
              <w:spacing w:before="0" w:after="0" w:line="240" w:lineRule="auto"/>
              <w:jc w:val="center"/>
            </w:pPr>
            <w:r>
              <w:rPr>
                <w:rFonts w:ascii="宋体" w:hAnsi="宋体" w:eastAsia="宋体"/>
                <w:sz w:val="14"/>
              </w:rPr>
              <w:t>&gt;=90%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820AA2D">
            <w:pPr>
              <w:spacing w:before="0" w:after="0" w:line="240" w:lineRule="auto"/>
              <w:jc w:val="center"/>
            </w:pPr>
            <w:r>
              <w:rPr>
                <w:rFonts w:ascii="宋体" w:hAnsi="宋体" w:eastAsia="宋体"/>
                <w:sz w:val="14"/>
              </w:rPr>
              <w:t>=90%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678664F0">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674056CA">
            <w:pPr>
              <w:spacing w:before="0" w:after="0" w:line="240" w:lineRule="auto"/>
              <w:jc w:val="center"/>
            </w:pPr>
            <w:r>
              <w:rPr>
                <w:rFonts w:ascii="宋体" w:hAnsi="宋体" w:eastAsia="宋体"/>
                <w:sz w:val="14"/>
              </w:rPr>
              <w:t>8</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226FC411">
            <w:pPr>
              <w:spacing w:before="0" w:after="0" w:line="240" w:lineRule="auto"/>
              <w:jc w:val="center"/>
            </w:pPr>
            <w:r>
              <w:rPr>
                <w:rFonts w:ascii="宋体" w:hAnsi="宋体" w:eastAsia="宋体"/>
                <w:sz w:val="14"/>
              </w:rPr>
              <w:t>计划标准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71CC3A9">
            <w:pPr>
              <w:spacing w:before="0" w:after="0" w:line="240" w:lineRule="auto"/>
              <w:jc w:val="center"/>
            </w:pPr>
            <w:r>
              <w:rPr>
                <w:rFonts w:ascii="宋体" w:hAnsi="宋体" w:eastAsia="宋体"/>
                <w:sz w:val="14"/>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1A690EF">
            <w:pPr>
              <w:spacing w:before="0" w:after="0" w:line="240" w:lineRule="auto"/>
              <w:jc w:val="center"/>
            </w:pPr>
            <w:r>
              <w:rPr>
                <w:rFonts w:ascii="宋体" w:hAnsi="宋体" w:eastAsia="宋体"/>
                <w:sz w:val="14"/>
              </w:rPr>
              <w:t>按照完成比例赋分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72C1E81">
            <w:pPr>
              <w:spacing w:before="0" w:after="0" w:line="240" w:lineRule="auto"/>
              <w:jc w:val="center"/>
            </w:pPr>
            <w:r>
              <w:rPr>
                <w:rFonts w:ascii="宋体" w:hAnsi="宋体" w:eastAsia="宋体"/>
                <w:sz w:val="14"/>
              </w:rPr>
              <w:t>说明材料</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647DB836">
            <w:pPr>
              <w:spacing w:before="0" w:after="0" w:line="240" w:lineRule="auto"/>
              <w:jc w:val="center"/>
            </w:pPr>
          </w:p>
        </w:tc>
      </w:tr>
      <w:tr w14:paraId="67BC2E76">
        <w:tblPrEx>
          <w:tblCellMar>
            <w:top w:w="36" w:type="dxa"/>
            <w:left w:w="36" w:type="dxa"/>
            <w:bottom w:w="36" w:type="dxa"/>
            <w:right w:w="36" w:type="dxa"/>
          </w:tblCellMar>
        </w:tblPrEx>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063AAB10"/>
        </w:tc>
        <w:tc>
          <w:tcPr>
            <w:tcW w:w="586" w:type="dxa"/>
            <w:vMerge w:val="continue"/>
            <w:tcBorders>
              <w:top w:val="single" w:color="auto" w:sz="10" w:space="0"/>
              <w:left w:val="single" w:color="auto" w:sz="10" w:space="0"/>
              <w:bottom w:val="single" w:color="auto" w:sz="10" w:space="0"/>
              <w:right w:val="single" w:color="auto" w:sz="10" w:space="0"/>
              <w:insideV w:val="single" w:sz="10" w:space="0"/>
            </w:tcBorders>
          </w:tcPr>
          <w:p w14:paraId="479AF135"/>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60E47EC1">
            <w:pPr>
              <w:spacing w:before="0" w:after="0" w:line="240" w:lineRule="auto"/>
              <w:jc w:val="center"/>
            </w:pPr>
            <w:r>
              <w:rPr>
                <w:rFonts w:ascii="宋体" w:hAnsi="宋体" w:eastAsia="宋体"/>
                <w:sz w:val="14"/>
              </w:rPr>
              <w:t>时效指标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8911D87">
            <w:pPr>
              <w:spacing w:before="0" w:after="0" w:line="240" w:lineRule="auto"/>
              <w:jc w:val="center"/>
            </w:pPr>
            <w:r>
              <w:rPr>
                <w:rFonts w:ascii="宋体" w:hAnsi="宋体" w:eastAsia="宋体"/>
                <w:sz w:val="14"/>
              </w:rPr>
              <w:t>委托业务服务完成及时率</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18166B39">
            <w:pPr>
              <w:spacing w:before="0" w:after="0" w:line="240" w:lineRule="auto"/>
              <w:jc w:val="center"/>
            </w:pPr>
            <w:r>
              <w:rPr>
                <w:rFonts w:ascii="宋体" w:hAnsi="宋体" w:eastAsia="宋体"/>
                <w:sz w:val="14"/>
              </w:rPr>
              <w:t>8</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57D52FEE">
            <w:pPr>
              <w:spacing w:before="0" w:after="0" w:line="240" w:lineRule="auto"/>
              <w:jc w:val="center"/>
            </w:pPr>
            <w:r>
              <w:rPr>
                <w:rFonts w:ascii="宋体" w:hAnsi="宋体" w:eastAsia="宋体"/>
                <w:sz w:val="14"/>
              </w:rPr>
              <w:t>&gt;=90%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ACF50BD">
            <w:pPr>
              <w:spacing w:before="0" w:after="0" w:line="240" w:lineRule="auto"/>
              <w:jc w:val="center"/>
            </w:pPr>
            <w:r>
              <w:rPr>
                <w:rFonts w:ascii="宋体" w:hAnsi="宋体" w:eastAsia="宋体"/>
                <w:sz w:val="14"/>
              </w:rPr>
              <w:t>=90%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5667C8E">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1D4DD2F3">
            <w:pPr>
              <w:spacing w:before="0" w:after="0" w:line="240" w:lineRule="auto"/>
              <w:jc w:val="center"/>
            </w:pPr>
            <w:r>
              <w:rPr>
                <w:rFonts w:ascii="宋体" w:hAnsi="宋体" w:eastAsia="宋体"/>
                <w:sz w:val="14"/>
              </w:rPr>
              <w:t>8</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4B5B6DB3">
            <w:pPr>
              <w:spacing w:before="0" w:after="0" w:line="240" w:lineRule="auto"/>
              <w:jc w:val="center"/>
            </w:pPr>
            <w:r>
              <w:rPr>
                <w:rFonts w:ascii="宋体" w:hAnsi="宋体" w:eastAsia="宋体"/>
                <w:sz w:val="14"/>
              </w:rPr>
              <w:t>计划标准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6B73134">
            <w:pPr>
              <w:spacing w:before="0" w:after="0" w:line="240" w:lineRule="auto"/>
              <w:jc w:val="center"/>
            </w:pPr>
            <w:r>
              <w:rPr>
                <w:rFonts w:ascii="宋体" w:hAnsi="宋体" w:eastAsia="宋体"/>
                <w:sz w:val="14"/>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2B41072">
            <w:pPr>
              <w:spacing w:before="0" w:after="0" w:line="240" w:lineRule="auto"/>
              <w:jc w:val="center"/>
            </w:pPr>
            <w:r>
              <w:rPr>
                <w:rFonts w:ascii="宋体" w:hAnsi="宋体" w:eastAsia="宋体"/>
                <w:sz w:val="14"/>
              </w:rPr>
              <w:t>按照完成比例赋分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75060CD">
            <w:pPr>
              <w:spacing w:before="0" w:after="0" w:line="240" w:lineRule="auto"/>
              <w:jc w:val="center"/>
            </w:pPr>
            <w:r>
              <w:rPr>
                <w:rFonts w:ascii="宋体" w:hAnsi="宋体" w:eastAsia="宋体"/>
                <w:sz w:val="14"/>
              </w:rPr>
              <w:t>说明材料</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2C091C16">
            <w:pPr>
              <w:spacing w:before="0" w:after="0" w:line="240" w:lineRule="auto"/>
              <w:jc w:val="center"/>
            </w:pPr>
          </w:p>
        </w:tc>
      </w:tr>
      <w:tr w14:paraId="6615E13B">
        <w:tblPrEx>
          <w:tblCellMar>
            <w:top w:w="36" w:type="dxa"/>
            <w:left w:w="36" w:type="dxa"/>
            <w:bottom w:w="36" w:type="dxa"/>
            <w:right w:w="36" w:type="dxa"/>
          </w:tblCellMar>
        </w:tblPrEx>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6FBD1E0C"/>
        </w:tc>
        <w:tc>
          <w:tcPr>
            <w:tcW w:w="586" w:type="dxa"/>
            <w:vMerge w:val="continue"/>
            <w:tcBorders>
              <w:top w:val="single" w:color="auto" w:sz="10" w:space="0"/>
              <w:left w:val="single" w:color="auto" w:sz="10" w:space="0"/>
              <w:bottom w:val="single" w:color="auto" w:sz="10" w:space="0"/>
              <w:right w:val="single" w:color="auto" w:sz="10" w:space="0"/>
              <w:insideV w:val="single" w:sz="10" w:space="0"/>
            </w:tcBorders>
          </w:tcPr>
          <w:p w14:paraId="72F6DC32"/>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7E4B93E9">
            <w:pPr>
              <w:spacing w:before="0" w:after="0" w:line="240" w:lineRule="auto"/>
              <w:jc w:val="center"/>
            </w:pPr>
            <w:r>
              <w:rPr>
                <w:rFonts w:ascii="宋体" w:hAnsi="宋体" w:eastAsia="宋体"/>
                <w:sz w:val="14"/>
              </w:rPr>
              <w:t>时效指标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624F338">
            <w:pPr>
              <w:spacing w:before="0" w:after="0" w:line="240" w:lineRule="auto"/>
              <w:jc w:val="center"/>
            </w:pPr>
            <w:r>
              <w:rPr>
                <w:rFonts w:ascii="宋体" w:hAnsi="宋体" w:eastAsia="宋体"/>
                <w:sz w:val="14"/>
              </w:rPr>
              <w:t>测站维修改造工程完成及时率</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71071A95">
            <w:pPr>
              <w:spacing w:before="0" w:after="0" w:line="240" w:lineRule="auto"/>
              <w:jc w:val="center"/>
            </w:pPr>
            <w:r>
              <w:rPr>
                <w:rFonts w:ascii="宋体" w:hAnsi="宋体" w:eastAsia="宋体"/>
                <w:sz w:val="14"/>
              </w:rPr>
              <w:t>8</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172E47E1">
            <w:pPr>
              <w:spacing w:before="0" w:after="0" w:line="240" w:lineRule="auto"/>
              <w:jc w:val="center"/>
            </w:pPr>
            <w:r>
              <w:rPr>
                <w:rFonts w:ascii="宋体" w:hAnsi="宋体" w:eastAsia="宋体"/>
                <w:sz w:val="14"/>
              </w:rPr>
              <w:t>&gt;=90%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ABBE854">
            <w:pPr>
              <w:spacing w:before="0" w:after="0" w:line="240" w:lineRule="auto"/>
              <w:jc w:val="center"/>
            </w:pPr>
            <w:r>
              <w:rPr>
                <w:rFonts w:ascii="宋体" w:hAnsi="宋体" w:eastAsia="宋体"/>
                <w:sz w:val="14"/>
              </w:rPr>
              <w:t>=90%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ACDFCFD">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30B0C603">
            <w:pPr>
              <w:spacing w:before="0" w:after="0" w:line="240" w:lineRule="auto"/>
              <w:jc w:val="center"/>
            </w:pPr>
            <w:r>
              <w:rPr>
                <w:rFonts w:ascii="宋体" w:hAnsi="宋体" w:eastAsia="宋体"/>
                <w:sz w:val="14"/>
              </w:rPr>
              <w:t>8</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329DE38B">
            <w:pPr>
              <w:spacing w:before="0" w:after="0" w:line="240" w:lineRule="auto"/>
              <w:jc w:val="center"/>
            </w:pPr>
            <w:r>
              <w:rPr>
                <w:rFonts w:ascii="宋体" w:hAnsi="宋体" w:eastAsia="宋体"/>
                <w:sz w:val="14"/>
              </w:rPr>
              <w:t>计划标准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4818E7C">
            <w:pPr>
              <w:spacing w:before="0" w:after="0" w:line="240" w:lineRule="auto"/>
              <w:jc w:val="center"/>
            </w:pPr>
            <w:r>
              <w:rPr>
                <w:rFonts w:ascii="宋体" w:hAnsi="宋体" w:eastAsia="宋体"/>
                <w:sz w:val="14"/>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D2AF77A">
            <w:pPr>
              <w:spacing w:before="0" w:after="0" w:line="240" w:lineRule="auto"/>
              <w:jc w:val="center"/>
            </w:pPr>
            <w:r>
              <w:rPr>
                <w:rFonts w:ascii="宋体" w:hAnsi="宋体" w:eastAsia="宋体"/>
                <w:sz w:val="14"/>
              </w:rPr>
              <w:t>按照完成比例赋分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F05C16B">
            <w:pPr>
              <w:spacing w:before="0" w:after="0" w:line="240" w:lineRule="auto"/>
              <w:jc w:val="center"/>
            </w:pPr>
            <w:r>
              <w:rPr>
                <w:rFonts w:ascii="宋体" w:hAnsi="宋体" w:eastAsia="宋体"/>
                <w:sz w:val="14"/>
              </w:rPr>
              <w:t>说明材料</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366870D7">
            <w:pPr>
              <w:spacing w:before="0" w:after="0" w:line="240" w:lineRule="auto"/>
              <w:jc w:val="center"/>
            </w:pPr>
          </w:p>
        </w:tc>
      </w:tr>
      <w:tr w14:paraId="5C2723EF">
        <w:tblPrEx>
          <w:tblCellMar>
            <w:top w:w="36" w:type="dxa"/>
            <w:left w:w="36" w:type="dxa"/>
            <w:bottom w:w="36" w:type="dxa"/>
            <w:right w:w="36" w:type="dxa"/>
          </w:tblCellMar>
        </w:tblPrEx>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4069F088"/>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228E472D">
            <w:pPr>
              <w:spacing w:before="0" w:after="0" w:line="240" w:lineRule="auto"/>
              <w:jc w:val="center"/>
            </w:pPr>
            <w:r>
              <w:rPr>
                <w:rFonts w:ascii="宋体" w:hAnsi="宋体" w:eastAsia="宋体"/>
                <w:sz w:val="14"/>
              </w:rPr>
              <w:t>效益指标</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5DDE8833">
            <w:pPr>
              <w:spacing w:before="0" w:after="0" w:line="240" w:lineRule="auto"/>
              <w:jc w:val="center"/>
            </w:pPr>
            <w:r>
              <w:rPr>
                <w:rFonts w:ascii="宋体" w:hAnsi="宋体" w:eastAsia="宋体"/>
                <w:sz w:val="14"/>
              </w:rPr>
              <w:t>社会效益指标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35DED99">
            <w:pPr>
              <w:spacing w:before="0" w:after="0" w:line="240" w:lineRule="auto"/>
              <w:jc w:val="center"/>
            </w:pPr>
            <w:r>
              <w:rPr>
                <w:rFonts w:ascii="宋体" w:hAnsi="宋体" w:eastAsia="宋体"/>
                <w:sz w:val="14"/>
              </w:rPr>
              <w:t>为政府决策、经济社会发展提供水文技术支撑</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071CD0D6">
            <w:pPr>
              <w:spacing w:before="0" w:after="0" w:line="240" w:lineRule="auto"/>
              <w:jc w:val="center"/>
            </w:pPr>
            <w:r>
              <w:rPr>
                <w:rFonts w:ascii="宋体" w:hAnsi="宋体" w:eastAsia="宋体"/>
                <w:sz w:val="14"/>
              </w:rPr>
              <w:t>10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6F154722">
            <w:pPr>
              <w:spacing w:before="0" w:after="0" w:line="240" w:lineRule="auto"/>
              <w:jc w:val="center"/>
            </w:pPr>
            <w:r>
              <w:rPr>
                <w:rFonts w:ascii="宋体" w:hAnsi="宋体" w:eastAsia="宋体"/>
                <w:sz w:val="14"/>
              </w:rPr>
              <w:t>有效保障</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EBAFE9E">
            <w:pPr>
              <w:spacing w:before="0" w:after="0" w:line="240" w:lineRule="auto"/>
              <w:jc w:val="center"/>
            </w:pPr>
            <w:r>
              <w:rPr>
                <w:rFonts w:ascii="宋体" w:hAnsi="宋体" w:eastAsia="宋体"/>
                <w:sz w:val="14"/>
              </w:rPr>
              <w:t>有效保障</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9DBA488">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1C9E3143">
            <w:pPr>
              <w:spacing w:before="0" w:after="0" w:line="240" w:lineRule="auto"/>
              <w:jc w:val="center"/>
            </w:pPr>
            <w:r>
              <w:rPr>
                <w:rFonts w:ascii="宋体" w:hAnsi="宋体" w:eastAsia="宋体"/>
                <w:sz w:val="14"/>
              </w:rPr>
              <w:t>10</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2C980CDD">
            <w:pPr>
              <w:spacing w:before="0" w:after="0" w:line="240" w:lineRule="auto"/>
              <w:jc w:val="center"/>
            </w:pPr>
            <w:r>
              <w:rPr>
                <w:rFonts w:ascii="宋体" w:hAnsi="宋体" w:eastAsia="宋体"/>
                <w:sz w:val="14"/>
              </w:rPr>
              <w:t>计划标准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3756F2B">
            <w:pPr>
              <w:spacing w:before="0" w:after="0" w:line="240" w:lineRule="auto"/>
              <w:jc w:val="center"/>
            </w:pPr>
            <w:r>
              <w:rPr>
                <w:rFonts w:ascii="宋体" w:hAnsi="宋体" w:eastAsia="宋体"/>
                <w:sz w:val="14"/>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57E135C">
            <w:pPr>
              <w:spacing w:before="0" w:after="0" w:line="240" w:lineRule="auto"/>
              <w:jc w:val="center"/>
            </w:pPr>
            <w:r>
              <w:rPr>
                <w:rFonts w:ascii="宋体" w:hAnsi="宋体" w:eastAsia="宋体"/>
                <w:sz w:val="14"/>
              </w:rPr>
              <w:t>按评判等级赋分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A2DE893">
            <w:pPr>
              <w:spacing w:before="0" w:after="0" w:line="240" w:lineRule="auto"/>
              <w:jc w:val="center"/>
            </w:pPr>
            <w:r>
              <w:rPr>
                <w:rFonts w:ascii="宋体" w:hAnsi="宋体" w:eastAsia="宋体"/>
                <w:sz w:val="14"/>
              </w:rPr>
              <w:t>说明材料</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7B23E706">
            <w:pPr>
              <w:spacing w:before="0" w:after="0" w:line="240" w:lineRule="auto"/>
              <w:jc w:val="center"/>
            </w:pPr>
          </w:p>
        </w:tc>
      </w:tr>
      <w:tr w14:paraId="05CC8AB3">
        <w:tblPrEx>
          <w:tblCellMar>
            <w:top w:w="36" w:type="dxa"/>
            <w:left w:w="36" w:type="dxa"/>
            <w:bottom w:w="36" w:type="dxa"/>
            <w:right w:w="36" w:type="dxa"/>
          </w:tblCellMar>
        </w:tblPrEx>
        <w:tc>
          <w:tcPr>
            <w:tcW w:w="2346"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89531FB">
            <w:pPr>
              <w:spacing w:before="0" w:after="0" w:line="240" w:lineRule="auto"/>
              <w:jc w:val="center"/>
            </w:pPr>
            <w:r>
              <w:rPr>
                <w:rFonts w:ascii="宋体" w:hAnsi="宋体" w:eastAsia="宋体"/>
                <w:sz w:val="14"/>
              </w:rPr>
              <w:t>总分</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36C8843A">
            <w:pPr>
              <w:spacing w:before="0" w:after="0" w:line="240" w:lineRule="auto"/>
              <w:jc w:val="center"/>
            </w:pPr>
            <w:r>
              <w:rPr>
                <w:rFonts w:ascii="宋体" w:hAnsi="宋体" w:eastAsia="宋体"/>
                <w:sz w:val="14"/>
              </w:rPr>
              <w:t>100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56ED812C">
            <w:pPr>
              <w:spacing w:before="0" w:after="0" w:line="240" w:lineRule="auto"/>
              <w:jc w:val="center"/>
            </w:pP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68683793">
            <w:pPr>
              <w:spacing w:before="0" w:after="0" w:line="240" w:lineRule="auto"/>
              <w:jc w:val="center"/>
            </w:pP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94CDC28">
            <w:pPr>
              <w:spacing w:before="0" w:after="0" w:line="240" w:lineRule="auto"/>
              <w:jc w:val="center"/>
            </w:pP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22945E37">
            <w:pPr>
              <w:spacing w:before="0" w:after="0" w:line="240" w:lineRule="auto"/>
              <w:jc w:val="center"/>
            </w:pPr>
            <w:r>
              <w:rPr>
                <w:rFonts w:ascii="宋体" w:hAnsi="宋体" w:eastAsia="宋体"/>
                <w:sz w:val="14"/>
              </w:rPr>
              <w:t>94.57</w:t>
            </w:r>
          </w:p>
        </w:tc>
        <w:tc>
          <w:tcPr>
            <w:tcW w:w="586" w:type="dxa"/>
            <w:tcBorders>
              <w:top w:val="single" w:color="auto" w:sz="10" w:space="0"/>
              <w:left w:val="single" w:color="auto" w:sz="10" w:space="0"/>
              <w:bottom w:val="single" w:color="auto" w:sz="10" w:space="0"/>
              <w:right w:val="single" w:color="auto" w:sz="10" w:space="0"/>
              <w:insideV w:val="single" w:sz="10" w:space="0"/>
            </w:tcBorders>
            <w:vAlign w:val="center"/>
          </w:tcPr>
          <w:p w14:paraId="228FCC80">
            <w:pPr>
              <w:spacing w:before="0" w:after="0" w:line="240" w:lineRule="auto"/>
              <w:jc w:val="center"/>
            </w:pP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305A7AE">
            <w:pPr>
              <w:spacing w:before="0" w:after="0" w:line="240" w:lineRule="auto"/>
              <w:jc w:val="center"/>
            </w:pP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1DB7E1F">
            <w:pPr>
              <w:spacing w:before="0" w:after="0" w:line="240" w:lineRule="auto"/>
              <w:jc w:val="center"/>
            </w:pP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5941BE5">
            <w:pPr>
              <w:spacing w:before="0" w:after="0" w:line="240" w:lineRule="auto"/>
              <w:jc w:val="center"/>
            </w:pP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3E6E5454">
            <w:pPr>
              <w:spacing w:before="0" w:after="0" w:line="240" w:lineRule="auto"/>
              <w:jc w:val="center"/>
            </w:pPr>
          </w:p>
        </w:tc>
      </w:tr>
    </w:tbl>
    <w:p w14:paraId="78C1FA11">
      <w:r>
        <w:br w:type="page"/>
      </w:r>
    </w:p>
    <w:tbl>
      <w:tblPr>
        <w:tblStyle w:val="8"/>
        <w:tblW w:w="4871" w:type="pct"/>
        <w:tblInd w:w="0" w:type="dxa"/>
        <w:tblLayout w:type="autofit"/>
        <w:tblCellMar>
          <w:top w:w="36" w:type="dxa"/>
          <w:left w:w="36" w:type="dxa"/>
          <w:bottom w:w="36" w:type="dxa"/>
          <w:right w:w="36" w:type="dxa"/>
        </w:tblCellMar>
      </w:tblPr>
      <w:tblGrid>
        <w:gridCol w:w="569"/>
        <w:gridCol w:w="569"/>
        <w:gridCol w:w="569"/>
        <w:gridCol w:w="578"/>
        <w:gridCol w:w="584"/>
        <w:gridCol w:w="590"/>
        <w:gridCol w:w="584"/>
        <w:gridCol w:w="578"/>
        <w:gridCol w:w="584"/>
        <w:gridCol w:w="569"/>
        <w:gridCol w:w="579"/>
        <w:gridCol w:w="576"/>
        <w:gridCol w:w="575"/>
        <w:gridCol w:w="588"/>
      </w:tblGrid>
      <w:tr w14:paraId="4C05D162">
        <w:tblPrEx>
          <w:tblCellMar>
            <w:top w:w="36" w:type="dxa"/>
            <w:left w:w="36" w:type="dxa"/>
            <w:bottom w:w="36" w:type="dxa"/>
            <w:right w:w="36" w:type="dxa"/>
          </w:tblCellMar>
        </w:tblPrEx>
        <w:tc>
          <w:tcPr>
            <w:tcW w:w="8092"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4EA5548">
            <w:pPr>
              <w:spacing w:before="0" w:after="0" w:line="240" w:lineRule="auto"/>
              <w:jc w:val="center"/>
            </w:pPr>
            <w:r>
              <w:rPr>
                <w:rFonts w:ascii="宋体" w:hAnsi="宋体" w:eastAsia="宋体"/>
                <w:sz w:val="14"/>
              </w:rPr>
              <w:t>项目支出绩效自评表</w:t>
            </w:r>
          </w:p>
        </w:tc>
      </w:tr>
      <w:tr w14:paraId="538F69DD">
        <w:tblPrEx>
          <w:tblCellMar>
            <w:top w:w="36" w:type="dxa"/>
            <w:left w:w="36" w:type="dxa"/>
            <w:bottom w:w="36" w:type="dxa"/>
            <w:right w:w="36" w:type="dxa"/>
          </w:tblCellMar>
        </w:tblPrEx>
        <w:tc>
          <w:tcPr>
            <w:tcW w:w="8092"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1D2BA28">
            <w:pPr>
              <w:spacing w:before="0" w:after="0" w:line="240" w:lineRule="auto"/>
              <w:jc w:val="center"/>
            </w:pPr>
            <w:r>
              <w:rPr>
                <w:rFonts w:ascii="宋体" w:hAnsi="宋体" w:eastAsia="宋体"/>
                <w:sz w:val="14"/>
              </w:rPr>
              <w:t>(2025年度)</w:t>
            </w:r>
          </w:p>
        </w:tc>
      </w:tr>
      <w:tr w14:paraId="3C0AEFEB">
        <w:tblPrEx>
          <w:tblCellMar>
            <w:top w:w="36" w:type="dxa"/>
            <w:left w:w="36" w:type="dxa"/>
            <w:bottom w:w="36" w:type="dxa"/>
            <w:right w:w="36" w:type="dxa"/>
          </w:tblCellMar>
        </w:tblPrEx>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0FBF0">
            <w:pPr>
              <w:spacing w:before="0" w:after="0" w:line="240" w:lineRule="auto"/>
              <w:jc w:val="center"/>
            </w:pPr>
            <w:r>
              <w:rPr>
                <w:rFonts w:ascii="宋体" w:hAnsi="宋体" w:eastAsia="宋体"/>
                <w:sz w:val="14"/>
              </w:rPr>
              <w:t>项目名称</w:t>
            </w:r>
          </w:p>
        </w:tc>
        <w:tc>
          <w:tcPr>
            <w:tcW w:w="6954"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2946EA3D">
            <w:pPr>
              <w:spacing w:before="0" w:after="0" w:line="240" w:lineRule="auto"/>
              <w:jc w:val="center"/>
            </w:pPr>
            <w:r>
              <w:rPr>
                <w:rFonts w:ascii="宋体" w:hAnsi="宋体" w:eastAsia="宋体"/>
                <w:sz w:val="14"/>
              </w:rPr>
              <w:t>自治区水利发展专项</w:t>
            </w:r>
          </w:p>
        </w:tc>
      </w:tr>
      <w:tr w14:paraId="4DE2DE2A">
        <w:tblPrEx>
          <w:tblCellMar>
            <w:top w:w="36" w:type="dxa"/>
            <w:left w:w="36" w:type="dxa"/>
            <w:bottom w:w="36" w:type="dxa"/>
            <w:right w:w="36" w:type="dxa"/>
          </w:tblCellMar>
        </w:tblPrEx>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96763">
            <w:pPr>
              <w:spacing w:before="0" w:after="0" w:line="240" w:lineRule="auto"/>
              <w:jc w:val="center"/>
            </w:pPr>
            <w:r>
              <w:rPr>
                <w:rFonts w:ascii="宋体" w:hAnsi="宋体" w:eastAsia="宋体"/>
                <w:sz w:val="14"/>
              </w:rPr>
              <w:t>主管部门</w:t>
            </w:r>
          </w:p>
        </w:tc>
        <w:tc>
          <w:tcPr>
            <w:tcW w:w="290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5AEB03">
            <w:pPr>
              <w:spacing w:before="0" w:after="0" w:line="240" w:lineRule="auto"/>
              <w:jc w:val="center"/>
            </w:pPr>
            <w:r>
              <w:rPr>
                <w:rFonts w:ascii="宋体" w:hAnsi="宋体" w:eastAsia="宋体"/>
                <w:sz w:val="14"/>
              </w:rPr>
              <w:t>新疆维吾尔自治区水文局</w:t>
            </w:r>
          </w:p>
        </w:tc>
        <w:tc>
          <w:tcPr>
            <w:tcW w:w="11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E9423">
            <w:pPr>
              <w:spacing w:before="0" w:after="0" w:line="240" w:lineRule="auto"/>
              <w:jc w:val="center"/>
            </w:pPr>
            <w:r>
              <w:rPr>
                <w:rFonts w:ascii="宋体" w:hAnsi="宋体" w:eastAsia="宋体"/>
                <w:sz w:val="14"/>
              </w:rPr>
              <w:t>实施单位</w:t>
            </w:r>
          </w:p>
        </w:tc>
        <w:tc>
          <w:tcPr>
            <w:tcW w:w="288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9E9609">
            <w:pPr>
              <w:spacing w:before="0" w:after="0" w:line="240" w:lineRule="auto"/>
              <w:jc w:val="center"/>
            </w:pPr>
            <w:r>
              <w:rPr>
                <w:rFonts w:ascii="宋体" w:hAnsi="宋体" w:eastAsia="宋体"/>
                <w:sz w:val="14"/>
              </w:rPr>
              <w:t>新疆维吾尔自治区乌鲁木齐水文勘测中心</w:t>
            </w:r>
          </w:p>
        </w:tc>
      </w:tr>
      <w:tr w14:paraId="08F1C06F">
        <w:tblPrEx>
          <w:tblCellMar>
            <w:top w:w="36" w:type="dxa"/>
            <w:left w:w="36" w:type="dxa"/>
            <w:bottom w:w="36" w:type="dxa"/>
            <w:right w:w="36" w:type="dxa"/>
          </w:tblCellMar>
        </w:tblPrEx>
        <w:tc>
          <w:tcPr>
            <w:tcW w:w="1138"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D2C0BF">
            <w:pPr>
              <w:spacing w:before="0" w:after="0" w:line="240" w:lineRule="auto"/>
              <w:jc w:val="center"/>
            </w:pPr>
            <w:r>
              <w:rPr>
                <w:rFonts w:ascii="宋体" w:hAnsi="宋体" w:eastAsia="宋体"/>
                <w:sz w:val="14"/>
              </w:rPr>
              <w:t>项目资金
（万元）</w:t>
            </w:r>
          </w:p>
        </w:tc>
        <w:tc>
          <w:tcPr>
            <w:tcW w:w="11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4887D">
            <w:pPr>
              <w:spacing w:before="0" w:after="0" w:line="240" w:lineRule="auto"/>
              <w:jc w:val="center"/>
            </w:pP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523B4757">
            <w:pPr>
              <w:spacing w:before="0" w:after="0" w:line="240" w:lineRule="auto"/>
              <w:jc w:val="center"/>
            </w:pPr>
            <w:r>
              <w:rPr>
                <w:rFonts w:ascii="宋体" w:hAnsi="宋体" w:eastAsia="宋体"/>
                <w:sz w:val="14"/>
              </w:rPr>
              <w:t>年初预算数</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051A9">
            <w:pPr>
              <w:spacing w:before="0" w:after="0" w:line="240" w:lineRule="auto"/>
              <w:jc w:val="center"/>
            </w:pPr>
            <w:r>
              <w:rPr>
                <w:rFonts w:ascii="宋体" w:hAnsi="宋体" w:eastAsia="宋体"/>
                <w:sz w:val="14"/>
              </w:rPr>
              <w:t>全年预算数</w:t>
            </w:r>
          </w:p>
        </w:tc>
        <w:tc>
          <w:tcPr>
            <w:tcW w:w="11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A10D1">
            <w:pPr>
              <w:spacing w:before="0" w:after="0" w:line="240" w:lineRule="auto"/>
              <w:jc w:val="center"/>
            </w:pPr>
            <w:r>
              <w:rPr>
                <w:rFonts w:ascii="宋体" w:hAnsi="宋体" w:eastAsia="宋体"/>
                <w:sz w:val="14"/>
              </w:rPr>
              <w:t>全年执行数</w:t>
            </w:r>
          </w:p>
        </w:tc>
        <w:tc>
          <w:tcPr>
            <w:tcW w:w="11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DEA70">
            <w:pPr>
              <w:spacing w:before="0" w:after="0" w:line="240" w:lineRule="auto"/>
              <w:jc w:val="center"/>
            </w:pPr>
            <w:r>
              <w:rPr>
                <w:rFonts w:ascii="宋体" w:hAnsi="宋体" w:eastAsia="宋体"/>
                <w:sz w:val="14"/>
              </w:rPr>
              <w:t>分值</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E4303">
            <w:pPr>
              <w:spacing w:before="0" w:after="0" w:line="240" w:lineRule="auto"/>
              <w:jc w:val="center"/>
            </w:pPr>
            <w:r>
              <w:rPr>
                <w:rFonts w:ascii="宋体" w:hAnsi="宋体" w:eastAsia="宋体"/>
                <w:sz w:val="14"/>
              </w:rPr>
              <w:t>执行率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18B06FA">
            <w:pPr>
              <w:spacing w:before="0" w:after="0" w:line="240" w:lineRule="auto"/>
              <w:jc w:val="center"/>
            </w:pPr>
            <w:r>
              <w:rPr>
                <w:rFonts w:ascii="宋体" w:hAnsi="宋体" w:eastAsia="宋体"/>
                <w:sz w:val="14"/>
              </w:rPr>
              <w:t>得分</w:t>
            </w:r>
          </w:p>
        </w:tc>
      </w:tr>
      <w:tr w14:paraId="36108080">
        <w:tblPrEx>
          <w:tblCellMar>
            <w:top w:w="36" w:type="dxa"/>
            <w:left w:w="36" w:type="dxa"/>
            <w:bottom w:w="36" w:type="dxa"/>
            <w:right w:w="36" w:type="dxa"/>
          </w:tblCellMar>
        </w:tblPrEx>
        <w:tc>
          <w:tcPr>
            <w:tcW w:w="1138"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30F185F"/>
        </w:tc>
        <w:tc>
          <w:tcPr>
            <w:tcW w:w="11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A8576">
            <w:pPr>
              <w:spacing w:before="0" w:after="0" w:line="240" w:lineRule="auto"/>
              <w:jc w:val="center"/>
            </w:pPr>
            <w:r>
              <w:rPr>
                <w:rFonts w:ascii="宋体" w:hAnsi="宋体" w:eastAsia="宋体"/>
                <w:sz w:val="14"/>
              </w:rPr>
              <w:t>年度资金总额</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78AAA858">
            <w:pPr>
              <w:spacing w:before="0" w:after="0" w:line="240" w:lineRule="auto"/>
              <w:jc w:val="center"/>
            </w:pPr>
            <w:r>
              <w:rPr>
                <w:rFonts w:ascii="宋体" w:hAnsi="宋体" w:eastAsia="宋体"/>
                <w:sz w:val="14"/>
              </w:rPr>
              <w:t>30.00</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215AB">
            <w:pPr>
              <w:spacing w:before="0" w:after="0" w:line="240" w:lineRule="auto"/>
              <w:jc w:val="center"/>
            </w:pPr>
            <w:r>
              <w:rPr>
                <w:rFonts w:ascii="宋体" w:hAnsi="宋体" w:eastAsia="宋体"/>
                <w:sz w:val="14"/>
              </w:rPr>
              <w:t>30.00</w:t>
            </w:r>
          </w:p>
        </w:tc>
        <w:tc>
          <w:tcPr>
            <w:tcW w:w="11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3148C">
            <w:pPr>
              <w:spacing w:before="0" w:after="0" w:line="240" w:lineRule="auto"/>
              <w:jc w:val="center"/>
            </w:pPr>
            <w:r>
              <w:rPr>
                <w:rFonts w:ascii="宋体" w:hAnsi="宋体" w:eastAsia="宋体"/>
                <w:sz w:val="14"/>
              </w:rPr>
              <w:t>30.00</w:t>
            </w:r>
          </w:p>
        </w:tc>
        <w:tc>
          <w:tcPr>
            <w:tcW w:w="11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31313">
            <w:pPr>
              <w:spacing w:before="0" w:after="0" w:line="240" w:lineRule="auto"/>
              <w:jc w:val="center"/>
            </w:pPr>
            <w:r>
              <w:rPr>
                <w:rFonts w:ascii="宋体" w:hAnsi="宋体" w:eastAsia="宋体"/>
                <w:sz w:val="14"/>
              </w:rPr>
              <w:t>10</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40875">
            <w:pPr>
              <w:spacing w:before="0" w:after="0" w:line="240" w:lineRule="auto"/>
              <w:jc w:val="center"/>
            </w:pPr>
            <w:r>
              <w:rPr>
                <w:rFonts w:ascii="宋体" w:hAnsi="宋体" w:eastAsia="宋体"/>
                <w:sz w:val="14"/>
              </w:rPr>
              <w:t>100.00%</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51840C7">
            <w:pPr>
              <w:spacing w:before="0" w:after="0" w:line="240" w:lineRule="auto"/>
              <w:jc w:val="center"/>
            </w:pPr>
            <w:r>
              <w:rPr>
                <w:rFonts w:ascii="宋体" w:hAnsi="宋体" w:eastAsia="宋体"/>
                <w:sz w:val="14"/>
              </w:rPr>
              <w:t>10.00</w:t>
            </w:r>
          </w:p>
        </w:tc>
      </w:tr>
      <w:tr w14:paraId="3799EDB8">
        <w:tblPrEx>
          <w:tblCellMar>
            <w:top w:w="36" w:type="dxa"/>
            <w:left w:w="36" w:type="dxa"/>
            <w:bottom w:w="36" w:type="dxa"/>
            <w:right w:w="36" w:type="dxa"/>
          </w:tblCellMar>
        </w:tblPrEx>
        <w:tc>
          <w:tcPr>
            <w:tcW w:w="1138"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5EBEAE7"/>
        </w:tc>
        <w:tc>
          <w:tcPr>
            <w:tcW w:w="11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AFD05">
            <w:pPr>
              <w:spacing w:before="0" w:after="0" w:line="240" w:lineRule="auto"/>
              <w:jc w:val="center"/>
            </w:pPr>
            <w:r>
              <w:rPr>
                <w:rFonts w:ascii="宋体" w:hAnsi="宋体" w:eastAsia="宋体"/>
                <w:sz w:val="14"/>
              </w:rPr>
              <w:t>其中：当年财政拨款</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4B2C910">
            <w:pPr>
              <w:spacing w:before="0" w:after="0" w:line="240" w:lineRule="auto"/>
              <w:jc w:val="center"/>
            </w:pPr>
            <w:r>
              <w:rPr>
                <w:rFonts w:ascii="宋体" w:hAnsi="宋体" w:eastAsia="宋体"/>
                <w:sz w:val="14"/>
              </w:rPr>
              <w:t>30.00</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AABB8">
            <w:pPr>
              <w:spacing w:before="0" w:after="0" w:line="240" w:lineRule="auto"/>
              <w:jc w:val="center"/>
            </w:pPr>
            <w:r>
              <w:rPr>
                <w:rFonts w:ascii="宋体" w:hAnsi="宋体" w:eastAsia="宋体"/>
                <w:sz w:val="14"/>
              </w:rPr>
              <w:t>30.00</w:t>
            </w:r>
          </w:p>
        </w:tc>
        <w:tc>
          <w:tcPr>
            <w:tcW w:w="11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60E96">
            <w:pPr>
              <w:spacing w:before="0" w:after="0" w:line="240" w:lineRule="auto"/>
              <w:jc w:val="center"/>
            </w:pPr>
            <w:r>
              <w:rPr>
                <w:rFonts w:ascii="宋体" w:hAnsi="宋体" w:eastAsia="宋体"/>
                <w:sz w:val="14"/>
              </w:rPr>
              <w:t>30.00</w:t>
            </w:r>
          </w:p>
        </w:tc>
        <w:tc>
          <w:tcPr>
            <w:tcW w:w="11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76A68">
            <w:pPr>
              <w:spacing w:before="0" w:after="0" w:line="240" w:lineRule="auto"/>
              <w:jc w:val="center"/>
            </w:pPr>
            <w:r>
              <w:rPr>
                <w:rFonts w:ascii="宋体" w:hAnsi="宋体" w:eastAsia="宋体"/>
                <w:sz w:val="14"/>
              </w:rPr>
              <w:t>-</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E2FD1">
            <w:pPr>
              <w:spacing w:before="0" w:after="0" w:line="240" w:lineRule="auto"/>
              <w:jc w:val="center"/>
            </w:pPr>
            <w:r>
              <w:rPr>
                <w:rFonts w:ascii="宋体" w:hAnsi="宋体" w:eastAsia="宋体"/>
                <w:sz w:val="14"/>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0282CBB">
            <w:pPr>
              <w:spacing w:before="0" w:after="0" w:line="240" w:lineRule="auto"/>
              <w:jc w:val="center"/>
            </w:pPr>
            <w:r>
              <w:rPr>
                <w:rFonts w:ascii="宋体" w:hAnsi="宋体" w:eastAsia="宋体"/>
                <w:sz w:val="14"/>
              </w:rPr>
              <w:t>-</w:t>
            </w:r>
          </w:p>
        </w:tc>
      </w:tr>
      <w:tr w14:paraId="6E95065E">
        <w:tblPrEx>
          <w:tblCellMar>
            <w:top w:w="36" w:type="dxa"/>
            <w:left w:w="36" w:type="dxa"/>
            <w:bottom w:w="36" w:type="dxa"/>
            <w:right w:w="36" w:type="dxa"/>
          </w:tblCellMar>
        </w:tblPrEx>
        <w:tc>
          <w:tcPr>
            <w:tcW w:w="1138"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D3E0845"/>
        </w:tc>
        <w:tc>
          <w:tcPr>
            <w:tcW w:w="11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81738">
            <w:pPr>
              <w:spacing w:before="0" w:after="0" w:line="240" w:lineRule="auto"/>
              <w:jc w:val="center"/>
            </w:pPr>
            <w:r>
              <w:rPr>
                <w:rFonts w:ascii="宋体" w:hAnsi="宋体" w:eastAsia="宋体"/>
                <w:sz w:val="14"/>
              </w:rPr>
              <w:t>其他资金</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01495644">
            <w:pPr>
              <w:spacing w:before="0" w:after="0" w:line="240" w:lineRule="auto"/>
              <w:jc w:val="center"/>
            </w:pPr>
            <w:r>
              <w:rPr>
                <w:rFonts w:ascii="宋体" w:hAnsi="宋体" w:eastAsia="宋体"/>
                <w:sz w:val="14"/>
              </w:rPr>
              <w:t>0.00</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8EB7C">
            <w:pPr>
              <w:spacing w:before="0" w:after="0" w:line="240" w:lineRule="auto"/>
              <w:jc w:val="center"/>
            </w:pPr>
            <w:r>
              <w:rPr>
                <w:rFonts w:ascii="宋体" w:hAnsi="宋体" w:eastAsia="宋体"/>
                <w:sz w:val="14"/>
              </w:rPr>
              <w:t>0.00</w:t>
            </w:r>
          </w:p>
        </w:tc>
        <w:tc>
          <w:tcPr>
            <w:tcW w:w="11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C943A">
            <w:pPr>
              <w:spacing w:before="0" w:after="0" w:line="240" w:lineRule="auto"/>
              <w:jc w:val="center"/>
            </w:pPr>
            <w:r>
              <w:rPr>
                <w:rFonts w:ascii="宋体" w:hAnsi="宋体" w:eastAsia="宋体"/>
                <w:sz w:val="14"/>
              </w:rPr>
              <w:t>0.00</w:t>
            </w:r>
          </w:p>
        </w:tc>
        <w:tc>
          <w:tcPr>
            <w:tcW w:w="11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50698">
            <w:pPr>
              <w:spacing w:before="0" w:after="0" w:line="240" w:lineRule="auto"/>
              <w:jc w:val="center"/>
            </w:pPr>
            <w:r>
              <w:rPr>
                <w:rFonts w:ascii="宋体" w:hAnsi="宋体" w:eastAsia="宋体"/>
                <w:sz w:val="14"/>
              </w:rPr>
              <w:t>-</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F61A7">
            <w:pPr>
              <w:spacing w:before="0" w:after="0" w:line="240" w:lineRule="auto"/>
              <w:jc w:val="center"/>
            </w:pPr>
            <w:r>
              <w:rPr>
                <w:rFonts w:ascii="宋体" w:hAnsi="宋体" w:eastAsia="宋体"/>
                <w:sz w:val="14"/>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146EAC1">
            <w:pPr>
              <w:spacing w:before="0" w:after="0" w:line="240" w:lineRule="auto"/>
              <w:jc w:val="center"/>
            </w:pPr>
            <w:r>
              <w:rPr>
                <w:rFonts w:ascii="宋体" w:hAnsi="宋体" w:eastAsia="宋体"/>
                <w:sz w:val="14"/>
              </w:rPr>
              <w:t>-</w:t>
            </w:r>
          </w:p>
        </w:tc>
      </w:tr>
      <w:tr w14:paraId="20C67B43">
        <w:tblPrEx>
          <w:tblCellMar>
            <w:top w:w="36" w:type="dxa"/>
            <w:left w:w="36" w:type="dxa"/>
            <w:bottom w:w="36" w:type="dxa"/>
            <w:right w:w="36" w:type="dxa"/>
          </w:tblCellMar>
        </w:tblPrEx>
        <w:tc>
          <w:tcPr>
            <w:tcW w:w="56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C5AEE7">
            <w:pPr>
              <w:spacing w:before="0" w:after="0" w:line="240" w:lineRule="auto"/>
              <w:jc w:val="center"/>
            </w:pPr>
            <w:r>
              <w:rPr>
                <w:rFonts w:ascii="宋体" w:hAnsi="宋体" w:eastAsia="宋体"/>
                <w:sz w:val="14"/>
              </w:rPr>
              <w:t>年度总体目标</w:t>
            </w:r>
          </w:p>
        </w:tc>
        <w:tc>
          <w:tcPr>
            <w:tcW w:w="347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53B3B7">
            <w:pPr>
              <w:spacing w:before="0" w:after="0" w:line="240" w:lineRule="auto"/>
              <w:jc w:val="center"/>
            </w:pPr>
            <w:r>
              <w:rPr>
                <w:rFonts w:ascii="宋体" w:hAnsi="宋体" w:eastAsia="宋体"/>
                <w:sz w:val="14"/>
              </w:rPr>
              <w:t>预期目标</w:t>
            </w:r>
          </w:p>
        </w:tc>
        <w:tc>
          <w:tcPr>
            <w:tcW w:w="404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EB82C0">
            <w:pPr>
              <w:spacing w:before="0" w:after="0" w:line="240" w:lineRule="auto"/>
              <w:jc w:val="center"/>
            </w:pPr>
            <w:r>
              <w:rPr>
                <w:rFonts w:ascii="宋体" w:hAnsi="宋体" w:eastAsia="宋体"/>
                <w:sz w:val="14"/>
              </w:rPr>
              <w:t>实际完成情况</w:t>
            </w:r>
          </w:p>
        </w:tc>
      </w:tr>
      <w:tr w14:paraId="0F2BB7C8">
        <w:tblPrEx>
          <w:tblCellMar>
            <w:top w:w="36" w:type="dxa"/>
            <w:left w:w="36" w:type="dxa"/>
            <w:bottom w:w="36" w:type="dxa"/>
            <w:right w:w="36" w:type="dxa"/>
          </w:tblCellMar>
        </w:tblPrEx>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5BDCF3D3"/>
        </w:tc>
        <w:tc>
          <w:tcPr>
            <w:tcW w:w="347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5D05C0">
            <w:pPr>
              <w:spacing w:before="0" w:after="0" w:line="240" w:lineRule="auto"/>
              <w:jc w:val="both"/>
            </w:pPr>
            <w:r>
              <w:rPr>
                <w:rFonts w:ascii="宋体" w:hAnsi="宋体" w:eastAsia="宋体"/>
                <w:sz w:val="14"/>
              </w:rPr>
              <w:t>该项目总投资30万元，其中：财政资金30万元，其他资金0万元。完成悬移质单沙取样300次，流量监测120次，巡检监测设备维护数量10个，收集水文信息3376条等工作。完成以下目标：1.严格按照我局下发的《水文测站管理办法》执行，汛前及汛后均对测站进行全方面的检查，包括测站管理制度、资料整编情况、任务完成情况、安全生产情况、测站仪器设备的运行与维护等，保证全年资料质量均达到规范要求。2.按《水文测站任务书》的要求，完成水文测站的各项测验任务，按照水文规范技术要求，整编水文资料，为水利事业提供及时、准确、科学的水文基础资料，为国家和自治区防汛抗旱提供水情预报，将洪涝灾害减少到最低程度。3.通过信息化建设，保证水文测站数据采集的时效性和可靠性，保证各测站测、报、整、算等日常测验工作的正常有序开展。4.保证水文工作的稳定性，开展水文水资源变化规律的研究工作，以便更好地为国民经济建设和社会的可持续发展做出贡献。</w:t>
            </w:r>
          </w:p>
        </w:tc>
        <w:tc>
          <w:tcPr>
            <w:tcW w:w="404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BD81E0">
            <w:pPr>
              <w:spacing w:before="0" w:after="0" w:line="240" w:lineRule="auto"/>
              <w:jc w:val="both"/>
            </w:pPr>
            <w:r>
              <w:rPr>
                <w:rFonts w:ascii="宋体" w:hAnsi="宋体" w:eastAsia="宋体"/>
                <w:sz w:val="14"/>
              </w:rPr>
              <w:t>2025年该项目总投资30万元，其中：财政资金30万元，其他资金0万元，2025年完成悬移质单沙取样301次，流量监测122次，水情因实现了在线传输报汛，每5分钟一次报汛数据的传输，全年共传输2672个水情数据，远超指标值，因此需及时修订最新指标。巡检监测设备维护数量全年数量较多，每日对设备传输的数据进行检查，保证了全年数据的</w:t>
            </w:r>
            <w:r>
              <w:rPr>
                <w:rFonts w:hint="eastAsia" w:ascii="宋体" w:hAnsi="宋体"/>
                <w:sz w:val="14"/>
                <w:lang w:eastAsia="zh-CN"/>
              </w:rPr>
              <w:t>实时</w:t>
            </w:r>
            <w:r>
              <w:rPr>
                <w:rFonts w:ascii="宋体" w:hAnsi="宋体" w:eastAsia="宋体"/>
                <w:sz w:val="14"/>
              </w:rPr>
              <w:t>传输和日清月结，收集水文信息上万条（已实现5分钟一次报汛，且为自动报讯）等工作。完成以下目标：1.严格按照我局下发的《水文测站管理办法》执行，汛前及汛后均对测站进行全方面的检查，包括测站管理制度、资料整编情况、任务完成情况、安全生产情况、测站仪器设备的运行与维护等，保证全年资料质量均达到规范要求。2.按《水文测站任务书》的要求，完成水文测站的各项测验任务，按照水文规范技术要求，整编水文资料，为水利事业提供及时、准确、科学的水文基础资料，为国家和自治区防汛抗旱提供水情预报，将洪涝灾害减少到最低程度。3.通过信息化建设，保证水文测站数据采集的时效性和可靠性，保证各测站测、报、整、算等日常测验工作的正常有序开展。4.保证水文工作的稳定性，开展水文水资源变化规律的研究工作，以便更好地为国民经济建设和社会的可持续发展做出贡献。</w:t>
            </w:r>
          </w:p>
        </w:tc>
      </w:tr>
      <w:tr w14:paraId="24B1321F">
        <w:tblPrEx>
          <w:tblCellMar>
            <w:top w:w="36" w:type="dxa"/>
            <w:left w:w="36" w:type="dxa"/>
            <w:bottom w:w="36" w:type="dxa"/>
            <w:right w:w="36" w:type="dxa"/>
          </w:tblCellMar>
        </w:tblPrEx>
        <w:tc>
          <w:tcPr>
            <w:tcW w:w="56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11C14B">
            <w:pPr>
              <w:spacing w:before="0" w:after="0" w:line="240" w:lineRule="auto"/>
              <w:jc w:val="center"/>
            </w:pPr>
          </w:p>
        </w:tc>
        <w:tc>
          <w:tcPr>
            <w:tcW w:w="56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167930">
            <w:pPr>
              <w:spacing w:before="0" w:after="0" w:line="240" w:lineRule="auto"/>
              <w:jc w:val="center"/>
            </w:pPr>
            <w:r>
              <w:rPr>
                <w:rFonts w:ascii="宋体" w:hAnsi="宋体" w:eastAsia="宋体"/>
                <w:sz w:val="14"/>
              </w:rPr>
              <w:t>一级指标</w:t>
            </w:r>
          </w:p>
        </w:tc>
        <w:tc>
          <w:tcPr>
            <w:tcW w:w="56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914E27">
            <w:pPr>
              <w:spacing w:before="0" w:after="0" w:line="240" w:lineRule="auto"/>
              <w:jc w:val="center"/>
            </w:pPr>
            <w:r>
              <w:rPr>
                <w:rFonts w:ascii="宋体" w:hAnsi="宋体" w:eastAsia="宋体"/>
                <w:sz w:val="14"/>
              </w:rPr>
              <w:t>二级指标</w:t>
            </w:r>
          </w:p>
        </w:tc>
        <w:tc>
          <w:tcPr>
            <w:tcW w:w="57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2885EC">
            <w:pPr>
              <w:spacing w:before="0" w:after="0" w:line="240" w:lineRule="auto"/>
              <w:jc w:val="center"/>
            </w:pPr>
            <w:r>
              <w:rPr>
                <w:rFonts w:ascii="宋体" w:hAnsi="宋体" w:eastAsia="宋体"/>
                <w:sz w:val="14"/>
              </w:rPr>
              <w:t>三级指标</w:t>
            </w:r>
          </w:p>
        </w:tc>
        <w:tc>
          <w:tcPr>
            <w:tcW w:w="58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1648F9">
            <w:pPr>
              <w:spacing w:before="0" w:after="0" w:line="240" w:lineRule="auto"/>
              <w:jc w:val="center"/>
            </w:pPr>
            <w:r>
              <w:rPr>
                <w:rFonts w:ascii="宋体" w:hAnsi="宋体" w:eastAsia="宋体"/>
                <w:sz w:val="14"/>
              </w:rPr>
              <w:t>权重</w:t>
            </w:r>
          </w:p>
        </w:tc>
        <w:tc>
          <w:tcPr>
            <w:tcW w:w="59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A18C62">
            <w:pPr>
              <w:spacing w:before="0" w:after="0" w:line="240" w:lineRule="auto"/>
              <w:jc w:val="center"/>
            </w:pPr>
            <w:r>
              <w:rPr>
                <w:rFonts w:ascii="宋体" w:hAnsi="宋体" w:eastAsia="宋体"/>
                <w:sz w:val="14"/>
              </w:rPr>
              <w:t>目标值</w:t>
            </w:r>
          </w:p>
        </w:tc>
        <w:tc>
          <w:tcPr>
            <w:tcW w:w="58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AB78F5">
            <w:pPr>
              <w:spacing w:before="0" w:after="0" w:line="240" w:lineRule="auto"/>
              <w:jc w:val="center"/>
            </w:pPr>
            <w:r>
              <w:rPr>
                <w:rFonts w:ascii="宋体" w:hAnsi="宋体" w:eastAsia="宋体"/>
                <w:sz w:val="14"/>
              </w:rPr>
              <w:t>业绩值</w:t>
            </w:r>
          </w:p>
        </w:tc>
        <w:tc>
          <w:tcPr>
            <w:tcW w:w="57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3DF82B">
            <w:pPr>
              <w:spacing w:before="0" w:after="0" w:line="240" w:lineRule="auto"/>
              <w:jc w:val="center"/>
            </w:pPr>
            <w:r>
              <w:rPr>
                <w:rFonts w:ascii="宋体" w:hAnsi="宋体" w:eastAsia="宋体"/>
                <w:sz w:val="14"/>
              </w:rPr>
              <w:t>完成率</w:t>
            </w:r>
          </w:p>
        </w:tc>
        <w:tc>
          <w:tcPr>
            <w:tcW w:w="58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1DD93C">
            <w:pPr>
              <w:spacing w:before="0" w:after="0" w:line="240" w:lineRule="auto"/>
              <w:jc w:val="center"/>
            </w:pPr>
            <w:r>
              <w:rPr>
                <w:rFonts w:ascii="宋体" w:hAnsi="宋体" w:eastAsia="宋体"/>
                <w:sz w:val="14"/>
              </w:rPr>
              <w:t>指标得分</w:t>
            </w:r>
          </w:p>
        </w:tc>
        <w:tc>
          <w:tcPr>
            <w:tcW w:w="56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FBDCDB">
            <w:pPr>
              <w:spacing w:before="0" w:after="0" w:line="240" w:lineRule="auto"/>
              <w:jc w:val="center"/>
            </w:pPr>
            <w:r>
              <w:rPr>
                <w:rFonts w:ascii="宋体" w:hAnsi="宋体" w:eastAsia="宋体"/>
                <w:sz w:val="14"/>
              </w:rPr>
              <w:t>指标值设定依据</w:t>
            </w:r>
          </w:p>
        </w:tc>
        <w:tc>
          <w:tcPr>
            <w:tcW w:w="57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E7968A">
            <w:pPr>
              <w:spacing w:before="0" w:after="0" w:line="240" w:lineRule="auto"/>
              <w:jc w:val="center"/>
            </w:pPr>
            <w:r>
              <w:rPr>
                <w:rFonts w:ascii="宋体" w:hAnsi="宋体" w:eastAsia="宋体"/>
                <w:sz w:val="14"/>
              </w:rPr>
              <w:t>上年完成情况</w:t>
            </w:r>
          </w:p>
        </w:tc>
        <w:tc>
          <w:tcPr>
            <w:tcW w:w="57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BB1C53">
            <w:pPr>
              <w:spacing w:before="0" w:after="0" w:line="240" w:lineRule="auto"/>
              <w:jc w:val="center"/>
            </w:pPr>
            <w:r>
              <w:rPr>
                <w:rFonts w:ascii="宋体" w:hAnsi="宋体" w:eastAsia="宋体"/>
                <w:sz w:val="14"/>
              </w:rPr>
              <w:t>赋分规则</w:t>
            </w:r>
          </w:p>
        </w:tc>
        <w:tc>
          <w:tcPr>
            <w:tcW w:w="57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563607">
            <w:pPr>
              <w:spacing w:before="0" w:after="0" w:line="240" w:lineRule="auto"/>
              <w:jc w:val="center"/>
            </w:pPr>
            <w:r>
              <w:rPr>
                <w:rFonts w:ascii="宋体" w:hAnsi="宋体" w:eastAsia="宋体"/>
                <w:sz w:val="14"/>
              </w:rPr>
              <w:t>佐证资料</w:t>
            </w:r>
          </w:p>
        </w:tc>
        <w:tc>
          <w:tcPr>
            <w:tcW w:w="5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2E6498">
            <w:pPr>
              <w:spacing w:before="0" w:after="0" w:line="240" w:lineRule="auto"/>
              <w:jc w:val="center"/>
            </w:pPr>
            <w:r>
              <w:rPr>
                <w:rFonts w:ascii="宋体" w:hAnsi="宋体" w:eastAsia="宋体"/>
                <w:sz w:val="14"/>
              </w:rPr>
              <w:t>偏差原因分析及改进措施</w:t>
            </w:r>
          </w:p>
        </w:tc>
      </w:tr>
      <w:tr w14:paraId="397758F9">
        <w:tblPrEx>
          <w:tblCellMar>
            <w:top w:w="36" w:type="dxa"/>
            <w:left w:w="36" w:type="dxa"/>
            <w:bottom w:w="36" w:type="dxa"/>
            <w:right w:w="36" w:type="dxa"/>
          </w:tblCellMar>
        </w:tblPrEx>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7BD80AF2"/>
        </w:tc>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187C7967"/>
        </w:tc>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45C597A3"/>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65A7AF6B"/>
        </w:tc>
        <w:tc>
          <w:tcPr>
            <w:tcW w:w="584" w:type="dxa"/>
            <w:vMerge w:val="continue"/>
            <w:tcBorders>
              <w:top w:val="single" w:color="auto" w:sz="10" w:space="0"/>
              <w:left w:val="single" w:color="auto" w:sz="10" w:space="0"/>
              <w:bottom w:val="single" w:color="auto" w:sz="10" w:space="0"/>
              <w:right w:val="single" w:color="auto" w:sz="10" w:space="0"/>
              <w:insideV w:val="single" w:sz="10" w:space="0"/>
            </w:tcBorders>
          </w:tcPr>
          <w:p w14:paraId="39FBEBAC"/>
        </w:tc>
        <w:tc>
          <w:tcPr>
            <w:tcW w:w="590" w:type="dxa"/>
            <w:vMerge w:val="continue"/>
            <w:tcBorders>
              <w:top w:val="single" w:color="auto" w:sz="10" w:space="0"/>
              <w:left w:val="single" w:color="auto" w:sz="10" w:space="0"/>
              <w:bottom w:val="single" w:color="auto" w:sz="10" w:space="0"/>
              <w:right w:val="single" w:color="auto" w:sz="10" w:space="0"/>
              <w:insideV w:val="single" w:sz="10" w:space="0"/>
            </w:tcBorders>
          </w:tcPr>
          <w:p w14:paraId="5C607D7D"/>
        </w:tc>
        <w:tc>
          <w:tcPr>
            <w:tcW w:w="584" w:type="dxa"/>
            <w:vMerge w:val="continue"/>
            <w:tcBorders>
              <w:top w:val="single" w:color="auto" w:sz="10" w:space="0"/>
              <w:left w:val="single" w:color="auto" w:sz="10" w:space="0"/>
              <w:bottom w:val="single" w:color="auto" w:sz="10" w:space="0"/>
              <w:right w:val="single" w:color="auto" w:sz="10" w:space="0"/>
              <w:insideV w:val="single" w:sz="10" w:space="0"/>
            </w:tcBorders>
          </w:tcPr>
          <w:p w14:paraId="78373415"/>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77ED231E"/>
        </w:tc>
        <w:tc>
          <w:tcPr>
            <w:tcW w:w="584" w:type="dxa"/>
            <w:vMerge w:val="continue"/>
            <w:tcBorders>
              <w:top w:val="single" w:color="auto" w:sz="10" w:space="0"/>
              <w:left w:val="single" w:color="auto" w:sz="10" w:space="0"/>
              <w:bottom w:val="single" w:color="auto" w:sz="10" w:space="0"/>
              <w:right w:val="single" w:color="auto" w:sz="10" w:space="0"/>
              <w:insideV w:val="single" w:sz="10" w:space="0"/>
            </w:tcBorders>
          </w:tcPr>
          <w:p w14:paraId="51F61762"/>
        </w:tc>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13D378CF"/>
        </w:tc>
        <w:tc>
          <w:tcPr>
            <w:tcW w:w="579" w:type="dxa"/>
            <w:vMerge w:val="continue"/>
            <w:tcBorders>
              <w:top w:val="single" w:color="auto" w:sz="10" w:space="0"/>
              <w:left w:val="single" w:color="auto" w:sz="10" w:space="0"/>
              <w:bottom w:val="single" w:color="auto" w:sz="10" w:space="0"/>
              <w:right w:val="single" w:color="auto" w:sz="10" w:space="0"/>
              <w:insideV w:val="single" w:sz="10" w:space="0"/>
            </w:tcBorders>
          </w:tcPr>
          <w:p w14:paraId="3030A3FB"/>
        </w:tc>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4615C12F"/>
        </w:tc>
        <w:tc>
          <w:tcPr>
            <w:tcW w:w="575" w:type="dxa"/>
            <w:vMerge w:val="continue"/>
            <w:tcBorders>
              <w:top w:val="single" w:color="auto" w:sz="10" w:space="0"/>
              <w:left w:val="single" w:color="auto" w:sz="10" w:space="0"/>
              <w:bottom w:val="single" w:color="auto" w:sz="10" w:space="0"/>
              <w:right w:val="single" w:color="auto" w:sz="10" w:space="0"/>
              <w:insideV w:val="single" w:sz="10" w:space="0"/>
            </w:tcBorders>
          </w:tcPr>
          <w:p w14:paraId="208694C2"/>
        </w:tc>
        <w:tc>
          <w:tcPr>
            <w:tcW w:w="588" w:type="dxa"/>
            <w:vMerge w:val="continue"/>
            <w:tcBorders>
              <w:top w:val="single" w:color="auto" w:sz="10" w:space="0"/>
              <w:left w:val="single" w:color="auto" w:sz="10" w:space="0"/>
              <w:bottom w:val="single" w:color="auto" w:sz="10" w:space="0"/>
              <w:right w:val="single" w:color="auto" w:sz="10" w:space="0"/>
              <w:insideV w:val="single" w:sz="10" w:space="0"/>
            </w:tcBorders>
          </w:tcPr>
          <w:p w14:paraId="3DAC3BCE"/>
        </w:tc>
      </w:tr>
      <w:tr w14:paraId="4A42E111">
        <w:tblPrEx>
          <w:tblCellMar>
            <w:top w:w="36" w:type="dxa"/>
            <w:left w:w="36" w:type="dxa"/>
            <w:bottom w:w="36" w:type="dxa"/>
            <w:right w:w="36" w:type="dxa"/>
          </w:tblCellMar>
        </w:tblPrEx>
        <w:tc>
          <w:tcPr>
            <w:tcW w:w="56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02F03F">
            <w:pPr>
              <w:spacing w:before="0" w:after="0" w:line="240" w:lineRule="auto"/>
              <w:jc w:val="center"/>
            </w:pPr>
            <w:r>
              <w:rPr>
                <w:rFonts w:ascii="宋体" w:hAnsi="宋体" w:eastAsia="宋体"/>
                <w:sz w:val="14"/>
              </w:rPr>
              <w:t>年度绩效指标完成情况</w:t>
            </w:r>
          </w:p>
        </w:tc>
        <w:tc>
          <w:tcPr>
            <w:tcW w:w="56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3FD2D4">
            <w:pPr>
              <w:spacing w:before="0" w:after="0" w:line="240" w:lineRule="auto"/>
              <w:jc w:val="center"/>
            </w:pPr>
            <w:r>
              <w:rPr>
                <w:rFonts w:ascii="宋体" w:hAnsi="宋体" w:eastAsia="宋体"/>
                <w:sz w:val="14"/>
              </w:rPr>
              <w:t>产出指标</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23C47366">
            <w:pPr>
              <w:spacing w:before="0" w:after="0" w:line="240" w:lineRule="auto"/>
              <w:jc w:val="center"/>
            </w:pPr>
            <w:r>
              <w:rPr>
                <w:rFonts w:ascii="宋体" w:hAnsi="宋体" w:eastAsia="宋体"/>
                <w:sz w:val="14"/>
              </w:rPr>
              <w:t>数量指标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3EBD3EC1">
            <w:pPr>
              <w:spacing w:before="0" w:after="0" w:line="240" w:lineRule="auto"/>
              <w:jc w:val="center"/>
            </w:pPr>
            <w:r>
              <w:rPr>
                <w:rFonts w:ascii="宋体" w:hAnsi="宋体" w:eastAsia="宋体"/>
                <w:sz w:val="14"/>
              </w:rPr>
              <w:t>水情信息收集量</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05531862">
            <w:pPr>
              <w:spacing w:before="0" w:after="0" w:line="240" w:lineRule="auto"/>
              <w:jc w:val="center"/>
            </w:pPr>
            <w:r>
              <w:rPr>
                <w:rFonts w:ascii="宋体" w:hAnsi="宋体" w:eastAsia="宋体"/>
                <w:sz w:val="14"/>
              </w:rPr>
              <w:t>4</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2C57DF4F">
            <w:pPr>
              <w:spacing w:before="0" w:after="0" w:line="240" w:lineRule="auto"/>
              <w:jc w:val="center"/>
            </w:pPr>
            <w:r>
              <w:rPr>
                <w:rFonts w:ascii="宋体" w:hAnsi="宋体" w:eastAsia="宋体"/>
                <w:sz w:val="14"/>
              </w:rPr>
              <w:t>&gt;=2376条</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16FE8EC5">
            <w:pPr>
              <w:spacing w:before="0" w:after="0" w:line="240" w:lineRule="auto"/>
              <w:jc w:val="center"/>
            </w:pPr>
            <w:r>
              <w:rPr>
                <w:rFonts w:ascii="宋体" w:hAnsi="宋体" w:eastAsia="宋体"/>
                <w:sz w:val="14"/>
              </w:rPr>
              <w:t>=2672条</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4B27E777">
            <w:pPr>
              <w:spacing w:before="0" w:after="0" w:line="240" w:lineRule="auto"/>
              <w:jc w:val="center"/>
              <w:rPr>
                <w:rFonts w:hint="eastAsia" w:eastAsia="宋体"/>
                <w:lang w:val="en-US" w:eastAsia="zh-CN"/>
              </w:rPr>
            </w:pPr>
            <w:r>
              <w:rPr>
                <w:rFonts w:ascii="宋体" w:hAnsi="宋体" w:eastAsia="宋体"/>
                <w:sz w:val="14"/>
              </w:rPr>
              <w:t>112</w:t>
            </w:r>
            <w:r>
              <w:rPr>
                <w:rFonts w:hint="eastAsia" w:ascii="宋体" w:hAnsi="宋体"/>
                <w:sz w:val="14"/>
                <w:lang w:val="en-US" w:eastAsia="zh-CN"/>
              </w:rPr>
              <w:t>%</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1366B111">
            <w:pPr>
              <w:spacing w:before="0" w:after="0" w:line="240" w:lineRule="auto"/>
              <w:jc w:val="center"/>
            </w:pPr>
            <w:r>
              <w:rPr>
                <w:rFonts w:ascii="宋体" w:hAnsi="宋体" w:eastAsia="宋体"/>
                <w:sz w:val="14"/>
              </w:rPr>
              <w:t>3.52</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27CC0710">
            <w:pPr>
              <w:spacing w:before="0" w:after="0" w:line="240" w:lineRule="auto"/>
              <w:jc w:val="center"/>
            </w:pPr>
            <w:r>
              <w:rPr>
                <w:rFonts w:ascii="宋体" w:hAnsi="宋体" w:eastAsia="宋体"/>
                <w:sz w:val="14"/>
              </w:rPr>
              <w:t>计划标准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66ECD699">
            <w:pPr>
              <w:spacing w:before="0" w:after="0" w:line="240" w:lineRule="auto"/>
              <w:jc w:val="center"/>
            </w:pPr>
            <w:r>
              <w:rPr>
                <w:rFonts w:ascii="宋体" w:hAnsi="宋体" w:eastAsia="宋体"/>
                <w:sz w:val="14"/>
              </w:rPr>
              <w:t>-</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387ECABA">
            <w:pPr>
              <w:spacing w:before="0" w:after="0" w:line="240" w:lineRule="auto"/>
              <w:jc w:val="center"/>
            </w:pPr>
            <w:r>
              <w:rPr>
                <w:rFonts w:ascii="宋体" w:hAnsi="宋体" w:eastAsia="宋体"/>
                <w:sz w:val="14"/>
              </w:rPr>
              <w:t>按照完成比例赋分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44796304">
            <w:pPr>
              <w:spacing w:before="0" w:after="0" w:line="240" w:lineRule="auto"/>
              <w:jc w:val="center"/>
            </w:pPr>
            <w:r>
              <w:rPr>
                <w:rFonts w:ascii="宋体" w:hAnsi="宋体" w:eastAsia="宋体"/>
                <w:sz w:val="14"/>
              </w:rPr>
              <w:t>正式材料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C3762F9">
            <w:pPr>
              <w:spacing w:before="0" w:after="0" w:line="240" w:lineRule="auto"/>
              <w:jc w:val="center"/>
            </w:pPr>
            <w:r>
              <w:rPr>
                <w:rFonts w:ascii="宋体" w:hAnsi="宋体" w:eastAsia="宋体"/>
                <w:sz w:val="14"/>
              </w:rPr>
              <w:t>水情报汛实现了5分钟一次，因此报汛数量增加，2026指标及时做了调整。</w:t>
            </w:r>
          </w:p>
        </w:tc>
      </w:tr>
      <w:tr w14:paraId="1153B2A5">
        <w:tblPrEx>
          <w:tblCellMar>
            <w:top w:w="36" w:type="dxa"/>
            <w:left w:w="36" w:type="dxa"/>
            <w:bottom w:w="36" w:type="dxa"/>
            <w:right w:w="36" w:type="dxa"/>
          </w:tblCellMar>
        </w:tblPrEx>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06CB455C"/>
        </w:tc>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5C4D78D3"/>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61757BBE">
            <w:pPr>
              <w:spacing w:before="0" w:after="0" w:line="240" w:lineRule="auto"/>
              <w:jc w:val="center"/>
            </w:pPr>
            <w:r>
              <w:rPr>
                <w:rFonts w:ascii="宋体" w:hAnsi="宋体" w:eastAsia="宋体"/>
                <w:sz w:val="14"/>
              </w:rPr>
              <w:t>数量指标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38A15CD6">
            <w:pPr>
              <w:spacing w:before="0" w:after="0" w:line="240" w:lineRule="auto"/>
              <w:jc w:val="center"/>
            </w:pPr>
            <w:r>
              <w:rPr>
                <w:rFonts w:ascii="宋体" w:hAnsi="宋体" w:eastAsia="宋体"/>
                <w:sz w:val="14"/>
              </w:rPr>
              <w:t>悬移质单沙取样次数</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A308A8D">
            <w:pPr>
              <w:spacing w:before="0" w:after="0" w:line="240" w:lineRule="auto"/>
              <w:jc w:val="center"/>
            </w:pPr>
            <w:r>
              <w:rPr>
                <w:rFonts w:ascii="宋体" w:hAnsi="宋体" w:eastAsia="宋体"/>
                <w:sz w:val="14"/>
              </w:rPr>
              <w:t>4</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150C306E">
            <w:pPr>
              <w:spacing w:before="0" w:after="0" w:line="240" w:lineRule="auto"/>
              <w:jc w:val="center"/>
            </w:pPr>
            <w:r>
              <w:rPr>
                <w:rFonts w:ascii="宋体" w:hAnsi="宋体" w:eastAsia="宋体"/>
                <w:sz w:val="14"/>
              </w:rPr>
              <w:t>&gt;=300次</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B65E180">
            <w:pPr>
              <w:spacing w:before="0" w:after="0" w:line="240" w:lineRule="auto"/>
              <w:jc w:val="center"/>
            </w:pPr>
            <w:r>
              <w:rPr>
                <w:rFonts w:ascii="宋体" w:hAnsi="宋体" w:eastAsia="宋体"/>
                <w:sz w:val="14"/>
              </w:rPr>
              <w:t>=301次</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0E5BE7FD">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393A182">
            <w:pPr>
              <w:spacing w:before="0" w:after="0" w:line="240" w:lineRule="auto"/>
              <w:jc w:val="center"/>
            </w:pPr>
            <w:r>
              <w:rPr>
                <w:rFonts w:ascii="宋体" w:hAnsi="宋体" w:eastAsia="宋体"/>
                <w:sz w:val="14"/>
              </w:rPr>
              <w:t>4</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1DAD26EA">
            <w:pPr>
              <w:spacing w:before="0" w:after="0" w:line="240" w:lineRule="auto"/>
              <w:jc w:val="center"/>
            </w:pPr>
            <w:r>
              <w:rPr>
                <w:rFonts w:ascii="宋体" w:hAnsi="宋体" w:eastAsia="宋体"/>
                <w:sz w:val="14"/>
              </w:rPr>
              <w:t>历史标准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40716D9B">
            <w:pPr>
              <w:spacing w:before="0" w:after="0" w:line="240" w:lineRule="auto"/>
              <w:jc w:val="center"/>
            </w:pPr>
            <w:r>
              <w:rPr>
                <w:rFonts w:ascii="宋体" w:hAnsi="宋体" w:eastAsia="宋体"/>
                <w:sz w:val="14"/>
              </w:rPr>
              <w:t>300次</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2F5AC73B">
            <w:pPr>
              <w:spacing w:before="0" w:after="0" w:line="240" w:lineRule="auto"/>
              <w:jc w:val="center"/>
            </w:pPr>
            <w:r>
              <w:rPr>
                <w:rFonts w:ascii="宋体" w:hAnsi="宋体" w:eastAsia="宋体"/>
                <w:sz w:val="14"/>
              </w:rPr>
              <w:t>按照完成比例赋分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5FCAD7B9">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9C58D6A">
            <w:pPr>
              <w:spacing w:before="0" w:after="0" w:line="240" w:lineRule="auto"/>
              <w:jc w:val="center"/>
            </w:pPr>
          </w:p>
        </w:tc>
      </w:tr>
      <w:tr w14:paraId="08187A12">
        <w:tblPrEx>
          <w:tblCellMar>
            <w:top w:w="36" w:type="dxa"/>
            <w:left w:w="36" w:type="dxa"/>
            <w:bottom w:w="36" w:type="dxa"/>
            <w:right w:w="36" w:type="dxa"/>
          </w:tblCellMar>
        </w:tblPrEx>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4405AF29"/>
        </w:tc>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6AAF6C88"/>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19C1701F">
            <w:pPr>
              <w:spacing w:before="0" w:after="0" w:line="240" w:lineRule="auto"/>
              <w:jc w:val="center"/>
            </w:pPr>
            <w:r>
              <w:rPr>
                <w:rFonts w:ascii="宋体" w:hAnsi="宋体" w:eastAsia="宋体"/>
                <w:sz w:val="14"/>
              </w:rPr>
              <w:t>数量指标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042D0B76">
            <w:pPr>
              <w:spacing w:before="0" w:after="0" w:line="240" w:lineRule="auto"/>
              <w:jc w:val="center"/>
            </w:pPr>
            <w:r>
              <w:rPr>
                <w:rFonts w:ascii="宋体" w:hAnsi="宋体" w:eastAsia="宋体"/>
                <w:sz w:val="14"/>
              </w:rPr>
              <w:t>流量监测次数</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7CAC2A43">
            <w:pPr>
              <w:spacing w:before="0" w:after="0" w:line="240" w:lineRule="auto"/>
              <w:jc w:val="center"/>
            </w:pPr>
            <w:r>
              <w:rPr>
                <w:rFonts w:ascii="宋体" w:hAnsi="宋体" w:eastAsia="宋体"/>
                <w:sz w:val="14"/>
              </w:rPr>
              <w:t>4</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237D9522">
            <w:pPr>
              <w:spacing w:before="0" w:after="0" w:line="240" w:lineRule="auto"/>
              <w:jc w:val="center"/>
            </w:pPr>
            <w:r>
              <w:rPr>
                <w:rFonts w:ascii="宋体" w:hAnsi="宋体" w:eastAsia="宋体"/>
                <w:sz w:val="14"/>
              </w:rPr>
              <w:t>&gt;=120次</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C87046A">
            <w:pPr>
              <w:spacing w:before="0" w:after="0" w:line="240" w:lineRule="auto"/>
              <w:jc w:val="center"/>
            </w:pPr>
            <w:r>
              <w:rPr>
                <w:rFonts w:ascii="宋体" w:hAnsi="宋体" w:eastAsia="宋体"/>
                <w:sz w:val="14"/>
              </w:rPr>
              <w:t>=122次</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3485FCEF">
            <w:pPr>
              <w:spacing w:before="0" w:after="0" w:line="240" w:lineRule="auto"/>
              <w:jc w:val="center"/>
              <w:rPr>
                <w:rFonts w:hint="eastAsia" w:eastAsia="宋体"/>
                <w:lang w:val="en-US" w:eastAsia="zh-CN"/>
              </w:rPr>
            </w:pPr>
            <w:r>
              <w:rPr>
                <w:rFonts w:ascii="宋体" w:hAnsi="宋体" w:eastAsia="宋体"/>
                <w:sz w:val="14"/>
              </w:rPr>
              <w:t>102</w:t>
            </w:r>
            <w:r>
              <w:rPr>
                <w:rFonts w:hint="eastAsia" w:ascii="宋体" w:hAnsi="宋体"/>
                <w:sz w:val="14"/>
                <w:lang w:val="en-US" w:eastAsia="zh-CN"/>
              </w:rPr>
              <w:t>%</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08CCC3EB">
            <w:pPr>
              <w:spacing w:before="0" w:after="0" w:line="240" w:lineRule="auto"/>
              <w:jc w:val="center"/>
            </w:pPr>
            <w:r>
              <w:rPr>
                <w:rFonts w:ascii="宋体" w:hAnsi="宋体" w:eastAsia="宋体"/>
                <w:sz w:val="14"/>
              </w:rPr>
              <w:t>3.92</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6791E5E7">
            <w:pPr>
              <w:spacing w:before="0" w:after="0" w:line="240" w:lineRule="auto"/>
              <w:jc w:val="center"/>
            </w:pPr>
            <w:r>
              <w:rPr>
                <w:rFonts w:ascii="宋体" w:hAnsi="宋体" w:eastAsia="宋体"/>
                <w:sz w:val="14"/>
              </w:rPr>
              <w:t>历史标准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5F9FFDAA">
            <w:pPr>
              <w:spacing w:before="0" w:after="0" w:line="240" w:lineRule="auto"/>
              <w:jc w:val="center"/>
            </w:pPr>
            <w:r>
              <w:rPr>
                <w:rFonts w:ascii="宋体" w:hAnsi="宋体" w:eastAsia="宋体"/>
                <w:sz w:val="14"/>
              </w:rPr>
              <w:t>120次</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434CC4E3">
            <w:pPr>
              <w:spacing w:before="0" w:after="0" w:line="240" w:lineRule="auto"/>
              <w:jc w:val="center"/>
            </w:pPr>
            <w:r>
              <w:rPr>
                <w:rFonts w:ascii="宋体" w:hAnsi="宋体" w:eastAsia="宋体"/>
                <w:sz w:val="14"/>
              </w:rPr>
              <w:t>按照完成比例赋分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5C192A7C">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E30C347">
            <w:pPr>
              <w:spacing w:before="0" w:after="0" w:line="240" w:lineRule="auto"/>
              <w:jc w:val="center"/>
            </w:pPr>
            <w:r>
              <w:rPr>
                <w:rFonts w:ascii="宋体" w:hAnsi="宋体" w:eastAsia="宋体"/>
                <w:sz w:val="14"/>
              </w:rPr>
              <w:t>流量次数越多，工作越扎实，年底水文资料整编精度越高。</w:t>
            </w:r>
          </w:p>
        </w:tc>
      </w:tr>
      <w:tr w14:paraId="660BA163">
        <w:tblPrEx>
          <w:tblCellMar>
            <w:top w:w="36" w:type="dxa"/>
            <w:left w:w="36" w:type="dxa"/>
            <w:bottom w:w="36" w:type="dxa"/>
            <w:right w:w="36" w:type="dxa"/>
          </w:tblCellMar>
        </w:tblPrEx>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430EFA38"/>
        </w:tc>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4862584C"/>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723850A6">
            <w:pPr>
              <w:spacing w:before="0" w:after="0" w:line="240" w:lineRule="auto"/>
              <w:jc w:val="center"/>
            </w:pPr>
            <w:r>
              <w:rPr>
                <w:rFonts w:ascii="宋体" w:hAnsi="宋体" w:eastAsia="宋体"/>
                <w:sz w:val="14"/>
              </w:rPr>
              <w:t>数量指标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31C921B1">
            <w:pPr>
              <w:spacing w:before="0" w:after="0" w:line="240" w:lineRule="auto"/>
              <w:jc w:val="center"/>
            </w:pPr>
            <w:r>
              <w:rPr>
                <w:rFonts w:ascii="宋体" w:hAnsi="宋体" w:eastAsia="宋体"/>
                <w:sz w:val="14"/>
              </w:rPr>
              <w:t>巡检监测设备维护数量</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98BB247">
            <w:pPr>
              <w:spacing w:before="0" w:after="0" w:line="240" w:lineRule="auto"/>
              <w:jc w:val="center"/>
            </w:pPr>
            <w:r>
              <w:rPr>
                <w:rFonts w:ascii="宋体" w:hAnsi="宋体" w:eastAsia="宋体"/>
                <w:sz w:val="14"/>
              </w:rPr>
              <w:t>4</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0F7FF10E">
            <w:pPr>
              <w:spacing w:before="0" w:after="0" w:line="240" w:lineRule="auto"/>
              <w:jc w:val="center"/>
            </w:pPr>
            <w:r>
              <w:rPr>
                <w:rFonts w:ascii="宋体" w:hAnsi="宋体" w:eastAsia="宋体"/>
                <w:sz w:val="14"/>
              </w:rPr>
              <w:t>&gt;=10个</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28C46F55">
            <w:pPr>
              <w:spacing w:before="0" w:after="0" w:line="240" w:lineRule="auto"/>
              <w:jc w:val="center"/>
            </w:pPr>
            <w:r>
              <w:rPr>
                <w:rFonts w:ascii="宋体" w:hAnsi="宋体" w:eastAsia="宋体"/>
                <w:sz w:val="14"/>
              </w:rPr>
              <w:t>=10个</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21B4BA93">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668CB266">
            <w:pPr>
              <w:spacing w:before="0" w:after="0" w:line="240" w:lineRule="auto"/>
              <w:jc w:val="center"/>
            </w:pPr>
            <w:r>
              <w:rPr>
                <w:rFonts w:ascii="宋体" w:hAnsi="宋体" w:eastAsia="宋体"/>
                <w:sz w:val="14"/>
              </w:rPr>
              <w:t>4</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1B77F57F">
            <w:pPr>
              <w:spacing w:before="0" w:after="0" w:line="240" w:lineRule="auto"/>
              <w:jc w:val="center"/>
            </w:pPr>
            <w:r>
              <w:rPr>
                <w:rFonts w:ascii="宋体" w:hAnsi="宋体" w:eastAsia="宋体"/>
                <w:sz w:val="14"/>
              </w:rPr>
              <w:t>历史标准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61006D6C">
            <w:pPr>
              <w:spacing w:before="0" w:after="0" w:line="240" w:lineRule="auto"/>
              <w:jc w:val="center"/>
            </w:pPr>
            <w:r>
              <w:rPr>
                <w:rFonts w:ascii="宋体" w:hAnsi="宋体" w:eastAsia="宋体"/>
                <w:sz w:val="14"/>
              </w:rPr>
              <w:t>10个</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22C1504E">
            <w:pPr>
              <w:spacing w:before="0" w:after="0" w:line="240" w:lineRule="auto"/>
              <w:jc w:val="center"/>
            </w:pPr>
            <w:r>
              <w:rPr>
                <w:rFonts w:ascii="宋体" w:hAnsi="宋体" w:eastAsia="宋体"/>
                <w:sz w:val="14"/>
              </w:rPr>
              <w:t>按照完成比例赋分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33C13FB9">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4DD9852">
            <w:pPr>
              <w:spacing w:before="0" w:after="0" w:line="240" w:lineRule="auto"/>
              <w:jc w:val="center"/>
            </w:pPr>
          </w:p>
        </w:tc>
      </w:tr>
      <w:tr w14:paraId="31749DCC">
        <w:tblPrEx>
          <w:tblCellMar>
            <w:top w:w="36" w:type="dxa"/>
            <w:left w:w="36" w:type="dxa"/>
            <w:bottom w:w="36" w:type="dxa"/>
            <w:right w:w="36" w:type="dxa"/>
          </w:tblCellMar>
        </w:tblPrEx>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3805AAEC"/>
        </w:tc>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77B54DF4"/>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6AF5FAA0">
            <w:pPr>
              <w:spacing w:before="0" w:after="0" w:line="240" w:lineRule="auto"/>
              <w:jc w:val="center"/>
            </w:pPr>
            <w:r>
              <w:rPr>
                <w:rFonts w:ascii="宋体" w:hAnsi="宋体" w:eastAsia="宋体"/>
                <w:sz w:val="14"/>
              </w:rPr>
              <w:t>质量指标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1C4C3E1D">
            <w:pPr>
              <w:spacing w:before="0" w:after="0" w:line="240" w:lineRule="auto"/>
              <w:jc w:val="center"/>
            </w:pPr>
            <w:r>
              <w:rPr>
                <w:rFonts w:ascii="宋体" w:hAnsi="宋体" w:eastAsia="宋体"/>
                <w:sz w:val="14"/>
              </w:rPr>
              <w:t>流量测验整编定线精度系统误差率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03489725">
            <w:pPr>
              <w:spacing w:before="0" w:after="0" w:line="240" w:lineRule="auto"/>
              <w:jc w:val="center"/>
            </w:pPr>
            <w:r>
              <w:rPr>
                <w:rFonts w:ascii="宋体" w:hAnsi="宋体" w:eastAsia="宋体"/>
                <w:sz w:val="14"/>
              </w:rPr>
              <w:t>4</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7712CBBE">
            <w:pPr>
              <w:spacing w:before="0" w:after="0" w:line="240" w:lineRule="auto"/>
              <w:jc w:val="center"/>
            </w:pPr>
            <w:r>
              <w:rPr>
                <w:rFonts w:ascii="宋体" w:hAnsi="宋体" w:eastAsia="宋体"/>
                <w:sz w:val="14"/>
              </w:rPr>
              <w:t>&lt;=4%</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4F507EB4">
            <w:pPr>
              <w:spacing w:before="0" w:after="0" w:line="240" w:lineRule="auto"/>
              <w:jc w:val="center"/>
            </w:pPr>
            <w:r>
              <w:rPr>
                <w:rFonts w:ascii="宋体" w:hAnsi="宋体" w:eastAsia="宋体"/>
                <w:sz w:val="14"/>
              </w:rPr>
              <w:t>=0.3%</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4D04531E">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1C7E9690">
            <w:pPr>
              <w:spacing w:before="0" w:after="0" w:line="240" w:lineRule="auto"/>
              <w:jc w:val="center"/>
            </w:pPr>
            <w:r>
              <w:rPr>
                <w:rFonts w:ascii="宋体" w:hAnsi="宋体" w:eastAsia="宋体"/>
                <w:sz w:val="14"/>
              </w:rPr>
              <w:t>4</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43E119FF">
            <w:pPr>
              <w:spacing w:before="0" w:after="0" w:line="240" w:lineRule="auto"/>
              <w:jc w:val="center"/>
            </w:pPr>
            <w:r>
              <w:rPr>
                <w:rFonts w:ascii="宋体" w:hAnsi="宋体" w:eastAsia="宋体"/>
                <w:sz w:val="14"/>
              </w:rPr>
              <w:t>行业标准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4DBE1429">
            <w:pPr>
              <w:spacing w:before="0" w:after="0" w:line="240" w:lineRule="auto"/>
              <w:jc w:val="center"/>
            </w:pPr>
            <w:r>
              <w:rPr>
                <w:rFonts w:ascii="宋体" w:hAnsi="宋体" w:eastAsia="宋体"/>
                <w:sz w:val="14"/>
              </w:rPr>
              <w:t>-</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602A028E">
            <w:pPr>
              <w:spacing w:before="0" w:after="0" w:line="240" w:lineRule="auto"/>
              <w:jc w:val="center"/>
            </w:pPr>
            <w:r>
              <w:rPr>
                <w:rFonts w:ascii="宋体" w:hAnsi="宋体" w:eastAsia="宋体"/>
                <w:sz w:val="14"/>
              </w:rPr>
              <w:t>按照完成比例赋分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1D274FBA">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198D72D">
            <w:pPr>
              <w:spacing w:before="0" w:after="0" w:line="240" w:lineRule="auto"/>
              <w:jc w:val="center"/>
            </w:pPr>
          </w:p>
        </w:tc>
      </w:tr>
      <w:tr w14:paraId="140C7583">
        <w:tblPrEx>
          <w:tblCellMar>
            <w:top w:w="36" w:type="dxa"/>
            <w:left w:w="36" w:type="dxa"/>
            <w:bottom w:w="36" w:type="dxa"/>
            <w:right w:w="36" w:type="dxa"/>
          </w:tblCellMar>
        </w:tblPrEx>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7AD8499E"/>
        </w:tc>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3741823F"/>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72DEC833">
            <w:pPr>
              <w:spacing w:before="0" w:after="0" w:line="240" w:lineRule="auto"/>
              <w:jc w:val="center"/>
            </w:pPr>
            <w:r>
              <w:rPr>
                <w:rFonts w:ascii="宋体" w:hAnsi="宋体" w:eastAsia="宋体"/>
                <w:sz w:val="14"/>
              </w:rPr>
              <w:t>质量指标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68E75AB5">
            <w:pPr>
              <w:spacing w:before="0" w:after="0" w:line="240" w:lineRule="auto"/>
              <w:jc w:val="center"/>
            </w:pPr>
            <w:r>
              <w:rPr>
                <w:rFonts w:ascii="宋体" w:hAnsi="宋体" w:eastAsia="宋体"/>
                <w:sz w:val="14"/>
              </w:rPr>
              <w:t>水文测报设施设备养护率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932F86A">
            <w:pPr>
              <w:spacing w:before="0" w:after="0" w:line="240" w:lineRule="auto"/>
              <w:jc w:val="center"/>
            </w:pPr>
            <w:r>
              <w:rPr>
                <w:rFonts w:ascii="宋体" w:hAnsi="宋体" w:eastAsia="宋体"/>
                <w:sz w:val="14"/>
              </w:rPr>
              <w:t>4</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19EC51FE">
            <w:pPr>
              <w:spacing w:before="0" w:after="0" w:line="240" w:lineRule="auto"/>
              <w:jc w:val="center"/>
            </w:pPr>
            <w:r>
              <w:rPr>
                <w:rFonts w:ascii="宋体" w:hAnsi="宋体" w:eastAsia="宋体"/>
                <w:sz w:val="14"/>
              </w:rPr>
              <w:t>&gt;=95%</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22F34E71">
            <w:pPr>
              <w:spacing w:before="0" w:after="0" w:line="240" w:lineRule="auto"/>
              <w:jc w:val="center"/>
            </w:pPr>
            <w:r>
              <w:rPr>
                <w:rFonts w:ascii="宋体" w:hAnsi="宋体" w:eastAsia="宋体"/>
                <w:sz w:val="14"/>
              </w:rPr>
              <w:t>=95%</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155F20DA">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669A59DC">
            <w:pPr>
              <w:spacing w:before="0" w:after="0" w:line="240" w:lineRule="auto"/>
              <w:jc w:val="center"/>
            </w:pPr>
            <w:r>
              <w:rPr>
                <w:rFonts w:ascii="宋体" w:hAnsi="宋体" w:eastAsia="宋体"/>
                <w:sz w:val="14"/>
              </w:rPr>
              <w:t>4</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782FB9CA">
            <w:pPr>
              <w:spacing w:before="0" w:after="0" w:line="240" w:lineRule="auto"/>
              <w:jc w:val="center"/>
            </w:pPr>
            <w:r>
              <w:rPr>
                <w:rFonts w:ascii="宋体" w:hAnsi="宋体" w:eastAsia="宋体"/>
                <w:sz w:val="14"/>
              </w:rPr>
              <w:t>历史标准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6DA9D24C">
            <w:pPr>
              <w:spacing w:before="0" w:after="0" w:line="240" w:lineRule="auto"/>
              <w:jc w:val="center"/>
            </w:pPr>
            <w:r>
              <w:rPr>
                <w:rFonts w:ascii="宋体" w:hAnsi="宋体" w:eastAsia="宋体"/>
                <w:sz w:val="14"/>
              </w:rPr>
              <w:t>95%</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70980172">
            <w:pPr>
              <w:spacing w:before="0" w:after="0" w:line="240" w:lineRule="auto"/>
              <w:jc w:val="center"/>
            </w:pPr>
            <w:r>
              <w:rPr>
                <w:rFonts w:ascii="宋体" w:hAnsi="宋体" w:eastAsia="宋体"/>
                <w:sz w:val="14"/>
              </w:rPr>
              <w:t>按照完成比例赋分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33DAC553">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DD2E236">
            <w:pPr>
              <w:spacing w:before="0" w:after="0" w:line="240" w:lineRule="auto"/>
              <w:jc w:val="center"/>
            </w:pPr>
          </w:p>
        </w:tc>
      </w:tr>
      <w:tr w14:paraId="61F0600C">
        <w:tblPrEx>
          <w:tblCellMar>
            <w:top w:w="36" w:type="dxa"/>
            <w:left w:w="36" w:type="dxa"/>
            <w:bottom w:w="36" w:type="dxa"/>
            <w:right w:w="36" w:type="dxa"/>
          </w:tblCellMar>
        </w:tblPrEx>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24942B93"/>
        </w:tc>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32D42F71"/>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2627586A">
            <w:pPr>
              <w:spacing w:before="0" w:after="0" w:line="240" w:lineRule="auto"/>
              <w:jc w:val="center"/>
            </w:pPr>
            <w:r>
              <w:rPr>
                <w:rFonts w:ascii="宋体" w:hAnsi="宋体" w:eastAsia="宋体"/>
                <w:sz w:val="14"/>
              </w:rPr>
              <w:t>质量指标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444CE52C">
            <w:pPr>
              <w:spacing w:before="0" w:after="0" w:line="240" w:lineRule="auto"/>
              <w:jc w:val="center"/>
            </w:pPr>
            <w:r>
              <w:rPr>
                <w:rFonts w:ascii="宋体" w:hAnsi="宋体" w:eastAsia="宋体"/>
                <w:sz w:val="14"/>
              </w:rPr>
              <w:t>泥沙资料整编成果系统错误率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270693FD">
            <w:pPr>
              <w:spacing w:before="0" w:after="0" w:line="240" w:lineRule="auto"/>
              <w:jc w:val="center"/>
            </w:pPr>
            <w:r>
              <w:rPr>
                <w:rFonts w:ascii="宋体" w:hAnsi="宋体" w:eastAsia="宋体"/>
                <w:sz w:val="14"/>
              </w:rPr>
              <w:t>5</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32A5D90D">
            <w:pPr>
              <w:spacing w:before="0" w:after="0" w:line="240" w:lineRule="auto"/>
              <w:jc w:val="center"/>
            </w:pPr>
            <w:r>
              <w:rPr>
                <w:rFonts w:ascii="宋体" w:hAnsi="宋体" w:eastAsia="宋体"/>
                <w:sz w:val="14"/>
              </w:rPr>
              <w:t>&lt;=1%</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4A8A29AB">
            <w:pPr>
              <w:spacing w:before="0" w:after="0" w:line="240" w:lineRule="auto"/>
              <w:jc w:val="center"/>
            </w:pPr>
            <w:r>
              <w:rPr>
                <w:rFonts w:ascii="宋体" w:hAnsi="宋体" w:eastAsia="宋体"/>
                <w:sz w:val="14"/>
              </w:rPr>
              <w:t>=0%</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3EB8EA30">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4CFE182">
            <w:pPr>
              <w:spacing w:before="0" w:after="0" w:line="240" w:lineRule="auto"/>
              <w:jc w:val="center"/>
            </w:pPr>
            <w:r>
              <w:rPr>
                <w:rFonts w:ascii="宋体" w:hAnsi="宋体" w:eastAsia="宋体"/>
                <w:sz w:val="14"/>
              </w:rPr>
              <w:t>5</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04164CDA">
            <w:pPr>
              <w:spacing w:before="0" w:after="0" w:line="240" w:lineRule="auto"/>
              <w:jc w:val="center"/>
            </w:pPr>
            <w:r>
              <w:rPr>
                <w:rFonts w:ascii="宋体" w:hAnsi="宋体" w:eastAsia="宋体"/>
                <w:sz w:val="14"/>
              </w:rPr>
              <w:t>行业标准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5A4386B9">
            <w:pPr>
              <w:spacing w:before="0" w:after="0" w:line="240" w:lineRule="auto"/>
              <w:jc w:val="center"/>
            </w:pPr>
            <w:r>
              <w:rPr>
                <w:rFonts w:ascii="宋体" w:hAnsi="宋体" w:eastAsia="宋体"/>
                <w:sz w:val="14"/>
              </w:rPr>
              <w:t>0.5%</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61CF8581">
            <w:pPr>
              <w:spacing w:before="0" w:after="0" w:line="240" w:lineRule="auto"/>
              <w:jc w:val="center"/>
            </w:pPr>
            <w:r>
              <w:rPr>
                <w:rFonts w:ascii="宋体" w:hAnsi="宋体" w:eastAsia="宋体"/>
                <w:sz w:val="14"/>
              </w:rPr>
              <w:t>按照完成比例赋分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494261DC">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F9DB416">
            <w:pPr>
              <w:spacing w:before="0" w:after="0" w:line="240" w:lineRule="auto"/>
              <w:jc w:val="center"/>
            </w:pPr>
          </w:p>
        </w:tc>
      </w:tr>
      <w:tr w14:paraId="02BB8F74">
        <w:tblPrEx>
          <w:tblCellMar>
            <w:top w:w="36" w:type="dxa"/>
            <w:left w:w="36" w:type="dxa"/>
            <w:bottom w:w="36" w:type="dxa"/>
            <w:right w:w="36" w:type="dxa"/>
          </w:tblCellMar>
        </w:tblPrEx>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0DC2850F"/>
        </w:tc>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69055FEC"/>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1ED858AC">
            <w:pPr>
              <w:spacing w:before="0" w:after="0" w:line="240" w:lineRule="auto"/>
              <w:jc w:val="center"/>
            </w:pPr>
            <w:r>
              <w:rPr>
                <w:rFonts w:ascii="宋体" w:hAnsi="宋体" w:eastAsia="宋体"/>
                <w:sz w:val="14"/>
              </w:rPr>
              <w:t>质量指标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3763713B">
            <w:pPr>
              <w:spacing w:before="0" w:after="0" w:line="240" w:lineRule="auto"/>
              <w:jc w:val="center"/>
            </w:pPr>
            <w:r>
              <w:rPr>
                <w:rFonts w:ascii="宋体" w:hAnsi="宋体" w:eastAsia="宋体"/>
                <w:sz w:val="14"/>
              </w:rPr>
              <w:t>水情报讯漏、错报率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7A4F31CC">
            <w:pPr>
              <w:spacing w:before="0" w:after="0" w:line="240" w:lineRule="auto"/>
              <w:jc w:val="center"/>
            </w:pPr>
            <w:r>
              <w:rPr>
                <w:rFonts w:ascii="宋体" w:hAnsi="宋体" w:eastAsia="宋体"/>
                <w:sz w:val="14"/>
              </w:rPr>
              <w:t>5</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080EDD52">
            <w:pPr>
              <w:spacing w:before="0" w:after="0" w:line="240" w:lineRule="auto"/>
              <w:jc w:val="center"/>
            </w:pPr>
            <w:r>
              <w:rPr>
                <w:rFonts w:ascii="宋体" w:hAnsi="宋体" w:eastAsia="宋体"/>
                <w:sz w:val="14"/>
              </w:rPr>
              <w:t>&lt;=2%</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51A858A8">
            <w:pPr>
              <w:spacing w:before="0" w:after="0" w:line="240" w:lineRule="auto"/>
              <w:jc w:val="center"/>
            </w:pPr>
            <w:r>
              <w:rPr>
                <w:rFonts w:ascii="宋体" w:hAnsi="宋体" w:eastAsia="宋体"/>
                <w:sz w:val="14"/>
              </w:rPr>
              <w:t>=2%</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50E184CF">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5491F6C4">
            <w:pPr>
              <w:spacing w:before="0" w:after="0" w:line="240" w:lineRule="auto"/>
              <w:jc w:val="center"/>
            </w:pPr>
            <w:r>
              <w:rPr>
                <w:rFonts w:ascii="宋体" w:hAnsi="宋体" w:eastAsia="宋体"/>
                <w:sz w:val="14"/>
              </w:rPr>
              <w:t>5</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1CCA6FFB">
            <w:pPr>
              <w:spacing w:before="0" w:after="0" w:line="240" w:lineRule="auto"/>
              <w:jc w:val="center"/>
            </w:pPr>
            <w:r>
              <w:rPr>
                <w:rFonts w:ascii="宋体" w:hAnsi="宋体" w:eastAsia="宋体"/>
                <w:sz w:val="14"/>
              </w:rPr>
              <w:t>计划标准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245C7E98">
            <w:pPr>
              <w:spacing w:before="0" w:after="0" w:line="240" w:lineRule="auto"/>
              <w:jc w:val="center"/>
            </w:pPr>
            <w:r>
              <w:rPr>
                <w:rFonts w:ascii="宋体" w:hAnsi="宋体" w:eastAsia="宋体"/>
                <w:sz w:val="14"/>
              </w:rPr>
              <w:t>2%</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768325C0">
            <w:pPr>
              <w:spacing w:before="0" w:after="0" w:line="240" w:lineRule="auto"/>
              <w:jc w:val="center"/>
            </w:pPr>
            <w:r>
              <w:rPr>
                <w:rFonts w:ascii="宋体" w:hAnsi="宋体" w:eastAsia="宋体"/>
                <w:sz w:val="14"/>
              </w:rPr>
              <w:t>按照完成比例赋分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649447B5">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430D080">
            <w:pPr>
              <w:spacing w:before="0" w:after="0" w:line="240" w:lineRule="auto"/>
              <w:jc w:val="center"/>
            </w:pPr>
          </w:p>
        </w:tc>
      </w:tr>
      <w:tr w14:paraId="6FD8D2D5">
        <w:tblPrEx>
          <w:tblCellMar>
            <w:top w:w="36" w:type="dxa"/>
            <w:left w:w="36" w:type="dxa"/>
            <w:bottom w:w="36" w:type="dxa"/>
            <w:right w:w="36" w:type="dxa"/>
          </w:tblCellMar>
        </w:tblPrEx>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63F10D9E"/>
        </w:tc>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2A9491F6"/>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26267214">
            <w:pPr>
              <w:spacing w:before="0" w:after="0" w:line="240" w:lineRule="auto"/>
              <w:jc w:val="center"/>
            </w:pPr>
            <w:r>
              <w:rPr>
                <w:rFonts w:ascii="宋体" w:hAnsi="宋体" w:eastAsia="宋体"/>
                <w:sz w:val="14"/>
              </w:rPr>
              <w:t>时效指标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5761E745">
            <w:pPr>
              <w:spacing w:before="0" w:after="0" w:line="240" w:lineRule="auto"/>
              <w:jc w:val="center"/>
            </w:pPr>
            <w:r>
              <w:rPr>
                <w:rFonts w:ascii="宋体" w:hAnsi="宋体" w:eastAsia="宋体"/>
                <w:sz w:val="14"/>
              </w:rPr>
              <w:t>水雨情信息报水情分中心时限</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C342CF9">
            <w:pPr>
              <w:spacing w:before="0" w:after="0" w:line="240" w:lineRule="auto"/>
              <w:jc w:val="center"/>
            </w:pPr>
            <w:r>
              <w:rPr>
                <w:rFonts w:ascii="宋体" w:hAnsi="宋体" w:eastAsia="宋体"/>
                <w:sz w:val="14"/>
              </w:rPr>
              <w:t>4</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3AEC2406">
            <w:pPr>
              <w:spacing w:before="0" w:after="0" w:line="240" w:lineRule="auto"/>
              <w:jc w:val="center"/>
            </w:pPr>
            <w:r>
              <w:rPr>
                <w:rFonts w:ascii="宋体" w:hAnsi="宋体" w:eastAsia="宋体"/>
                <w:sz w:val="14"/>
              </w:rPr>
              <w:t>&lt;=30分钟</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0AF7C369">
            <w:pPr>
              <w:spacing w:before="0" w:after="0" w:line="240" w:lineRule="auto"/>
              <w:jc w:val="center"/>
            </w:pPr>
            <w:r>
              <w:rPr>
                <w:rFonts w:ascii="宋体" w:hAnsi="宋体" w:eastAsia="宋体"/>
                <w:sz w:val="14"/>
              </w:rPr>
              <w:t>=5分钟</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7E1DB9D6">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0D4D2352">
            <w:pPr>
              <w:spacing w:before="0" w:after="0" w:line="240" w:lineRule="auto"/>
              <w:jc w:val="center"/>
            </w:pPr>
            <w:r>
              <w:rPr>
                <w:rFonts w:ascii="宋体" w:hAnsi="宋体" w:eastAsia="宋体"/>
                <w:sz w:val="14"/>
              </w:rPr>
              <w:t>4</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1162D261">
            <w:pPr>
              <w:spacing w:before="0" w:after="0" w:line="240" w:lineRule="auto"/>
              <w:jc w:val="center"/>
            </w:pPr>
            <w:r>
              <w:rPr>
                <w:rFonts w:ascii="宋体" w:hAnsi="宋体" w:eastAsia="宋体"/>
                <w:sz w:val="14"/>
              </w:rPr>
              <w:t>历史标准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1BBF6524">
            <w:pPr>
              <w:spacing w:before="0" w:after="0" w:line="240" w:lineRule="auto"/>
              <w:jc w:val="center"/>
            </w:pPr>
            <w:r>
              <w:rPr>
                <w:rFonts w:ascii="宋体" w:hAnsi="宋体" w:eastAsia="宋体"/>
                <w:sz w:val="14"/>
              </w:rPr>
              <w:t>30分钟</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3A5281B7">
            <w:pPr>
              <w:spacing w:before="0" w:after="0" w:line="240" w:lineRule="auto"/>
              <w:jc w:val="center"/>
            </w:pPr>
            <w:r>
              <w:rPr>
                <w:rFonts w:ascii="宋体" w:hAnsi="宋体" w:eastAsia="宋体"/>
                <w:sz w:val="14"/>
              </w:rPr>
              <w:t>按照完成比</w:t>
            </w:r>
            <w:bookmarkStart w:id="0" w:name="_GoBack"/>
            <w:bookmarkEnd w:id="0"/>
            <w:r>
              <w:rPr>
                <w:rFonts w:ascii="宋体" w:hAnsi="宋体" w:eastAsia="宋体"/>
                <w:sz w:val="14"/>
              </w:rPr>
              <w:t>例赋分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037C76F8">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CF09592">
            <w:pPr>
              <w:spacing w:before="0" w:after="0" w:line="240" w:lineRule="auto"/>
              <w:jc w:val="center"/>
            </w:pPr>
          </w:p>
        </w:tc>
      </w:tr>
      <w:tr w14:paraId="0A39EBAE">
        <w:tblPrEx>
          <w:tblCellMar>
            <w:top w:w="36" w:type="dxa"/>
            <w:left w:w="36" w:type="dxa"/>
            <w:bottom w:w="36" w:type="dxa"/>
            <w:right w:w="36" w:type="dxa"/>
          </w:tblCellMar>
        </w:tblPrEx>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28EBEACD"/>
        </w:tc>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5CB314F3"/>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5B08DB5B">
            <w:pPr>
              <w:spacing w:before="0" w:after="0" w:line="240" w:lineRule="auto"/>
              <w:jc w:val="center"/>
            </w:pPr>
            <w:r>
              <w:rPr>
                <w:rFonts w:ascii="宋体" w:hAnsi="宋体" w:eastAsia="宋体"/>
                <w:sz w:val="14"/>
              </w:rPr>
              <w:t>时效指标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18154BBC">
            <w:pPr>
              <w:spacing w:before="0" w:after="0" w:line="240" w:lineRule="auto"/>
              <w:jc w:val="center"/>
            </w:pPr>
            <w:r>
              <w:rPr>
                <w:rFonts w:ascii="宋体" w:hAnsi="宋体" w:eastAsia="宋体"/>
                <w:sz w:val="14"/>
              </w:rPr>
              <w:t>设施设备检查汛前完成及时率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260AB038">
            <w:pPr>
              <w:spacing w:before="0" w:after="0" w:line="240" w:lineRule="auto"/>
              <w:jc w:val="center"/>
            </w:pPr>
            <w:r>
              <w:rPr>
                <w:rFonts w:ascii="宋体" w:hAnsi="宋体" w:eastAsia="宋体"/>
                <w:sz w:val="14"/>
              </w:rPr>
              <w:t>4</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62C7D7DC">
            <w:pPr>
              <w:spacing w:before="0" w:after="0" w:line="240" w:lineRule="auto"/>
              <w:jc w:val="center"/>
            </w:pPr>
            <w:r>
              <w:rPr>
                <w:rFonts w:ascii="宋体" w:hAnsi="宋体" w:eastAsia="宋体"/>
                <w:sz w:val="14"/>
              </w:rPr>
              <w:t>&gt;=90%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00554C6C">
            <w:pPr>
              <w:spacing w:before="0" w:after="0" w:line="240" w:lineRule="auto"/>
              <w:jc w:val="center"/>
            </w:pPr>
            <w:r>
              <w:rPr>
                <w:rFonts w:ascii="宋体" w:hAnsi="宋体" w:eastAsia="宋体"/>
                <w:sz w:val="14"/>
              </w:rPr>
              <w:t>=95%</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48598333">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749918B0">
            <w:pPr>
              <w:spacing w:before="0" w:after="0" w:line="240" w:lineRule="auto"/>
              <w:jc w:val="center"/>
            </w:pPr>
            <w:r>
              <w:rPr>
                <w:rFonts w:ascii="宋体" w:hAnsi="宋体" w:eastAsia="宋体"/>
                <w:sz w:val="14"/>
              </w:rPr>
              <w:t>4</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39AC2C54">
            <w:pPr>
              <w:spacing w:before="0" w:after="0" w:line="240" w:lineRule="auto"/>
              <w:jc w:val="center"/>
            </w:pPr>
            <w:r>
              <w:rPr>
                <w:rFonts w:ascii="宋体" w:hAnsi="宋体" w:eastAsia="宋体"/>
                <w:sz w:val="14"/>
              </w:rPr>
              <w:t>历史标准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2FC21E66">
            <w:pPr>
              <w:spacing w:before="0" w:after="0" w:line="240" w:lineRule="auto"/>
              <w:jc w:val="center"/>
            </w:pPr>
            <w:r>
              <w:rPr>
                <w:rFonts w:ascii="宋体" w:hAnsi="宋体" w:eastAsia="宋体"/>
                <w:sz w:val="14"/>
              </w:rPr>
              <w:t>90%</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6C6B27C8">
            <w:pPr>
              <w:spacing w:before="0" w:after="0" w:line="240" w:lineRule="auto"/>
              <w:jc w:val="center"/>
            </w:pPr>
            <w:r>
              <w:rPr>
                <w:rFonts w:ascii="宋体" w:hAnsi="宋体" w:eastAsia="宋体"/>
                <w:sz w:val="14"/>
              </w:rPr>
              <w:t>按照完成比例赋分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247EC509">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3E79AA9">
            <w:pPr>
              <w:spacing w:before="0" w:after="0" w:line="240" w:lineRule="auto"/>
              <w:jc w:val="center"/>
            </w:pPr>
          </w:p>
        </w:tc>
      </w:tr>
      <w:tr w14:paraId="1DD11380">
        <w:tblPrEx>
          <w:tblCellMar>
            <w:top w:w="36" w:type="dxa"/>
            <w:left w:w="36" w:type="dxa"/>
            <w:bottom w:w="36" w:type="dxa"/>
            <w:right w:w="36" w:type="dxa"/>
          </w:tblCellMar>
        </w:tblPrEx>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336376CB"/>
        </w:tc>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3E266C35"/>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6F552D48">
            <w:pPr>
              <w:spacing w:before="0" w:after="0" w:line="240" w:lineRule="auto"/>
              <w:jc w:val="center"/>
            </w:pPr>
            <w:r>
              <w:rPr>
                <w:rFonts w:ascii="宋体" w:hAnsi="宋体" w:eastAsia="宋体"/>
                <w:sz w:val="14"/>
              </w:rPr>
              <w:t>时效指标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12AEFAF9">
            <w:pPr>
              <w:spacing w:before="0" w:after="0" w:line="240" w:lineRule="auto"/>
              <w:jc w:val="center"/>
            </w:pPr>
            <w:r>
              <w:rPr>
                <w:rFonts w:ascii="宋体" w:hAnsi="宋体" w:eastAsia="宋体"/>
                <w:sz w:val="14"/>
              </w:rPr>
              <w:t>站网平台数据录入及时率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0765360C">
            <w:pPr>
              <w:spacing w:before="0" w:after="0" w:line="240" w:lineRule="auto"/>
              <w:jc w:val="center"/>
            </w:pPr>
            <w:r>
              <w:rPr>
                <w:rFonts w:ascii="宋体" w:hAnsi="宋体" w:eastAsia="宋体"/>
                <w:sz w:val="14"/>
              </w:rPr>
              <w:t>4</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55270CB7">
            <w:pPr>
              <w:spacing w:before="0" w:after="0" w:line="240" w:lineRule="auto"/>
              <w:jc w:val="center"/>
            </w:pPr>
            <w:r>
              <w:rPr>
                <w:rFonts w:ascii="宋体" w:hAnsi="宋体" w:eastAsia="宋体"/>
                <w:sz w:val="14"/>
              </w:rPr>
              <w:t>&gt;=95%</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53137D4">
            <w:pPr>
              <w:spacing w:before="0" w:after="0" w:line="240" w:lineRule="auto"/>
              <w:jc w:val="center"/>
            </w:pPr>
            <w:r>
              <w:rPr>
                <w:rFonts w:ascii="宋体" w:hAnsi="宋体" w:eastAsia="宋体"/>
                <w:sz w:val="14"/>
              </w:rPr>
              <w:t>=95%</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3489B370">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064A47EE">
            <w:pPr>
              <w:spacing w:before="0" w:after="0" w:line="240" w:lineRule="auto"/>
              <w:jc w:val="center"/>
            </w:pPr>
            <w:r>
              <w:rPr>
                <w:rFonts w:ascii="宋体" w:hAnsi="宋体" w:eastAsia="宋体"/>
                <w:sz w:val="14"/>
              </w:rPr>
              <w:t>4</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1998F54D">
            <w:pPr>
              <w:spacing w:before="0" w:after="0" w:line="240" w:lineRule="auto"/>
              <w:jc w:val="center"/>
            </w:pPr>
            <w:r>
              <w:rPr>
                <w:rFonts w:ascii="宋体" w:hAnsi="宋体" w:eastAsia="宋体"/>
                <w:sz w:val="14"/>
              </w:rPr>
              <w:t>计划标准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560E9DFD">
            <w:pPr>
              <w:spacing w:before="0" w:after="0" w:line="240" w:lineRule="auto"/>
              <w:jc w:val="center"/>
            </w:pPr>
            <w:r>
              <w:rPr>
                <w:rFonts w:ascii="宋体" w:hAnsi="宋体" w:eastAsia="宋体"/>
                <w:sz w:val="14"/>
              </w:rPr>
              <w:t>-</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4D26839C">
            <w:pPr>
              <w:spacing w:before="0" w:after="0" w:line="240" w:lineRule="auto"/>
              <w:jc w:val="center"/>
            </w:pPr>
            <w:r>
              <w:rPr>
                <w:rFonts w:ascii="宋体" w:hAnsi="宋体" w:eastAsia="宋体"/>
                <w:sz w:val="14"/>
              </w:rPr>
              <w:t>按照完成比例赋分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142CA8BF">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DD7FED5">
            <w:pPr>
              <w:spacing w:before="0" w:after="0" w:line="240" w:lineRule="auto"/>
              <w:jc w:val="center"/>
            </w:pPr>
          </w:p>
        </w:tc>
      </w:tr>
      <w:tr w14:paraId="7D2AF41C">
        <w:tblPrEx>
          <w:tblCellMar>
            <w:top w:w="36" w:type="dxa"/>
            <w:left w:w="36" w:type="dxa"/>
            <w:bottom w:w="36" w:type="dxa"/>
            <w:right w:w="36" w:type="dxa"/>
          </w:tblCellMar>
        </w:tblPrEx>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6F2DDD55"/>
        </w:tc>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3D5098CF"/>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5A6D8DC0">
            <w:pPr>
              <w:spacing w:before="0" w:after="0" w:line="240" w:lineRule="auto"/>
              <w:jc w:val="center"/>
            </w:pPr>
            <w:r>
              <w:rPr>
                <w:rFonts w:ascii="宋体" w:hAnsi="宋体" w:eastAsia="宋体"/>
                <w:sz w:val="14"/>
              </w:rPr>
              <w:t>时效指标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6CE33A6A">
            <w:pPr>
              <w:spacing w:before="0" w:after="0" w:line="240" w:lineRule="auto"/>
              <w:jc w:val="center"/>
            </w:pPr>
            <w:r>
              <w:rPr>
                <w:rFonts w:ascii="宋体" w:hAnsi="宋体" w:eastAsia="宋体"/>
                <w:sz w:val="14"/>
              </w:rPr>
              <w:t>“四随”制度完成及时率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1E04AB38">
            <w:pPr>
              <w:spacing w:before="0" w:after="0" w:line="240" w:lineRule="auto"/>
              <w:jc w:val="center"/>
            </w:pPr>
            <w:r>
              <w:rPr>
                <w:rFonts w:ascii="宋体" w:hAnsi="宋体" w:eastAsia="宋体"/>
                <w:sz w:val="14"/>
              </w:rPr>
              <w:t>4</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3D469BAE">
            <w:pPr>
              <w:spacing w:before="0" w:after="0" w:line="240" w:lineRule="auto"/>
              <w:jc w:val="center"/>
            </w:pPr>
            <w:r>
              <w:rPr>
                <w:rFonts w:ascii="宋体" w:hAnsi="宋体" w:eastAsia="宋体"/>
                <w:sz w:val="14"/>
              </w:rPr>
              <w:t>&gt;=95%</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4C9F4C78">
            <w:pPr>
              <w:spacing w:before="0" w:after="0" w:line="240" w:lineRule="auto"/>
              <w:jc w:val="center"/>
            </w:pPr>
            <w:r>
              <w:rPr>
                <w:rFonts w:ascii="宋体" w:hAnsi="宋体" w:eastAsia="宋体"/>
                <w:sz w:val="14"/>
              </w:rPr>
              <w:t>=95%</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00C29A4E">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7974FB96">
            <w:pPr>
              <w:spacing w:before="0" w:after="0" w:line="240" w:lineRule="auto"/>
              <w:jc w:val="center"/>
            </w:pPr>
            <w:r>
              <w:rPr>
                <w:rFonts w:ascii="宋体" w:hAnsi="宋体" w:eastAsia="宋体"/>
                <w:sz w:val="14"/>
              </w:rPr>
              <w:t>4</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2DAA7338">
            <w:pPr>
              <w:spacing w:before="0" w:after="0" w:line="240" w:lineRule="auto"/>
              <w:jc w:val="center"/>
            </w:pPr>
            <w:r>
              <w:rPr>
                <w:rFonts w:ascii="宋体" w:hAnsi="宋体" w:eastAsia="宋体"/>
                <w:sz w:val="14"/>
              </w:rPr>
              <w:t>计划标准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262B7426">
            <w:pPr>
              <w:spacing w:before="0" w:after="0" w:line="240" w:lineRule="auto"/>
              <w:jc w:val="center"/>
            </w:pPr>
            <w:r>
              <w:rPr>
                <w:rFonts w:ascii="宋体" w:hAnsi="宋体" w:eastAsia="宋体"/>
                <w:sz w:val="14"/>
              </w:rPr>
              <w:t>-</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3508E2A7">
            <w:pPr>
              <w:spacing w:before="0" w:after="0" w:line="240" w:lineRule="auto"/>
              <w:jc w:val="center"/>
            </w:pPr>
            <w:r>
              <w:rPr>
                <w:rFonts w:ascii="宋体" w:hAnsi="宋体" w:eastAsia="宋体"/>
                <w:sz w:val="14"/>
              </w:rPr>
              <w:t>按照完成比例赋分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78A7FA0F">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71CFF76">
            <w:pPr>
              <w:spacing w:before="0" w:after="0" w:line="240" w:lineRule="auto"/>
              <w:jc w:val="center"/>
            </w:pPr>
          </w:p>
        </w:tc>
      </w:tr>
      <w:tr w14:paraId="2EF53685">
        <w:tblPrEx>
          <w:tblCellMar>
            <w:top w:w="36" w:type="dxa"/>
            <w:left w:w="36" w:type="dxa"/>
            <w:bottom w:w="36" w:type="dxa"/>
            <w:right w:w="36" w:type="dxa"/>
          </w:tblCellMar>
        </w:tblPrEx>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3E2C1ABF"/>
        </w:tc>
        <w:tc>
          <w:tcPr>
            <w:tcW w:w="56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12EAD4">
            <w:pPr>
              <w:spacing w:before="0" w:after="0" w:line="240" w:lineRule="auto"/>
              <w:jc w:val="center"/>
            </w:pPr>
            <w:r>
              <w:rPr>
                <w:rFonts w:ascii="宋体" w:hAnsi="宋体" w:eastAsia="宋体"/>
                <w:sz w:val="14"/>
              </w:rPr>
              <w:t>成本指标</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01E630AA">
            <w:pPr>
              <w:spacing w:before="0" w:after="0" w:line="240" w:lineRule="auto"/>
              <w:jc w:val="center"/>
            </w:pPr>
            <w:r>
              <w:rPr>
                <w:rFonts w:ascii="宋体" w:hAnsi="宋体" w:eastAsia="宋体"/>
                <w:sz w:val="14"/>
              </w:rPr>
              <w:t>经济成本指标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646349C8">
            <w:pPr>
              <w:spacing w:before="0" w:after="0" w:line="240" w:lineRule="auto"/>
              <w:jc w:val="center"/>
            </w:pPr>
            <w:r>
              <w:rPr>
                <w:rFonts w:ascii="宋体" w:hAnsi="宋体" w:eastAsia="宋体"/>
                <w:sz w:val="14"/>
              </w:rPr>
              <w:t>水文测验工作成本</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0A813E9">
            <w:pPr>
              <w:spacing w:before="0" w:after="0" w:line="240" w:lineRule="auto"/>
              <w:jc w:val="center"/>
            </w:pPr>
            <w:r>
              <w:rPr>
                <w:rFonts w:ascii="宋体" w:hAnsi="宋体" w:eastAsia="宋体"/>
                <w:sz w:val="14"/>
              </w:rPr>
              <w:t>10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57246BDF">
            <w:pPr>
              <w:spacing w:before="0" w:after="0" w:line="240" w:lineRule="auto"/>
              <w:jc w:val="center"/>
            </w:pPr>
            <w:r>
              <w:rPr>
                <w:rFonts w:ascii="宋体" w:hAnsi="宋体" w:eastAsia="宋体"/>
                <w:sz w:val="14"/>
              </w:rPr>
              <w:t>&lt;=20.20万元</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F4C314E">
            <w:pPr>
              <w:spacing w:before="0" w:after="0" w:line="240" w:lineRule="auto"/>
              <w:jc w:val="center"/>
            </w:pPr>
            <w:r>
              <w:rPr>
                <w:rFonts w:ascii="宋体" w:hAnsi="宋体" w:eastAsia="宋体"/>
                <w:sz w:val="14"/>
              </w:rPr>
              <w:t>=20.2万元</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6F55ABB0">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7E58AFE6">
            <w:pPr>
              <w:spacing w:before="0" w:after="0" w:line="240" w:lineRule="auto"/>
              <w:jc w:val="center"/>
            </w:pPr>
            <w:r>
              <w:rPr>
                <w:rFonts w:ascii="宋体" w:hAnsi="宋体" w:eastAsia="宋体"/>
                <w:sz w:val="14"/>
              </w:rPr>
              <w:t>10</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3AD17752">
            <w:pPr>
              <w:spacing w:before="0" w:after="0" w:line="240" w:lineRule="auto"/>
              <w:jc w:val="center"/>
            </w:pPr>
            <w:r>
              <w:rPr>
                <w:rFonts w:ascii="宋体" w:hAnsi="宋体" w:eastAsia="宋体"/>
                <w:sz w:val="14"/>
              </w:rPr>
              <w:t>计划标准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2F994BA2">
            <w:pPr>
              <w:spacing w:before="0" w:after="0" w:line="240" w:lineRule="auto"/>
              <w:jc w:val="center"/>
            </w:pPr>
            <w:r>
              <w:rPr>
                <w:rFonts w:ascii="宋体" w:hAnsi="宋体" w:eastAsia="宋体"/>
                <w:sz w:val="14"/>
              </w:rPr>
              <w:t>-</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4F586A9A">
            <w:pPr>
              <w:spacing w:before="0" w:after="0" w:line="240" w:lineRule="auto"/>
              <w:jc w:val="center"/>
            </w:pPr>
            <w:r>
              <w:rPr>
                <w:rFonts w:ascii="宋体" w:hAnsi="宋体" w:eastAsia="宋体"/>
                <w:sz w:val="14"/>
              </w:rPr>
              <w:t>按照完成比例赋分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46381A80">
            <w:pPr>
              <w:spacing w:before="0" w:after="0" w:line="240" w:lineRule="auto"/>
              <w:jc w:val="center"/>
            </w:pPr>
            <w:r>
              <w:rPr>
                <w:rFonts w:ascii="宋体" w:hAnsi="宋体" w:eastAsia="宋体"/>
                <w:sz w:val="14"/>
              </w:rPr>
              <w:t>说明材料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460F1D0">
            <w:pPr>
              <w:spacing w:before="0" w:after="0" w:line="240" w:lineRule="auto"/>
              <w:jc w:val="center"/>
            </w:pPr>
          </w:p>
        </w:tc>
      </w:tr>
      <w:tr w14:paraId="56A501F6">
        <w:tblPrEx>
          <w:tblCellMar>
            <w:top w:w="36" w:type="dxa"/>
            <w:left w:w="36" w:type="dxa"/>
            <w:bottom w:w="36" w:type="dxa"/>
            <w:right w:w="36" w:type="dxa"/>
          </w:tblCellMar>
        </w:tblPrEx>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5B162BA0"/>
        </w:tc>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496EEE3A"/>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30506B72">
            <w:pPr>
              <w:spacing w:before="0" w:after="0" w:line="240" w:lineRule="auto"/>
              <w:jc w:val="center"/>
            </w:pPr>
            <w:r>
              <w:rPr>
                <w:rFonts w:ascii="宋体" w:hAnsi="宋体" w:eastAsia="宋体"/>
                <w:sz w:val="14"/>
              </w:rPr>
              <w:t>经济成本指标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7C2F8B13">
            <w:pPr>
              <w:spacing w:before="0" w:after="0" w:line="240" w:lineRule="auto"/>
              <w:jc w:val="center"/>
            </w:pPr>
            <w:r>
              <w:rPr>
                <w:rFonts w:ascii="宋体" w:hAnsi="宋体" w:eastAsia="宋体"/>
                <w:sz w:val="14"/>
              </w:rPr>
              <w:t>设施设备维修维护更新保养成本</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5BC19FB3">
            <w:pPr>
              <w:spacing w:before="0" w:after="0" w:line="240" w:lineRule="auto"/>
              <w:jc w:val="center"/>
            </w:pPr>
            <w:r>
              <w:rPr>
                <w:rFonts w:ascii="宋体" w:hAnsi="宋体" w:eastAsia="宋体"/>
                <w:sz w:val="14"/>
              </w:rPr>
              <w:t>10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6F13B46B">
            <w:pPr>
              <w:spacing w:before="0" w:after="0" w:line="240" w:lineRule="auto"/>
              <w:jc w:val="center"/>
            </w:pPr>
            <w:r>
              <w:rPr>
                <w:rFonts w:ascii="宋体" w:hAnsi="宋体" w:eastAsia="宋体"/>
                <w:sz w:val="14"/>
              </w:rPr>
              <w:t>&lt;=9.80万元</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5808C089">
            <w:pPr>
              <w:spacing w:before="0" w:after="0" w:line="240" w:lineRule="auto"/>
              <w:jc w:val="center"/>
            </w:pPr>
            <w:r>
              <w:rPr>
                <w:rFonts w:ascii="宋体" w:hAnsi="宋体" w:eastAsia="宋体"/>
                <w:sz w:val="14"/>
              </w:rPr>
              <w:t>=9.8万元</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23A78049">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1A9FF7BE">
            <w:pPr>
              <w:spacing w:before="0" w:after="0" w:line="240" w:lineRule="auto"/>
              <w:jc w:val="center"/>
            </w:pPr>
            <w:r>
              <w:rPr>
                <w:rFonts w:ascii="宋体" w:hAnsi="宋体" w:eastAsia="宋体"/>
                <w:sz w:val="14"/>
              </w:rPr>
              <w:t>10</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5A561104">
            <w:pPr>
              <w:spacing w:before="0" w:after="0" w:line="240" w:lineRule="auto"/>
              <w:jc w:val="center"/>
            </w:pPr>
            <w:r>
              <w:rPr>
                <w:rFonts w:ascii="宋体" w:hAnsi="宋体" w:eastAsia="宋体"/>
                <w:sz w:val="14"/>
              </w:rPr>
              <w:t>计划标准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416B7D14">
            <w:pPr>
              <w:spacing w:before="0" w:after="0" w:line="240" w:lineRule="auto"/>
              <w:jc w:val="center"/>
            </w:pPr>
            <w:r>
              <w:rPr>
                <w:rFonts w:ascii="宋体" w:hAnsi="宋体" w:eastAsia="宋体"/>
                <w:sz w:val="14"/>
              </w:rPr>
              <w:t>-</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6D91F677">
            <w:pPr>
              <w:spacing w:before="0" w:after="0" w:line="240" w:lineRule="auto"/>
              <w:jc w:val="center"/>
            </w:pPr>
            <w:r>
              <w:rPr>
                <w:rFonts w:ascii="宋体" w:hAnsi="宋体" w:eastAsia="宋体"/>
                <w:sz w:val="14"/>
              </w:rPr>
              <w:t>按照完成比例赋分</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39229212">
            <w:pPr>
              <w:spacing w:before="0" w:after="0" w:line="240" w:lineRule="auto"/>
              <w:jc w:val="center"/>
            </w:pPr>
            <w:r>
              <w:rPr>
                <w:rFonts w:ascii="宋体" w:hAnsi="宋体" w:eastAsia="宋体"/>
                <w:sz w:val="14"/>
              </w:rPr>
              <w:t>说明材料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0B33758">
            <w:pPr>
              <w:spacing w:before="0" w:after="0" w:line="240" w:lineRule="auto"/>
              <w:jc w:val="center"/>
            </w:pPr>
          </w:p>
        </w:tc>
      </w:tr>
      <w:tr w14:paraId="58B1F082">
        <w:tblPrEx>
          <w:tblCellMar>
            <w:top w:w="36" w:type="dxa"/>
            <w:left w:w="36" w:type="dxa"/>
            <w:bottom w:w="36" w:type="dxa"/>
            <w:right w:w="36" w:type="dxa"/>
          </w:tblCellMar>
        </w:tblPrEx>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2685CC49"/>
        </w:tc>
        <w:tc>
          <w:tcPr>
            <w:tcW w:w="56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AB9EFF">
            <w:pPr>
              <w:spacing w:before="0" w:after="0" w:line="240" w:lineRule="auto"/>
              <w:jc w:val="center"/>
            </w:pPr>
            <w:r>
              <w:rPr>
                <w:rFonts w:ascii="宋体" w:hAnsi="宋体" w:eastAsia="宋体"/>
                <w:sz w:val="14"/>
              </w:rPr>
              <w:t>效益指标</w:t>
            </w:r>
          </w:p>
        </w:tc>
        <w:tc>
          <w:tcPr>
            <w:tcW w:w="569" w:type="dxa"/>
            <w:tcBorders>
              <w:top w:val="single" w:color="auto" w:sz="10" w:space="0"/>
              <w:left w:val="single" w:color="auto" w:sz="10" w:space="0"/>
              <w:bottom w:val="single" w:color="auto" w:sz="10" w:space="0"/>
              <w:right w:val="single" w:color="auto" w:sz="10" w:space="0"/>
              <w:insideV w:val="single" w:sz="10" w:space="0"/>
            </w:tcBorders>
            <w:shd w:val="clear"/>
            <w:vAlign w:val="center"/>
          </w:tcPr>
          <w:p w14:paraId="358BF6AB">
            <w:pPr>
              <w:spacing w:before="0" w:after="0" w:line="240" w:lineRule="auto"/>
              <w:jc w:val="center"/>
              <w:rPr>
                <w:rFonts w:ascii="Times New Roman" w:hAnsi="Times New Roman" w:eastAsia="宋体" w:cs="Times New Roman"/>
                <w:kern w:val="2"/>
                <w:sz w:val="32"/>
                <w:szCs w:val="24"/>
                <w:lang w:val="en-US" w:eastAsia="zh-CN" w:bidi="ar-SA"/>
              </w:rPr>
            </w:pPr>
            <w:r>
              <w:rPr>
                <w:rFonts w:ascii="宋体" w:hAnsi="宋体" w:eastAsia="宋体"/>
                <w:sz w:val="14"/>
              </w:rPr>
              <w:t>社会效益指标</w:t>
            </w:r>
          </w:p>
        </w:tc>
        <w:tc>
          <w:tcPr>
            <w:tcW w:w="578" w:type="dxa"/>
            <w:tcBorders>
              <w:top w:val="single" w:color="auto" w:sz="10" w:space="0"/>
              <w:left w:val="single" w:color="auto" w:sz="10" w:space="0"/>
              <w:bottom w:val="single" w:color="auto" w:sz="10" w:space="0"/>
              <w:right w:val="single" w:color="auto" w:sz="10" w:space="0"/>
              <w:insideV w:val="single" w:sz="10" w:space="0"/>
            </w:tcBorders>
            <w:shd w:val="clear"/>
            <w:vAlign w:val="center"/>
          </w:tcPr>
          <w:p w14:paraId="479E999D">
            <w:pPr>
              <w:spacing w:before="0" w:after="0" w:line="240" w:lineRule="auto"/>
              <w:jc w:val="center"/>
              <w:rPr>
                <w:rFonts w:ascii="Times New Roman" w:hAnsi="Times New Roman" w:eastAsia="宋体" w:cs="Times New Roman"/>
                <w:kern w:val="2"/>
                <w:sz w:val="32"/>
                <w:szCs w:val="24"/>
                <w:lang w:val="en-US" w:eastAsia="zh-CN" w:bidi="ar-SA"/>
              </w:rPr>
            </w:pPr>
            <w:r>
              <w:rPr>
                <w:rFonts w:ascii="宋体" w:hAnsi="宋体" w:eastAsia="宋体"/>
                <w:sz w:val="14"/>
              </w:rPr>
              <w:t>有效提升防洪报汛能力</w:t>
            </w:r>
          </w:p>
        </w:tc>
        <w:tc>
          <w:tcPr>
            <w:tcW w:w="584" w:type="dxa"/>
            <w:tcBorders>
              <w:top w:val="single" w:color="auto" w:sz="10" w:space="0"/>
              <w:left w:val="single" w:color="auto" w:sz="10" w:space="0"/>
              <w:bottom w:val="single" w:color="auto" w:sz="10" w:space="0"/>
              <w:right w:val="single" w:color="auto" w:sz="10" w:space="0"/>
              <w:insideV w:val="single" w:sz="10" w:space="0"/>
            </w:tcBorders>
            <w:shd w:val="clear"/>
            <w:vAlign w:val="center"/>
          </w:tcPr>
          <w:p w14:paraId="5FFBF282">
            <w:pPr>
              <w:spacing w:before="0" w:after="0" w:line="240" w:lineRule="auto"/>
              <w:jc w:val="center"/>
              <w:rPr>
                <w:rFonts w:ascii="Times New Roman" w:hAnsi="Times New Roman" w:eastAsia="宋体" w:cs="Times New Roman"/>
                <w:kern w:val="2"/>
                <w:sz w:val="32"/>
                <w:szCs w:val="24"/>
                <w:lang w:val="en-US" w:eastAsia="zh-CN" w:bidi="ar-SA"/>
              </w:rPr>
            </w:pPr>
            <w:r>
              <w:rPr>
                <w:rFonts w:ascii="宋体" w:hAnsi="宋体" w:eastAsia="宋体"/>
                <w:sz w:val="14"/>
              </w:rPr>
              <w:t>10</w:t>
            </w:r>
          </w:p>
        </w:tc>
        <w:tc>
          <w:tcPr>
            <w:tcW w:w="590" w:type="dxa"/>
            <w:tcBorders>
              <w:top w:val="single" w:color="auto" w:sz="10" w:space="0"/>
              <w:left w:val="single" w:color="auto" w:sz="10" w:space="0"/>
              <w:bottom w:val="single" w:color="auto" w:sz="10" w:space="0"/>
              <w:right w:val="single" w:color="auto" w:sz="10" w:space="0"/>
              <w:insideV w:val="single" w:sz="10" w:space="0"/>
            </w:tcBorders>
            <w:shd w:val="clear"/>
            <w:vAlign w:val="center"/>
          </w:tcPr>
          <w:p w14:paraId="0F0E0E5B">
            <w:pPr>
              <w:spacing w:before="0" w:after="0" w:line="240" w:lineRule="auto"/>
              <w:jc w:val="center"/>
              <w:rPr>
                <w:rFonts w:ascii="Times New Roman" w:hAnsi="Times New Roman" w:eastAsia="宋体" w:cs="Times New Roman"/>
                <w:kern w:val="2"/>
                <w:sz w:val="32"/>
                <w:szCs w:val="24"/>
                <w:lang w:val="en-US" w:eastAsia="zh-CN" w:bidi="ar-SA"/>
              </w:rPr>
            </w:pPr>
            <w:r>
              <w:rPr>
                <w:rFonts w:ascii="宋体" w:hAnsi="宋体" w:eastAsia="宋体"/>
                <w:sz w:val="14"/>
              </w:rPr>
              <w:t>有效提升</w:t>
            </w:r>
          </w:p>
        </w:tc>
        <w:tc>
          <w:tcPr>
            <w:tcW w:w="584" w:type="dxa"/>
            <w:tcBorders>
              <w:top w:val="single" w:color="auto" w:sz="10" w:space="0"/>
              <w:left w:val="single" w:color="auto" w:sz="10" w:space="0"/>
              <w:bottom w:val="single" w:color="auto" w:sz="10" w:space="0"/>
              <w:right w:val="single" w:color="auto" w:sz="10" w:space="0"/>
              <w:insideV w:val="single" w:sz="10" w:space="0"/>
            </w:tcBorders>
            <w:shd w:val="clear"/>
            <w:vAlign w:val="center"/>
          </w:tcPr>
          <w:p w14:paraId="158EE383">
            <w:pPr>
              <w:spacing w:before="0" w:after="0" w:line="240" w:lineRule="auto"/>
              <w:jc w:val="center"/>
              <w:rPr>
                <w:rFonts w:ascii="Times New Roman" w:hAnsi="Times New Roman" w:eastAsia="宋体" w:cs="Times New Roman"/>
                <w:kern w:val="2"/>
                <w:sz w:val="32"/>
                <w:szCs w:val="24"/>
                <w:lang w:val="en-US" w:eastAsia="zh-CN" w:bidi="ar-SA"/>
              </w:rPr>
            </w:pPr>
            <w:r>
              <w:rPr>
                <w:rFonts w:ascii="宋体" w:hAnsi="宋体" w:eastAsia="宋体"/>
                <w:sz w:val="14"/>
              </w:rPr>
              <w:t>有效提升</w:t>
            </w:r>
          </w:p>
        </w:tc>
        <w:tc>
          <w:tcPr>
            <w:tcW w:w="578" w:type="dxa"/>
            <w:tcBorders>
              <w:top w:val="single" w:color="auto" w:sz="10" w:space="0"/>
              <w:left w:val="single" w:color="auto" w:sz="10" w:space="0"/>
              <w:bottom w:val="single" w:color="auto" w:sz="10" w:space="0"/>
              <w:right w:val="single" w:color="auto" w:sz="10" w:space="0"/>
              <w:insideV w:val="single" w:sz="10" w:space="0"/>
            </w:tcBorders>
            <w:shd w:val="clear"/>
            <w:vAlign w:val="center"/>
          </w:tcPr>
          <w:p w14:paraId="65708844">
            <w:pPr>
              <w:spacing w:before="0" w:after="0" w:line="240" w:lineRule="auto"/>
              <w:jc w:val="center"/>
              <w:rPr>
                <w:rFonts w:hint="eastAsia" w:ascii="Times New Roman" w:hAnsi="Times New Roman" w:eastAsia="宋体" w:cs="Times New Roman"/>
                <w:kern w:val="2"/>
                <w:sz w:val="32"/>
                <w:szCs w:val="24"/>
                <w:lang w:val="en-US" w:eastAsia="zh-CN" w:bidi="ar-SA"/>
              </w:rPr>
            </w:pPr>
            <w:r>
              <w:rPr>
                <w:rFonts w:ascii="宋体" w:hAnsi="宋体" w:eastAsia="宋体"/>
                <w:sz w:val="14"/>
              </w:rPr>
              <w:t>100</w:t>
            </w:r>
            <w:r>
              <w:rPr>
                <w:rFonts w:hint="eastAsia" w:ascii="宋体" w:hAnsi="宋体"/>
                <w:sz w:val="14"/>
                <w:lang w:val="en-US" w:eastAsia="zh-CN"/>
              </w:rPr>
              <w:t>%</w:t>
            </w:r>
          </w:p>
        </w:tc>
        <w:tc>
          <w:tcPr>
            <w:tcW w:w="584" w:type="dxa"/>
            <w:tcBorders>
              <w:top w:val="single" w:color="auto" w:sz="10" w:space="0"/>
              <w:left w:val="single" w:color="auto" w:sz="10" w:space="0"/>
              <w:bottom w:val="single" w:color="auto" w:sz="10" w:space="0"/>
              <w:right w:val="single" w:color="auto" w:sz="10" w:space="0"/>
              <w:insideV w:val="single" w:sz="10" w:space="0"/>
            </w:tcBorders>
            <w:shd w:val="clear"/>
            <w:vAlign w:val="center"/>
          </w:tcPr>
          <w:p w14:paraId="3F21989E">
            <w:pPr>
              <w:spacing w:before="0" w:after="0" w:line="240" w:lineRule="auto"/>
              <w:jc w:val="center"/>
              <w:rPr>
                <w:rFonts w:ascii="Times New Roman" w:hAnsi="Times New Roman" w:eastAsia="宋体" w:cs="Times New Roman"/>
                <w:kern w:val="2"/>
                <w:sz w:val="32"/>
                <w:szCs w:val="24"/>
                <w:lang w:val="en-US" w:eastAsia="zh-CN" w:bidi="ar-SA"/>
              </w:rPr>
            </w:pPr>
            <w:r>
              <w:rPr>
                <w:rFonts w:ascii="宋体" w:hAnsi="宋体" w:eastAsia="宋体"/>
                <w:sz w:val="14"/>
              </w:rPr>
              <w:t>10</w:t>
            </w:r>
          </w:p>
        </w:tc>
        <w:tc>
          <w:tcPr>
            <w:tcW w:w="569" w:type="dxa"/>
            <w:tcBorders>
              <w:top w:val="single" w:color="auto" w:sz="10" w:space="0"/>
              <w:left w:val="single" w:color="auto" w:sz="10" w:space="0"/>
              <w:bottom w:val="single" w:color="auto" w:sz="10" w:space="0"/>
              <w:right w:val="single" w:color="auto" w:sz="10" w:space="0"/>
              <w:insideV w:val="single" w:sz="10" w:space="0"/>
            </w:tcBorders>
            <w:shd w:val="clear"/>
            <w:vAlign w:val="center"/>
          </w:tcPr>
          <w:p w14:paraId="6B057958">
            <w:pPr>
              <w:spacing w:before="0" w:after="0" w:line="240" w:lineRule="auto"/>
              <w:jc w:val="center"/>
              <w:rPr>
                <w:rFonts w:ascii="Times New Roman" w:hAnsi="Times New Roman" w:eastAsia="宋体" w:cs="Times New Roman"/>
                <w:kern w:val="2"/>
                <w:sz w:val="32"/>
                <w:szCs w:val="24"/>
                <w:lang w:val="en-US" w:eastAsia="zh-CN" w:bidi="ar-SA"/>
              </w:rPr>
            </w:pPr>
            <w:r>
              <w:rPr>
                <w:rFonts w:ascii="宋体" w:hAnsi="宋体" w:eastAsia="宋体"/>
                <w:sz w:val="14"/>
              </w:rPr>
              <w:t>计划标准</w:t>
            </w:r>
          </w:p>
        </w:tc>
        <w:tc>
          <w:tcPr>
            <w:tcW w:w="579" w:type="dxa"/>
            <w:tcBorders>
              <w:top w:val="single" w:color="auto" w:sz="10" w:space="0"/>
              <w:left w:val="single" w:color="auto" w:sz="10" w:space="0"/>
              <w:bottom w:val="single" w:color="auto" w:sz="10" w:space="0"/>
              <w:right w:val="single" w:color="auto" w:sz="10" w:space="0"/>
              <w:insideV w:val="single" w:sz="10" w:space="0"/>
            </w:tcBorders>
            <w:shd w:val="clear"/>
            <w:vAlign w:val="center"/>
          </w:tcPr>
          <w:p w14:paraId="7632FD4B">
            <w:pPr>
              <w:spacing w:before="0" w:after="0" w:line="240" w:lineRule="auto"/>
              <w:jc w:val="center"/>
              <w:rPr>
                <w:rFonts w:ascii="Times New Roman" w:hAnsi="Times New Roman" w:eastAsia="宋体" w:cs="Times New Roman"/>
                <w:kern w:val="2"/>
                <w:sz w:val="32"/>
                <w:szCs w:val="24"/>
                <w:lang w:val="en-US" w:eastAsia="zh-CN" w:bidi="ar-SA"/>
              </w:rPr>
            </w:pPr>
            <w:r>
              <w:rPr>
                <w:rFonts w:ascii="宋体" w:hAnsi="宋体" w:eastAsia="宋体"/>
                <w:sz w:val="14"/>
              </w:rPr>
              <w:t>-</w:t>
            </w:r>
          </w:p>
        </w:tc>
        <w:tc>
          <w:tcPr>
            <w:tcW w:w="576" w:type="dxa"/>
            <w:tcBorders>
              <w:top w:val="single" w:color="auto" w:sz="10" w:space="0"/>
              <w:left w:val="single" w:color="auto" w:sz="10" w:space="0"/>
              <w:bottom w:val="single" w:color="auto" w:sz="10" w:space="0"/>
              <w:right w:val="single" w:color="auto" w:sz="10" w:space="0"/>
              <w:insideV w:val="single" w:sz="10" w:space="0"/>
            </w:tcBorders>
            <w:shd w:val="clear"/>
            <w:vAlign w:val="center"/>
          </w:tcPr>
          <w:p w14:paraId="2C031DD0">
            <w:pPr>
              <w:spacing w:before="0" w:after="0" w:line="240" w:lineRule="auto"/>
              <w:jc w:val="center"/>
              <w:rPr>
                <w:rFonts w:ascii="Times New Roman" w:hAnsi="Times New Roman" w:eastAsia="宋体" w:cs="Times New Roman"/>
                <w:kern w:val="2"/>
                <w:sz w:val="32"/>
                <w:szCs w:val="24"/>
                <w:lang w:val="en-US" w:eastAsia="zh-CN" w:bidi="ar-SA"/>
              </w:rPr>
            </w:pPr>
            <w:r>
              <w:rPr>
                <w:rFonts w:ascii="宋体" w:hAnsi="宋体" w:eastAsia="宋体"/>
                <w:sz w:val="14"/>
              </w:rPr>
              <w:t>按评判等级赋分</w:t>
            </w:r>
          </w:p>
        </w:tc>
        <w:tc>
          <w:tcPr>
            <w:tcW w:w="575" w:type="dxa"/>
            <w:tcBorders>
              <w:top w:val="single" w:color="auto" w:sz="10" w:space="0"/>
              <w:left w:val="single" w:color="auto" w:sz="10" w:space="0"/>
              <w:bottom w:val="single" w:color="auto" w:sz="10" w:space="0"/>
              <w:right w:val="single" w:color="auto" w:sz="10" w:space="0"/>
              <w:insideV w:val="single" w:sz="10" w:space="0"/>
            </w:tcBorders>
            <w:shd w:val="clear"/>
            <w:vAlign w:val="center"/>
          </w:tcPr>
          <w:p w14:paraId="15851F66">
            <w:pPr>
              <w:spacing w:before="0" w:after="0" w:line="240" w:lineRule="auto"/>
              <w:jc w:val="center"/>
              <w:rPr>
                <w:rFonts w:ascii="Times New Roman" w:hAnsi="Times New Roman" w:eastAsia="宋体" w:cs="Times New Roman"/>
                <w:kern w:val="2"/>
                <w:sz w:val="32"/>
                <w:szCs w:val="24"/>
                <w:lang w:val="en-US" w:eastAsia="zh-CN" w:bidi="ar-SA"/>
              </w:rP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shd w:val="clear"/>
            <w:vAlign w:val="center"/>
          </w:tcPr>
          <w:p w14:paraId="5D017F08">
            <w:pPr>
              <w:spacing w:before="0" w:after="0" w:line="240" w:lineRule="auto"/>
              <w:jc w:val="center"/>
              <w:rPr>
                <w:rFonts w:ascii="Times New Roman" w:hAnsi="Times New Roman" w:eastAsia="宋体" w:cs="Times New Roman"/>
                <w:kern w:val="2"/>
                <w:sz w:val="32"/>
                <w:szCs w:val="24"/>
                <w:lang w:val="en-US" w:eastAsia="zh-CN" w:bidi="ar-SA"/>
              </w:rPr>
            </w:pPr>
          </w:p>
        </w:tc>
      </w:tr>
      <w:tr w14:paraId="45657646">
        <w:tblPrEx>
          <w:tblCellMar>
            <w:top w:w="36" w:type="dxa"/>
            <w:left w:w="36" w:type="dxa"/>
            <w:bottom w:w="36" w:type="dxa"/>
            <w:right w:w="36" w:type="dxa"/>
          </w:tblCellMar>
        </w:tblPrEx>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14A3A123"/>
        </w:tc>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6B79AAE7"/>
        </w:tc>
        <w:tc>
          <w:tcPr>
            <w:tcW w:w="569" w:type="dxa"/>
            <w:tcBorders>
              <w:top w:val="single" w:color="auto" w:sz="10" w:space="0"/>
              <w:left w:val="single" w:color="auto" w:sz="10" w:space="0"/>
              <w:bottom w:val="single" w:color="auto" w:sz="10" w:space="0"/>
              <w:right w:val="single" w:color="auto" w:sz="10" w:space="0"/>
              <w:insideV w:val="single" w:sz="10" w:space="0"/>
            </w:tcBorders>
            <w:shd w:val="clear"/>
            <w:vAlign w:val="center"/>
          </w:tcPr>
          <w:p w14:paraId="1B1EE019">
            <w:pPr>
              <w:spacing w:before="0" w:after="0" w:line="240" w:lineRule="auto"/>
              <w:jc w:val="center"/>
              <w:rPr>
                <w:rFonts w:ascii="Times New Roman" w:hAnsi="Times New Roman" w:eastAsia="宋体" w:cs="Times New Roman"/>
                <w:kern w:val="2"/>
                <w:sz w:val="32"/>
                <w:szCs w:val="24"/>
                <w:lang w:val="en-US" w:eastAsia="zh-CN" w:bidi="ar-SA"/>
              </w:rPr>
            </w:pPr>
            <w:r>
              <w:rPr>
                <w:rFonts w:ascii="宋体" w:hAnsi="宋体" w:eastAsia="宋体"/>
                <w:sz w:val="14"/>
              </w:rPr>
              <w:t>社会效益指标</w:t>
            </w:r>
          </w:p>
        </w:tc>
        <w:tc>
          <w:tcPr>
            <w:tcW w:w="578" w:type="dxa"/>
            <w:tcBorders>
              <w:top w:val="single" w:color="auto" w:sz="10" w:space="0"/>
              <w:left w:val="single" w:color="auto" w:sz="10" w:space="0"/>
              <w:bottom w:val="single" w:color="auto" w:sz="10" w:space="0"/>
              <w:right w:val="single" w:color="auto" w:sz="10" w:space="0"/>
              <w:insideV w:val="single" w:sz="10" w:space="0"/>
            </w:tcBorders>
            <w:shd w:val="clear"/>
            <w:vAlign w:val="center"/>
          </w:tcPr>
          <w:p w14:paraId="73F2AE2E">
            <w:pPr>
              <w:spacing w:before="0" w:after="0" w:line="240" w:lineRule="auto"/>
              <w:jc w:val="center"/>
              <w:rPr>
                <w:rFonts w:ascii="Times New Roman" w:hAnsi="Times New Roman" w:eastAsia="宋体" w:cs="Times New Roman"/>
                <w:kern w:val="2"/>
                <w:sz w:val="32"/>
                <w:szCs w:val="24"/>
                <w:lang w:val="en-US" w:eastAsia="zh-CN" w:bidi="ar-SA"/>
              </w:rPr>
            </w:pPr>
            <w:r>
              <w:rPr>
                <w:rFonts w:ascii="宋体" w:hAnsi="宋体" w:eastAsia="宋体"/>
                <w:sz w:val="14"/>
              </w:rPr>
              <w:t>有效提升水资源保护和利用能力</w:t>
            </w:r>
          </w:p>
        </w:tc>
        <w:tc>
          <w:tcPr>
            <w:tcW w:w="584" w:type="dxa"/>
            <w:tcBorders>
              <w:top w:val="single" w:color="auto" w:sz="10" w:space="0"/>
              <w:left w:val="single" w:color="auto" w:sz="10" w:space="0"/>
              <w:bottom w:val="single" w:color="auto" w:sz="10" w:space="0"/>
              <w:right w:val="single" w:color="auto" w:sz="10" w:space="0"/>
              <w:insideV w:val="single" w:sz="10" w:space="0"/>
            </w:tcBorders>
            <w:shd w:val="clear"/>
            <w:vAlign w:val="center"/>
          </w:tcPr>
          <w:p w14:paraId="5FD35CCF">
            <w:pPr>
              <w:spacing w:before="0" w:after="0" w:line="240" w:lineRule="auto"/>
              <w:jc w:val="center"/>
              <w:rPr>
                <w:rFonts w:ascii="Times New Roman" w:hAnsi="Times New Roman" w:eastAsia="宋体" w:cs="Times New Roman"/>
                <w:kern w:val="2"/>
                <w:sz w:val="32"/>
                <w:szCs w:val="24"/>
                <w:lang w:val="en-US" w:eastAsia="zh-CN" w:bidi="ar-SA"/>
              </w:rPr>
            </w:pPr>
            <w:r>
              <w:rPr>
                <w:rFonts w:ascii="宋体" w:hAnsi="宋体" w:eastAsia="宋体"/>
                <w:sz w:val="14"/>
              </w:rPr>
              <w:t>10</w:t>
            </w:r>
          </w:p>
        </w:tc>
        <w:tc>
          <w:tcPr>
            <w:tcW w:w="590" w:type="dxa"/>
            <w:tcBorders>
              <w:top w:val="single" w:color="auto" w:sz="10" w:space="0"/>
              <w:left w:val="single" w:color="auto" w:sz="10" w:space="0"/>
              <w:bottom w:val="single" w:color="auto" w:sz="10" w:space="0"/>
              <w:right w:val="single" w:color="auto" w:sz="10" w:space="0"/>
              <w:insideV w:val="single" w:sz="10" w:space="0"/>
            </w:tcBorders>
            <w:shd w:val="clear"/>
            <w:vAlign w:val="center"/>
          </w:tcPr>
          <w:p w14:paraId="62F1A084">
            <w:pPr>
              <w:spacing w:before="0" w:after="0" w:line="240" w:lineRule="auto"/>
              <w:jc w:val="center"/>
              <w:rPr>
                <w:rFonts w:ascii="Times New Roman" w:hAnsi="Times New Roman" w:eastAsia="宋体" w:cs="Times New Roman"/>
                <w:kern w:val="2"/>
                <w:sz w:val="32"/>
                <w:szCs w:val="24"/>
                <w:lang w:val="en-US" w:eastAsia="zh-CN" w:bidi="ar-SA"/>
              </w:rPr>
            </w:pPr>
            <w:r>
              <w:rPr>
                <w:rFonts w:ascii="宋体" w:hAnsi="宋体" w:eastAsia="宋体"/>
                <w:sz w:val="14"/>
              </w:rPr>
              <w:t>有效提升</w:t>
            </w:r>
          </w:p>
        </w:tc>
        <w:tc>
          <w:tcPr>
            <w:tcW w:w="584" w:type="dxa"/>
            <w:tcBorders>
              <w:top w:val="single" w:color="auto" w:sz="10" w:space="0"/>
              <w:left w:val="single" w:color="auto" w:sz="10" w:space="0"/>
              <w:bottom w:val="single" w:color="auto" w:sz="10" w:space="0"/>
              <w:right w:val="single" w:color="auto" w:sz="10" w:space="0"/>
              <w:insideV w:val="single" w:sz="10" w:space="0"/>
            </w:tcBorders>
            <w:shd w:val="clear"/>
            <w:vAlign w:val="center"/>
          </w:tcPr>
          <w:p w14:paraId="3A4CC0D5">
            <w:pPr>
              <w:spacing w:before="0" w:after="0" w:line="240" w:lineRule="auto"/>
              <w:jc w:val="center"/>
              <w:rPr>
                <w:rFonts w:ascii="Times New Roman" w:hAnsi="Times New Roman" w:eastAsia="宋体" w:cs="Times New Roman"/>
                <w:kern w:val="2"/>
                <w:sz w:val="32"/>
                <w:szCs w:val="24"/>
                <w:lang w:val="en-US" w:eastAsia="zh-CN" w:bidi="ar-SA"/>
              </w:rPr>
            </w:pPr>
            <w:r>
              <w:rPr>
                <w:rFonts w:ascii="宋体" w:hAnsi="宋体" w:eastAsia="宋体"/>
                <w:sz w:val="14"/>
              </w:rPr>
              <w:t>有效提升</w:t>
            </w:r>
          </w:p>
        </w:tc>
        <w:tc>
          <w:tcPr>
            <w:tcW w:w="578" w:type="dxa"/>
            <w:tcBorders>
              <w:top w:val="single" w:color="auto" w:sz="10" w:space="0"/>
              <w:left w:val="single" w:color="auto" w:sz="10" w:space="0"/>
              <w:bottom w:val="single" w:color="auto" w:sz="10" w:space="0"/>
              <w:right w:val="single" w:color="auto" w:sz="10" w:space="0"/>
              <w:insideV w:val="single" w:sz="10" w:space="0"/>
            </w:tcBorders>
            <w:shd w:val="clear"/>
            <w:vAlign w:val="center"/>
          </w:tcPr>
          <w:p w14:paraId="45A9B984">
            <w:pPr>
              <w:spacing w:before="0" w:after="0" w:line="240" w:lineRule="auto"/>
              <w:jc w:val="center"/>
              <w:rPr>
                <w:rFonts w:hint="eastAsia" w:ascii="Times New Roman" w:hAnsi="Times New Roman" w:eastAsia="宋体" w:cs="Times New Roman"/>
                <w:kern w:val="2"/>
                <w:sz w:val="32"/>
                <w:szCs w:val="24"/>
                <w:lang w:val="en-US" w:eastAsia="zh-CN" w:bidi="ar-SA"/>
              </w:rPr>
            </w:pPr>
            <w:r>
              <w:rPr>
                <w:rFonts w:ascii="宋体" w:hAnsi="宋体" w:eastAsia="宋体"/>
                <w:sz w:val="14"/>
              </w:rPr>
              <w:t>100</w:t>
            </w:r>
            <w:r>
              <w:rPr>
                <w:rFonts w:hint="eastAsia" w:ascii="宋体" w:hAnsi="宋体"/>
                <w:sz w:val="14"/>
                <w:lang w:val="en-US" w:eastAsia="zh-CN"/>
              </w:rPr>
              <w:t>%</w:t>
            </w:r>
          </w:p>
        </w:tc>
        <w:tc>
          <w:tcPr>
            <w:tcW w:w="584" w:type="dxa"/>
            <w:tcBorders>
              <w:top w:val="single" w:color="auto" w:sz="10" w:space="0"/>
              <w:left w:val="single" w:color="auto" w:sz="10" w:space="0"/>
              <w:bottom w:val="single" w:color="auto" w:sz="10" w:space="0"/>
              <w:right w:val="single" w:color="auto" w:sz="10" w:space="0"/>
              <w:insideV w:val="single" w:sz="10" w:space="0"/>
            </w:tcBorders>
            <w:shd w:val="clear"/>
            <w:vAlign w:val="center"/>
          </w:tcPr>
          <w:p w14:paraId="4FBFE085">
            <w:pPr>
              <w:spacing w:before="0" w:after="0" w:line="240" w:lineRule="auto"/>
              <w:jc w:val="center"/>
              <w:rPr>
                <w:rFonts w:ascii="Times New Roman" w:hAnsi="Times New Roman" w:eastAsia="宋体" w:cs="Times New Roman"/>
                <w:kern w:val="2"/>
                <w:sz w:val="32"/>
                <w:szCs w:val="24"/>
                <w:lang w:val="en-US" w:eastAsia="zh-CN" w:bidi="ar-SA"/>
              </w:rPr>
            </w:pPr>
            <w:r>
              <w:rPr>
                <w:rFonts w:ascii="宋体" w:hAnsi="宋体" w:eastAsia="宋体"/>
                <w:sz w:val="14"/>
              </w:rPr>
              <w:t>10</w:t>
            </w:r>
          </w:p>
        </w:tc>
        <w:tc>
          <w:tcPr>
            <w:tcW w:w="569" w:type="dxa"/>
            <w:tcBorders>
              <w:top w:val="single" w:color="auto" w:sz="10" w:space="0"/>
              <w:left w:val="single" w:color="auto" w:sz="10" w:space="0"/>
              <w:bottom w:val="single" w:color="auto" w:sz="10" w:space="0"/>
              <w:right w:val="single" w:color="auto" w:sz="10" w:space="0"/>
              <w:insideV w:val="single" w:sz="10" w:space="0"/>
            </w:tcBorders>
            <w:shd w:val="clear"/>
            <w:vAlign w:val="center"/>
          </w:tcPr>
          <w:p w14:paraId="425AE2DE">
            <w:pPr>
              <w:spacing w:before="0" w:after="0" w:line="240" w:lineRule="auto"/>
              <w:jc w:val="center"/>
              <w:rPr>
                <w:rFonts w:ascii="Times New Roman" w:hAnsi="Times New Roman" w:eastAsia="宋体" w:cs="Times New Roman"/>
                <w:kern w:val="2"/>
                <w:sz w:val="32"/>
                <w:szCs w:val="24"/>
                <w:lang w:val="en-US" w:eastAsia="zh-CN" w:bidi="ar-SA"/>
              </w:rPr>
            </w:pPr>
            <w:r>
              <w:rPr>
                <w:rFonts w:ascii="宋体" w:hAnsi="宋体" w:eastAsia="宋体"/>
                <w:sz w:val="14"/>
              </w:rPr>
              <w:t>计划标准</w:t>
            </w:r>
          </w:p>
        </w:tc>
        <w:tc>
          <w:tcPr>
            <w:tcW w:w="579" w:type="dxa"/>
            <w:tcBorders>
              <w:top w:val="single" w:color="auto" w:sz="10" w:space="0"/>
              <w:left w:val="single" w:color="auto" w:sz="10" w:space="0"/>
              <w:bottom w:val="single" w:color="auto" w:sz="10" w:space="0"/>
              <w:right w:val="single" w:color="auto" w:sz="10" w:space="0"/>
              <w:insideV w:val="single" w:sz="10" w:space="0"/>
            </w:tcBorders>
            <w:shd w:val="clear"/>
            <w:vAlign w:val="center"/>
          </w:tcPr>
          <w:p w14:paraId="537ABEDC">
            <w:pPr>
              <w:spacing w:before="0" w:after="0" w:line="240" w:lineRule="auto"/>
              <w:jc w:val="center"/>
              <w:rPr>
                <w:rFonts w:ascii="Times New Roman" w:hAnsi="Times New Roman" w:eastAsia="宋体" w:cs="Times New Roman"/>
                <w:kern w:val="2"/>
                <w:sz w:val="32"/>
                <w:szCs w:val="24"/>
                <w:lang w:val="en-US" w:eastAsia="zh-CN" w:bidi="ar-SA"/>
              </w:rPr>
            </w:pPr>
            <w:r>
              <w:rPr>
                <w:rFonts w:ascii="宋体" w:hAnsi="宋体" w:eastAsia="宋体"/>
                <w:sz w:val="14"/>
              </w:rPr>
              <w:t>-</w:t>
            </w:r>
          </w:p>
        </w:tc>
        <w:tc>
          <w:tcPr>
            <w:tcW w:w="576" w:type="dxa"/>
            <w:tcBorders>
              <w:top w:val="single" w:color="auto" w:sz="10" w:space="0"/>
              <w:left w:val="single" w:color="auto" w:sz="10" w:space="0"/>
              <w:bottom w:val="single" w:color="auto" w:sz="10" w:space="0"/>
              <w:right w:val="single" w:color="auto" w:sz="10" w:space="0"/>
              <w:insideV w:val="single" w:sz="10" w:space="0"/>
            </w:tcBorders>
            <w:shd w:val="clear"/>
            <w:vAlign w:val="center"/>
          </w:tcPr>
          <w:p w14:paraId="22646AB4">
            <w:pPr>
              <w:spacing w:before="0" w:after="0" w:line="240" w:lineRule="auto"/>
              <w:jc w:val="center"/>
              <w:rPr>
                <w:rFonts w:ascii="Times New Roman" w:hAnsi="Times New Roman" w:eastAsia="宋体" w:cs="Times New Roman"/>
                <w:kern w:val="2"/>
                <w:sz w:val="32"/>
                <w:szCs w:val="24"/>
                <w:lang w:val="en-US" w:eastAsia="zh-CN" w:bidi="ar-SA"/>
              </w:rPr>
            </w:pPr>
            <w:r>
              <w:rPr>
                <w:rFonts w:ascii="宋体" w:hAnsi="宋体" w:eastAsia="宋体"/>
                <w:sz w:val="14"/>
              </w:rPr>
              <w:t>按评判等级赋分</w:t>
            </w:r>
          </w:p>
        </w:tc>
        <w:tc>
          <w:tcPr>
            <w:tcW w:w="575" w:type="dxa"/>
            <w:tcBorders>
              <w:top w:val="single" w:color="auto" w:sz="10" w:space="0"/>
              <w:left w:val="single" w:color="auto" w:sz="10" w:space="0"/>
              <w:bottom w:val="single" w:color="auto" w:sz="10" w:space="0"/>
              <w:right w:val="single" w:color="auto" w:sz="10" w:space="0"/>
              <w:insideV w:val="single" w:sz="10" w:space="0"/>
            </w:tcBorders>
            <w:shd w:val="clear"/>
            <w:vAlign w:val="center"/>
          </w:tcPr>
          <w:p w14:paraId="258A9AC7">
            <w:pPr>
              <w:spacing w:before="0" w:after="0" w:line="240" w:lineRule="auto"/>
              <w:jc w:val="center"/>
              <w:rPr>
                <w:rFonts w:ascii="Times New Roman" w:hAnsi="Times New Roman" w:eastAsia="宋体" w:cs="Times New Roman"/>
                <w:kern w:val="2"/>
                <w:sz w:val="32"/>
                <w:szCs w:val="24"/>
                <w:lang w:val="en-US" w:eastAsia="zh-CN" w:bidi="ar-SA"/>
              </w:rP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shd w:val="clear"/>
            <w:vAlign w:val="center"/>
          </w:tcPr>
          <w:p w14:paraId="59045EE5">
            <w:pPr>
              <w:spacing w:before="0" w:after="0" w:line="240" w:lineRule="auto"/>
              <w:jc w:val="center"/>
              <w:rPr>
                <w:rFonts w:ascii="Times New Roman" w:hAnsi="Times New Roman" w:eastAsia="宋体" w:cs="Times New Roman"/>
                <w:kern w:val="2"/>
                <w:sz w:val="32"/>
                <w:szCs w:val="24"/>
                <w:lang w:val="en-US" w:eastAsia="zh-CN" w:bidi="ar-SA"/>
              </w:rPr>
            </w:pPr>
          </w:p>
        </w:tc>
      </w:tr>
      <w:tr w14:paraId="25045791">
        <w:tblPrEx>
          <w:tblCellMar>
            <w:top w:w="36" w:type="dxa"/>
            <w:left w:w="36" w:type="dxa"/>
            <w:bottom w:w="36" w:type="dxa"/>
            <w:right w:w="36" w:type="dxa"/>
          </w:tblCellMar>
        </w:tblPrEx>
        <w:tc>
          <w:tcPr>
            <w:tcW w:w="228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41D724E">
            <w:pPr>
              <w:spacing w:before="0" w:after="0" w:line="240" w:lineRule="auto"/>
              <w:jc w:val="center"/>
            </w:pPr>
            <w:r>
              <w:rPr>
                <w:rFonts w:ascii="宋体" w:hAnsi="宋体" w:eastAsia="宋体"/>
                <w:sz w:val="14"/>
              </w:rPr>
              <w:t>总分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4F33A107">
            <w:pPr>
              <w:spacing w:before="0" w:after="0" w:line="240" w:lineRule="auto"/>
              <w:jc w:val="center"/>
            </w:pPr>
            <w:r>
              <w:rPr>
                <w:rFonts w:ascii="宋体" w:hAnsi="宋体" w:eastAsia="宋体"/>
                <w:sz w:val="14"/>
              </w:rPr>
              <w:t>100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522439AF">
            <w:pPr>
              <w:spacing w:before="0" w:after="0" w:line="240" w:lineRule="auto"/>
              <w:jc w:val="center"/>
            </w:pP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756AC835">
            <w:pPr>
              <w:spacing w:before="0" w:after="0" w:line="240" w:lineRule="auto"/>
              <w:jc w:val="center"/>
            </w:pP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16F8F7FD">
            <w:pPr>
              <w:spacing w:before="0" w:after="0" w:line="240" w:lineRule="auto"/>
              <w:jc w:val="center"/>
            </w:pP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1A6B2360">
            <w:pPr>
              <w:spacing w:before="0" w:after="0" w:line="240" w:lineRule="auto"/>
              <w:jc w:val="center"/>
            </w:pPr>
            <w:r>
              <w:rPr>
                <w:rFonts w:ascii="宋体" w:hAnsi="宋体" w:eastAsia="宋体"/>
                <w:sz w:val="14"/>
              </w:rPr>
              <w:t>99.44</w:t>
            </w:r>
          </w:p>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4793B86E">
            <w:pPr>
              <w:spacing w:before="0" w:after="0" w:line="240" w:lineRule="auto"/>
              <w:jc w:val="center"/>
            </w:pP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1C90C6DB">
            <w:pPr>
              <w:spacing w:before="0" w:after="0" w:line="240" w:lineRule="auto"/>
              <w:jc w:val="center"/>
            </w:pP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40040E23">
            <w:pPr>
              <w:spacing w:before="0" w:after="0" w:line="240" w:lineRule="auto"/>
              <w:jc w:val="center"/>
            </w:pP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4CC1853C">
            <w:pPr>
              <w:spacing w:before="0" w:after="0" w:line="240" w:lineRule="auto"/>
              <w:jc w:val="center"/>
            </w:pP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1AF21A3">
            <w:pPr>
              <w:spacing w:before="0" w:after="0" w:line="240" w:lineRule="auto"/>
              <w:jc w:val="center"/>
            </w:pPr>
          </w:p>
        </w:tc>
      </w:tr>
    </w:tbl>
    <w:p w14:paraId="3DD8DA81">
      <w:r>
        <w:br w:type="page"/>
      </w:r>
    </w:p>
    <w:p w14:paraId="431BE64C">
      <w:pPr>
        <w:sectPr>
          <w:type w:val="continuous"/>
          <w:pgSz w:w="11906" w:h="16838"/>
          <w:pgMar w:top="1440" w:right="1800" w:bottom="1440" w:left="1800" w:header="851" w:footer="992" w:gutter="0"/>
          <w:cols w:space="720" w:num="1"/>
          <w:docGrid w:type="lines" w:linePitch="312" w:charSpace="0"/>
        </w:sectPr>
      </w:pPr>
    </w:p>
    <w:p w14:paraId="30712666">
      <w:pPr>
        <w:spacing w:line="640" w:lineRule="exact"/>
        <w:ind w:firstLine="640"/>
        <w:jc w:val="both"/>
        <w:outlineLvl w:val="2"/>
      </w:pPr>
      <w:r>
        <w:rPr>
          <w:rFonts w:ascii="黑体" w:hAnsi="黑体" w:eastAsia="黑体"/>
          <w:sz w:val="32"/>
        </w:rPr>
        <w:t>十二、其他需说明的事项</w:t>
      </w:r>
    </w:p>
    <w:p w14:paraId="2CE58501">
      <w:pPr>
        <w:spacing w:line="580" w:lineRule="exact"/>
        <w:ind w:firstLine="640"/>
        <w:jc w:val="both"/>
      </w:pPr>
      <w:r>
        <w:rPr>
          <w:rFonts w:ascii="仿宋_GB2312" w:hAnsi="仿宋_GB2312" w:eastAsia="仿宋_GB2312"/>
          <w:b w:val="0"/>
          <w:sz w:val="32"/>
        </w:rPr>
        <w:t>本单位无其他需说明的事项。</w:t>
      </w:r>
    </w:p>
    <w:p w14:paraId="182A62FE">
      <w:r>
        <w:br w:type="page"/>
      </w:r>
    </w:p>
    <w:p w14:paraId="1ACFE8E0">
      <w:pPr>
        <w:spacing w:line="600" w:lineRule="exact"/>
        <w:jc w:val="center"/>
        <w:outlineLvl w:val="0"/>
      </w:pPr>
      <w:r>
        <w:rPr>
          <w:rFonts w:ascii="黑体" w:hAnsi="黑体" w:eastAsia="黑体"/>
          <w:sz w:val="32"/>
        </w:rPr>
        <w:t>第三部分 专业名词解释</w:t>
      </w:r>
    </w:p>
    <w:p w14:paraId="139F73ED">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166934F3">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0F3BCFB">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4760F278">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9BBEEC7">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57286510">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6A8B6F7D">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585E8112">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16D5B865">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0EBEF467">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0E9BF7ED">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0D271DCF">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4EB4A09C">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14182037">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1B91E4FB">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392397A4">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2D3FE851">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7D473233">
      <w:r>
        <w:br w:type="page"/>
      </w:r>
    </w:p>
    <w:p w14:paraId="532C76FC">
      <w:pPr>
        <w:spacing w:line="240" w:lineRule="auto"/>
        <w:jc w:val="center"/>
        <w:outlineLvl w:val="1"/>
      </w:pPr>
      <w:r>
        <w:rPr>
          <w:rFonts w:ascii="黑体" w:hAnsi="黑体" w:eastAsia="黑体"/>
          <w:sz w:val="32"/>
        </w:rPr>
        <w:t>第四部分 部门决算报表（见附表）</w:t>
      </w:r>
    </w:p>
    <w:p w14:paraId="5BBD75B8">
      <w:pPr>
        <w:autoSpaceDE w:val="0"/>
        <w:autoSpaceDN w:val="0"/>
        <w:spacing w:line="600" w:lineRule="exact"/>
        <w:ind w:firstLine="640" w:firstLineChars="200"/>
      </w:pPr>
      <w:r>
        <w:rPr>
          <w:rFonts w:ascii="仿宋_GB2312" w:hAnsi="仿宋_GB2312" w:eastAsia="仿宋_GB2312"/>
          <w:b w:val="0"/>
          <w:sz w:val="32"/>
        </w:rPr>
        <w:t>一、《收入支出决算总表》</w:t>
      </w:r>
    </w:p>
    <w:p w14:paraId="62AEC49B">
      <w:pPr>
        <w:autoSpaceDE w:val="0"/>
        <w:autoSpaceDN w:val="0"/>
        <w:spacing w:line="600" w:lineRule="exact"/>
        <w:ind w:firstLine="640" w:firstLineChars="200"/>
      </w:pPr>
      <w:r>
        <w:rPr>
          <w:rFonts w:ascii="仿宋_GB2312" w:hAnsi="仿宋_GB2312" w:eastAsia="仿宋_GB2312"/>
          <w:b w:val="0"/>
          <w:sz w:val="32"/>
        </w:rPr>
        <w:t>二、《收入决算表》</w:t>
      </w:r>
    </w:p>
    <w:p w14:paraId="01B72212">
      <w:pPr>
        <w:autoSpaceDE w:val="0"/>
        <w:autoSpaceDN w:val="0"/>
        <w:spacing w:line="600" w:lineRule="exact"/>
        <w:ind w:firstLine="640" w:firstLineChars="200"/>
      </w:pPr>
      <w:r>
        <w:rPr>
          <w:rFonts w:ascii="仿宋_GB2312" w:hAnsi="仿宋_GB2312" w:eastAsia="仿宋_GB2312"/>
          <w:b w:val="0"/>
          <w:sz w:val="32"/>
        </w:rPr>
        <w:t>三、《支出决算表》</w:t>
      </w:r>
    </w:p>
    <w:p w14:paraId="2D4A8F3F">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0A636ECE">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0A5D2BFB">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5BA4A20C">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213A7F8E">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0BCAE355">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1920F828">
      <w:pPr>
        <w:autoSpaceDE w:val="0"/>
        <w:autoSpaceDN w:val="0"/>
        <w:spacing w:line="600" w:lineRule="exact"/>
        <w:ind w:firstLine="640" w:firstLineChars="200"/>
      </w:pPr>
    </w:p>
    <w:p w14:paraId="5F0588C9">
      <w:pPr>
        <w:autoSpaceDE w:val="0"/>
        <w:autoSpaceDN w:val="0"/>
        <w:spacing w:line="600" w:lineRule="exact"/>
        <w:ind w:firstLine="640" w:firstLineChars="200"/>
      </w:pPr>
    </w:p>
    <w:p w14:paraId="0CBAC9FB">
      <w:pPr>
        <w:autoSpaceDE w:val="0"/>
        <w:autoSpaceDN w:val="0"/>
        <w:spacing w:line="600" w:lineRule="exact"/>
        <w:ind w:firstLine="640" w:firstLineChars="200"/>
      </w:pPr>
    </w:p>
    <w:p w14:paraId="3AA78EC0">
      <w:pPr>
        <w:autoSpaceDE w:val="0"/>
        <w:autoSpaceDN w:val="0"/>
        <w:spacing w:line="600" w:lineRule="exact"/>
        <w:ind w:firstLine="640" w:firstLineChars="200"/>
      </w:pPr>
    </w:p>
    <w:p w14:paraId="0198C801">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88331AF-5D2D-4166-8DD8-21C24F34FA2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F0F2560E-6CD2-4712-93C8-A52653745BDB}"/>
  </w:font>
  <w:font w:name="仿宋_GB2312">
    <w:panose1 w:val="02010609030101010101"/>
    <w:charset w:val="86"/>
    <w:family w:val="modern"/>
    <w:pitch w:val="default"/>
    <w:sig w:usb0="00000001" w:usb1="080E0000" w:usb2="00000000" w:usb3="00000000" w:csb0="00040000" w:csb1="00000000"/>
    <w:embedRegular r:id="rId3" w:fontKey="{163965D8-987C-4301-B4A3-9B11CC5DA4F5}"/>
  </w:font>
  <w:font w:name="楷体_GB2312">
    <w:altName w:val="楷体"/>
    <w:panose1 w:val="00000000000000000000"/>
    <w:charset w:val="00"/>
    <w:family w:val="auto"/>
    <w:pitch w:val="default"/>
    <w:sig w:usb0="00000000" w:usb1="00000000" w:usb2="00000000" w:usb3="00000000" w:csb0="00000000" w:csb1="00000000"/>
    <w:embedRegular r:id="rId4" w:fontKey="{B6456862-5A3C-4851-824C-974632DFAE4A}"/>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2883761"/>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4FFF5B2B"/>
    <w:rsid w:val="505A358E"/>
    <w:rsid w:val="50DB5F45"/>
    <w:rsid w:val="52F92565"/>
    <w:rsid w:val="55DA564E"/>
    <w:rsid w:val="56E07045"/>
    <w:rsid w:val="583059FA"/>
    <w:rsid w:val="587E6212"/>
    <w:rsid w:val="58D10A34"/>
    <w:rsid w:val="59973ABF"/>
    <w:rsid w:val="5A74678C"/>
    <w:rsid w:val="5AFC6609"/>
    <w:rsid w:val="5C3B09A8"/>
    <w:rsid w:val="5F441D8B"/>
    <w:rsid w:val="5FA17648"/>
    <w:rsid w:val="613409CB"/>
    <w:rsid w:val="61A46A97"/>
    <w:rsid w:val="62DD7D21"/>
    <w:rsid w:val="65D97752"/>
    <w:rsid w:val="664C500C"/>
    <w:rsid w:val="668A7A4F"/>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55b8a08f-2942-4ee3-9fbe-69d7f5354032</errorID>
      <errorWord>2月31日</errorWord>
      <group>L1_Sensitive</group>
      <groupName>敏感问题</groupName>
      <ability>L2_UserSensitive</ability>
      <abilityName>自定义敏感词</abilityName>
      <candidateList/>
      <explain>来自自定义敏感词库。</explain>
      <paraID>2F749789</paraID>
      <start>8</start>
      <end>13</end>
      <status>ignored</status>
      <modifiedWord/>
      <trackRevisions>false</trackRevisions>
    </reviewItem>
    <reviewItem>
      <errorID>16be7448-4bf1-4363-8fe0-5e43737e9f3f</errorID>
      <errorWord>警</errorWord>
      <group>L1_Sensitive</group>
      <groupName>敏感问题</groupName>
      <ability>L2_UserSensitive</ability>
      <abilityName>自定义敏感词</abilityName>
      <candidateList/>
      <explain>来自自定义敏感词库。</explain>
      <paraID>45FCFDE2</paraID>
      <start>72</start>
      <end>73</end>
      <status>ignored</status>
      <modifiedWord/>
      <trackRevisions>false</trackRevisions>
    </reviewItem>
    <reviewItem>
      <errorID>a5579eda-af6f-470b-b5c5-0d81de7fadc4</errorID>
      <errorWord>监控</errorWord>
      <group>L1_Sensitive</group>
      <groupName>敏感问题</groupName>
      <ability>L2_UserSensitive</ability>
      <abilityName>自定义敏感词</abilityName>
      <candidateList/>
      <explain>来自自定义敏感词库。</explain>
      <paraID>45FCFDE2</paraID>
      <start>424</start>
      <end>426</end>
      <status>ignored</status>
      <modifiedWord/>
      <trackRevisions>false</trackRevisions>
    </reviewItem>
    <reviewItem>
      <errorID>eb6bc56d-0e5d-4835-b88b-28b04c7c4894</errorID>
      <errorWord>的</errorWord>
      <group>L1_Word</group>
      <groupName>字词问题</groupName>
      <ability>L2_DDD</ability>
      <abilityName>的地得用法</abilityName>
      <candidateList>
        <item>地</item>
      </candidateList>
      <explain/>
      <paraID>4BFC7FFC</paraID>
      <start>112</start>
      <end>113</end>
      <status>modified</status>
      <modifiedWord>地</modifiedWord>
      <trackRevisions>false</trackRevisions>
    </reviewItem>
    <reviewItem>
      <errorID>6adc9b06-8a7d-46ff-8a80-2ef3569f3938</errorID>
      <errorWord>我单位</errorWord>
      <group>L1_Other</group>
      <groupName>其他问题</groupName>
      <ability>L2_UserTypo</ability>
      <abilityName>自定义错误</abilityName>
      <candidateList>
        <item>本单位</item>
      </candidateList>
      <explain>来自自定义错词库。</explain>
      <paraID>4BFC7FFC</paraID>
      <start>125</start>
      <end>128</end>
      <status>modified</status>
      <modifiedWord>本单位</modifiedWord>
      <trackRevisions>false</trackRevisions>
    </reviewItem>
    <reviewItem>
      <errorID>cefbf568-7157-4278-93af-b7d8450b4926</errorID>
      <errorWord>大大</errorWord>
      <group>L1_Grammar</group>
      <groupName>语法问题</groupName>
      <ability>L2_Grammar</ability>
      <abilityName>语法错误</abilityName>
      <candidateList>
        <item>大幅</item>
      </candidateList>
      <explain>“大大～提升”搭配不当，建议修改为“大幅～提升”。</explain>
      <paraID>44D0CF54</paraID>
      <start>146</start>
      <end>148</end>
      <status>ignored</status>
      <modifiedWord/>
      <trackRevisions>false</trackRevisions>
    </reviewItem>
    <reviewItem>
      <errorID>a3291003-2d1a-4fa9-89b0-7b740a059aca</errorID>
      <errorWord>全方面</errorWord>
      <group>L1_Word</group>
      <groupName>字词问题</groupName>
      <ability>L2_Typo</ability>
      <abilityName>字词错误</abilityName>
      <candidateList>
        <item>全方位</item>
      </candidateList>
      <explain/>
      <paraID>185D05C0</paraID>
      <start>125</start>
      <end>128</end>
      <status>ignored</status>
      <modifiedWord/>
      <trackRevisions>false</trackRevisions>
    </reviewItem>
    <reviewItem>
      <errorID>ae29067d-ae0f-4ce4-b060-f0010e84de2c</errorID>
      <errorWord>实施</errorWord>
      <group>L1_Word</group>
      <groupName>字词问题</groupName>
      <ability>L2_Typo</ability>
      <abilityName>字词错误</abilityName>
      <candidateList>
        <item>实时</item>
      </candidateList>
      <explain/>
      <paraID>17BD81E0</paraID>
      <start>164</start>
      <end>166</end>
      <status>modified</status>
      <modifiedWord>实时</modifiedWord>
      <trackRevisions>false</trackRevisions>
    </reviewItem>
    <reviewItem>
      <errorID>7a92e266-ae3c-4488-94ee-7fca3985f337</errorID>
      <errorWord>全方面</errorWord>
      <group>L1_Word</group>
      <groupName>字词问题</groupName>
      <ability>L2_Typo</ability>
      <abilityName>字词错误</abilityName>
      <candidateList>
        <item>全方位</item>
      </candidateList>
      <explain/>
      <paraID>17BD81E0</paraID>
      <start>248</start>
      <end>251</end>
      <status>ignored</status>
      <modifiedWord/>
      <trackRevisions>false</trackRevisions>
    </reviewItem>
    <reviewItem>
      <errorID>f0bab834-2af7-4413-be82-1767b65bf349</errorID>
      <errorWord>讯漏</errorWord>
      <group>L1_Word</group>
      <groupName>字词问题</groupName>
      <ability>L2_Typo</ability>
      <abilityName>字词错误</abilityName>
      <candidateList>
        <item>泄漏</item>
      </candidateList>
      <explain/>
      <paraID>3763713B</paraID>
      <start>3</start>
      <end>5</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2bb30bfc-e458-4034-bafd-454c0aa7dcac}">
  <ds:schemaRefs/>
</ds:datastoreItem>
</file>

<file path=docProps/app.xml><?xml version="1.0" encoding="utf-8"?>
<Properties xmlns="http://schemas.openxmlformats.org/officeDocument/2006/extended-properties" xmlns:vt="http://schemas.openxmlformats.org/officeDocument/2006/docPropsVTypes">
  <Template>Normal.dotm</Template>
  <Pages>23</Pages>
  <Words>3386</Words>
  <Characters>3970</Characters>
  <Lines>10</Lines>
  <Paragraphs>2</Paragraphs>
  <TotalTime>11</TotalTime>
  <ScaleCrop>false</ScaleCrop>
  <LinksUpToDate>false</LinksUpToDate>
  <CharactersWithSpaces>3978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周丽君</cp:lastModifiedBy>
  <cp:lastPrinted>2024-07-22T11:58:00Z</cp:lastPrinted>
  <dcterms:modified xsi:type="dcterms:W3CDTF">2026-08-28T05:11:28Z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eyJoZGlkIjoiMjEwMjVmNmU3OTQwZDBjNjI0ZTM3MTBmNDI0OGIzYzIiLCJ1c2VySWQiOiIyMDM3MTI1NTkifQ==</vt:lpwstr>
  </property>
</Properties>
</file>