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新疆维吾尔自治区伊犁河流域水利管理中心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E56F300">
      <w:r>
        <w:br w:type="page"/>
      </w:r>
    </w:p>
    <w:p w14:paraId="0AB4585E">
      <w:pPr>
        <w:spacing w:line="640" w:lineRule="exact"/>
        <w:jc w:val="center"/>
        <w:outlineLvl w:val="1"/>
      </w:pPr>
      <w:r>
        <w:rPr>
          <w:rFonts w:ascii="黑体" w:hAnsi="黑体" w:eastAsia="黑体"/>
          <w:sz w:val="32"/>
        </w:rPr>
        <w:t>第一部分 单位概况</w:t>
      </w:r>
    </w:p>
    <w:p w14:paraId="0F55CEF1">
      <w:pPr>
        <w:spacing w:line="640" w:lineRule="exact"/>
        <w:ind w:firstLine="640"/>
        <w:jc w:val="both"/>
        <w:outlineLvl w:val="2"/>
      </w:pPr>
      <w:r>
        <w:rPr>
          <w:rFonts w:ascii="黑体" w:hAnsi="黑体" w:eastAsia="黑体"/>
          <w:sz w:val="32"/>
        </w:rPr>
        <w:t>一、主要职能</w:t>
      </w:r>
    </w:p>
    <w:p w14:paraId="6FD262FB">
      <w:pPr>
        <w:spacing w:line="580" w:lineRule="exact"/>
        <w:ind w:firstLine="640"/>
        <w:jc w:val="both"/>
      </w:pPr>
      <w:r>
        <w:rPr>
          <w:rFonts w:ascii="仿宋_GB2312" w:hAnsi="仿宋_GB2312" w:eastAsia="仿宋_GB2312"/>
          <w:sz w:val="32"/>
        </w:rPr>
        <w:t>承担伊犁河流域管辖范围内的水资源管理、流域综合治理、跨流域供水等工作；承担管辖范围内水利工程运行管理、供水及发电等工作。</w:t>
      </w:r>
    </w:p>
    <w:p w14:paraId="12CA4398">
      <w:pPr>
        <w:spacing w:line="640" w:lineRule="exact"/>
        <w:ind w:firstLine="640"/>
        <w:jc w:val="both"/>
        <w:outlineLvl w:val="2"/>
      </w:pPr>
      <w:r>
        <w:rPr>
          <w:rFonts w:ascii="黑体" w:hAnsi="黑体" w:eastAsia="黑体"/>
          <w:sz w:val="32"/>
        </w:rPr>
        <w:t>二、机构设置</w:t>
      </w:r>
    </w:p>
    <w:p w14:paraId="51554B01">
      <w:pPr>
        <w:spacing w:line="580" w:lineRule="exact"/>
        <w:ind w:firstLine="640"/>
        <w:jc w:val="both"/>
      </w:pPr>
      <w:r>
        <w:rPr>
          <w:rFonts w:ascii="仿宋_GB2312" w:hAnsi="仿宋_GB2312" w:eastAsia="仿宋_GB2312"/>
          <w:sz w:val="32"/>
        </w:rPr>
        <w:t>新疆维吾尔自治区伊犁河流域水利管理中心无下属预算单位。</w:t>
      </w:r>
    </w:p>
    <w:p w14:paraId="4B67D43F">
      <w:r>
        <w:br w:type="page"/>
      </w:r>
    </w:p>
    <w:p w14:paraId="19C59A85">
      <w:pPr>
        <w:spacing w:line="240" w:lineRule="auto"/>
        <w:jc w:val="center"/>
        <w:outlineLvl w:val="1"/>
      </w:pPr>
      <w:r>
        <w:rPr>
          <w:rFonts w:ascii="黑体" w:hAnsi="黑体" w:eastAsia="黑体"/>
          <w:sz w:val="32"/>
        </w:rPr>
        <w:t>第二部分 部门决算情况说明</w:t>
      </w:r>
    </w:p>
    <w:p w14:paraId="72064F0A">
      <w:pPr>
        <w:spacing w:line="640" w:lineRule="exact"/>
        <w:ind w:firstLine="640"/>
        <w:jc w:val="both"/>
        <w:outlineLvl w:val="2"/>
      </w:pPr>
      <w:r>
        <w:rPr>
          <w:rFonts w:ascii="黑体" w:hAnsi="黑体" w:eastAsia="黑体"/>
          <w:sz w:val="32"/>
        </w:rPr>
        <w:t>一、收入支出决算总体情况说明</w:t>
      </w:r>
    </w:p>
    <w:p w14:paraId="1DB9971F">
      <w:pPr>
        <w:spacing w:line="580" w:lineRule="exact"/>
        <w:ind w:firstLine="640"/>
        <w:jc w:val="both"/>
      </w:pPr>
      <w:r>
        <w:rPr>
          <w:rFonts w:ascii="仿宋_GB2312" w:hAnsi="仿宋_GB2312" w:eastAsia="仿宋_GB2312"/>
          <w:b/>
          <w:sz w:val="32"/>
        </w:rPr>
        <w:t>2025年度收入总计7,037.25万元，</w:t>
      </w:r>
      <w:r>
        <w:rPr>
          <w:rFonts w:ascii="仿宋_GB2312" w:hAnsi="仿宋_GB2312" w:eastAsia="仿宋_GB2312"/>
          <w:b w:val="0"/>
          <w:sz w:val="32"/>
        </w:rPr>
        <w:t>其中：本年收入合计7,037.25万元，使用非财政拨款结余（含专用结余）0.00万元，年初结转和结余0.00万元。</w:t>
      </w:r>
    </w:p>
    <w:p w14:paraId="5DEE61E9">
      <w:pPr>
        <w:spacing w:line="580" w:lineRule="exact"/>
        <w:ind w:firstLine="640"/>
        <w:jc w:val="both"/>
      </w:pPr>
      <w:r>
        <w:rPr>
          <w:rFonts w:ascii="仿宋_GB2312" w:hAnsi="仿宋_GB2312" w:eastAsia="仿宋_GB2312"/>
          <w:b/>
          <w:sz w:val="32"/>
        </w:rPr>
        <w:t>2025年度支出总计7,037.25万元，</w:t>
      </w:r>
      <w:r>
        <w:rPr>
          <w:rFonts w:ascii="仿宋_GB2312" w:hAnsi="仿宋_GB2312" w:eastAsia="仿宋_GB2312"/>
          <w:b w:val="0"/>
          <w:sz w:val="32"/>
        </w:rPr>
        <w:t>其中：本年支出合计6,248.63万元，结余分配783.62万元，年末结转和结余5.00万元。</w:t>
      </w:r>
    </w:p>
    <w:p w14:paraId="4D31203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增加7,037.25万元，增长100.00%，主要原因是：本单位为本年新增预算单位，无上年对比数据。</w:t>
      </w:r>
    </w:p>
    <w:p w14:paraId="1AB8C1AD">
      <w:pPr>
        <w:spacing w:line="640" w:lineRule="exact"/>
        <w:ind w:firstLine="640"/>
        <w:jc w:val="both"/>
        <w:outlineLvl w:val="2"/>
      </w:pPr>
      <w:r>
        <w:rPr>
          <w:rFonts w:ascii="黑体" w:hAnsi="黑体" w:eastAsia="黑体"/>
          <w:sz w:val="32"/>
        </w:rPr>
        <w:t>二、收入决算情况说明</w:t>
      </w:r>
    </w:p>
    <w:p w14:paraId="7411CCBF">
      <w:pPr>
        <w:spacing w:line="580" w:lineRule="exact"/>
        <w:ind w:firstLine="640"/>
        <w:jc w:val="both"/>
      </w:pPr>
      <w:r>
        <w:rPr>
          <w:rFonts w:ascii="仿宋_GB2312" w:hAnsi="仿宋_GB2312" w:eastAsia="仿宋_GB2312"/>
          <w:b/>
          <w:sz w:val="32"/>
        </w:rPr>
        <w:t>本年收入7,037.25万元，</w:t>
      </w:r>
      <w:r>
        <w:rPr>
          <w:rFonts w:ascii="仿宋_GB2312" w:hAnsi="仿宋_GB2312" w:eastAsia="仿宋_GB2312"/>
          <w:b w:val="0"/>
          <w:sz w:val="32"/>
        </w:rPr>
        <w:t>其中：财政拨款收入540.00万元，占7.67%；上级补助收入0.00万元，占0.00%；事业收入0.00万元，占0.00%；经营收入6,425.49万元，占91.31%；附属单位上缴收入0.00万元，占0.00%；其他收入71.76万元，占1.02%。</w:t>
      </w:r>
    </w:p>
    <w:p w14:paraId="6C5CC2CE">
      <w:pPr>
        <w:spacing w:line="640" w:lineRule="exact"/>
        <w:ind w:firstLine="640"/>
        <w:jc w:val="both"/>
        <w:outlineLvl w:val="2"/>
      </w:pPr>
      <w:r>
        <w:rPr>
          <w:rFonts w:ascii="黑体" w:hAnsi="黑体" w:eastAsia="黑体"/>
          <w:sz w:val="32"/>
        </w:rPr>
        <w:t>三、支出决算情况说明</w:t>
      </w:r>
    </w:p>
    <w:p w14:paraId="5476EFAB">
      <w:pPr>
        <w:spacing w:line="580" w:lineRule="exact"/>
        <w:ind w:firstLine="640"/>
        <w:jc w:val="both"/>
      </w:pPr>
      <w:r>
        <w:rPr>
          <w:rFonts w:ascii="仿宋_GB2312" w:hAnsi="仿宋_GB2312" w:eastAsia="仿宋_GB2312"/>
          <w:b/>
          <w:sz w:val="32"/>
        </w:rPr>
        <w:t>本年支出6,248.63万元，</w:t>
      </w:r>
      <w:r>
        <w:rPr>
          <w:rFonts w:ascii="仿宋_GB2312" w:hAnsi="仿宋_GB2312" w:eastAsia="仿宋_GB2312"/>
          <w:b w:val="0"/>
          <w:sz w:val="32"/>
        </w:rPr>
        <w:t>其中：基本支出0.50万元，占0.008%；项目支出540.00万元，占8.64%；上缴上级支出0.00万元，占0.00%；经营支出5,708.13万元，占91.35%；对附属单位补助支出0.00万元，占0.00%。</w:t>
      </w:r>
    </w:p>
    <w:p w14:paraId="29B145B6">
      <w:pPr>
        <w:spacing w:line="640" w:lineRule="exact"/>
        <w:ind w:firstLine="640"/>
        <w:jc w:val="both"/>
        <w:outlineLvl w:val="2"/>
      </w:pPr>
      <w:r>
        <w:rPr>
          <w:rFonts w:ascii="黑体" w:hAnsi="黑体" w:eastAsia="黑体"/>
          <w:sz w:val="32"/>
        </w:rPr>
        <w:t>四、财政拨款收入支出决算总体情况说明</w:t>
      </w:r>
    </w:p>
    <w:p w14:paraId="6DCEDC5D">
      <w:pPr>
        <w:spacing w:line="580" w:lineRule="exact"/>
        <w:ind w:firstLine="640"/>
        <w:jc w:val="both"/>
      </w:pPr>
      <w:r>
        <w:rPr>
          <w:rFonts w:ascii="仿宋_GB2312" w:hAnsi="仿宋_GB2312" w:eastAsia="仿宋_GB2312"/>
          <w:b/>
          <w:sz w:val="32"/>
        </w:rPr>
        <w:t>2025年度财政拨款收入总计540.00万元，</w:t>
      </w:r>
      <w:r>
        <w:rPr>
          <w:rFonts w:ascii="仿宋_GB2312" w:hAnsi="仿宋_GB2312" w:eastAsia="仿宋_GB2312"/>
          <w:b w:val="0"/>
          <w:sz w:val="32"/>
        </w:rPr>
        <w:t>其中：年初财政拨款结转和结余0.00万元，本年财政拨款收入540.00万元。</w:t>
      </w:r>
      <w:r>
        <w:rPr>
          <w:rFonts w:ascii="仿宋_GB2312" w:hAnsi="仿宋_GB2312" w:eastAsia="仿宋_GB2312"/>
          <w:b/>
          <w:sz w:val="32"/>
        </w:rPr>
        <w:t>财政拨款支出总计540.00万元，</w:t>
      </w:r>
      <w:r>
        <w:rPr>
          <w:rFonts w:ascii="仿宋_GB2312" w:hAnsi="仿宋_GB2312" w:eastAsia="仿宋_GB2312"/>
          <w:b w:val="0"/>
          <w:sz w:val="32"/>
        </w:rPr>
        <w:t>其中：年末财政拨款结转和结余0.00万元，本年财政拨款支出540.00万元。</w:t>
      </w:r>
    </w:p>
    <w:p w14:paraId="0B4A2FE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增加540.00万元，增长100.00%，主要原因是：本单位为本年新增预算单位，无上年对比数据。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年初预算数0.00万元，决算数540.00万元，预决算差异率100.00%，主要原因是：本单位为本年新增预算单位，无年初预算。</w:t>
      </w:r>
    </w:p>
    <w:p w14:paraId="312818CB">
      <w:pPr>
        <w:spacing w:line="640" w:lineRule="exact"/>
        <w:ind w:firstLine="640"/>
        <w:jc w:val="both"/>
        <w:outlineLvl w:val="2"/>
      </w:pPr>
      <w:r>
        <w:rPr>
          <w:rFonts w:ascii="黑体" w:hAnsi="黑体" w:eastAsia="黑体"/>
          <w:sz w:val="32"/>
        </w:rPr>
        <w:t>五、一般公共预算财政拨款支出决算情况说明</w:t>
      </w:r>
    </w:p>
    <w:p w14:paraId="3696B31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民生保障、灌区水利工程现代化建设等重点支出，体现在有关支出科目中。</w:t>
      </w:r>
    </w:p>
    <w:p w14:paraId="280547DD">
      <w:pPr>
        <w:spacing w:line="580" w:lineRule="exact"/>
        <w:ind w:firstLine="640"/>
        <w:jc w:val="both"/>
      </w:pPr>
      <w:r>
        <w:rPr>
          <w:rFonts w:ascii="仿宋_GB2312" w:hAnsi="仿宋_GB2312" w:eastAsia="仿宋_GB2312"/>
          <w:b w:val="0"/>
          <w:sz w:val="32"/>
        </w:rPr>
        <w:t>按照支出功能分类，农林水支出（类）水利（款）水利前期工作（项）的支出占本年财政拨款支出总额的比重最高，2025年度决算数为500.00万元，占比92.59%，主要用于巩乃斯河下游北岸大渠灌区续建配套与现代化改造工程前期费。</w:t>
      </w:r>
    </w:p>
    <w:p w14:paraId="5F95A702">
      <w:pPr>
        <w:spacing w:line="640" w:lineRule="exact"/>
        <w:ind w:firstLine="640"/>
        <w:jc w:val="both"/>
        <w:outlineLvl w:val="3"/>
      </w:pPr>
      <w:r>
        <w:rPr>
          <w:rFonts w:ascii="楷体_GB2312" w:hAnsi="楷体_GB2312" w:eastAsia="楷体_GB2312"/>
          <w:b/>
          <w:sz w:val="32"/>
        </w:rPr>
        <w:t>（一）一般公共预算财政拨款支出决算总体情况</w:t>
      </w:r>
    </w:p>
    <w:p w14:paraId="6BEA1B42">
      <w:pPr>
        <w:spacing w:line="580" w:lineRule="exact"/>
        <w:ind w:firstLine="640"/>
        <w:jc w:val="both"/>
      </w:pPr>
      <w:r>
        <w:rPr>
          <w:rFonts w:ascii="仿宋_GB2312" w:hAnsi="仿宋_GB2312" w:eastAsia="仿宋_GB2312"/>
          <w:b/>
          <w:sz w:val="32"/>
        </w:rPr>
        <w:t>2025年度一般公共预算财政拨款支出540.00万元，</w:t>
      </w:r>
      <w:r>
        <w:rPr>
          <w:rFonts w:ascii="仿宋_GB2312" w:hAnsi="仿宋_GB2312" w:eastAsia="仿宋_GB2312"/>
          <w:b w:val="0"/>
          <w:sz w:val="32"/>
        </w:rPr>
        <w:t>占本年支出合计的8.64%。</w:t>
      </w:r>
      <w:r>
        <w:rPr>
          <w:rFonts w:ascii="仿宋_GB2312" w:hAnsi="仿宋_GB2312" w:eastAsia="仿宋_GB2312"/>
          <w:b/>
          <w:sz w:val="32"/>
        </w:rPr>
        <w:t>与上年相比，</w:t>
      </w:r>
      <w:r>
        <w:rPr>
          <w:rFonts w:ascii="仿宋_GB2312" w:hAnsi="仿宋_GB2312" w:eastAsia="仿宋_GB2312"/>
          <w:b w:val="0"/>
          <w:sz w:val="32"/>
        </w:rPr>
        <w:t>增加540.00万元，增长100.00%，主要原因是：本单位为本年新增预算单位，无上年对比数据。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年初预算数0.00万元，决算数540.00万元，预决算差异率100.00%，主要原因是：本单位为本年新增预算单位，无年初预算。</w:t>
      </w:r>
    </w:p>
    <w:p w14:paraId="34B74901">
      <w:pPr>
        <w:spacing w:line="640" w:lineRule="exact"/>
        <w:ind w:firstLine="640"/>
        <w:jc w:val="both"/>
        <w:outlineLvl w:val="3"/>
      </w:pPr>
      <w:r>
        <w:rPr>
          <w:rFonts w:ascii="楷体_GB2312" w:hAnsi="楷体_GB2312" w:eastAsia="楷体_GB2312"/>
          <w:b/>
          <w:sz w:val="32"/>
        </w:rPr>
        <w:t>（二）一般公共预算财政拨款支出决算结构情况</w:t>
      </w:r>
    </w:p>
    <w:p w14:paraId="6F4A8F95">
      <w:pPr>
        <w:spacing w:line="580" w:lineRule="exact"/>
        <w:ind w:firstLine="640"/>
        <w:jc w:val="both"/>
      </w:pPr>
      <w:r>
        <w:rPr>
          <w:rFonts w:ascii="仿宋_GB2312" w:hAnsi="仿宋_GB2312" w:eastAsia="仿宋_GB2312"/>
          <w:b w:val="0"/>
          <w:sz w:val="32"/>
        </w:rPr>
        <w:t>1.农林水支出（类）540.00万元，占100.00%。</w:t>
      </w:r>
    </w:p>
    <w:p w14:paraId="00BC7402">
      <w:pPr>
        <w:spacing w:line="640" w:lineRule="exact"/>
        <w:ind w:firstLine="640"/>
        <w:jc w:val="both"/>
        <w:outlineLvl w:val="3"/>
      </w:pPr>
      <w:r>
        <w:rPr>
          <w:rFonts w:ascii="楷体_GB2312" w:hAnsi="楷体_GB2312" w:eastAsia="楷体_GB2312"/>
          <w:b/>
          <w:sz w:val="32"/>
        </w:rPr>
        <w:t>（三）一般公共预算财政拨款支出决算具体情况</w:t>
      </w:r>
    </w:p>
    <w:p w14:paraId="08733637">
      <w:pPr>
        <w:spacing w:line="580" w:lineRule="exact"/>
        <w:ind w:firstLine="640"/>
        <w:jc w:val="both"/>
      </w:pPr>
      <w:r>
        <w:rPr>
          <w:rFonts w:ascii="仿宋_GB2312" w:hAnsi="仿宋_GB2312" w:eastAsia="仿宋_GB2312"/>
          <w:b w:val="0"/>
          <w:sz w:val="32"/>
        </w:rPr>
        <w:t>1.农林水支出（类）水利（款）水利前期工作（项）：支出决算数为500.00万元，比上年决算增加500.00万元，增长100.00%，主要原因是：本单位为本年新增预算单位，无上年对比数据。</w:t>
      </w:r>
    </w:p>
    <w:p w14:paraId="3E056317">
      <w:pPr>
        <w:spacing w:line="580" w:lineRule="exact"/>
        <w:ind w:firstLine="640"/>
        <w:jc w:val="both"/>
      </w:pPr>
      <w:r>
        <w:rPr>
          <w:rFonts w:ascii="仿宋_GB2312" w:hAnsi="仿宋_GB2312" w:eastAsia="仿宋_GB2312"/>
          <w:b w:val="0"/>
          <w:sz w:val="32"/>
        </w:rPr>
        <w:t>2.农林水支出（类）水利（款）防汛（项）：支出决算数为40.00万元，比上年决算增加40.00万元，增长100.00%，主要原因是：本单位为本年新增预算单位，无上年对比数据。</w:t>
      </w:r>
    </w:p>
    <w:p w14:paraId="614DE929">
      <w:pPr>
        <w:spacing w:line="640" w:lineRule="exact"/>
        <w:ind w:firstLine="640"/>
        <w:jc w:val="both"/>
        <w:outlineLvl w:val="2"/>
      </w:pPr>
      <w:r>
        <w:rPr>
          <w:rFonts w:ascii="黑体" w:hAnsi="黑体" w:eastAsia="黑体"/>
          <w:sz w:val="32"/>
        </w:rPr>
        <w:t>六、一般公共预算财政拨款基本支出决算情况说明</w:t>
      </w:r>
    </w:p>
    <w:p w14:paraId="68F725FB">
      <w:pPr>
        <w:spacing w:line="580" w:lineRule="exact"/>
        <w:ind w:firstLine="640"/>
        <w:jc w:val="both"/>
      </w:pPr>
      <w:r>
        <w:rPr>
          <w:rFonts w:ascii="仿宋_GB2312" w:hAnsi="仿宋_GB2312" w:eastAsia="仿宋_GB2312"/>
          <w:b w:val="0"/>
          <w:sz w:val="32"/>
        </w:rPr>
        <w:t>2025年度一般公共预算财政拨款基本支出0.00万元，其中：</w:t>
      </w:r>
      <w:r>
        <w:rPr>
          <w:rFonts w:ascii="仿宋_GB2312" w:hAnsi="仿宋_GB2312" w:eastAsia="仿宋_GB2312"/>
          <w:b/>
          <w:sz w:val="32"/>
        </w:rPr>
        <w:t>人员经费0.00万元，</w:t>
      </w:r>
      <w:r>
        <w:rPr>
          <w:rFonts w:ascii="仿宋_GB2312" w:hAnsi="仿宋_GB2312" w:eastAsia="仿宋_GB2312"/>
          <w:b w:val="0"/>
          <w:sz w:val="32"/>
        </w:rPr>
        <w:t>包括：无人员经费。</w:t>
      </w:r>
    </w:p>
    <w:p w14:paraId="45CEBA5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FC7132C">
      <w:pPr>
        <w:spacing w:line="640" w:lineRule="exact"/>
        <w:ind w:firstLine="640"/>
        <w:jc w:val="both"/>
        <w:outlineLvl w:val="2"/>
      </w:pPr>
      <w:r>
        <w:rPr>
          <w:rFonts w:ascii="黑体" w:hAnsi="黑体" w:eastAsia="黑体"/>
          <w:sz w:val="32"/>
        </w:rPr>
        <w:t>七、政府性基金预算财政拨款收入支出决算情况说明</w:t>
      </w:r>
    </w:p>
    <w:p w14:paraId="07A90ED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6F48A4C">
      <w:pPr>
        <w:spacing w:line="640" w:lineRule="exact"/>
        <w:ind w:firstLine="640"/>
        <w:jc w:val="both"/>
        <w:outlineLvl w:val="2"/>
      </w:pPr>
      <w:r>
        <w:rPr>
          <w:rFonts w:ascii="黑体" w:hAnsi="黑体" w:eastAsia="黑体"/>
          <w:sz w:val="32"/>
        </w:rPr>
        <w:t>八、国有资本经营预算财政拨款收入支出决算情况说明</w:t>
      </w:r>
    </w:p>
    <w:p w14:paraId="604EC8E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99A340">
      <w:pPr>
        <w:spacing w:line="640" w:lineRule="exact"/>
        <w:ind w:firstLine="640"/>
        <w:jc w:val="both"/>
        <w:outlineLvl w:val="2"/>
      </w:pPr>
      <w:r>
        <w:rPr>
          <w:rFonts w:ascii="黑体" w:hAnsi="黑体" w:eastAsia="黑体"/>
          <w:sz w:val="32"/>
        </w:rPr>
        <w:t>九、财政拨款“三公”经费支出决算情况说明</w:t>
      </w:r>
    </w:p>
    <w:p w14:paraId="5543298E">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2025年本单位无财政拨款“三公”经费支出。其中：因公出国（境）费用支出0.00万元，占0.00%，比上年增加0.00万元，增长0.00%，主要原因是：2025年本单位无因公出国（境）费用支出。公务用车购置及运行维护费支出0.00万元，占0.00%，比上年增加0.00万元，增长0.00%，主要原因是：2025年本单位无公务用车购置及运行维护费支出。公务接待费支出0.00万元，占0.00%，比上年增加0.00万元，增长0.00%，主要原因是：2025年本单位无公务接待费支出。</w:t>
      </w:r>
    </w:p>
    <w:p w14:paraId="0B810EA1">
      <w:pPr>
        <w:spacing w:line="580" w:lineRule="exact"/>
        <w:ind w:firstLine="640"/>
        <w:jc w:val="both"/>
      </w:pPr>
      <w:r>
        <w:rPr>
          <w:rFonts w:ascii="仿宋_GB2312" w:hAnsi="仿宋_GB2312" w:eastAsia="仿宋_GB2312"/>
          <w:b/>
          <w:sz w:val="32"/>
        </w:rPr>
        <w:t>具体情况如下：</w:t>
      </w:r>
    </w:p>
    <w:p w14:paraId="078206B4">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2E5742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12辆，与公务用车保有量差异原因是：差异车辆为业务车辆，未使用财政拨款公务用车运行维护费支付，由自有经费保障。</w:t>
      </w:r>
    </w:p>
    <w:p w14:paraId="4746B51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99F96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272D108">
      <w:pPr>
        <w:spacing w:line="640" w:lineRule="exact"/>
        <w:ind w:firstLine="640"/>
        <w:jc w:val="both"/>
        <w:outlineLvl w:val="2"/>
      </w:pPr>
      <w:r>
        <w:rPr>
          <w:rFonts w:ascii="黑体" w:hAnsi="黑体" w:eastAsia="黑体"/>
          <w:sz w:val="32"/>
        </w:rPr>
        <w:t>十、其他重要事项的情况说明</w:t>
      </w:r>
    </w:p>
    <w:p w14:paraId="42B409C0">
      <w:pPr>
        <w:spacing w:line="640" w:lineRule="exact"/>
        <w:ind w:firstLine="640"/>
        <w:jc w:val="both"/>
        <w:outlineLvl w:val="3"/>
      </w:pPr>
      <w:r>
        <w:rPr>
          <w:rFonts w:ascii="楷体_GB2312" w:hAnsi="楷体_GB2312" w:eastAsia="楷体_GB2312"/>
          <w:b/>
          <w:sz w:val="32"/>
        </w:rPr>
        <w:t>（一）机关运行经费及公用经费支出情况</w:t>
      </w:r>
    </w:p>
    <w:p w14:paraId="114738AD">
      <w:pPr>
        <w:spacing w:line="580" w:lineRule="exact"/>
        <w:ind w:firstLine="640"/>
        <w:jc w:val="both"/>
      </w:pPr>
      <w:r>
        <w:rPr>
          <w:rFonts w:ascii="仿宋_GB2312" w:hAnsi="仿宋_GB2312" w:eastAsia="仿宋_GB2312"/>
          <w:b w:val="0"/>
          <w:sz w:val="32"/>
        </w:rPr>
        <w:t>2025年度新疆维吾尔自治区伊犁河流域水利管理中心（事业单位）公用经费支出0.00万元，比上年增加0.00万元，增长0.00%，主要原因是：2025年本单位无公用经费支出。</w:t>
      </w:r>
    </w:p>
    <w:p w14:paraId="29887568">
      <w:pPr>
        <w:spacing w:line="640" w:lineRule="exact"/>
        <w:ind w:firstLine="640"/>
        <w:jc w:val="both"/>
        <w:outlineLvl w:val="3"/>
      </w:pPr>
      <w:r>
        <w:rPr>
          <w:rFonts w:ascii="楷体_GB2312" w:hAnsi="楷体_GB2312" w:eastAsia="楷体_GB2312"/>
          <w:b/>
          <w:sz w:val="32"/>
        </w:rPr>
        <w:t>（二）政府采购情况</w:t>
      </w:r>
    </w:p>
    <w:p w14:paraId="13002F95">
      <w:pPr>
        <w:spacing w:line="580" w:lineRule="exact"/>
        <w:ind w:firstLine="640"/>
        <w:jc w:val="both"/>
      </w:pPr>
      <w:r>
        <w:rPr>
          <w:rFonts w:ascii="仿宋_GB2312" w:hAnsi="仿宋_GB2312" w:eastAsia="仿宋_GB2312"/>
          <w:b w:val="0"/>
          <w:sz w:val="32"/>
        </w:rPr>
        <w:t>2025年度政府采购支出总额634.76万元，其中：政府采购货物支出447.61万元、政府采购工程支出0.00万元、政府采购服务支出187.15万元。</w:t>
      </w:r>
    </w:p>
    <w:p w14:paraId="7481376A">
      <w:pPr>
        <w:spacing w:line="580" w:lineRule="exact"/>
        <w:ind w:firstLine="640"/>
        <w:jc w:val="both"/>
      </w:pPr>
      <w:r>
        <w:rPr>
          <w:rFonts w:ascii="仿宋_GB2312" w:hAnsi="仿宋_GB2312" w:eastAsia="仿宋_GB2312"/>
          <w:b w:val="0"/>
          <w:sz w:val="32"/>
        </w:rPr>
        <w:t>授予中小企业合同金额634.76万元，占政府采购支出总额的100.00%，其中：授予小微企业合同金额634.76万元，占政府采购支出总额的100.00%。</w:t>
      </w:r>
    </w:p>
    <w:p w14:paraId="28E51704">
      <w:pPr>
        <w:spacing w:line="640" w:lineRule="exact"/>
        <w:ind w:firstLine="640"/>
        <w:jc w:val="both"/>
        <w:outlineLvl w:val="3"/>
      </w:pPr>
      <w:r>
        <w:rPr>
          <w:rFonts w:ascii="楷体_GB2312" w:hAnsi="楷体_GB2312" w:eastAsia="楷体_GB2312"/>
          <w:b/>
          <w:sz w:val="32"/>
        </w:rPr>
        <w:t>（三）国有资产占用情况说明</w:t>
      </w:r>
    </w:p>
    <w:p w14:paraId="578A0AA4">
      <w:pPr>
        <w:spacing w:line="580" w:lineRule="exact"/>
        <w:ind w:firstLine="640"/>
        <w:jc w:val="both"/>
      </w:pPr>
      <w:r>
        <w:rPr>
          <w:rFonts w:ascii="仿宋_GB2312" w:hAnsi="仿宋_GB2312" w:eastAsia="仿宋_GB2312"/>
          <w:b w:val="0"/>
          <w:sz w:val="32"/>
        </w:rPr>
        <w:t>截至2025年12月31日，房屋8,668.90平方米，价值1,390.05万元。车辆12辆，价值238.33万元，其中：副部（省）级及以上领导用车0辆、主要负责人用车</w:t>
      </w:r>
      <w:bookmarkStart w:id="0" w:name="_GoBack"/>
      <w:bookmarkEnd w:id="0"/>
      <w:r>
        <w:rPr>
          <w:rFonts w:ascii="仿宋_GB2312" w:hAnsi="仿宋_GB2312" w:eastAsia="仿宋_GB2312"/>
          <w:b w:val="0"/>
          <w:sz w:val="32"/>
        </w:rPr>
        <w:t>0辆、机要通信用车0辆、应急保障用车0辆、执法执勤用车0辆、特种专业技术用车0辆、离退休干部服务用车0辆、其他用车12辆，其他用车主要是：单位业务用车。单价100万元（含）以上设备（不含车辆）2台（套）。</w:t>
      </w:r>
    </w:p>
    <w:p w14:paraId="5D41F90D">
      <w:pPr>
        <w:spacing w:line="640" w:lineRule="exact"/>
        <w:ind w:firstLine="640"/>
        <w:jc w:val="both"/>
        <w:outlineLvl w:val="2"/>
      </w:pPr>
      <w:r>
        <w:rPr>
          <w:rFonts w:ascii="黑体" w:hAnsi="黑体" w:eastAsia="黑体"/>
          <w:sz w:val="32"/>
        </w:rPr>
        <w:t>十一、预算绩效的情况说明</w:t>
      </w:r>
    </w:p>
    <w:p w14:paraId="1853037F">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12C9D2CC">
      <w:r>
        <w:br w:type="page"/>
      </w:r>
    </w:p>
    <w:p w14:paraId="5928DBE7">
      <w:pPr>
        <w:spacing w:line="640" w:lineRule="exact"/>
        <w:ind w:firstLine="640"/>
        <w:jc w:val="both"/>
        <w:outlineLvl w:val="2"/>
      </w:pPr>
      <w:r>
        <w:rPr>
          <w:rFonts w:ascii="黑体" w:hAnsi="黑体" w:eastAsia="黑体"/>
          <w:sz w:val="32"/>
        </w:rPr>
        <w:t>十二、其他需说明的事项</w:t>
      </w:r>
    </w:p>
    <w:p w14:paraId="75B5E362">
      <w:pPr>
        <w:spacing w:line="580" w:lineRule="exact"/>
        <w:ind w:firstLine="640"/>
        <w:jc w:val="both"/>
      </w:pPr>
      <w:r>
        <w:rPr>
          <w:rFonts w:ascii="仿宋_GB2312" w:hAnsi="仿宋_GB2312" w:eastAsia="仿宋_GB2312"/>
          <w:b w:val="0"/>
          <w:sz w:val="32"/>
        </w:rPr>
        <w:t>本单位无其他需说明的事项。</w:t>
      </w:r>
    </w:p>
    <w:p w14:paraId="6CC7982C">
      <w:r>
        <w:br w:type="page"/>
      </w:r>
    </w:p>
    <w:p w14:paraId="3F0DD8DA">
      <w:pPr>
        <w:spacing w:line="600" w:lineRule="exact"/>
        <w:jc w:val="center"/>
        <w:outlineLvl w:val="0"/>
      </w:pPr>
      <w:r>
        <w:rPr>
          <w:rFonts w:ascii="黑体" w:hAnsi="黑体" w:eastAsia="黑体"/>
          <w:sz w:val="32"/>
        </w:rPr>
        <w:t>第三部分 专业名词解释</w:t>
      </w:r>
    </w:p>
    <w:p w14:paraId="2FCCF14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13FAF34">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C85BC74">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FE8504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60A12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A01DAE0">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364AA3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44D3CAC">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DF446B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BC591D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454D415">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92B215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6150401">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26B8998">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53D7776A">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3B95C9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465702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26F2D0B">
      <w:r>
        <w:br w:type="page"/>
      </w:r>
    </w:p>
    <w:p w14:paraId="42304013">
      <w:pPr>
        <w:spacing w:line="240" w:lineRule="auto"/>
        <w:jc w:val="center"/>
        <w:outlineLvl w:val="1"/>
      </w:pPr>
      <w:r>
        <w:rPr>
          <w:rFonts w:ascii="黑体" w:hAnsi="黑体" w:eastAsia="黑体"/>
          <w:sz w:val="32"/>
        </w:rPr>
        <w:t>第四部分 部门决算报表（见附表）</w:t>
      </w:r>
    </w:p>
    <w:p w14:paraId="255097F1">
      <w:pPr>
        <w:autoSpaceDE w:val="0"/>
        <w:autoSpaceDN w:val="0"/>
        <w:spacing w:line="600" w:lineRule="exact"/>
        <w:ind w:firstLine="640" w:firstLineChars="200"/>
      </w:pPr>
      <w:r>
        <w:rPr>
          <w:rFonts w:ascii="仿宋_GB2312" w:hAnsi="仿宋_GB2312" w:eastAsia="仿宋_GB2312"/>
          <w:b w:val="0"/>
          <w:sz w:val="32"/>
        </w:rPr>
        <w:t>一、《收入支出决算总表》</w:t>
      </w:r>
    </w:p>
    <w:p w14:paraId="1F7C7E72">
      <w:pPr>
        <w:autoSpaceDE w:val="0"/>
        <w:autoSpaceDN w:val="0"/>
        <w:spacing w:line="600" w:lineRule="exact"/>
        <w:ind w:firstLine="640" w:firstLineChars="200"/>
      </w:pPr>
      <w:r>
        <w:rPr>
          <w:rFonts w:ascii="仿宋_GB2312" w:hAnsi="仿宋_GB2312" w:eastAsia="仿宋_GB2312"/>
          <w:b w:val="0"/>
          <w:sz w:val="32"/>
        </w:rPr>
        <w:t>二、《收入决算表》</w:t>
      </w:r>
    </w:p>
    <w:p w14:paraId="3F25ACCB">
      <w:pPr>
        <w:autoSpaceDE w:val="0"/>
        <w:autoSpaceDN w:val="0"/>
        <w:spacing w:line="600" w:lineRule="exact"/>
        <w:ind w:firstLine="640" w:firstLineChars="200"/>
      </w:pPr>
      <w:r>
        <w:rPr>
          <w:rFonts w:ascii="仿宋_GB2312" w:hAnsi="仿宋_GB2312" w:eastAsia="仿宋_GB2312"/>
          <w:b w:val="0"/>
          <w:sz w:val="32"/>
        </w:rPr>
        <w:t>三、《支出决算表》</w:t>
      </w:r>
    </w:p>
    <w:p w14:paraId="359F5E7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C40FEEF">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30864DB6">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46347E3">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B8F0A3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7EED618">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63A482B">
      <w:pPr>
        <w:autoSpaceDE w:val="0"/>
        <w:autoSpaceDN w:val="0"/>
        <w:spacing w:line="600" w:lineRule="exact"/>
        <w:ind w:firstLine="640" w:firstLineChars="200"/>
      </w:pPr>
    </w:p>
    <w:p w14:paraId="4CB5B4D6">
      <w:pPr>
        <w:autoSpaceDE w:val="0"/>
        <w:autoSpaceDN w:val="0"/>
        <w:spacing w:line="600" w:lineRule="exact"/>
        <w:ind w:firstLine="640" w:firstLineChars="200"/>
      </w:pPr>
    </w:p>
    <w:p w14:paraId="33094839">
      <w:pPr>
        <w:autoSpaceDE w:val="0"/>
        <w:autoSpaceDN w:val="0"/>
        <w:spacing w:line="600" w:lineRule="exact"/>
        <w:ind w:firstLine="640" w:firstLineChars="200"/>
      </w:pPr>
    </w:p>
    <w:p w14:paraId="44E69CE2">
      <w:pPr>
        <w:autoSpaceDE w:val="0"/>
        <w:autoSpaceDN w:val="0"/>
        <w:spacing w:line="600" w:lineRule="exact"/>
        <w:ind w:firstLine="640" w:firstLineChars="200"/>
      </w:pPr>
    </w:p>
    <w:p w14:paraId="3B69D1A0">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0E40D2-537A-4B8A-880B-AE7E298D07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7CBBDBB-575A-4B1F-BFF7-EAA88EB81A0B}"/>
  </w:font>
  <w:font w:name="仿宋_GB2312">
    <w:panose1 w:val="02010609030101010101"/>
    <w:charset w:val="86"/>
    <w:family w:val="modern"/>
    <w:pitch w:val="default"/>
    <w:sig w:usb0="00000001" w:usb1="080E0000" w:usb2="00000000" w:usb3="00000000" w:csb0="00040000" w:csb1="00000000"/>
    <w:embedRegular r:id="rId3" w:fontKey="{551EA904-C20A-4D7E-A240-07DE6466A38F}"/>
  </w:font>
  <w:font w:name="楷体_GB2312">
    <w:altName w:val="楷体"/>
    <w:panose1 w:val="00000000000000000000"/>
    <w:charset w:val="00"/>
    <w:family w:val="auto"/>
    <w:pitch w:val="default"/>
    <w:sig w:usb0="00000000" w:usb1="00000000" w:usb2="00000000" w:usb3="00000000" w:csb0="00000000" w:csb1="00000000"/>
    <w:embedRegular r:id="rId4" w:fontKey="{7370F588-E04D-4EB1-9FEE-E025F44DB401}"/>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5687C00"/>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19a79308-4a7e-47e6-9477-7752f012815b</errorID>
      <errorWord>综合治理</errorWord>
      <group>L1_Sensitive</group>
      <groupName>敏感问题</groupName>
      <ability>L2_UserSensitive</ability>
      <abilityName>自定义敏感词</abilityName>
      <candidateList/>
      <explain>来自自定义敏感词库。</explain>
      <paraID>6FD262FB</paraID>
      <start>21</start>
      <end>25</end>
      <status>ignored</status>
      <modifiedWord/>
      <trackRevisions>false</trackRevisions>
    </reviewItem>
    <reviewItem>
      <errorID>4406d386-84a8-4345-b7c8-663d6fe35aff</errorID>
      <errorWord>跨流域供水</errorWord>
      <group>L1_Political</group>
      <groupName>政治性问题</groupName>
      <ability>L2_Keyword</ability>
      <abilityName>固定表述</abilityName>
      <candidateList>
        <item>跨流域调水</item>
      </candidateList>
      <explain>词汇“跨流域调水”在特定场景下为固定表述形式，请确认此处的“跨流域供水”是否存在不当。</explain>
      <paraID>6FD262FB</paraID>
      <start>26</start>
      <end>31</end>
      <status>ignored</status>
      <modifiedWord/>
      <trackRevisions>false</trackRevisions>
    </reviewItem>
    <reviewItem>
      <errorID>631a6114-785c-473c-8d2a-f2bf2c55d727</errorID>
      <errorWord>2月31日</errorWord>
      <group>L1_Sensitive</group>
      <groupName>敏感问题</groupName>
      <ability>L2_UserSensitive</ability>
      <abilityName>自定义敏感词</abilityName>
      <candidateList/>
      <explain>来自自定义敏感词库。</explain>
      <paraID>578A0AA4</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37d22eae-439e-42c5-9181-b53c1bb602dc}">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4475</Words>
  <Characters>5032</Characters>
  <Lines>10</Lines>
  <Paragraphs>2</Paragraphs>
  <TotalTime>9</TotalTime>
  <ScaleCrop>false</ScaleCrop>
  <LinksUpToDate>false</LinksUpToDate>
  <CharactersWithSpaces>5042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2026-08-28T07:36:49Z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