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50879B"/>
    <w:p w14:paraId="53D9FD0A">
      <w:pPr>
        <w:spacing w:line="540" w:lineRule="exact"/>
        <w:jc w:val="center"/>
        <w:rPr>
          <w:rFonts w:hint="default" w:ascii="Times New Roman" w:hAnsi="Times New Roman" w:eastAsia="华文中宋" w:cs="Times New Roman"/>
          <w:b/>
          <w:kern w:val="0"/>
          <w:sz w:val="52"/>
          <w:szCs w:val="52"/>
        </w:rPr>
      </w:pPr>
    </w:p>
    <w:p w14:paraId="492F6E11">
      <w:pPr>
        <w:spacing w:line="540" w:lineRule="exact"/>
        <w:rPr>
          <w:rFonts w:hint="default" w:ascii="Times New Roman" w:hAnsi="Times New Roman" w:eastAsia="华文中宋" w:cs="Times New Roman"/>
          <w:b/>
          <w:kern w:val="0"/>
          <w:sz w:val="52"/>
          <w:szCs w:val="52"/>
        </w:rPr>
      </w:pPr>
    </w:p>
    <w:p w14:paraId="4D50738B">
      <w:pPr>
        <w:spacing w:line="540" w:lineRule="exact"/>
        <w:jc w:val="center"/>
        <w:rPr>
          <w:rFonts w:hint="default" w:ascii="Times New Roman" w:hAnsi="Times New Roman" w:eastAsia="华文中宋" w:cs="Times New Roman"/>
          <w:b/>
          <w:kern w:val="0"/>
          <w:sz w:val="52"/>
          <w:szCs w:val="52"/>
        </w:rPr>
      </w:pPr>
    </w:p>
    <w:p w14:paraId="358D85FC">
      <w:pPr>
        <w:spacing w:line="540" w:lineRule="exact"/>
        <w:jc w:val="center"/>
        <w:rPr>
          <w:rFonts w:hint="default" w:ascii="Times New Roman" w:hAnsi="Times New Roman" w:eastAsia="华文中宋" w:cs="Times New Roman"/>
          <w:b/>
          <w:kern w:val="0"/>
          <w:sz w:val="52"/>
          <w:szCs w:val="52"/>
        </w:rPr>
      </w:pPr>
    </w:p>
    <w:p w14:paraId="66497855">
      <w:pPr>
        <w:spacing w:line="540" w:lineRule="exact"/>
        <w:jc w:val="center"/>
        <w:rPr>
          <w:rFonts w:hint="default" w:ascii="Times New Roman" w:hAnsi="Times New Roman" w:eastAsia="方正小标宋_GBK" w:cs="Times New Roman"/>
          <w:kern w:val="0"/>
          <w:sz w:val="48"/>
          <w:szCs w:val="48"/>
        </w:rPr>
      </w:pPr>
      <w:r>
        <w:rPr>
          <w:rFonts w:hint="eastAsia" w:ascii="Times New Roman" w:hAnsi="Times New Roman" w:eastAsia="方正小标宋_GBK" w:cs="Times New Roman"/>
          <w:kern w:val="0"/>
          <w:sz w:val="48"/>
          <w:szCs w:val="48"/>
          <w:lang w:val="en-US" w:eastAsia="zh-CN"/>
        </w:rPr>
        <w:t>水文组织建设与经营成本性支出</w:t>
      </w:r>
      <w:r>
        <w:rPr>
          <w:rFonts w:hint="default" w:ascii="Times New Roman" w:hAnsi="Times New Roman" w:eastAsia="方正小标宋_GBK" w:cs="Times New Roman"/>
          <w:kern w:val="0"/>
          <w:sz w:val="48"/>
          <w:szCs w:val="48"/>
        </w:rPr>
        <w:t>项目支出绩效评价报告</w:t>
      </w:r>
    </w:p>
    <w:p w14:paraId="0A028901">
      <w:pPr>
        <w:spacing w:line="540" w:lineRule="exact"/>
        <w:jc w:val="center"/>
        <w:rPr>
          <w:rFonts w:hint="default" w:ascii="Times New Roman" w:hAnsi="Times New Roman" w:eastAsia="华文中宋" w:cs="Times New Roman"/>
          <w:b/>
          <w:kern w:val="0"/>
          <w:sz w:val="52"/>
          <w:szCs w:val="52"/>
        </w:rPr>
      </w:pPr>
    </w:p>
    <w:p w14:paraId="70057EEB">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eastAsia" w:eastAsia="仿宋_GB2312" w:cs="Times New Roman"/>
          <w:kern w:val="0"/>
          <w:sz w:val="36"/>
          <w:szCs w:val="36"/>
          <w:lang w:val="en-US" w:eastAsia="zh-CN"/>
        </w:rPr>
        <w:t>5</w:t>
      </w:r>
      <w:r>
        <w:rPr>
          <w:rFonts w:hint="default" w:ascii="Times New Roman" w:hAnsi="Times New Roman" w:eastAsia="仿宋_GB2312" w:cs="Times New Roman"/>
          <w:kern w:val="0"/>
          <w:sz w:val="36"/>
          <w:szCs w:val="36"/>
        </w:rPr>
        <w:t>年度）</w:t>
      </w:r>
    </w:p>
    <w:p w14:paraId="3336AE2E">
      <w:pPr>
        <w:spacing w:line="540" w:lineRule="exact"/>
        <w:jc w:val="center"/>
        <w:rPr>
          <w:rFonts w:hint="default" w:ascii="Times New Roman" w:hAnsi="Times New Roman" w:eastAsia="仿宋_GB2312" w:cs="Times New Roman"/>
          <w:kern w:val="0"/>
          <w:sz w:val="30"/>
          <w:szCs w:val="30"/>
        </w:rPr>
      </w:pPr>
    </w:p>
    <w:p w14:paraId="2F316165">
      <w:pPr>
        <w:spacing w:line="540" w:lineRule="exact"/>
        <w:jc w:val="center"/>
        <w:rPr>
          <w:rFonts w:hint="default" w:ascii="Times New Roman" w:hAnsi="Times New Roman" w:eastAsia="仿宋_GB2312" w:cs="Times New Roman"/>
          <w:kern w:val="0"/>
          <w:sz w:val="30"/>
          <w:szCs w:val="30"/>
        </w:rPr>
      </w:pPr>
    </w:p>
    <w:p w14:paraId="19DC6B89">
      <w:pPr>
        <w:spacing w:line="540" w:lineRule="exact"/>
        <w:jc w:val="center"/>
        <w:rPr>
          <w:rFonts w:hint="default" w:ascii="Times New Roman" w:hAnsi="Times New Roman" w:eastAsia="仿宋_GB2312" w:cs="Times New Roman"/>
          <w:kern w:val="0"/>
          <w:sz w:val="30"/>
          <w:szCs w:val="30"/>
        </w:rPr>
      </w:pPr>
    </w:p>
    <w:p w14:paraId="33F205D8">
      <w:pPr>
        <w:spacing w:line="540" w:lineRule="exact"/>
        <w:jc w:val="center"/>
        <w:rPr>
          <w:rFonts w:hint="default" w:ascii="Times New Roman" w:hAnsi="Times New Roman" w:eastAsia="仿宋_GB2312" w:cs="Times New Roman"/>
          <w:kern w:val="0"/>
          <w:sz w:val="30"/>
          <w:szCs w:val="30"/>
        </w:rPr>
      </w:pPr>
    </w:p>
    <w:p w14:paraId="551AAD09">
      <w:pPr>
        <w:spacing w:line="540" w:lineRule="exact"/>
        <w:jc w:val="center"/>
        <w:rPr>
          <w:rFonts w:hint="default" w:ascii="Times New Roman" w:hAnsi="Times New Roman" w:eastAsia="仿宋_GB2312" w:cs="Times New Roman"/>
          <w:kern w:val="0"/>
          <w:sz w:val="30"/>
          <w:szCs w:val="30"/>
        </w:rPr>
      </w:pPr>
    </w:p>
    <w:p w14:paraId="22845B71">
      <w:pPr>
        <w:spacing w:line="540" w:lineRule="exact"/>
        <w:jc w:val="center"/>
        <w:rPr>
          <w:rFonts w:hint="default" w:ascii="Times New Roman" w:hAnsi="Times New Roman" w:eastAsia="仿宋_GB2312" w:cs="Times New Roman"/>
          <w:kern w:val="0"/>
          <w:sz w:val="30"/>
          <w:szCs w:val="30"/>
        </w:rPr>
      </w:pPr>
    </w:p>
    <w:p w14:paraId="6C76D115">
      <w:pPr>
        <w:spacing w:line="540" w:lineRule="exact"/>
        <w:jc w:val="center"/>
        <w:rPr>
          <w:rFonts w:hint="default" w:ascii="Times New Roman" w:hAnsi="Times New Roman" w:eastAsia="仿宋_GB2312" w:cs="Times New Roman"/>
          <w:kern w:val="0"/>
          <w:sz w:val="30"/>
          <w:szCs w:val="30"/>
        </w:rPr>
      </w:pPr>
    </w:p>
    <w:p w14:paraId="0CD9DDEF">
      <w:pPr>
        <w:spacing w:line="540" w:lineRule="exact"/>
        <w:jc w:val="center"/>
        <w:rPr>
          <w:rFonts w:hint="default" w:ascii="Times New Roman" w:hAnsi="Times New Roman" w:eastAsia="仿宋_GB2312" w:cs="Times New Roman"/>
          <w:kern w:val="0"/>
          <w:sz w:val="30"/>
          <w:szCs w:val="30"/>
        </w:rPr>
      </w:pPr>
    </w:p>
    <w:p w14:paraId="1054E808">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r>
        <w:rPr>
          <w:rFonts w:hint="eastAsia" w:ascii="Times New Roman" w:hAnsi="Times New Roman" w:eastAsia="仿宋_GB2312" w:cs="Times New Roman"/>
          <w:kern w:val="0"/>
          <w:sz w:val="36"/>
          <w:szCs w:val="36"/>
          <w:lang w:val="en-US" w:eastAsia="zh-CN"/>
        </w:rPr>
        <w:t>水文组织建设与经营成本性支出</w:t>
      </w:r>
    </w:p>
    <w:p w14:paraId="528C8526">
      <w:pPr>
        <w:spacing w:line="700" w:lineRule="exact"/>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自治区克孜勒苏水文勘测中心</w:t>
      </w:r>
    </w:p>
    <w:p w14:paraId="46388433">
      <w:pPr>
        <w:spacing w:line="700" w:lineRule="exact"/>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新疆维吾尔自治区水利厅</w:t>
      </w:r>
    </w:p>
    <w:p w14:paraId="53A4833E">
      <w:pPr>
        <w:spacing w:line="700" w:lineRule="exact"/>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时京林</w:t>
      </w:r>
    </w:p>
    <w:p w14:paraId="6A9E2F22">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2026</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24</w:t>
      </w:r>
      <w:r>
        <w:rPr>
          <w:rFonts w:hint="default" w:ascii="Times New Roman" w:hAnsi="Times New Roman" w:eastAsia="仿宋_GB2312" w:cs="Times New Roman"/>
          <w:kern w:val="0"/>
          <w:sz w:val="36"/>
          <w:szCs w:val="36"/>
        </w:rPr>
        <w:t>日</w:t>
      </w:r>
    </w:p>
    <w:p w14:paraId="71269B17">
      <w:pPr>
        <w:spacing w:line="540" w:lineRule="exact"/>
        <w:jc w:val="center"/>
        <w:rPr>
          <w:rFonts w:hint="default" w:ascii="Times New Roman" w:hAnsi="Times New Roman" w:eastAsia="仿宋_GB2312" w:cs="Times New Roman"/>
          <w:kern w:val="0"/>
          <w:sz w:val="30"/>
          <w:szCs w:val="30"/>
        </w:rPr>
      </w:pPr>
    </w:p>
    <w:p w14:paraId="4B50CAD6">
      <w:pPr>
        <w:rPr>
          <w:rFonts w:hint="default" w:ascii="Times New Roman" w:hAnsi="Times New Roman" w:eastAsia="仿宋_GB2312" w:cs="Times New Roman"/>
          <w:kern w:val="0"/>
          <w:sz w:val="30"/>
          <w:szCs w:val="30"/>
        </w:rPr>
      </w:pPr>
      <w:r>
        <w:rPr>
          <w:rFonts w:hint="default" w:ascii="Times New Roman" w:hAnsi="Times New Roman" w:eastAsia="仿宋_GB2312" w:cs="Times New Roman"/>
          <w:kern w:val="0"/>
          <w:sz w:val="30"/>
          <w:szCs w:val="30"/>
        </w:rPr>
        <w:br w:type="page"/>
      </w:r>
    </w:p>
    <w:p w14:paraId="4B5F70E3">
      <w:pPr>
        <w:spacing w:line="540" w:lineRule="exact"/>
        <w:jc w:val="center"/>
        <w:rPr>
          <w:rFonts w:hint="default" w:ascii="Times New Roman" w:hAnsi="Times New Roman" w:eastAsia="仿宋_GB2312" w:cs="Times New Roman"/>
          <w:kern w:val="0"/>
          <w:sz w:val="30"/>
          <w:szCs w:val="30"/>
        </w:rPr>
      </w:pPr>
    </w:p>
    <w:sdt>
      <w:sdtPr>
        <w:rPr>
          <w:rFonts w:ascii="宋体" w:hAnsi="宋体" w:eastAsia="宋体" w:cs="Times New Roman"/>
          <w:b/>
          <w:bCs/>
          <w:kern w:val="2"/>
          <w:sz w:val="44"/>
          <w:szCs w:val="44"/>
          <w:lang w:val="en-US" w:eastAsia="zh-CN" w:bidi="ar-SA"/>
        </w:rPr>
        <w:id w:val="147456767"/>
        <w15:color w:val="DBDBDB"/>
        <w:docPartObj>
          <w:docPartGallery w:val="Table of Contents"/>
          <w:docPartUnique/>
        </w:docPartObj>
      </w:sdtPr>
      <w:sdtEndPr>
        <w:rPr>
          <w:rFonts w:hint="default" w:ascii="Times New Roman" w:hAnsi="Times New Roman" w:eastAsia="宋体" w:cs="Times New Roman"/>
          <w:b/>
          <w:bCs/>
          <w:kern w:val="2"/>
          <w:sz w:val="21"/>
          <w:szCs w:val="24"/>
          <w:lang w:val="en-US" w:eastAsia="zh-CN" w:bidi="ar-SA"/>
        </w:rPr>
      </w:sdtEndPr>
      <w:sdtContent>
        <w:p w14:paraId="47A63DDD">
          <w:pPr>
            <w:spacing w:before="0" w:beforeLines="0" w:after="0" w:afterLines="0" w:line="240" w:lineRule="auto"/>
            <w:ind w:left="0" w:leftChars="0" w:right="0" w:rightChars="0" w:firstLine="0" w:firstLineChars="0"/>
            <w:jc w:val="center"/>
            <w:rPr>
              <w:b/>
              <w:bCs/>
              <w:sz w:val="44"/>
              <w:szCs w:val="44"/>
            </w:rPr>
          </w:pPr>
          <w:r>
            <w:rPr>
              <w:rFonts w:ascii="宋体" w:hAnsi="宋体" w:eastAsia="宋体"/>
              <w:b/>
              <w:bCs/>
              <w:sz w:val="44"/>
              <w:szCs w:val="44"/>
            </w:rPr>
            <w:t>目录</w:t>
          </w:r>
        </w:p>
        <w:p w14:paraId="0DE52CC4">
          <w:pPr>
            <w:pStyle w:val="9"/>
            <w:tabs>
              <w:tab w:val="right" w:leader="middleDot" w:pos="8548"/>
              <w:tab w:val="clear" w:pos="7980"/>
              <w:tab w:val="clear" w:pos="8190"/>
            </w:tabs>
            <w:rPr>
              <w:rFonts w:hint="eastAsia" w:ascii="仿宋_GB2312" w:hAnsi="仿宋_GB2312" w:eastAsia="仿宋_GB2312" w:cs="仿宋_GB2312"/>
              <w:sz w:val="32"/>
              <w:szCs w:val="32"/>
            </w:rPr>
          </w:pPr>
          <w:r>
            <w:rPr>
              <w:rFonts w:hint="default"/>
            </w:rPr>
            <w:fldChar w:fldCharType="begin"/>
          </w:r>
          <w:r>
            <w:rPr>
              <w:rFonts w:hint="default"/>
            </w:rPr>
            <w:instrText xml:space="preserve">TOC \o "1-9" \h \u</w:instrText>
          </w:r>
          <w:r>
            <w:rPr>
              <w:rFonts w:hint="default"/>
            </w:rPr>
            <w:fldChar w:fldCharType="separate"/>
          </w:r>
          <w:r>
            <w:fldChar w:fldCharType="begin"/>
          </w:r>
          <w:r>
            <w:instrText xml:space="preserve"> HYPERLINK \l "_Toc3458" </w:instrText>
          </w:r>
          <w:r>
            <w:fldChar w:fldCharType="separate"/>
          </w:r>
          <w:r>
            <w:rPr>
              <w:rFonts w:hint="eastAsia" w:ascii="仿宋_GB2312" w:hAnsi="仿宋_GB2312" w:eastAsia="仿宋_GB2312" w:cs="仿宋_GB2312"/>
              <w:bCs/>
              <w:sz w:val="32"/>
              <w:szCs w:val="32"/>
            </w:rPr>
            <w:t>一、基本情况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_Toc3458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620A138">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"_Toc16251" </w:instrText>
          </w:r>
          <w:r>
            <w:fldChar w:fldCharType="separate"/>
          </w:r>
          <w:r>
            <w:rPr>
              <w:rFonts w:hint="eastAsia" w:ascii="仿宋_GB2312" w:hAnsi="仿宋_GB2312" w:eastAsia="仿宋_GB2312" w:cs="仿宋_GB2312"/>
              <w:bCs/>
              <w:sz w:val="32"/>
              <w:szCs w:val="32"/>
            </w:rPr>
            <w:t>（一）项目概况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_Toc16251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6858708">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"_Toc11655" </w:instrText>
          </w:r>
          <w:r>
            <w:fldChar w:fldCharType="separate"/>
          </w:r>
          <w:r>
            <w:rPr>
              <w:rFonts w:hint="eastAsia" w:ascii="仿宋_GB2312" w:hAnsi="仿宋_GB2312" w:eastAsia="仿宋_GB2312" w:cs="仿宋_GB2312"/>
              <w:bCs/>
              <w:sz w:val="32"/>
              <w:szCs w:val="32"/>
            </w:rPr>
            <w:t>（二）项目绩效目标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_Toc11655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B3B6E2E">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"_Toc25712" </w:instrText>
          </w:r>
          <w:r>
            <w:fldChar w:fldCharType="separate"/>
          </w:r>
          <w:r>
            <w:rPr>
              <w:rFonts w:hint="eastAsia" w:ascii="仿宋_GB2312" w:hAnsi="仿宋_GB2312" w:eastAsia="仿宋_GB2312" w:cs="仿宋_GB2312"/>
              <w:sz w:val="32"/>
              <w:szCs w:val="32"/>
            </w:rPr>
            <w:t>二、绩效评价工作开展情况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_Toc25712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5504F23">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"_Toc20967" </w:instrText>
          </w:r>
          <w:r>
            <w:fldChar w:fldCharType="separate"/>
          </w:r>
          <w:r>
            <w:rPr>
              <w:rFonts w:hint="eastAsia" w:ascii="仿宋_GB2312" w:hAnsi="仿宋_GB2312" w:eastAsia="仿宋_GB2312" w:cs="仿宋_GB2312"/>
              <w:bCs/>
              <w:sz w:val="32"/>
              <w:szCs w:val="32"/>
            </w:rPr>
            <w:t>（一）绩效评价目的、对象和范围</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_Toc20967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B55870C">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"_Toc29785" </w:instrText>
          </w:r>
          <w:r>
            <w:fldChar w:fldCharType="separate"/>
          </w:r>
          <w:r>
            <w:rPr>
              <w:rFonts w:hint="eastAsia" w:ascii="仿宋_GB2312" w:hAnsi="仿宋_GB2312" w:eastAsia="仿宋_GB2312" w:cs="仿宋_GB2312"/>
              <w:bCs/>
              <w:sz w:val="32"/>
              <w:szCs w:val="32"/>
            </w:rPr>
            <w:t>（二）绩效评价原则、评价指标体系（详情见表1）、评价方法、评价标准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_Toc29785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CFCAA3A">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"_Toc5544" </w:instrText>
          </w:r>
          <w:r>
            <w:fldChar w:fldCharType="separate"/>
          </w:r>
          <w:r>
            <w:rPr>
              <w:rFonts w:hint="eastAsia" w:ascii="仿宋_GB2312" w:hAnsi="仿宋_GB2312" w:eastAsia="仿宋_GB2312" w:cs="仿宋_GB2312"/>
              <w:spacing w:val="17"/>
              <w:sz w:val="32"/>
              <w:szCs w:val="32"/>
            </w:rPr>
            <w:t>（三）绩效评价工作过程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_Toc5544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DAECED4">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"_Toc29729" </w:instrText>
          </w:r>
          <w:r>
            <w:fldChar w:fldCharType="separate"/>
          </w:r>
          <w:r>
            <w:rPr>
              <w:rFonts w:hint="eastAsia" w:ascii="仿宋_GB2312" w:hAnsi="仿宋_GB2312" w:eastAsia="仿宋_GB2312" w:cs="仿宋_GB2312"/>
              <w:sz w:val="32"/>
              <w:szCs w:val="32"/>
            </w:rPr>
            <w:t>三、综合评价情况及评价结论（附相关评分表）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B01ABA2">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"_Toc2344" </w:instrText>
          </w:r>
          <w: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评价情况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A2A8BEB">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"_Toc6653" </w:instrText>
          </w:r>
          <w: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评价结论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_Toc6653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C7BDFF6">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"_Toc1453" </w:instrText>
          </w:r>
          <w:r>
            <w:fldChar w:fldCharType="separate"/>
          </w:r>
          <w:r>
            <w:rPr>
              <w:rFonts w:hint="eastAsia" w:ascii="仿宋_GB2312" w:hAnsi="仿宋_GB2312" w:eastAsia="仿宋_GB2312" w:cs="仿宋_GB2312"/>
              <w:sz w:val="32"/>
              <w:szCs w:val="32"/>
            </w:rPr>
            <w:t>四、绩效评价指标分析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677D6B6">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"_Toc32318" </w:instrText>
          </w:r>
          <w:r>
            <w:fldChar w:fldCharType="separate"/>
          </w:r>
          <w:r>
            <w:rPr>
              <w:rFonts w:hint="eastAsia" w:ascii="仿宋_GB2312" w:hAnsi="仿宋_GB2312" w:eastAsia="仿宋_GB2312" w:cs="仿宋_GB2312"/>
              <w:sz w:val="32"/>
              <w:szCs w:val="32"/>
            </w:rPr>
            <w:t>（一）项目决策情况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_Toc32318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BFEA184">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"_Toc25505" </w:instrText>
          </w:r>
          <w:r>
            <w:fldChar w:fldCharType="separate"/>
          </w:r>
          <w:r>
            <w:rPr>
              <w:rFonts w:hint="eastAsia" w:ascii="仿宋_GB2312" w:hAnsi="仿宋_GB2312" w:eastAsia="仿宋_GB2312" w:cs="仿宋_GB2312"/>
              <w:sz w:val="32"/>
              <w:szCs w:val="32"/>
            </w:rPr>
            <w:t>（二）项目过程情况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_Toc25505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849D5E1">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"_Toc8612" </w:instrText>
          </w:r>
          <w:r>
            <w:fldChar w:fldCharType="separate"/>
          </w:r>
          <w:r>
            <w:rPr>
              <w:rFonts w:hint="eastAsia" w:ascii="仿宋_GB2312" w:hAnsi="仿宋_GB2312" w:eastAsia="仿宋_GB2312" w:cs="仿宋_GB2312"/>
              <w:bCs/>
              <w:sz w:val="32"/>
              <w:szCs w:val="32"/>
            </w:rPr>
            <w:t>（三）项目产出</w:t>
          </w:r>
          <w:r>
            <w:rPr>
              <w:rFonts w:hint="eastAsia" w:ascii="仿宋_GB2312" w:hAnsi="仿宋_GB2312" w:eastAsia="仿宋_GB2312" w:cs="仿宋_GB2312"/>
              <w:bCs/>
              <w:sz w:val="32"/>
              <w:szCs w:val="32"/>
              <w:lang w:val="en-US" w:eastAsia="zh-CN"/>
            </w:rPr>
            <w:t>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_Toc8612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124E110">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"_Toc18470" </w:instrText>
          </w:r>
          <w:r>
            <w:fldChar w:fldCharType="separate"/>
          </w:r>
          <w:r>
            <w:rPr>
              <w:rFonts w:hint="eastAsia" w:ascii="仿宋_GB2312" w:hAnsi="仿宋_GB2312" w:eastAsia="仿宋_GB2312" w:cs="仿宋_GB2312"/>
              <w:bCs/>
              <w:sz w:val="32"/>
              <w:szCs w:val="32"/>
              <w:lang w:val="en-US" w:eastAsia="zh-CN"/>
            </w:rPr>
            <w:t>（四）项目效益情况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_Toc18470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F2992B8">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"_Toc21462" </w:instrText>
          </w:r>
          <w:r>
            <w:fldChar w:fldCharType="separate"/>
          </w:r>
          <w:r>
            <w:rPr>
              <w:rFonts w:hint="eastAsia" w:ascii="仿宋_GB2312" w:hAnsi="仿宋_GB2312" w:eastAsia="仿宋_GB2312" w:cs="仿宋_GB2312"/>
              <w:bCs w:val="0"/>
              <w:sz w:val="32"/>
              <w:szCs w:val="32"/>
              <w:lang w:val="en-US" w:eastAsia="zh-CN"/>
            </w:rPr>
            <w:t>五、</w:t>
          </w:r>
          <w:r>
            <w:rPr>
              <w:rFonts w:hint="eastAsia" w:ascii="仿宋_GB2312" w:hAnsi="仿宋_GB2312" w:eastAsia="仿宋_GB2312" w:cs="仿宋_GB2312"/>
              <w:bCs w:val="0"/>
              <w:sz w:val="32"/>
              <w:szCs w:val="32"/>
              <w:lang w:val="en-US"/>
            </w:rPr>
            <w:t>预算执行进度与绩效指标偏差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_Toc21462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BFE41C0">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"_Toc18363" </w:instrText>
          </w:r>
          <w:r>
            <w:fldChar w:fldCharType="separate"/>
          </w:r>
          <w:r>
            <w:rPr>
              <w:rFonts w:hint="eastAsia" w:ascii="仿宋_GB2312" w:hAnsi="仿宋_GB2312" w:eastAsia="仿宋_GB2312" w:cs="仿宋_GB2312"/>
              <w:sz w:val="32"/>
              <w:szCs w:val="32"/>
              <w:lang w:val="en-US" w:eastAsia="zh-CN"/>
            </w:rPr>
            <w:t>六</w:t>
          </w:r>
          <w:r>
            <w:rPr>
              <w:rFonts w:hint="eastAsia" w:ascii="仿宋_GB2312" w:hAnsi="仿宋_GB2312" w:cs="仿宋_GB2312"/>
              <w:bCs/>
              <w:sz w:val="32"/>
              <w:szCs w:val="32"/>
              <w:lang w:val="en-US" w:eastAsia="zh-CN"/>
            </w:rPr>
            <w:t>、</w:t>
          </w:r>
          <w:r>
            <w:rPr>
              <w:rFonts w:hint="eastAsia" w:ascii="仿宋_GB2312" w:hAnsi="仿宋_GB2312" w:eastAsia="仿宋_GB2312" w:cs="仿宋_GB2312"/>
              <w:sz w:val="32"/>
              <w:szCs w:val="32"/>
            </w:rPr>
            <w:t>主要经验及做法、存在的问题及原因分析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_Toc18363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FFA3FCE">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"_Toc22741" </w:instrText>
          </w:r>
          <w:r>
            <w:fldChar w:fldCharType="separate"/>
          </w:r>
          <w:r>
            <w:rPr>
              <w:rFonts w:hint="eastAsia" w:ascii="仿宋_GB2312" w:hAnsi="仿宋_GB2312" w:eastAsia="仿宋_GB2312" w:cs="仿宋_GB2312"/>
              <w:spacing w:val="-4"/>
              <w:sz w:val="32"/>
              <w:szCs w:val="32"/>
            </w:rPr>
            <w:t>（一）主要经验及做法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_Toc22741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522CF07">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"_Toc7835" </w:instrText>
          </w:r>
          <w:r>
            <w:fldChar w:fldCharType="separate"/>
          </w:r>
          <w:r>
            <w:rPr>
              <w:rFonts w:hint="eastAsia" w:ascii="仿宋_GB2312" w:hAnsi="仿宋_GB2312" w:eastAsia="仿宋_GB2312" w:cs="仿宋_GB2312"/>
              <w:bCs/>
              <w:sz w:val="32"/>
              <w:szCs w:val="32"/>
            </w:rPr>
            <w:t>（二）存在的问题及原因分析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_Toc7835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825EF94">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"_Toc25529" </w:instrText>
          </w:r>
          <w:r>
            <w:fldChar w:fldCharType="separate"/>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有关建议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_Toc25529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EC99076">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"_Toc3065" </w:instrText>
          </w:r>
          <w:r>
            <w:fldChar w:fldCharType="separate"/>
          </w: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sz w:val="32"/>
              <w:szCs w:val="32"/>
            </w:rPr>
            <w:t>其他需要说明的问题</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_Toc3065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FD2F2A1">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"_Toc15260" </w:instrText>
          </w:r>
          <w:r>
            <w:fldChar w:fldCharType="separate"/>
          </w:r>
          <w:r>
            <w:rPr>
              <w:rFonts w:hint="eastAsia" w:ascii="仿宋_GB2312" w:hAnsi="仿宋_GB2312" w:eastAsia="仿宋_GB2312" w:cs="仿宋_GB2312"/>
              <w:sz w:val="32"/>
              <w:szCs w:val="32"/>
              <w:lang w:val="en-US" w:eastAsia="zh-CN"/>
            </w:rPr>
            <w:t>附件1</w:t>
          </w:r>
          <w:r>
            <w:rPr>
              <w:rFonts w:hint="eastAsia" w:ascii="仿宋_GB2312" w:hAnsi="仿宋_GB2312" w:cs="仿宋_GB2312"/>
              <w:sz w:val="32"/>
              <w:szCs w:val="32"/>
              <w:lang w:val="en-US" w:eastAsia="zh-CN"/>
            </w:rPr>
            <w:t xml:space="preserve"> 评价指标体系</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_Toc15260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916E755">
          <w:pPr>
            <w:pStyle w:val="9"/>
            <w:tabs>
              <w:tab w:val="right" w:leader="middleDot" w:pos="8548"/>
              <w:tab w:val="clear" w:pos="7980"/>
              <w:tab w:val="clear" w:pos="8190"/>
            </w:tabs>
          </w:pPr>
          <w:r>
            <w:fldChar w:fldCharType="begin"/>
          </w:r>
          <w:r>
            <w:instrText xml:space="preserve"> HYPERLINK \l "_Toc17917" </w:instrText>
          </w:r>
          <w:r>
            <w:fldChar w:fldCharType="separate"/>
          </w:r>
          <w:r>
            <w:rPr>
              <w:rFonts w:hint="eastAsia" w:ascii="仿宋_GB2312" w:hAnsi="仿宋_GB2312" w:eastAsia="仿宋_GB2312" w:cs="仿宋_GB2312"/>
              <w:bCs/>
              <w:i w:val="0"/>
              <w:iCs w:val="0"/>
              <w:kern w:val="0"/>
              <w:sz w:val="32"/>
              <w:szCs w:val="32"/>
              <w:lang w:val="en-US" w:eastAsia="zh-CN"/>
            </w:rPr>
            <w:t>附件2</w:t>
          </w:r>
          <w:r>
            <w:rPr>
              <w:rFonts w:hint="eastAsia" w:ascii="仿宋_GB2312" w:hAnsi="仿宋_GB2312" w:cs="仿宋_GB2312"/>
              <w:bCs/>
              <w:i w:val="0"/>
              <w:iCs w:val="0"/>
              <w:kern w:val="0"/>
              <w:sz w:val="32"/>
              <w:szCs w:val="32"/>
              <w:lang w:val="en-US" w:eastAsia="zh-CN"/>
            </w:rPr>
            <w:t xml:space="preserve"> 项目支出绩效自评表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_Toc17917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1B34078">
          <w:pPr>
            <w:rPr>
              <w:rFonts w:hint="default" w:ascii="Times New Roman" w:hAnsi="Times New Roman" w:eastAsia="宋体" w:cs="Times New Roman"/>
              <w:kern w:val="2"/>
              <w:sz w:val="21"/>
              <w:szCs w:val="24"/>
              <w:lang w:val="en-US" w:eastAsia="zh-CN" w:bidi="ar-SA"/>
            </w:rPr>
          </w:pPr>
          <w:r>
            <w:rPr>
              <w:rFonts w:hint="default"/>
            </w:rPr>
            <w:fldChar w:fldCharType="end"/>
          </w:r>
        </w:p>
      </w:sdtContent>
    </w:sdt>
    <w:p w14:paraId="33BFD0A1">
      <w:pPr>
        <w:rPr>
          <w:rFonts w:hint="default" w:ascii="Times New Roman" w:hAnsi="Times New Roman" w:eastAsia="宋体" w:cs="Times New Roman"/>
          <w:kern w:val="2"/>
          <w:sz w:val="21"/>
          <w:szCs w:val="24"/>
          <w:lang w:val="en-US" w:eastAsia="zh-CN" w:bidi="ar-SA"/>
        </w:rPr>
      </w:pPr>
    </w:p>
    <w:p w14:paraId="7F7035CB">
      <w:pPr>
        <w:spacing w:line="540" w:lineRule="exact"/>
        <w:jc w:val="center"/>
        <w:rPr>
          <w:rFonts w:hint="default" w:ascii="Times New Roman" w:hAnsi="Times New Roman" w:eastAsia="仿宋_GB2312" w:cs="Times New Roman"/>
          <w:kern w:val="0"/>
          <w:sz w:val="30"/>
          <w:szCs w:val="30"/>
        </w:rPr>
      </w:pPr>
    </w:p>
    <w:p w14:paraId="5D091F9D">
      <w:pPr>
        <w:spacing w:line="540" w:lineRule="exact"/>
        <w:rPr>
          <w:rFonts w:hint="default" w:ascii="Times New Roman" w:hAnsi="Times New Roman" w:eastAsia="仿宋_GB2312" w:cs="Times New Roman"/>
          <w:kern w:val="0"/>
          <w:sz w:val="30"/>
          <w:szCs w:val="30"/>
        </w:rPr>
      </w:pPr>
    </w:p>
    <w:p w14:paraId="02DCD108">
      <w:pPr>
        <w:spacing w:line="540" w:lineRule="exact"/>
        <w:jc w:val="center"/>
        <w:rPr>
          <w:rFonts w:hint="default" w:ascii="Times New Roman" w:hAnsi="Times New Roman" w:eastAsia="仿宋_GB2312" w:cs="Times New Roman"/>
          <w:kern w:val="0"/>
          <w:sz w:val="30"/>
          <w:szCs w:val="30"/>
        </w:rPr>
      </w:pPr>
    </w:p>
    <w:p w14:paraId="3DEC39CD">
      <w:pPr>
        <w:spacing w:line="540" w:lineRule="exact"/>
        <w:rPr>
          <w:rStyle w:val="19"/>
          <w:rFonts w:hint="default" w:ascii="Times New Roman" w:hAnsi="Times New Roman" w:eastAsia="黑体" w:cs="Times New Roman"/>
          <w:b w:val="0"/>
          <w:spacing w:val="-4"/>
          <w:sz w:val="32"/>
          <w:szCs w:val="32"/>
        </w:rPr>
      </w:pPr>
    </w:p>
    <w:p w14:paraId="5F6D77FB">
      <w:pPr>
        <w:spacing w:line="540" w:lineRule="exact"/>
        <w:ind w:firstLine="640"/>
        <w:rPr>
          <w:rStyle w:val="19"/>
          <w:rFonts w:hint="default" w:ascii="Times New Roman" w:hAnsi="Times New Roman" w:eastAsia="黑体" w:cs="Times New Roman"/>
          <w:b w:val="0"/>
          <w:spacing w:val="-4"/>
          <w:sz w:val="32"/>
          <w:szCs w:val="32"/>
        </w:rPr>
      </w:pPr>
    </w:p>
    <w:p w14:paraId="2F81D2E5">
      <w:pPr>
        <w:spacing w:line="540" w:lineRule="exact"/>
        <w:rPr>
          <w:rStyle w:val="19"/>
          <w:rFonts w:hint="default" w:ascii="Times New Roman" w:hAnsi="Times New Roman" w:eastAsia="黑体" w:cs="Times New Roman"/>
          <w:b w:val="0"/>
          <w:spacing w:val="-4"/>
          <w:sz w:val="32"/>
          <w:szCs w:val="32"/>
        </w:rPr>
      </w:pPr>
    </w:p>
    <w:p w14:paraId="1BFDC6BF">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1A88B03F">
      <w:pPr>
        <w:spacing w:line="560" w:lineRule="exact"/>
        <w:ind w:firstLine="640" w:firstLineChars="200"/>
        <w:rPr>
          <w:rFonts w:hint="default" w:ascii="Times New Roman" w:hAnsi="Times New Roman" w:eastAsia="黑体" w:cs="Times New Roman"/>
          <w:bCs/>
          <w:sz w:val="32"/>
          <w:szCs w:val="32"/>
        </w:rPr>
      </w:pPr>
      <w:bookmarkStart w:id="0" w:name="_Toc3458"/>
      <w:r>
        <w:rPr>
          <w:rFonts w:hint="default" w:ascii="Times New Roman" w:hAnsi="Times New Roman" w:eastAsia="黑体" w:cs="Times New Roman"/>
          <w:bCs/>
          <w:sz w:val="32"/>
          <w:szCs w:val="32"/>
        </w:rPr>
        <w:t>一、基本情况</w:t>
      </w:r>
      <w:bookmarkEnd w:id="0"/>
    </w:p>
    <w:p w14:paraId="26A703A0">
      <w:pPr>
        <w:spacing w:line="560" w:lineRule="exact"/>
        <w:ind w:firstLine="643" w:firstLineChars="200"/>
        <w:outlineLvl w:val="1"/>
        <w:rPr>
          <w:rFonts w:hint="default" w:ascii="Times New Roman" w:hAnsi="Times New Roman" w:eastAsia="楷体_GB2312" w:cs="Times New Roman"/>
          <w:b/>
          <w:bCs/>
          <w:sz w:val="32"/>
          <w:szCs w:val="32"/>
        </w:rPr>
      </w:pPr>
      <w:bookmarkStart w:id="1" w:name="_Toc16251"/>
      <w:r>
        <w:rPr>
          <w:rFonts w:hint="default" w:ascii="Times New Roman" w:hAnsi="Times New Roman" w:eastAsia="楷体_GB2312" w:cs="Times New Roman"/>
          <w:b/>
          <w:bCs/>
          <w:sz w:val="32"/>
          <w:szCs w:val="32"/>
        </w:rPr>
        <w:t>（一）项目概况</w:t>
      </w:r>
      <w:bookmarkEnd w:id="1"/>
    </w:p>
    <w:p w14:paraId="22FE5961">
      <w:pPr>
        <w:spacing w:line="560" w:lineRule="exact"/>
        <w:ind w:firstLine="643" w:firstLineChars="200"/>
        <w:outlineLvl w:val="2"/>
        <w:rPr>
          <w:rFonts w:hint="default" w:ascii="Times New Roman" w:hAnsi="Times New Roman" w:eastAsia="仿宋_GB2312" w:cs="Times New Roman"/>
          <w:b/>
          <w:bCs/>
          <w:sz w:val="32"/>
          <w:szCs w:val="32"/>
        </w:rPr>
      </w:pPr>
      <w:bookmarkStart w:id="2" w:name="_Toc14982"/>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bookmarkEnd w:id="2"/>
    </w:p>
    <w:p w14:paraId="08AC654F">
      <w:pPr>
        <w:pStyle w:val="13"/>
        <w:numPr>
          <w:ilvl w:val="0"/>
          <w:numId w:val="0"/>
        </w:numPr>
        <w:spacing w:before="0" w:after="0" w:line="560" w:lineRule="exact"/>
        <w:ind w:left="0" w:leftChars="0" w:firstLine="640" w:firstLineChars="200"/>
        <w:jc w:val="both"/>
        <w:outlineLvl w:val="2"/>
        <w:rPr>
          <w:rFonts w:hint="default" w:ascii="Times New Roman" w:hAnsi="Times New Roman" w:eastAsia="仿宋_GB2312" w:cs="Times New Roman"/>
          <w:b w:val="0"/>
          <w:bCs w:val="0"/>
          <w:kern w:val="2"/>
          <w:sz w:val="32"/>
          <w:szCs w:val="32"/>
          <w:highlight w:val="none"/>
          <w:lang w:val="en-US" w:eastAsia="zh-CN" w:bidi="ar-SA"/>
        </w:rPr>
      </w:pPr>
      <w:bookmarkStart w:id="3" w:name="_Toc30961"/>
      <w:r>
        <w:rPr>
          <w:rFonts w:hint="default" w:ascii="Times New Roman" w:hAnsi="Times New Roman" w:eastAsia="仿宋_GB2312" w:cs="Times New Roman"/>
          <w:b w:val="0"/>
          <w:bCs w:val="0"/>
          <w:kern w:val="2"/>
          <w:sz w:val="32"/>
          <w:szCs w:val="32"/>
          <w:highlight w:val="none"/>
          <w:lang w:val="en-US" w:eastAsia="zh-CN" w:bidi="ar-SA"/>
        </w:rPr>
        <w:fldChar w:fldCharType="begin"/>
      </w:r>
      <w:r>
        <w:rPr>
          <w:rFonts w:hint="default" w:ascii="Times New Roman" w:hAnsi="Times New Roman" w:eastAsia="仿宋_GB2312" w:cs="Times New Roman"/>
          <w:b w:val="0"/>
          <w:bCs w:val="0"/>
          <w:kern w:val="2"/>
          <w:sz w:val="32"/>
          <w:szCs w:val="32"/>
          <w:highlight w:val="none"/>
          <w:lang w:val="en-US" w:eastAsia="zh-CN" w:bidi="ar-SA"/>
        </w:rPr>
        <w:instrText xml:space="preserve">Addin </w:instrText>
      </w:r>
      <w:r>
        <w:rPr>
          <w:rFonts w:hint="eastAsia" w:ascii="Times New Roman" w:hAnsi="Times New Roman" w:eastAsia="仿宋_GB2312" w:cs="Times New Roman"/>
          <w:b w:val="0"/>
          <w:bCs w:val="0"/>
          <w:kern w:val="2"/>
          <w:sz w:val="32"/>
          <w:szCs w:val="32"/>
          <w:highlight w:val="none"/>
          <w:lang w:val="en-US" w:eastAsia="zh-CN" w:bidi="ar-SA"/>
        </w:rPr>
        <w:instrText xml:space="preserve">项目单位基本情况</w:instrText>
      </w:r>
      <w:r>
        <w:rPr>
          <w:rFonts w:hint="default" w:ascii="Times New Roman" w:hAnsi="Times New Roman" w:eastAsia="仿宋_GB2312" w:cs="Times New Roman"/>
          <w:b w:val="0"/>
          <w:bCs w:val="0"/>
          <w:kern w:val="2"/>
          <w:sz w:val="32"/>
          <w:szCs w:val="32"/>
          <w:highlight w:val="none"/>
          <w:lang w:val="en-US" w:eastAsia="zh-CN" w:bidi="ar-SA"/>
        </w:rPr>
        <w:fldChar w:fldCharType="separate"/>
      </w:r>
      <w:r>
        <w:rPr>
          <w:rFonts w:hint="eastAsia" w:ascii="Times New Roman" w:hAnsi="Times New Roman" w:eastAsia="仿宋_GB2312" w:cs="Times New Roman"/>
          <w:b w:val="0"/>
          <w:bCs w:val="0"/>
          <w:kern w:val="2"/>
          <w:sz w:val="32"/>
          <w:szCs w:val="32"/>
          <w:highlight w:val="none"/>
          <w:lang w:val="en-US" w:eastAsia="zh-CN" w:bidi="ar-SA"/>
        </w:rPr>
        <w:t>克孜勒苏水文勘测中心位于克孜勒苏柯尔克孜自治州内，下辖阿图什市和阿克陶、乌恰、阿合奇</w:t>
      </w:r>
      <w:r>
        <w:rPr>
          <w:rFonts w:hint="default" w:ascii="Times New Roman" w:hAnsi="Times New Roman" w:eastAsia="仿宋_GB2312" w:cs="Times New Roman"/>
          <w:b w:val="0"/>
          <w:bCs w:val="0"/>
          <w:kern w:val="2"/>
          <w:sz w:val="32"/>
          <w:szCs w:val="32"/>
          <w:highlight w:val="none"/>
          <w:lang w:val="en-US" w:eastAsia="zh-CN" w:bidi="ar-SA"/>
        </w:rPr>
        <w:t>3</w:t>
      </w:r>
      <w:r>
        <w:rPr>
          <w:rFonts w:hint="eastAsia" w:ascii="Times New Roman" w:hAnsi="Times New Roman" w:eastAsia="仿宋_GB2312" w:cs="Times New Roman"/>
          <w:b w:val="0"/>
          <w:bCs w:val="0"/>
          <w:kern w:val="2"/>
          <w:sz w:val="32"/>
          <w:szCs w:val="32"/>
          <w:highlight w:val="none"/>
          <w:lang w:val="en-US" w:eastAsia="zh-CN" w:bidi="ar-SA"/>
        </w:rPr>
        <w:t>县及</w:t>
      </w:r>
      <w:r>
        <w:rPr>
          <w:rFonts w:hint="default" w:ascii="Times New Roman" w:hAnsi="Times New Roman" w:eastAsia="仿宋_GB2312" w:cs="Times New Roman"/>
          <w:b w:val="0"/>
          <w:bCs w:val="0"/>
          <w:kern w:val="2"/>
          <w:sz w:val="32"/>
          <w:szCs w:val="32"/>
          <w:highlight w:val="none"/>
          <w:lang w:val="en-US" w:eastAsia="zh-CN" w:bidi="ar-SA"/>
        </w:rPr>
        <w:t>1</w:t>
      </w:r>
      <w:r>
        <w:rPr>
          <w:rFonts w:hint="eastAsia" w:ascii="Times New Roman" w:hAnsi="Times New Roman" w:eastAsia="仿宋_GB2312" w:cs="Times New Roman"/>
          <w:b w:val="0"/>
          <w:bCs w:val="0"/>
          <w:kern w:val="2"/>
          <w:sz w:val="32"/>
          <w:szCs w:val="32"/>
          <w:highlight w:val="none"/>
          <w:lang w:val="en-US" w:eastAsia="zh-CN" w:bidi="ar-SA"/>
        </w:rPr>
        <w:t>个县级国营牧场种羊场和新疆生产建设兵团农三师</w:t>
      </w:r>
      <w:r>
        <w:rPr>
          <w:rFonts w:hint="default" w:ascii="Times New Roman" w:hAnsi="Times New Roman" w:eastAsia="仿宋_GB2312" w:cs="Times New Roman"/>
          <w:b w:val="0"/>
          <w:bCs w:val="0"/>
          <w:kern w:val="2"/>
          <w:sz w:val="32"/>
          <w:szCs w:val="32"/>
          <w:highlight w:val="none"/>
          <w:lang w:val="en-US" w:eastAsia="zh-CN" w:bidi="ar-SA"/>
        </w:rPr>
        <w:t>2</w:t>
      </w:r>
      <w:r>
        <w:rPr>
          <w:rFonts w:hint="eastAsia" w:ascii="Times New Roman" w:hAnsi="Times New Roman" w:eastAsia="仿宋_GB2312" w:cs="Times New Roman"/>
          <w:b w:val="0"/>
          <w:bCs w:val="0"/>
          <w:kern w:val="2"/>
          <w:sz w:val="32"/>
          <w:szCs w:val="32"/>
          <w:highlight w:val="none"/>
          <w:lang w:val="en-US" w:eastAsia="zh-CN" w:bidi="ar-SA"/>
        </w:rPr>
        <w:t>个农牧团场。全州共有大小河流</w:t>
      </w:r>
      <w:r>
        <w:rPr>
          <w:rFonts w:hint="default" w:ascii="Times New Roman" w:hAnsi="Times New Roman" w:eastAsia="仿宋_GB2312" w:cs="Times New Roman"/>
          <w:b w:val="0"/>
          <w:bCs w:val="0"/>
          <w:kern w:val="2"/>
          <w:sz w:val="32"/>
          <w:szCs w:val="32"/>
          <w:highlight w:val="none"/>
          <w:lang w:val="en-US" w:eastAsia="zh-CN" w:bidi="ar-SA"/>
        </w:rPr>
        <w:t>57</w:t>
      </w:r>
      <w:r>
        <w:rPr>
          <w:rFonts w:hint="eastAsia" w:ascii="Times New Roman" w:hAnsi="Times New Roman" w:eastAsia="仿宋_GB2312" w:cs="Times New Roman"/>
          <w:b w:val="0"/>
          <w:bCs w:val="0"/>
          <w:kern w:val="2"/>
          <w:sz w:val="32"/>
          <w:szCs w:val="32"/>
          <w:highlight w:val="none"/>
          <w:lang w:val="en-US" w:eastAsia="zh-CN" w:bidi="ar-SA"/>
        </w:rPr>
        <w:t>条，其中，</w:t>
      </w:r>
      <w:r>
        <w:rPr>
          <w:rFonts w:hint="default" w:ascii="Times New Roman" w:hAnsi="Times New Roman" w:eastAsia="仿宋_GB2312" w:cs="Times New Roman"/>
          <w:b w:val="0"/>
          <w:bCs w:val="0"/>
          <w:kern w:val="2"/>
          <w:sz w:val="32"/>
          <w:szCs w:val="32"/>
          <w:highlight w:val="none"/>
          <w:lang w:val="en-US" w:eastAsia="zh-CN" w:bidi="ar-SA"/>
        </w:rPr>
        <w:t>7</w:t>
      </w:r>
      <w:r>
        <w:rPr>
          <w:rFonts w:hint="eastAsia" w:ascii="Times New Roman" w:hAnsi="Times New Roman" w:eastAsia="仿宋_GB2312" w:cs="Times New Roman"/>
          <w:b w:val="0"/>
          <w:bCs w:val="0"/>
          <w:kern w:val="2"/>
          <w:sz w:val="32"/>
          <w:szCs w:val="32"/>
          <w:highlight w:val="none"/>
          <w:lang w:val="en-US" w:eastAsia="zh-CN" w:bidi="ar-SA"/>
        </w:rPr>
        <w:t>条河流上共设有</w:t>
      </w:r>
      <w:r>
        <w:rPr>
          <w:rFonts w:hint="default" w:ascii="Times New Roman" w:hAnsi="Times New Roman" w:eastAsia="仿宋_GB2312" w:cs="Times New Roman"/>
          <w:b w:val="0"/>
          <w:bCs w:val="0"/>
          <w:kern w:val="2"/>
          <w:sz w:val="32"/>
          <w:szCs w:val="32"/>
          <w:highlight w:val="none"/>
          <w:lang w:val="en-US" w:eastAsia="zh-CN" w:bidi="ar-SA"/>
        </w:rPr>
        <w:t>12</w:t>
      </w:r>
      <w:r>
        <w:rPr>
          <w:rFonts w:hint="eastAsia" w:ascii="Times New Roman" w:hAnsi="Times New Roman" w:eastAsia="仿宋_GB2312" w:cs="Times New Roman"/>
          <w:b w:val="0"/>
          <w:bCs w:val="0"/>
          <w:kern w:val="2"/>
          <w:sz w:val="32"/>
          <w:szCs w:val="32"/>
          <w:highlight w:val="none"/>
          <w:lang w:val="en-US" w:eastAsia="zh-CN" w:bidi="ar-SA"/>
        </w:rPr>
        <w:t>处水文站。克孜勒苏水文勘测中心现有国家基本水文站</w:t>
      </w:r>
      <w:r>
        <w:rPr>
          <w:rFonts w:hint="default" w:ascii="Times New Roman" w:hAnsi="Times New Roman" w:eastAsia="仿宋_GB2312" w:cs="Times New Roman"/>
          <w:b w:val="0"/>
          <w:bCs w:val="0"/>
          <w:kern w:val="2"/>
          <w:sz w:val="32"/>
          <w:szCs w:val="32"/>
          <w:highlight w:val="none"/>
          <w:lang w:val="en-US" w:eastAsia="zh-CN" w:bidi="ar-SA"/>
        </w:rPr>
        <w:t>2</w:t>
      </w:r>
      <w:r>
        <w:rPr>
          <w:rFonts w:hint="eastAsia" w:ascii="Times New Roman" w:hAnsi="Times New Roman" w:eastAsia="仿宋_GB2312" w:cs="Times New Roman"/>
          <w:b w:val="0"/>
          <w:bCs w:val="0"/>
          <w:kern w:val="2"/>
          <w:sz w:val="32"/>
          <w:szCs w:val="32"/>
          <w:highlight w:val="none"/>
          <w:lang w:val="en-US" w:eastAsia="zh-CN" w:bidi="ar-SA"/>
        </w:rPr>
        <w:t>处、</w:t>
      </w:r>
      <w:r>
        <w:rPr>
          <w:rFonts w:hint="default" w:ascii="Times New Roman" w:hAnsi="Times New Roman" w:eastAsia="仿宋_GB2312" w:cs="Times New Roman"/>
          <w:b w:val="0"/>
          <w:bCs w:val="0"/>
          <w:kern w:val="2"/>
          <w:sz w:val="32"/>
          <w:szCs w:val="32"/>
          <w:highlight w:val="none"/>
          <w:lang w:val="en-US" w:eastAsia="zh-CN" w:bidi="ar-SA"/>
        </w:rPr>
        <w:t>3</w:t>
      </w:r>
      <w:r>
        <w:rPr>
          <w:rFonts w:hint="eastAsia" w:ascii="Times New Roman" w:hAnsi="Times New Roman" w:eastAsia="仿宋_GB2312" w:cs="Times New Roman"/>
          <w:b w:val="0"/>
          <w:bCs w:val="0"/>
          <w:kern w:val="2"/>
          <w:sz w:val="32"/>
          <w:szCs w:val="32"/>
          <w:highlight w:val="none"/>
          <w:lang w:val="en-US" w:eastAsia="zh-CN" w:bidi="ar-SA"/>
        </w:rPr>
        <w:t>个测验断面，水环境监测点</w:t>
      </w:r>
      <w:r>
        <w:rPr>
          <w:rFonts w:hint="default" w:ascii="Times New Roman" w:hAnsi="Times New Roman" w:eastAsia="仿宋_GB2312" w:cs="Times New Roman"/>
          <w:b w:val="0"/>
          <w:bCs w:val="0"/>
          <w:kern w:val="2"/>
          <w:sz w:val="32"/>
          <w:szCs w:val="32"/>
          <w:highlight w:val="none"/>
          <w:lang w:val="en-US" w:eastAsia="zh-CN" w:bidi="ar-SA"/>
        </w:rPr>
        <w:t>4</w:t>
      </w:r>
      <w:r>
        <w:rPr>
          <w:rFonts w:hint="eastAsia" w:ascii="Times New Roman" w:hAnsi="Times New Roman" w:eastAsia="仿宋_GB2312" w:cs="Times New Roman"/>
          <w:b w:val="0"/>
          <w:bCs w:val="0"/>
          <w:kern w:val="2"/>
          <w:sz w:val="32"/>
          <w:szCs w:val="32"/>
          <w:highlight w:val="none"/>
          <w:lang w:val="en-US" w:eastAsia="zh-CN" w:bidi="ar-SA"/>
        </w:rPr>
        <w:t>处，</w:t>
      </w:r>
      <w:r>
        <w:rPr>
          <w:rFonts w:hint="default" w:ascii="Times New Roman" w:hAnsi="Times New Roman" w:eastAsia="仿宋_GB2312" w:cs="Times New Roman"/>
          <w:b w:val="0"/>
          <w:bCs w:val="0"/>
          <w:kern w:val="2"/>
          <w:sz w:val="32"/>
          <w:szCs w:val="32"/>
          <w:highlight w:val="none"/>
          <w:lang w:val="en-US" w:eastAsia="zh-CN" w:bidi="ar-SA"/>
        </w:rPr>
        <w:t>2007</w:t>
      </w:r>
      <w:r>
        <w:rPr>
          <w:rFonts w:hint="eastAsia" w:ascii="Times New Roman" w:hAnsi="Times New Roman" w:eastAsia="仿宋_GB2312" w:cs="Times New Roman"/>
          <w:b w:val="0"/>
          <w:bCs w:val="0"/>
          <w:kern w:val="2"/>
          <w:sz w:val="32"/>
          <w:szCs w:val="32"/>
          <w:highlight w:val="none"/>
          <w:lang w:val="en-US" w:eastAsia="zh-CN" w:bidi="ar-SA"/>
        </w:rPr>
        <w:t>年底将接受托什干河契恰尔水文站和恢复并新建布古孜河阿俄水文站。各水文站基本上属于独立核算小单元，具有线长，工作量大、测验项目多、测验情况复杂等特点，距阿图什市</w:t>
      </w:r>
      <w:r>
        <w:rPr>
          <w:rFonts w:hint="default" w:ascii="Times New Roman" w:hAnsi="Times New Roman" w:eastAsia="仿宋_GB2312" w:cs="Times New Roman"/>
          <w:b w:val="0"/>
          <w:bCs w:val="0"/>
          <w:kern w:val="2"/>
          <w:sz w:val="32"/>
          <w:szCs w:val="32"/>
          <w:highlight w:val="none"/>
          <w:lang w:val="en-US" w:eastAsia="zh-CN" w:bidi="ar-SA"/>
        </w:rPr>
        <w:t>50</w:t>
      </w:r>
      <w:r>
        <w:rPr>
          <w:rFonts w:hint="eastAsia" w:ascii="Times New Roman" w:hAnsi="Times New Roman" w:eastAsia="仿宋_GB2312" w:cs="Times New Roman"/>
          <w:b w:val="0"/>
          <w:bCs w:val="0"/>
          <w:kern w:val="2"/>
          <w:sz w:val="32"/>
          <w:szCs w:val="32"/>
          <w:highlight w:val="none"/>
          <w:lang w:val="en-US" w:eastAsia="zh-CN" w:bidi="ar-SA"/>
        </w:rPr>
        <w:t>公里至</w:t>
      </w:r>
      <w:r>
        <w:rPr>
          <w:rFonts w:hint="default" w:ascii="Times New Roman" w:hAnsi="Times New Roman" w:eastAsia="仿宋_GB2312" w:cs="Times New Roman"/>
          <w:b w:val="0"/>
          <w:bCs w:val="0"/>
          <w:kern w:val="2"/>
          <w:sz w:val="32"/>
          <w:szCs w:val="32"/>
          <w:highlight w:val="none"/>
          <w:lang w:val="en-US" w:eastAsia="zh-CN" w:bidi="ar-SA"/>
        </w:rPr>
        <w:t>350</w:t>
      </w:r>
      <w:r>
        <w:rPr>
          <w:rFonts w:hint="eastAsia" w:ascii="Times New Roman" w:hAnsi="Times New Roman" w:eastAsia="仿宋_GB2312" w:cs="Times New Roman"/>
          <w:b w:val="0"/>
          <w:bCs w:val="0"/>
          <w:kern w:val="2"/>
          <w:sz w:val="32"/>
          <w:szCs w:val="32"/>
          <w:highlight w:val="none"/>
          <w:lang w:val="en-US" w:eastAsia="zh-CN" w:bidi="ar-SA"/>
        </w:rPr>
        <w:t>公里不等。多年来水文职工克服条件艰苦，环境恶劣，交通不便等困难，在人烟稀少的深山河谷中为国家收集宝贵的水文资料，为克州农牧业生产、水资源开发利用以及下游的城镇防洪工作、水利工程建设等做了大量的工作，为克州的经济社会发展做出了巨大的贡献。</w:t>
      </w:r>
      <w:r>
        <w:rPr>
          <w:rFonts w:hint="default" w:ascii="Times New Roman" w:hAnsi="Times New Roman" w:eastAsia="仿宋_GB2312" w:cs="Times New Roman"/>
          <w:b w:val="0"/>
          <w:bCs w:val="0"/>
          <w:kern w:val="2"/>
          <w:sz w:val="32"/>
          <w:szCs w:val="32"/>
          <w:highlight w:val="none"/>
          <w:lang w:val="en-US" w:eastAsia="zh-CN" w:bidi="ar-SA"/>
        </w:rPr>
        <w:fldChar w:fldCharType="end"/>
      </w:r>
    </w:p>
    <w:p w14:paraId="79A284A4">
      <w:pPr>
        <w:pStyle w:val="13"/>
        <w:numPr>
          <w:ilvl w:val="0"/>
          <w:numId w:val="0"/>
        </w:numPr>
        <w:spacing w:before="0" w:after="0" w:line="560" w:lineRule="exact"/>
        <w:ind w:left="0" w:leftChars="0" w:firstLine="643" w:firstLineChars="200"/>
        <w:jc w:val="both"/>
        <w:outlineLvl w:val="2"/>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bookmarkEnd w:id="3"/>
    </w:p>
    <w:p w14:paraId="30F1E05B">
      <w:pPr>
        <w:spacing w:line="540" w:lineRule="exact"/>
        <w:ind w:firstLine="640"/>
        <w:rPr>
          <w:rStyle w:val="19"/>
          <w:rFonts w:ascii="仿宋_GB2312" w:hAnsi="楷体" w:eastAsia="仿宋_GB2312"/>
          <w:b w:val="0"/>
          <w:color w:val="000000"/>
          <w:spacing w:val="-4"/>
          <w:sz w:val="32"/>
          <w:szCs w:val="32"/>
          <w:shd w:val="clear" w:color="FFFFFF" w:fill="FFFFFF"/>
        </w:rPr>
      </w:pPr>
      <w:r>
        <w:rPr>
          <w:rFonts w:hint="default" w:ascii="Times New Roman" w:hAnsi="Times New Roman" w:eastAsia="仿宋_GB2312" w:cs="Times New Roman"/>
          <w:sz w:val="32"/>
          <w:szCs w:val="32"/>
          <w:highlight w:val="none"/>
          <w:lang w:val="en-US" w:eastAsia="zh-CN"/>
        </w:rPr>
        <w:t>项目主要内容：</w:t>
      </w:r>
      <w:r>
        <w:rPr>
          <w:rStyle w:val="19"/>
          <w:rFonts w:hint="eastAsia" w:ascii="仿宋_GB2312" w:hAnsi="楷体" w:eastAsia="仿宋_GB2312"/>
          <w:b w:val="0"/>
          <w:color w:val="000000"/>
          <w:spacing w:val="-4"/>
          <w:sz w:val="32"/>
          <w:szCs w:val="32"/>
          <w:shd w:val="clear" w:color="FFFFFF" w:fill="FFFFFF"/>
        </w:rPr>
        <w:t>主要是为水利工程建设施工期间提供水情报汛服务，为新疆重点水利工程规划提供前期服务，为水利工程进行水文分析计算、水资源评价、水资源论证。为区域水利、农业单位提供技术支持和科技咨询服务，而必须的经营成本性支出为了规范水文专业有偿服务收费，加强水文收费管理工作，促进水文事业的发展，为国家及水利工程提供水文资料、报讯、水质化验等。根据自治区机构编制委员会的批复机关内设置：办公室（</w:t>
      </w:r>
      <w:r>
        <w:rPr>
          <w:rStyle w:val="19"/>
          <w:rFonts w:hint="eastAsia" w:ascii="仿宋_GB2312" w:hAnsi="楷体" w:eastAsia="仿宋_GB2312"/>
          <w:b w:val="0"/>
          <w:color w:val="000000"/>
          <w:spacing w:val="-4"/>
          <w:sz w:val="32"/>
          <w:szCs w:val="32"/>
          <w:shd w:val="clear" w:color="FFFFFF" w:fill="FFFFFF"/>
          <w:lang w:eastAsia="zh-CN"/>
        </w:rPr>
        <w:t>财务</w:t>
      </w:r>
      <w:r>
        <w:rPr>
          <w:rStyle w:val="19"/>
          <w:rFonts w:hint="eastAsia" w:ascii="仿宋_GB2312" w:hAnsi="楷体" w:eastAsia="仿宋_GB2312"/>
          <w:b w:val="0"/>
          <w:color w:val="000000"/>
          <w:spacing w:val="-4"/>
          <w:sz w:val="32"/>
          <w:szCs w:val="32"/>
          <w:shd w:val="clear" w:color="FFFFFF" w:fill="FFFFFF"/>
        </w:rPr>
        <w:t>科）、</w:t>
      </w:r>
      <w:r>
        <w:rPr>
          <w:rStyle w:val="19"/>
          <w:rFonts w:hint="eastAsia" w:ascii="仿宋_GB2312" w:hAnsi="楷体" w:eastAsia="仿宋_GB2312"/>
          <w:b w:val="0"/>
          <w:color w:val="000000"/>
          <w:spacing w:val="-4"/>
          <w:sz w:val="32"/>
          <w:szCs w:val="32"/>
          <w:shd w:val="clear" w:color="FFFFFF" w:fill="FFFFFF"/>
          <w:lang w:eastAsia="zh-CN"/>
        </w:rPr>
        <w:t>党建</w:t>
      </w:r>
      <w:r>
        <w:rPr>
          <w:rStyle w:val="19"/>
          <w:rFonts w:hint="eastAsia" w:ascii="仿宋_GB2312" w:hAnsi="楷体" w:eastAsia="仿宋_GB2312"/>
          <w:b w:val="0"/>
          <w:color w:val="000000"/>
          <w:spacing w:val="-4"/>
          <w:sz w:val="32"/>
          <w:szCs w:val="32"/>
          <w:shd w:val="clear" w:color="FFFFFF" w:fill="FFFFFF"/>
          <w:lang w:val="en-US" w:eastAsia="zh-CN"/>
        </w:rPr>
        <w:t>(人事科）</w:t>
      </w:r>
      <w:r>
        <w:rPr>
          <w:rStyle w:val="19"/>
          <w:rFonts w:hint="eastAsia" w:ascii="仿宋_GB2312" w:hAnsi="楷体" w:eastAsia="仿宋_GB2312"/>
          <w:b w:val="0"/>
          <w:color w:val="000000"/>
          <w:spacing w:val="-4"/>
          <w:sz w:val="32"/>
          <w:szCs w:val="32"/>
          <w:shd w:val="clear" w:color="FFFFFF" w:fill="FFFFFF"/>
          <w:lang w:eastAsia="zh-CN"/>
        </w:rPr>
        <w:t>、综合业务科</w:t>
      </w:r>
      <w:r>
        <w:rPr>
          <w:rStyle w:val="19"/>
          <w:rFonts w:hint="eastAsia" w:ascii="仿宋_GB2312" w:hAnsi="楷体" w:eastAsia="仿宋_GB2312"/>
          <w:b w:val="0"/>
          <w:color w:val="000000"/>
          <w:spacing w:val="-4"/>
          <w:sz w:val="32"/>
          <w:szCs w:val="32"/>
          <w:shd w:val="clear" w:color="FFFFFF" w:fill="FFFFFF"/>
        </w:rPr>
        <w:t>、</w:t>
      </w:r>
      <w:r>
        <w:rPr>
          <w:rStyle w:val="19"/>
          <w:rFonts w:hint="eastAsia" w:ascii="仿宋_GB2312" w:hAnsi="楷体" w:eastAsia="仿宋_GB2312"/>
          <w:b w:val="0"/>
          <w:color w:val="000000"/>
          <w:spacing w:val="-4"/>
          <w:sz w:val="32"/>
          <w:szCs w:val="32"/>
          <w:shd w:val="clear" w:color="FFFFFF" w:fill="FFFFFF"/>
          <w:lang w:eastAsia="zh-CN"/>
        </w:rPr>
        <w:t>水环境监测分中心</w:t>
      </w:r>
      <w:r>
        <w:rPr>
          <w:rStyle w:val="19"/>
          <w:rFonts w:hint="eastAsia" w:ascii="仿宋_GB2312" w:hAnsi="楷体" w:eastAsia="仿宋_GB2312"/>
          <w:b w:val="0"/>
          <w:color w:val="000000"/>
          <w:spacing w:val="-4"/>
          <w:sz w:val="32"/>
          <w:szCs w:val="32"/>
          <w:shd w:val="clear" w:color="FFFFFF" w:fill="FFFFFF"/>
          <w:lang w:val="en-US" w:eastAsia="zh-CN"/>
        </w:rPr>
        <w:t>4</w:t>
      </w:r>
      <w:r>
        <w:rPr>
          <w:rStyle w:val="19"/>
          <w:rFonts w:hint="eastAsia" w:ascii="仿宋_GB2312" w:hAnsi="楷体" w:eastAsia="仿宋_GB2312"/>
          <w:b w:val="0"/>
          <w:color w:val="000000"/>
          <w:spacing w:val="-4"/>
          <w:sz w:val="32"/>
          <w:szCs w:val="32"/>
          <w:shd w:val="clear" w:color="FFFFFF" w:fill="FFFFFF"/>
        </w:rPr>
        <w:t>个科室。办公室职责：组织协调局机关日常工作，负责全局性重要文件、材料的起草；重要会议的组织、文电、文印处理、秘书事务、信息综合、新闻宣传、网络建设管理、档案、保密、接待、计生、机关物业管理及后勤服务工作；指导精神文明建设管理，开展综合治理，倡导安全生产等一系列开支需求。</w:t>
      </w:r>
      <w:r>
        <w:rPr>
          <w:rStyle w:val="19"/>
          <w:rFonts w:ascii="仿宋_GB2312" w:hAnsi="楷体" w:eastAsia="仿宋_GB2312"/>
          <w:b w:val="0"/>
          <w:color w:val="000000"/>
          <w:spacing w:val="-4"/>
          <w:sz w:val="32"/>
          <w:szCs w:val="32"/>
          <w:shd w:val="clear" w:color="FFFFFF" w:fill="FFFFFF"/>
        </w:rPr>
        <w:t xml:space="preserve"> </w:t>
      </w:r>
    </w:p>
    <w:p w14:paraId="02EDC2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19"/>
          <w:rFonts w:hint="eastAsia" w:ascii="仿宋_GB2312" w:hAnsi="楷体" w:eastAsia="仿宋_GB2312"/>
          <w:b w:val="0"/>
          <w:color w:val="000000"/>
          <w:spacing w:val="-4"/>
          <w:sz w:val="32"/>
          <w:szCs w:val="32"/>
          <w:shd w:val="clear" w:color="auto" w:fill="FFFFFF"/>
        </w:rPr>
      </w:pPr>
      <w:r>
        <w:rPr>
          <w:rFonts w:hint="default" w:ascii="Times New Roman" w:hAnsi="Times New Roman" w:eastAsia="仿宋_GB2312" w:cs="Times New Roman"/>
          <w:sz w:val="32"/>
          <w:szCs w:val="32"/>
          <w:highlight w:val="none"/>
          <w:lang w:val="en-US" w:eastAsia="zh-CN"/>
        </w:rPr>
        <w:t>项目实施情况</w:t>
      </w:r>
      <w:r>
        <w:rPr>
          <w:rFonts w:hint="default" w:ascii="Times New Roman" w:hAnsi="Times New Roman" w:eastAsia="仿宋_GB2312" w:cs="Times New Roman"/>
          <w:sz w:val="32"/>
          <w:szCs w:val="32"/>
        </w:rPr>
        <w:t>：</w:t>
      </w:r>
      <w:r>
        <w:rPr>
          <w:rStyle w:val="19"/>
          <w:rFonts w:hint="eastAsia" w:ascii="仿宋_GB2312" w:hAnsi="楷体" w:eastAsia="仿宋_GB2312"/>
          <w:b w:val="0"/>
          <w:color w:val="000000"/>
          <w:spacing w:val="-4"/>
          <w:sz w:val="32"/>
          <w:szCs w:val="32"/>
          <w:shd w:val="clear" w:color="auto" w:fill="FFFFFF"/>
        </w:rPr>
        <w:t>202</w:t>
      </w:r>
      <w:r>
        <w:rPr>
          <w:rStyle w:val="19"/>
          <w:rFonts w:hint="eastAsia" w:ascii="仿宋_GB2312" w:hAnsi="楷体" w:eastAsia="仿宋_GB2312"/>
          <w:b w:val="0"/>
          <w:color w:val="000000"/>
          <w:spacing w:val="-4"/>
          <w:sz w:val="32"/>
          <w:szCs w:val="32"/>
          <w:shd w:val="clear" w:color="auto" w:fill="FFFFFF"/>
          <w:lang w:val="en-US" w:eastAsia="zh-CN"/>
        </w:rPr>
        <w:t>5</w:t>
      </w:r>
      <w:r>
        <w:rPr>
          <w:rStyle w:val="19"/>
          <w:rFonts w:hint="eastAsia" w:ascii="仿宋_GB2312" w:hAnsi="楷体" w:eastAsia="仿宋_GB2312"/>
          <w:b w:val="0"/>
          <w:color w:val="000000"/>
          <w:spacing w:val="-4"/>
          <w:sz w:val="32"/>
          <w:szCs w:val="32"/>
          <w:shd w:val="clear" w:color="auto" w:fill="FFFFFF"/>
        </w:rPr>
        <w:t>年，我</w:t>
      </w:r>
      <w:r>
        <w:rPr>
          <w:rStyle w:val="19"/>
          <w:rFonts w:hint="eastAsia" w:ascii="仿宋_GB2312" w:hAnsi="楷体" w:eastAsia="仿宋_GB2312"/>
          <w:b w:val="0"/>
          <w:color w:val="000000"/>
          <w:spacing w:val="-4"/>
          <w:sz w:val="32"/>
          <w:szCs w:val="32"/>
          <w:shd w:val="clear" w:color="auto" w:fill="FFFFFF"/>
          <w:lang w:eastAsia="zh-CN"/>
        </w:rPr>
        <w:t>中心</w:t>
      </w:r>
      <w:r>
        <w:rPr>
          <w:rStyle w:val="19"/>
          <w:rFonts w:hint="eastAsia" w:ascii="仿宋_GB2312" w:hAnsi="楷体" w:eastAsia="仿宋_GB2312"/>
          <w:b w:val="0"/>
          <w:color w:val="000000"/>
          <w:spacing w:val="-4"/>
          <w:sz w:val="32"/>
          <w:szCs w:val="32"/>
          <w:shd w:val="clear" w:color="auto" w:fill="FFFFFF"/>
        </w:rPr>
        <w:t>足额使用</w:t>
      </w:r>
      <w:r>
        <w:rPr>
          <w:rStyle w:val="19"/>
          <w:rFonts w:hint="eastAsia" w:ascii="仿宋_GB2312" w:hAnsi="楷体" w:eastAsia="仿宋_GB2312"/>
          <w:b w:val="0"/>
          <w:color w:val="000000"/>
          <w:spacing w:val="-4"/>
          <w:sz w:val="32"/>
          <w:szCs w:val="32"/>
          <w:shd w:val="clear" w:color="auto" w:fill="FFFFFF"/>
          <w:lang w:eastAsia="zh-CN"/>
        </w:rPr>
        <w:t>经营成本性项目</w:t>
      </w:r>
      <w:r>
        <w:rPr>
          <w:rStyle w:val="19"/>
          <w:rFonts w:hint="eastAsia" w:ascii="仿宋_GB2312" w:hAnsi="楷体" w:eastAsia="仿宋_GB2312"/>
          <w:b w:val="0"/>
          <w:color w:val="000000"/>
          <w:spacing w:val="-4"/>
          <w:sz w:val="32"/>
          <w:szCs w:val="32"/>
          <w:shd w:val="clear" w:color="auto" w:fill="FFFFFF"/>
          <w:lang w:val="en-US" w:eastAsia="zh-CN"/>
        </w:rPr>
        <w:t>152</w:t>
      </w:r>
      <w:r>
        <w:rPr>
          <w:rStyle w:val="19"/>
          <w:rFonts w:hint="eastAsia" w:ascii="仿宋_GB2312" w:hAnsi="楷体" w:eastAsia="仿宋_GB2312"/>
          <w:b w:val="0"/>
          <w:color w:val="000000"/>
          <w:spacing w:val="-4"/>
          <w:sz w:val="32"/>
          <w:szCs w:val="32"/>
          <w:shd w:val="clear" w:color="auto" w:fill="FFFFFF"/>
        </w:rPr>
        <w:t>资金，总使用额度为</w:t>
      </w:r>
      <w:r>
        <w:rPr>
          <w:rStyle w:val="19"/>
          <w:rFonts w:hint="eastAsia" w:ascii="仿宋_GB2312" w:hAnsi="楷体" w:eastAsia="仿宋_GB2312"/>
          <w:b w:val="0"/>
          <w:color w:val="000000"/>
          <w:spacing w:val="-4"/>
          <w:sz w:val="32"/>
          <w:szCs w:val="32"/>
          <w:shd w:val="clear" w:color="auto" w:fill="FFFFFF"/>
          <w:lang w:val="en-US" w:eastAsia="zh-CN"/>
        </w:rPr>
        <w:t>152</w:t>
      </w:r>
      <w:r>
        <w:rPr>
          <w:rStyle w:val="19"/>
          <w:rFonts w:hint="eastAsia" w:ascii="仿宋_GB2312" w:hAnsi="楷体" w:eastAsia="仿宋_GB2312"/>
          <w:b w:val="0"/>
          <w:color w:val="000000"/>
          <w:spacing w:val="-4"/>
          <w:sz w:val="32"/>
          <w:szCs w:val="32"/>
          <w:shd w:val="clear" w:color="auto" w:fill="FFFFFF"/>
        </w:rPr>
        <w:t>万元，截至1</w:t>
      </w:r>
      <w:r>
        <w:rPr>
          <w:rStyle w:val="19"/>
          <w:rFonts w:hint="eastAsia" w:ascii="仿宋_GB2312" w:hAnsi="楷体" w:eastAsia="仿宋_GB2312"/>
          <w:b w:val="0"/>
          <w:color w:val="000000"/>
          <w:spacing w:val="-4"/>
          <w:sz w:val="32"/>
          <w:szCs w:val="32"/>
          <w:shd w:val="clear" w:color="auto" w:fill="FFFFFF"/>
          <w:lang w:val="en-US" w:eastAsia="zh-CN"/>
        </w:rPr>
        <w:t>2</w:t>
      </w:r>
      <w:r>
        <w:rPr>
          <w:rStyle w:val="19"/>
          <w:rFonts w:hint="eastAsia" w:ascii="仿宋_GB2312" w:hAnsi="楷体" w:eastAsia="仿宋_GB2312"/>
          <w:b w:val="0"/>
          <w:color w:val="000000"/>
          <w:spacing w:val="-4"/>
          <w:sz w:val="32"/>
          <w:szCs w:val="32"/>
          <w:shd w:val="clear" w:color="auto" w:fill="FFFFFF"/>
        </w:rPr>
        <w:t>月底实际使用率</w:t>
      </w:r>
      <w:r>
        <w:rPr>
          <w:rStyle w:val="19"/>
          <w:rFonts w:hint="eastAsia" w:ascii="仿宋_GB2312" w:hAnsi="楷体" w:eastAsia="仿宋_GB2312"/>
          <w:b w:val="0"/>
          <w:color w:val="000000"/>
          <w:spacing w:val="-4"/>
          <w:sz w:val="32"/>
          <w:szCs w:val="32"/>
          <w:shd w:val="clear" w:color="auto" w:fill="FFFFFF"/>
          <w:lang w:val="en-US" w:eastAsia="zh-CN"/>
        </w:rPr>
        <w:t>100</w:t>
      </w:r>
      <w:r>
        <w:rPr>
          <w:rStyle w:val="19"/>
          <w:rFonts w:hint="eastAsia" w:ascii="仿宋_GB2312" w:hAnsi="楷体" w:eastAsia="仿宋_GB2312"/>
          <w:b w:val="0"/>
          <w:color w:val="000000"/>
          <w:spacing w:val="-4"/>
          <w:sz w:val="32"/>
          <w:szCs w:val="32"/>
          <w:shd w:val="clear" w:color="auto" w:fill="FFFFFF"/>
        </w:rPr>
        <w:t>%。通过该项目的顺利实施，保障了我局技术服务、安全、党建、民族团结等及相关业务的顺利开展。</w:t>
      </w:r>
    </w:p>
    <w:p w14:paraId="1CC9A315">
      <w:pPr>
        <w:spacing w:line="560" w:lineRule="exact"/>
        <w:ind w:firstLine="643" w:firstLineChars="200"/>
        <w:outlineLvl w:val="2"/>
        <w:rPr>
          <w:rFonts w:hint="default" w:ascii="Times New Roman" w:hAnsi="Times New Roman" w:eastAsia="仿宋_GB2312" w:cs="Times New Roman"/>
          <w:b/>
          <w:bCs/>
          <w:sz w:val="32"/>
          <w:szCs w:val="32"/>
        </w:rPr>
      </w:pPr>
      <w:bookmarkStart w:id="4" w:name="_Toc18357"/>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bookmarkEnd w:id="4"/>
    </w:p>
    <w:p w14:paraId="7159203C">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 w:name="_Toc13131"/>
      <w:r>
        <w:rPr>
          <w:rFonts w:hint="default" w:ascii="Times New Roman" w:hAnsi="Times New Roman" w:eastAsia="仿宋_GB2312" w:cs="Times New Roman"/>
          <w:sz w:val="32"/>
          <w:szCs w:val="32"/>
          <w:highlight w:val="none"/>
          <w:lang w:val="en-US" w:eastAsia="zh-CN"/>
        </w:rPr>
        <w:t>（1）资金投入情况</w:t>
      </w:r>
      <w:bookmarkEnd w:id="5"/>
    </w:p>
    <w:p w14:paraId="37378FB5">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152</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152</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其他资金</w:t>
      </w:r>
      <w:r>
        <w:rPr>
          <w:rFonts w:hint="default" w:ascii="Times New Roman" w:hAnsi="Times New Roman" w:eastAsia="仿宋_GB2312" w:cs="Times New Roman"/>
          <w:sz w:val="32"/>
          <w:szCs w:val="32"/>
          <w:highlight w:val="none"/>
          <w:lang w:val="en-US" w:eastAsia="zh-CN"/>
        </w:rPr>
        <w:t>。</w:t>
      </w:r>
    </w:p>
    <w:p w14:paraId="4BFB4156">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bookmarkStart w:id="6" w:name="_Toc18197"/>
      <w:r>
        <w:rPr>
          <w:rFonts w:hint="default" w:ascii="Times New Roman" w:hAnsi="Times New Roman" w:eastAsia="仿宋_GB2312" w:cs="Times New Roman"/>
          <w:sz w:val="32"/>
          <w:szCs w:val="32"/>
          <w:highlight w:val="none"/>
          <w:lang w:val="en-US" w:eastAsia="zh-CN"/>
        </w:rPr>
        <w:t>（2）资金使用情况</w:t>
      </w:r>
      <w:bookmarkEnd w:id="6"/>
    </w:p>
    <w:p w14:paraId="46B77739">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截至2025年12月31日</w:t>
      </w:r>
      <w:r>
        <w:rPr>
          <w:rFonts w:hint="default" w:ascii="Times New Roman" w:hAnsi="Times New Roman" w:eastAsia="仿宋_GB2312" w:cs="Times New Roman"/>
          <w:sz w:val="32"/>
          <w:szCs w:val="32"/>
          <w:highlight w:val="none"/>
          <w:lang w:val="en-US" w:eastAsia="zh-CN"/>
        </w:rPr>
        <w:t>，该项目全年执行数</w:t>
      </w:r>
      <w:r>
        <w:rPr>
          <w:rFonts w:hint="eastAsia" w:ascii="Times New Roman" w:hAnsi="Times New Roman" w:eastAsia="仿宋_GB2312" w:cs="Times New Roman"/>
          <w:sz w:val="32"/>
          <w:szCs w:val="32"/>
          <w:highlight w:val="none"/>
          <w:lang w:val="en-US" w:eastAsia="zh-CN"/>
        </w:rPr>
        <w:t>152</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办公费、维修费、其他工资福利支出、其他交通费，办公设备购置、印刷费、委托业务费、劳务费等支出</w:t>
      </w:r>
      <w:r>
        <w:rPr>
          <w:rFonts w:hint="default" w:ascii="Times New Roman" w:hAnsi="Times New Roman" w:eastAsia="仿宋_GB2312" w:cs="Times New Roman"/>
          <w:sz w:val="32"/>
          <w:szCs w:val="32"/>
          <w:highlight w:val="none"/>
          <w:lang w:val="en-US" w:eastAsia="zh-CN"/>
        </w:rPr>
        <w:t>。</w:t>
      </w:r>
    </w:p>
    <w:p w14:paraId="61CDD993">
      <w:pPr>
        <w:spacing w:line="560" w:lineRule="exact"/>
        <w:ind w:firstLine="643" w:firstLineChars="200"/>
        <w:outlineLvl w:val="1"/>
        <w:rPr>
          <w:rFonts w:hint="default" w:ascii="Times New Roman" w:hAnsi="Times New Roman" w:eastAsia="楷体_GB2312" w:cs="Times New Roman"/>
          <w:b/>
          <w:bCs/>
          <w:sz w:val="32"/>
          <w:szCs w:val="32"/>
        </w:rPr>
      </w:pPr>
      <w:bookmarkStart w:id="7" w:name="_Toc11655"/>
      <w:r>
        <w:rPr>
          <w:rFonts w:hint="default" w:ascii="Times New Roman" w:hAnsi="Times New Roman" w:eastAsia="楷体_GB2312" w:cs="Times New Roman"/>
          <w:b/>
          <w:bCs/>
          <w:sz w:val="32"/>
          <w:szCs w:val="32"/>
        </w:rPr>
        <w:t>（二）项目绩效目标</w:t>
      </w:r>
      <w:bookmarkEnd w:id="7"/>
    </w:p>
    <w:p w14:paraId="1FC7C67C">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2E219F81">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随着社会经济的发展，水文现代化、信息化、自动化建设方面的投入加大，为防洪报汛、水文测验等工作带来高效、快捷便利的同时，也带来了管理维护工作的投入加大和对人员素质提高的需要。介于上述原因，为保证水文各项工作满足当前发展的需要，对水文组织建设及行政管理工作应加大力度，通过开展安全、党建、民族团结等意识形态活动，从组织上、管理上对水文业务工作起到保证作用，以促进各项工作任务的完成。科技咨询和技术支持服务满足服务单位的各种水文服务要求，保障质量。</w:t>
      </w:r>
    </w:p>
    <w:p w14:paraId="632526D1">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1AB1C95B">
      <w:pPr>
        <w:spacing w:line="560" w:lineRule="exact"/>
        <w:ind w:firstLine="640" w:firstLineChars="200"/>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阶段性目标围绕项目总体目标，按项目实施周期合理拆解，前期聚焦项目筹备与基础保障工作，完成方案细化、资源配置、前期调研等核心任务，确保项目具备实施条件；中期集中推进核心业务开展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p w14:paraId="65469493">
      <w:pPr>
        <w:spacing w:line="560" w:lineRule="exact"/>
        <w:ind w:firstLine="640" w:firstLineChars="200"/>
        <w:outlineLvl w:val="0"/>
        <w:rPr>
          <w:rFonts w:hint="default" w:ascii="Times New Roman" w:hAnsi="Times New Roman" w:eastAsia="黑体" w:cs="Times New Roman"/>
          <w:sz w:val="32"/>
          <w:szCs w:val="32"/>
        </w:rPr>
      </w:pPr>
      <w:bookmarkStart w:id="8" w:name="_Toc25712"/>
      <w:r>
        <w:rPr>
          <w:rFonts w:hint="default" w:ascii="Times New Roman" w:hAnsi="Times New Roman" w:eastAsia="黑体" w:cs="Times New Roman"/>
          <w:sz w:val="32"/>
          <w:szCs w:val="32"/>
        </w:rPr>
        <w:t>二、绩效评价工作开展情况</w:t>
      </w:r>
      <w:bookmarkEnd w:id="8"/>
    </w:p>
    <w:p w14:paraId="2F873198">
      <w:pPr>
        <w:spacing w:line="560" w:lineRule="exact"/>
        <w:ind w:firstLine="643" w:firstLineChars="200"/>
        <w:outlineLvl w:val="1"/>
        <w:rPr>
          <w:rFonts w:hint="default" w:ascii="Times New Roman" w:hAnsi="Times New Roman" w:eastAsia="楷体_GB2312" w:cs="Times New Roman"/>
          <w:b/>
          <w:bCs/>
          <w:sz w:val="32"/>
          <w:szCs w:val="32"/>
        </w:rPr>
      </w:pPr>
      <w:bookmarkStart w:id="9" w:name="_Toc20967"/>
      <w:r>
        <w:rPr>
          <w:rFonts w:hint="default" w:ascii="Times New Roman" w:hAnsi="Times New Roman" w:eastAsia="楷体_GB2312" w:cs="Times New Roman"/>
          <w:b/>
          <w:bCs/>
          <w:sz w:val="32"/>
          <w:szCs w:val="32"/>
        </w:rPr>
        <w:t>（一）绩效评价目的、对象和范围</w:t>
      </w:r>
      <w:bookmarkEnd w:id="9"/>
    </w:p>
    <w:p w14:paraId="05FB5B53">
      <w:pPr>
        <w:spacing w:line="560" w:lineRule="exact"/>
        <w:ind w:firstLine="640" w:firstLineChars="200"/>
        <w:outlineLvl w:val="2"/>
        <w:rPr>
          <w:rFonts w:hint="default" w:ascii="Times New Roman" w:hAnsi="Times New Roman" w:eastAsia="仿宋_GB2312" w:cs="Times New Roman"/>
          <w:sz w:val="32"/>
          <w:szCs w:val="32"/>
        </w:rPr>
      </w:pPr>
      <w:bookmarkStart w:id="10" w:name="_Toc18967"/>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绩效评价的目的</w:t>
      </w:r>
      <w:bookmarkEnd w:id="10"/>
    </w:p>
    <w:p w14:paraId="54D4CF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1" w:name="_Toc17665"/>
      <w:r>
        <w:rPr>
          <w:rFonts w:hint="default" w:ascii="Times New Roman" w:hAnsi="Times New Roman" w:eastAsia="仿宋_GB2312" w:cs="Times New Roman"/>
          <w:sz w:val="32"/>
          <w:szCs w:val="32"/>
          <w:highlight w:val="none"/>
        </w:rPr>
        <w:t>（1）评估项目实施效果</w:t>
      </w:r>
      <w:bookmarkEnd w:id="11"/>
    </w:p>
    <w:p w14:paraId="3C4F14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通过对项目预算执行情况及各项绩效目标达成程度的系统性分析，全面、客观地评估项目在预定周期内的实施效果，包括社会效益多维度指标，为项目后续的改进与优化提供科学依据。</w:t>
      </w:r>
    </w:p>
    <w:p w14:paraId="576ED1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2" w:name="_Toc1456"/>
      <w:r>
        <w:rPr>
          <w:rFonts w:hint="default" w:ascii="Times New Roman" w:hAnsi="Times New Roman" w:eastAsia="仿宋_GB2312" w:cs="Times New Roman"/>
          <w:sz w:val="32"/>
          <w:szCs w:val="32"/>
          <w:highlight w:val="none"/>
        </w:rPr>
        <w:t>（2）提升资源利用效率</w:t>
      </w:r>
      <w:bookmarkEnd w:id="12"/>
    </w:p>
    <w:p w14:paraId="1CCC05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43BDC0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3" w:name="_Toc7051"/>
      <w:r>
        <w:rPr>
          <w:rFonts w:hint="default" w:ascii="Times New Roman" w:hAnsi="Times New Roman" w:eastAsia="仿宋_GB2312" w:cs="Times New Roman"/>
          <w:sz w:val="32"/>
          <w:szCs w:val="32"/>
          <w:highlight w:val="none"/>
        </w:rPr>
        <w:t>（3）强化项目管理责任</w:t>
      </w:r>
      <w:bookmarkEnd w:id="13"/>
    </w:p>
    <w:p w14:paraId="1ECEAB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1AB32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4" w:name="_Toc19891"/>
      <w:r>
        <w:rPr>
          <w:rFonts w:hint="default" w:ascii="Times New Roman" w:hAnsi="Times New Roman" w:eastAsia="仿宋_GB2312" w:cs="Times New Roman"/>
          <w:sz w:val="32"/>
          <w:szCs w:val="32"/>
          <w:highlight w:val="none"/>
        </w:rPr>
        <w:t>（4）为决策提供支持</w:t>
      </w:r>
      <w:bookmarkEnd w:id="14"/>
    </w:p>
    <w:p w14:paraId="06AB4C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261F6F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5" w:name="_Toc10690"/>
      <w:r>
        <w:rPr>
          <w:rFonts w:hint="default" w:ascii="Times New Roman" w:hAnsi="Times New Roman" w:eastAsia="仿宋_GB2312" w:cs="Times New Roman"/>
          <w:sz w:val="32"/>
          <w:szCs w:val="32"/>
          <w:highlight w:val="none"/>
        </w:rPr>
        <w:t>（5）促进项目持续改进</w:t>
      </w:r>
      <w:bookmarkEnd w:id="15"/>
    </w:p>
    <w:p w14:paraId="5D5A19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8398E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2F816368">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16" w:name="_Toc5355"/>
      <w:r>
        <w:rPr>
          <w:rFonts w:hint="eastAsia" w:ascii="Times New Roman" w:hAnsi="Times New Roman" w:eastAsia="仿宋_GB2312" w:cs="Times New Roman"/>
          <w:b w:val="0"/>
          <w:bCs w:val="0"/>
          <w:lang w:val="en-US" w:eastAsia="zh-CN"/>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bookmarkEnd w:id="16"/>
    </w:p>
    <w:p w14:paraId="57DC5B6A">
      <w:pPr>
        <w:pStyle w:val="13"/>
        <w:widowControl w:val="0"/>
        <w:spacing w:before="0" w:after="0" w:line="560" w:lineRule="exact"/>
        <w:ind w:firstLine="640" w:firstLineChars="200"/>
        <w:jc w:val="both"/>
        <w:outlineLvl w:val="9"/>
        <w:rPr>
          <w:rStyle w:val="19"/>
          <w:rFonts w:hint="default" w:ascii="仿宋_GB2312" w:hAnsi="楷体" w:eastAsia="仿宋_GB2312" w:cs="Times New Roman"/>
          <w:b w:val="0"/>
          <w:bCs/>
          <w:color w:val="000000"/>
          <w:spacing w:val="-4"/>
          <w:kern w:val="2"/>
          <w:sz w:val="32"/>
          <w:szCs w:val="32"/>
          <w:shd w:val="clear" w:color="auto" w:fill="FFFFFF"/>
          <w:lang w:val="en-US" w:eastAsia="zh-CN" w:bidi="ar-SA"/>
        </w:rPr>
      </w:pPr>
      <w:r>
        <w:rPr>
          <w:rFonts w:hint="default" w:ascii="Times New Roman" w:hAnsi="Times New Roman" w:eastAsia="仿宋_GB2312" w:cs="Times New Roman"/>
          <w:b w:val="0"/>
          <w:bCs w:val="0"/>
          <w:highlight w:val="none"/>
        </w:rPr>
        <w:t>本项目预算绩效评价报告的评价对象是</w:t>
      </w:r>
      <w:r>
        <w:rPr>
          <w:rStyle w:val="19"/>
          <w:rFonts w:hint="eastAsia" w:ascii="仿宋_GB2312" w:hAnsi="楷体" w:eastAsia="仿宋_GB2312" w:cs="Times New Roman"/>
          <w:b w:val="0"/>
          <w:bCs/>
          <w:color w:val="000000"/>
          <w:spacing w:val="-4"/>
          <w:kern w:val="2"/>
          <w:sz w:val="32"/>
          <w:szCs w:val="32"/>
          <w:shd w:val="clear" w:color="auto" w:fill="FFFFFF"/>
          <w:lang w:val="en-US" w:eastAsia="zh-CN" w:bidi="ar-SA"/>
        </w:rPr>
        <w:t>水文组织建设与经营成本性</w:t>
      </w:r>
      <w:r>
        <w:rPr>
          <w:rStyle w:val="19"/>
          <w:rFonts w:hint="default" w:ascii="仿宋_GB2312" w:hAnsi="楷体" w:eastAsia="仿宋_GB2312" w:cs="Times New Roman"/>
          <w:b w:val="0"/>
          <w:bCs/>
          <w:color w:val="000000"/>
          <w:spacing w:val="-4"/>
          <w:kern w:val="2"/>
          <w:sz w:val="32"/>
          <w:szCs w:val="32"/>
          <w:shd w:val="clear" w:color="auto" w:fill="FFFFFF"/>
          <w:lang w:val="en-US" w:eastAsia="zh-CN" w:bidi="ar-SA"/>
        </w:rPr>
        <w:t>项目</w:t>
      </w:r>
      <w:r>
        <w:rPr>
          <w:rFonts w:hint="default" w:ascii="Times New Roman" w:hAnsi="Times New Roman" w:eastAsia="仿宋_GB2312" w:cs="Times New Roman"/>
          <w:b w:val="0"/>
          <w:bCs w:val="0"/>
          <w:highlight w:val="none"/>
        </w:rPr>
        <w:t>及其预算执行情况。该项目由</w:t>
      </w:r>
      <w:r>
        <w:rPr>
          <w:rStyle w:val="19"/>
          <w:rFonts w:hint="eastAsia" w:ascii="仿宋_GB2312" w:hAnsi="楷体" w:eastAsia="仿宋_GB2312" w:cs="Times New Roman"/>
          <w:b w:val="0"/>
          <w:bCs/>
          <w:color w:val="000000"/>
          <w:spacing w:val="-4"/>
          <w:kern w:val="2"/>
          <w:sz w:val="32"/>
          <w:szCs w:val="32"/>
          <w:shd w:val="clear" w:color="auto" w:fill="FFFFFF"/>
          <w:lang w:val="en-US" w:eastAsia="zh-CN" w:bidi="ar-SA"/>
        </w:rPr>
        <w:t>克孜勒苏水文勘测中心</w:t>
      </w:r>
      <w:r>
        <w:rPr>
          <w:rFonts w:hint="default" w:ascii="Times New Roman" w:hAnsi="Times New Roman" w:eastAsia="仿宋_GB2312" w:cs="Times New Roman"/>
          <w:b w:val="0"/>
          <w:bCs w:val="0"/>
          <w:highlight w:val="none"/>
        </w:rPr>
        <w:t>负责实施，旨在</w:t>
      </w:r>
      <w:r>
        <w:rPr>
          <w:rStyle w:val="19"/>
          <w:rFonts w:hint="default" w:ascii="仿宋_GB2312" w:hAnsi="楷体" w:eastAsia="仿宋_GB2312" w:cs="Times New Roman"/>
          <w:b w:val="0"/>
          <w:bCs/>
          <w:color w:val="000000"/>
          <w:spacing w:val="-4"/>
          <w:kern w:val="2"/>
          <w:sz w:val="32"/>
          <w:szCs w:val="32"/>
          <w:shd w:val="clear" w:color="auto" w:fill="FFFFFF"/>
          <w:lang w:val="en-US" w:eastAsia="zh-CN" w:bidi="ar-SA"/>
        </w:rPr>
        <w:t>通过完成技术服务、安全、党建、民族团结等意识形态等活动。达到1.为防洪报汛、水文测验等工作带来高效、快捷便利的同时，也带来了管理维护工作的投入加大和对人员素质提高的需要。2.科技咨询和技术支持服务满足服务单位的各种水文服务要求，保障质量的效益。项目预算涵盖从</w:t>
      </w:r>
      <w:r>
        <w:rPr>
          <w:rStyle w:val="19"/>
          <w:rFonts w:hint="eastAsia" w:ascii="仿宋_GB2312" w:hAnsi="楷体" w:eastAsia="仿宋_GB2312" w:cs="Times New Roman"/>
          <w:b w:val="0"/>
          <w:bCs/>
          <w:color w:val="000000"/>
          <w:spacing w:val="-4"/>
          <w:kern w:val="2"/>
          <w:sz w:val="32"/>
          <w:szCs w:val="32"/>
          <w:shd w:val="clear" w:color="auto" w:fill="FFFFFF"/>
          <w:lang w:val="en-US" w:eastAsia="zh-CN" w:bidi="ar-SA"/>
        </w:rPr>
        <w:t>2025年1月1日</w:t>
      </w:r>
      <w:r>
        <w:rPr>
          <w:rStyle w:val="19"/>
          <w:rFonts w:hint="default" w:ascii="仿宋_GB2312" w:hAnsi="楷体" w:eastAsia="仿宋_GB2312" w:cs="Times New Roman"/>
          <w:b w:val="0"/>
          <w:bCs/>
          <w:color w:val="000000"/>
          <w:spacing w:val="-4"/>
          <w:kern w:val="2"/>
          <w:sz w:val="32"/>
          <w:szCs w:val="32"/>
          <w:shd w:val="clear" w:color="auto" w:fill="FFFFFF"/>
          <w:lang w:val="en-US" w:eastAsia="zh-CN" w:bidi="ar-SA"/>
        </w:rPr>
        <w:t>至</w:t>
      </w:r>
      <w:r>
        <w:rPr>
          <w:rStyle w:val="19"/>
          <w:rFonts w:hint="eastAsia" w:ascii="仿宋_GB2312" w:hAnsi="楷体" w:eastAsia="仿宋_GB2312" w:cs="Times New Roman"/>
          <w:b w:val="0"/>
          <w:bCs/>
          <w:color w:val="000000"/>
          <w:spacing w:val="-4"/>
          <w:kern w:val="2"/>
          <w:sz w:val="32"/>
          <w:szCs w:val="32"/>
          <w:shd w:val="clear" w:color="auto" w:fill="FFFFFF"/>
          <w:lang w:val="en-US" w:eastAsia="zh-CN" w:bidi="ar-SA"/>
        </w:rPr>
        <w:t>2025年12月31日</w:t>
      </w:r>
      <w:r>
        <w:rPr>
          <w:rStyle w:val="19"/>
          <w:rFonts w:hint="default" w:ascii="仿宋_GB2312" w:hAnsi="楷体" w:eastAsia="仿宋_GB2312" w:cs="Times New Roman"/>
          <w:b w:val="0"/>
          <w:bCs/>
          <w:color w:val="000000"/>
          <w:spacing w:val="-4"/>
          <w:kern w:val="2"/>
          <w:sz w:val="32"/>
          <w:szCs w:val="32"/>
          <w:shd w:val="clear" w:color="auto" w:fill="FFFFFF"/>
          <w:lang w:val="en-US" w:eastAsia="zh-CN" w:bidi="ar-SA"/>
        </w:rPr>
        <w:t>的全部资金投入与支出，涉及资金总额为</w:t>
      </w:r>
      <w:r>
        <w:rPr>
          <w:rStyle w:val="19"/>
          <w:rFonts w:hint="eastAsia" w:ascii="仿宋_GB2312" w:hAnsi="楷体" w:eastAsia="仿宋_GB2312" w:cs="Times New Roman"/>
          <w:b w:val="0"/>
          <w:bCs/>
          <w:color w:val="000000"/>
          <w:spacing w:val="-4"/>
          <w:kern w:val="2"/>
          <w:sz w:val="32"/>
          <w:szCs w:val="32"/>
          <w:shd w:val="clear" w:color="auto" w:fill="FFFFFF"/>
          <w:lang w:val="en-US" w:eastAsia="zh-CN" w:bidi="ar-SA"/>
        </w:rPr>
        <w:t>152</w:t>
      </w:r>
      <w:r>
        <w:rPr>
          <w:rStyle w:val="19"/>
          <w:rFonts w:hint="default" w:ascii="仿宋_GB2312" w:hAnsi="楷体" w:eastAsia="仿宋_GB2312" w:cs="Times New Roman"/>
          <w:b w:val="0"/>
          <w:bCs/>
          <w:color w:val="000000"/>
          <w:spacing w:val="-4"/>
          <w:kern w:val="2"/>
          <w:sz w:val="32"/>
          <w:szCs w:val="32"/>
          <w:shd w:val="clear" w:color="auto" w:fill="FFFFFF"/>
          <w:lang w:val="en-US" w:eastAsia="zh-CN" w:bidi="ar-SA"/>
        </w:rPr>
        <w:t>万元。</w:t>
      </w:r>
    </w:p>
    <w:p w14:paraId="79EB5D46">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17" w:name="_Toc4258"/>
      <w:r>
        <w:rPr>
          <w:rFonts w:hint="eastAsia"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绩效评价的范围</w:t>
      </w:r>
      <w:bookmarkEnd w:id="17"/>
    </w:p>
    <w:p w14:paraId="3D9E5EDE">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70394354">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29C80E4D">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05ABF3DA">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6DFB1D5C">
      <w:pPr>
        <w:pStyle w:val="13"/>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影响：考察项目对社会等方面的综合影响。</w:t>
      </w:r>
    </w:p>
    <w:p w14:paraId="47A43EB4">
      <w:pPr>
        <w:spacing w:line="560" w:lineRule="exact"/>
        <w:ind w:firstLine="643" w:firstLineChars="200"/>
        <w:outlineLvl w:val="1"/>
        <w:rPr>
          <w:rFonts w:hint="default" w:ascii="Times New Roman" w:hAnsi="Times New Roman" w:cs="Times New Roman"/>
        </w:rPr>
      </w:pPr>
      <w:bookmarkStart w:id="18" w:name="_Toc29785"/>
      <w:r>
        <w:rPr>
          <w:rFonts w:hint="default" w:ascii="Times New Roman" w:hAnsi="Times New Roman" w:eastAsia="楷体_GB2312" w:cs="Times New Roman"/>
          <w:b/>
          <w:bCs/>
          <w:sz w:val="32"/>
          <w:szCs w:val="32"/>
        </w:rPr>
        <w:t>（二）绩效评价原则、评价指标体系（详情见表1）、评价方法、评价标准。</w:t>
      </w:r>
      <w:bookmarkEnd w:id="18"/>
    </w:p>
    <w:p w14:paraId="626F3651">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19" w:name="_Toc22859"/>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bookmarkEnd w:id="19"/>
    </w:p>
    <w:p w14:paraId="7981EE54">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647FDEE1">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17A7045D">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586748DE">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25F99EFD">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395C912A">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20" w:name="_Toc31775"/>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bookmarkEnd w:id="20"/>
    </w:p>
    <w:p w14:paraId="0C9025E7">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6C2D481B">
      <w:pPr>
        <w:spacing w:line="560" w:lineRule="exact"/>
        <w:ind w:firstLine="708" w:firstLineChars="200"/>
        <w:outlineLvl w:val="3"/>
        <w:rPr>
          <w:rFonts w:hint="default" w:ascii="Times New Roman" w:hAnsi="Times New Roman" w:eastAsia="仿宋_GB2312" w:cs="Times New Roman"/>
          <w:color w:val="000000"/>
          <w:spacing w:val="17"/>
          <w:sz w:val="32"/>
          <w:szCs w:val="32"/>
        </w:rPr>
      </w:pPr>
      <w:bookmarkStart w:id="21" w:name="_Toc22746"/>
      <w:r>
        <w:rPr>
          <w:rFonts w:hint="default" w:ascii="Times New Roman" w:hAnsi="Times New Roman" w:eastAsia="仿宋_GB2312" w:cs="Times New Roman"/>
          <w:color w:val="000000"/>
          <w:spacing w:val="17"/>
          <w:sz w:val="32"/>
          <w:szCs w:val="32"/>
        </w:rPr>
        <w:t>（1）确定评价指标</w:t>
      </w:r>
      <w:bookmarkEnd w:id="21"/>
    </w:p>
    <w:p w14:paraId="3D6B77FD">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072690F3">
      <w:pPr>
        <w:spacing w:line="560" w:lineRule="exact"/>
        <w:ind w:firstLine="708" w:firstLineChars="200"/>
        <w:outlineLvl w:val="3"/>
        <w:rPr>
          <w:rFonts w:hint="default" w:ascii="Times New Roman" w:hAnsi="Times New Roman" w:eastAsia="仿宋_GB2312" w:cs="Times New Roman"/>
          <w:color w:val="000000"/>
          <w:spacing w:val="17"/>
          <w:sz w:val="32"/>
          <w:szCs w:val="32"/>
        </w:rPr>
      </w:pPr>
      <w:bookmarkStart w:id="22" w:name="_Toc1142"/>
      <w:r>
        <w:rPr>
          <w:rFonts w:hint="default" w:ascii="Times New Roman" w:hAnsi="Times New Roman" w:eastAsia="仿宋_GB2312" w:cs="Times New Roman"/>
          <w:color w:val="000000"/>
          <w:spacing w:val="17"/>
          <w:sz w:val="32"/>
          <w:szCs w:val="32"/>
        </w:rPr>
        <w:t>（2）确定权重</w:t>
      </w:r>
      <w:bookmarkEnd w:id="22"/>
    </w:p>
    <w:p w14:paraId="11E7C924">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1A9B5654">
      <w:pPr>
        <w:spacing w:line="560" w:lineRule="exact"/>
        <w:ind w:firstLine="708" w:firstLineChars="200"/>
        <w:outlineLvl w:val="3"/>
        <w:rPr>
          <w:rFonts w:hint="default" w:ascii="Times New Roman" w:hAnsi="Times New Roman" w:eastAsia="仿宋_GB2312" w:cs="Times New Roman"/>
          <w:color w:val="000000"/>
          <w:spacing w:val="17"/>
          <w:sz w:val="32"/>
          <w:szCs w:val="32"/>
        </w:rPr>
      </w:pPr>
      <w:bookmarkStart w:id="23" w:name="_Toc18406"/>
      <w:r>
        <w:rPr>
          <w:rFonts w:hint="default" w:ascii="Times New Roman" w:hAnsi="Times New Roman" w:eastAsia="仿宋_GB2312" w:cs="Times New Roman"/>
          <w:color w:val="000000"/>
          <w:spacing w:val="17"/>
          <w:sz w:val="32"/>
          <w:szCs w:val="32"/>
        </w:rPr>
        <w:t>（3）确定指标标准值</w:t>
      </w:r>
      <w:bookmarkEnd w:id="23"/>
    </w:p>
    <w:p w14:paraId="125B0520">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5DEF179E">
      <w:pPr>
        <w:pStyle w:val="13"/>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3AFDF4D2">
      <w:pPr>
        <w:pStyle w:val="13"/>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314CF716">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24" w:name="_Toc18365"/>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bookmarkEnd w:id="24"/>
    </w:p>
    <w:p w14:paraId="32EF46C4">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025117F0">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3E7E60D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）成本效益分析法。是指将投入与产出、效益进行关联性分析的方法。</w:t>
      </w:r>
    </w:p>
    <w:p w14:paraId="4A77FD9E">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）比较法。是指将实施情况与绩效目标、历史情况、不同部门和地区同类支出情况进行比较的方法。</w:t>
      </w:r>
    </w:p>
    <w:p w14:paraId="7221720F">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3</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14:paraId="253B46A2">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4</w:t>
      </w:r>
      <w:r>
        <w:rPr>
          <w:rFonts w:hint="default" w:ascii="Times New Roman" w:hAnsi="Times New Roman" w:eastAsia="仿宋_GB2312" w:cs="Times New Roman"/>
          <w:color w:val="000000"/>
          <w:spacing w:val="17"/>
          <w:sz w:val="32"/>
          <w:szCs w:val="32"/>
          <w:highlight w:val="none"/>
        </w:rPr>
        <w:t>）最低成本法。是指在绩效目标确定的前提下，成本最小者为优的方法。</w:t>
      </w:r>
    </w:p>
    <w:p w14:paraId="0235051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5</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p>
    <w:p w14:paraId="0F0AF36E">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6</w:t>
      </w:r>
      <w:r>
        <w:rPr>
          <w:rFonts w:hint="default" w:ascii="Times New Roman" w:hAnsi="Times New Roman" w:eastAsia="仿宋_GB2312" w:cs="Times New Roman"/>
          <w:color w:val="000000"/>
          <w:spacing w:val="17"/>
          <w:sz w:val="32"/>
          <w:szCs w:val="32"/>
          <w:highlight w:val="none"/>
        </w:rPr>
        <w:t>）标杆管理法。是指以国内外同行业中较高的绩效水平为标杆进行评判的方法。</w:t>
      </w:r>
    </w:p>
    <w:p w14:paraId="3E4DE8FB">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7</w:t>
      </w:r>
      <w:r>
        <w:rPr>
          <w:rFonts w:hint="default" w:ascii="Times New Roman" w:hAnsi="Times New Roman" w:eastAsia="仿宋_GB2312" w:cs="Times New Roman"/>
          <w:color w:val="000000"/>
          <w:spacing w:val="17"/>
          <w:sz w:val="32"/>
          <w:szCs w:val="32"/>
          <w:highlight w:val="none"/>
        </w:rPr>
        <w:t>）其他评价方法。</w:t>
      </w:r>
    </w:p>
    <w:p w14:paraId="2270E6DA">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25" w:name="_Toc21230"/>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bookmarkEnd w:id="25"/>
    </w:p>
    <w:p w14:paraId="6600A0B5">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w:t>
      </w:r>
      <w:r>
        <w:rPr>
          <w:rFonts w:hint="eastAsia" w:ascii="Times New Roman" w:hAnsi="Times New Roman" w:eastAsia="仿宋_GB2312" w:cs="Times New Roman"/>
          <w:b w:val="0"/>
          <w:bCs w:val="0"/>
          <w:lang w:eastAsia="zh-CN"/>
        </w:rPr>
        <w:t>具体绩效评价标准解释如下：</w:t>
      </w:r>
    </w:p>
    <w:p w14:paraId="13A9E4DD">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587A2939">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行业标准。指参照国家公布的行业指标数据制定的评价标准。</w:t>
      </w:r>
    </w:p>
    <w:p w14:paraId="7D3B3C37">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历史标准。指参照历史数据制定的评价标准，为体现绩效改进的原则，在可实现的条件下应当确定相对较高的评价标准。</w:t>
      </w:r>
    </w:p>
    <w:p w14:paraId="4A4C6167">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财政部门和预算部门确认或认可的其他标准。</w:t>
      </w:r>
    </w:p>
    <w:p w14:paraId="3378995B">
      <w:pPr>
        <w:pStyle w:val="13"/>
        <w:widowControl w:val="0"/>
        <w:spacing w:before="0" w:after="0" w:line="560" w:lineRule="exact"/>
        <w:ind w:firstLine="640" w:firstLineChars="200"/>
        <w:jc w:val="both"/>
        <w:outlineLvl w:val="9"/>
        <w:rPr>
          <w:rFonts w:hint="default"/>
        </w:rPr>
      </w:pPr>
      <w:r>
        <w:rPr>
          <w:rFonts w:hint="eastAsia" w:ascii="Times New Roman" w:hAnsi="Times New Roman" w:eastAsia="仿宋_GB2312" w:cs="Times New Roman"/>
          <w:b w:val="0"/>
          <w:bCs w:val="0"/>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9617DDA">
      <w:pPr>
        <w:pStyle w:val="13"/>
        <w:numPr>
          <w:ilvl w:val="0"/>
          <w:numId w:val="2"/>
        </w:numPr>
        <w:spacing w:before="0" w:after="0" w:line="560" w:lineRule="exact"/>
        <w:ind w:firstLine="711" w:firstLineChars="200"/>
        <w:jc w:val="both"/>
        <w:outlineLvl w:val="1"/>
        <w:rPr>
          <w:rFonts w:hint="default" w:ascii="Times New Roman" w:hAnsi="Times New Roman" w:eastAsia="楷体" w:cs="Times New Roman"/>
          <w:color w:val="000000"/>
          <w:spacing w:val="17"/>
        </w:rPr>
      </w:pPr>
      <w:bookmarkStart w:id="26" w:name="_Toc5544"/>
      <w:r>
        <w:rPr>
          <w:rFonts w:hint="default" w:ascii="Times New Roman" w:hAnsi="Times New Roman" w:eastAsia="楷体" w:cs="Times New Roman"/>
          <w:color w:val="000000"/>
          <w:spacing w:val="17"/>
        </w:rPr>
        <w:t>绩效评价工作过程</w:t>
      </w:r>
      <w:bookmarkEnd w:id="26"/>
    </w:p>
    <w:p w14:paraId="09C185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rPr>
      </w:pPr>
      <w:bookmarkStart w:id="27" w:name="_Toc21316"/>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bookmarkEnd w:id="27"/>
    </w:p>
    <w:p w14:paraId="6353D5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w:t>
      </w:r>
      <w:r>
        <w:rPr>
          <w:rFonts w:hint="eastAsia" w:eastAsia="仿宋_GB2312" w:cs="Times New Roman"/>
          <w:sz w:val="32"/>
          <w:szCs w:val="32"/>
          <w:highlight w:val="none"/>
          <w:lang w:val="en-US" w:eastAsia="zh-CN"/>
        </w:rPr>
        <w:t>成员</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14:paraId="1DAA18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8" w:name="_Toc12550"/>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bookmarkEnd w:id="28"/>
    </w:p>
    <w:p w14:paraId="4F8C9B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77BF44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9" w:name="_Toc7217"/>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bookmarkEnd w:id="29"/>
    </w:p>
    <w:p w14:paraId="41166E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0D6F00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0" w:name="_Toc13512"/>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bookmarkEnd w:id="30"/>
    </w:p>
    <w:p w14:paraId="63D9D1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09D82F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1" w:name="_Toc26222"/>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bookmarkEnd w:id="31"/>
    </w:p>
    <w:p w14:paraId="79F4B2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2367E3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2" w:name="_Toc554"/>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bookmarkEnd w:id="32"/>
    </w:p>
    <w:p w14:paraId="5DCFC2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3FD36DEA">
      <w:pPr>
        <w:numPr>
          <w:ilvl w:val="0"/>
          <w:numId w:val="3"/>
        </w:numPr>
        <w:spacing w:line="560" w:lineRule="exact"/>
        <w:ind w:firstLine="640" w:firstLineChars="200"/>
        <w:outlineLvl w:val="0"/>
        <w:rPr>
          <w:rFonts w:hint="default" w:ascii="Times New Roman" w:hAnsi="Times New Roman" w:eastAsia="黑体" w:cs="Times New Roman"/>
          <w:sz w:val="32"/>
          <w:szCs w:val="32"/>
        </w:rPr>
      </w:pPr>
      <w:bookmarkStart w:id="33" w:name="_Toc29729"/>
      <w:r>
        <w:rPr>
          <w:rFonts w:hint="default" w:ascii="Times New Roman" w:hAnsi="Times New Roman" w:eastAsia="黑体" w:cs="Times New Roman"/>
          <w:sz w:val="32"/>
          <w:szCs w:val="32"/>
        </w:rPr>
        <w:t>综合评价情况及评价结论（附相关评分表）</w:t>
      </w:r>
      <w:bookmarkEnd w:id="33"/>
    </w:p>
    <w:p w14:paraId="29C16EA5">
      <w:pPr>
        <w:pStyle w:val="13"/>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lang w:val="en-US" w:eastAsia="zh-CN"/>
        </w:rPr>
      </w:pPr>
      <w:bookmarkStart w:id="34" w:name="_Toc2344"/>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bookmarkEnd w:id="34"/>
    </w:p>
    <w:p w14:paraId="1B4CE6ED">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综合效益方面，项目在社会效益上发挥了积极作用，具体效益表现，改善区域生态环境等，服务对象及相关方满意度较高，]整体实现了项目预期的实施价值。</w:t>
      </w:r>
    </w:p>
    <w:p w14:paraId="73E00783">
      <w:pPr>
        <w:pStyle w:val="13"/>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lang w:val="en-US" w:eastAsia="zh-CN"/>
        </w:rPr>
      </w:pPr>
      <w:bookmarkStart w:id="35" w:name="_Toc6653"/>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bookmarkEnd w:id="35"/>
    </w:p>
    <w:p w14:paraId="7893753D">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w:t>
      </w:r>
      <w:r>
        <w:rPr>
          <w:rFonts w:hint="eastAsia" w:ascii="Times New Roman" w:hAnsi="Times New Roman" w:eastAsia="仿宋_GB2312" w:cs="Times New Roman"/>
          <w:b w:val="0"/>
          <w:bCs w:val="0"/>
          <w:lang w:val="en-US" w:eastAsia="zh-CN"/>
        </w:rPr>
        <w:t>下</w:t>
      </w:r>
      <w:r>
        <w:rPr>
          <w:rFonts w:hint="default" w:ascii="Times New Roman" w:hAnsi="Times New Roman" w:eastAsia="仿宋_GB2312" w:cs="Times New Roman"/>
          <w:b w:val="0"/>
          <w:bCs w:val="0"/>
        </w:rPr>
        <w:t>表</w:t>
      </w:r>
      <w:r>
        <w:rPr>
          <w:rFonts w:hint="default" w:ascii="Times New Roman" w:hAnsi="Times New Roman" w:eastAsia="仿宋_GB2312" w:cs="Times New Roman"/>
          <w:b w:val="0"/>
          <w:bCs w:val="0"/>
          <w:lang w:eastAsia="zh-CN"/>
        </w:rPr>
        <w:t>。</w:t>
      </w:r>
    </w:p>
    <w:p w14:paraId="152C8B86">
      <w:pPr>
        <w:pStyle w:val="13"/>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rPr>
      </w:pPr>
    </w:p>
    <w:p w14:paraId="1E868B50">
      <w:pPr>
        <w:pStyle w:val="13"/>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6"/>
        <w:tblW w:w="7583" w:type="dxa"/>
        <w:jc w:val="center"/>
        <w:tblLayout w:type="fixed"/>
        <w:tblCellMar>
          <w:top w:w="0" w:type="dxa"/>
          <w:left w:w="108" w:type="dxa"/>
          <w:bottom w:w="0" w:type="dxa"/>
          <w:right w:w="108" w:type="dxa"/>
        </w:tblCellMar>
      </w:tblPr>
      <w:tblGrid>
        <w:gridCol w:w="3137"/>
        <w:gridCol w:w="2168"/>
        <w:gridCol w:w="2278"/>
      </w:tblGrid>
      <w:tr w14:paraId="5341A9E4">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7AFC3317">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AD1A3A2">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9D9A506">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0A54ADB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4F23982">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525CAD9D">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8D7B860">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1E88D77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9EFE8FA">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56E06D10">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A05A3D0">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21172E5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CFBAAAF">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07871A50">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3BEF3A49">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14:paraId="4510FB8A">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0CA9383">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0D12DB60">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0EBFBF6">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6455904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7F70A80">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6194BD0E">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55A8E084">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14:paraId="3DBC30DF">
      <w:pPr>
        <w:spacing w:line="560" w:lineRule="exact"/>
        <w:ind w:firstLine="640" w:firstLineChars="200"/>
        <w:outlineLvl w:val="0"/>
        <w:rPr>
          <w:rFonts w:hint="default" w:ascii="Times New Roman" w:hAnsi="Times New Roman" w:eastAsia="黑体" w:cs="Times New Roman"/>
          <w:sz w:val="32"/>
          <w:szCs w:val="32"/>
        </w:rPr>
      </w:pPr>
      <w:bookmarkStart w:id="36" w:name="_Toc1453"/>
      <w:r>
        <w:rPr>
          <w:rFonts w:hint="default" w:ascii="Times New Roman" w:hAnsi="Times New Roman" w:eastAsia="黑体" w:cs="Times New Roman"/>
          <w:sz w:val="32"/>
          <w:szCs w:val="32"/>
        </w:rPr>
        <w:t>四、绩效评价指标分析</w:t>
      </w:r>
      <w:bookmarkEnd w:id="36"/>
    </w:p>
    <w:p w14:paraId="2148AF3E">
      <w:pPr>
        <w:pStyle w:val="13"/>
        <w:spacing w:before="0" w:after="0" w:line="560" w:lineRule="exact"/>
        <w:ind w:firstLine="643" w:firstLineChars="200"/>
        <w:jc w:val="both"/>
        <w:outlineLvl w:val="1"/>
        <w:rPr>
          <w:rFonts w:hint="default" w:ascii="Times New Roman" w:hAnsi="Times New Roman" w:eastAsia="楷体_GB2312" w:cs="Times New Roman"/>
        </w:rPr>
      </w:pPr>
      <w:bookmarkStart w:id="37" w:name="_Toc32318"/>
      <w:r>
        <w:rPr>
          <w:rFonts w:hint="default" w:ascii="Times New Roman" w:hAnsi="Times New Roman" w:eastAsia="楷体_GB2312" w:cs="Times New Roman"/>
        </w:rPr>
        <w:t>（一）项目决策情况</w:t>
      </w:r>
      <w:bookmarkEnd w:id="37"/>
    </w:p>
    <w:p w14:paraId="4E4999E3">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4B5B3318">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38" w:name="_Toc24345"/>
      <w:r>
        <w:rPr>
          <w:rFonts w:hint="default" w:ascii="Times New Roman" w:hAnsi="Times New Roman" w:eastAsia="仿宋_GB2312" w:cs="Times New Roman"/>
          <w:b/>
          <w:bCs/>
          <w:sz w:val="32"/>
          <w:szCs w:val="32"/>
          <w:lang w:val="en-US" w:eastAsia="zh-CN"/>
        </w:rPr>
        <w:t>1.项目立项</w:t>
      </w:r>
      <w:bookmarkEnd w:id="38"/>
    </w:p>
    <w:p w14:paraId="2CC3BDCB">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39" w:name="_Toc9358"/>
      <w:r>
        <w:rPr>
          <w:rFonts w:hint="default" w:ascii="Times New Roman" w:hAnsi="Times New Roman" w:eastAsia="仿宋_GB2312" w:cs="Times New Roman"/>
          <w:sz w:val="32"/>
          <w:szCs w:val="32"/>
          <w:lang w:val="en-US" w:eastAsia="zh-CN"/>
        </w:rPr>
        <w:t>（1）立项依据充分性</w:t>
      </w:r>
      <w:bookmarkEnd w:id="39"/>
    </w:p>
    <w:p w14:paraId="1912AB92">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项目实施前已梳理部门内部及跨部门同类项目，明确本项目的差异化定位，无重复立项情况；部门发展规划、职能文件、政策依据等资料齐全并规范归档，完全满足评分标准中“立项符合政策、与部门职责匹配、无重复立项”的全部评价要点，故得满分。</w:t>
      </w:r>
    </w:p>
    <w:p w14:paraId="1DF88240">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0" w:name="_Toc1295"/>
      <w:r>
        <w:rPr>
          <w:rFonts w:hint="default" w:ascii="Times New Roman" w:hAnsi="Times New Roman" w:eastAsia="仿宋_GB2312" w:cs="Times New Roman"/>
          <w:sz w:val="32"/>
          <w:szCs w:val="32"/>
          <w:lang w:val="en-US" w:eastAsia="zh-CN"/>
        </w:rPr>
        <w:t>（2）立项程序规范性</w:t>
      </w:r>
      <w:bookmarkEnd w:id="40"/>
    </w:p>
    <w:p w14:paraId="589B743D">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项目申请、设立过程符合相关要求，严格按照审批流程准备符合要求的文件、材料；</w:t>
      </w:r>
      <w:r>
        <w:rPr>
          <w:rFonts w:hint="default" w:ascii="Times New Roman" w:hAnsi="Times New Roman" w:eastAsia="仿宋_GB2312" w:cs="Times New Roman"/>
          <w:sz w:val="32"/>
          <w:szCs w:val="32"/>
          <w:lang w:val="en-US" w:eastAsia="zh-CN"/>
        </w:rPr>
        <w:t>编制工作计划和经费预算，经过与部门项目分管领导沟通、筛选确定经费预算计划，最终通过部门集体决策会议审议确定立项，全程形成完整的审批文件、专家论证意见、会议纪要等资料，符合评分标准中“程序合规、材料齐全、经过论证与集体决策”的要求，故得满分。</w:t>
      </w:r>
    </w:p>
    <w:p w14:paraId="45122A56">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41" w:name="_Toc22045"/>
      <w:r>
        <w:rPr>
          <w:rFonts w:hint="default" w:ascii="Times New Roman" w:hAnsi="Times New Roman" w:eastAsia="仿宋_GB2312" w:cs="Times New Roman"/>
          <w:b/>
          <w:bCs/>
          <w:sz w:val="32"/>
          <w:szCs w:val="32"/>
          <w:lang w:val="en-US" w:eastAsia="zh-CN"/>
        </w:rPr>
        <w:t>2.绩效目标</w:t>
      </w:r>
      <w:bookmarkEnd w:id="41"/>
    </w:p>
    <w:p w14:paraId="53C1D069">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2" w:name="_Toc15281"/>
      <w:r>
        <w:rPr>
          <w:rFonts w:hint="default" w:ascii="Times New Roman" w:hAnsi="Times New Roman" w:eastAsia="仿宋_GB2312" w:cs="Times New Roman"/>
          <w:sz w:val="32"/>
          <w:szCs w:val="32"/>
          <w:lang w:val="en-US" w:eastAsia="zh-CN"/>
        </w:rPr>
        <w:t>（1）绩效目标合理性</w:t>
      </w:r>
      <w:bookmarkEnd w:id="42"/>
    </w:p>
    <w:p w14:paraId="7599FFD2">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hint="default" w:ascii="Times New Roman" w:hAnsi="Times New Roman" w:eastAsia="仿宋_GB2312" w:cs="Times New Roman"/>
          <w:sz w:val="32"/>
          <w:szCs w:val="32"/>
          <w:lang w:val="en-US"/>
        </w:rPr>
        <w:t>且预算资金与目标投资额精准匹配。完全符合评分标准中“目标有依据、与实际相关、效益符合正常业绩水平、与预算匹配”的评价要点，</w:t>
      </w:r>
      <w:r>
        <w:rPr>
          <w:rFonts w:hint="default" w:ascii="Times New Roman" w:hAnsi="Times New Roman" w:eastAsia="仿宋_GB2312" w:cs="Times New Roman"/>
          <w:sz w:val="32"/>
          <w:szCs w:val="32"/>
          <w:lang w:val="en-US" w:eastAsia="zh-CN"/>
        </w:rPr>
        <w:t>故得满分。</w:t>
      </w:r>
    </w:p>
    <w:p w14:paraId="1AA39558">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3" w:name="_Toc12145"/>
      <w:r>
        <w:rPr>
          <w:rFonts w:hint="default" w:ascii="Times New Roman" w:hAnsi="Times New Roman" w:eastAsia="仿宋_GB2312" w:cs="Times New Roman"/>
          <w:sz w:val="32"/>
          <w:szCs w:val="32"/>
          <w:lang w:val="en-US" w:eastAsia="zh-CN"/>
        </w:rPr>
        <w:t>（2）绩效指标明确性</w:t>
      </w:r>
      <w:bookmarkEnd w:id="43"/>
    </w:p>
    <w:p w14:paraId="10229CD4">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项目将总体绩效目标细化分解为数量指标“保障基本办公人数</w:t>
      </w:r>
      <w:r>
        <w:rPr>
          <w:rFonts w:hint="eastAsia" w:eastAsia="仿宋_GB2312" w:cs="Times New Roman"/>
          <w:sz w:val="32"/>
          <w:szCs w:val="32"/>
          <w:lang w:val="en-US" w:eastAsia="zh-CN"/>
        </w:rPr>
        <w:t>21</w:t>
      </w:r>
      <w:r>
        <w:rPr>
          <w:rFonts w:hint="default" w:ascii="Times New Roman" w:hAnsi="Times New Roman" w:eastAsia="仿宋_GB2312" w:cs="Times New Roman"/>
          <w:sz w:val="32"/>
          <w:szCs w:val="32"/>
          <w:lang w:val="en-US" w:eastAsia="zh-CN"/>
        </w:rPr>
        <w:t>人次”、质量指标“保障基本办公人数达标率≥90%”、效益指标“使水文测报服务现代化水平有所提高”等可量化、可衡量的三级指标，每个指标均明确了具体指标值“设备质量合格率≥9</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lang w:val="en-US" w:eastAsia="zh-CN"/>
        </w:rPr>
        <w:t>%”，且指标值与项目目标任务数一一对应“保障基本办公人数”保障基本办公人数</w:t>
      </w:r>
      <w:r>
        <w:rPr>
          <w:rFonts w:hint="eastAsia" w:eastAsia="仿宋_GB2312" w:cs="Times New Roman"/>
          <w:sz w:val="32"/>
          <w:szCs w:val="32"/>
          <w:lang w:val="en-US" w:eastAsia="zh-CN"/>
        </w:rPr>
        <w:t>21</w:t>
      </w:r>
      <w:r>
        <w:rPr>
          <w:rFonts w:hint="default" w:ascii="Times New Roman" w:hAnsi="Times New Roman" w:eastAsia="仿宋_GB2312" w:cs="Times New Roman"/>
          <w:sz w:val="32"/>
          <w:szCs w:val="32"/>
          <w:lang w:val="en-US" w:eastAsia="zh-CN"/>
        </w:rPr>
        <w:t>人次”。指标设定清晰无歧义，既涵盖了产出</w:t>
      </w:r>
      <w:r>
        <w:rPr>
          <w:rFonts w:hint="eastAsia" w:eastAsia="仿宋_GB2312" w:cs="Times New Roman"/>
          <w:sz w:val="32"/>
          <w:szCs w:val="32"/>
          <w:lang w:val="en-US" w:eastAsia="zh-CN"/>
        </w:rPr>
        <w:t>指标</w:t>
      </w:r>
      <w:r>
        <w:rPr>
          <w:rFonts w:hint="default" w:ascii="Times New Roman" w:hAnsi="Times New Roman" w:eastAsia="仿宋_GB2312" w:cs="Times New Roman"/>
          <w:sz w:val="32"/>
          <w:szCs w:val="32"/>
          <w:lang w:val="en-US" w:eastAsia="zh-CN"/>
        </w:rPr>
        <w:t>，也覆盖了</w:t>
      </w:r>
      <w:r>
        <w:rPr>
          <w:rFonts w:hint="eastAsia" w:eastAsia="仿宋_GB2312" w:cs="Times New Roman"/>
          <w:sz w:val="32"/>
          <w:szCs w:val="32"/>
          <w:lang w:val="en-US" w:eastAsia="zh-CN"/>
        </w:rPr>
        <w:t>效益指标</w:t>
      </w:r>
      <w:r>
        <w:rPr>
          <w:rFonts w:hint="default" w:ascii="Times New Roman" w:hAnsi="Times New Roman" w:eastAsia="仿宋_GB2312" w:cs="Times New Roman"/>
          <w:sz w:val="32"/>
          <w:szCs w:val="32"/>
          <w:lang w:val="en-US" w:eastAsia="zh-CN"/>
        </w:rPr>
        <w:t>，满足评分标准中“指标细化分解、可衡量、与任务数对应”的要求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210F4A6F">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44" w:name="_Toc6828"/>
      <w:r>
        <w:rPr>
          <w:rFonts w:hint="default" w:ascii="Times New Roman" w:hAnsi="Times New Roman" w:eastAsia="仿宋_GB2312" w:cs="Times New Roman"/>
          <w:b/>
          <w:bCs/>
          <w:sz w:val="32"/>
          <w:szCs w:val="32"/>
          <w:lang w:val="en-US" w:eastAsia="zh-CN"/>
        </w:rPr>
        <w:t>3.资金投入</w:t>
      </w:r>
      <w:bookmarkEnd w:id="44"/>
    </w:p>
    <w:p w14:paraId="597CDCAE">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5" w:name="_Toc10680"/>
      <w:r>
        <w:rPr>
          <w:rFonts w:hint="default" w:ascii="Times New Roman" w:hAnsi="Times New Roman" w:eastAsia="仿宋_GB2312" w:cs="Times New Roman"/>
          <w:sz w:val="32"/>
          <w:szCs w:val="32"/>
          <w:lang w:val="en-US" w:eastAsia="zh-CN"/>
        </w:rPr>
        <w:t>（1）预算编制科学性</w:t>
      </w:r>
      <w:bookmarkEnd w:id="45"/>
    </w:p>
    <w:p w14:paraId="52C01DE1">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本项目预算编制以“精准测算、按需配置”为原则，结合项目实施方案及具体任务清单开展，参考既往同类项目支出水平及当前物价水平，测算支出</w:t>
      </w:r>
      <w:r>
        <w:rPr>
          <w:rFonts w:hint="eastAsia" w:eastAsia="仿宋_GB2312" w:cs="Times New Roman"/>
          <w:sz w:val="32"/>
          <w:szCs w:val="32"/>
          <w:highlight w:val="none"/>
          <w:lang w:val="en-US" w:eastAsia="zh-CN"/>
        </w:rPr>
        <w:t>152</w:t>
      </w:r>
      <w:r>
        <w:rPr>
          <w:rFonts w:hint="default" w:ascii="Times New Roman" w:hAnsi="Times New Roman" w:eastAsia="仿宋_GB2312" w:cs="Times New Roman"/>
          <w:sz w:val="32"/>
          <w:szCs w:val="32"/>
          <w:highlight w:val="none"/>
          <w:lang w:eastAsia="zh-CN"/>
        </w:rPr>
        <w:t>万元。预算编制过程经过业务科室、财务部门双重审核，无漏项、超项情况，预算内容与项目“</w:t>
      </w:r>
      <w:r>
        <w:rPr>
          <w:rFonts w:hint="eastAsia" w:eastAsia="仿宋_GB2312" w:cs="Times New Roman"/>
          <w:sz w:val="32"/>
          <w:szCs w:val="32"/>
          <w:highlight w:val="none"/>
          <w:lang w:val="en-US" w:eastAsia="zh-CN"/>
        </w:rPr>
        <w:t>水文组织建设与经营成本性</w:t>
      </w:r>
      <w:r>
        <w:rPr>
          <w:rFonts w:hint="default" w:ascii="Times New Roman" w:hAnsi="Times New Roman" w:eastAsia="仿宋_GB2312" w:cs="Times New Roman"/>
          <w:sz w:val="32"/>
          <w:szCs w:val="32"/>
          <w:highlight w:val="none"/>
          <w:lang w:eastAsia="zh-CN"/>
        </w:rPr>
        <w:t>核心任务”“</w:t>
      </w:r>
      <w:r>
        <w:rPr>
          <w:rFonts w:hint="eastAsia" w:eastAsia="仿宋_GB2312" w:cs="Times New Roman"/>
          <w:sz w:val="32"/>
          <w:szCs w:val="32"/>
          <w:highlight w:val="none"/>
          <w:lang w:val="en-US" w:eastAsia="zh-CN"/>
        </w:rPr>
        <w:t>水文组织建设与经营成本性</w:t>
      </w:r>
      <w:r>
        <w:rPr>
          <w:rFonts w:hint="default" w:ascii="Times New Roman" w:hAnsi="Times New Roman" w:eastAsia="仿宋_GB2312" w:cs="Times New Roman"/>
          <w:sz w:val="32"/>
          <w:szCs w:val="32"/>
          <w:highlight w:val="none"/>
          <w:lang w:eastAsia="zh-CN"/>
        </w:rPr>
        <w:t>产出目标”完全匹配，资金额度与各阶段工作任务量精准适配，符合评分标准中“经过科学论证、内容与项目匹配、额度依据充分、与工作任务匹配”的全部评价要点</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3CE6258D">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6" w:name="_Toc24011"/>
      <w:r>
        <w:rPr>
          <w:rFonts w:hint="default" w:ascii="Times New Roman" w:hAnsi="Times New Roman" w:eastAsia="仿宋_GB2312" w:cs="Times New Roman"/>
          <w:sz w:val="32"/>
          <w:szCs w:val="32"/>
          <w:highlight w:val="none"/>
          <w:lang w:val="en-US" w:eastAsia="zh-CN"/>
        </w:rPr>
        <w:t>（2）资金分配合理性</w:t>
      </w:r>
      <w:bookmarkEnd w:id="46"/>
    </w:p>
    <w:p w14:paraId="436EB9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本项目的资金分配遵循了公平、公正、透明的原则，确保了项目资源的合理配置与高效利用。在资金分配过程中，充分考虑了项目的实际需求与目标，对不同阶段、不同任务的资金进行了科学的规划与安排。</w:t>
      </w:r>
    </w:p>
    <w:p w14:paraId="69BB79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p>
    <w:p w14:paraId="6898D525">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0F3D1BF5">
      <w:pPr>
        <w:pStyle w:val="13"/>
        <w:numPr>
          <w:ilvl w:val="0"/>
          <w:numId w:val="4"/>
        </w:numPr>
        <w:spacing w:before="0" w:after="0" w:line="560" w:lineRule="exact"/>
        <w:ind w:firstLine="643" w:firstLineChars="200"/>
        <w:jc w:val="both"/>
        <w:outlineLvl w:val="1"/>
        <w:rPr>
          <w:rFonts w:hint="default" w:ascii="Times New Roman" w:hAnsi="Times New Roman" w:eastAsia="楷体" w:cs="Times New Roman"/>
        </w:rPr>
      </w:pPr>
      <w:bookmarkStart w:id="47" w:name="_Toc25505"/>
      <w:r>
        <w:rPr>
          <w:rFonts w:hint="default" w:ascii="Times New Roman" w:hAnsi="Times New Roman" w:eastAsia="楷体" w:cs="Times New Roman"/>
        </w:rPr>
        <w:t>项目过程情况</w:t>
      </w:r>
      <w:bookmarkEnd w:id="47"/>
    </w:p>
    <w:p w14:paraId="26346C01">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w:t>
      </w:r>
      <w:r>
        <w:rPr>
          <w:rFonts w:hint="default" w:ascii="Times New Roman" w:hAnsi="Times New Roman" w:eastAsia="仿宋_GB2312" w:cs="Times New Roman"/>
          <w:sz w:val="32"/>
          <w:szCs w:val="32"/>
          <w:lang w:val="en-US" w:eastAsia="zh-CN"/>
        </w:rPr>
        <w:t>分</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分，</w:t>
      </w:r>
      <w:r>
        <w:rPr>
          <w:rFonts w:hint="default" w:ascii="Times New Roman" w:hAnsi="Times New Roman" w:eastAsia="仿宋_GB2312" w:cs="Times New Roman"/>
          <w:sz w:val="32"/>
          <w:szCs w:val="32"/>
          <w:highlight w:val="none"/>
          <w:lang w:val="en-US" w:eastAsia="zh-CN"/>
        </w:rPr>
        <w:t>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6DD9994E">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48" w:name="_Toc23265"/>
      <w:r>
        <w:rPr>
          <w:rFonts w:hint="default" w:ascii="Times New Roman" w:hAnsi="Times New Roman" w:eastAsia="仿宋_GB2312" w:cs="Times New Roman"/>
          <w:b/>
          <w:bCs/>
          <w:sz w:val="32"/>
          <w:szCs w:val="32"/>
          <w:lang w:val="en-US" w:eastAsia="zh-CN"/>
        </w:rPr>
        <w:t>1.资金管理</w:t>
      </w:r>
      <w:bookmarkEnd w:id="48"/>
    </w:p>
    <w:p w14:paraId="47FFE0F3">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9" w:name="_Toc19976"/>
      <w:r>
        <w:rPr>
          <w:rFonts w:hint="default" w:ascii="Times New Roman" w:hAnsi="Times New Roman" w:eastAsia="仿宋_GB2312" w:cs="Times New Roman"/>
          <w:sz w:val="32"/>
          <w:szCs w:val="32"/>
          <w:lang w:val="en-US" w:eastAsia="zh-CN"/>
        </w:rPr>
        <w:t>（1）资金到位率</w:t>
      </w:r>
      <w:bookmarkEnd w:id="49"/>
    </w:p>
    <w:p w14:paraId="2D7C6A68">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本</w:t>
      </w:r>
      <w:r>
        <w:rPr>
          <w:rFonts w:hint="default" w:ascii="Times New Roman" w:hAnsi="Times New Roman" w:eastAsia="仿宋_GB2312" w:cs="Times New Roman"/>
          <w:sz w:val="32"/>
          <w:szCs w:val="32"/>
          <w:highlight w:val="none"/>
          <w:lang w:val="en-US" w:eastAsia="zh-CN"/>
        </w:rPr>
        <w:t>项目总投资</w:t>
      </w:r>
      <w:r>
        <w:rPr>
          <w:rFonts w:hint="eastAsia" w:ascii="Times New Roman" w:hAnsi="Times New Roman" w:eastAsia="仿宋_GB2312" w:cs="Times New Roman"/>
          <w:sz w:val="32"/>
          <w:szCs w:val="32"/>
          <w:highlight w:val="none"/>
          <w:lang w:val="en-US" w:eastAsia="zh-CN"/>
        </w:rPr>
        <w:t>152</w:t>
      </w:r>
      <w:r>
        <w:rPr>
          <w:rFonts w:hint="default" w:ascii="Times New Roman" w:hAnsi="Times New Roman" w:eastAsia="仿宋_GB2312" w:cs="Times New Roman"/>
          <w:sz w:val="32"/>
          <w:szCs w:val="32"/>
          <w:highlight w:val="none"/>
          <w:lang w:val="en-US" w:eastAsia="zh-CN"/>
        </w:rPr>
        <w:t>万元，实际到位资金</w:t>
      </w:r>
      <w:r>
        <w:rPr>
          <w:rFonts w:hint="eastAsia" w:eastAsia="仿宋_GB2312" w:cs="Times New Roman"/>
          <w:sz w:val="32"/>
          <w:szCs w:val="32"/>
          <w:highlight w:val="none"/>
          <w:lang w:val="en-US" w:eastAsia="zh-CN"/>
        </w:rPr>
        <w:t>152万元，资金</w:t>
      </w:r>
      <w:r>
        <w:rPr>
          <w:rFonts w:hint="default" w:ascii="Times New Roman" w:hAnsi="Times New Roman" w:eastAsia="仿宋_GB2312" w:cs="Times New Roman"/>
          <w:sz w:val="32"/>
          <w:szCs w:val="32"/>
          <w:highlight w:val="none"/>
          <w:lang w:val="en-US" w:eastAsia="zh-CN"/>
        </w:rPr>
        <w:t>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，该指标满分为10分，根据评分标准得10分。</w:t>
      </w:r>
    </w:p>
    <w:p w14:paraId="37F1C7F4">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0" w:name="_Toc20558"/>
      <w:r>
        <w:rPr>
          <w:rFonts w:hint="default" w:ascii="Times New Roman" w:hAnsi="Times New Roman" w:eastAsia="仿宋_GB2312" w:cs="Times New Roman"/>
          <w:sz w:val="32"/>
          <w:szCs w:val="32"/>
          <w:highlight w:val="none"/>
          <w:lang w:val="en-US" w:eastAsia="zh-CN"/>
        </w:rPr>
        <w:t>（2）预算执行率</w:t>
      </w:r>
      <w:bookmarkEnd w:id="50"/>
    </w:p>
    <w:p w14:paraId="33BC7636">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本项目全年预算152万元，全年实际</w:t>
      </w:r>
      <w:r>
        <w:rPr>
          <w:rFonts w:hint="default" w:ascii="Times New Roman" w:hAnsi="Times New Roman" w:eastAsia="仿宋_GB2312" w:cs="Times New Roman"/>
          <w:sz w:val="32"/>
          <w:szCs w:val="32"/>
          <w:highlight w:val="none"/>
          <w:lang w:val="en-US" w:eastAsia="zh-CN"/>
        </w:rPr>
        <w:t>支出</w:t>
      </w:r>
      <w:r>
        <w:rPr>
          <w:rFonts w:hint="eastAsia" w:eastAsia="仿宋_GB2312" w:cs="Times New Roman"/>
          <w:sz w:val="32"/>
          <w:szCs w:val="32"/>
          <w:highlight w:val="none"/>
          <w:lang w:val="en-US" w:eastAsia="zh-CN"/>
        </w:rPr>
        <w:t>152</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，该指标满分为90分，根据评分标准得90分。</w:t>
      </w:r>
    </w:p>
    <w:p w14:paraId="4AAD3627">
      <w:pPr>
        <w:shd w:val="clear" w:color="auto" w:fill="auto"/>
        <w:spacing w:line="600" w:lineRule="exact"/>
        <w:ind w:firstLine="640" w:firstLineChars="200"/>
        <w:outlineLvl w:val="3"/>
        <w:rPr>
          <w:rFonts w:hint="default" w:ascii="Times New Roman" w:hAnsi="Times New Roman" w:eastAsia="仿宋_GB2312" w:cs="Times New Roman"/>
          <w:kern w:val="0"/>
          <w:sz w:val="32"/>
          <w:szCs w:val="32"/>
          <w:highlight w:val="none"/>
          <w:lang w:val="en-US" w:eastAsia="zh-CN" w:bidi="ar-SA"/>
        </w:rPr>
      </w:pPr>
      <w:bookmarkStart w:id="51" w:name="_Toc17145"/>
      <w:r>
        <w:rPr>
          <w:rFonts w:hint="default" w:ascii="Times New Roman" w:hAnsi="Times New Roman" w:eastAsia="仿宋_GB2312" w:cs="Times New Roman"/>
          <w:sz w:val="32"/>
          <w:szCs w:val="32"/>
          <w:lang w:val="en-US" w:eastAsia="zh-CN"/>
        </w:rPr>
        <w:t>（3）资金使用合规性</w:t>
      </w:r>
      <w:bookmarkEnd w:id="51"/>
    </w:p>
    <w:p w14:paraId="15D86A75">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bookmarkStart w:id="52" w:name="_Toc6256"/>
      <w:r>
        <w:rPr>
          <w:rFonts w:hint="default" w:ascii="Times New Roman" w:hAnsi="Times New Roman" w:eastAsia="仿宋_GB2312" w:cs="Times New Roman"/>
          <w:kern w:val="0"/>
          <w:sz w:val="32"/>
          <w:szCs w:val="32"/>
          <w:highlight w:val="none"/>
          <w:lang w:val="en-US" w:eastAsia="zh-CN" w:bidi="ar-SA"/>
        </w:rPr>
        <w:t>项目资金使用严格遵守《中华人民共和国预算法》《</w:t>
      </w:r>
      <w:r>
        <w:rPr>
          <w:rFonts w:hint="eastAsia" w:ascii="Times New Roman" w:hAnsi="Times New Roman" w:eastAsia="仿宋_GB2312" w:cs="Times New Roman"/>
          <w:kern w:val="0"/>
          <w:sz w:val="32"/>
          <w:szCs w:val="32"/>
          <w:highlight w:val="none"/>
          <w:lang w:val="en-US" w:eastAsia="zh-CN" w:bidi="ar-SA"/>
        </w:rPr>
        <w:t>水文组织建设与经营成本性</w:t>
      </w:r>
      <w:r>
        <w:rPr>
          <w:rFonts w:hint="default" w:ascii="Times New Roman" w:hAnsi="Times New Roman" w:eastAsia="仿宋_GB2312" w:cs="Times New Roman"/>
          <w:kern w:val="0"/>
          <w:sz w:val="32"/>
          <w:szCs w:val="32"/>
          <w:highlight w:val="none"/>
          <w:lang w:val="en-US" w:eastAsia="zh-CN" w:bidi="ar-SA"/>
        </w:rPr>
        <w:t>专项资金管理办法》《</w:t>
      </w:r>
      <w:r>
        <w:rPr>
          <w:rFonts w:hint="eastAsia" w:ascii="Times New Roman" w:hAnsi="Times New Roman" w:eastAsia="仿宋_GB2312" w:cs="Times New Roman"/>
          <w:kern w:val="0"/>
          <w:sz w:val="32"/>
          <w:szCs w:val="32"/>
          <w:highlight w:val="none"/>
          <w:lang w:val="en-US" w:eastAsia="zh-CN" w:bidi="ar-SA"/>
        </w:rPr>
        <w:t>事业单位财务</w:t>
      </w:r>
      <w:r>
        <w:rPr>
          <w:rFonts w:hint="eastAsia" w:eastAsia="仿宋_GB2312" w:cs="Times New Roman"/>
          <w:sz w:val="32"/>
          <w:szCs w:val="32"/>
          <w:highlight w:val="none"/>
          <w:lang w:val="en-US" w:eastAsia="zh-CN"/>
        </w:rPr>
        <w:t>规则</w:t>
      </w:r>
      <w:r>
        <w:rPr>
          <w:rFonts w:hint="default" w:ascii="Times New Roman" w:hAnsi="Times New Roman" w:eastAsia="仿宋_GB2312" w:cs="Times New Roman"/>
          <w:sz w:val="32"/>
          <w:szCs w:val="32"/>
          <w:highlight w:val="none"/>
          <w:lang w:eastAsia="zh-CN"/>
        </w:rPr>
        <w:t>》等法律法规及财务制度，全程规范可控：①资金拨付均履行“申请-审核-审批”流程，附完整的合同、发票、验收单等佐证资料，</w:t>
      </w:r>
      <w:r>
        <w:rPr>
          <w:rFonts w:hint="eastAsia" w:eastAsia="仿宋_GB2312" w:cs="Times New Roman"/>
          <w:sz w:val="32"/>
          <w:szCs w:val="32"/>
          <w:highlight w:val="none"/>
          <w:lang w:val="en-US" w:eastAsia="zh-CN"/>
        </w:rPr>
        <w:t>不存在</w:t>
      </w:r>
      <w:r>
        <w:rPr>
          <w:rFonts w:hint="default" w:ascii="Times New Roman" w:hAnsi="Times New Roman" w:eastAsia="仿宋_GB2312" w:cs="Times New Roman"/>
          <w:sz w:val="32"/>
          <w:szCs w:val="32"/>
          <w:highlight w:val="none"/>
          <w:lang w:eastAsia="zh-CN"/>
        </w:rPr>
        <w:t>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符合财经法规、审批手续完备、用途合规、无违规行为”的全部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7EABC61D">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bookmarkEnd w:id="52"/>
    </w:p>
    <w:p w14:paraId="6F7E88D2">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3" w:name="_Toc470"/>
      <w:r>
        <w:rPr>
          <w:rFonts w:hint="default" w:ascii="Times New Roman" w:hAnsi="Times New Roman" w:eastAsia="仿宋_GB2312" w:cs="Times New Roman"/>
          <w:sz w:val="32"/>
          <w:szCs w:val="32"/>
          <w:highlight w:val="none"/>
          <w:lang w:val="en-US" w:eastAsia="zh-CN"/>
        </w:rPr>
        <w:t>（1）管理制度健全性</w:t>
      </w:r>
      <w:bookmarkEnd w:id="53"/>
    </w:p>
    <w:p w14:paraId="0E622CF1">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bookmarkStart w:id="54" w:name="_Toc29107"/>
      <w:r>
        <w:rPr>
          <w:rFonts w:hint="default" w:ascii="Times New Roman" w:hAnsi="Times New Roman" w:eastAsia="仿宋_GB2312" w:cs="Times New Roman"/>
          <w:sz w:val="32"/>
          <w:szCs w:val="32"/>
          <w:highlight w:val="none"/>
          <w:lang w:eastAsia="zh-CN"/>
        </w:rPr>
        <w:t>项目实施单位已制定《</w:t>
      </w:r>
      <w:r>
        <w:rPr>
          <w:rFonts w:hint="eastAsia" w:ascii="Times New Roman" w:hAnsi="Times New Roman" w:eastAsia="仿宋_GB2312" w:cs="Times New Roman"/>
          <w:kern w:val="0"/>
          <w:sz w:val="32"/>
          <w:szCs w:val="32"/>
          <w:highlight w:val="none"/>
          <w:lang w:val="en-US" w:eastAsia="zh-CN" w:bidi="ar-SA"/>
        </w:rPr>
        <w:t>水文组织建设与经营成本性</w:t>
      </w:r>
      <w:r>
        <w:rPr>
          <w:rFonts w:hint="default" w:ascii="Times New Roman" w:hAnsi="Times New Roman" w:eastAsia="仿宋_GB2312" w:cs="Times New Roman"/>
          <w:sz w:val="32"/>
          <w:szCs w:val="32"/>
          <w:highlight w:val="none"/>
          <w:lang w:eastAsia="zh-CN"/>
        </w:rPr>
        <w:t>项目管理办法》《</w:t>
      </w:r>
      <w:r>
        <w:rPr>
          <w:rFonts w:hint="eastAsia" w:ascii="Times New Roman" w:hAnsi="Times New Roman" w:eastAsia="仿宋_GB2312" w:cs="Times New Roman"/>
          <w:kern w:val="0"/>
          <w:sz w:val="32"/>
          <w:szCs w:val="32"/>
          <w:highlight w:val="none"/>
          <w:lang w:val="en-US" w:eastAsia="zh-CN" w:bidi="ar-SA"/>
        </w:rPr>
        <w:t>水文组织建设与经营成本性</w:t>
      </w:r>
      <w:r>
        <w:rPr>
          <w:rFonts w:hint="default" w:ascii="Times New Roman" w:hAnsi="Times New Roman" w:eastAsia="仿宋_GB2312" w:cs="Times New Roman"/>
          <w:sz w:val="32"/>
          <w:szCs w:val="32"/>
          <w:highlight w:val="none"/>
          <w:lang w:eastAsia="zh-CN"/>
        </w:rPr>
        <w:t>项目财务管理制度》等一系列专项制度，制度体系覆盖项目策划、实施、监控、收尾全流程</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业务管理制度明确了各部门职责分工（如：业务科室负责项目实施、财务科室负责资金管理）</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3690FCBC">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bookmarkEnd w:id="54"/>
    </w:p>
    <w:p w14:paraId="200BE387">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lang w:eastAsia="zh-CN"/>
        </w:rPr>
        <w:t>项目实施全过程严格执行各项管理制度，执行效果显著：①严格遵守法律法规及管理规定；②项目合同书、验收报告、技术鉴定、财务凭证等资料齐全，均按要求及时归档</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③人员、场地、设备等实施条件全部落实到位，满足项目实施需求。制度执行无偏差，有效保障了项目按计划推进，符合评分标准中“遵守相关规定、调整手续完备、资料齐全归档、实施条件落实”的要求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3363FA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p>
    <w:p w14:paraId="3A9C7780">
      <w:pPr>
        <w:pStyle w:val="14"/>
        <w:numPr>
          <w:ilvl w:val="0"/>
          <w:numId w:val="0"/>
        </w:numPr>
        <w:spacing w:line="560" w:lineRule="exact"/>
        <w:ind w:firstLine="321" w:firstLineChars="100"/>
        <w:outlineLvl w:val="1"/>
        <w:rPr>
          <w:rFonts w:hint="default" w:ascii="Times New Roman" w:hAnsi="Times New Roman" w:eastAsia="楷体_GB2312" w:cs="Times New Roman"/>
          <w:b/>
          <w:bCs/>
          <w:sz w:val="32"/>
          <w:szCs w:val="32"/>
        </w:rPr>
      </w:pPr>
      <w:bookmarkStart w:id="55" w:name="_Toc8612"/>
      <w:r>
        <w:rPr>
          <w:rFonts w:hint="eastAsia" w:eastAsia="楷体_GB2312" w:cs="Times New Roman"/>
          <w:b/>
          <w:bCs/>
          <w:sz w:val="32"/>
          <w:szCs w:val="32"/>
          <w:lang w:eastAsia="zh-CN"/>
        </w:rPr>
        <w:t>（</w:t>
      </w:r>
      <w:r>
        <w:rPr>
          <w:rFonts w:hint="eastAsia" w:eastAsia="楷体_GB2312" w:cs="Times New Roman"/>
          <w:b/>
          <w:bCs/>
          <w:sz w:val="32"/>
          <w:szCs w:val="32"/>
          <w:lang w:val="en-US" w:eastAsia="zh-CN"/>
        </w:rPr>
        <w:t>三</w:t>
      </w:r>
      <w:r>
        <w:rPr>
          <w:rFonts w:hint="eastAsia" w:eastAsia="楷体_GB2312" w:cs="Times New Roman"/>
          <w:b/>
          <w:bCs/>
          <w:sz w:val="32"/>
          <w:szCs w:val="32"/>
          <w:lang w:eastAsia="zh-CN"/>
        </w:rPr>
        <w:t>）</w:t>
      </w: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bookmarkEnd w:id="55"/>
    </w:p>
    <w:p w14:paraId="3C02E006">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个三级指标构成，权重分为40分，实际得分</w:t>
      </w:r>
      <w:r>
        <w:rPr>
          <w:rFonts w:hint="eastAsia" w:ascii="Times New Roman" w:hAnsi="Times New Roman" w:eastAsia="仿宋_GB2312" w:cs="Times New Roman"/>
          <w:sz w:val="32"/>
          <w:szCs w:val="32"/>
          <w:lang w:val="en-US" w:eastAsia="zh-CN"/>
        </w:rPr>
        <w:t>40</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%。具体产出指标完成情况如下：</w:t>
      </w:r>
    </w:p>
    <w:p w14:paraId="3C2605F3">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lang w:val="en-US" w:eastAsia="zh-CN"/>
        </w:rPr>
        <w:t>实际完成率</w:t>
      </w:r>
    </w:p>
    <w:p w14:paraId="767F6C57">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数量指标1：</w:t>
      </w:r>
      <w:r>
        <w:rPr>
          <w:rFonts w:hint="eastAsia" w:eastAsia="仿宋_GB2312" w:cs="Times New Roman"/>
          <w:sz w:val="32"/>
          <w:szCs w:val="32"/>
          <w:highlight w:val="none"/>
          <w:lang w:val="en-US" w:eastAsia="zh-CN"/>
        </w:rPr>
        <w:t>开展安全、党建、等宣传数量</w:t>
      </w:r>
      <w:r>
        <w:rPr>
          <w:rFonts w:hint="default" w:eastAsia="仿宋_GB2312" w:cs="Times New Roman"/>
          <w:sz w:val="32"/>
          <w:szCs w:val="32"/>
          <w:highlight w:val="none"/>
          <w:lang w:val="en-US" w:eastAsia="zh-CN"/>
        </w:rPr>
        <w:t>，指标值：&gt;=7次，实际完成值：</w:t>
      </w:r>
      <w:r>
        <w:rPr>
          <w:rFonts w:hint="eastAsia" w:eastAsia="仿宋_GB2312" w:cs="Times New Roman"/>
          <w:sz w:val="32"/>
          <w:szCs w:val="32"/>
          <w:highlight w:val="none"/>
          <w:lang w:val="en-US" w:eastAsia="zh-CN"/>
        </w:rPr>
        <w:t>7次</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%，偏差原因：</w:t>
      </w:r>
      <w:r>
        <w:rPr>
          <w:rFonts w:hint="eastAsia" w:eastAsia="仿宋_GB2312" w:cs="Times New Roman"/>
          <w:sz w:val="32"/>
          <w:szCs w:val="32"/>
          <w:highlight w:val="none"/>
          <w:lang w:val="en-US" w:eastAsia="zh-CN"/>
        </w:rPr>
        <w:t>无，改进措施：无。</w:t>
      </w:r>
    </w:p>
    <w:p w14:paraId="11096939">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default" w:eastAsia="仿宋_GB2312" w:cs="Times New Roman"/>
          <w:sz w:val="32"/>
          <w:szCs w:val="32"/>
          <w:highlight w:val="none"/>
          <w:lang w:val="en-US" w:eastAsia="zh-CN"/>
        </w:rPr>
        <w:t>数量指标</w:t>
      </w:r>
      <w:r>
        <w:rPr>
          <w:rFonts w:hint="eastAsia" w:eastAsia="仿宋_GB2312" w:cs="Times New Roman"/>
          <w:sz w:val="32"/>
          <w:szCs w:val="32"/>
          <w:highlight w:val="none"/>
          <w:lang w:val="en-US" w:eastAsia="zh-CN"/>
        </w:rPr>
        <w:t>2</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保障基本办公人数</w:t>
      </w:r>
      <w:r>
        <w:rPr>
          <w:rFonts w:hint="default" w:eastAsia="仿宋_GB2312" w:cs="Times New Roman"/>
          <w:sz w:val="32"/>
          <w:szCs w:val="32"/>
          <w:highlight w:val="none"/>
          <w:lang w:val="en-US" w:eastAsia="zh-CN"/>
        </w:rPr>
        <w:t>，指标值：&gt;=</w:t>
      </w:r>
      <w:r>
        <w:rPr>
          <w:rFonts w:hint="eastAsia" w:eastAsia="仿宋_GB2312" w:cs="Times New Roman"/>
          <w:sz w:val="32"/>
          <w:szCs w:val="32"/>
          <w:highlight w:val="none"/>
          <w:lang w:val="en-US" w:eastAsia="zh-CN"/>
        </w:rPr>
        <w:t>21</w:t>
      </w:r>
      <w:r>
        <w:rPr>
          <w:rFonts w:hint="default" w:eastAsia="仿宋_GB2312" w:cs="Times New Roman"/>
          <w:sz w:val="32"/>
          <w:szCs w:val="32"/>
          <w:highlight w:val="none"/>
          <w:lang w:val="en-US" w:eastAsia="zh-CN"/>
        </w:rPr>
        <w:t>次，实际完成值：</w:t>
      </w:r>
      <w:r>
        <w:rPr>
          <w:rFonts w:hint="eastAsia" w:eastAsia="仿宋_GB2312" w:cs="Times New Roman"/>
          <w:sz w:val="32"/>
          <w:szCs w:val="32"/>
          <w:highlight w:val="none"/>
          <w:lang w:val="en-US" w:eastAsia="zh-CN"/>
        </w:rPr>
        <w:t>21人</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%，偏差原因：</w:t>
      </w:r>
      <w:r>
        <w:rPr>
          <w:rFonts w:hint="eastAsia" w:eastAsia="仿宋_GB2312" w:cs="Times New Roman"/>
          <w:sz w:val="32"/>
          <w:szCs w:val="32"/>
          <w:highlight w:val="none"/>
          <w:lang w:val="en-US" w:eastAsia="zh-CN"/>
        </w:rPr>
        <w:t>无，改进措施：无。</w:t>
      </w:r>
    </w:p>
    <w:p w14:paraId="6D599FDB">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w:t>
      </w:r>
    </w:p>
    <w:p w14:paraId="38064D18">
      <w:pPr>
        <w:shd w:val="clear" w:color="auto" w:fill="auto"/>
        <w:spacing w:line="600" w:lineRule="exact"/>
        <w:ind w:firstLine="640" w:firstLineChars="200"/>
        <w:outlineLvl w:val="9"/>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设备采购数量</w:t>
      </w:r>
      <w:r>
        <w:rPr>
          <w:rFonts w:hint="default" w:ascii="Times New Roman" w:hAnsi="Times New Roman" w:eastAsia="仿宋_GB2312" w:cs="Times New Roman"/>
          <w:sz w:val="32"/>
          <w:szCs w:val="32"/>
          <w:highlight w:val="none"/>
        </w:rPr>
        <w:t>，指标值：&gt;=</w:t>
      </w:r>
      <w:r>
        <w:rPr>
          <w:rFonts w:hint="eastAsia" w:eastAsia="仿宋_GB2312" w:cs="Times New Roman"/>
          <w:sz w:val="32"/>
          <w:szCs w:val="32"/>
          <w:highlight w:val="none"/>
          <w:lang w:val="en-US" w:eastAsia="zh-CN"/>
        </w:rPr>
        <w:t>5台</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5台</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无，改进措施：无。</w:t>
      </w:r>
    </w:p>
    <w:p w14:paraId="38E10A7F">
      <w:pPr>
        <w:shd w:val="clear" w:color="auto" w:fill="auto"/>
        <w:spacing w:line="600" w:lineRule="exact"/>
        <w:ind w:firstLine="640" w:firstLineChars="200"/>
        <w:outlineLvl w:val="9"/>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该指标满分为15分，根据评分标准得15分。</w:t>
      </w:r>
    </w:p>
    <w:p w14:paraId="31C961F0">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质量达标率</w:t>
      </w:r>
      <w:r>
        <w:rPr>
          <w:rFonts w:hint="default" w:ascii="Times New Roman" w:hAnsi="Times New Roman" w:eastAsia="仿宋_GB2312" w:cs="Times New Roman"/>
          <w:sz w:val="32"/>
          <w:szCs w:val="32"/>
          <w:highlight w:val="none"/>
        </w:rPr>
        <w:t>：</w:t>
      </w:r>
    </w:p>
    <w:p w14:paraId="7C183DDE">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质量</w:t>
      </w: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保障基本办公人数达标率</w:t>
      </w:r>
      <w:r>
        <w:rPr>
          <w:rFonts w:hint="default" w:eastAsia="仿宋_GB2312" w:cs="Times New Roman"/>
          <w:sz w:val="32"/>
          <w:szCs w:val="32"/>
          <w:highlight w:val="none"/>
          <w:lang w:val="en-US" w:eastAsia="zh-CN"/>
        </w:rPr>
        <w:t>，指标值：&gt;=</w:t>
      </w:r>
      <w:r>
        <w:rPr>
          <w:rFonts w:hint="eastAsia" w:eastAsia="仿宋_GB2312" w:cs="Times New Roman"/>
          <w:sz w:val="32"/>
          <w:szCs w:val="32"/>
          <w:highlight w:val="none"/>
          <w:lang w:val="en-US" w:eastAsia="zh-CN"/>
        </w:rPr>
        <w:t>90%</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90%</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%，偏差原因：</w:t>
      </w:r>
      <w:r>
        <w:rPr>
          <w:rFonts w:hint="eastAsia" w:eastAsia="仿宋_GB2312" w:cs="Times New Roman"/>
          <w:sz w:val="32"/>
          <w:szCs w:val="32"/>
          <w:highlight w:val="none"/>
          <w:lang w:val="en-US" w:eastAsia="zh-CN"/>
        </w:rPr>
        <w:t>无，改进措施：无。</w:t>
      </w:r>
    </w:p>
    <w:p w14:paraId="6AAE0E64">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质量</w:t>
      </w: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2</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设备质量合格率</w:t>
      </w:r>
      <w:r>
        <w:rPr>
          <w:rFonts w:hint="default" w:eastAsia="仿宋_GB2312" w:cs="Times New Roman"/>
          <w:sz w:val="32"/>
          <w:szCs w:val="32"/>
          <w:highlight w:val="none"/>
          <w:lang w:val="en-US" w:eastAsia="zh-CN"/>
        </w:rPr>
        <w:t>，指标值：&gt;=</w:t>
      </w:r>
      <w:r>
        <w:rPr>
          <w:rFonts w:hint="eastAsia" w:eastAsia="仿宋_GB2312" w:cs="Times New Roman"/>
          <w:sz w:val="32"/>
          <w:szCs w:val="32"/>
          <w:highlight w:val="none"/>
          <w:lang w:val="en-US" w:eastAsia="zh-CN"/>
        </w:rPr>
        <w:t>90%</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90%</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%，偏差原因：</w:t>
      </w:r>
      <w:r>
        <w:rPr>
          <w:rFonts w:hint="eastAsia" w:eastAsia="仿宋_GB2312" w:cs="Times New Roman"/>
          <w:sz w:val="32"/>
          <w:szCs w:val="32"/>
          <w:highlight w:val="none"/>
          <w:lang w:val="en-US" w:eastAsia="zh-CN"/>
        </w:rPr>
        <w:t>无，改进措施：无。</w:t>
      </w:r>
    </w:p>
    <w:p w14:paraId="569425F3">
      <w:pPr>
        <w:shd w:val="clear" w:color="auto" w:fill="auto"/>
        <w:spacing w:line="600" w:lineRule="exact"/>
        <w:ind w:firstLine="640" w:firstLineChars="200"/>
        <w:outlineLvl w:val="9"/>
        <w:rPr>
          <w:rFonts w:hint="default"/>
          <w:lang w:val="en-US" w:eastAsia="zh-CN"/>
        </w:rPr>
      </w:pPr>
      <w:r>
        <w:rPr>
          <w:rFonts w:hint="eastAsia" w:eastAsia="仿宋_GB2312" w:cs="Times New Roman"/>
          <w:sz w:val="32"/>
          <w:szCs w:val="32"/>
          <w:highlight w:val="none"/>
          <w:lang w:val="en-US" w:eastAsia="zh-CN"/>
        </w:rPr>
        <w:t>该指标满分为15分，根据评分标准得15分。</w:t>
      </w:r>
    </w:p>
    <w:p w14:paraId="373132DB">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3</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完成及时性</w:t>
      </w:r>
      <w:r>
        <w:rPr>
          <w:rFonts w:hint="default" w:ascii="Times New Roman" w:hAnsi="Times New Roman" w:eastAsia="仿宋_GB2312" w:cs="Times New Roman"/>
          <w:sz w:val="32"/>
          <w:szCs w:val="32"/>
          <w:highlight w:val="none"/>
        </w:rPr>
        <w:t>：</w:t>
      </w:r>
    </w:p>
    <w:p w14:paraId="4BEA8845">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w:t>
      </w: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开展安全、党建、等完成及时率</w:t>
      </w:r>
      <w:r>
        <w:rPr>
          <w:rFonts w:hint="default" w:eastAsia="仿宋_GB2312" w:cs="Times New Roman"/>
          <w:sz w:val="32"/>
          <w:szCs w:val="32"/>
          <w:highlight w:val="none"/>
          <w:lang w:val="en-US" w:eastAsia="zh-CN"/>
        </w:rPr>
        <w:t>，指标值：&gt;=</w:t>
      </w:r>
      <w:r>
        <w:rPr>
          <w:rFonts w:hint="eastAsia" w:eastAsia="仿宋_GB2312" w:cs="Times New Roman"/>
          <w:sz w:val="32"/>
          <w:szCs w:val="32"/>
          <w:highlight w:val="none"/>
          <w:lang w:val="en-US" w:eastAsia="zh-CN"/>
        </w:rPr>
        <w:t>90%</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90%</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%，偏差原因：</w:t>
      </w:r>
      <w:r>
        <w:rPr>
          <w:rFonts w:hint="eastAsia" w:eastAsia="仿宋_GB2312" w:cs="Times New Roman"/>
          <w:sz w:val="32"/>
          <w:szCs w:val="32"/>
          <w:highlight w:val="none"/>
          <w:lang w:val="en-US" w:eastAsia="zh-CN"/>
        </w:rPr>
        <w:t>无，改进措施：无。</w:t>
      </w:r>
    </w:p>
    <w:p w14:paraId="77324E0F">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w:t>
      </w: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2</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设备采购按时完成率</w:t>
      </w:r>
      <w:r>
        <w:rPr>
          <w:rFonts w:hint="default" w:eastAsia="仿宋_GB2312" w:cs="Times New Roman"/>
          <w:sz w:val="32"/>
          <w:szCs w:val="32"/>
          <w:highlight w:val="none"/>
          <w:lang w:val="en-US" w:eastAsia="zh-CN"/>
        </w:rPr>
        <w:t>，指标值：&gt;=</w:t>
      </w:r>
      <w:r>
        <w:rPr>
          <w:rFonts w:hint="eastAsia" w:eastAsia="仿宋_GB2312" w:cs="Times New Roman"/>
          <w:sz w:val="32"/>
          <w:szCs w:val="32"/>
          <w:highlight w:val="none"/>
          <w:lang w:val="en-US" w:eastAsia="zh-CN"/>
        </w:rPr>
        <w:t>90%</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90%</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%，偏差原因：</w:t>
      </w:r>
      <w:r>
        <w:rPr>
          <w:rFonts w:hint="eastAsia" w:eastAsia="仿宋_GB2312" w:cs="Times New Roman"/>
          <w:sz w:val="32"/>
          <w:szCs w:val="32"/>
          <w:highlight w:val="none"/>
          <w:lang w:val="en-US" w:eastAsia="zh-CN"/>
        </w:rPr>
        <w:t>无，改进措施：无。</w:t>
      </w:r>
    </w:p>
    <w:p w14:paraId="1BA51667">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w:t>
      </w: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3</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人员经费支付及时率</w:t>
      </w:r>
      <w:r>
        <w:rPr>
          <w:rFonts w:hint="default" w:eastAsia="仿宋_GB2312" w:cs="Times New Roman"/>
          <w:sz w:val="32"/>
          <w:szCs w:val="32"/>
          <w:highlight w:val="none"/>
          <w:lang w:val="en-US" w:eastAsia="zh-CN"/>
        </w:rPr>
        <w:t>，指标值：&gt;=</w:t>
      </w:r>
      <w:r>
        <w:rPr>
          <w:rFonts w:hint="eastAsia" w:eastAsia="仿宋_GB2312" w:cs="Times New Roman"/>
          <w:sz w:val="32"/>
          <w:szCs w:val="32"/>
          <w:highlight w:val="none"/>
          <w:lang w:val="en-US" w:eastAsia="zh-CN"/>
        </w:rPr>
        <w:t>90%</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90%</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%，偏差原因：</w:t>
      </w:r>
      <w:r>
        <w:rPr>
          <w:rFonts w:hint="eastAsia" w:eastAsia="仿宋_GB2312" w:cs="Times New Roman"/>
          <w:sz w:val="32"/>
          <w:szCs w:val="32"/>
          <w:highlight w:val="none"/>
          <w:lang w:val="en-US" w:eastAsia="zh-CN"/>
        </w:rPr>
        <w:t>无，改进措施：无。</w:t>
      </w:r>
    </w:p>
    <w:p w14:paraId="5A1D34AB">
      <w:pPr>
        <w:pStyle w:val="2"/>
        <w:rPr>
          <w:rFonts w:hint="eastAsia"/>
          <w:lang w:val="en-US" w:eastAsia="zh-CN"/>
        </w:rPr>
      </w:pPr>
    </w:p>
    <w:p w14:paraId="4E440CF7">
      <w:pPr>
        <w:shd w:val="clear" w:color="auto" w:fill="auto"/>
        <w:spacing w:line="600" w:lineRule="exact"/>
        <w:ind w:firstLine="640" w:firstLineChars="200"/>
        <w:outlineLvl w:val="9"/>
        <w:rPr>
          <w:rFonts w:hint="default"/>
          <w:lang w:val="en-US" w:eastAsia="zh-CN"/>
        </w:rPr>
      </w:pPr>
      <w:r>
        <w:rPr>
          <w:rFonts w:hint="eastAsia" w:eastAsia="仿宋_GB2312" w:cs="Times New Roman"/>
          <w:sz w:val="32"/>
          <w:szCs w:val="32"/>
          <w:highlight w:val="none"/>
          <w:lang w:val="en-US" w:eastAsia="zh-CN"/>
        </w:rPr>
        <w:t>该指标满分为30分，根据评分标准得30分。</w:t>
      </w:r>
    </w:p>
    <w:p w14:paraId="6AD8F4EC">
      <w:pPr>
        <w:shd w:val="clear" w:color="auto" w:fill="auto"/>
        <w:spacing w:line="600" w:lineRule="exact"/>
        <w:ind w:firstLine="640" w:firstLineChars="200"/>
        <w:outlineLvl w:val="9"/>
        <w:rPr>
          <w:rFonts w:hint="default" w:eastAsia="仿宋_GB2312" w:cs="Times New Roman"/>
          <w:sz w:val="32"/>
          <w:szCs w:val="32"/>
          <w:highlight w:val="none"/>
          <w:lang w:val="en-US"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4</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成本节约率</w:t>
      </w:r>
      <w:r>
        <w:rPr>
          <w:rFonts w:hint="default" w:eastAsia="仿宋_GB2312" w:cs="Times New Roman"/>
          <w:sz w:val="32"/>
          <w:szCs w:val="32"/>
          <w:highlight w:val="none"/>
          <w:lang w:val="en-US" w:eastAsia="zh-CN"/>
        </w:rPr>
        <w:t>：</w:t>
      </w:r>
    </w:p>
    <w:p w14:paraId="5E7C6A02">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成本</w:t>
      </w: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组织能力建设支出</w:t>
      </w:r>
      <w:r>
        <w:rPr>
          <w:rFonts w:hint="default" w:eastAsia="仿宋_GB2312" w:cs="Times New Roman"/>
          <w:sz w:val="32"/>
          <w:szCs w:val="32"/>
          <w:highlight w:val="none"/>
          <w:lang w:val="en-US" w:eastAsia="zh-CN"/>
        </w:rPr>
        <w:t>，指标值：&gt;=</w:t>
      </w:r>
      <w:r>
        <w:rPr>
          <w:rFonts w:hint="eastAsia" w:eastAsia="仿宋_GB2312" w:cs="Times New Roman"/>
          <w:sz w:val="32"/>
          <w:szCs w:val="32"/>
          <w:highlight w:val="none"/>
          <w:lang w:val="en-US" w:eastAsia="zh-CN"/>
        </w:rPr>
        <w:t>62.02万元</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62.02万元</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%，偏差原因：</w:t>
      </w:r>
      <w:r>
        <w:rPr>
          <w:rFonts w:hint="eastAsia" w:eastAsia="仿宋_GB2312" w:cs="Times New Roman"/>
          <w:sz w:val="32"/>
          <w:szCs w:val="32"/>
          <w:highlight w:val="none"/>
          <w:lang w:val="en-US" w:eastAsia="zh-CN"/>
        </w:rPr>
        <w:t>无，改进措施：无。</w:t>
      </w:r>
    </w:p>
    <w:p w14:paraId="0115A951">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成本</w:t>
      </w: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2</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弥补测站运行不足</w:t>
      </w:r>
      <w:r>
        <w:rPr>
          <w:rFonts w:hint="default" w:eastAsia="仿宋_GB2312" w:cs="Times New Roman"/>
          <w:sz w:val="32"/>
          <w:szCs w:val="32"/>
          <w:highlight w:val="none"/>
          <w:lang w:val="en-US" w:eastAsia="zh-CN"/>
        </w:rPr>
        <w:t>，指标值：&gt;=</w:t>
      </w:r>
      <w:r>
        <w:rPr>
          <w:rFonts w:hint="eastAsia" w:eastAsia="仿宋_GB2312" w:cs="Times New Roman"/>
          <w:sz w:val="32"/>
          <w:szCs w:val="32"/>
          <w:highlight w:val="none"/>
          <w:lang w:val="en-US" w:eastAsia="zh-CN"/>
        </w:rPr>
        <w:t>29.68万元</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29.68万元</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%，偏差原因：</w:t>
      </w:r>
      <w:r>
        <w:rPr>
          <w:rFonts w:hint="eastAsia" w:eastAsia="仿宋_GB2312" w:cs="Times New Roman"/>
          <w:sz w:val="32"/>
          <w:szCs w:val="32"/>
          <w:highlight w:val="none"/>
          <w:lang w:val="en-US" w:eastAsia="zh-CN"/>
        </w:rPr>
        <w:t>无，改进措施：无。</w:t>
      </w:r>
    </w:p>
    <w:p w14:paraId="74015FC6">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成本</w:t>
      </w: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3</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经营成本性支出</w:t>
      </w:r>
      <w:r>
        <w:rPr>
          <w:rFonts w:hint="default" w:eastAsia="仿宋_GB2312" w:cs="Times New Roman"/>
          <w:sz w:val="32"/>
          <w:szCs w:val="32"/>
          <w:highlight w:val="none"/>
          <w:lang w:val="en-US" w:eastAsia="zh-CN"/>
        </w:rPr>
        <w:t>，指标值：&gt;=</w:t>
      </w:r>
      <w:r>
        <w:rPr>
          <w:rFonts w:hint="eastAsia" w:eastAsia="仿宋_GB2312" w:cs="Times New Roman"/>
          <w:sz w:val="32"/>
          <w:szCs w:val="32"/>
          <w:highlight w:val="none"/>
          <w:lang w:val="en-US" w:eastAsia="zh-CN"/>
        </w:rPr>
        <w:t>60.30万元</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60.30万元</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%，偏差原因：</w:t>
      </w:r>
      <w:r>
        <w:rPr>
          <w:rFonts w:hint="eastAsia" w:eastAsia="仿宋_GB2312" w:cs="Times New Roman"/>
          <w:sz w:val="32"/>
          <w:szCs w:val="32"/>
          <w:highlight w:val="none"/>
          <w:lang w:val="en-US" w:eastAsia="zh-CN"/>
        </w:rPr>
        <w:t>无，改进措施：无。</w:t>
      </w:r>
    </w:p>
    <w:p w14:paraId="74F772F1">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该指标满分为20分</w:t>
      </w:r>
      <w:r>
        <w:rPr>
          <w:rFonts w:hint="default" w:eastAsia="仿宋_GB2312" w:cs="Times New Roman"/>
          <w:sz w:val="32"/>
          <w:szCs w:val="32"/>
          <w:highlight w:val="none"/>
          <w:lang w:val="en-US" w:eastAsia="zh-CN"/>
        </w:rPr>
        <w:t>，本项目计划总成本为</w:t>
      </w:r>
      <w:r>
        <w:rPr>
          <w:rFonts w:hint="eastAsia" w:eastAsia="仿宋_GB2312" w:cs="Times New Roman"/>
          <w:sz w:val="32"/>
          <w:szCs w:val="32"/>
          <w:highlight w:val="none"/>
          <w:lang w:val="en-US" w:eastAsia="zh-CN"/>
        </w:rPr>
        <w:t>152</w:t>
      </w:r>
      <w:r>
        <w:rPr>
          <w:rFonts w:hint="default" w:eastAsia="仿宋_GB2312" w:cs="Times New Roman"/>
          <w:sz w:val="32"/>
          <w:szCs w:val="32"/>
          <w:highlight w:val="none"/>
          <w:lang w:val="en-US" w:eastAsia="zh-CN"/>
        </w:rPr>
        <w:t>万元，实际发生总成本为</w:t>
      </w:r>
      <w:r>
        <w:rPr>
          <w:rFonts w:hint="eastAsia" w:eastAsia="仿宋_GB2312" w:cs="Times New Roman"/>
          <w:sz w:val="32"/>
          <w:szCs w:val="32"/>
          <w:highlight w:val="none"/>
          <w:lang w:val="en-US" w:eastAsia="zh-CN"/>
        </w:rPr>
        <w:t>152</w:t>
      </w:r>
      <w:r>
        <w:rPr>
          <w:rFonts w:hint="default" w:eastAsia="仿宋_GB2312" w:cs="Times New Roman"/>
          <w:sz w:val="32"/>
          <w:szCs w:val="32"/>
          <w:highlight w:val="none"/>
          <w:lang w:val="en-US" w:eastAsia="zh-CN"/>
        </w:rPr>
        <w:t>万元，成本节约率为</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%，未发生任何超支情况</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3617BD8B">
      <w:pPr>
        <w:pStyle w:val="14"/>
        <w:numPr>
          <w:ilvl w:val="0"/>
          <w:numId w:val="0"/>
        </w:numPr>
        <w:spacing w:line="560" w:lineRule="exact"/>
        <w:ind w:firstLine="643" w:firstLineChars="200"/>
        <w:outlineLvl w:val="1"/>
        <w:rPr>
          <w:rFonts w:hint="default" w:ascii="Times New Roman" w:hAnsi="Times New Roman" w:eastAsia="楷体_GB2312" w:cs="Times New Roman"/>
          <w:b/>
          <w:bCs/>
          <w:sz w:val="32"/>
          <w:szCs w:val="32"/>
          <w:lang w:val="en-US" w:eastAsia="zh-CN"/>
        </w:rPr>
      </w:pPr>
      <w:bookmarkStart w:id="56" w:name="_Toc18470"/>
      <w:r>
        <w:rPr>
          <w:rFonts w:hint="eastAsia" w:eastAsia="楷体_GB2312" w:cs="Times New Roman"/>
          <w:b/>
          <w:bCs/>
          <w:sz w:val="32"/>
          <w:szCs w:val="32"/>
          <w:lang w:val="en-US" w:eastAsia="zh-CN"/>
        </w:rPr>
        <w:t>（四）</w:t>
      </w:r>
      <w:r>
        <w:rPr>
          <w:rFonts w:hint="default" w:ascii="Times New Roman" w:hAnsi="Times New Roman" w:eastAsia="楷体_GB2312" w:cs="Times New Roman"/>
          <w:b/>
          <w:bCs/>
          <w:sz w:val="32"/>
          <w:szCs w:val="32"/>
          <w:lang w:val="en-US" w:eastAsia="zh-CN"/>
        </w:rPr>
        <w:t>项目效益情况</w:t>
      </w:r>
      <w:bookmarkEnd w:id="56"/>
    </w:p>
    <w:p w14:paraId="4863C94A">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7A7540A3">
      <w:pPr>
        <w:shd w:val="clear" w:color="auto" w:fill="auto"/>
        <w:spacing w:line="600" w:lineRule="exact"/>
        <w:ind w:firstLine="640" w:firstLineChars="200"/>
        <w:outlineLvl w:val="2"/>
        <w:rPr>
          <w:rFonts w:hint="default" w:ascii="Times New Roman" w:hAnsi="Times New Roman" w:eastAsia="仿宋_GB2312" w:cs="Times New Roman"/>
          <w:color w:val="FF0000"/>
          <w:sz w:val="32"/>
          <w:szCs w:val="32"/>
          <w:highlight w:val="none"/>
          <w:lang w:val="en-US" w:eastAsia="zh-CN"/>
        </w:rPr>
      </w:pPr>
      <w:bookmarkStart w:id="57" w:name="_Toc21198"/>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实施效益</w:t>
      </w:r>
      <w:bookmarkEnd w:id="57"/>
    </w:p>
    <w:p w14:paraId="46139473">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4D4C9C69">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效益</w:t>
      </w: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1</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使水文测报服务现代化水平有所提高</w:t>
      </w:r>
      <w:r>
        <w:rPr>
          <w:rFonts w:hint="default" w:eastAsia="仿宋_GB2312" w:cs="Times New Roman"/>
          <w:sz w:val="32"/>
          <w:szCs w:val="32"/>
          <w:highlight w:val="none"/>
          <w:lang w:val="en-US" w:eastAsia="zh-CN"/>
        </w:rPr>
        <w:t>，指标值：</w:t>
      </w:r>
      <w:r>
        <w:rPr>
          <w:rFonts w:hint="eastAsia" w:eastAsia="仿宋_GB2312" w:cs="Times New Roman"/>
          <w:sz w:val="32"/>
          <w:szCs w:val="32"/>
          <w:highlight w:val="none"/>
          <w:lang w:val="en-US" w:eastAsia="zh-CN"/>
        </w:rPr>
        <w:t>显著</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显著</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%，偏差原因：</w:t>
      </w:r>
      <w:r>
        <w:rPr>
          <w:rFonts w:hint="eastAsia" w:eastAsia="仿宋_GB2312" w:cs="Times New Roman"/>
          <w:sz w:val="32"/>
          <w:szCs w:val="32"/>
          <w:highlight w:val="none"/>
          <w:lang w:val="en-US" w:eastAsia="zh-CN"/>
        </w:rPr>
        <w:t>无，改进措施：无。</w:t>
      </w:r>
    </w:p>
    <w:p w14:paraId="06B51211">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p>
    <w:p w14:paraId="58C38D69">
      <w:pPr>
        <w:shd w:val="clear" w:color="auto" w:fill="auto"/>
        <w:spacing w:line="600" w:lineRule="exact"/>
        <w:ind w:firstLine="640" w:firstLineChars="200"/>
        <w:outlineLvl w:val="9"/>
        <w:rPr>
          <w:rFonts w:hint="default"/>
          <w:lang w:val="en-US" w:eastAsia="zh-CN"/>
        </w:rPr>
      </w:pPr>
      <w:r>
        <w:rPr>
          <w:rFonts w:hint="eastAsia" w:eastAsia="仿宋_GB2312" w:cs="Times New Roman"/>
          <w:sz w:val="32"/>
          <w:szCs w:val="32"/>
          <w:highlight w:val="none"/>
          <w:lang w:val="en-US" w:eastAsia="zh-CN"/>
        </w:rPr>
        <w:t>该指标满分为10分，根据评分标准得10分。</w:t>
      </w:r>
    </w:p>
    <w:p w14:paraId="3EB50881">
      <w:pPr>
        <w:spacing w:line="560" w:lineRule="exact"/>
        <w:ind w:firstLine="640" w:firstLineChars="200"/>
        <w:outlineLvl w:val="0"/>
        <w:rPr>
          <w:rFonts w:hint="default" w:ascii="黑体" w:hAnsi="黑体" w:eastAsia="黑体" w:cs="黑体"/>
          <w:b w:val="0"/>
          <w:bCs w:val="0"/>
          <w:sz w:val="32"/>
          <w:szCs w:val="32"/>
          <w:lang w:val="en-US" w:eastAsia="zh-CN"/>
        </w:rPr>
      </w:pPr>
      <w:bookmarkStart w:id="58" w:name="_Toc21462"/>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rPr>
        <w:t>预算执行进度与</w:t>
      </w:r>
      <w:bookmarkEnd w:id="58"/>
      <w:r>
        <w:rPr>
          <w:rFonts w:hint="eastAsia" w:ascii="黑体" w:hAnsi="黑体" w:eastAsia="黑体" w:cs="黑体"/>
          <w:b w:val="0"/>
          <w:bCs w:val="0"/>
          <w:sz w:val="32"/>
          <w:szCs w:val="32"/>
          <w:lang w:val="en-US" w:eastAsia="zh-CN"/>
        </w:rPr>
        <w:t>绩效指标偏差</w:t>
      </w:r>
    </w:p>
    <w:p w14:paraId="2D73D8CD">
      <w:pPr>
        <w:pStyle w:val="24"/>
        <w:spacing w:line="560" w:lineRule="exact"/>
        <w:ind w:firstLine="64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水文组织建设与经营成本性</w:t>
      </w:r>
      <w:r>
        <w:rPr>
          <w:rFonts w:hint="eastAsia" w:ascii="仿宋_GB2312" w:hAnsi="仿宋_GB2312" w:eastAsia="仿宋_GB2312" w:cs="仿宋_GB2312"/>
          <w:b w:val="0"/>
          <w:bCs w:val="0"/>
          <w:sz w:val="32"/>
          <w:szCs w:val="32"/>
          <w:highlight w:val="none"/>
        </w:rPr>
        <w:t>项目年初预算</w:t>
      </w:r>
      <w:r>
        <w:rPr>
          <w:rFonts w:hint="eastAsia" w:ascii="仿宋_GB2312" w:hAnsi="仿宋_GB2312" w:eastAsia="仿宋_GB2312" w:cs="仿宋_GB2312"/>
          <w:b w:val="0"/>
          <w:bCs w:val="0"/>
          <w:sz w:val="32"/>
          <w:szCs w:val="32"/>
          <w:highlight w:val="none"/>
          <w:lang w:val="en-US" w:eastAsia="zh-CN"/>
        </w:rPr>
        <w:t>152</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152</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152</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%，项目绩效指标总体完成率</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%，总体偏差率为</w:t>
      </w:r>
      <w:r>
        <w:rPr>
          <w:rFonts w:hint="eastAsia" w:ascii="仿宋_GB2312" w:hAnsi="仿宋_GB2312" w:eastAsia="仿宋_GB2312" w:cs="仿宋_GB2312"/>
          <w:b w:val="0"/>
          <w:bCs w:val="0"/>
          <w:sz w:val="32"/>
          <w:szCs w:val="32"/>
          <w:highlight w:val="none"/>
          <w:lang w:val="en-US" w:eastAsia="zh-CN"/>
        </w:rPr>
        <w:t>0</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偏差原因</w:t>
      </w:r>
      <w:r>
        <w:rPr>
          <w:rFonts w:hint="eastAsia" w:ascii="仿宋_GB2312" w:hAnsi="仿宋_GB2312" w:eastAsia="仿宋_GB2312" w:cs="仿宋_GB2312"/>
          <w:b w:val="0"/>
          <w:bCs w:val="0"/>
          <w:sz w:val="32"/>
          <w:szCs w:val="32"/>
          <w:highlight w:val="none"/>
          <w:lang w:val="en-US" w:eastAsia="zh-CN"/>
        </w:rPr>
        <w:t>无</w:t>
      </w:r>
      <w:r>
        <w:rPr>
          <w:rFonts w:hint="eastAsia" w:ascii="仿宋_GB2312" w:hAnsi="仿宋_GB2312" w:eastAsia="仿宋_GB2312" w:cs="仿宋_GB2312"/>
          <w:b w:val="0"/>
          <w:bCs w:val="0"/>
          <w:sz w:val="32"/>
          <w:szCs w:val="32"/>
          <w:highlight w:val="none"/>
        </w:rPr>
        <w:t>，改进措施</w:t>
      </w:r>
      <w:r>
        <w:rPr>
          <w:rFonts w:hint="eastAsia" w:ascii="仿宋_GB2312" w:hAnsi="仿宋_GB2312" w:eastAsia="仿宋_GB2312" w:cs="仿宋_GB2312"/>
          <w:b w:val="0"/>
          <w:bCs w:val="0"/>
          <w:sz w:val="32"/>
          <w:szCs w:val="32"/>
          <w:highlight w:val="none"/>
          <w:lang w:val="en-US" w:eastAsia="zh-CN"/>
        </w:rPr>
        <w:t>无</w:t>
      </w:r>
      <w:r>
        <w:rPr>
          <w:rFonts w:hint="eastAsia" w:ascii="仿宋_GB2312" w:hAnsi="仿宋_GB2312" w:eastAsia="仿宋_GB2312" w:cs="仿宋_GB2312"/>
          <w:b w:val="0"/>
          <w:bCs w:val="0"/>
          <w:sz w:val="32"/>
          <w:szCs w:val="32"/>
          <w:highlight w:val="none"/>
        </w:rPr>
        <w:t>。</w:t>
      </w:r>
    </w:p>
    <w:p w14:paraId="016220F8">
      <w:pPr>
        <w:spacing w:line="560" w:lineRule="exact"/>
        <w:ind w:firstLine="640" w:firstLineChars="200"/>
        <w:outlineLvl w:val="0"/>
        <w:rPr>
          <w:rStyle w:val="23"/>
          <w:rFonts w:hint="default" w:ascii="Times New Roman" w:hAnsi="Times New Roman" w:cs="Times New Roman"/>
          <w:color w:val="auto"/>
        </w:rPr>
      </w:pPr>
      <w:bookmarkStart w:id="59" w:name="_Toc18363"/>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bookmarkEnd w:id="59"/>
    </w:p>
    <w:p w14:paraId="0C377148">
      <w:pPr>
        <w:spacing w:line="560" w:lineRule="exact"/>
        <w:ind w:firstLine="627" w:firstLineChars="200"/>
        <w:outlineLvl w:val="1"/>
        <w:rPr>
          <w:rFonts w:hint="default" w:ascii="Times New Roman" w:hAnsi="Times New Roman" w:eastAsia="楷体" w:cs="Times New Roman"/>
          <w:b/>
          <w:spacing w:val="-4"/>
          <w:sz w:val="32"/>
          <w:szCs w:val="32"/>
        </w:rPr>
      </w:pPr>
      <w:bookmarkStart w:id="60" w:name="_Toc22741"/>
      <w:r>
        <w:rPr>
          <w:rFonts w:hint="default" w:ascii="Times New Roman" w:hAnsi="Times New Roman" w:eastAsia="楷体" w:cs="Times New Roman"/>
          <w:b/>
          <w:spacing w:val="-4"/>
          <w:sz w:val="32"/>
          <w:szCs w:val="32"/>
        </w:rPr>
        <w:t>（一）主要经验及做法</w:t>
      </w:r>
      <w:bookmarkEnd w:id="60"/>
    </w:p>
    <w:p w14:paraId="65450345">
      <w:pPr>
        <w:pStyle w:val="13"/>
        <w:spacing w:before="0" w:after="0" w:line="560" w:lineRule="exact"/>
        <w:ind w:firstLine="640" w:firstLineChars="200"/>
        <w:jc w:val="left"/>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本项目在实施中注重精准施策与闭环管理。项目启动前，立足核心定位深入调研需求，明确总体目标与阶段性任务，科学编制实施方案和绩效指标体系，确保各环节任务分工、时间节点、责任主体清晰可控；资金管理上严格遵循 “预算引领、专款专用” 原则，从编制、使用到监控全流程把关，保障资金合规高效使用。</w:t>
      </w:r>
    </w:p>
    <w:p w14:paraId="648CBEB2">
      <w:pPr>
        <w:pStyle w:val="13"/>
        <w:spacing w:before="0" w:after="0" w:line="560" w:lineRule="exact"/>
        <w:ind w:firstLine="640" w:firstLineChars="200"/>
        <w:jc w:val="left"/>
        <w:outlineLvl w:val="9"/>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sz w:val="32"/>
          <w:szCs w:val="32"/>
        </w:rPr>
        <w:t>同时，强化协同联动与过程管控，建立沟通协作机制，及时协调解决实施中的堵点问题；通过定期调度、实地核查等方式动态跟踪进度与质量，规范档案管理确保全程可追溯。此外，提前预判政策、进度等潜在风险并制定应对预案，聚焦成果转化与效益延伸，推动项目产出持续发挥综合价值，为同类项目实施提供了实用参考。</w:t>
      </w:r>
    </w:p>
    <w:p w14:paraId="5D07642C">
      <w:pPr>
        <w:keepNext/>
        <w:keepLines/>
        <w:numPr>
          <w:ilvl w:val="0"/>
          <w:numId w:val="5"/>
        </w:numPr>
        <w:spacing w:line="560" w:lineRule="exact"/>
        <w:ind w:firstLine="643" w:firstLineChars="200"/>
        <w:outlineLvl w:val="1"/>
        <w:rPr>
          <w:rFonts w:hint="default" w:ascii="Times New Roman" w:hAnsi="Times New Roman" w:eastAsia="楷体_GB2312" w:cs="Times New Roman"/>
          <w:b/>
          <w:bCs/>
          <w:sz w:val="32"/>
          <w:szCs w:val="32"/>
        </w:rPr>
      </w:pPr>
      <w:bookmarkStart w:id="61" w:name="_Toc7835"/>
      <w:r>
        <w:rPr>
          <w:rFonts w:hint="default" w:ascii="Times New Roman" w:hAnsi="Times New Roman" w:eastAsia="楷体_GB2312" w:cs="Times New Roman"/>
          <w:b/>
          <w:bCs/>
          <w:sz w:val="32"/>
          <w:szCs w:val="32"/>
        </w:rPr>
        <w:t>存在的问题及原因分析</w:t>
      </w:r>
      <w:bookmarkEnd w:id="61"/>
    </w:p>
    <w:p w14:paraId="3D18021F">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18B8A7A1">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71F6C72B">
      <w:pPr>
        <w:spacing w:line="560" w:lineRule="exact"/>
        <w:ind w:firstLine="640" w:firstLineChars="200"/>
        <w:outlineLvl w:val="0"/>
        <w:rPr>
          <w:rFonts w:hint="default" w:ascii="Times New Roman" w:hAnsi="Times New Roman" w:eastAsia="黑体" w:cs="Times New Roman"/>
          <w:sz w:val="32"/>
          <w:szCs w:val="32"/>
        </w:rPr>
      </w:pPr>
      <w:bookmarkStart w:id="62" w:name="_Toc25529"/>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bookmarkEnd w:id="62"/>
    </w:p>
    <w:p w14:paraId="5D170F8B">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4643B6A1">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556EAFB2">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76BE3AE0">
      <w:pPr>
        <w:shd w:val="clear" w:color="auto" w:fill="auto"/>
        <w:spacing w:line="600" w:lineRule="exact"/>
        <w:ind w:firstLine="640" w:firstLineChars="200"/>
        <w:outlineLvl w:val="9"/>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33E6460E">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009D17BE">
      <w:pPr>
        <w:spacing w:line="560" w:lineRule="exact"/>
        <w:ind w:firstLine="640" w:firstLineChars="200"/>
        <w:outlineLvl w:val="0"/>
        <w:rPr>
          <w:rFonts w:hint="default" w:ascii="Times New Roman" w:hAnsi="Times New Roman" w:eastAsia="黑体" w:cs="Times New Roman"/>
          <w:sz w:val="32"/>
          <w:szCs w:val="32"/>
        </w:rPr>
      </w:pPr>
      <w:bookmarkStart w:id="63" w:name="_Toc3065"/>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64" w:name="page8"/>
      <w:bookmarkEnd w:id="64"/>
      <w:r>
        <w:rPr>
          <w:rFonts w:hint="default" w:ascii="Times New Roman" w:hAnsi="Times New Roman" w:eastAsia="黑体" w:cs="Times New Roman"/>
          <w:sz w:val="32"/>
          <w:szCs w:val="32"/>
        </w:rPr>
        <w:t>明的问题</w:t>
      </w:r>
      <w:bookmarkEnd w:id="63"/>
    </w:p>
    <w:p w14:paraId="16E3A9EF">
      <w:pPr>
        <w:pStyle w:val="15"/>
        <w:spacing w:after="0" w:line="560" w:lineRule="exact"/>
        <w:ind w:left="0" w:leftChars="0" w:firstLine="64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本项目无其他需说明的问题。</w:t>
      </w:r>
    </w:p>
    <w:p w14:paraId="65C2AAFA">
      <w:pPr>
        <w:pStyle w:val="15"/>
        <w:spacing w:after="0" w:line="560" w:lineRule="exact"/>
        <w:ind w:left="0" w:leftChars="0" w:firstLine="643" w:firstLineChars="200"/>
        <w:rPr>
          <w:rFonts w:hint="eastAsia" w:ascii="Times New Roman" w:hAnsi="Times New Roman" w:eastAsia="仿宋_GB2312" w:cs="Times New Roman"/>
          <w:b/>
          <w:bCs/>
          <w:color w:val="FF0000"/>
          <w:sz w:val="32"/>
          <w:szCs w:val="32"/>
          <w:lang w:eastAsia="zh-CN"/>
        </w:rPr>
      </w:pPr>
    </w:p>
    <w:p w14:paraId="76BBC40F">
      <w:pPr>
        <w:pStyle w:val="15"/>
        <w:spacing w:after="0" w:line="560" w:lineRule="exact"/>
        <w:ind w:left="0" w:leftChars="0" w:firstLine="643" w:firstLineChars="200"/>
        <w:rPr>
          <w:rFonts w:hint="eastAsia" w:ascii="Times New Roman" w:hAnsi="Times New Roman" w:eastAsia="仿宋_GB2312" w:cs="Times New Roman"/>
          <w:b/>
          <w:bCs/>
          <w:color w:val="FF0000"/>
          <w:sz w:val="32"/>
          <w:szCs w:val="32"/>
          <w:lang w:eastAsia="zh-CN"/>
        </w:rPr>
      </w:pPr>
    </w:p>
    <w:p w14:paraId="1CD6ECEC">
      <w:pPr>
        <w:pStyle w:val="15"/>
        <w:spacing w:after="0" w:line="560" w:lineRule="exact"/>
        <w:ind w:left="0" w:leftChars="0" w:firstLine="0" w:firstLineChars="0"/>
        <w:rPr>
          <w:rFonts w:hint="eastAsia" w:ascii="Times New Roman" w:hAnsi="Times New Roman" w:eastAsia="仿宋_GB2312" w:cs="Times New Roman"/>
          <w:b/>
          <w:bCs/>
          <w:color w:val="FF0000"/>
          <w:sz w:val="32"/>
          <w:szCs w:val="32"/>
          <w:lang w:eastAsia="zh-CN"/>
        </w:rPr>
      </w:pPr>
    </w:p>
    <w:p w14:paraId="71627342">
      <w:pPr>
        <w:pStyle w:val="15"/>
        <w:spacing w:after="0" w:line="560" w:lineRule="exact"/>
        <w:ind w:left="0" w:leftChars="0" w:firstLine="0" w:firstLineChars="0"/>
        <w:rPr>
          <w:rFonts w:hint="default" w:ascii="Times New Roman" w:hAnsi="Times New Roman" w:eastAsia="仿宋_GB2312" w:cs="Times New Roman"/>
          <w:sz w:val="32"/>
          <w:szCs w:val="32"/>
        </w:rPr>
      </w:pPr>
    </w:p>
    <w:p w14:paraId="1E023643">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43E7462A">
      <w:pPr>
        <w:spacing w:line="600" w:lineRule="exact"/>
        <w:outlineLvl w:val="0"/>
        <w:rPr>
          <w:rFonts w:hint="default" w:eastAsia="黑体" w:cs="Times New Roman"/>
          <w:sz w:val="32"/>
          <w:szCs w:val="32"/>
          <w:lang w:val="en-US" w:eastAsia="zh-CN"/>
        </w:rPr>
      </w:pPr>
      <w:bookmarkStart w:id="65" w:name="_Toc15260"/>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bookmarkEnd w:id="65"/>
      <w:r>
        <w:rPr>
          <w:rFonts w:hint="eastAsia" w:eastAsia="黑体" w:cs="Times New Roman"/>
          <w:sz w:val="32"/>
          <w:szCs w:val="32"/>
          <w:lang w:val="en-US" w:eastAsia="zh-CN"/>
        </w:rPr>
        <w:t>评价指标体系</w:t>
      </w:r>
    </w:p>
    <w:p w14:paraId="32250560">
      <w:pPr>
        <w:pStyle w:val="24"/>
        <w:ind w:firstLine="562"/>
        <w:jc w:val="center"/>
        <w:rPr>
          <w:rFonts w:hint="eastAsia" w:ascii="仿宋_GB2312" w:hAnsi="仿宋_GB2312" w:eastAsia="仿宋_GB2312" w:cs="仿宋_GB2312"/>
          <w:sz w:val="28"/>
          <w:szCs w:val="40"/>
        </w:rPr>
      </w:pPr>
      <w:bookmarkStart w:id="66" w:name="_Toc26499_WPSOffice_Level2"/>
      <w:bookmarkStart w:id="67" w:name="_Toc30064_WPSOffice_Level1"/>
      <w:r>
        <w:rPr>
          <w:rFonts w:hint="eastAsia" w:ascii="仿宋_GB2312" w:hAnsi="仿宋_GB2312" w:eastAsia="仿宋_GB2312" w:cs="仿宋_GB2312"/>
          <w:b/>
          <w:bCs/>
          <w:sz w:val="28"/>
          <w:szCs w:val="40"/>
          <w:lang w:val="en-US" w:eastAsia="zh-CN"/>
        </w:rPr>
        <w:t>水文组织建设与经营成本性</w:t>
      </w:r>
      <w:r>
        <w:rPr>
          <w:rFonts w:hint="eastAsia" w:ascii="仿宋_GB2312" w:hAnsi="仿宋_GB2312" w:eastAsia="仿宋_GB2312" w:cs="仿宋_GB2312"/>
          <w:b/>
          <w:bCs/>
          <w:sz w:val="28"/>
          <w:szCs w:val="40"/>
        </w:rPr>
        <w:t>项目绩效评价指标体系</w:t>
      </w:r>
      <w:bookmarkEnd w:id="66"/>
      <w:bookmarkEnd w:id="67"/>
    </w:p>
    <w:tbl>
      <w:tblPr>
        <w:tblStyle w:val="16"/>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997"/>
        <w:gridCol w:w="1071"/>
        <w:gridCol w:w="1726"/>
        <w:gridCol w:w="5222"/>
        <w:gridCol w:w="1299"/>
        <w:gridCol w:w="1366"/>
      </w:tblGrid>
      <w:tr w14:paraId="409F06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72F8683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997" w:type="dxa"/>
            <w:shd w:val="clear" w:color="auto" w:fill="FFFFFF"/>
            <w:vAlign w:val="center"/>
          </w:tcPr>
          <w:p w14:paraId="42014A6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14:paraId="34FACC6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6" w:type="dxa"/>
            <w:shd w:val="clear" w:color="auto" w:fill="FFFFFF"/>
            <w:vAlign w:val="center"/>
          </w:tcPr>
          <w:p w14:paraId="586E6B6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22" w:type="dxa"/>
            <w:shd w:val="clear" w:color="auto" w:fill="FFFFFF"/>
            <w:vAlign w:val="center"/>
          </w:tcPr>
          <w:p w14:paraId="1793D62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299" w:type="dxa"/>
            <w:shd w:val="clear" w:color="auto" w:fill="FFFFFF"/>
            <w:vAlign w:val="center"/>
          </w:tcPr>
          <w:p w14:paraId="68A5C16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6" w:type="dxa"/>
            <w:shd w:val="clear" w:color="auto" w:fill="FFFFFF"/>
            <w:vAlign w:val="center"/>
          </w:tcPr>
          <w:p w14:paraId="32C5410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01A0FB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407B27E1">
            <w:pPr>
              <w:widowControl/>
              <w:spacing w:line="0" w:lineRule="atLeast"/>
              <w:jc w:val="center"/>
              <w:rPr>
                <w:rFonts w:hint="default" w:ascii="Times New Roman" w:hAnsi="Times New Roman" w:eastAsia="仿宋_GB2312" w:cs="Times New Roman"/>
                <w:color w:val="000000"/>
                <w:kern w:val="0"/>
                <w:sz w:val="18"/>
                <w:szCs w:val="18"/>
                <w:highlight w:val="none"/>
              </w:rPr>
            </w:pPr>
          </w:p>
          <w:p w14:paraId="7552C07F">
            <w:pPr>
              <w:widowControl/>
              <w:spacing w:line="0" w:lineRule="atLeast"/>
              <w:jc w:val="center"/>
              <w:rPr>
                <w:rFonts w:hint="default" w:ascii="Times New Roman" w:hAnsi="Times New Roman" w:eastAsia="仿宋_GB2312" w:cs="Times New Roman"/>
                <w:color w:val="000000"/>
                <w:kern w:val="0"/>
                <w:sz w:val="18"/>
                <w:szCs w:val="18"/>
                <w:highlight w:val="none"/>
              </w:rPr>
            </w:pPr>
          </w:p>
          <w:p w14:paraId="05BB5718">
            <w:pPr>
              <w:widowControl/>
              <w:spacing w:line="0" w:lineRule="atLeast"/>
              <w:jc w:val="center"/>
              <w:rPr>
                <w:rFonts w:hint="default" w:ascii="Times New Roman" w:hAnsi="Times New Roman" w:eastAsia="仿宋_GB2312" w:cs="Times New Roman"/>
                <w:color w:val="000000"/>
                <w:kern w:val="0"/>
                <w:sz w:val="18"/>
                <w:szCs w:val="18"/>
                <w:highlight w:val="none"/>
              </w:rPr>
            </w:pPr>
          </w:p>
          <w:p w14:paraId="160BF45A">
            <w:pPr>
              <w:widowControl/>
              <w:spacing w:line="0" w:lineRule="atLeast"/>
              <w:jc w:val="center"/>
              <w:rPr>
                <w:rFonts w:hint="default" w:ascii="Times New Roman" w:hAnsi="Times New Roman" w:eastAsia="仿宋_GB2312" w:cs="Times New Roman"/>
                <w:color w:val="000000"/>
                <w:kern w:val="0"/>
                <w:sz w:val="18"/>
                <w:szCs w:val="18"/>
                <w:highlight w:val="none"/>
              </w:rPr>
            </w:pPr>
          </w:p>
          <w:p w14:paraId="7FFEDC05">
            <w:pPr>
              <w:widowControl/>
              <w:spacing w:line="0" w:lineRule="atLeast"/>
              <w:jc w:val="center"/>
              <w:rPr>
                <w:rFonts w:hint="default" w:ascii="Times New Roman" w:hAnsi="Times New Roman" w:eastAsia="仿宋_GB2312" w:cs="Times New Roman"/>
                <w:color w:val="000000"/>
                <w:kern w:val="0"/>
                <w:sz w:val="18"/>
                <w:szCs w:val="18"/>
                <w:highlight w:val="none"/>
              </w:rPr>
            </w:pPr>
          </w:p>
          <w:p w14:paraId="6C1B4C10">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552B57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w:t>
            </w:r>
          </w:p>
        </w:tc>
        <w:tc>
          <w:tcPr>
            <w:tcW w:w="997" w:type="dxa"/>
            <w:vMerge w:val="restart"/>
            <w:shd w:val="clear" w:color="auto" w:fill="FFFFFF"/>
            <w:vAlign w:val="center"/>
          </w:tcPr>
          <w:p w14:paraId="6C151E4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w:t>
            </w:r>
          </w:p>
        </w:tc>
        <w:tc>
          <w:tcPr>
            <w:tcW w:w="1071" w:type="dxa"/>
            <w:shd w:val="clear" w:color="auto" w:fill="FFFFFF"/>
            <w:vAlign w:val="center"/>
          </w:tcPr>
          <w:p w14:paraId="0F5D90E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0572BE0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6" w:type="dxa"/>
            <w:shd w:val="clear" w:color="auto" w:fill="FFFFFF"/>
            <w:vAlign w:val="center"/>
          </w:tcPr>
          <w:p w14:paraId="24A5441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22" w:type="dxa"/>
            <w:shd w:val="clear" w:color="auto" w:fill="FFFFFF"/>
            <w:vAlign w:val="center"/>
          </w:tcPr>
          <w:p w14:paraId="54931BA5">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299" w:type="dxa"/>
            <w:shd w:val="clear" w:color="auto" w:fill="FFFFFF"/>
            <w:vAlign w:val="center"/>
          </w:tcPr>
          <w:p w14:paraId="66A2B66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14:paraId="730E8785">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56937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477A217B">
            <w:pPr>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continue"/>
            <w:shd w:val="clear" w:color="auto" w:fill="FFFFFF"/>
            <w:vAlign w:val="center"/>
          </w:tcPr>
          <w:p w14:paraId="280E53E3">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3FC0D40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73744E1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6" w:type="dxa"/>
            <w:shd w:val="clear" w:color="auto" w:fill="FFFFFF"/>
            <w:vAlign w:val="center"/>
          </w:tcPr>
          <w:p w14:paraId="3DB90EF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22" w:type="dxa"/>
            <w:shd w:val="clear" w:color="auto" w:fill="FFFFFF"/>
            <w:vAlign w:val="center"/>
          </w:tcPr>
          <w:p w14:paraId="54ADF6A7">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299" w:type="dxa"/>
            <w:shd w:val="clear" w:color="auto" w:fill="FFFFFF"/>
            <w:vAlign w:val="center"/>
          </w:tcPr>
          <w:p w14:paraId="69F2E6E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14:paraId="1F6E647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98AF8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07E89E54">
            <w:pPr>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restart"/>
            <w:shd w:val="clear" w:color="auto" w:fill="FFFFFF"/>
            <w:vAlign w:val="center"/>
          </w:tcPr>
          <w:p w14:paraId="3EF7062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tc>
        <w:tc>
          <w:tcPr>
            <w:tcW w:w="1071" w:type="dxa"/>
            <w:shd w:val="clear" w:color="auto" w:fill="FFFFFF"/>
            <w:vAlign w:val="center"/>
          </w:tcPr>
          <w:p w14:paraId="37ED7CD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2DCE006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6" w:type="dxa"/>
            <w:shd w:val="clear" w:color="000000" w:fill="FFFFFF"/>
            <w:vAlign w:val="center"/>
          </w:tcPr>
          <w:p w14:paraId="4F4884D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22" w:type="dxa"/>
            <w:shd w:val="clear" w:color="000000" w:fill="FFFFFF"/>
            <w:vAlign w:val="center"/>
          </w:tcPr>
          <w:p w14:paraId="664504D7">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2E21F205">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299" w:type="dxa"/>
            <w:shd w:val="clear" w:color="000000" w:fill="FFFFFF"/>
            <w:vAlign w:val="center"/>
          </w:tcPr>
          <w:p w14:paraId="0CD1587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14:paraId="332AEA4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045E8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289B8D36">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continue"/>
            <w:shd w:val="clear" w:color="auto" w:fill="FFFFFF"/>
            <w:vAlign w:val="center"/>
          </w:tcPr>
          <w:p w14:paraId="4F8220F6">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35EEE81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31ECB2B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6" w:type="dxa"/>
            <w:shd w:val="clear" w:color="000000" w:fill="FFFFFF"/>
            <w:vAlign w:val="center"/>
          </w:tcPr>
          <w:p w14:paraId="4BE0FD0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22" w:type="dxa"/>
            <w:shd w:val="clear" w:color="000000" w:fill="FFFFFF"/>
            <w:vAlign w:val="center"/>
          </w:tcPr>
          <w:p w14:paraId="6605FB4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299" w:type="dxa"/>
            <w:shd w:val="clear" w:color="000000" w:fill="FFFFFF"/>
            <w:vAlign w:val="center"/>
          </w:tcPr>
          <w:p w14:paraId="57BF816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14:paraId="6416B4F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47E7CE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6327343D">
            <w:pPr>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restart"/>
            <w:shd w:val="clear" w:color="auto" w:fill="FFFFFF"/>
            <w:vAlign w:val="center"/>
          </w:tcPr>
          <w:p w14:paraId="396CE6A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555DFE55">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75F0B38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315FFB7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6" w:type="dxa"/>
            <w:shd w:val="clear" w:color="auto" w:fill="FFFFFF"/>
            <w:vAlign w:val="center"/>
          </w:tcPr>
          <w:p w14:paraId="4489E1B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22" w:type="dxa"/>
            <w:shd w:val="clear" w:color="auto" w:fill="FFFFFF"/>
            <w:vAlign w:val="center"/>
          </w:tcPr>
          <w:p w14:paraId="3002E67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299" w:type="dxa"/>
            <w:shd w:val="clear" w:color="auto" w:fill="FFFFFF"/>
            <w:vAlign w:val="center"/>
          </w:tcPr>
          <w:p w14:paraId="0CD130D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474987D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E266F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25837FCB">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continue"/>
            <w:shd w:val="clear" w:color="auto" w:fill="FFFFFF"/>
            <w:vAlign w:val="center"/>
          </w:tcPr>
          <w:p w14:paraId="46528746">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1299881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41572EF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6" w:type="dxa"/>
            <w:shd w:val="clear" w:color="auto" w:fill="FFFFFF"/>
            <w:vAlign w:val="center"/>
          </w:tcPr>
          <w:p w14:paraId="7FC15B8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22" w:type="dxa"/>
            <w:shd w:val="clear" w:color="auto" w:fill="FFFFFF"/>
            <w:vAlign w:val="center"/>
          </w:tcPr>
          <w:p w14:paraId="10BFDD8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299" w:type="dxa"/>
            <w:shd w:val="clear" w:color="auto" w:fill="FFFFFF"/>
            <w:vAlign w:val="center"/>
          </w:tcPr>
          <w:p w14:paraId="69CBAE9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5870110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7F476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6F2954B9">
            <w:pPr>
              <w:spacing w:line="0" w:lineRule="atLeast"/>
              <w:jc w:val="center"/>
              <w:rPr>
                <w:rFonts w:hint="default" w:ascii="Times New Roman" w:hAnsi="Times New Roman" w:eastAsia="仿宋_GB2312" w:cs="Times New Roman"/>
                <w:color w:val="000000"/>
                <w:kern w:val="0"/>
                <w:sz w:val="18"/>
                <w:szCs w:val="18"/>
                <w:highlight w:val="none"/>
              </w:rPr>
            </w:pPr>
          </w:p>
          <w:p w14:paraId="1BBA2DC9">
            <w:pPr>
              <w:spacing w:line="0" w:lineRule="atLeast"/>
              <w:jc w:val="center"/>
              <w:rPr>
                <w:rFonts w:hint="default" w:ascii="Times New Roman" w:hAnsi="Times New Roman" w:eastAsia="仿宋_GB2312" w:cs="Times New Roman"/>
                <w:color w:val="000000"/>
                <w:kern w:val="0"/>
                <w:sz w:val="18"/>
                <w:szCs w:val="18"/>
                <w:highlight w:val="none"/>
              </w:rPr>
            </w:pPr>
          </w:p>
          <w:p w14:paraId="36FA3F2D">
            <w:pPr>
              <w:spacing w:line="0" w:lineRule="atLeast"/>
              <w:jc w:val="center"/>
              <w:rPr>
                <w:rFonts w:hint="default" w:ascii="Times New Roman" w:hAnsi="Times New Roman" w:eastAsia="仿宋_GB2312" w:cs="Times New Roman"/>
                <w:color w:val="000000"/>
                <w:kern w:val="0"/>
                <w:sz w:val="18"/>
                <w:szCs w:val="18"/>
                <w:highlight w:val="none"/>
              </w:rPr>
            </w:pPr>
          </w:p>
          <w:p w14:paraId="7D9BDA82">
            <w:pPr>
              <w:spacing w:line="0" w:lineRule="atLeast"/>
              <w:jc w:val="center"/>
              <w:rPr>
                <w:rFonts w:hint="default" w:ascii="Times New Roman" w:hAnsi="Times New Roman" w:eastAsia="仿宋_GB2312" w:cs="Times New Roman"/>
                <w:color w:val="000000"/>
                <w:kern w:val="0"/>
                <w:sz w:val="18"/>
                <w:szCs w:val="18"/>
                <w:highlight w:val="none"/>
              </w:rPr>
            </w:pPr>
          </w:p>
          <w:p w14:paraId="2E3BC583">
            <w:pPr>
              <w:spacing w:line="0" w:lineRule="atLeast"/>
              <w:jc w:val="center"/>
              <w:rPr>
                <w:rFonts w:hint="default" w:ascii="Times New Roman" w:hAnsi="Times New Roman" w:eastAsia="仿宋_GB2312" w:cs="Times New Roman"/>
                <w:color w:val="000000"/>
                <w:kern w:val="0"/>
                <w:sz w:val="18"/>
                <w:szCs w:val="18"/>
                <w:highlight w:val="none"/>
              </w:rPr>
            </w:pPr>
          </w:p>
          <w:p w14:paraId="798B58FA">
            <w:pPr>
              <w:spacing w:line="0" w:lineRule="atLeast"/>
              <w:jc w:val="center"/>
              <w:rPr>
                <w:rFonts w:hint="default" w:ascii="Times New Roman" w:hAnsi="Times New Roman" w:eastAsia="仿宋_GB2312" w:cs="Times New Roman"/>
                <w:color w:val="000000"/>
                <w:kern w:val="0"/>
                <w:sz w:val="18"/>
                <w:szCs w:val="18"/>
                <w:highlight w:val="none"/>
              </w:rPr>
            </w:pPr>
          </w:p>
          <w:p w14:paraId="202B91BD">
            <w:pPr>
              <w:spacing w:line="0" w:lineRule="atLeast"/>
              <w:jc w:val="center"/>
              <w:rPr>
                <w:rFonts w:hint="default" w:ascii="Times New Roman" w:hAnsi="Times New Roman" w:eastAsia="仿宋_GB2312" w:cs="Times New Roman"/>
                <w:color w:val="000000"/>
                <w:kern w:val="0"/>
                <w:sz w:val="18"/>
                <w:szCs w:val="18"/>
                <w:highlight w:val="none"/>
              </w:rPr>
            </w:pPr>
          </w:p>
          <w:p w14:paraId="359FCE55">
            <w:pPr>
              <w:spacing w:line="0" w:lineRule="atLeast"/>
              <w:jc w:val="center"/>
              <w:rPr>
                <w:rFonts w:hint="default" w:ascii="Times New Roman" w:hAnsi="Times New Roman" w:eastAsia="仿宋_GB2312" w:cs="Times New Roman"/>
                <w:color w:val="000000"/>
                <w:kern w:val="0"/>
                <w:sz w:val="18"/>
                <w:szCs w:val="18"/>
                <w:highlight w:val="none"/>
              </w:rPr>
            </w:pPr>
          </w:p>
          <w:p w14:paraId="70694360">
            <w:pPr>
              <w:spacing w:line="0" w:lineRule="atLeast"/>
              <w:jc w:val="center"/>
              <w:rPr>
                <w:rFonts w:hint="default" w:ascii="Times New Roman" w:hAnsi="Times New Roman" w:eastAsia="仿宋_GB2312" w:cs="Times New Roman"/>
                <w:color w:val="000000"/>
                <w:kern w:val="0"/>
                <w:sz w:val="18"/>
                <w:szCs w:val="18"/>
                <w:highlight w:val="none"/>
              </w:rPr>
            </w:pPr>
          </w:p>
          <w:p w14:paraId="2F3CB845">
            <w:pPr>
              <w:spacing w:line="0" w:lineRule="atLeast"/>
              <w:jc w:val="center"/>
              <w:rPr>
                <w:rFonts w:hint="default" w:ascii="Times New Roman" w:hAnsi="Times New Roman" w:eastAsia="仿宋_GB2312" w:cs="Times New Roman"/>
                <w:color w:val="000000"/>
                <w:kern w:val="0"/>
                <w:sz w:val="18"/>
                <w:szCs w:val="18"/>
                <w:highlight w:val="none"/>
              </w:rPr>
            </w:pPr>
          </w:p>
          <w:p w14:paraId="1C7DE52C">
            <w:pPr>
              <w:spacing w:line="0" w:lineRule="atLeast"/>
              <w:jc w:val="center"/>
              <w:rPr>
                <w:rFonts w:hint="default" w:ascii="Times New Roman" w:hAnsi="Times New Roman" w:eastAsia="仿宋_GB2312" w:cs="Times New Roman"/>
                <w:color w:val="000000"/>
                <w:kern w:val="0"/>
                <w:sz w:val="18"/>
                <w:szCs w:val="18"/>
                <w:highlight w:val="none"/>
              </w:rPr>
            </w:pPr>
          </w:p>
          <w:p w14:paraId="0BD7938C">
            <w:pPr>
              <w:spacing w:line="0" w:lineRule="atLeast"/>
              <w:jc w:val="center"/>
              <w:rPr>
                <w:rFonts w:hint="default" w:ascii="Times New Roman" w:hAnsi="Times New Roman" w:eastAsia="仿宋_GB2312" w:cs="Times New Roman"/>
                <w:color w:val="000000"/>
                <w:kern w:val="0"/>
                <w:sz w:val="18"/>
                <w:szCs w:val="18"/>
                <w:highlight w:val="none"/>
              </w:rPr>
            </w:pPr>
          </w:p>
          <w:p w14:paraId="0A0FB079">
            <w:pPr>
              <w:spacing w:line="0" w:lineRule="atLeast"/>
              <w:jc w:val="center"/>
              <w:rPr>
                <w:rFonts w:hint="default" w:ascii="Times New Roman" w:hAnsi="Times New Roman" w:eastAsia="仿宋_GB2312" w:cs="Times New Roman"/>
                <w:color w:val="000000"/>
                <w:kern w:val="0"/>
                <w:sz w:val="18"/>
                <w:szCs w:val="18"/>
                <w:highlight w:val="none"/>
              </w:rPr>
            </w:pPr>
          </w:p>
          <w:p w14:paraId="707D4A25">
            <w:pPr>
              <w:spacing w:line="0" w:lineRule="atLeast"/>
              <w:jc w:val="center"/>
              <w:rPr>
                <w:rFonts w:hint="default" w:ascii="Times New Roman" w:hAnsi="Times New Roman" w:eastAsia="仿宋_GB2312" w:cs="Times New Roman"/>
                <w:color w:val="000000"/>
                <w:kern w:val="0"/>
                <w:sz w:val="18"/>
                <w:szCs w:val="18"/>
                <w:highlight w:val="none"/>
              </w:rPr>
            </w:pPr>
          </w:p>
          <w:p w14:paraId="277CB4A0">
            <w:pPr>
              <w:spacing w:line="0" w:lineRule="atLeast"/>
              <w:jc w:val="center"/>
              <w:rPr>
                <w:rFonts w:hint="default" w:ascii="Times New Roman" w:hAnsi="Times New Roman" w:eastAsia="仿宋_GB2312" w:cs="Times New Roman"/>
                <w:color w:val="000000"/>
                <w:kern w:val="0"/>
                <w:sz w:val="18"/>
                <w:szCs w:val="18"/>
                <w:highlight w:val="none"/>
              </w:rPr>
            </w:pPr>
          </w:p>
          <w:p w14:paraId="6EB863AF">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23DF45C5">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restart"/>
            <w:shd w:val="clear" w:color="auto" w:fill="FFFFFF"/>
            <w:vAlign w:val="center"/>
          </w:tcPr>
          <w:p w14:paraId="6710D53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2FE4FD4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6" w:type="dxa"/>
            <w:shd w:val="clear" w:color="000000" w:fill="FFFFFF"/>
            <w:vAlign w:val="center"/>
          </w:tcPr>
          <w:p w14:paraId="5833568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22" w:type="dxa"/>
            <w:shd w:val="clear" w:color="000000" w:fill="FFFFFF"/>
            <w:vAlign w:val="center"/>
          </w:tcPr>
          <w:p w14:paraId="21E3A40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79AA32D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150278E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299" w:type="dxa"/>
            <w:shd w:val="clear" w:color="000000" w:fill="FFFFFF"/>
            <w:vAlign w:val="center"/>
          </w:tcPr>
          <w:p w14:paraId="72183D7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053BE7A5">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44B0D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65D9F5CC">
            <w:pPr>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continue"/>
            <w:shd w:val="clear" w:color="auto" w:fill="FFFFFF"/>
            <w:vAlign w:val="center"/>
          </w:tcPr>
          <w:p w14:paraId="7995BBDA">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47CB586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6" w:type="dxa"/>
            <w:shd w:val="clear" w:color="auto" w:fill="FFFFFF"/>
            <w:vAlign w:val="center"/>
          </w:tcPr>
          <w:p w14:paraId="2710734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22" w:type="dxa"/>
            <w:shd w:val="clear" w:color="auto" w:fill="FFFFFF"/>
            <w:vAlign w:val="center"/>
          </w:tcPr>
          <w:p w14:paraId="3FF5A86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299" w:type="dxa"/>
            <w:shd w:val="clear" w:color="auto" w:fill="FFFFFF"/>
            <w:vAlign w:val="center"/>
          </w:tcPr>
          <w:p w14:paraId="6A254D5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30189F2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1C883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3A3150DD">
            <w:pPr>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shd w:val="clear" w:color="auto" w:fill="FFFFFF"/>
            <w:vAlign w:val="center"/>
          </w:tcPr>
          <w:p w14:paraId="407378F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6C46EE3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22D2F4D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6" w:type="dxa"/>
            <w:shd w:val="clear" w:color="000000" w:fill="FFFFFF"/>
            <w:vAlign w:val="center"/>
          </w:tcPr>
          <w:p w14:paraId="420E986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22" w:type="dxa"/>
            <w:shd w:val="clear" w:color="000000" w:fill="FFFFFF"/>
            <w:vAlign w:val="center"/>
          </w:tcPr>
          <w:p w14:paraId="1BA66BD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299" w:type="dxa"/>
            <w:shd w:val="clear" w:color="000000" w:fill="FFFFFF"/>
            <w:vAlign w:val="center"/>
          </w:tcPr>
          <w:p w14:paraId="305D532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11FF5CA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4F8B8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28D27379">
            <w:pPr>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restart"/>
            <w:shd w:val="clear" w:color="auto" w:fill="FFFFFF"/>
            <w:vAlign w:val="center"/>
          </w:tcPr>
          <w:p w14:paraId="0BD9996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76E3B144">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25C3358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253FE53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6" w:type="dxa"/>
            <w:shd w:val="clear" w:color="000000" w:fill="FFFFFF"/>
            <w:vAlign w:val="center"/>
          </w:tcPr>
          <w:p w14:paraId="63BDA59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22" w:type="dxa"/>
            <w:shd w:val="clear" w:color="000000" w:fill="FFFFFF"/>
            <w:vAlign w:val="center"/>
          </w:tcPr>
          <w:p w14:paraId="6984980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299" w:type="dxa"/>
            <w:shd w:val="clear" w:color="000000" w:fill="FFFFFF"/>
            <w:vAlign w:val="center"/>
          </w:tcPr>
          <w:p w14:paraId="54C0F6C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1635AC9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292D4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4F13E7B2">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continue"/>
            <w:shd w:val="clear" w:color="auto" w:fill="FFFFFF"/>
            <w:vAlign w:val="center"/>
          </w:tcPr>
          <w:p w14:paraId="7E1B655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34E2B88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3B279A9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6" w:type="dxa"/>
            <w:shd w:val="clear" w:color="000000" w:fill="FFFFFF"/>
            <w:vAlign w:val="center"/>
          </w:tcPr>
          <w:p w14:paraId="0F7865F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22" w:type="dxa"/>
            <w:shd w:val="clear" w:color="000000" w:fill="FFFFFF"/>
            <w:vAlign w:val="center"/>
          </w:tcPr>
          <w:p w14:paraId="0855919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299" w:type="dxa"/>
            <w:shd w:val="clear" w:color="000000" w:fill="FFFFFF"/>
            <w:vAlign w:val="center"/>
          </w:tcPr>
          <w:p w14:paraId="6C69137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7980595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C4BCD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6E56520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997" w:type="dxa"/>
            <w:shd w:val="clear" w:color="auto" w:fill="FFFFFF"/>
            <w:vAlign w:val="center"/>
          </w:tcPr>
          <w:p w14:paraId="7D59573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14:paraId="6D00CB3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6" w:type="dxa"/>
            <w:shd w:val="clear" w:color="000000" w:fill="FFFFFF"/>
            <w:vAlign w:val="center"/>
          </w:tcPr>
          <w:p w14:paraId="15F1E36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22" w:type="dxa"/>
            <w:shd w:val="clear" w:color="000000" w:fill="FFFFFF"/>
            <w:vAlign w:val="center"/>
          </w:tcPr>
          <w:p w14:paraId="73B47F4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299" w:type="dxa"/>
            <w:shd w:val="clear" w:color="000000" w:fill="FFFFFF"/>
            <w:vAlign w:val="center"/>
          </w:tcPr>
          <w:p w14:paraId="449CB33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6F6E2AB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58289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002" w:type="dxa"/>
            <w:vMerge w:val="continue"/>
            <w:shd w:val="clear" w:color="auto" w:fill="FFFFFF"/>
            <w:vAlign w:val="center"/>
          </w:tcPr>
          <w:p w14:paraId="783E75DC">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shd w:val="clear" w:color="auto" w:fill="FFFFFF"/>
            <w:vAlign w:val="center"/>
          </w:tcPr>
          <w:p w14:paraId="621436B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14:paraId="758C529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6" w:type="dxa"/>
            <w:shd w:val="clear" w:color="000000" w:fill="FFFFFF"/>
            <w:vAlign w:val="center"/>
          </w:tcPr>
          <w:p w14:paraId="034B10A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22" w:type="dxa"/>
            <w:shd w:val="clear" w:color="000000" w:fill="FFFFFF"/>
            <w:vAlign w:val="center"/>
          </w:tcPr>
          <w:p w14:paraId="71C71C6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7CEF214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99" w:type="dxa"/>
            <w:shd w:val="clear" w:color="000000" w:fill="FFFFFF"/>
            <w:vAlign w:val="center"/>
          </w:tcPr>
          <w:p w14:paraId="234FD3A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238981EE">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3F0AA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71E7B0D4">
            <w:pPr>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shd w:val="clear" w:color="auto" w:fill="FFFFFF"/>
            <w:vAlign w:val="center"/>
          </w:tcPr>
          <w:p w14:paraId="285D2511">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14:paraId="75DF63C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6" w:type="dxa"/>
            <w:shd w:val="clear" w:color="000000" w:fill="FFFFFF"/>
            <w:vAlign w:val="center"/>
          </w:tcPr>
          <w:p w14:paraId="7E6C3FD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22" w:type="dxa"/>
            <w:shd w:val="clear" w:color="000000" w:fill="FFFFFF"/>
            <w:vAlign w:val="center"/>
          </w:tcPr>
          <w:p w14:paraId="02EB957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299" w:type="dxa"/>
            <w:shd w:val="clear" w:color="000000" w:fill="FFFFFF"/>
            <w:vAlign w:val="center"/>
          </w:tcPr>
          <w:p w14:paraId="305477C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2FD66747">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A6CBA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4019089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shd w:val="clear" w:color="auto" w:fill="FFFFFF"/>
            <w:vAlign w:val="center"/>
          </w:tcPr>
          <w:p w14:paraId="6A8DBA3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77AA04D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6" w:type="dxa"/>
            <w:shd w:val="clear" w:color="000000" w:fill="FFFFFF"/>
            <w:vAlign w:val="center"/>
          </w:tcPr>
          <w:p w14:paraId="673EC44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22" w:type="dxa"/>
            <w:shd w:val="clear" w:color="000000" w:fill="FFFFFF"/>
            <w:vAlign w:val="center"/>
          </w:tcPr>
          <w:p w14:paraId="7FFDE46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299" w:type="dxa"/>
            <w:shd w:val="clear" w:color="000000" w:fill="FFFFFF"/>
            <w:vAlign w:val="center"/>
          </w:tcPr>
          <w:p w14:paraId="4E8C596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6CF3F344">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746FC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34F3010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w:t>
            </w:r>
          </w:p>
        </w:tc>
        <w:tc>
          <w:tcPr>
            <w:tcW w:w="997" w:type="dxa"/>
            <w:vMerge w:val="restart"/>
            <w:shd w:val="clear" w:color="auto" w:fill="FFFFFF"/>
            <w:vAlign w:val="center"/>
          </w:tcPr>
          <w:p w14:paraId="053B463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w:t>
            </w:r>
          </w:p>
        </w:tc>
        <w:tc>
          <w:tcPr>
            <w:tcW w:w="1071" w:type="dxa"/>
            <w:shd w:val="clear" w:color="auto" w:fill="FFFFFF"/>
            <w:vAlign w:val="center"/>
          </w:tcPr>
          <w:p w14:paraId="49491C7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6" w:type="dxa"/>
            <w:shd w:val="clear" w:color="auto" w:fill="FFFFFF"/>
            <w:vAlign w:val="center"/>
          </w:tcPr>
          <w:p w14:paraId="651DEDC5">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22" w:type="dxa"/>
            <w:shd w:val="clear" w:color="auto" w:fill="FFFFFF"/>
            <w:vAlign w:val="center"/>
          </w:tcPr>
          <w:p w14:paraId="297DE68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299" w:type="dxa"/>
            <w:shd w:val="clear" w:color="auto" w:fill="FFFFFF"/>
            <w:vAlign w:val="center"/>
          </w:tcPr>
          <w:p w14:paraId="5EC239C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auto" w:fill="FFFFFF"/>
            <w:vAlign w:val="center"/>
          </w:tcPr>
          <w:p w14:paraId="05EC161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CC2A4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5E17C99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continue"/>
            <w:shd w:val="clear" w:color="auto" w:fill="FFFFFF"/>
            <w:vAlign w:val="center"/>
          </w:tcPr>
          <w:p w14:paraId="246B7F76">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0F7C3B6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6" w:type="dxa"/>
            <w:shd w:val="clear" w:color="000000" w:fill="FFFFFF"/>
            <w:vAlign w:val="center"/>
          </w:tcPr>
          <w:p w14:paraId="4910443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22" w:type="dxa"/>
            <w:shd w:val="clear" w:color="000000" w:fill="FFFFFF"/>
            <w:vAlign w:val="center"/>
          </w:tcPr>
          <w:p w14:paraId="4D51563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299" w:type="dxa"/>
            <w:shd w:val="clear" w:color="000000" w:fill="FFFFFF"/>
            <w:vAlign w:val="center"/>
          </w:tcPr>
          <w:p w14:paraId="5EC0D96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6D237E8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63409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1" w:hRule="atLeast"/>
          <w:jc w:val="center"/>
        </w:trPr>
        <w:tc>
          <w:tcPr>
            <w:tcW w:w="10018" w:type="dxa"/>
            <w:gridSpan w:val="5"/>
            <w:shd w:val="clear" w:color="auto" w:fill="FFFFFF"/>
            <w:vAlign w:val="center"/>
          </w:tcPr>
          <w:p w14:paraId="38E58845">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14:paraId="08C3D40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c>
          <w:tcPr>
            <w:tcW w:w="1366" w:type="dxa"/>
            <w:shd w:val="clear" w:color="000000" w:fill="FFFFFF"/>
            <w:vAlign w:val="center"/>
          </w:tcPr>
          <w:p w14:paraId="0E046951">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14:paraId="642A20B3">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7F76A5A3">
      <w:pPr>
        <w:keepNext w:val="0"/>
        <w:keepLines w:val="0"/>
        <w:pageBreakBefore w:val="0"/>
        <w:widowControl w:val="0"/>
        <w:kinsoku/>
        <w:wordWrap/>
        <w:overflowPunct/>
        <w:topLinePunct w:val="0"/>
        <w:autoSpaceDE/>
        <w:autoSpaceDN/>
        <w:bidi w:val="0"/>
        <w:adjustRightInd/>
        <w:snapToGrid/>
        <w:spacing w:line="240" w:lineRule="atLeast"/>
        <w:jc w:val="left"/>
        <w:textAlignment w:val="auto"/>
        <w:outlineLvl w:val="0"/>
        <w:rPr>
          <w:rFonts w:hint="default" w:ascii="黑体" w:hAnsi="黑体" w:eastAsia="黑体" w:cs="黑体"/>
          <w:b/>
          <w:bCs/>
          <w:i w:val="0"/>
          <w:iCs w:val="0"/>
          <w:color w:val="000000"/>
          <w:kern w:val="0"/>
          <w:sz w:val="32"/>
          <w:szCs w:val="32"/>
          <w:u w:val="none"/>
          <w:lang w:val="en-US" w:eastAsia="zh-CN"/>
        </w:rPr>
      </w:pPr>
      <w:bookmarkStart w:id="68" w:name="_Toc17917"/>
      <w:r>
        <w:rPr>
          <w:rFonts w:hint="eastAsia" w:ascii="黑体" w:hAnsi="黑体" w:eastAsia="黑体" w:cs="黑体"/>
          <w:b/>
          <w:bCs/>
          <w:i w:val="0"/>
          <w:iCs w:val="0"/>
          <w:color w:val="000000"/>
          <w:kern w:val="0"/>
          <w:sz w:val="32"/>
          <w:szCs w:val="32"/>
          <w:u w:val="none"/>
          <w:lang w:val="en-US" w:eastAsia="zh-CN"/>
        </w:rPr>
        <w:t>附件2</w:t>
      </w:r>
      <w:bookmarkEnd w:id="68"/>
      <w:r>
        <w:rPr>
          <w:rFonts w:hint="eastAsia" w:ascii="黑体" w:hAnsi="黑体" w:eastAsia="黑体" w:cs="黑体"/>
          <w:b/>
          <w:bCs/>
          <w:i w:val="0"/>
          <w:iCs w:val="0"/>
          <w:color w:val="000000"/>
          <w:kern w:val="0"/>
          <w:sz w:val="32"/>
          <w:szCs w:val="32"/>
          <w:u w:val="none"/>
          <w:lang w:val="en-US" w:eastAsia="zh-CN"/>
        </w:rPr>
        <w:t>项目支出绩效自评表</w:t>
      </w:r>
    </w:p>
    <w:tbl>
      <w:tblPr>
        <w:tblStyle w:val="16"/>
        <w:tblW w:w="1207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13"/>
        <w:gridCol w:w="584"/>
        <w:gridCol w:w="899"/>
        <w:gridCol w:w="1154"/>
        <w:gridCol w:w="945"/>
        <w:gridCol w:w="1080"/>
        <w:gridCol w:w="735"/>
        <w:gridCol w:w="825"/>
        <w:gridCol w:w="690"/>
        <w:gridCol w:w="840"/>
        <w:gridCol w:w="780"/>
        <w:gridCol w:w="945"/>
        <w:gridCol w:w="630"/>
        <w:gridCol w:w="855"/>
      </w:tblGrid>
      <w:tr w14:paraId="6D576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00" w:hRule="atLeast"/>
        </w:trPr>
        <w:tc>
          <w:tcPr>
            <w:tcW w:w="12075" w:type="dxa"/>
            <w:gridSpan w:val="14"/>
            <w:tcBorders>
              <w:top w:val="nil"/>
              <w:left w:val="nil"/>
              <w:bottom w:val="nil"/>
              <w:right w:val="nil"/>
            </w:tcBorders>
            <w:shd w:val="clear" w:color="auto" w:fill="auto"/>
            <w:tcMar>
              <w:top w:w="15" w:type="dxa"/>
              <w:left w:w="15" w:type="dxa"/>
              <w:right w:w="15" w:type="dxa"/>
            </w:tcMar>
            <w:vAlign w:val="center"/>
          </w:tcPr>
          <w:p w14:paraId="293DB2EE">
            <w:pPr>
              <w:keepNext w:val="0"/>
              <w:keepLines w:val="0"/>
              <w:widowControl/>
              <w:suppressLineNumbers w:val="0"/>
              <w:jc w:val="center"/>
              <w:textAlignment w:val="center"/>
              <w:rPr>
                <w:rFonts w:ascii="华文中宋" w:hAnsi="华文中宋" w:eastAsia="华文中宋" w:cs="华文中宋"/>
                <w:b/>
                <w:i w:val="0"/>
                <w:color w:val="000000"/>
                <w:sz w:val="40"/>
                <w:szCs w:val="40"/>
                <w:u w:val="none"/>
              </w:rPr>
            </w:pPr>
            <w:r>
              <w:rPr>
                <w:rFonts w:hint="default" w:ascii="华文中宋" w:hAnsi="华文中宋" w:eastAsia="华文中宋" w:cs="华文中宋"/>
                <w:b/>
                <w:i w:val="0"/>
                <w:color w:val="000000"/>
                <w:kern w:val="0"/>
                <w:sz w:val="40"/>
                <w:szCs w:val="40"/>
                <w:u w:val="none"/>
                <w:lang w:val="en-US" w:eastAsia="zh-CN"/>
              </w:rPr>
              <w:t>项目支出绩效自评表</w:t>
            </w:r>
          </w:p>
        </w:tc>
      </w:tr>
      <w:tr w14:paraId="53BA1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12075" w:type="dxa"/>
            <w:gridSpan w:val="14"/>
            <w:tcBorders>
              <w:top w:val="nil"/>
              <w:left w:val="nil"/>
              <w:bottom w:val="nil"/>
              <w:right w:val="nil"/>
            </w:tcBorders>
            <w:shd w:val="clear" w:color="auto" w:fill="auto"/>
            <w:tcMar>
              <w:top w:w="15" w:type="dxa"/>
              <w:left w:w="15" w:type="dxa"/>
              <w:right w:w="15" w:type="dxa"/>
            </w:tcMar>
            <w:vAlign w:val="center"/>
          </w:tcPr>
          <w:p w14:paraId="27BE05CC">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   2025 年度）</w:t>
            </w:r>
          </w:p>
        </w:tc>
      </w:tr>
      <w:tr w14:paraId="21149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6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F7D7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项目名称</w:t>
            </w:r>
          </w:p>
        </w:tc>
        <w:tc>
          <w:tcPr>
            <w:tcW w:w="10378"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FA00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水文组织建设与经营成本性支出</w:t>
            </w:r>
          </w:p>
        </w:tc>
      </w:tr>
      <w:tr w14:paraId="6D2AF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6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36D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主管部门</w:t>
            </w:r>
          </w:p>
        </w:tc>
        <w:tc>
          <w:tcPr>
            <w:tcW w:w="481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52D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新疆维吾尔自治区水利厅</w:t>
            </w:r>
          </w:p>
        </w:tc>
        <w:tc>
          <w:tcPr>
            <w:tcW w:w="15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CF8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实施单位</w:t>
            </w:r>
          </w:p>
        </w:tc>
        <w:tc>
          <w:tcPr>
            <w:tcW w:w="405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4E2E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自治区克孜勒苏水文勘测中心</w:t>
            </w:r>
          </w:p>
        </w:tc>
      </w:tr>
      <w:tr w14:paraId="03FEB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69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4FF7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项目资金</w:t>
            </w:r>
            <w:r>
              <w:rPr>
                <w:rFonts w:hint="eastAsia" w:ascii="宋体" w:hAnsi="宋体" w:eastAsia="宋体" w:cs="宋体"/>
                <w:i w:val="0"/>
                <w:color w:val="000000"/>
                <w:kern w:val="0"/>
                <w:sz w:val="18"/>
                <w:szCs w:val="18"/>
                <w:u w:val="none"/>
                <w:lang w:val="en-US" w:eastAsia="zh-CN"/>
              </w:rPr>
              <w:br w:type="textWrapping"/>
            </w:r>
            <w:r>
              <w:rPr>
                <w:rFonts w:hint="eastAsia" w:ascii="宋体" w:hAnsi="宋体" w:eastAsia="宋体" w:cs="宋体"/>
                <w:i w:val="0"/>
                <w:color w:val="000000"/>
                <w:kern w:val="0"/>
                <w:sz w:val="18"/>
                <w:szCs w:val="18"/>
                <w:u w:val="none"/>
                <w:lang w:val="en-US" w:eastAsia="zh-CN"/>
              </w:rPr>
              <w:t>（万元）</w:t>
            </w:r>
          </w:p>
        </w:tc>
        <w:tc>
          <w:tcPr>
            <w:tcW w:w="20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5F7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资金来源</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8A81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年初预算数</w:t>
            </w: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6865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全年预算数</w:t>
            </w:r>
          </w:p>
        </w:tc>
        <w:tc>
          <w:tcPr>
            <w:tcW w:w="15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C6F0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全年执行数</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230E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分值权重</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8692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执行率</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4E17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r>
      <w:tr w14:paraId="376C2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69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217CF">
            <w:pPr>
              <w:jc w:val="center"/>
              <w:rPr>
                <w:rFonts w:hint="eastAsia" w:ascii="宋体" w:hAnsi="宋体" w:eastAsia="宋体" w:cs="宋体"/>
                <w:i w:val="0"/>
                <w:color w:val="000000"/>
                <w:sz w:val="18"/>
                <w:szCs w:val="18"/>
                <w:u w:val="none"/>
              </w:rPr>
            </w:pPr>
          </w:p>
        </w:tc>
        <w:tc>
          <w:tcPr>
            <w:tcW w:w="20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26E8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年度资金总额</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AD8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152</w:t>
            </w: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AB7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152</w:t>
            </w:r>
          </w:p>
        </w:tc>
        <w:tc>
          <w:tcPr>
            <w:tcW w:w="15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6F6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152</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0D74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7F5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8B63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r>
      <w:tr w14:paraId="037C5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69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5AE40">
            <w:pPr>
              <w:jc w:val="center"/>
              <w:rPr>
                <w:rFonts w:hint="eastAsia" w:ascii="宋体" w:hAnsi="宋体" w:eastAsia="宋体" w:cs="宋体"/>
                <w:i w:val="0"/>
                <w:color w:val="000000"/>
                <w:sz w:val="18"/>
                <w:szCs w:val="18"/>
                <w:u w:val="none"/>
              </w:rPr>
            </w:pPr>
          </w:p>
        </w:tc>
        <w:tc>
          <w:tcPr>
            <w:tcW w:w="20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0EF5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其中：当年财政拨款</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93856">
            <w:pPr>
              <w:jc w:val="center"/>
              <w:rPr>
                <w:rFonts w:hint="eastAsia" w:ascii="宋体" w:hAnsi="宋体" w:eastAsia="宋体" w:cs="宋体"/>
                <w:i w:val="0"/>
                <w:color w:val="000000"/>
                <w:sz w:val="18"/>
                <w:szCs w:val="18"/>
                <w:u w:val="none"/>
              </w:rPr>
            </w:pP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D35FE">
            <w:pPr>
              <w:jc w:val="center"/>
              <w:rPr>
                <w:rFonts w:hint="eastAsia" w:ascii="宋体" w:hAnsi="宋体" w:eastAsia="宋体" w:cs="宋体"/>
                <w:i w:val="0"/>
                <w:color w:val="000000"/>
                <w:sz w:val="18"/>
                <w:szCs w:val="18"/>
                <w:u w:val="none"/>
              </w:rPr>
            </w:pPr>
          </w:p>
        </w:tc>
        <w:tc>
          <w:tcPr>
            <w:tcW w:w="15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7FC7E">
            <w:pPr>
              <w:jc w:val="center"/>
              <w:rPr>
                <w:rFonts w:hint="eastAsia" w:ascii="宋体" w:hAnsi="宋体" w:eastAsia="宋体" w:cs="宋体"/>
                <w:i w:val="0"/>
                <w:color w:val="000000"/>
                <w:sz w:val="18"/>
                <w:szCs w:val="18"/>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06C0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4F11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7DB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r>
      <w:tr w14:paraId="31103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69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4880E">
            <w:pPr>
              <w:jc w:val="center"/>
              <w:rPr>
                <w:rFonts w:hint="eastAsia" w:ascii="宋体" w:hAnsi="宋体" w:eastAsia="宋体" w:cs="宋体"/>
                <w:i w:val="0"/>
                <w:color w:val="000000"/>
                <w:sz w:val="18"/>
                <w:szCs w:val="18"/>
                <w:u w:val="none"/>
              </w:rPr>
            </w:pPr>
          </w:p>
        </w:tc>
        <w:tc>
          <w:tcPr>
            <w:tcW w:w="2053"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4BFD4B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其他资金</w:t>
            </w:r>
          </w:p>
        </w:tc>
        <w:tc>
          <w:tcPr>
            <w:tcW w:w="94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FF30EE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152</w:t>
            </w:r>
          </w:p>
        </w:tc>
        <w:tc>
          <w:tcPr>
            <w:tcW w:w="1815"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6337E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152</w:t>
            </w:r>
          </w:p>
        </w:tc>
        <w:tc>
          <w:tcPr>
            <w:tcW w:w="1515"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829DC3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152</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65A9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6329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3A3D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r>
      <w:tr w14:paraId="0E2CD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6FE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年度总体目标</w:t>
            </w:r>
          </w:p>
        </w:tc>
        <w:tc>
          <w:tcPr>
            <w:tcW w:w="691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193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总体目标</w:t>
            </w:r>
          </w:p>
        </w:tc>
        <w:tc>
          <w:tcPr>
            <w:tcW w:w="405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C82D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总体目标完成情况</w:t>
            </w:r>
          </w:p>
        </w:tc>
      </w:tr>
      <w:tr w14:paraId="31FFC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16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2B702">
            <w:pPr>
              <w:jc w:val="center"/>
              <w:rPr>
                <w:rFonts w:hint="eastAsia" w:ascii="宋体" w:hAnsi="宋体" w:eastAsia="宋体" w:cs="宋体"/>
                <w:i w:val="0"/>
                <w:color w:val="000000"/>
                <w:sz w:val="18"/>
                <w:szCs w:val="18"/>
                <w:u w:val="none"/>
              </w:rPr>
            </w:pPr>
          </w:p>
        </w:tc>
        <w:tc>
          <w:tcPr>
            <w:tcW w:w="691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9839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随着社会经济的发展，水文现代化、信息化、自动化建设方面的投入加大，为防洪报汛、水文测验等工作带来高效、快捷便利的同时，也带来了管理维护工作的投入加大和对人员素质提高的需要。介于上述原因，为保证水文各项工作满足当前发展的需要，对水文组织建设及行政管理工作应加大力度，通过开展安全、党建、民族团结等意识形态活动，从组织上、管理上对水文业务工作起到保证作用，以促进各项工作任务的完成。科技咨询和技术支持服务满足服务单位的各种水文服务要求，保障质量。</w:t>
            </w:r>
          </w:p>
        </w:tc>
        <w:tc>
          <w:tcPr>
            <w:tcW w:w="405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355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通过完成技术服务、安全、党建、民族团结等意识形态等活动。达到1.为防洪报汛、水文测验等工作带来高效、快捷便利的同时，也带来了管理维护工作的投入加大和对人员素质提高的需要。2.科技咨询和技术支持服务满足服务单位的各种水文服务要求，保障质量的效益。</w:t>
            </w:r>
          </w:p>
        </w:tc>
      </w:tr>
      <w:tr w14:paraId="36B1A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57FD2">
            <w:pPr>
              <w:jc w:val="center"/>
              <w:rPr>
                <w:rFonts w:hint="eastAsia" w:ascii="宋体" w:hAnsi="宋体" w:eastAsia="宋体" w:cs="宋体"/>
                <w:i w:val="0"/>
                <w:color w:val="000000"/>
                <w:sz w:val="18"/>
                <w:szCs w:val="18"/>
                <w:u w:val="none"/>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3C03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一级指标</w:t>
            </w:r>
          </w:p>
        </w:tc>
        <w:tc>
          <w:tcPr>
            <w:tcW w:w="8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DC6E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二级指标</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EF6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三级指标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06E9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7DEB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指标值设置依据</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2AE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上年完成值</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9D77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指标分值权重</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C8F7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指标赋分规则</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9927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佐证资料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66DB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指标实际完成值</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DD87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完成率</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CA16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指标得分</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705F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偏差原因分析及改进措施</w:t>
            </w:r>
          </w:p>
        </w:tc>
      </w:tr>
      <w:tr w14:paraId="20652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80"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CEE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年度绩效指标完成情况</w:t>
            </w:r>
          </w:p>
        </w:tc>
        <w:tc>
          <w:tcPr>
            <w:tcW w:w="5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0482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产出指标</w:t>
            </w:r>
          </w:p>
        </w:tc>
        <w:tc>
          <w:tcPr>
            <w:tcW w:w="89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943FEB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数量指标</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F35E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开展安全、党建、等宣传数量</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F7C8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&gt;=7次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F22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7E2B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7次</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ED27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493D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2AD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0626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7次</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B37B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FC5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D650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14:paraId="0E2BA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73709">
            <w:pPr>
              <w:jc w:val="center"/>
              <w:rPr>
                <w:rFonts w:hint="eastAsia" w:ascii="宋体" w:hAnsi="宋体" w:eastAsia="宋体" w:cs="宋体"/>
                <w:i w:val="0"/>
                <w:color w:val="000000"/>
                <w:sz w:val="18"/>
                <w:szCs w:val="18"/>
                <w:u w:val="none"/>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ED5A9">
            <w:pPr>
              <w:jc w:val="center"/>
              <w:rPr>
                <w:rFonts w:hint="eastAsia" w:ascii="宋体" w:hAnsi="宋体" w:eastAsia="宋体" w:cs="宋体"/>
                <w:i w:val="0"/>
                <w:color w:val="000000"/>
                <w:sz w:val="18"/>
                <w:szCs w:val="18"/>
                <w:u w:val="none"/>
              </w:rPr>
            </w:pPr>
          </w:p>
        </w:tc>
        <w:tc>
          <w:tcPr>
            <w:tcW w:w="8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FBE8CF0">
            <w:pPr>
              <w:jc w:val="center"/>
              <w:rPr>
                <w:rFonts w:hint="eastAsia" w:ascii="宋体" w:hAnsi="宋体" w:eastAsia="宋体" w:cs="宋体"/>
                <w:i w:val="0"/>
                <w:color w:val="000000"/>
                <w:sz w:val="18"/>
                <w:szCs w:val="18"/>
                <w:u w:val="none"/>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4F1D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保障基本办公人数</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1A8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&gt;=21人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9898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6DC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21人</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587C4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B29B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EFDE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A3F4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21人</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21F5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1E46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10E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14:paraId="526B7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31EA2">
            <w:pPr>
              <w:jc w:val="center"/>
              <w:rPr>
                <w:rFonts w:hint="eastAsia" w:ascii="宋体" w:hAnsi="宋体" w:eastAsia="宋体" w:cs="宋体"/>
                <w:i w:val="0"/>
                <w:color w:val="000000"/>
                <w:sz w:val="18"/>
                <w:szCs w:val="18"/>
                <w:u w:val="none"/>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434D6">
            <w:pPr>
              <w:jc w:val="center"/>
              <w:rPr>
                <w:rFonts w:hint="eastAsia" w:ascii="宋体" w:hAnsi="宋体" w:eastAsia="宋体" w:cs="宋体"/>
                <w:i w:val="0"/>
                <w:color w:val="000000"/>
                <w:sz w:val="18"/>
                <w:szCs w:val="18"/>
                <w:u w:val="none"/>
              </w:rPr>
            </w:pPr>
          </w:p>
        </w:tc>
        <w:tc>
          <w:tcPr>
            <w:tcW w:w="8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A0EB422">
            <w:pPr>
              <w:jc w:val="center"/>
              <w:rPr>
                <w:rFonts w:hint="eastAsia" w:ascii="宋体" w:hAnsi="宋体" w:eastAsia="宋体" w:cs="宋体"/>
                <w:i w:val="0"/>
                <w:color w:val="000000"/>
                <w:sz w:val="18"/>
                <w:szCs w:val="18"/>
                <w:u w:val="none"/>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4F45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设备采购数量</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229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&gt;=5台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F52C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D9E7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5台</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7EDE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BA83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1300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E2E9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5台</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6F49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4D76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D28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14:paraId="42D48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5FEF6">
            <w:pPr>
              <w:jc w:val="center"/>
              <w:rPr>
                <w:rFonts w:hint="eastAsia" w:ascii="宋体" w:hAnsi="宋体" w:eastAsia="宋体" w:cs="宋体"/>
                <w:i w:val="0"/>
                <w:color w:val="000000"/>
                <w:sz w:val="18"/>
                <w:szCs w:val="18"/>
                <w:u w:val="none"/>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5A54F">
            <w:pPr>
              <w:jc w:val="center"/>
              <w:rPr>
                <w:rFonts w:hint="eastAsia" w:ascii="宋体" w:hAnsi="宋体" w:eastAsia="宋体" w:cs="宋体"/>
                <w:i w:val="0"/>
                <w:color w:val="000000"/>
                <w:sz w:val="18"/>
                <w:szCs w:val="18"/>
                <w:u w:val="none"/>
              </w:rPr>
            </w:pPr>
          </w:p>
        </w:tc>
        <w:tc>
          <w:tcPr>
            <w:tcW w:w="89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4A697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质量指标</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F237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保障基本办公人数达标率</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7D89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&gt;=90%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3FA0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2235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D459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7.5</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D8F6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BED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271A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6C66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959F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7.5</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31B4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14:paraId="7AD4E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61403">
            <w:pPr>
              <w:jc w:val="center"/>
              <w:rPr>
                <w:rFonts w:hint="eastAsia" w:ascii="宋体" w:hAnsi="宋体" w:eastAsia="宋体" w:cs="宋体"/>
                <w:i w:val="0"/>
                <w:color w:val="000000"/>
                <w:sz w:val="18"/>
                <w:szCs w:val="18"/>
                <w:u w:val="none"/>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6B139">
            <w:pPr>
              <w:jc w:val="center"/>
              <w:rPr>
                <w:rFonts w:hint="eastAsia" w:ascii="宋体" w:hAnsi="宋体" w:eastAsia="宋体" w:cs="宋体"/>
                <w:i w:val="0"/>
                <w:color w:val="000000"/>
                <w:sz w:val="18"/>
                <w:szCs w:val="18"/>
                <w:u w:val="none"/>
              </w:rPr>
            </w:pPr>
          </w:p>
        </w:tc>
        <w:tc>
          <w:tcPr>
            <w:tcW w:w="8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24682F0">
            <w:pPr>
              <w:jc w:val="center"/>
              <w:rPr>
                <w:rFonts w:hint="eastAsia" w:ascii="宋体" w:hAnsi="宋体" w:eastAsia="宋体" w:cs="宋体"/>
                <w:i w:val="0"/>
                <w:color w:val="000000"/>
                <w:sz w:val="18"/>
                <w:szCs w:val="18"/>
                <w:u w:val="none"/>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A5B7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设备质量合格率</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7DC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&gt;=90%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1E61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D3A1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FC3B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7.5</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6343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C71E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FB4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8D1D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E429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7.5</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7D8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14:paraId="56345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23BC6">
            <w:pPr>
              <w:jc w:val="center"/>
              <w:rPr>
                <w:rFonts w:hint="eastAsia" w:ascii="宋体" w:hAnsi="宋体" w:eastAsia="宋体" w:cs="宋体"/>
                <w:i w:val="0"/>
                <w:color w:val="000000"/>
                <w:sz w:val="18"/>
                <w:szCs w:val="18"/>
                <w:u w:val="none"/>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3B149">
            <w:pPr>
              <w:jc w:val="center"/>
              <w:rPr>
                <w:rFonts w:hint="eastAsia" w:ascii="宋体" w:hAnsi="宋体" w:eastAsia="宋体" w:cs="宋体"/>
                <w:i w:val="0"/>
                <w:color w:val="000000"/>
                <w:sz w:val="18"/>
                <w:szCs w:val="18"/>
                <w:u w:val="none"/>
              </w:rPr>
            </w:pPr>
          </w:p>
        </w:tc>
        <w:tc>
          <w:tcPr>
            <w:tcW w:w="89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E7A363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时效指标</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8625A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开展安全、党建、等完成及时率</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71B0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&gt;=90%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24E0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005A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C553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F997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F5FE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1F7B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B9CF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F294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01FE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14:paraId="365F1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2A257">
            <w:pPr>
              <w:jc w:val="center"/>
              <w:rPr>
                <w:rFonts w:hint="eastAsia" w:ascii="宋体" w:hAnsi="宋体" w:eastAsia="宋体" w:cs="宋体"/>
                <w:i w:val="0"/>
                <w:color w:val="000000"/>
                <w:sz w:val="18"/>
                <w:szCs w:val="18"/>
                <w:u w:val="none"/>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27CE4">
            <w:pPr>
              <w:jc w:val="center"/>
              <w:rPr>
                <w:rFonts w:hint="eastAsia" w:ascii="宋体" w:hAnsi="宋体" w:eastAsia="宋体" w:cs="宋体"/>
                <w:i w:val="0"/>
                <w:color w:val="000000"/>
                <w:sz w:val="18"/>
                <w:szCs w:val="18"/>
                <w:u w:val="none"/>
              </w:rPr>
            </w:pPr>
          </w:p>
        </w:tc>
        <w:tc>
          <w:tcPr>
            <w:tcW w:w="8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DD5EB26">
            <w:pPr>
              <w:jc w:val="center"/>
              <w:rPr>
                <w:rFonts w:hint="eastAsia" w:ascii="宋体" w:hAnsi="宋体" w:eastAsia="宋体" w:cs="宋体"/>
                <w:i w:val="0"/>
                <w:color w:val="000000"/>
                <w:sz w:val="18"/>
                <w:szCs w:val="18"/>
                <w:u w:val="none"/>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DB73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设备采购按时完成率</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FF81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&gt;=90%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B3AD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1FD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CF0B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3F9A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C91B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1B78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88A8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6D5F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4BB7A">
            <w:pPr>
              <w:keepNext w:val="0"/>
              <w:keepLines w:val="0"/>
              <w:widowControl/>
              <w:suppressLineNumbers w:val="0"/>
              <w:jc w:val="center"/>
              <w:textAlignment w:val="center"/>
              <w:rPr>
                <w:rFonts w:hint="eastAsia" w:ascii="宋体" w:hAnsi="宋体" w:eastAsia="宋体" w:cs="宋体"/>
                <w:i w:val="0"/>
                <w:color w:val="000000"/>
                <w:sz w:val="18"/>
                <w:szCs w:val="18"/>
                <w:u w:val="none"/>
              </w:rPr>
            </w:pPr>
            <w:bookmarkStart w:id="69" w:name="_GoBack"/>
            <w:bookmarkEnd w:id="69"/>
            <w:r>
              <w:rPr>
                <w:rFonts w:hint="eastAsia" w:ascii="宋体" w:hAnsi="宋体" w:eastAsia="宋体" w:cs="宋体"/>
                <w:i w:val="0"/>
                <w:color w:val="000000"/>
                <w:kern w:val="0"/>
                <w:sz w:val="18"/>
                <w:szCs w:val="18"/>
                <w:u w:val="none"/>
                <w:lang w:val="en-US" w:eastAsia="zh-CN"/>
              </w:rPr>
              <w:t>无</w:t>
            </w:r>
          </w:p>
        </w:tc>
      </w:tr>
      <w:tr w14:paraId="080FA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F50DD">
            <w:pPr>
              <w:jc w:val="center"/>
              <w:rPr>
                <w:rFonts w:hint="eastAsia" w:ascii="宋体" w:hAnsi="宋体" w:eastAsia="宋体" w:cs="宋体"/>
                <w:i w:val="0"/>
                <w:color w:val="000000"/>
                <w:sz w:val="18"/>
                <w:szCs w:val="18"/>
                <w:u w:val="none"/>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0EB99">
            <w:pPr>
              <w:jc w:val="center"/>
              <w:rPr>
                <w:rFonts w:hint="eastAsia" w:ascii="宋体" w:hAnsi="宋体" w:eastAsia="宋体" w:cs="宋体"/>
                <w:i w:val="0"/>
                <w:color w:val="000000"/>
                <w:sz w:val="18"/>
                <w:szCs w:val="18"/>
                <w:u w:val="none"/>
              </w:rPr>
            </w:pPr>
          </w:p>
        </w:tc>
        <w:tc>
          <w:tcPr>
            <w:tcW w:w="8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2AFAAF0">
            <w:pPr>
              <w:jc w:val="center"/>
              <w:rPr>
                <w:rFonts w:hint="eastAsia" w:ascii="宋体" w:hAnsi="宋体" w:eastAsia="宋体" w:cs="宋体"/>
                <w:i w:val="0"/>
                <w:color w:val="000000"/>
                <w:sz w:val="18"/>
                <w:szCs w:val="18"/>
                <w:u w:val="none"/>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C34C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人员经费支付及时率</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8E7F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&gt;=90%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A67C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077D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C602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02D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AF47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78B5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A197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0304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C992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14:paraId="266D2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3F484">
            <w:pPr>
              <w:jc w:val="center"/>
              <w:rPr>
                <w:rFonts w:hint="eastAsia" w:ascii="宋体" w:hAnsi="宋体" w:eastAsia="宋体" w:cs="宋体"/>
                <w:i w:val="0"/>
                <w:color w:val="000000"/>
                <w:sz w:val="18"/>
                <w:szCs w:val="18"/>
                <w:u w:val="none"/>
              </w:rPr>
            </w:pPr>
          </w:p>
        </w:tc>
        <w:tc>
          <w:tcPr>
            <w:tcW w:w="5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D6B6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成本指标</w:t>
            </w:r>
          </w:p>
        </w:tc>
        <w:tc>
          <w:tcPr>
            <w:tcW w:w="89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6F82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经济成本指标</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9307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组织能力建设支出</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6BFE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&lt;=62.02万元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CE09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AB34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62.02万元</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BE22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7B13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0490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5D6C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62.02万元</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18DC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F119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1630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14:paraId="4546C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8FAD1">
            <w:pPr>
              <w:jc w:val="center"/>
              <w:rPr>
                <w:rFonts w:hint="eastAsia" w:ascii="宋体" w:hAnsi="宋体" w:eastAsia="宋体" w:cs="宋体"/>
                <w:i w:val="0"/>
                <w:color w:val="000000"/>
                <w:sz w:val="18"/>
                <w:szCs w:val="18"/>
                <w:u w:val="none"/>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A1F51">
            <w:pPr>
              <w:jc w:val="center"/>
              <w:rPr>
                <w:rFonts w:hint="eastAsia" w:ascii="宋体" w:hAnsi="宋体" w:eastAsia="宋体" w:cs="宋体"/>
                <w:i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44988">
            <w:pPr>
              <w:jc w:val="center"/>
              <w:rPr>
                <w:rFonts w:hint="eastAsia" w:ascii="宋体" w:hAnsi="宋体" w:eastAsia="宋体" w:cs="宋体"/>
                <w:i w:val="0"/>
                <w:color w:val="000000"/>
                <w:sz w:val="18"/>
                <w:szCs w:val="18"/>
                <w:u w:val="none"/>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C6B2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弥补测站运行不足</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D501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&lt;=29.68万元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4069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552C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29.68万元</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6224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C38C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3E4E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5B19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29.68万元</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4E20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C2B9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28AC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14:paraId="42E67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8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C861A">
            <w:pPr>
              <w:jc w:val="center"/>
              <w:rPr>
                <w:rFonts w:hint="eastAsia" w:ascii="宋体" w:hAnsi="宋体" w:eastAsia="宋体" w:cs="宋体"/>
                <w:i w:val="0"/>
                <w:color w:val="000000"/>
                <w:sz w:val="18"/>
                <w:szCs w:val="18"/>
                <w:u w:val="none"/>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029DC">
            <w:pPr>
              <w:jc w:val="center"/>
              <w:rPr>
                <w:rFonts w:hint="eastAsia" w:ascii="宋体" w:hAnsi="宋体" w:eastAsia="宋体" w:cs="宋体"/>
                <w:i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10635">
            <w:pPr>
              <w:jc w:val="center"/>
              <w:rPr>
                <w:rFonts w:hint="eastAsia" w:ascii="宋体" w:hAnsi="宋体" w:eastAsia="宋体" w:cs="宋体"/>
                <w:i w:val="0"/>
                <w:color w:val="000000"/>
                <w:sz w:val="18"/>
                <w:szCs w:val="18"/>
                <w:u w:val="none"/>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7780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经营成本性支出</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B8A6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&lt;=60.30万元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B123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99C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60.3万元</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9948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D9B2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2107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4B0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60.3万元</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8737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59B0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02AC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14:paraId="49C72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8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51D25">
            <w:pPr>
              <w:jc w:val="center"/>
              <w:rPr>
                <w:rFonts w:hint="eastAsia" w:ascii="宋体" w:hAnsi="宋体" w:eastAsia="宋体" w:cs="宋体"/>
                <w:i w:val="0"/>
                <w:color w:val="000000"/>
                <w:sz w:val="18"/>
                <w:szCs w:val="18"/>
                <w:u w:val="none"/>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ABA3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效益指标</w:t>
            </w:r>
          </w:p>
        </w:tc>
        <w:tc>
          <w:tcPr>
            <w:tcW w:w="8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B845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社会效益指标</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26F4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使水文测报服务现代化水平有所提高</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9C08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显著</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7547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5F42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显著</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8E89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D861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按评判等级赋分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F629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A244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显著</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BCAB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C492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C77B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14:paraId="52AE4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3750" w:type="dxa"/>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26DAB1D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总分</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334E2">
            <w:pPr>
              <w:jc w:val="center"/>
              <w:rPr>
                <w:rFonts w:hint="eastAsia" w:ascii="宋体" w:hAnsi="宋体" w:eastAsia="宋体" w:cs="宋体"/>
                <w:i w:val="0"/>
                <w:color w:val="000000"/>
                <w:sz w:val="18"/>
                <w:szCs w:val="18"/>
                <w:u w:val="none"/>
              </w:rPr>
            </w:pP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4910278">
            <w:pPr>
              <w:rPr>
                <w:rFonts w:hint="eastAsia" w:ascii="宋体" w:hAnsi="宋体" w:eastAsia="宋体" w:cs="宋体"/>
                <w:b/>
                <w:i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44685">
            <w:pPr>
              <w:jc w:val="center"/>
              <w:rPr>
                <w:rFonts w:hint="eastAsia" w:ascii="宋体" w:hAnsi="宋体" w:eastAsia="宋体" w:cs="宋体"/>
                <w:i w:val="0"/>
                <w:color w:val="000000"/>
                <w:sz w:val="18"/>
                <w:szCs w:val="18"/>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6FAE1">
            <w:pPr>
              <w:jc w:val="center"/>
              <w:rPr>
                <w:rFonts w:hint="eastAsia" w:ascii="宋体" w:hAnsi="宋体" w:eastAsia="宋体" w:cs="宋体"/>
                <w:i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BFBA0">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401D7">
            <w:pPr>
              <w:rPr>
                <w:rFonts w:hint="eastAsia" w:ascii="宋体" w:hAnsi="宋体" w:eastAsia="宋体" w:cs="宋体"/>
                <w:i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104127">
            <w:pPr>
              <w:rPr>
                <w:rFonts w:hint="eastAsia" w:ascii="宋体" w:hAnsi="宋体" w:eastAsia="宋体" w:cs="宋体"/>
                <w:i w:val="0"/>
                <w:color w:val="000000"/>
                <w:sz w:val="18"/>
                <w:szCs w:val="18"/>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BAD46">
            <w:pPr>
              <w:rPr>
                <w:rFonts w:hint="eastAsia" w:ascii="宋体" w:hAnsi="宋体" w:eastAsia="宋体" w:cs="宋体"/>
                <w:i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47DA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EF4D6">
            <w:pPr>
              <w:rPr>
                <w:rFonts w:hint="eastAsia" w:ascii="宋体" w:hAnsi="宋体" w:eastAsia="宋体" w:cs="宋体"/>
                <w:i w:val="0"/>
                <w:color w:val="000000"/>
                <w:sz w:val="18"/>
                <w:szCs w:val="18"/>
                <w:u w:val="none"/>
              </w:rPr>
            </w:pPr>
          </w:p>
        </w:tc>
      </w:tr>
    </w:tbl>
    <w:p w14:paraId="29AA885C">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B6292CF-C99F-46D2-83E5-99622213429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55392DCE-90B1-4269-ACB8-1D677C8F12B7}"/>
  </w:font>
  <w:font w:name="华文中宋">
    <w:panose1 w:val="02010600040101010101"/>
    <w:charset w:val="86"/>
    <w:family w:val="auto"/>
    <w:pitch w:val="default"/>
    <w:sig w:usb0="00000287" w:usb1="080F0000" w:usb2="00000000" w:usb3="00000000" w:csb0="0004009F" w:csb1="DFD70000"/>
    <w:embedRegular r:id="rId3" w:fontKey="{10E7F838-D6AC-48A9-BCFD-BCAF2C3F4A71}"/>
  </w:font>
  <w:font w:name="方正小标宋_GBK">
    <w:panose1 w:val="02000000000000000000"/>
    <w:charset w:val="86"/>
    <w:family w:val="script"/>
    <w:pitch w:val="default"/>
    <w:sig w:usb0="A00002BF" w:usb1="38CF7CFA" w:usb2="00082016" w:usb3="00000000" w:csb0="00040001" w:csb1="00000000"/>
    <w:embedRegular r:id="rId4" w:fontKey="{581ABCDD-F639-4376-A348-C11C9864ECEF}"/>
  </w:font>
  <w:font w:name="楷体_GB2312">
    <w:panose1 w:val="02010609030101010101"/>
    <w:charset w:val="86"/>
    <w:family w:val="auto"/>
    <w:pitch w:val="default"/>
    <w:sig w:usb0="00000001" w:usb1="080E0000" w:usb2="00000000" w:usb3="00000000" w:csb0="00040000" w:csb1="00000000"/>
    <w:embedRegular r:id="rId5" w:fontKey="{8E846006-A9AB-4895-AE98-407BD88F05C0}"/>
  </w:font>
  <w:font w:name="楷体">
    <w:panose1 w:val="02010609060101010101"/>
    <w:charset w:val="86"/>
    <w:family w:val="modern"/>
    <w:pitch w:val="default"/>
    <w:sig w:usb0="800002BF" w:usb1="38CF7CFA" w:usb2="00000016" w:usb3="00000000" w:csb0="00040001" w:csb1="00000000"/>
    <w:embedRegular r:id="rId6" w:fontKey="{3015A4A2-B886-45E2-93A1-779356704266}"/>
  </w:font>
  <w:font w:name="方正仿宋_GBK">
    <w:panose1 w:val="02000000000000000000"/>
    <w:charset w:val="86"/>
    <w:family w:val="auto"/>
    <w:pitch w:val="default"/>
    <w:sig w:usb0="A00002BF" w:usb1="38CF7CFA" w:usb2="00082016" w:usb3="00000000" w:csb0="00040001" w:csb1="00000000"/>
    <w:embedRegular r:id="rId7" w:fontKey="{A2ED44EE-1E60-4D3E-A5B6-78441D3B289E}"/>
  </w:font>
  <w:font w:name="WPSEMBED1">
    <w:panose1 w:val="02010609030101010101"/>
    <w:charset w:val="86"/>
    <w:family w:val="auto"/>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62396278">
        <w:pPr>
          <w:pStyle w:val="7"/>
          <w:jc w:val="center"/>
        </w:pPr>
        <w:r>
          <w:fldChar w:fldCharType="begin"/>
        </w:r>
        <w:r>
          <w:instrText xml:space="preserve">PAGE   \* MERGEFORMAT</w:instrText>
        </w:r>
        <w:r>
          <w:fldChar w:fldCharType="separate"/>
        </w:r>
        <w:r>
          <w:rPr>
            <w:lang w:val="zh-CN"/>
          </w:rPr>
          <w:t>13</w:t>
        </w:r>
        <w:r>
          <w:fldChar w:fldCharType="end"/>
        </w:r>
      </w:p>
    </w:sdtContent>
  </w:sdt>
  <w:p w14:paraId="11033EB3">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TrueTypeFonts/>
  <w:saveSubset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D14946"/>
    <w:rsid w:val="00F26FF6"/>
    <w:rsid w:val="011E0236"/>
    <w:rsid w:val="01610122"/>
    <w:rsid w:val="01B80F22"/>
    <w:rsid w:val="02510197"/>
    <w:rsid w:val="030F6088"/>
    <w:rsid w:val="036D1000"/>
    <w:rsid w:val="03EC461B"/>
    <w:rsid w:val="04444A03"/>
    <w:rsid w:val="04820ADC"/>
    <w:rsid w:val="04E47A6E"/>
    <w:rsid w:val="04FC7963"/>
    <w:rsid w:val="057E12A3"/>
    <w:rsid w:val="064C13A1"/>
    <w:rsid w:val="07397B77"/>
    <w:rsid w:val="07EB626D"/>
    <w:rsid w:val="084E1401"/>
    <w:rsid w:val="0AD007F3"/>
    <w:rsid w:val="0ADF24E1"/>
    <w:rsid w:val="0AFC15E8"/>
    <w:rsid w:val="0B0E7513"/>
    <w:rsid w:val="0B3F14D4"/>
    <w:rsid w:val="0BAB6B6A"/>
    <w:rsid w:val="0C061FF2"/>
    <w:rsid w:val="0CE42333"/>
    <w:rsid w:val="0DE46363"/>
    <w:rsid w:val="0E3C619F"/>
    <w:rsid w:val="0E6801EC"/>
    <w:rsid w:val="0EFE4AC2"/>
    <w:rsid w:val="0F6F3B45"/>
    <w:rsid w:val="0F8D6B7F"/>
    <w:rsid w:val="11170296"/>
    <w:rsid w:val="11B60016"/>
    <w:rsid w:val="13471461"/>
    <w:rsid w:val="13B90F01"/>
    <w:rsid w:val="141E2B33"/>
    <w:rsid w:val="155E4C4D"/>
    <w:rsid w:val="16290DB7"/>
    <w:rsid w:val="164D0F49"/>
    <w:rsid w:val="16D276A1"/>
    <w:rsid w:val="16E318AE"/>
    <w:rsid w:val="17462648"/>
    <w:rsid w:val="181066D2"/>
    <w:rsid w:val="18177FE3"/>
    <w:rsid w:val="199944A6"/>
    <w:rsid w:val="19AD23A6"/>
    <w:rsid w:val="1A2B4F63"/>
    <w:rsid w:val="1A564145"/>
    <w:rsid w:val="1AD938CB"/>
    <w:rsid w:val="1AE2543D"/>
    <w:rsid w:val="1C671E73"/>
    <w:rsid w:val="1D1125A5"/>
    <w:rsid w:val="1D322C47"/>
    <w:rsid w:val="1E6E5F01"/>
    <w:rsid w:val="1E934856"/>
    <w:rsid w:val="1F1840BF"/>
    <w:rsid w:val="20C067BC"/>
    <w:rsid w:val="23111551"/>
    <w:rsid w:val="23616034"/>
    <w:rsid w:val="239F7906"/>
    <w:rsid w:val="23D4607E"/>
    <w:rsid w:val="241E5A50"/>
    <w:rsid w:val="24264886"/>
    <w:rsid w:val="24342D81"/>
    <w:rsid w:val="24480FA2"/>
    <w:rsid w:val="246663D3"/>
    <w:rsid w:val="25227A45"/>
    <w:rsid w:val="258A1202"/>
    <w:rsid w:val="26AC3A6A"/>
    <w:rsid w:val="26B26BA7"/>
    <w:rsid w:val="27C923FA"/>
    <w:rsid w:val="281178FD"/>
    <w:rsid w:val="294855A0"/>
    <w:rsid w:val="2A6A2778"/>
    <w:rsid w:val="2ADA0E92"/>
    <w:rsid w:val="2AEA2DB3"/>
    <w:rsid w:val="2B9D7E25"/>
    <w:rsid w:val="2BE45A54"/>
    <w:rsid w:val="2C212804"/>
    <w:rsid w:val="2C7C7A3B"/>
    <w:rsid w:val="2C923702"/>
    <w:rsid w:val="2E20089A"/>
    <w:rsid w:val="2E861EE7"/>
    <w:rsid w:val="2EFC0D68"/>
    <w:rsid w:val="2F364819"/>
    <w:rsid w:val="2FD63906"/>
    <w:rsid w:val="31570A76"/>
    <w:rsid w:val="316D029A"/>
    <w:rsid w:val="346C4839"/>
    <w:rsid w:val="35146474"/>
    <w:rsid w:val="36DE12F2"/>
    <w:rsid w:val="37215DAE"/>
    <w:rsid w:val="37F87CF5"/>
    <w:rsid w:val="38CA40DD"/>
    <w:rsid w:val="395104A1"/>
    <w:rsid w:val="395F2B56"/>
    <w:rsid w:val="3AB56EEA"/>
    <w:rsid w:val="3B5D312D"/>
    <w:rsid w:val="3BBA0580"/>
    <w:rsid w:val="3BECE841"/>
    <w:rsid w:val="3C706E90"/>
    <w:rsid w:val="3CDE204C"/>
    <w:rsid w:val="3D363C36"/>
    <w:rsid w:val="3E636CAD"/>
    <w:rsid w:val="3E720C9E"/>
    <w:rsid w:val="3E9C3F6D"/>
    <w:rsid w:val="3FB11C9A"/>
    <w:rsid w:val="3FF7797D"/>
    <w:rsid w:val="3FFF479F"/>
    <w:rsid w:val="401D10DD"/>
    <w:rsid w:val="40215A86"/>
    <w:rsid w:val="40DC2D46"/>
    <w:rsid w:val="41AF2209"/>
    <w:rsid w:val="424B1F31"/>
    <w:rsid w:val="431A7B56"/>
    <w:rsid w:val="43601655"/>
    <w:rsid w:val="458B6AE9"/>
    <w:rsid w:val="45E15804"/>
    <w:rsid w:val="464B69A4"/>
    <w:rsid w:val="46690BD8"/>
    <w:rsid w:val="46953E87"/>
    <w:rsid w:val="47132FF3"/>
    <w:rsid w:val="47501D98"/>
    <w:rsid w:val="47BB35B6"/>
    <w:rsid w:val="47D26417"/>
    <w:rsid w:val="47DB5B06"/>
    <w:rsid w:val="48D013E2"/>
    <w:rsid w:val="49C10D2B"/>
    <w:rsid w:val="49F70BF1"/>
    <w:rsid w:val="4B4340EE"/>
    <w:rsid w:val="4BD55160"/>
    <w:rsid w:val="4BF06537"/>
    <w:rsid w:val="4D9E1AAF"/>
    <w:rsid w:val="4F336227"/>
    <w:rsid w:val="503D507A"/>
    <w:rsid w:val="504B57F2"/>
    <w:rsid w:val="505E1082"/>
    <w:rsid w:val="51FA74D0"/>
    <w:rsid w:val="528A5B24"/>
    <w:rsid w:val="52AA4A52"/>
    <w:rsid w:val="54E56216"/>
    <w:rsid w:val="55005D58"/>
    <w:rsid w:val="55016181"/>
    <w:rsid w:val="550F5041"/>
    <w:rsid w:val="56277B56"/>
    <w:rsid w:val="574A40F1"/>
    <w:rsid w:val="57D91936"/>
    <w:rsid w:val="589C4E3D"/>
    <w:rsid w:val="59943D66"/>
    <w:rsid w:val="59CD3E33"/>
    <w:rsid w:val="59E051FD"/>
    <w:rsid w:val="59E6355E"/>
    <w:rsid w:val="59F974AC"/>
    <w:rsid w:val="5A184997"/>
    <w:rsid w:val="5A3F7C21"/>
    <w:rsid w:val="5B821531"/>
    <w:rsid w:val="5BFF6039"/>
    <w:rsid w:val="5C476399"/>
    <w:rsid w:val="5D6152F1"/>
    <w:rsid w:val="5D76A616"/>
    <w:rsid w:val="5D7F20B9"/>
    <w:rsid w:val="5DAC7D0E"/>
    <w:rsid w:val="5DF254FF"/>
    <w:rsid w:val="5E4F2952"/>
    <w:rsid w:val="5F98B5AF"/>
    <w:rsid w:val="5FFE8511"/>
    <w:rsid w:val="5FFEACE2"/>
    <w:rsid w:val="609D5BF6"/>
    <w:rsid w:val="60E455D3"/>
    <w:rsid w:val="61073070"/>
    <w:rsid w:val="61113EEE"/>
    <w:rsid w:val="61B9080E"/>
    <w:rsid w:val="61DF3FED"/>
    <w:rsid w:val="62A212A2"/>
    <w:rsid w:val="62AA63A9"/>
    <w:rsid w:val="63D95197"/>
    <w:rsid w:val="642B176B"/>
    <w:rsid w:val="643EE26D"/>
    <w:rsid w:val="650224CC"/>
    <w:rsid w:val="656019A0"/>
    <w:rsid w:val="65F242EE"/>
    <w:rsid w:val="666D7E19"/>
    <w:rsid w:val="66C51A03"/>
    <w:rsid w:val="68376930"/>
    <w:rsid w:val="683F3494"/>
    <w:rsid w:val="68F91E38"/>
    <w:rsid w:val="693C387F"/>
    <w:rsid w:val="69767E03"/>
    <w:rsid w:val="6A99742E"/>
    <w:rsid w:val="6B3158B9"/>
    <w:rsid w:val="6BA02A3F"/>
    <w:rsid w:val="6C1E5A53"/>
    <w:rsid w:val="6C7F76DF"/>
    <w:rsid w:val="6DD20F3C"/>
    <w:rsid w:val="6F5C41AC"/>
    <w:rsid w:val="6FAF6C78"/>
    <w:rsid w:val="6FD66A2F"/>
    <w:rsid w:val="701B08E6"/>
    <w:rsid w:val="707A7747"/>
    <w:rsid w:val="70C565A1"/>
    <w:rsid w:val="716167CC"/>
    <w:rsid w:val="718A7AD1"/>
    <w:rsid w:val="72A44BC2"/>
    <w:rsid w:val="72F67375"/>
    <w:rsid w:val="7317C656"/>
    <w:rsid w:val="734ED73F"/>
    <w:rsid w:val="73C82B32"/>
    <w:rsid w:val="73F94DAE"/>
    <w:rsid w:val="74220495"/>
    <w:rsid w:val="747D1B6F"/>
    <w:rsid w:val="749E5641"/>
    <w:rsid w:val="756B19C7"/>
    <w:rsid w:val="758B206A"/>
    <w:rsid w:val="76271066"/>
    <w:rsid w:val="7755292F"/>
    <w:rsid w:val="77FD8BE9"/>
    <w:rsid w:val="78000AED"/>
    <w:rsid w:val="78DD2BDC"/>
    <w:rsid w:val="78FE2B52"/>
    <w:rsid w:val="79055C6B"/>
    <w:rsid w:val="79A9BD3F"/>
    <w:rsid w:val="7AD26F88"/>
    <w:rsid w:val="7B346CFF"/>
    <w:rsid w:val="7B776F12"/>
    <w:rsid w:val="7BBD6CF5"/>
    <w:rsid w:val="7BC40083"/>
    <w:rsid w:val="7BFFFDD0"/>
    <w:rsid w:val="7C091F3A"/>
    <w:rsid w:val="7C336E5F"/>
    <w:rsid w:val="7C466CEA"/>
    <w:rsid w:val="7C8D4919"/>
    <w:rsid w:val="7CBE4AD3"/>
    <w:rsid w:val="7D7A5F86"/>
    <w:rsid w:val="7DA71A0B"/>
    <w:rsid w:val="7E4B683A"/>
    <w:rsid w:val="7E5E656D"/>
    <w:rsid w:val="7E8F2BCB"/>
    <w:rsid w:val="7E955D07"/>
    <w:rsid w:val="7EA5419C"/>
    <w:rsid w:val="7EAF0B77"/>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toc 3"/>
    <w:basedOn w:val="1"/>
    <w:next w:val="1"/>
    <w:qFormat/>
    <w:uiPriority w:val="0"/>
    <w:pPr>
      <w:ind w:left="840" w:leftChars="400"/>
    </w:pPr>
  </w:style>
  <w:style w:type="paragraph" w:styleId="6">
    <w:name w:val="Balloon Text"/>
    <w:basedOn w:val="1"/>
    <w:link w:val="25"/>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pPr>
      <w:tabs>
        <w:tab w:val="right" w:leader="dot" w:pos="7980"/>
        <w:tab w:val="right" w:leader="dot" w:pos="8190"/>
      </w:tabs>
    </w:pPr>
    <w:rPr>
      <w:rFonts w:ascii="Calibri" w:hAnsi="Calibri" w:eastAsia="仿宋_GB2312" w:cs="Times New Roman"/>
      <w:sz w:val="32"/>
    </w:rPr>
  </w:style>
  <w:style w:type="paragraph" w:styleId="10">
    <w:name w:val="toc 4"/>
    <w:basedOn w:val="1"/>
    <w:next w:val="1"/>
    <w:qFormat/>
    <w:uiPriority w:val="0"/>
    <w:pPr>
      <w:ind w:left="1260" w:leftChars="600"/>
    </w:pPr>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rPr>
  </w:style>
  <w:style w:type="paragraph" w:styleId="13">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4">
    <w:name w:val="Body Text First Indent"/>
    <w:basedOn w:val="2"/>
    <w:qFormat/>
    <w:uiPriority w:val="0"/>
    <w:pPr>
      <w:spacing w:after="0"/>
      <w:ind w:firstLine="200" w:firstLineChars="200"/>
    </w:pPr>
  </w:style>
  <w:style w:type="paragraph" w:styleId="15">
    <w:name w:val="Body Text First Indent 2"/>
    <w:basedOn w:val="4"/>
    <w:qFormat/>
    <w:uiPriority w:val="0"/>
    <w:pPr>
      <w:ind w:firstLine="420" w:firstLineChars="200"/>
    </w:p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paragraph" w:customStyle="1" w:styleId="20">
    <w:name w:val="Comment Text"/>
    <w:basedOn w:val="1"/>
    <w:link w:val="27"/>
    <w:qFormat/>
    <w:uiPriority w:val="0"/>
    <w:pPr>
      <w:jc w:val="left"/>
    </w:pPr>
  </w:style>
  <w:style w:type="paragraph" w:customStyle="1" w:styleId="21">
    <w:name w:val="Comment Subject"/>
    <w:basedOn w:val="20"/>
    <w:next w:val="20"/>
    <w:link w:val="28"/>
    <w:qFormat/>
    <w:uiPriority w:val="0"/>
    <w:rPr>
      <w:b/>
      <w:bCs/>
    </w:rPr>
  </w:style>
  <w:style w:type="character" w:customStyle="1" w:styleId="22">
    <w:name w:val="Comment Reference"/>
    <w:basedOn w:val="18"/>
    <w:qFormat/>
    <w:uiPriority w:val="0"/>
    <w:rPr>
      <w:sz w:val="21"/>
      <w:szCs w:val="21"/>
    </w:rPr>
  </w:style>
  <w:style w:type="character" w:customStyle="1" w:styleId="23">
    <w:name w:val="fontstyle01"/>
    <w:qFormat/>
    <w:uiPriority w:val="0"/>
    <w:rPr>
      <w:rFonts w:ascii="仿宋_GB2312" w:hAnsi="仿宋_GB2312" w:eastAsia="仿宋_GB2312" w:cs="仿宋_GB2312"/>
      <w:color w:val="000000"/>
      <w:sz w:val="32"/>
      <w:szCs w:val="32"/>
    </w:rPr>
  </w:style>
  <w:style w:type="paragraph" w:customStyle="1" w:styleId="24">
    <w:name w:val="闻政-正文段落文字"/>
    <w:basedOn w:val="1"/>
    <w:qFormat/>
    <w:uiPriority w:val="3"/>
    <w:pPr>
      <w:spacing w:line="500" w:lineRule="exact"/>
      <w:ind w:firstLine="200"/>
    </w:pPr>
    <w:rPr>
      <w:kern w:val="0"/>
      <w:szCs w:val="28"/>
    </w:rPr>
  </w:style>
  <w:style w:type="character" w:customStyle="1" w:styleId="25">
    <w:name w:val="批注框文本 字符"/>
    <w:basedOn w:val="18"/>
    <w:link w:val="6"/>
    <w:qFormat/>
    <w:uiPriority w:val="0"/>
    <w:rPr>
      <w:rFonts w:ascii="Times New Roman" w:hAnsi="Times New Roman" w:eastAsia="宋体" w:cs="Times New Roman"/>
      <w:kern w:val="2"/>
      <w:sz w:val="18"/>
      <w:szCs w:val="18"/>
    </w:rPr>
  </w:style>
  <w:style w:type="character" w:customStyle="1" w:styleId="26">
    <w:name w:val="页眉 字符"/>
    <w:basedOn w:val="18"/>
    <w:link w:val="8"/>
    <w:qFormat/>
    <w:uiPriority w:val="0"/>
    <w:rPr>
      <w:rFonts w:ascii="Times New Roman" w:hAnsi="Times New Roman" w:eastAsia="宋体" w:cs="Times New Roman"/>
      <w:kern w:val="2"/>
      <w:sz w:val="18"/>
      <w:szCs w:val="18"/>
    </w:rPr>
  </w:style>
  <w:style w:type="character" w:customStyle="1" w:styleId="27">
    <w:name w:val="批注文字 字符"/>
    <w:basedOn w:val="18"/>
    <w:link w:val="20"/>
    <w:qFormat/>
    <w:uiPriority w:val="0"/>
    <w:rPr>
      <w:rFonts w:ascii="Times New Roman" w:hAnsi="Times New Roman" w:eastAsia="宋体" w:cs="Times New Roman"/>
      <w:kern w:val="2"/>
      <w:sz w:val="21"/>
      <w:szCs w:val="24"/>
    </w:rPr>
  </w:style>
  <w:style w:type="character" w:customStyle="1" w:styleId="28">
    <w:name w:val="批注主题 字符"/>
    <w:basedOn w:val="27"/>
    <w:link w:val="2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45e20d72-937f-4962-8472-4de0c102f286</errorID>
      <errorWord>。</errorWord>
      <group>L1_Format</group>
      <groupName>格式问题</groupName>
      <ability>L2_HalfPunc</ability>
      <abilityName>全半角检查</abilityName>
      <candidateList>
        <item>.</item>
      </candidateList>
      <explain>文本全半角错误。</explain>
      <paraID>3E9A9918</paraID>
      <start>8</start>
      <end>9</end>
      <status>unmodified</status>
      <modifiedWord/>
      <trackRevisions>false</trackRevisions>
    </reviewItem>
    <reviewItem>
      <errorID>1b9dd8c3-a43b-48a0-9cc1-f978e3708480</errorID>
      <errorWord>截止</errorWord>
      <group>L1_Word</group>
      <groupName>字词问题</groupName>
      <ability>L2_Typo</ability>
      <abilityName>字词错误</abilityName>
      <candidateList>
        <item>截至</item>
      </candidateList>
      <explain>存在发音相同字词的误用。</explain>
      <paraID> 457426D</paraID>
      <start>0</start>
      <end>2</end>
      <status>unmodified</status>
      <modifiedWord/>
      <trackRevisions>false</trackRevisions>
    </reviewItem>
    <reviewItem>
      <errorID>e8ba54ce-baa7-475d-99c6-233192aa3e54</errorID>
      <errorWord>。</errorWord>
      <group>L1_Format</group>
      <groupName>格式问题</groupName>
      <ability>L2_HalfPunc</ability>
      <abilityName>全半角检查</abilityName>
      <candidateList>
        <item>.</item>
      </candidateList>
      <explain>文本全半角错误。</explain>
      <paraID>30279065</paraID>
      <start>7</start>
      <end>8</end>
      <status>unmodified</status>
      <modifiedWord/>
      <trackRevisions>false</trackRevisions>
    </reviewItem>
    <reviewItem>
      <errorID>4306161c-cc73-4d5d-899b-3ad7778cbc8d</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3321091D</paraID>
      <start>44</start>
      <end>45</end>
      <status>unmodified</status>
      <modifiedWord/>
      <trackRevisions>false</trackRevisions>
    </reviewItem>
    <reviewItem>
      <errorID>1a4917e4-f86b-4557-91f3-ca5ca0cb3e8f</errorID>
      <errorWord>有效</errorWord>
      <group>L1_AI</group>
      <groupName>深度校对</groupName>
      <ability>L2_AI_Word</ability>
      <abilityName>字词纠错</abilityName>
      <candidateList>
        <item>高效</item>
      </candidateList>
      <explain/>
      <paraID>16346F89</paraID>
      <start>50</start>
      <end>52</end>
      <status>unmodified</status>
      <modifiedWord/>
      <trackRevisions>false</trackRevisions>
    </reviewItem>
    <reviewItem>
      <errorID>c85b7490-1c65-4ecf-938c-361167504336</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5A220F80</paraID>
      <start>73</start>
      <end>74</end>
      <status>unmodified</status>
      <modifiedWord/>
      <trackRevisions>false</trackRevisions>
    </reviewItem>
    <reviewItem>
      <errorID>d0b10219-06b7-4896-b8ef-b9804418d9ad</errorID>
      <errorWord>，</errorWord>
      <group>L1_Word</group>
      <groupName>字词问题</groupName>
      <ability>L2_Typo</ability>
      <abilityName>字词错误</abilityName>
      <candidateList>
        <item>，在</item>
      </candidateList>
      <explain/>
      <paraID>65871231</paraID>
      <start>167</start>
      <end>168</end>
      <status>unmodified</status>
      <modifiedWord/>
      <trackRevisions>false</trackRevisions>
    </reviewItem>
    <reviewItem>
      <errorID>8a165de5-83d3-4926-81f9-b6f81efde2f4</errorID>
      <errorWord>，]</errorWord>
      <group>L1_Punc</group>
      <groupName>标点问题</groupName>
      <ability>L2_Punc</ability>
      <abilityName>标点符号检查</abilityName>
      <candidateList>
        <item>]</item>
      </candidateList>
      <explain/>
      <paraID>65871231</paraID>
      <start>254</start>
      <end>256</end>
      <status>unmodified</status>
      <modifiedWord/>
      <trackRevisions>false</trackRevisions>
    </reviewItem>
    <reviewItem>
      <errorID>512c3262-c393-45c8-8d64-c2a71901a756</errorID>
      <errorWord>全</errorWord>
      <group>L1_Word</group>
      <groupName>字词问题</groupName>
      <ability>L2_Typo</ability>
      <abilityName>字词错误</abilityName>
      <candidateList>
        <item>全过</item>
      </candidateList>
      <explain/>
      <paraID>6F9EC0D6</paraID>
      <start>93</start>
      <end>94</end>
      <status>unmodified</status>
      <modifiedWord/>
      <trackRevisions>false</trackRevisions>
    </reviewItem>
    <reviewItem>
      <errorID>5106591d-84f4-4d63-9b9c-587b5ad5e130</errorID>
      <errorWord>预算法</errorWord>
      <group>L1_Knowledge</group>
      <groupName>知识性问题</groupName>
      <ability>L2_Knowledge</ability>
      <abilityName>其他知识</abilityName>
      <candidateList>
        <item>中华人民共和国预算法</item>
      </candidateList>
      <explain>当前法律法规名称使用简称，请注意是否应当使用全称。</explain>
      <paraID>5AAC8898</paraID>
      <start>11</start>
      <end>14</end>
      <status>unmodified</status>
      <modifiedWord/>
      <trackRevisions>false</trackRevisions>
    </reviewItem>
    <reviewItem>
      <errorID>2a2b42f8-295c-4512-b805-342bdf713b4d</errorID>
      <errorWord>全</errorWord>
      <group>L1_Word</group>
      <groupName>字词问题</groupName>
      <ability>L2_Typo</ability>
      <abilityName>字词错误</abilityName>
      <candidateList>
        <item>全过</item>
      </candidateList>
      <explain/>
      <paraID>5AAC8898</paraID>
      <start>52</start>
      <end>53</end>
      <status>unmodified</status>
      <modifiedWord/>
      <trackRevisions>false</trackRevisions>
    </reviewItem>
    <reviewItem>
      <errorID>bcf2854b-01f9-46a4-9fca-3eebda9ffc02</errorID>
      <errorWord>-</errorWord>
      <group>L1_Format</group>
      <groupName>格式问题</groupName>
      <ability>L2_HalfPunc</ability>
      <abilityName>全半角检查</abilityName>
      <candidateList>
        <item>－</item>
      </candidateList>
      <explain>文本全半角错误。</explain>
      <paraID>5AAC8898</paraID>
      <start>70</start>
      <end>71</end>
      <status>unmodified</status>
      <modifiedWord/>
      <trackRevisions>false</trackRevisions>
    </reviewItem>
    <reviewItem>
      <errorID>703f9911-f9f8-4187-b3bf-1ce8c553e755</errorID>
      <errorWord>-</errorWord>
      <group>L1_Format</group>
      <groupName>格式问题</groupName>
      <ability>L2_HalfPunc</ability>
      <abilityName>全半角检查</abilityName>
      <candidateList>
        <item>－</item>
      </candidateList>
      <explain>文本全半角错误。</explain>
      <paraID>5AAC8898</paraID>
      <start>73</start>
      <end>74</end>
      <status>unmodified</status>
      <modifiedWord/>
      <trackRevisions>false</trackRevisions>
    </reviewItem>
    <reviewItem>
      <errorID>55349a2b-6432-44f7-adbb-f8ff1519a86f</errorID>
      <errorWord>：，</errorWord>
      <group>L1_Punc</group>
      <groupName>标点问题</groupName>
      <ability>L2_Punc</ability>
      <abilityName>标点符号检查</abilityName>
      <candidateList>
        <item>：</item>
      </candidateList>
      <explain/>
      <paraID>38E5CE84</paraID>
      <start>12</start>
      <end>14</end>
      <status>unmodified</status>
      <modifiedWord/>
      <trackRevisions>false</trackRevisions>
    </reviewItem>
    <reviewItem>
      <errorID>3ad2527a-4be4-4184-813e-2fe945cbfedf</errorID>
      <errorWord>：，</errorWord>
      <group>L1_Punc</group>
      <groupName>标点问题</groupName>
      <ability>L2_Punc</ability>
      <abilityName>标点符号检查</abilityName>
      <candidateList>
        <item>：</item>
      </candidateList>
      <explain/>
      <paraID>38E5CE84</paraID>
      <start>19</start>
      <end>21</end>
      <status>unmodified</status>
      <modifiedWord/>
      <trackRevisions>false</trackRevisions>
    </reviewItem>
    <reviewItem>
      <errorID>d6f0377f-83ac-4598-a2be-86396db3c124</errorID>
      <errorWord>：，</errorWord>
      <group>L1_Punc</group>
      <groupName>标点问题</groupName>
      <ability>L2_Punc</ability>
      <abilityName>标点符号检查</abilityName>
      <candidateList>
        <item>：</item>
      </candidateList>
      <explain/>
      <paraID>2ED61372</paraID>
      <start>12</start>
      <end>14</end>
      <status>unmodified</status>
      <modifiedWord/>
      <trackRevisions>false</trackRevisions>
    </reviewItem>
    <reviewItem>
      <errorID>7f59fd71-1dc0-4fcd-9797-1deeb8024d07</errorID>
      <errorWord>：，</errorWord>
      <group>L1_Punc</group>
      <groupName>标点问题</groupName>
      <ability>L2_Punc</ability>
      <abilityName>标点符号检查</abilityName>
      <candidateList>
        <item>：</item>
      </candidateList>
      <explain/>
      <paraID>2ED61372</paraID>
      <start>19</start>
      <end>21</end>
      <status>unmodified</status>
      <modifiedWord/>
      <trackRevisions>false</trackRevisions>
    </reviewItem>
    <reviewItem>
      <errorID>72eec153-67b9-4cdc-8b85-102bda3291c8</errorID>
      <errorWord>：，</errorWord>
      <group>L1_Punc</group>
      <groupName>标点问题</groupName>
      <ability>L2_Punc</ability>
      <abilityName>标点符号检查</abilityName>
      <candidateList>
        <item>：</item>
      </candidateList>
      <explain/>
      <paraID>4CFBFDBB</paraID>
      <start>12</start>
      <end>14</end>
      <status>unmodified</status>
      <modifiedWord/>
      <trackRevisions>false</trackRevisions>
    </reviewItem>
    <reviewItem>
      <errorID>f8ebcd7f-be01-44ad-a3fc-14814c04d595</errorID>
      <errorWord>：，</errorWord>
      <group>L1_Punc</group>
      <groupName>标点问题</groupName>
      <ability>L2_Punc</ability>
      <abilityName>标点符号检查</abilityName>
      <candidateList>
        <item>：</item>
      </candidateList>
      <explain/>
      <paraID>4CFBFDBB</paraID>
      <start>19</start>
      <end>21</end>
      <status>unmodified</status>
      <modifiedWord/>
      <trackRevisions>false</trackRevisions>
    </reviewItem>
    <reviewItem>
      <errorID>7f5001ba-3d96-49a1-91ae-d78203439ab5</errorID>
      <errorWord>：，</errorWord>
      <group>L1_Punc</group>
      <groupName>标点问题</groupName>
      <ability>L2_Punc</ability>
      <abilityName>标点符号检查</abilityName>
      <candidateList>
        <item>：</item>
      </candidateList>
      <explain/>
      <paraID>10209780</paraID>
      <start>12</start>
      <end>14</end>
      <status>unmodified</status>
      <modifiedWord/>
      <trackRevisions>false</trackRevisions>
    </reviewItem>
    <reviewItem>
      <errorID>bbab4c98-490f-4c70-a6c1-2be9fa30d637</errorID>
      <errorWord>：，</errorWord>
      <group>L1_Punc</group>
      <groupName>标点问题</groupName>
      <ability>L2_Punc</ability>
      <abilityName>标点符号检查</abilityName>
      <candidateList>
        <item>：</item>
      </candidateList>
      <explain/>
      <paraID>10209780</paraID>
      <start>19</start>
      <end>21</end>
      <status>unmodified</status>
      <modifiedWord/>
      <trackRevisions>false</trackRevisions>
    </reviewItem>
    <reviewItem>
      <errorID>afdb7b20-ca68-4fd4-896b-a09588671cff</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5DED8768</paraID>
      <start>0</start>
      <end>2</end>
      <status>unmodified</status>
      <modifiedWord/>
      <trackRevisions>false</trackRevisions>
    </reviewItem>
    <reviewItem>
      <errorID>b715000d-26c2-4fd1-96d5-7ba5b49311f7</errorID>
      <errorWord>；</errorWord>
      <group>L1_Word</group>
      <groupName>字词问题</groupName>
      <ability>L2_Typo</ability>
      <abilityName>字词错误</abilityName>
      <candidateList>
        <item>；在</item>
      </candidateList>
      <explain/>
      <paraID>33C5EBC0</paraID>
      <start>90</start>
      <end>91</end>
      <status>unmodified</status>
      <modifiedWord/>
      <trackRevisions>false</trackRevisions>
    </reviewItem>
    <reviewItem>
      <errorID>e4d8f088-dd4b-423c-b02f-2c3af50e4835</errorID>
      <errorWord>评价</errorWord>
      <group>L1_Word</group>
      <groupName>字词问题</groupName>
      <ability>L2_Typo</ability>
      <abilityName>字词错误</abilityName>
      <candidateList>
        <item>评</item>
      </candidateList>
      <explain/>
      <paraID>47643AFE</paraID>
      <start>83</start>
      <end>85</end>
      <status>unmodified</status>
      <modifiedWord/>
      <trackRevisions>false</trackRevisions>
    </reviewItem>
    <reviewItem>
      <errorID>304693bf-2643-47f6-bf50-3ab183a10772</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581D1A14</paraID>
      <start>0</start>
      <end>2</end>
      <status>unmodified</status>
      <modifiedWord/>
      <trackRevisions>false</trackRevisions>
    </reviewItem>
    <reviewItem>
      <errorID>70b33c7f-3821-4ab4-9635-e406abb915eb</errorID>
      <errorWord>八.</errorWord>
      <group>L1_Format</group>
      <groupName>格式问题</groupName>
      <ability>L2_Ordinal</ability>
      <abilityName>序号格式</abilityName>
      <candidateList>
        <item>八、</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3AB05DC2</paraID>
      <start>0</start>
      <end>2</end>
      <status>unmodified</status>
      <modifiedWord/>
      <trackRevisions>false</trackRevisions>
    </reviewItem>
    <reviewItem>
      <errorID>ba137ec8-6bd5-41cd-8e96-8147271f926c</errorID>
      <errorWord>的明</errorWord>
      <group>L1_Word</group>
      <groupName>字词问题</groupName>
      <ability>L2_Typo</ability>
      <abilityName>字词错误</abilityName>
      <candidateList>
        <item>的</item>
      </candidateList>
      <explain>“的”常用于连接修饰语与名词性中心语，表示属性、所属或描述。</explain>
      <paraID>5E2A108D</paraID>
      <start>39</start>
      <end>41</end>
      <status>unmodified</status>
      <modifiedWord/>
      <trackRevisions>false</trackRevisions>
    </reviewItem>
    <reviewItem>
      <errorID>f57871fa-7967-47ef-bd89-2ff13260ef7d</errorID>
      <errorWord>数</errorWord>
      <group>L1_Word</group>
      <groupName>字词问题</groupName>
      <ability>L2_Typo</ability>
      <abilityName>字词错误</abilityName>
      <candidateList>
        <item>数量</item>
      </candidateList>
      <explain/>
      <paraID>4FDCCD34</paraID>
      <start>30</start>
      <end>31</end>
      <status>unmodified</status>
      <modifiedWord/>
      <trackRevisions>false</trackRevisions>
    </reviewItem>
    <reviewItem>
      <errorID>4fef7e59-228d-47c7-affd-4d9e70818096</errorID>
      <errorWord>位</errorWord>
      <group>L1_Word</group>
      <groupName>字词问题</groupName>
      <ability>L2_Typo</ability>
      <abilityName>字词错误</abilityName>
      <candidateList>
        <item>位在</item>
      </candidateList>
      <explain/>
      <paraID>14FE6675</paraID>
      <start>54</start>
      <end>55</end>
      <status>unmodified</status>
      <modifiedWord/>
      <trackRevisions>false</trackRevisions>
    </reviewItem>
  </reviewItems>
  <config/>
</contractReview>
</file>

<file path=customXml/itemProps1.xml><?xml version="1.0" encoding="utf-8"?>
<ds:datastoreItem xmlns:ds="http://schemas.openxmlformats.org/officeDocument/2006/customXml" ds:itemID="{098f5e91-fa11-413b-836c-246af5bba9a8}">
  <ds:schemaRefs/>
</ds:datastoreItem>
</file>

<file path=docProps/app.xml><?xml version="1.0" encoding="utf-8"?>
<Properties xmlns="http://schemas.openxmlformats.org/officeDocument/2006/extended-properties" xmlns:vt="http://schemas.openxmlformats.org/officeDocument/2006/docPropsVTypes">
  <Template>Normal</Template>
  <Pages>32</Pages>
  <Words>11090</Words>
  <Characters>11424</Characters>
  <Lines>58</Lines>
  <Paragraphs>16</Paragraphs>
  <TotalTime>6</TotalTime>
  <ScaleCrop>false</ScaleCrop>
  <LinksUpToDate>false</LinksUpToDate>
  <CharactersWithSpaces>11498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周丽君</cp:lastModifiedBy>
  <dcterms:modified xsi:type="dcterms:W3CDTF">2026-08-28T10:12:32Z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E2178318065446F998DE0962A8DC7C46_13</vt:lpwstr>
  </property>
  <property fmtid="{D5CDD505-2E9C-101B-9397-08002B2CF9AE}" pid="4" name="KSOTemplateDocerSaveRecord">
    <vt:lpwstr>eyJoZGlkIjoiMjEwMjVmNmU3OTQwZDBjNjI0ZTM3MTBmNDI0OGIzYzIiLCJ1c2VySWQiOiIyMDM3MTI1NTkifQ==</vt:lpwstr>
  </property>
</Properties>
</file>