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新疆维吾尔自治区吐鲁番水文勘测中心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E3FE9C3">
      <w:r>
        <w:br w:type="page"/>
      </w:r>
    </w:p>
    <w:p w14:paraId="17352F41">
      <w:pPr>
        <w:spacing w:line="640" w:lineRule="exact"/>
        <w:jc w:val="center"/>
        <w:outlineLvl w:val="1"/>
      </w:pPr>
      <w:r>
        <w:rPr>
          <w:rFonts w:ascii="黑体" w:hAnsi="黑体" w:eastAsia="黑体"/>
          <w:sz w:val="32"/>
        </w:rPr>
        <w:t>第一部分 单位概况</w:t>
      </w:r>
    </w:p>
    <w:p w14:paraId="30FC9E08">
      <w:pPr>
        <w:spacing w:line="640" w:lineRule="exact"/>
        <w:ind w:firstLine="640"/>
        <w:jc w:val="both"/>
        <w:outlineLvl w:val="2"/>
      </w:pPr>
      <w:r>
        <w:rPr>
          <w:rFonts w:ascii="黑体" w:hAnsi="黑体" w:eastAsia="黑体"/>
          <w:sz w:val="32"/>
        </w:rPr>
        <w:t>一、主要职能</w:t>
      </w:r>
    </w:p>
    <w:p w14:paraId="2C0DB8C5">
      <w:pPr>
        <w:spacing w:line="580" w:lineRule="exact"/>
        <w:ind w:firstLine="640"/>
        <w:jc w:val="both"/>
      </w:pPr>
      <w:r>
        <w:rPr>
          <w:rFonts w:ascii="仿宋_GB2312" w:hAnsi="仿宋_GB2312" w:eastAsia="仿宋_GB2312"/>
          <w:sz w:val="32"/>
        </w:rPr>
        <w:t>吐鲁番水文勘测中心属全额拨款事业单位，主要从事吐鲁番市两县一区各河流水文水资源要素变化规律的研究，担负着本市的水文水资源调查评价、建设项目水资源论证、水环境监测评价、防洪抗旱、</w:t>
      </w:r>
      <w:r>
        <w:rPr>
          <w:rFonts w:hint="eastAsia" w:ascii="仿宋_GB2312" w:hAnsi="仿宋_GB2312" w:eastAsia="仿宋_GB2312"/>
          <w:sz w:val="32"/>
          <w:lang w:eastAsia="zh-CN"/>
        </w:rPr>
        <w:t>水利水电</w:t>
      </w:r>
      <w:r>
        <w:rPr>
          <w:rFonts w:ascii="仿宋_GB2312" w:hAnsi="仿宋_GB2312" w:eastAsia="仿宋_GB2312"/>
          <w:sz w:val="32"/>
        </w:rPr>
        <w:t>建设和为其它国民经济发展提供准确可靠的科学依据的重任。</w:t>
      </w:r>
    </w:p>
    <w:p w14:paraId="666D9F0D">
      <w:pPr>
        <w:spacing w:line="640" w:lineRule="exact"/>
        <w:ind w:firstLine="640"/>
        <w:jc w:val="both"/>
        <w:outlineLvl w:val="2"/>
      </w:pPr>
      <w:r>
        <w:rPr>
          <w:rFonts w:ascii="黑体" w:hAnsi="黑体" w:eastAsia="黑体"/>
          <w:sz w:val="32"/>
        </w:rPr>
        <w:t>二、机构设置</w:t>
      </w:r>
    </w:p>
    <w:p w14:paraId="5AFEAE4C">
      <w:pPr>
        <w:spacing w:line="580" w:lineRule="exact"/>
        <w:ind w:firstLine="640"/>
        <w:jc w:val="both"/>
      </w:pPr>
      <w:r>
        <w:rPr>
          <w:rFonts w:ascii="仿宋_GB2312" w:hAnsi="仿宋_GB2312" w:eastAsia="仿宋_GB2312"/>
          <w:sz w:val="32"/>
        </w:rPr>
        <w:t>新疆维吾尔自治区吐鲁番水文勘测中心无下属预算单位。</w:t>
      </w:r>
    </w:p>
    <w:p w14:paraId="4AF279B5">
      <w:r>
        <w:br w:type="page"/>
      </w:r>
    </w:p>
    <w:p w14:paraId="082EB295">
      <w:pPr>
        <w:spacing w:line="240" w:lineRule="auto"/>
        <w:jc w:val="center"/>
        <w:outlineLvl w:val="1"/>
      </w:pPr>
      <w:r>
        <w:rPr>
          <w:rFonts w:ascii="黑体" w:hAnsi="黑体" w:eastAsia="黑体"/>
          <w:sz w:val="32"/>
        </w:rPr>
        <w:t>第二部分 部门决算情况说明</w:t>
      </w:r>
    </w:p>
    <w:p w14:paraId="7538B8F4">
      <w:pPr>
        <w:spacing w:line="640" w:lineRule="exact"/>
        <w:ind w:firstLine="640"/>
        <w:jc w:val="both"/>
        <w:outlineLvl w:val="2"/>
      </w:pPr>
      <w:r>
        <w:rPr>
          <w:rFonts w:ascii="黑体" w:hAnsi="黑体" w:eastAsia="黑体"/>
          <w:sz w:val="32"/>
        </w:rPr>
        <w:t>一、收入支出决算总体情况说明</w:t>
      </w:r>
    </w:p>
    <w:p w14:paraId="48FFCDCF">
      <w:pPr>
        <w:spacing w:line="580" w:lineRule="exact"/>
        <w:ind w:firstLine="640"/>
        <w:jc w:val="both"/>
      </w:pPr>
      <w:r>
        <w:rPr>
          <w:rFonts w:ascii="仿宋_GB2312" w:hAnsi="仿宋_GB2312" w:eastAsia="仿宋_GB2312"/>
          <w:b/>
          <w:sz w:val="32"/>
        </w:rPr>
        <w:t>2025年度收入总计772.72万元，</w:t>
      </w:r>
      <w:r>
        <w:rPr>
          <w:rFonts w:ascii="仿宋_GB2312" w:hAnsi="仿宋_GB2312" w:eastAsia="仿宋_GB2312"/>
          <w:b w:val="0"/>
          <w:sz w:val="32"/>
        </w:rPr>
        <w:t>其中：本年收入合计752.88万元，使用非财政拨款结余（含专用结余）6.32万元，年初结转和结余13.52万元。</w:t>
      </w:r>
    </w:p>
    <w:p w14:paraId="63548BE4">
      <w:pPr>
        <w:spacing w:line="580" w:lineRule="exact"/>
        <w:ind w:firstLine="640"/>
        <w:jc w:val="both"/>
      </w:pPr>
      <w:r>
        <w:rPr>
          <w:rFonts w:ascii="仿宋_GB2312" w:hAnsi="仿宋_GB2312" w:eastAsia="仿宋_GB2312"/>
          <w:b/>
          <w:sz w:val="32"/>
        </w:rPr>
        <w:t>2025年度支出总计772.72万元，</w:t>
      </w:r>
      <w:r>
        <w:rPr>
          <w:rFonts w:ascii="仿宋_GB2312" w:hAnsi="仿宋_GB2312" w:eastAsia="仿宋_GB2312"/>
          <w:b w:val="0"/>
          <w:sz w:val="32"/>
        </w:rPr>
        <w:t>其中：本年支出合计703.88万元，结余分配1.88万元，年末结转和结余66.95万元。</w:t>
      </w:r>
    </w:p>
    <w:p w14:paraId="204C4016">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增加20.26万元，增长2.69%，主要原因是：本年在职人员增加，在职人员工资调增、社保、公积金基数调增，人员经费增加。2025年补发16个月野勘工资、</w:t>
      </w:r>
      <w:r>
        <w:rPr>
          <w:rFonts w:hint="eastAsia" w:ascii="仿宋_GB2312" w:hAnsi="仿宋_GB2312" w:eastAsia="仿宋_GB2312"/>
          <w:b w:val="0"/>
          <w:sz w:val="32"/>
          <w:lang w:val="en-US" w:eastAsia="zh-CN"/>
        </w:rPr>
        <w:t>做实</w:t>
      </w:r>
      <w:r>
        <w:rPr>
          <w:rFonts w:ascii="仿宋_GB2312" w:hAnsi="仿宋_GB2312" w:eastAsia="仿宋_GB2312"/>
          <w:b w:val="0"/>
          <w:sz w:val="32"/>
        </w:rPr>
        <w:t>2025年职业年金单位缴费。收到单位</w:t>
      </w:r>
      <w:r>
        <w:rPr>
          <w:rFonts w:hint="eastAsia" w:ascii="仿宋_GB2312" w:hAnsi="仿宋_GB2312" w:eastAsia="仿宋_GB2312"/>
          <w:b w:val="0"/>
          <w:sz w:val="32"/>
          <w:lang w:eastAsia="zh-CN"/>
        </w:rPr>
        <w:t>账外资产</w:t>
      </w:r>
      <w:r>
        <w:rPr>
          <w:rFonts w:ascii="仿宋_GB2312" w:hAnsi="仿宋_GB2312" w:eastAsia="仿宋_GB2312"/>
          <w:b w:val="0"/>
          <w:sz w:val="32"/>
        </w:rPr>
        <w:t>处置残值收入及2025年</w:t>
      </w:r>
      <w:r>
        <w:rPr>
          <w:rFonts w:hint="eastAsia" w:ascii="仿宋_GB2312" w:hAnsi="仿宋_GB2312" w:eastAsia="仿宋_GB2312"/>
          <w:b w:val="0"/>
          <w:sz w:val="32"/>
          <w:lang w:val="en-US" w:eastAsia="zh-CN"/>
        </w:rPr>
        <w:t>12</w:t>
      </w:r>
      <w:r>
        <w:rPr>
          <w:rFonts w:ascii="仿宋_GB2312" w:hAnsi="仿宋_GB2312" w:eastAsia="仿宋_GB2312"/>
          <w:b w:val="0"/>
          <w:sz w:val="32"/>
        </w:rPr>
        <w:t>月收到湖南省水文水资源拨付的援疆资金。故其他收入增加。</w:t>
      </w:r>
    </w:p>
    <w:p w14:paraId="5E1272F7">
      <w:pPr>
        <w:spacing w:line="640" w:lineRule="exact"/>
        <w:ind w:firstLine="640"/>
        <w:jc w:val="both"/>
        <w:outlineLvl w:val="2"/>
      </w:pPr>
      <w:r>
        <w:rPr>
          <w:rFonts w:ascii="黑体" w:hAnsi="黑体" w:eastAsia="黑体"/>
          <w:sz w:val="32"/>
        </w:rPr>
        <w:t>二、收入决算情况说明</w:t>
      </w:r>
    </w:p>
    <w:p w14:paraId="1D9A3314">
      <w:pPr>
        <w:spacing w:line="580" w:lineRule="exact"/>
        <w:ind w:firstLine="640"/>
        <w:jc w:val="both"/>
      </w:pPr>
      <w:r>
        <w:rPr>
          <w:rFonts w:ascii="仿宋_GB2312" w:hAnsi="仿宋_GB2312" w:eastAsia="仿宋_GB2312"/>
          <w:b/>
          <w:sz w:val="32"/>
        </w:rPr>
        <w:t>本年收入752.88万元，</w:t>
      </w:r>
      <w:r>
        <w:rPr>
          <w:rFonts w:ascii="仿宋_GB2312" w:hAnsi="仿宋_GB2312" w:eastAsia="仿宋_GB2312"/>
          <w:b w:val="0"/>
          <w:sz w:val="32"/>
        </w:rPr>
        <w:t>其中：财政拨款收入601.53万元，占79.90%；上级补助收入0.00万元，占0.00%；事业收入0.00万元，占0.00%；经营收入130.88万元，占17.38%；附属单位上缴收入0.00万元，占0.00%；其他收入20.47万元，占2.72%。</w:t>
      </w:r>
    </w:p>
    <w:p w14:paraId="457F6337">
      <w:pPr>
        <w:spacing w:line="640" w:lineRule="exact"/>
        <w:ind w:firstLine="640"/>
        <w:jc w:val="both"/>
        <w:outlineLvl w:val="2"/>
      </w:pPr>
      <w:r>
        <w:rPr>
          <w:rFonts w:ascii="黑体" w:hAnsi="黑体" w:eastAsia="黑体"/>
          <w:sz w:val="32"/>
        </w:rPr>
        <w:t>三、支出决算情况说明</w:t>
      </w:r>
    </w:p>
    <w:p w14:paraId="5EA3D5A8">
      <w:pPr>
        <w:spacing w:line="580" w:lineRule="exact"/>
        <w:ind w:firstLine="640"/>
        <w:jc w:val="both"/>
      </w:pPr>
      <w:r>
        <w:rPr>
          <w:rFonts w:ascii="仿宋_GB2312" w:hAnsi="仿宋_GB2312" w:eastAsia="仿宋_GB2312"/>
          <w:b/>
          <w:sz w:val="32"/>
        </w:rPr>
        <w:t>本年支出703.88万元，</w:t>
      </w:r>
      <w:r>
        <w:rPr>
          <w:rFonts w:ascii="仿宋_GB2312" w:hAnsi="仿宋_GB2312" w:eastAsia="仿宋_GB2312"/>
          <w:b w:val="0"/>
          <w:sz w:val="32"/>
        </w:rPr>
        <w:t>其中：基本支出548.96万元，占77.99%；项目支出25.92万元，占3.68%；上缴上级支出0.00万元，占0.00%；经营支出129.00万元，占18.33%；对附属单位补助支出0.00万元，占0.00%。</w:t>
      </w:r>
    </w:p>
    <w:p w14:paraId="3E9CB0DF">
      <w:pPr>
        <w:spacing w:line="640" w:lineRule="exact"/>
        <w:ind w:firstLine="640"/>
        <w:jc w:val="both"/>
        <w:outlineLvl w:val="2"/>
      </w:pPr>
      <w:r>
        <w:rPr>
          <w:rFonts w:ascii="黑体" w:hAnsi="黑体" w:eastAsia="黑体"/>
          <w:sz w:val="32"/>
        </w:rPr>
        <w:t>四、财政拨款收入支出决算总体情况说明</w:t>
      </w:r>
    </w:p>
    <w:p w14:paraId="20332ADC">
      <w:pPr>
        <w:spacing w:line="580" w:lineRule="exact"/>
        <w:ind w:firstLine="640"/>
        <w:jc w:val="both"/>
      </w:pPr>
      <w:r>
        <w:rPr>
          <w:rFonts w:ascii="仿宋_GB2312" w:hAnsi="仿宋_GB2312" w:eastAsia="仿宋_GB2312"/>
          <w:b/>
          <w:sz w:val="32"/>
        </w:rPr>
        <w:t>2025年度财政拨款收入总计615.05万元，</w:t>
      </w:r>
      <w:r>
        <w:rPr>
          <w:rFonts w:ascii="仿宋_GB2312" w:hAnsi="仿宋_GB2312" w:eastAsia="仿宋_GB2312"/>
          <w:b w:val="0"/>
          <w:sz w:val="32"/>
        </w:rPr>
        <w:t>其中：年初财政拨款结转和结余13.52万元，本年财政拨款收入601.53万元。</w:t>
      </w:r>
      <w:r>
        <w:rPr>
          <w:rFonts w:ascii="仿宋_GB2312" w:hAnsi="仿宋_GB2312" w:eastAsia="仿宋_GB2312"/>
          <w:b/>
          <w:sz w:val="32"/>
        </w:rPr>
        <w:t>财政拨款支出总计615.05万元，</w:t>
      </w:r>
      <w:r>
        <w:rPr>
          <w:rFonts w:ascii="仿宋_GB2312" w:hAnsi="仿宋_GB2312" w:eastAsia="仿宋_GB2312"/>
          <w:b w:val="0"/>
          <w:sz w:val="32"/>
        </w:rPr>
        <w:t>其中：年末财政拨款结转和结余46.59万元，本年财政拨款支出568.46万元。</w:t>
      </w:r>
    </w:p>
    <w:p w14:paraId="7516B57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增加2.57万元，增长0.42%，主要原因是：本年在职人员增加，在职人员工资调增、社保、公积金基数调增，人员经费增加。2025年补发16个月野勘工资、</w:t>
      </w:r>
      <w:r>
        <w:rPr>
          <w:rFonts w:hint="eastAsia" w:ascii="仿宋_GB2312" w:hAnsi="仿宋_GB2312" w:eastAsia="仿宋_GB2312"/>
          <w:b w:val="0"/>
          <w:sz w:val="32"/>
          <w:lang w:val="en-US" w:eastAsia="zh-CN"/>
        </w:rPr>
        <w:t>做实</w:t>
      </w:r>
      <w:r>
        <w:rPr>
          <w:rFonts w:ascii="仿宋_GB2312" w:hAnsi="仿宋_GB2312" w:eastAsia="仿宋_GB2312"/>
          <w:b w:val="0"/>
          <w:sz w:val="32"/>
        </w:rPr>
        <w:t>2025年职业年金单位缴费。</w:t>
      </w:r>
      <w:r>
        <w:rPr>
          <w:rFonts w:ascii="仿宋_GB2312" w:hAnsi="仿宋_GB2312" w:eastAsia="仿宋_GB2312"/>
          <w:b/>
          <w:sz w:val="32"/>
        </w:rPr>
        <w:t>与年初预算相比，</w:t>
      </w:r>
      <w:r>
        <w:rPr>
          <w:rFonts w:ascii="仿宋_GB2312" w:hAnsi="仿宋_GB2312" w:eastAsia="仿宋_GB2312"/>
          <w:b w:val="0"/>
          <w:sz w:val="32"/>
        </w:rPr>
        <w:t>年初预算数531.17万元，决算数615.05万元，预决算差异率15.79%，主要原因是：本年在职人员增加，年中追加人员经费及人员工资、社保、公积金基数调增部分资金，支付退休人员缴纳的职业年金和</w:t>
      </w:r>
      <w:r>
        <w:rPr>
          <w:rFonts w:hint="eastAsia" w:ascii="仿宋_GB2312" w:hAnsi="仿宋_GB2312" w:eastAsia="仿宋_GB2312"/>
          <w:b w:val="0"/>
          <w:sz w:val="32"/>
          <w:lang w:val="en-US" w:eastAsia="zh-CN"/>
        </w:rPr>
        <w:t>做实</w:t>
      </w:r>
      <w:r>
        <w:rPr>
          <w:rFonts w:ascii="仿宋_GB2312" w:hAnsi="仿宋_GB2312" w:eastAsia="仿宋_GB2312"/>
          <w:b w:val="0"/>
          <w:sz w:val="32"/>
        </w:rPr>
        <w:t>2025年职业年金单位缴费，导致预决算存在差异。</w:t>
      </w:r>
    </w:p>
    <w:p w14:paraId="08DD2885">
      <w:pPr>
        <w:spacing w:line="640" w:lineRule="exact"/>
        <w:ind w:firstLine="640"/>
        <w:jc w:val="both"/>
        <w:outlineLvl w:val="2"/>
      </w:pPr>
      <w:r>
        <w:rPr>
          <w:rFonts w:ascii="黑体" w:hAnsi="黑体" w:eastAsia="黑体"/>
          <w:sz w:val="32"/>
        </w:rPr>
        <w:t>五、一般公共预算财政拨款支出决算情况说明</w:t>
      </w:r>
    </w:p>
    <w:p w14:paraId="550F70C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水文监测、防汛测报事业发展等重点支出，体现在有关支出科目中。</w:t>
      </w:r>
    </w:p>
    <w:p w14:paraId="4E737256">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按照支出功能分类，农林水支出（类）水利（款）水文测报（项）的支出占本年财政拨款支出总额的比重最高，2025年度决算数为377.82万元，占比66.46%，主要用于人员工资福利、公用经费。</w:t>
      </w:r>
    </w:p>
    <w:p w14:paraId="4317D8B6">
      <w:pPr>
        <w:spacing w:line="640" w:lineRule="exact"/>
        <w:ind w:firstLine="640"/>
        <w:jc w:val="both"/>
        <w:outlineLvl w:val="3"/>
      </w:pPr>
      <w:r>
        <w:rPr>
          <w:rFonts w:ascii="楷体_GB2312" w:hAnsi="楷体_GB2312" w:eastAsia="楷体_GB2312"/>
          <w:b/>
          <w:sz w:val="32"/>
        </w:rPr>
        <w:t>（一）一般公共预算财政拨款支出决算总体情况</w:t>
      </w:r>
    </w:p>
    <w:p w14:paraId="51B40B69">
      <w:pPr>
        <w:spacing w:line="580" w:lineRule="exact"/>
        <w:ind w:firstLine="640"/>
        <w:jc w:val="both"/>
      </w:pPr>
      <w:r>
        <w:rPr>
          <w:rFonts w:ascii="仿宋_GB2312" w:hAnsi="仿宋_GB2312" w:eastAsia="仿宋_GB2312"/>
          <w:b/>
          <w:sz w:val="32"/>
        </w:rPr>
        <w:t>2025年度一般公共预算财政拨款支出568.46万元，</w:t>
      </w:r>
      <w:r>
        <w:rPr>
          <w:rFonts w:ascii="仿宋_GB2312" w:hAnsi="仿宋_GB2312" w:eastAsia="仿宋_GB2312"/>
          <w:b w:val="0"/>
          <w:sz w:val="32"/>
        </w:rPr>
        <w:t>占本年支出合计的80.76%。</w:t>
      </w:r>
      <w:r>
        <w:rPr>
          <w:rFonts w:ascii="仿宋_GB2312" w:hAnsi="仿宋_GB2312" w:eastAsia="仿宋_GB2312"/>
          <w:b/>
          <w:sz w:val="32"/>
        </w:rPr>
        <w:t>与上年相比，</w:t>
      </w:r>
      <w:r>
        <w:rPr>
          <w:rFonts w:ascii="仿宋_GB2312" w:hAnsi="仿宋_GB2312" w:eastAsia="仿宋_GB2312"/>
          <w:b w:val="0"/>
          <w:sz w:val="32"/>
        </w:rPr>
        <w:t>减少30.32万元，下降5.06%，主要原因是：本年自治区水利发展资金项目（转移支付）由新疆维吾尔自治区水文局统筹管理，本年度一般公共预算财政拨款减少。</w:t>
      </w:r>
      <w:r>
        <w:rPr>
          <w:rFonts w:ascii="仿宋_GB2312" w:hAnsi="仿宋_GB2312" w:eastAsia="仿宋_GB2312"/>
          <w:b/>
          <w:sz w:val="32"/>
        </w:rPr>
        <w:t>与年初预算相比，</w:t>
      </w:r>
      <w:r>
        <w:rPr>
          <w:rFonts w:ascii="仿宋_GB2312" w:hAnsi="仿宋_GB2312" w:eastAsia="仿宋_GB2312"/>
          <w:b w:val="0"/>
          <w:sz w:val="32"/>
        </w:rPr>
        <w:t>年初预算数531.17万元，决算数568.46万元，预决算差异率7.02%，主要原因是：本年在职人员增加，年中追加人员经费及人员工资、社保、公积金基数调增部分资金，支付退休人员缴纳的职业年金和记实2025年职业年金单位缴费，2025年补发16个月野勘工资，导致预决算存在差异。</w:t>
      </w:r>
    </w:p>
    <w:p w14:paraId="792F3231">
      <w:pPr>
        <w:spacing w:line="640" w:lineRule="exact"/>
        <w:ind w:firstLine="640"/>
        <w:jc w:val="both"/>
        <w:outlineLvl w:val="3"/>
      </w:pPr>
      <w:r>
        <w:rPr>
          <w:rFonts w:ascii="楷体_GB2312" w:hAnsi="楷体_GB2312" w:eastAsia="楷体_GB2312"/>
          <w:b/>
          <w:sz w:val="32"/>
        </w:rPr>
        <w:t>（二）一般公共预算财政拨款支出决算结构情况</w:t>
      </w:r>
    </w:p>
    <w:p w14:paraId="0959E8E2">
      <w:pPr>
        <w:spacing w:line="580" w:lineRule="exact"/>
        <w:ind w:firstLine="640"/>
        <w:jc w:val="both"/>
      </w:pPr>
      <w:r>
        <w:rPr>
          <w:rFonts w:ascii="仿宋_GB2312" w:hAnsi="仿宋_GB2312" w:eastAsia="仿宋_GB2312"/>
          <w:b w:val="0"/>
          <w:sz w:val="32"/>
        </w:rPr>
        <w:t>1.社会保障和就业支出（类）134.48万元，占23.66%。</w:t>
      </w:r>
    </w:p>
    <w:p w14:paraId="41C69873">
      <w:pPr>
        <w:spacing w:line="580" w:lineRule="exact"/>
        <w:ind w:firstLine="640"/>
        <w:jc w:val="both"/>
      </w:pPr>
      <w:r>
        <w:rPr>
          <w:rFonts w:ascii="仿宋_GB2312" w:hAnsi="仿宋_GB2312" w:eastAsia="仿宋_GB2312"/>
          <w:b w:val="0"/>
          <w:sz w:val="32"/>
        </w:rPr>
        <w:t>2.卫生健康支出（类）22.76万元，占4.00%。</w:t>
      </w:r>
    </w:p>
    <w:p w14:paraId="3555FA91">
      <w:pPr>
        <w:spacing w:line="580" w:lineRule="exact"/>
        <w:ind w:firstLine="640"/>
        <w:jc w:val="both"/>
      </w:pPr>
      <w:r>
        <w:rPr>
          <w:rFonts w:ascii="仿宋_GB2312" w:hAnsi="仿宋_GB2312" w:eastAsia="仿宋_GB2312"/>
          <w:b w:val="0"/>
          <w:sz w:val="32"/>
        </w:rPr>
        <w:t>3.农林水支出（类）377.82万元，占66.46%。</w:t>
      </w:r>
    </w:p>
    <w:p w14:paraId="64B5D6D7">
      <w:pPr>
        <w:spacing w:line="580" w:lineRule="exact"/>
        <w:ind w:firstLine="640"/>
        <w:jc w:val="both"/>
      </w:pPr>
      <w:r>
        <w:rPr>
          <w:rFonts w:ascii="仿宋_GB2312" w:hAnsi="仿宋_GB2312" w:eastAsia="仿宋_GB2312"/>
          <w:b w:val="0"/>
          <w:sz w:val="32"/>
        </w:rPr>
        <w:t>4.住房保障支出（类）33.40万元，占5.88%。</w:t>
      </w:r>
    </w:p>
    <w:p w14:paraId="3D3ED4AA">
      <w:pPr>
        <w:spacing w:line="640" w:lineRule="exact"/>
        <w:ind w:firstLine="640"/>
        <w:jc w:val="both"/>
        <w:outlineLvl w:val="3"/>
      </w:pPr>
      <w:r>
        <w:rPr>
          <w:rFonts w:ascii="楷体_GB2312" w:hAnsi="楷体_GB2312" w:eastAsia="楷体_GB2312"/>
          <w:b/>
          <w:sz w:val="32"/>
        </w:rPr>
        <w:t>（三）一般公共预算财政拨款支出决算具体情况</w:t>
      </w:r>
    </w:p>
    <w:p w14:paraId="4325E1BD">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1.社会保障和就业支出（类）行政事业单位养老支出（款）事业单位离退休（项）：支出决算数为62.76万元，比上年决算增加5.22万元，增长9.07%，主要原因是：本年退休人员增加，退休费支出增加。</w:t>
      </w:r>
    </w:p>
    <w:p w14:paraId="359F2B9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2.社会保障和就业支出（类）行政事业单位养老支出（款）机关事业单位基本养老保险缴费支出（项）：支出决算数为41.13万元，比上年决算减少10.66万元，下降20.58%，主要原因是：本年在职人员</w:t>
      </w:r>
      <w:r>
        <w:rPr>
          <w:rFonts w:hint="eastAsia" w:ascii="仿宋_GB2312" w:hAnsi="仿宋_GB2312" w:eastAsia="仿宋_GB2312"/>
          <w:b w:val="0"/>
          <w:sz w:val="32"/>
          <w:lang w:val="en-US" w:eastAsia="zh-CN"/>
        </w:rPr>
        <w:t>新晋、转入、退休</w:t>
      </w:r>
      <w:r>
        <w:rPr>
          <w:rFonts w:ascii="仿宋_GB2312" w:hAnsi="仿宋_GB2312" w:eastAsia="仿宋_GB2312"/>
          <w:b w:val="0"/>
          <w:sz w:val="32"/>
        </w:rPr>
        <w:t>，人员职级不同，缴费基数不同，导致养老保险缴费较上年减少。</w:t>
      </w:r>
    </w:p>
    <w:p w14:paraId="2779FE4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30.60万元，比上年决算增加16.95万元，增长124.18%，主要原因是：本年新增退休人员，职业年金缴费支出增加。</w:t>
      </w:r>
    </w:p>
    <w:p w14:paraId="50E65037">
      <w:pPr>
        <w:spacing w:line="580" w:lineRule="exact"/>
        <w:ind w:firstLine="640"/>
        <w:jc w:val="both"/>
      </w:pPr>
      <w:r>
        <w:rPr>
          <w:rFonts w:ascii="仿宋_GB2312" w:hAnsi="仿宋_GB2312" w:eastAsia="仿宋_GB2312"/>
          <w:b w:val="0"/>
          <w:sz w:val="32"/>
        </w:rPr>
        <w:t>4.卫生健康支出（类）行政事业单位医疗（款）事业单位医疗（项）：支出决算数为17.62万元，比上年决算减少6.14万元，下降25.84%，主要原因是：本年在职人员</w:t>
      </w:r>
      <w:r>
        <w:rPr>
          <w:rFonts w:hint="eastAsia" w:ascii="仿宋_GB2312" w:hAnsi="仿宋_GB2312" w:eastAsia="仿宋_GB2312"/>
          <w:b w:val="0"/>
          <w:sz w:val="32"/>
          <w:lang w:val="en-US" w:eastAsia="zh-CN"/>
        </w:rPr>
        <w:t>新晋、转入、退休</w:t>
      </w:r>
      <w:r>
        <w:rPr>
          <w:rFonts w:ascii="仿宋_GB2312" w:hAnsi="仿宋_GB2312" w:eastAsia="仿宋_GB2312"/>
          <w:b w:val="0"/>
          <w:sz w:val="32"/>
        </w:rPr>
        <w:t>，人员职级不同，缴费基数不同，导致事业单位医疗支出较上年减少</w:t>
      </w:r>
      <w:r>
        <w:rPr>
          <w:rFonts w:ascii="仿宋_GB2312" w:hAnsi="仿宋_GB2312" w:eastAsia="仿宋_GB2312"/>
          <w:b w:val="0"/>
          <w:sz w:val="32"/>
        </w:rPr>
        <w:t>。</w:t>
      </w:r>
    </w:p>
    <w:p w14:paraId="412149C7">
      <w:pPr>
        <w:spacing w:line="580" w:lineRule="exact"/>
        <w:ind w:firstLine="640"/>
        <w:jc w:val="both"/>
      </w:pPr>
      <w:r>
        <w:rPr>
          <w:rFonts w:ascii="仿宋_GB2312" w:hAnsi="仿宋_GB2312" w:eastAsia="仿宋_GB2312"/>
          <w:b w:val="0"/>
          <w:sz w:val="32"/>
        </w:rPr>
        <w:t>5.卫生健康支出（类）行政事业单位医疗（款）公务员医疗补助（项）：支出决算数为5.14万元，比上年决算减少1.17万元，下降18.54%，主要原因是：本年在职人员</w:t>
      </w:r>
      <w:r>
        <w:rPr>
          <w:rFonts w:hint="eastAsia" w:ascii="仿宋_GB2312" w:hAnsi="仿宋_GB2312" w:eastAsia="仿宋_GB2312"/>
          <w:b w:val="0"/>
          <w:sz w:val="32"/>
          <w:lang w:val="en-US" w:eastAsia="zh-CN"/>
        </w:rPr>
        <w:t>新晋、转入、退休</w:t>
      </w:r>
      <w:r>
        <w:rPr>
          <w:rFonts w:ascii="仿宋_GB2312" w:hAnsi="仿宋_GB2312" w:eastAsia="仿宋_GB2312"/>
          <w:b w:val="0"/>
          <w:sz w:val="32"/>
        </w:rPr>
        <w:t>，人员职级不同，缴费基数不同，公务员医疗补助较上年减少。</w:t>
      </w:r>
    </w:p>
    <w:p w14:paraId="429DE7EF">
      <w:pPr>
        <w:spacing w:line="580" w:lineRule="exact"/>
        <w:ind w:firstLine="640"/>
        <w:jc w:val="both"/>
      </w:pPr>
      <w:r>
        <w:rPr>
          <w:rFonts w:ascii="仿宋_GB2312" w:hAnsi="仿宋_GB2312" w:eastAsia="仿宋_GB2312"/>
          <w:b w:val="0"/>
          <w:sz w:val="32"/>
        </w:rPr>
        <w:t>6.农林水支出（类）水利（款）水文测报（项）：支出决算数为377.82万元，比上年决算减少32.95万元，下降8.02%，主要原因是：本年自治区水利发展资金项目（转移支付）由新疆维吾尔自治区水文局统筹管理，故较上年减少。</w:t>
      </w:r>
    </w:p>
    <w:p w14:paraId="4AF23690">
      <w:pPr>
        <w:spacing w:line="580" w:lineRule="exact"/>
        <w:ind w:firstLine="640"/>
        <w:jc w:val="both"/>
      </w:pPr>
      <w:r>
        <w:rPr>
          <w:rFonts w:ascii="仿宋_GB2312" w:hAnsi="仿宋_GB2312" w:eastAsia="仿宋_GB2312"/>
          <w:b w:val="0"/>
          <w:sz w:val="32"/>
        </w:rPr>
        <w:t>7.住房保障支出（类）住房改革支出（款）住房公积金（项）：支出决算数为33.40万元，比上年决算减少1.57万元，下降4.49%，主要原因是：本年在职人员</w:t>
      </w:r>
      <w:r>
        <w:rPr>
          <w:rFonts w:hint="eastAsia" w:ascii="仿宋_GB2312" w:hAnsi="仿宋_GB2312" w:eastAsia="仿宋_GB2312"/>
          <w:b w:val="0"/>
          <w:sz w:val="32"/>
          <w:lang w:val="en-US" w:eastAsia="zh-CN"/>
        </w:rPr>
        <w:t>新晋、转入、退休</w:t>
      </w:r>
      <w:r>
        <w:rPr>
          <w:rFonts w:ascii="仿宋_GB2312" w:hAnsi="仿宋_GB2312" w:eastAsia="仿宋_GB2312"/>
          <w:b w:val="0"/>
          <w:sz w:val="32"/>
        </w:rPr>
        <w:t>，人员职级不同，缴费基数不同，住房公积金缴费较上年减少。</w:t>
      </w:r>
    </w:p>
    <w:p w14:paraId="0E752D70">
      <w:pPr>
        <w:spacing w:line="640" w:lineRule="exact"/>
        <w:ind w:firstLine="640"/>
        <w:jc w:val="both"/>
        <w:outlineLvl w:val="2"/>
      </w:pPr>
      <w:r>
        <w:rPr>
          <w:rFonts w:ascii="黑体" w:hAnsi="黑体" w:eastAsia="黑体"/>
          <w:sz w:val="32"/>
        </w:rPr>
        <w:t>六、一般公共预算财政拨款基本支出决算情况说明</w:t>
      </w:r>
    </w:p>
    <w:p w14:paraId="0E565F2E">
      <w:pPr>
        <w:spacing w:line="580" w:lineRule="exact"/>
        <w:ind w:firstLine="640"/>
        <w:jc w:val="both"/>
      </w:pPr>
      <w:r>
        <w:rPr>
          <w:rFonts w:ascii="仿宋_GB2312" w:hAnsi="仿宋_GB2312" w:eastAsia="仿宋_GB2312"/>
          <w:b w:val="0"/>
          <w:sz w:val="32"/>
        </w:rPr>
        <w:t>2025年度一般公共预算财政拨款基本支出548.96万元，其中：</w:t>
      </w:r>
      <w:r>
        <w:rPr>
          <w:rFonts w:ascii="仿宋_GB2312" w:hAnsi="仿宋_GB2312" w:eastAsia="仿宋_GB2312"/>
          <w:b/>
          <w:sz w:val="32"/>
        </w:rPr>
        <w:t>人员经费521.35万元，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其他对个人和家庭的补助。</w:t>
      </w:r>
    </w:p>
    <w:p w14:paraId="6BFB093F">
      <w:pPr>
        <w:spacing w:line="580" w:lineRule="exact"/>
        <w:ind w:firstLine="640"/>
        <w:jc w:val="both"/>
      </w:pPr>
      <w:r>
        <w:rPr>
          <w:rFonts w:ascii="仿宋_GB2312" w:hAnsi="仿宋_GB2312" w:eastAsia="仿宋_GB2312"/>
          <w:b/>
          <w:sz w:val="32"/>
        </w:rPr>
        <w:t>公用经费27.62万元，</w:t>
      </w:r>
      <w:r>
        <w:rPr>
          <w:rFonts w:ascii="仿宋_GB2312" w:hAnsi="仿宋_GB2312" w:eastAsia="仿宋_GB2312"/>
          <w:b w:val="0"/>
          <w:sz w:val="32"/>
        </w:rPr>
        <w:t>包括：办公费、水费、电费、邮电费、取暖费、差旅费、公务接待费、工会经费、福利费、公务用车运行维护费、其他交通费用、其他商品和服务支出。</w:t>
      </w:r>
    </w:p>
    <w:p w14:paraId="03CF8767">
      <w:pPr>
        <w:spacing w:line="640" w:lineRule="exact"/>
        <w:ind w:firstLine="640"/>
        <w:jc w:val="both"/>
        <w:outlineLvl w:val="2"/>
      </w:pPr>
      <w:r>
        <w:rPr>
          <w:rFonts w:ascii="黑体" w:hAnsi="黑体" w:eastAsia="黑体"/>
          <w:sz w:val="32"/>
        </w:rPr>
        <w:t>七、政府性基金预算财政拨款收入支出决算情况说明</w:t>
      </w:r>
    </w:p>
    <w:p w14:paraId="23C97FD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306EFF6">
      <w:pPr>
        <w:spacing w:line="640" w:lineRule="exact"/>
        <w:ind w:firstLine="640"/>
        <w:jc w:val="both"/>
        <w:outlineLvl w:val="2"/>
      </w:pPr>
      <w:r>
        <w:rPr>
          <w:rFonts w:ascii="黑体" w:hAnsi="黑体" w:eastAsia="黑体"/>
          <w:sz w:val="32"/>
        </w:rPr>
        <w:t>八、国有资本经营预算财政拨款收入支出决算情况说明</w:t>
      </w:r>
    </w:p>
    <w:p w14:paraId="6252E45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469C4AA">
      <w:pPr>
        <w:spacing w:line="640" w:lineRule="exact"/>
        <w:ind w:firstLine="640"/>
        <w:jc w:val="both"/>
        <w:outlineLvl w:val="2"/>
      </w:pPr>
      <w:r>
        <w:rPr>
          <w:rFonts w:ascii="黑体" w:hAnsi="黑体" w:eastAsia="黑体"/>
          <w:sz w:val="32"/>
        </w:rPr>
        <w:t>九、财政拨款“三公”经费支出决算情况说明</w:t>
      </w:r>
    </w:p>
    <w:p w14:paraId="34D1D6FD">
      <w:pPr>
        <w:spacing w:line="580" w:lineRule="exact"/>
        <w:ind w:firstLine="640"/>
        <w:jc w:val="both"/>
      </w:pPr>
      <w:r>
        <w:rPr>
          <w:rFonts w:ascii="仿宋_GB2312" w:hAnsi="仿宋_GB2312" w:eastAsia="仿宋_GB2312"/>
          <w:b/>
          <w:sz w:val="32"/>
        </w:rPr>
        <w:t>2025年度财政拨款“三公”经费支出1.35万元，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1.30万元，占96.30%，比上年增加0.00万元，增长0.00%，主要原因是：本单位公务用车购置及运行维护费与上年一致无变化。公务接待费支出0.05万元，占3.70%，比上年增加0.00万元，增长0.00%，主要原因是：本单位公务接待费与上年一致无变化。</w:t>
      </w:r>
    </w:p>
    <w:p w14:paraId="544206EA">
      <w:pPr>
        <w:spacing w:line="580" w:lineRule="exact"/>
        <w:ind w:firstLine="640"/>
        <w:jc w:val="both"/>
      </w:pPr>
      <w:r>
        <w:rPr>
          <w:rFonts w:ascii="仿宋_GB2312" w:hAnsi="仿宋_GB2312" w:eastAsia="仿宋_GB2312"/>
          <w:b/>
          <w:sz w:val="32"/>
        </w:rPr>
        <w:t>具体情况如下：</w:t>
      </w:r>
    </w:p>
    <w:p w14:paraId="0F50931E">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E45B15D">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加油费、维修费、保险费。公务用车购置数0辆，公务用车保有量4辆。国有资产占用情况中固定资产车辆4辆，与公务用车保有量差异原因是：本单位公务用车保有量与固定资产车辆一致无差异。</w:t>
      </w:r>
    </w:p>
    <w:p w14:paraId="33DB7698">
      <w:pPr>
        <w:spacing w:line="580" w:lineRule="exact"/>
        <w:ind w:firstLine="640"/>
        <w:jc w:val="both"/>
      </w:pPr>
      <w:r>
        <w:rPr>
          <w:rFonts w:ascii="仿宋_GB2312" w:hAnsi="仿宋_GB2312" w:eastAsia="仿宋_GB2312"/>
          <w:b w:val="0"/>
          <w:sz w:val="32"/>
        </w:rPr>
        <w:t>公务接待费0.05万元，开支内容包括援疆单位开展对口支援工作产生的就餐费。单位全年安排的国内公务接待1批次，7人次。</w:t>
      </w:r>
    </w:p>
    <w:p w14:paraId="3968070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1.35万元，决算数1.35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1.30万元，决算数1.30万元，预决算差异率0.00%，主要原因是：严格按照预算执行，预决算无差异。公务接待费全年预算数0.05万元，决算数0.05万元，预决算差异率0.00%，主要原因是：严格按照预算执行，预决算无差异。</w:t>
      </w:r>
    </w:p>
    <w:p w14:paraId="00A595FA">
      <w:pPr>
        <w:spacing w:line="640" w:lineRule="exact"/>
        <w:ind w:firstLine="640"/>
        <w:jc w:val="both"/>
        <w:outlineLvl w:val="2"/>
      </w:pPr>
      <w:r>
        <w:rPr>
          <w:rFonts w:ascii="黑体" w:hAnsi="黑体" w:eastAsia="黑体"/>
          <w:sz w:val="32"/>
        </w:rPr>
        <w:t>十、其他重要事项的情况说明</w:t>
      </w:r>
    </w:p>
    <w:p w14:paraId="4FCB0267">
      <w:pPr>
        <w:spacing w:line="640" w:lineRule="exact"/>
        <w:ind w:firstLine="640"/>
        <w:jc w:val="both"/>
        <w:outlineLvl w:val="3"/>
      </w:pPr>
      <w:r>
        <w:rPr>
          <w:rFonts w:ascii="楷体_GB2312" w:hAnsi="楷体_GB2312" w:eastAsia="楷体_GB2312"/>
          <w:b/>
          <w:sz w:val="32"/>
        </w:rPr>
        <w:t>（一）机关运行经费及公用经费支出情况</w:t>
      </w:r>
    </w:p>
    <w:p w14:paraId="0B20E5F9">
      <w:pPr>
        <w:spacing w:line="580" w:lineRule="exact"/>
        <w:ind w:firstLine="640"/>
        <w:jc w:val="both"/>
      </w:pPr>
      <w:r>
        <w:rPr>
          <w:rFonts w:ascii="仿宋_GB2312" w:hAnsi="仿宋_GB2312" w:eastAsia="仿宋_GB2312"/>
          <w:b w:val="0"/>
          <w:sz w:val="32"/>
        </w:rPr>
        <w:t>2025年度新疆维吾尔自治区吐鲁番水文勘测中心（事业单位）公用经费支出27.62万元，比上年减少0.33万元，下降1.18%，主要原因是：严格控制公用经费，合理节约办公用品，减少不必要开支。</w:t>
      </w:r>
    </w:p>
    <w:p w14:paraId="28EE55E4">
      <w:pPr>
        <w:spacing w:line="640" w:lineRule="exact"/>
        <w:ind w:firstLine="640"/>
        <w:jc w:val="both"/>
        <w:outlineLvl w:val="3"/>
      </w:pPr>
      <w:r>
        <w:rPr>
          <w:rFonts w:ascii="楷体_GB2312" w:hAnsi="楷体_GB2312" w:eastAsia="楷体_GB2312"/>
          <w:b/>
          <w:sz w:val="32"/>
        </w:rPr>
        <w:t>（二）政府采购情况</w:t>
      </w:r>
    </w:p>
    <w:p w14:paraId="55AE6292">
      <w:pPr>
        <w:spacing w:line="580" w:lineRule="exact"/>
        <w:ind w:firstLine="640"/>
        <w:jc w:val="both"/>
      </w:pPr>
      <w:r>
        <w:rPr>
          <w:rFonts w:ascii="仿宋_GB2312" w:hAnsi="仿宋_GB2312" w:eastAsia="仿宋_GB2312"/>
          <w:b w:val="0"/>
          <w:sz w:val="32"/>
        </w:rPr>
        <w:t>2025年度政府采购支出总额24.81万元，其中：政府采购货物支出6.66万元、政府采购工程支出6.70万元、政府采购服务支出11.45万元。</w:t>
      </w:r>
    </w:p>
    <w:p w14:paraId="7ACACAFD">
      <w:pPr>
        <w:spacing w:line="580" w:lineRule="exact"/>
        <w:ind w:firstLine="640"/>
        <w:jc w:val="both"/>
      </w:pPr>
      <w:r>
        <w:rPr>
          <w:rFonts w:ascii="仿宋_GB2312" w:hAnsi="仿宋_GB2312" w:eastAsia="仿宋_GB2312"/>
          <w:b w:val="0"/>
          <w:sz w:val="32"/>
        </w:rPr>
        <w:t>授予中小企业合同金额22.76万元，占政府采购支出总额的91.74%，其中：授予小微企业合同金额22.76万元，占政府采购支出总额的91.74%。</w:t>
      </w:r>
    </w:p>
    <w:p w14:paraId="16441D1F">
      <w:pPr>
        <w:spacing w:line="640" w:lineRule="exact"/>
        <w:ind w:firstLine="640"/>
        <w:jc w:val="both"/>
        <w:outlineLvl w:val="3"/>
      </w:pPr>
      <w:r>
        <w:rPr>
          <w:rFonts w:ascii="楷体_GB2312" w:hAnsi="楷体_GB2312" w:eastAsia="楷体_GB2312"/>
          <w:b/>
          <w:sz w:val="32"/>
        </w:rPr>
        <w:t>（三）国有资产占用情况说明</w:t>
      </w:r>
    </w:p>
    <w:p w14:paraId="173ADEF2">
      <w:pPr>
        <w:spacing w:line="580" w:lineRule="exact"/>
        <w:ind w:firstLine="640"/>
        <w:jc w:val="both"/>
      </w:pPr>
      <w:r>
        <w:rPr>
          <w:rFonts w:ascii="仿宋_GB2312" w:hAnsi="仿宋_GB2312" w:eastAsia="仿宋_GB2312"/>
          <w:b w:val="0"/>
          <w:sz w:val="32"/>
        </w:rPr>
        <w:t>截至2025年12月31日，房屋4,919.91平方米，价值522.92万元。车辆4辆，价值85.66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315CA090">
      <w:pPr>
        <w:spacing w:line="640" w:lineRule="exact"/>
        <w:ind w:firstLine="640"/>
        <w:jc w:val="both"/>
        <w:outlineLvl w:val="2"/>
      </w:pPr>
      <w:r>
        <w:rPr>
          <w:rFonts w:ascii="黑体" w:hAnsi="黑体" w:eastAsia="黑体"/>
          <w:sz w:val="32"/>
        </w:rPr>
        <w:t>十一、预算绩效的情况说明</w:t>
      </w:r>
    </w:p>
    <w:p w14:paraId="561841F8">
      <w:pPr>
        <w:spacing w:line="580" w:lineRule="exact"/>
        <w:ind w:firstLine="640"/>
        <w:jc w:val="both"/>
      </w:pPr>
      <w:r>
        <w:rPr>
          <w:rFonts w:ascii="仿宋_GB2312" w:hAnsi="仿宋_GB2312" w:eastAsia="仿宋_GB2312"/>
          <w:b w:val="0"/>
          <w:sz w:val="32"/>
        </w:rPr>
        <w:t>根据预算绩效管理要求，本单位预算绩效评价项目2个，全年预算数154.92万元，全年执行数154.92万元。预算绩效管理取得的成效：一、水文测验整编能力不断提升。测验工作常态化开展，按时完成2025年基本水文站、巡测站和未监测重要河流、出山口河流监测，确保安全度汛。资料整编工作如期完成，按时完成2024年资料复审工作、2025年测站考证工作及2025年资料审核整编、报告编制工作，2024年资料优等一站、良等一站。基础设施建设有序推进，新增完成出山口河流雷达水位计安装，常年有水的出山口监测河流中河流已安装自动监测设备，水位自动化采集覆盖率达78%。新购置手持雷达测速仪、卫星电话等设备，应急监测能力得到一定提升。完成国家基本站防雷设施维护维修工作。协助完成提档升级项目阿拉沟水文站审计决算工作。二、水情预报监测作用逐步凸显。高质量完成水情报送任务、确保安全度汛，严格落实主汛期24小时水情值班制，汛期每日向各级水行政主管部门报送水情信息。高度重视水文预报工作，为地方党委、各级水行政主管部门科学决策提供有力支撑，及时更新完善2025年水文预报方案，较好完成2025年吐鲁番主要河流春季来水量预报、逐月及年径来水量预报工作；年内报送各类预测预报专项成果五十三份。早谋划、打基础，做好吐鲁番主要河流2024年、2025年逐月来水实况数据还原工作，延长预报基础资料系列，为提升2026年水情预报精度奠定基础。三、泉水调查及地下水、土壤墒情监测水平持续提升。高效完成监测任务，保质保量完成辖区四十一眼地下水监测井和土壤墒情监测站点全年运行维护工作，全年数据到报率达100%。保质保量完成辖区泉水调查工作，获得水文地质处高度评价。助力地下水位持续回升，每月及时向水行政部门分析上报地下水动态监测数据，辖区地下水平均水位与去年同期相比提升0.88m，决策支撑保障作用进一步凸显。四、水文技术服务不断拓宽。积极靠前服务，与当地水利、气象等部门沟通合作，了解服务需求，不断发挥水文资料、专业技术和人才队伍优势。2025年，共承接水文服务项目13项，服务面不断拓展，服务质量不断提升。五、水文援疆工作持续深化。建立援疆机制，达成合作共识。深化交流，增进互信，湖南省中心领导莅临调研指导一次，中心党委先后选派九名干部赴援疆单位考察学习两次。业务培训，同学共进，邀请援疆业务骨干通过业务实操、座谈授课、技能培训指导等方式开展为期一个月的业务指导，不断提升业务能力。真抓实干，提质增效，推动湖南省水文水资源勘测中心拨付援疆资金，拟用于水情会商室建设。发现的问题及原因：执行过程管控缺位：项目执行缺乏动态监控机制，关键节点未设置有效的进度跟踪和质量把关流程，为定期开展绩效复盘，对执行中的偏差</w:t>
      </w:r>
      <w:r>
        <w:rPr>
          <w:rFonts w:hint="eastAsia" w:ascii="仿宋_GB2312" w:hAnsi="仿宋_GB2312" w:eastAsia="仿宋_GB2312"/>
          <w:b w:val="0"/>
          <w:sz w:val="32"/>
          <w:lang w:eastAsia="zh-CN"/>
        </w:rPr>
        <w:t>未能</w:t>
      </w:r>
      <w:r>
        <w:rPr>
          <w:rFonts w:ascii="仿宋_GB2312" w:hAnsi="仿宋_GB2312" w:eastAsia="仿宋_GB2312"/>
          <w:b w:val="0"/>
          <w:sz w:val="32"/>
        </w:rPr>
        <w:t>及时发现和纠正。绩效评价体系不完善。评价指标设计单一。评价结果未与奖惩机制有效挂钩，导致执行人员缺乏积极性和责任感。认知层面：绩效理念滞后。未将绩效目标贯穿项目全生命周期，导致执行过程缺乏主动管控意识。能力层面：项目管理人员和执行人员缺乏系统的绩效</w:t>
      </w:r>
      <w:r>
        <w:rPr>
          <w:rFonts w:hint="eastAsia" w:ascii="仿宋_GB2312" w:hAnsi="仿宋_GB2312" w:eastAsia="仿宋_GB2312"/>
          <w:b w:val="0"/>
          <w:sz w:val="32"/>
          <w:lang w:eastAsia="zh-CN"/>
        </w:rPr>
        <w:t>管理</w:t>
      </w:r>
      <w:r>
        <w:rPr>
          <w:rFonts w:ascii="仿宋_GB2312" w:hAnsi="仿宋_GB2312" w:eastAsia="仿宋_GB2312"/>
          <w:b w:val="0"/>
          <w:sz w:val="32"/>
        </w:rPr>
        <w:t>培训，对绩效目标设定方法、动态监控工具、数据分析技巧等掌握不足。下一步改进措施：优化绩效目标设定，筑牢管理基础。加大对项目管理人员和执行人员的培训力度。掌握绩效目标设定方法、动态监控工具、数据分析技巧，保障项目生命全周期都有绩效的监控。提高绩效评价结果的影响力和约束力。强化绩效评价结果运用，把绩效评价结果作为资金分配和预算编制的重要依据，建立起绩效评价问责和激励机制，提高资金分配的科学性。适当扩大绩效评价结果公开范围，提高绩效评价结果的影响力和约束力，督促资金使用管理部门加强资金绩效管理。具体附项目支出绩效自评表。</w:t>
      </w:r>
    </w:p>
    <w:p w14:paraId="1113634A">
      <w:r>
        <w:br w:type="page"/>
      </w:r>
    </w:p>
    <w:p w14:paraId="285A2446">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autofit"/>
        <w:tblCellMar>
          <w:top w:w="36" w:type="dxa"/>
          <w:left w:w="36" w:type="dxa"/>
          <w:bottom w:w="36" w:type="dxa"/>
          <w:right w:w="36" w:type="dxa"/>
        </w:tblCellMar>
      </w:tblPr>
      <w:tblGrid>
        <w:gridCol w:w="284"/>
        <w:gridCol w:w="427"/>
        <w:gridCol w:w="425"/>
        <w:gridCol w:w="724"/>
        <w:gridCol w:w="612"/>
        <w:gridCol w:w="702"/>
        <w:gridCol w:w="612"/>
        <w:gridCol w:w="522"/>
        <w:gridCol w:w="522"/>
        <w:gridCol w:w="425"/>
        <w:gridCol w:w="612"/>
        <w:gridCol w:w="606"/>
        <w:gridCol w:w="533"/>
        <w:gridCol w:w="1300"/>
      </w:tblGrid>
      <w:tr w14:paraId="2C72298D">
        <w:tblPrEx>
          <w:tblCellMar>
            <w:top w:w="36" w:type="dxa"/>
            <w:left w:w="36" w:type="dxa"/>
            <w:bottom w:w="36" w:type="dxa"/>
            <w:right w:w="36" w:type="dxa"/>
          </w:tblCellMar>
        </w:tblPrEx>
        <w:trPr>
          <w:trHeight w:val="408" w:hRule="atLeast"/>
        </w:trPr>
        <w:tc>
          <w:tcPr>
            <w:tcW w:w="5000" w:type="pct"/>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23854B7">
            <w:pPr>
              <w:spacing w:before="0" w:after="0" w:line="240" w:lineRule="auto"/>
              <w:jc w:val="center"/>
            </w:pPr>
            <w:r>
              <w:rPr>
                <w:rFonts w:ascii="宋体" w:hAnsi="宋体" w:eastAsia="宋体"/>
                <w:b/>
                <w:i w:val="0"/>
                <w:sz w:val="32"/>
              </w:rPr>
              <w:t>项目支出绩效自评表</w:t>
            </w:r>
          </w:p>
        </w:tc>
      </w:tr>
      <w:tr w14:paraId="29A09B05">
        <w:tblPrEx>
          <w:tblCellMar>
            <w:top w:w="36" w:type="dxa"/>
            <w:left w:w="36" w:type="dxa"/>
            <w:bottom w:w="36" w:type="dxa"/>
            <w:right w:w="36" w:type="dxa"/>
          </w:tblCellMar>
        </w:tblPrEx>
        <w:trPr>
          <w:trHeight w:val="380" w:hRule="atLeast"/>
        </w:trPr>
        <w:tc>
          <w:tcPr>
            <w:tcW w:w="5000" w:type="pct"/>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4047B34">
            <w:pPr>
              <w:spacing w:before="0" w:after="0" w:line="240" w:lineRule="auto"/>
              <w:jc w:val="center"/>
            </w:pPr>
            <w:r>
              <w:rPr>
                <w:rFonts w:ascii="宋体" w:hAnsi="宋体" w:eastAsia="宋体"/>
                <w:b w:val="0"/>
                <w:i w:val="0"/>
                <w:sz w:val="22"/>
              </w:rPr>
              <w:t>(2025年度)</w:t>
            </w:r>
          </w:p>
        </w:tc>
      </w:tr>
      <w:tr w14:paraId="0BD5AF34">
        <w:tblPrEx>
          <w:tblCellMar>
            <w:top w:w="36" w:type="dxa"/>
            <w:left w:w="36" w:type="dxa"/>
            <w:bottom w:w="36" w:type="dxa"/>
            <w:right w:w="36" w:type="dxa"/>
          </w:tblCellMar>
        </w:tblPrEx>
        <w:trPr>
          <w:trHeight w:val="380" w:hRule="atLeast"/>
        </w:trPr>
        <w:tc>
          <w:tcPr>
            <w:tcW w:w="51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0FFDA">
            <w:pPr>
              <w:spacing w:before="0" w:after="0" w:line="240" w:lineRule="auto"/>
              <w:jc w:val="center"/>
            </w:pPr>
            <w:r>
              <w:rPr>
                <w:rFonts w:ascii="宋体" w:hAnsi="宋体" w:eastAsia="宋体"/>
                <w:b/>
                <w:i w:val="0"/>
                <w:sz w:val="18"/>
              </w:rPr>
              <w:t>项目名称</w:t>
            </w:r>
          </w:p>
        </w:tc>
        <w:tc>
          <w:tcPr>
            <w:tcW w:w="4489" w:type="pct"/>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A5C4105">
            <w:pPr>
              <w:spacing w:before="0" w:after="0" w:line="240" w:lineRule="auto"/>
              <w:jc w:val="center"/>
            </w:pPr>
            <w:r>
              <w:rPr>
                <w:rFonts w:ascii="宋体" w:hAnsi="宋体" w:eastAsia="宋体"/>
                <w:b w:val="0"/>
                <w:i w:val="0"/>
                <w:sz w:val="18"/>
              </w:rPr>
              <w:t>水文组织能力建设与经营成本性支出</w:t>
            </w:r>
          </w:p>
        </w:tc>
      </w:tr>
      <w:tr w14:paraId="2A0E7FB4">
        <w:tblPrEx>
          <w:tblCellMar>
            <w:top w:w="36" w:type="dxa"/>
            <w:left w:w="36" w:type="dxa"/>
            <w:bottom w:w="36" w:type="dxa"/>
            <w:right w:w="36" w:type="dxa"/>
          </w:tblCellMar>
        </w:tblPrEx>
        <w:trPr>
          <w:trHeight w:val="380" w:hRule="atLeast"/>
        </w:trPr>
        <w:tc>
          <w:tcPr>
            <w:tcW w:w="51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60E76">
            <w:pPr>
              <w:spacing w:before="0" w:after="0" w:line="240" w:lineRule="auto"/>
              <w:jc w:val="center"/>
            </w:pPr>
            <w:r>
              <w:rPr>
                <w:rFonts w:ascii="宋体" w:hAnsi="宋体" w:eastAsia="宋体"/>
                <w:b/>
                <w:i w:val="0"/>
                <w:sz w:val="18"/>
              </w:rPr>
              <w:t>主管部门</w:t>
            </w:r>
          </w:p>
        </w:tc>
        <w:tc>
          <w:tcPr>
            <w:tcW w:w="1709"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839512">
            <w:pPr>
              <w:spacing w:before="0" w:after="0" w:line="240" w:lineRule="auto"/>
              <w:jc w:val="center"/>
            </w:pPr>
            <w:r>
              <w:rPr>
                <w:rFonts w:ascii="宋体" w:hAnsi="宋体" w:eastAsia="宋体"/>
                <w:b w:val="0"/>
                <w:i w:val="0"/>
                <w:sz w:val="18"/>
              </w:rPr>
              <w:t>新疆维吾尔自治区水文局</w:t>
            </w:r>
          </w:p>
        </w:tc>
        <w:tc>
          <w:tcPr>
            <w:tcW w:w="59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552A3">
            <w:pPr>
              <w:spacing w:before="0" w:after="0" w:line="240" w:lineRule="auto"/>
              <w:jc w:val="center"/>
            </w:pPr>
            <w:r>
              <w:rPr>
                <w:rFonts w:ascii="宋体" w:hAnsi="宋体" w:eastAsia="宋体"/>
                <w:b/>
                <w:i w:val="0"/>
                <w:sz w:val="18"/>
              </w:rPr>
              <w:t>实施单位</w:t>
            </w:r>
          </w:p>
        </w:tc>
        <w:tc>
          <w:tcPr>
            <w:tcW w:w="2184"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60F901">
            <w:pPr>
              <w:spacing w:before="0" w:after="0" w:line="240" w:lineRule="auto"/>
              <w:jc w:val="center"/>
            </w:pPr>
            <w:r>
              <w:rPr>
                <w:rFonts w:ascii="宋体" w:hAnsi="宋体" w:eastAsia="宋体"/>
                <w:b w:val="0"/>
                <w:i w:val="0"/>
                <w:sz w:val="18"/>
              </w:rPr>
              <w:t>新疆维吾尔自治区吐鲁番水文勘测中心</w:t>
            </w:r>
          </w:p>
        </w:tc>
      </w:tr>
      <w:tr w14:paraId="644D31E5">
        <w:tblPrEx>
          <w:tblCellMar>
            <w:top w:w="36" w:type="dxa"/>
            <w:left w:w="36" w:type="dxa"/>
            <w:bottom w:w="36" w:type="dxa"/>
            <w:right w:w="36" w:type="dxa"/>
          </w:tblCellMar>
        </w:tblPrEx>
        <w:trPr>
          <w:trHeight w:val="380" w:hRule="atLeast"/>
        </w:trPr>
        <w:tc>
          <w:tcPr>
            <w:tcW w:w="510" w:type="pct"/>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8750F">
            <w:pPr>
              <w:spacing w:before="0" w:after="0" w:line="240" w:lineRule="auto"/>
              <w:jc w:val="center"/>
            </w:pPr>
            <w:r>
              <w:rPr>
                <w:rFonts w:ascii="宋体" w:hAnsi="宋体" w:eastAsia="宋体"/>
                <w:b/>
                <w:i w:val="0"/>
                <w:sz w:val="18"/>
              </w:rPr>
              <w:t>项目资金
（万元）</w:t>
            </w:r>
          </w:p>
        </w:tc>
        <w:tc>
          <w:tcPr>
            <w:tcW w:w="77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0B74C">
            <w:pPr>
              <w:spacing w:before="0" w:after="0" w:line="240" w:lineRule="auto"/>
              <w:jc w:val="center"/>
            </w:pP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6C32A4C4">
            <w:pPr>
              <w:spacing w:before="0" w:after="0" w:line="240" w:lineRule="auto"/>
              <w:jc w:val="center"/>
            </w:pPr>
            <w:r>
              <w:rPr>
                <w:rFonts w:ascii="宋体" w:hAnsi="宋体" w:eastAsia="宋体"/>
                <w:b/>
                <w:i w:val="0"/>
                <w:sz w:val="18"/>
              </w:rPr>
              <w:t>年初预算数</w:t>
            </w:r>
          </w:p>
        </w:tc>
        <w:tc>
          <w:tcPr>
            <w:tcW w:w="59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8AE48">
            <w:pPr>
              <w:spacing w:before="0" w:after="0" w:line="240" w:lineRule="auto"/>
              <w:jc w:val="center"/>
            </w:pPr>
            <w:r>
              <w:rPr>
                <w:rFonts w:ascii="宋体" w:hAnsi="宋体" w:eastAsia="宋体"/>
                <w:b/>
                <w:i w:val="0"/>
                <w:sz w:val="18"/>
              </w:rPr>
              <w:t>全年预算数</w:t>
            </w:r>
          </w:p>
        </w:tc>
        <w:tc>
          <w:tcPr>
            <w:tcW w:w="59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00370">
            <w:pPr>
              <w:spacing w:before="0" w:after="0" w:line="240" w:lineRule="auto"/>
              <w:jc w:val="center"/>
            </w:pPr>
            <w:r>
              <w:rPr>
                <w:rFonts w:ascii="宋体" w:hAnsi="宋体" w:eastAsia="宋体"/>
                <w:b/>
                <w:i w:val="0"/>
                <w:sz w:val="18"/>
              </w:rPr>
              <w:t>全年执行数</w:t>
            </w:r>
          </w:p>
        </w:tc>
        <w:tc>
          <w:tcPr>
            <w:tcW w:w="59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545C0">
            <w:pPr>
              <w:spacing w:before="0" w:after="0" w:line="240" w:lineRule="auto"/>
              <w:jc w:val="center"/>
            </w:pPr>
            <w:r>
              <w:rPr>
                <w:rFonts w:ascii="宋体" w:hAnsi="宋体" w:eastAsia="宋体"/>
                <w:b/>
                <w:i w:val="0"/>
                <w:sz w:val="18"/>
              </w:rPr>
              <w:t>分值</w:t>
            </w:r>
          </w:p>
        </w:tc>
        <w:tc>
          <w:tcPr>
            <w:tcW w:w="76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1DAB8">
            <w:pPr>
              <w:spacing w:before="0" w:after="0" w:line="240" w:lineRule="auto"/>
              <w:jc w:val="center"/>
            </w:pPr>
            <w:r>
              <w:rPr>
                <w:rFonts w:ascii="宋体" w:hAnsi="宋体" w:eastAsia="宋体"/>
                <w:b/>
                <w:i w:val="0"/>
                <w:sz w:val="18"/>
              </w:rPr>
              <w:t>执行率</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061840C8">
            <w:pPr>
              <w:spacing w:before="0" w:after="0" w:line="240" w:lineRule="auto"/>
              <w:jc w:val="center"/>
            </w:pPr>
            <w:r>
              <w:rPr>
                <w:rFonts w:ascii="宋体" w:hAnsi="宋体" w:eastAsia="宋体"/>
                <w:b/>
                <w:i w:val="0"/>
                <w:sz w:val="18"/>
              </w:rPr>
              <w:t>得分</w:t>
            </w:r>
          </w:p>
        </w:tc>
      </w:tr>
      <w:tr w14:paraId="341F735F">
        <w:tblPrEx>
          <w:tblCellMar>
            <w:top w:w="36" w:type="dxa"/>
            <w:left w:w="36" w:type="dxa"/>
            <w:bottom w:w="36" w:type="dxa"/>
            <w:right w:w="36" w:type="dxa"/>
          </w:tblCellMar>
        </w:tblPrEx>
        <w:trPr>
          <w:trHeight w:val="380" w:hRule="atLeast"/>
        </w:trPr>
        <w:tc>
          <w:tcPr>
            <w:tcW w:w="510"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3C63671"/>
        </w:tc>
        <w:tc>
          <w:tcPr>
            <w:tcW w:w="77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8B776">
            <w:pPr>
              <w:spacing w:before="0" w:after="0" w:line="240" w:lineRule="auto"/>
              <w:jc w:val="center"/>
            </w:pPr>
            <w:r>
              <w:rPr>
                <w:rFonts w:ascii="宋体" w:hAnsi="宋体" w:eastAsia="宋体"/>
                <w:b/>
                <w:i w:val="0"/>
                <w:sz w:val="18"/>
              </w:rPr>
              <w:t>年度资金总额</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6AC34342">
            <w:pPr>
              <w:spacing w:before="0" w:after="0" w:line="240" w:lineRule="auto"/>
              <w:jc w:val="center"/>
            </w:pPr>
            <w:r>
              <w:rPr>
                <w:rFonts w:ascii="宋体" w:hAnsi="宋体" w:eastAsia="宋体"/>
                <w:b w:val="0"/>
                <w:i w:val="0"/>
                <w:sz w:val="18"/>
              </w:rPr>
              <w:t>135.42</w:t>
            </w:r>
          </w:p>
        </w:tc>
        <w:tc>
          <w:tcPr>
            <w:tcW w:w="59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5C29">
            <w:pPr>
              <w:spacing w:before="0" w:after="0" w:line="240" w:lineRule="auto"/>
              <w:jc w:val="center"/>
            </w:pPr>
            <w:r>
              <w:rPr>
                <w:rFonts w:ascii="宋体" w:hAnsi="宋体" w:eastAsia="宋体"/>
                <w:b w:val="0"/>
                <w:i w:val="0"/>
                <w:sz w:val="18"/>
              </w:rPr>
              <w:t>135.42</w:t>
            </w:r>
          </w:p>
        </w:tc>
        <w:tc>
          <w:tcPr>
            <w:tcW w:w="59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E176F">
            <w:pPr>
              <w:spacing w:before="0" w:after="0" w:line="240" w:lineRule="auto"/>
              <w:jc w:val="center"/>
            </w:pPr>
            <w:r>
              <w:rPr>
                <w:rFonts w:ascii="宋体" w:hAnsi="宋体" w:eastAsia="宋体"/>
                <w:b w:val="0"/>
                <w:i w:val="0"/>
                <w:sz w:val="18"/>
              </w:rPr>
              <w:t>135.42</w:t>
            </w:r>
          </w:p>
        </w:tc>
        <w:tc>
          <w:tcPr>
            <w:tcW w:w="59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D21DE">
            <w:pPr>
              <w:spacing w:before="0" w:after="0" w:line="240" w:lineRule="auto"/>
              <w:jc w:val="center"/>
            </w:pPr>
            <w:r>
              <w:rPr>
                <w:rFonts w:ascii="宋体" w:hAnsi="宋体" w:eastAsia="宋体"/>
                <w:b w:val="0"/>
                <w:i w:val="0"/>
                <w:sz w:val="18"/>
              </w:rPr>
              <w:t>10</w:t>
            </w:r>
          </w:p>
        </w:tc>
        <w:tc>
          <w:tcPr>
            <w:tcW w:w="76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9B80A">
            <w:pPr>
              <w:spacing w:before="0" w:after="0" w:line="240" w:lineRule="auto"/>
              <w:jc w:val="center"/>
            </w:pPr>
            <w:r>
              <w:rPr>
                <w:rFonts w:ascii="宋体" w:hAnsi="宋体" w:eastAsia="宋体"/>
                <w:b w:val="0"/>
                <w:i w:val="0"/>
                <w:sz w:val="18"/>
              </w:rPr>
              <w:t>100.00%</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27FA6A45">
            <w:pPr>
              <w:spacing w:before="0" w:after="0" w:line="240" w:lineRule="auto"/>
              <w:jc w:val="center"/>
            </w:pPr>
            <w:r>
              <w:rPr>
                <w:rFonts w:ascii="宋体" w:hAnsi="宋体" w:eastAsia="宋体"/>
                <w:b w:val="0"/>
                <w:i w:val="0"/>
                <w:sz w:val="18"/>
              </w:rPr>
              <w:t>10.00</w:t>
            </w:r>
          </w:p>
        </w:tc>
      </w:tr>
      <w:tr w14:paraId="341B959A">
        <w:tblPrEx>
          <w:tblCellMar>
            <w:top w:w="36" w:type="dxa"/>
            <w:left w:w="36" w:type="dxa"/>
            <w:bottom w:w="36" w:type="dxa"/>
            <w:right w:w="36" w:type="dxa"/>
          </w:tblCellMar>
        </w:tblPrEx>
        <w:trPr>
          <w:trHeight w:val="380" w:hRule="atLeast"/>
        </w:trPr>
        <w:tc>
          <w:tcPr>
            <w:tcW w:w="510"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6741504"/>
        </w:tc>
        <w:tc>
          <w:tcPr>
            <w:tcW w:w="77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6B71F">
            <w:pPr>
              <w:spacing w:before="0" w:after="0" w:line="240" w:lineRule="auto"/>
              <w:jc w:val="center"/>
            </w:pPr>
            <w:r>
              <w:rPr>
                <w:rFonts w:ascii="宋体" w:hAnsi="宋体" w:eastAsia="宋体"/>
                <w:b/>
                <w:i w:val="0"/>
                <w:sz w:val="18"/>
              </w:rPr>
              <w:t>其中：当年财政拨款</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38FA0297">
            <w:pPr>
              <w:spacing w:before="0" w:after="0" w:line="240" w:lineRule="auto"/>
              <w:jc w:val="center"/>
            </w:pPr>
            <w:r>
              <w:rPr>
                <w:rFonts w:ascii="宋体" w:hAnsi="宋体" w:eastAsia="宋体"/>
                <w:b w:val="0"/>
                <w:i w:val="0"/>
                <w:sz w:val="18"/>
              </w:rPr>
              <w:t>0.00</w:t>
            </w:r>
          </w:p>
        </w:tc>
        <w:tc>
          <w:tcPr>
            <w:tcW w:w="59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D9188">
            <w:pPr>
              <w:spacing w:before="0" w:after="0" w:line="240" w:lineRule="auto"/>
              <w:jc w:val="center"/>
            </w:pPr>
            <w:r>
              <w:rPr>
                <w:rFonts w:ascii="宋体" w:hAnsi="宋体" w:eastAsia="宋体"/>
                <w:b w:val="0"/>
                <w:i w:val="0"/>
                <w:sz w:val="18"/>
              </w:rPr>
              <w:t>0.00</w:t>
            </w:r>
          </w:p>
        </w:tc>
        <w:tc>
          <w:tcPr>
            <w:tcW w:w="59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F33F5">
            <w:pPr>
              <w:spacing w:before="0" w:after="0" w:line="240" w:lineRule="auto"/>
              <w:jc w:val="center"/>
            </w:pPr>
            <w:r>
              <w:rPr>
                <w:rFonts w:ascii="宋体" w:hAnsi="宋体" w:eastAsia="宋体"/>
                <w:b w:val="0"/>
                <w:i w:val="0"/>
                <w:sz w:val="18"/>
              </w:rPr>
              <w:t>0.00</w:t>
            </w:r>
          </w:p>
        </w:tc>
        <w:tc>
          <w:tcPr>
            <w:tcW w:w="59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AB5E5">
            <w:pPr>
              <w:spacing w:before="0" w:after="0" w:line="240" w:lineRule="auto"/>
              <w:jc w:val="center"/>
            </w:pPr>
            <w:r>
              <w:rPr>
                <w:rFonts w:ascii="宋体" w:hAnsi="宋体" w:eastAsia="宋体"/>
                <w:b w:val="0"/>
                <w:i w:val="0"/>
                <w:sz w:val="18"/>
              </w:rPr>
              <w:t>-</w:t>
            </w:r>
          </w:p>
        </w:tc>
        <w:tc>
          <w:tcPr>
            <w:tcW w:w="76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9475D">
            <w:pPr>
              <w:spacing w:before="0" w:after="0" w:line="240" w:lineRule="auto"/>
              <w:jc w:val="center"/>
            </w:pPr>
            <w:r>
              <w:rPr>
                <w:rFonts w:ascii="宋体" w:hAnsi="宋体" w:eastAsia="宋体"/>
                <w:b w:val="0"/>
                <w:i w:val="0"/>
                <w:sz w:val="18"/>
              </w:rPr>
              <w:t>-</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0AC155C0">
            <w:pPr>
              <w:spacing w:before="0" w:after="0" w:line="240" w:lineRule="auto"/>
              <w:jc w:val="center"/>
            </w:pPr>
            <w:r>
              <w:rPr>
                <w:rFonts w:ascii="宋体" w:hAnsi="宋体" w:eastAsia="宋体"/>
                <w:b w:val="0"/>
                <w:i w:val="0"/>
                <w:sz w:val="18"/>
              </w:rPr>
              <w:t>-</w:t>
            </w:r>
          </w:p>
        </w:tc>
      </w:tr>
      <w:tr w14:paraId="3FA620F2">
        <w:tblPrEx>
          <w:tblCellMar>
            <w:top w:w="36" w:type="dxa"/>
            <w:left w:w="36" w:type="dxa"/>
            <w:bottom w:w="36" w:type="dxa"/>
            <w:right w:w="36" w:type="dxa"/>
          </w:tblCellMar>
        </w:tblPrEx>
        <w:trPr>
          <w:trHeight w:val="380" w:hRule="atLeast"/>
        </w:trPr>
        <w:tc>
          <w:tcPr>
            <w:tcW w:w="510"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453DBEE"/>
        </w:tc>
        <w:tc>
          <w:tcPr>
            <w:tcW w:w="774"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2751">
            <w:pPr>
              <w:spacing w:before="0" w:after="0" w:line="240" w:lineRule="auto"/>
              <w:jc w:val="center"/>
            </w:pPr>
            <w:r>
              <w:rPr>
                <w:rFonts w:ascii="宋体" w:hAnsi="宋体" w:eastAsia="宋体"/>
                <w:b/>
                <w:i w:val="0"/>
                <w:sz w:val="18"/>
              </w:rPr>
              <w:t>其他资金</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06A818B0">
            <w:pPr>
              <w:spacing w:before="0" w:after="0" w:line="240" w:lineRule="auto"/>
              <w:jc w:val="center"/>
            </w:pPr>
            <w:r>
              <w:rPr>
                <w:rFonts w:ascii="宋体" w:hAnsi="宋体" w:eastAsia="宋体"/>
                <w:b w:val="0"/>
                <w:i w:val="0"/>
                <w:sz w:val="18"/>
              </w:rPr>
              <w:t>135.42</w:t>
            </w:r>
          </w:p>
        </w:tc>
        <w:tc>
          <w:tcPr>
            <w:tcW w:w="59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286E5">
            <w:pPr>
              <w:spacing w:before="0" w:after="0" w:line="240" w:lineRule="auto"/>
              <w:jc w:val="center"/>
            </w:pPr>
            <w:r>
              <w:rPr>
                <w:rFonts w:ascii="宋体" w:hAnsi="宋体" w:eastAsia="宋体"/>
                <w:b w:val="0"/>
                <w:i w:val="0"/>
                <w:sz w:val="18"/>
              </w:rPr>
              <w:t>135.42</w:t>
            </w:r>
          </w:p>
        </w:tc>
        <w:tc>
          <w:tcPr>
            <w:tcW w:w="59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5D006">
            <w:pPr>
              <w:spacing w:before="0" w:after="0" w:line="240" w:lineRule="auto"/>
              <w:jc w:val="center"/>
            </w:pPr>
            <w:r>
              <w:rPr>
                <w:rFonts w:ascii="宋体" w:hAnsi="宋体" w:eastAsia="宋体"/>
                <w:b w:val="0"/>
                <w:i w:val="0"/>
                <w:sz w:val="18"/>
              </w:rPr>
              <w:t>135.42</w:t>
            </w:r>
          </w:p>
        </w:tc>
        <w:tc>
          <w:tcPr>
            <w:tcW w:w="595"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89B3D">
            <w:pPr>
              <w:spacing w:before="0" w:after="0" w:line="240" w:lineRule="auto"/>
              <w:jc w:val="center"/>
            </w:pPr>
            <w:r>
              <w:rPr>
                <w:rFonts w:ascii="宋体" w:hAnsi="宋体" w:eastAsia="宋体"/>
                <w:b w:val="0"/>
                <w:i w:val="0"/>
                <w:sz w:val="18"/>
              </w:rPr>
              <w:t>-</w:t>
            </w:r>
          </w:p>
        </w:tc>
        <w:tc>
          <w:tcPr>
            <w:tcW w:w="768"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A7170">
            <w:pPr>
              <w:spacing w:before="0" w:after="0" w:line="240" w:lineRule="auto"/>
              <w:jc w:val="center"/>
            </w:pPr>
            <w:r>
              <w:rPr>
                <w:rFonts w:ascii="宋体" w:hAnsi="宋体" w:eastAsia="宋体"/>
                <w:b w:val="0"/>
                <w:i w:val="0"/>
                <w:sz w:val="18"/>
              </w:rPr>
              <w:t>-</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0FA6B211">
            <w:pPr>
              <w:spacing w:before="0" w:after="0" w:line="240" w:lineRule="auto"/>
              <w:jc w:val="center"/>
            </w:pPr>
            <w:r>
              <w:rPr>
                <w:rFonts w:ascii="宋体" w:hAnsi="宋体" w:eastAsia="宋体"/>
                <w:b w:val="0"/>
                <w:i w:val="0"/>
                <w:sz w:val="18"/>
              </w:rPr>
              <w:t>-</w:t>
            </w:r>
          </w:p>
        </w:tc>
      </w:tr>
      <w:tr w14:paraId="7C2E2195">
        <w:tblPrEx>
          <w:tblCellMar>
            <w:top w:w="36" w:type="dxa"/>
            <w:left w:w="36" w:type="dxa"/>
            <w:bottom w:w="36" w:type="dxa"/>
            <w:right w:w="36" w:type="dxa"/>
          </w:tblCellMar>
        </w:tblPrEx>
        <w:trPr>
          <w:trHeight w:val="380" w:hRule="atLeast"/>
        </w:trPr>
        <w:tc>
          <w:tcPr>
            <w:tcW w:w="21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DC1E0">
            <w:pPr>
              <w:spacing w:before="0" w:after="0" w:line="240" w:lineRule="auto"/>
              <w:jc w:val="center"/>
            </w:pPr>
            <w:r>
              <w:rPr>
                <w:rFonts w:ascii="宋体" w:hAnsi="宋体" w:eastAsia="宋体"/>
                <w:b/>
                <w:i w:val="0"/>
                <w:sz w:val="18"/>
              </w:rPr>
              <w:t>年度总体目标</w:t>
            </w:r>
          </w:p>
        </w:tc>
        <w:tc>
          <w:tcPr>
            <w:tcW w:w="2006" w:type="pct"/>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9DA3AF">
            <w:pPr>
              <w:spacing w:before="0" w:after="0" w:line="240" w:lineRule="auto"/>
              <w:jc w:val="center"/>
            </w:pPr>
            <w:r>
              <w:rPr>
                <w:rFonts w:ascii="宋体" w:hAnsi="宋体" w:eastAsia="宋体"/>
                <w:b/>
                <w:i w:val="0"/>
                <w:sz w:val="18"/>
              </w:rPr>
              <w:t>预期目标</w:t>
            </w:r>
          </w:p>
        </w:tc>
        <w:tc>
          <w:tcPr>
            <w:tcW w:w="2780"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4D4C00">
            <w:pPr>
              <w:spacing w:before="0" w:after="0" w:line="240" w:lineRule="auto"/>
              <w:jc w:val="center"/>
            </w:pPr>
            <w:r>
              <w:rPr>
                <w:rFonts w:ascii="宋体" w:hAnsi="宋体" w:eastAsia="宋体"/>
                <w:b/>
                <w:i w:val="0"/>
                <w:sz w:val="18"/>
              </w:rPr>
              <w:t>实际完成情况</w:t>
            </w:r>
          </w:p>
        </w:tc>
      </w:tr>
      <w:tr w14:paraId="57AC2663">
        <w:tblPrEx>
          <w:tblCellMar>
            <w:top w:w="36" w:type="dxa"/>
            <w:left w:w="36" w:type="dxa"/>
            <w:bottom w:w="36" w:type="dxa"/>
            <w:right w:w="36" w:type="dxa"/>
          </w:tblCellMar>
        </w:tblPrEx>
        <w:trPr>
          <w:trHeight w:val="700" w:hRule="atLeast"/>
        </w:trPr>
        <w:tc>
          <w:tcPr>
            <w:tcW w:w="212" w:type="pct"/>
            <w:vMerge w:val="continue"/>
            <w:tcBorders>
              <w:top w:val="single" w:color="auto" w:sz="10" w:space="0"/>
              <w:left w:val="single" w:color="auto" w:sz="10" w:space="0"/>
              <w:bottom w:val="single" w:color="auto" w:sz="10" w:space="0"/>
              <w:right w:val="single" w:color="auto" w:sz="10" w:space="0"/>
              <w:insideV w:val="single" w:sz="10" w:space="0"/>
            </w:tcBorders>
          </w:tcPr>
          <w:p w14:paraId="4F5C11A8"/>
        </w:tc>
        <w:tc>
          <w:tcPr>
            <w:tcW w:w="2006" w:type="pct"/>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203064">
            <w:pPr>
              <w:spacing w:before="0" w:after="0" w:line="240" w:lineRule="auto"/>
              <w:jc w:val="center"/>
            </w:pPr>
            <w:r>
              <w:rPr>
                <w:rFonts w:ascii="宋体" w:hAnsi="宋体" w:eastAsia="宋体"/>
                <w:b w:val="0"/>
                <w:i w:val="0"/>
                <w:sz w:val="18"/>
              </w:rPr>
              <w:t>1.水资源监测管理：主要对吐鲁番水文勘测局下辖的2个水文站点进行水量测验、设备检修、洪水调查等工作，对所属31口国家级地下水观测井、5个坎儿井和2个水质自动检测井进行监测取数及其维护管理。2.水功能区监测考核：主要对吐鲁番境内水功能区进行采样、分析</w:t>
            </w:r>
            <w:r>
              <w:rPr>
                <w:rFonts w:hint="eastAsia" w:ascii="宋体" w:hAnsi="宋体"/>
                <w:b w:val="0"/>
                <w:i w:val="0"/>
                <w:sz w:val="18"/>
                <w:lang w:eastAsia="zh-CN"/>
              </w:rPr>
              <w:t>，以及</w:t>
            </w:r>
            <w:r>
              <w:rPr>
                <w:rFonts w:ascii="宋体" w:hAnsi="宋体" w:eastAsia="宋体"/>
                <w:b w:val="0"/>
                <w:i w:val="0"/>
                <w:sz w:val="18"/>
              </w:rPr>
              <w:t>评价工作。3.地表水调查评价。按照工作要求，搜集整理已有水文、气象等基础数据及成果，并辅以必要的调研及现场勘测工作，摸清现状及规划水资源开发利用情况，完成地表水资源分析评价外业调查。4.地下水调查评价：搜集整理已有水文、气象、地下水开采等基础数据及成果。5.地下水源地调查评价：主要对吐鲁番境内主要河流监测断面进行采样、分析，水资源质量评价、污染物入河调查分析、地下水资源调查评价，对所属自来水厂水源地进行取样分析评价。</w:t>
            </w:r>
          </w:p>
        </w:tc>
        <w:tc>
          <w:tcPr>
            <w:tcW w:w="2780"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70253">
            <w:pPr>
              <w:spacing w:before="0" w:after="0" w:line="240" w:lineRule="auto"/>
              <w:jc w:val="center"/>
            </w:pPr>
            <w:r>
              <w:rPr>
                <w:rFonts w:ascii="宋体" w:hAnsi="宋体" w:eastAsia="宋体"/>
                <w:b w:val="0"/>
                <w:i w:val="0"/>
                <w:sz w:val="18"/>
              </w:rPr>
              <w:t>1.水资源监测管理：完成对吐鲁番水文勘测局下辖的2个水文站点进行水量测验、设备检修、洪水调查等工作，对所属31口国家级地下水观测井、5个坎儿井和2个水质自动检测井进行监测取数及其维护管理。2.水功能区监测考核：完成对吐鲁番境内水功能区进行采样、分析</w:t>
            </w:r>
            <w:r>
              <w:rPr>
                <w:rFonts w:hint="eastAsia" w:ascii="宋体" w:hAnsi="宋体"/>
                <w:b w:val="0"/>
                <w:i w:val="0"/>
                <w:sz w:val="18"/>
                <w:lang w:eastAsia="zh-CN"/>
              </w:rPr>
              <w:t>，以及</w:t>
            </w:r>
            <w:r>
              <w:rPr>
                <w:rFonts w:ascii="宋体" w:hAnsi="宋体" w:eastAsia="宋体"/>
                <w:b w:val="0"/>
                <w:i w:val="0"/>
                <w:sz w:val="18"/>
              </w:rPr>
              <w:t>评价工作。3.地表水调查评价。按照工作要求，搜集整理已有水文、气象等基础数据及成果，并辅以必要的调研及现场勘测工作，摸清现状及规划水资源开发利用情况，完成地表水资源分析评价外业调查。2025年1-12月完成了8项水文对外技术服务合同。4.地下水调查评价：完成搜集整理已有水文、气象、地下水开采等基础数据及成果。为当地政府综合治理开发和放工对策提供了重要的基础信息和决策依据。5.地下水源地调查评价：完成对吐鲁番境内主要河流监测断面进行采样、分析，水资源质量评价、污染物入河调查分析、地下水资源调查评价，对所属自来水厂水源地进行取样分析评价。</w:t>
            </w:r>
          </w:p>
        </w:tc>
      </w:tr>
      <w:tr w14:paraId="4B532D73">
        <w:tblPrEx>
          <w:tblCellMar>
            <w:top w:w="36" w:type="dxa"/>
            <w:left w:w="36" w:type="dxa"/>
            <w:bottom w:w="36" w:type="dxa"/>
            <w:right w:w="36" w:type="dxa"/>
          </w:tblCellMar>
        </w:tblPrEx>
        <w:trPr>
          <w:trHeight w:val="312" w:hRule="atLeast"/>
        </w:trPr>
        <w:tc>
          <w:tcPr>
            <w:tcW w:w="21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9001E">
            <w:pPr>
              <w:spacing w:before="0" w:after="0" w:line="240" w:lineRule="auto"/>
              <w:jc w:val="center"/>
            </w:pPr>
          </w:p>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BA72D">
            <w:pPr>
              <w:spacing w:before="0" w:after="0" w:line="240" w:lineRule="auto"/>
              <w:jc w:val="center"/>
            </w:pPr>
            <w:r>
              <w:rPr>
                <w:rFonts w:ascii="宋体" w:hAnsi="宋体" w:eastAsia="宋体"/>
                <w:b/>
                <w:i w:val="0"/>
                <w:sz w:val="18"/>
              </w:rPr>
              <w:t>一级指标</w:t>
            </w:r>
          </w:p>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CBA5D">
            <w:pPr>
              <w:spacing w:before="0" w:after="0" w:line="240" w:lineRule="auto"/>
              <w:jc w:val="center"/>
            </w:pPr>
            <w:r>
              <w:rPr>
                <w:rFonts w:ascii="宋体" w:hAnsi="宋体" w:eastAsia="宋体"/>
                <w:b/>
                <w:i w:val="0"/>
                <w:sz w:val="18"/>
              </w:rPr>
              <w:t>二级指标</w:t>
            </w:r>
          </w:p>
        </w:tc>
        <w:tc>
          <w:tcPr>
            <w:tcW w:w="47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3AD66">
            <w:pPr>
              <w:spacing w:before="0" w:after="0" w:line="240" w:lineRule="auto"/>
              <w:jc w:val="center"/>
            </w:pPr>
            <w:r>
              <w:rPr>
                <w:rFonts w:ascii="宋体" w:hAnsi="宋体" w:eastAsia="宋体"/>
                <w:b/>
                <w:i w:val="0"/>
                <w:sz w:val="18"/>
              </w:rPr>
              <w:t>三级指标</w:t>
            </w:r>
          </w:p>
        </w:tc>
        <w:tc>
          <w:tcPr>
            <w:tcW w:w="33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C8EEA">
            <w:pPr>
              <w:spacing w:before="0" w:after="0" w:line="240" w:lineRule="auto"/>
              <w:jc w:val="center"/>
            </w:pPr>
            <w:r>
              <w:rPr>
                <w:rFonts w:ascii="宋体" w:hAnsi="宋体" w:eastAsia="宋体"/>
                <w:b/>
                <w:i w:val="0"/>
                <w:sz w:val="18"/>
              </w:rPr>
              <w:t>权重</w:t>
            </w:r>
          </w:p>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5BD8E">
            <w:pPr>
              <w:spacing w:before="0" w:after="0" w:line="240" w:lineRule="auto"/>
              <w:jc w:val="center"/>
            </w:pPr>
            <w:r>
              <w:rPr>
                <w:rFonts w:ascii="宋体" w:hAnsi="宋体" w:eastAsia="宋体"/>
                <w:b/>
                <w:i w:val="0"/>
                <w:sz w:val="18"/>
              </w:rPr>
              <w:t>目标值</w:t>
            </w:r>
          </w:p>
        </w:tc>
        <w:tc>
          <w:tcPr>
            <w:tcW w:w="29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C8AD1">
            <w:pPr>
              <w:spacing w:before="0" w:after="0" w:line="240" w:lineRule="auto"/>
              <w:jc w:val="center"/>
            </w:pPr>
            <w:r>
              <w:rPr>
                <w:rFonts w:ascii="宋体" w:hAnsi="宋体" w:eastAsia="宋体"/>
                <w:b/>
                <w:i w:val="0"/>
                <w:sz w:val="18"/>
              </w:rPr>
              <w:t>业绩值</w:t>
            </w:r>
          </w:p>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F36F5">
            <w:pPr>
              <w:spacing w:before="0" w:after="0" w:line="240" w:lineRule="auto"/>
              <w:jc w:val="center"/>
            </w:pPr>
            <w:r>
              <w:rPr>
                <w:rFonts w:ascii="宋体" w:hAnsi="宋体" w:eastAsia="宋体"/>
                <w:b/>
                <w:i w:val="0"/>
                <w:sz w:val="18"/>
              </w:rPr>
              <w:t>完成率</w:t>
            </w:r>
          </w:p>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F7B82">
            <w:pPr>
              <w:spacing w:before="0" w:after="0" w:line="240" w:lineRule="auto"/>
              <w:jc w:val="center"/>
            </w:pPr>
            <w:r>
              <w:rPr>
                <w:rFonts w:ascii="宋体" w:hAnsi="宋体" w:eastAsia="宋体"/>
                <w:b/>
                <w:i w:val="0"/>
                <w:sz w:val="18"/>
              </w:rPr>
              <w:t>指标得分</w:t>
            </w:r>
          </w:p>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A679F">
            <w:pPr>
              <w:spacing w:before="0" w:after="0" w:line="240" w:lineRule="auto"/>
              <w:jc w:val="center"/>
            </w:pPr>
            <w:r>
              <w:rPr>
                <w:rFonts w:ascii="宋体" w:hAnsi="宋体" w:eastAsia="宋体"/>
                <w:b/>
                <w:i w:val="0"/>
                <w:sz w:val="18"/>
              </w:rPr>
              <w:t>指标值设定依据</w:t>
            </w:r>
          </w:p>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4E9E2">
            <w:pPr>
              <w:spacing w:before="0" w:after="0" w:line="240" w:lineRule="auto"/>
              <w:jc w:val="center"/>
            </w:pPr>
            <w:r>
              <w:rPr>
                <w:rFonts w:ascii="宋体" w:hAnsi="宋体" w:eastAsia="宋体"/>
                <w:b/>
                <w:i w:val="0"/>
                <w:sz w:val="18"/>
              </w:rPr>
              <w:t>上年完成情况</w:t>
            </w:r>
          </w:p>
        </w:tc>
        <w:tc>
          <w:tcPr>
            <w:tcW w:w="40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E448B">
            <w:pPr>
              <w:spacing w:before="0" w:after="0" w:line="240" w:lineRule="auto"/>
              <w:jc w:val="center"/>
            </w:pPr>
            <w:r>
              <w:rPr>
                <w:rFonts w:ascii="宋体" w:hAnsi="宋体" w:eastAsia="宋体"/>
                <w:b/>
                <w:i w:val="0"/>
                <w:sz w:val="18"/>
              </w:rPr>
              <w:t>赋分规则</w:t>
            </w:r>
          </w:p>
        </w:tc>
        <w:tc>
          <w:tcPr>
            <w:tcW w:w="36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6EFA1">
            <w:pPr>
              <w:spacing w:before="0" w:after="0" w:line="240" w:lineRule="auto"/>
              <w:jc w:val="center"/>
            </w:pPr>
            <w:r>
              <w:rPr>
                <w:rFonts w:ascii="宋体" w:hAnsi="宋体" w:eastAsia="宋体"/>
                <w:b/>
                <w:i w:val="0"/>
                <w:sz w:val="18"/>
              </w:rPr>
              <w:t>佐证资料</w:t>
            </w:r>
          </w:p>
        </w:tc>
        <w:tc>
          <w:tcPr>
            <w:tcW w:w="81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E4AAF">
            <w:pPr>
              <w:spacing w:before="0" w:after="0" w:line="240" w:lineRule="auto"/>
              <w:jc w:val="center"/>
            </w:pPr>
            <w:r>
              <w:rPr>
                <w:rFonts w:ascii="宋体" w:hAnsi="宋体" w:eastAsia="宋体"/>
                <w:b/>
                <w:i w:val="0"/>
                <w:sz w:val="18"/>
              </w:rPr>
              <w:t>偏差原因分析及改进措施</w:t>
            </w:r>
          </w:p>
        </w:tc>
      </w:tr>
      <w:tr w14:paraId="71C015DA">
        <w:tblPrEx>
          <w:tblCellMar>
            <w:top w:w="36" w:type="dxa"/>
            <w:left w:w="36" w:type="dxa"/>
            <w:bottom w:w="36" w:type="dxa"/>
            <w:right w:w="36" w:type="dxa"/>
          </w:tblCellMar>
        </w:tblPrEx>
        <w:trPr>
          <w:trHeight w:val="312" w:hRule="atLeast"/>
        </w:trPr>
        <w:tc>
          <w:tcPr>
            <w:tcW w:w="212" w:type="pct"/>
            <w:vMerge w:val="continue"/>
            <w:tcBorders>
              <w:top w:val="single" w:color="auto" w:sz="10" w:space="0"/>
              <w:left w:val="single" w:color="auto" w:sz="10" w:space="0"/>
              <w:bottom w:val="single" w:color="auto" w:sz="10" w:space="0"/>
              <w:right w:val="single" w:color="auto" w:sz="10" w:space="0"/>
              <w:insideV w:val="single" w:sz="10" w:space="0"/>
            </w:tcBorders>
          </w:tcPr>
          <w:p w14:paraId="6E4B829C"/>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2F09B802"/>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0658CC3C"/>
        </w:tc>
        <w:tc>
          <w:tcPr>
            <w:tcW w:w="476" w:type="pct"/>
            <w:vMerge w:val="continue"/>
            <w:tcBorders>
              <w:top w:val="single" w:color="auto" w:sz="10" w:space="0"/>
              <w:left w:val="single" w:color="auto" w:sz="10" w:space="0"/>
              <w:bottom w:val="single" w:color="auto" w:sz="10" w:space="0"/>
              <w:right w:val="single" w:color="auto" w:sz="10" w:space="0"/>
              <w:insideV w:val="single" w:sz="10" w:space="0"/>
            </w:tcBorders>
          </w:tcPr>
          <w:p w14:paraId="13907B61"/>
        </w:tc>
        <w:tc>
          <w:tcPr>
            <w:tcW w:w="338" w:type="pct"/>
            <w:vMerge w:val="continue"/>
            <w:tcBorders>
              <w:top w:val="single" w:color="auto" w:sz="10" w:space="0"/>
              <w:left w:val="single" w:color="auto" w:sz="10" w:space="0"/>
              <w:bottom w:val="single" w:color="auto" w:sz="10" w:space="0"/>
              <w:right w:val="single" w:color="auto" w:sz="10" w:space="0"/>
              <w:insideV w:val="single" w:sz="10" w:space="0"/>
            </w:tcBorders>
          </w:tcPr>
          <w:p w14:paraId="1C18C2F5"/>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76434E5C"/>
        </w:tc>
        <w:tc>
          <w:tcPr>
            <w:tcW w:w="298" w:type="pct"/>
            <w:vMerge w:val="continue"/>
            <w:tcBorders>
              <w:top w:val="single" w:color="auto" w:sz="10" w:space="0"/>
              <w:left w:val="single" w:color="auto" w:sz="10" w:space="0"/>
              <w:bottom w:val="single" w:color="auto" w:sz="10" w:space="0"/>
              <w:right w:val="single" w:color="auto" w:sz="10" w:space="0"/>
              <w:insideV w:val="single" w:sz="10" w:space="0"/>
            </w:tcBorders>
          </w:tcPr>
          <w:p w14:paraId="3E8A0416"/>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7FA2538E"/>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21A2BBBE"/>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6FB1A3E3"/>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36D89644"/>
        </w:tc>
        <w:tc>
          <w:tcPr>
            <w:tcW w:w="406" w:type="pct"/>
            <w:vMerge w:val="continue"/>
            <w:tcBorders>
              <w:top w:val="single" w:color="auto" w:sz="10" w:space="0"/>
              <w:left w:val="single" w:color="auto" w:sz="10" w:space="0"/>
              <w:bottom w:val="single" w:color="auto" w:sz="10" w:space="0"/>
              <w:right w:val="single" w:color="auto" w:sz="10" w:space="0"/>
              <w:insideV w:val="single" w:sz="10" w:space="0"/>
            </w:tcBorders>
          </w:tcPr>
          <w:p w14:paraId="3F1252C4"/>
        </w:tc>
        <w:tc>
          <w:tcPr>
            <w:tcW w:w="361" w:type="pct"/>
            <w:vMerge w:val="continue"/>
            <w:tcBorders>
              <w:top w:val="single" w:color="auto" w:sz="10" w:space="0"/>
              <w:left w:val="single" w:color="auto" w:sz="10" w:space="0"/>
              <w:bottom w:val="single" w:color="auto" w:sz="10" w:space="0"/>
              <w:right w:val="single" w:color="auto" w:sz="10" w:space="0"/>
              <w:insideV w:val="single" w:sz="10" w:space="0"/>
            </w:tcBorders>
          </w:tcPr>
          <w:p w14:paraId="25A3A318"/>
        </w:tc>
        <w:tc>
          <w:tcPr>
            <w:tcW w:w="819" w:type="pct"/>
            <w:vMerge w:val="continue"/>
            <w:tcBorders>
              <w:top w:val="single" w:color="auto" w:sz="10" w:space="0"/>
              <w:left w:val="single" w:color="auto" w:sz="10" w:space="0"/>
              <w:bottom w:val="single" w:color="auto" w:sz="10" w:space="0"/>
              <w:right w:val="single" w:color="auto" w:sz="10" w:space="0"/>
              <w:insideV w:val="single" w:sz="10" w:space="0"/>
            </w:tcBorders>
          </w:tcPr>
          <w:p w14:paraId="0A0CAF55"/>
        </w:tc>
      </w:tr>
      <w:tr w14:paraId="371676D0">
        <w:tblPrEx>
          <w:tblCellMar>
            <w:top w:w="36" w:type="dxa"/>
            <w:left w:w="36" w:type="dxa"/>
            <w:bottom w:w="36" w:type="dxa"/>
            <w:right w:w="36" w:type="dxa"/>
          </w:tblCellMar>
        </w:tblPrEx>
        <w:trPr>
          <w:trHeight w:val="380" w:hRule="atLeast"/>
        </w:trPr>
        <w:tc>
          <w:tcPr>
            <w:tcW w:w="21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A14A6">
            <w:pPr>
              <w:spacing w:before="0" w:after="0" w:line="240" w:lineRule="auto"/>
              <w:jc w:val="center"/>
            </w:pPr>
            <w:r>
              <w:rPr>
                <w:rFonts w:ascii="宋体" w:hAnsi="宋体" w:eastAsia="宋体"/>
                <w:b/>
                <w:i w:val="0"/>
                <w:sz w:val="18"/>
              </w:rPr>
              <w:t>年度绩效指标完成情况</w:t>
            </w:r>
          </w:p>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D7355">
            <w:pPr>
              <w:spacing w:before="0" w:after="0" w:line="240" w:lineRule="auto"/>
              <w:jc w:val="center"/>
            </w:pPr>
            <w:r>
              <w:rPr>
                <w:rFonts w:ascii="宋体" w:hAnsi="宋体" w:eastAsia="宋体"/>
                <w:b w:val="0"/>
                <w:i w:val="0"/>
                <w:sz w:val="18"/>
              </w:rPr>
              <w:t>产出指标</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720267FB">
            <w:pPr>
              <w:spacing w:before="0" w:after="0" w:line="240" w:lineRule="auto"/>
              <w:jc w:val="center"/>
            </w:pPr>
            <w:r>
              <w:rPr>
                <w:rFonts w:ascii="宋体" w:hAnsi="宋体" w:eastAsia="宋体"/>
                <w:b w:val="0"/>
                <w:i w:val="0"/>
                <w:sz w:val="18"/>
              </w:rPr>
              <w:t>数量指标</w:t>
            </w:r>
          </w:p>
        </w:tc>
        <w:tc>
          <w:tcPr>
            <w:tcW w:w="476" w:type="pct"/>
            <w:tcBorders>
              <w:top w:val="single" w:color="auto" w:sz="10" w:space="0"/>
              <w:left w:val="single" w:color="auto" w:sz="10" w:space="0"/>
              <w:bottom w:val="single" w:color="auto" w:sz="10" w:space="0"/>
              <w:right w:val="single" w:color="auto" w:sz="10" w:space="0"/>
              <w:insideV w:val="single" w:sz="10" w:space="0"/>
            </w:tcBorders>
            <w:vAlign w:val="center"/>
          </w:tcPr>
          <w:p w14:paraId="3A083BD5">
            <w:pPr>
              <w:spacing w:before="0" w:after="0" w:line="240" w:lineRule="auto"/>
              <w:jc w:val="center"/>
            </w:pPr>
            <w:r>
              <w:rPr>
                <w:rFonts w:ascii="宋体" w:hAnsi="宋体" w:eastAsia="宋体"/>
                <w:b w:val="0"/>
                <w:i w:val="0"/>
                <w:color w:val="000000"/>
                <w:sz w:val="18"/>
              </w:rPr>
              <w:t>国家基本水文站站点数量</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7BA84A4E">
            <w:pPr>
              <w:spacing w:before="0" w:after="0" w:line="240" w:lineRule="auto"/>
              <w:jc w:val="center"/>
            </w:pPr>
            <w:r>
              <w:rPr>
                <w:rFonts w:ascii="宋体" w:hAnsi="宋体" w:eastAsia="宋体"/>
                <w:b w:val="0"/>
                <w:i w:val="0"/>
                <w:sz w:val="18"/>
              </w:rPr>
              <w:t>12</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5F238E8C">
            <w:pPr>
              <w:spacing w:before="0" w:after="0" w:line="240" w:lineRule="auto"/>
              <w:jc w:val="center"/>
            </w:pPr>
            <w:r>
              <w:rPr>
                <w:rFonts w:ascii="宋体" w:hAnsi="宋体" w:eastAsia="宋体"/>
                <w:b w:val="0"/>
                <w:i w:val="0"/>
                <w:sz w:val="18"/>
              </w:rPr>
              <w:t>=2站</w:t>
            </w:r>
          </w:p>
        </w:tc>
        <w:tc>
          <w:tcPr>
            <w:tcW w:w="298" w:type="pct"/>
            <w:tcBorders>
              <w:top w:val="single" w:color="auto" w:sz="10" w:space="0"/>
              <w:left w:val="single" w:color="auto" w:sz="10" w:space="0"/>
              <w:bottom w:val="single" w:color="auto" w:sz="10" w:space="0"/>
              <w:right w:val="single" w:color="auto" w:sz="10" w:space="0"/>
              <w:insideV w:val="single" w:sz="10" w:space="0"/>
            </w:tcBorders>
            <w:vAlign w:val="center"/>
          </w:tcPr>
          <w:p w14:paraId="4C3E9D6D">
            <w:pPr>
              <w:spacing w:before="0" w:after="0" w:line="240" w:lineRule="auto"/>
              <w:jc w:val="center"/>
            </w:pPr>
            <w:r>
              <w:rPr>
                <w:rFonts w:ascii="宋体" w:hAnsi="宋体" w:eastAsia="宋体"/>
                <w:b w:val="0"/>
                <w:i w:val="0"/>
                <w:sz w:val="18"/>
              </w:rPr>
              <w:t>=2站</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5368767">
            <w:pPr>
              <w:spacing w:before="0" w:after="0" w:line="240" w:lineRule="auto"/>
              <w:jc w:val="center"/>
            </w:pPr>
            <w:r>
              <w:rPr>
                <w:rFonts w:ascii="宋体" w:hAnsi="宋体" w:eastAsia="宋体"/>
                <w:b w:val="0"/>
                <w:i w:val="0"/>
                <w:sz w:val="18"/>
              </w:rPr>
              <w:t>100%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B264120">
            <w:pPr>
              <w:spacing w:before="0" w:after="0" w:line="240" w:lineRule="auto"/>
              <w:jc w:val="center"/>
            </w:pPr>
            <w:r>
              <w:rPr>
                <w:rFonts w:ascii="宋体" w:hAnsi="宋体" w:eastAsia="宋体"/>
                <w:b w:val="0"/>
                <w:i w:val="0"/>
                <w:sz w:val="18"/>
              </w:rPr>
              <w:t>12</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086C5C0F">
            <w:pPr>
              <w:spacing w:before="0" w:after="0" w:line="240" w:lineRule="auto"/>
              <w:jc w:val="center"/>
            </w:pPr>
            <w:r>
              <w:rPr>
                <w:rFonts w:ascii="宋体" w:hAnsi="宋体" w:eastAsia="宋体"/>
                <w:b w:val="0"/>
                <w:i w:val="0"/>
                <w:sz w:val="18"/>
              </w:rPr>
              <w:t>历史标准</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41DD7BE2">
            <w:pPr>
              <w:spacing w:before="0" w:after="0" w:line="240" w:lineRule="auto"/>
              <w:jc w:val="center"/>
            </w:pPr>
            <w:r>
              <w:rPr>
                <w:rFonts w:ascii="宋体" w:hAnsi="宋体" w:eastAsia="宋体"/>
                <w:b w:val="0"/>
                <w:i w:val="0"/>
                <w:sz w:val="18"/>
              </w:rPr>
              <w:t>2站</w:t>
            </w:r>
          </w:p>
        </w:tc>
        <w:tc>
          <w:tcPr>
            <w:tcW w:w="406" w:type="pct"/>
            <w:tcBorders>
              <w:top w:val="single" w:color="auto" w:sz="10" w:space="0"/>
              <w:left w:val="single" w:color="auto" w:sz="10" w:space="0"/>
              <w:bottom w:val="single" w:color="auto" w:sz="10" w:space="0"/>
              <w:right w:val="single" w:color="auto" w:sz="10" w:space="0"/>
              <w:insideV w:val="single" w:sz="10" w:space="0"/>
            </w:tcBorders>
            <w:vAlign w:val="center"/>
          </w:tcPr>
          <w:p w14:paraId="7A7CBEAD">
            <w:pPr>
              <w:spacing w:before="0" w:after="0" w:line="240" w:lineRule="auto"/>
              <w:jc w:val="center"/>
            </w:pPr>
            <w:r>
              <w:rPr>
                <w:rFonts w:ascii="宋体" w:hAnsi="宋体" w:eastAsia="宋体"/>
                <w:b w:val="0"/>
                <w:i w:val="0"/>
                <w:sz w:val="18"/>
              </w:rPr>
              <w:t>按照完成比例赋分</w:t>
            </w:r>
          </w:p>
        </w:tc>
        <w:tc>
          <w:tcPr>
            <w:tcW w:w="361" w:type="pct"/>
            <w:tcBorders>
              <w:top w:val="single" w:color="auto" w:sz="10" w:space="0"/>
              <w:left w:val="single" w:color="auto" w:sz="10" w:space="0"/>
              <w:bottom w:val="single" w:color="auto" w:sz="10" w:space="0"/>
              <w:right w:val="single" w:color="auto" w:sz="10" w:space="0"/>
              <w:insideV w:val="single" w:sz="10" w:space="0"/>
            </w:tcBorders>
            <w:vAlign w:val="center"/>
          </w:tcPr>
          <w:p w14:paraId="2FE1ABDA">
            <w:pPr>
              <w:spacing w:before="0" w:after="0" w:line="240" w:lineRule="auto"/>
              <w:jc w:val="center"/>
            </w:pPr>
            <w:r>
              <w:rPr>
                <w:rFonts w:ascii="宋体" w:hAnsi="宋体" w:eastAsia="宋体"/>
                <w:b w:val="0"/>
                <w:i w:val="0"/>
                <w:sz w:val="18"/>
              </w:rPr>
              <w:t>工作资料</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38AD3F50">
            <w:pPr>
              <w:spacing w:before="0" w:after="0" w:line="240" w:lineRule="auto"/>
              <w:jc w:val="center"/>
            </w:pPr>
          </w:p>
        </w:tc>
      </w:tr>
      <w:tr w14:paraId="15CF0DE6">
        <w:tblPrEx>
          <w:tblCellMar>
            <w:top w:w="36" w:type="dxa"/>
            <w:left w:w="36" w:type="dxa"/>
            <w:bottom w:w="36" w:type="dxa"/>
            <w:right w:w="36" w:type="dxa"/>
          </w:tblCellMar>
        </w:tblPrEx>
        <w:trPr>
          <w:trHeight w:val="380" w:hRule="atLeast"/>
        </w:trPr>
        <w:tc>
          <w:tcPr>
            <w:tcW w:w="212" w:type="pct"/>
            <w:vMerge w:val="continue"/>
            <w:tcBorders>
              <w:top w:val="single" w:color="auto" w:sz="10" w:space="0"/>
              <w:left w:val="single" w:color="auto" w:sz="10" w:space="0"/>
              <w:bottom w:val="single" w:color="auto" w:sz="10" w:space="0"/>
              <w:right w:val="single" w:color="auto" w:sz="10" w:space="0"/>
              <w:insideV w:val="single" w:sz="10" w:space="0"/>
            </w:tcBorders>
          </w:tcPr>
          <w:p w14:paraId="7B24A061"/>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77FFDA0A"/>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65672A4">
            <w:pPr>
              <w:spacing w:before="0" w:after="0" w:line="240" w:lineRule="auto"/>
              <w:jc w:val="center"/>
            </w:pPr>
            <w:r>
              <w:rPr>
                <w:rFonts w:ascii="宋体" w:hAnsi="宋体" w:eastAsia="宋体"/>
                <w:b w:val="0"/>
                <w:i w:val="0"/>
                <w:sz w:val="18"/>
              </w:rPr>
              <w:t>数量指标</w:t>
            </w:r>
          </w:p>
        </w:tc>
        <w:tc>
          <w:tcPr>
            <w:tcW w:w="476" w:type="pct"/>
            <w:tcBorders>
              <w:top w:val="single" w:color="auto" w:sz="10" w:space="0"/>
              <w:left w:val="single" w:color="auto" w:sz="10" w:space="0"/>
              <w:bottom w:val="single" w:color="auto" w:sz="10" w:space="0"/>
              <w:right w:val="single" w:color="auto" w:sz="10" w:space="0"/>
              <w:insideV w:val="single" w:sz="10" w:space="0"/>
            </w:tcBorders>
            <w:vAlign w:val="center"/>
          </w:tcPr>
          <w:p w14:paraId="303BE633">
            <w:pPr>
              <w:spacing w:before="0" w:after="0" w:line="240" w:lineRule="auto"/>
              <w:jc w:val="center"/>
            </w:pPr>
            <w:r>
              <w:rPr>
                <w:rFonts w:ascii="宋体" w:hAnsi="宋体" w:eastAsia="宋体"/>
                <w:b w:val="0"/>
                <w:i w:val="0"/>
                <w:color w:val="000000"/>
                <w:sz w:val="18"/>
              </w:rPr>
              <w:t>提供水文技术服务成果份数</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0AB45632">
            <w:pPr>
              <w:spacing w:before="0" w:after="0" w:line="240" w:lineRule="auto"/>
              <w:jc w:val="center"/>
            </w:pPr>
            <w:r>
              <w:rPr>
                <w:rFonts w:ascii="宋体" w:hAnsi="宋体" w:eastAsia="宋体"/>
                <w:b w:val="0"/>
                <w:i w:val="0"/>
                <w:sz w:val="18"/>
              </w:rPr>
              <w:t>12</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43E39459">
            <w:pPr>
              <w:spacing w:before="0" w:after="0" w:line="240" w:lineRule="auto"/>
              <w:jc w:val="center"/>
            </w:pPr>
            <w:r>
              <w:rPr>
                <w:rFonts w:ascii="宋体" w:hAnsi="宋体" w:eastAsia="宋体"/>
                <w:b w:val="0"/>
                <w:i w:val="0"/>
                <w:sz w:val="18"/>
              </w:rPr>
              <w:t>&gt;=8份</w:t>
            </w:r>
          </w:p>
        </w:tc>
        <w:tc>
          <w:tcPr>
            <w:tcW w:w="298" w:type="pct"/>
            <w:tcBorders>
              <w:top w:val="single" w:color="auto" w:sz="10" w:space="0"/>
              <w:left w:val="single" w:color="auto" w:sz="10" w:space="0"/>
              <w:bottom w:val="single" w:color="auto" w:sz="10" w:space="0"/>
              <w:right w:val="single" w:color="auto" w:sz="10" w:space="0"/>
              <w:insideV w:val="single" w:sz="10" w:space="0"/>
            </w:tcBorders>
            <w:vAlign w:val="center"/>
          </w:tcPr>
          <w:p w14:paraId="1F6F941C">
            <w:pPr>
              <w:spacing w:before="0" w:after="0" w:line="240" w:lineRule="auto"/>
              <w:jc w:val="center"/>
            </w:pPr>
            <w:r>
              <w:rPr>
                <w:rFonts w:ascii="宋体" w:hAnsi="宋体" w:eastAsia="宋体"/>
                <w:b w:val="0"/>
                <w:i w:val="0"/>
                <w:sz w:val="18"/>
              </w:rPr>
              <w:t>=7份</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EDF7D7D">
            <w:pPr>
              <w:spacing w:before="0" w:after="0" w:line="240" w:lineRule="auto"/>
              <w:jc w:val="center"/>
            </w:pPr>
            <w:r>
              <w:rPr>
                <w:rFonts w:ascii="宋体" w:hAnsi="宋体" w:eastAsia="宋体"/>
                <w:b w:val="0"/>
                <w:i w:val="0"/>
                <w:sz w:val="18"/>
              </w:rPr>
              <w:t>87.5%</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EA2F362">
            <w:pPr>
              <w:spacing w:before="0" w:after="0" w:line="240" w:lineRule="auto"/>
              <w:jc w:val="center"/>
            </w:pPr>
            <w:r>
              <w:rPr>
                <w:rFonts w:ascii="宋体" w:hAnsi="宋体" w:eastAsia="宋体"/>
                <w:b w:val="0"/>
                <w:i w:val="0"/>
                <w:sz w:val="18"/>
              </w:rPr>
              <w:t>8.25</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4109837">
            <w:pPr>
              <w:spacing w:before="0" w:after="0" w:line="240" w:lineRule="auto"/>
              <w:jc w:val="center"/>
            </w:pPr>
            <w:r>
              <w:rPr>
                <w:rFonts w:ascii="宋体" w:hAnsi="宋体" w:eastAsia="宋体"/>
                <w:b w:val="0"/>
                <w:i w:val="0"/>
                <w:sz w:val="18"/>
              </w:rPr>
              <w:t>计划标准</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2C75A0FC">
            <w:pPr>
              <w:spacing w:before="0" w:after="0" w:line="240" w:lineRule="auto"/>
              <w:jc w:val="center"/>
            </w:pPr>
            <w:r>
              <w:rPr>
                <w:rFonts w:ascii="宋体" w:hAnsi="宋体" w:eastAsia="宋体"/>
                <w:b w:val="0"/>
                <w:i w:val="0"/>
                <w:sz w:val="18"/>
              </w:rPr>
              <w:t>-</w:t>
            </w:r>
          </w:p>
        </w:tc>
        <w:tc>
          <w:tcPr>
            <w:tcW w:w="406" w:type="pct"/>
            <w:tcBorders>
              <w:top w:val="single" w:color="auto" w:sz="10" w:space="0"/>
              <w:left w:val="single" w:color="auto" w:sz="10" w:space="0"/>
              <w:bottom w:val="single" w:color="auto" w:sz="10" w:space="0"/>
              <w:right w:val="single" w:color="auto" w:sz="10" w:space="0"/>
              <w:insideV w:val="single" w:sz="10" w:space="0"/>
            </w:tcBorders>
            <w:vAlign w:val="center"/>
          </w:tcPr>
          <w:p w14:paraId="133F9DE7">
            <w:pPr>
              <w:spacing w:before="0" w:after="0" w:line="240" w:lineRule="auto"/>
              <w:jc w:val="center"/>
            </w:pPr>
            <w:r>
              <w:rPr>
                <w:rFonts w:ascii="宋体" w:hAnsi="宋体" w:eastAsia="宋体"/>
                <w:b w:val="0"/>
                <w:i w:val="0"/>
                <w:sz w:val="18"/>
              </w:rPr>
              <w:t>按照完成比例赋分</w:t>
            </w:r>
          </w:p>
        </w:tc>
        <w:tc>
          <w:tcPr>
            <w:tcW w:w="361" w:type="pct"/>
            <w:tcBorders>
              <w:top w:val="single" w:color="auto" w:sz="10" w:space="0"/>
              <w:left w:val="single" w:color="auto" w:sz="10" w:space="0"/>
              <w:bottom w:val="single" w:color="auto" w:sz="10" w:space="0"/>
              <w:right w:val="single" w:color="auto" w:sz="10" w:space="0"/>
              <w:insideV w:val="single" w:sz="10" w:space="0"/>
            </w:tcBorders>
            <w:vAlign w:val="center"/>
          </w:tcPr>
          <w:p w14:paraId="3085A7AD">
            <w:pPr>
              <w:spacing w:before="0" w:after="0" w:line="240" w:lineRule="auto"/>
              <w:jc w:val="center"/>
            </w:pPr>
            <w:r>
              <w:rPr>
                <w:rFonts w:ascii="宋体" w:hAnsi="宋体" w:eastAsia="宋体"/>
                <w:b w:val="0"/>
                <w:i w:val="0"/>
                <w:sz w:val="18"/>
              </w:rPr>
              <w:t>工作资料</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27DE9C71">
            <w:pPr>
              <w:spacing w:before="0" w:after="0" w:line="240" w:lineRule="auto"/>
              <w:jc w:val="center"/>
            </w:pPr>
            <w:r>
              <w:rPr>
                <w:rFonts w:ascii="宋体" w:hAnsi="宋体" w:eastAsia="宋体"/>
                <w:b w:val="0"/>
                <w:i w:val="0"/>
                <w:sz w:val="18"/>
              </w:rPr>
              <w:t>偏差原因：专业技术岗位人员配置不足，导致报告撰写进度受到影响，不能及时完成报告任务。改进措施：强化内部培训，提升专业人员写报告的能力。其次引进专业人才，增强专业队伍。</w:t>
            </w:r>
          </w:p>
        </w:tc>
      </w:tr>
      <w:tr w14:paraId="553EDFEF">
        <w:tblPrEx>
          <w:tblCellMar>
            <w:top w:w="36" w:type="dxa"/>
            <w:left w:w="36" w:type="dxa"/>
            <w:bottom w:w="36" w:type="dxa"/>
            <w:right w:w="36" w:type="dxa"/>
          </w:tblCellMar>
        </w:tblPrEx>
        <w:trPr>
          <w:trHeight w:val="380" w:hRule="atLeast"/>
        </w:trPr>
        <w:tc>
          <w:tcPr>
            <w:tcW w:w="212" w:type="pct"/>
            <w:vMerge w:val="continue"/>
            <w:tcBorders>
              <w:top w:val="single" w:color="auto" w:sz="10" w:space="0"/>
              <w:left w:val="single" w:color="auto" w:sz="10" w:space="0"/>
              <w:bottom w:val="single" w:color="auto" w:sz="10" w:space="0"/>
              <w:right w:val="single" w:color="auto" w:sz="10" w:space="0"/>
              <w:insideV w:val="single" w:sz="10" w:space="0"/>
            </w:tcBorders>
          </w:tcPr>
          <w:p w14:paraId="7A28EAC8"/>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1CD166AF"/>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1EC3A2AE">
            <w:pPr>
              <w:spacing w:before="0" w:after="0" w:line="240" w:lineRule="auto"/>
              <w:jc w:val="center"/>
            </w:pPr>
            <w:r>
              <w:rPr>
                <w:rFonts w:ascii="宋体" w:hAnsi="宋体" w:eastAsia="宋体"/>
                <w:b w:val="0"/>
                <w:i w:val="0"/>
                <w:sz w:val="18"/>
              </w:rPr>
              <w:t>质量指标</w:t>
            </w:r>
          </w:p>
        </w:tc>
        <w:tc>
          <w:tcPr>
            <w:tcW w:w="476" w:type="pct"/>
            <w:tcBorders>
              <w:top w:val="single" w:color="auto" w:sz="10" w:space="0"/>
              <w:left w:val="single" w:color="auto" w:sz="10" w:space="0"/>
              <w:bottom w:val="single" w:color="auto" w:sz="10" w:space="0"/>
              <w:right w:val="single" w:color="auto" w:sz="10" w:space="0"/>
              <w:insideV w:val="single" w:sz="10" w:space="0"/>
            </w:tcBorders>
            <w:vAlign w:val="center"/>
          </w:tcPr>
          <w:p w14:paraId="0F11EDC7">
            <w:pPr>
              <w:spacing w:before="0" w:after="0" w:line="240" w:lineRule="auto"/>
              <w:jc w:val="center"/>
            </w:pPr>
            <w:r>
              <w:rPr>
                <w:rFonts w:ascii="宋体" w:hAnsi="宋体" w:eastAsia="宋体"/>
                <w:b w:val="0"/>
                <w:i w:val="0"/>
                <w:color w:val="000000"/>
                <w:sz w:val="18"/>
              </w:rPr>
              <w:t>完成基本水文站测验任务完成率</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558AC6C5">
            <w:pPr>
              <w:spacing w:before="0" w:after="0" w:line="240" w:lineRule="auto"/>
              <w:jc w:val="center"/>
            </w:pPr>
            <w:r>
              <w:rPr>
                <w:rFonts w:ascii="宋体" w:hAnsi="宋体" w:eastAsia="宋体"/>
                <w:b w:val="0"/>
                <w:i w:val="0"/>
                <w:sz w:val="18"/>
              </w:rPr>
              <w:t>12</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99FB7E0">
            <w:pPr>
              <w:spacing w:before="0" w:after="0" w:line="240" w:lineRule="auto"/>
              <w:jc w:val="center"/>
            </w:pPr>
            <w:r>
              <w:rPr>
                <w:rFonts w:ascii="宋体" w:hAnsi="宋体" w:eastAsia="宋体"/>
                <w:b w:val="0"/>
                <w:i w:val="0"/>
                <w:sz w:val="18"/>
              </w:rPr>
              <w:t>&gt;=90%</w:t>
            </w:r>
          </w:p>
        </w:tc>
        <w:tc>
          <w:tcPr>
            <w:tcW w:w="298" w:type="pct"/>
            <w:tcBorders>
              <w:top w:val="single" w:color="auto" w:sz="10" w:space="0"/>
              <w:left w:val="single" w:color="auto" w:sz="10" w:space="0"/>
              <w:bottom w:val="single" w:color="auto" w:sz="10" w:space="0"/>
              <w:right w:val="single" w:color="auto" w:sz="10" w:space="0"/>
              <w:insideV w:val="single" w:sz="10" w:space="0"/>
            </w:tcBorders>
            <w:vAlign w:val="center"/>
          </w:tcPr>
          <w:p w14:paraId="15A3FACB">
            <w:pPr>
              <w:spacing w:before="0" w:after="0" w:line="240" w:lineRule="auto"/>
              <w:jc w:val="center"/>
            </w:pPr>
            <w:r>
              <w:rPr>
                <w:rFonts w:ascii="宋体" w:hAnsi="宋体" w:eastAsia="宋体"/>
                <w:b w:val="0"/>
                <w:i w:val="0"/>
                <w:sz w:val="18"/>
              </w:rPr>
              <w:t>=90%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FDD358F">
            <w:pPr>
              <w:spacing w:before="0" w:after="0" w:line="240" w:lineRule="auto"/>
              <w:jc w:val="center"/>
            </w:pPr>
            <w:r>
              <w:rPr>
                <w:rFonts w:ascii="宋体" w:hAnsi="宋体" w:eastAsia="宋体"/>
                <w:b w:val="0"/>
                <w:i w:val="0"/>
                <w:sz w:val="18"/>
              </w:rPr>
              <w:t>100%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1C5C7085">
            <w:pPr>
              <w:spacing w:before="0" w:after="0" w:line="240" w:lineRule="auto"/>
              <w:jc w:val="center"/>
            </w:pPr>
            <w:r>
              <w:rPr>
                <w:rFonts w:ascii="宋体" w:hAnsi="宋体" w:eastAsia="宋体"/>
                <w:b w:val="0"/>
                <w:i w:val="0"/>
                <w:sz w:val="18"/>
              </w:rPr>
              <w:t>12</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B742137">
            <w:pPr>
              <w:spacing w:before="0" w:after="0" w:line="240" w:lineRule="auto"/>
              <w:jc w:val="center"/>
            </w:pPr>
            <w:r>
              <w:rPr>
                <w:rFonts w:ascii="宋体" w:hAnsi="宋体" w:eastAsia="宋体"/>
                <w:b w:val="0"/>
                <w:i w:val="0"/>
                <w:sz w:val="18"/>
              </w:rPr>
              <w:t>历史标准</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2EBDFB87">
            <w:pPr>
              <w:spacing w:before="0" w:after="0" w:line="240" w:lineRule="auto"/>
              <w:jc w:val="center"/>
            </w:pPr>
            <w:r>
              <w:rPr>
                <w:rFonts w:ascii="宋体" w:hAnsi="宋体" w:eastAsia="宋体"/>
                <w:b w:val="0"/>
                <w:i w:val="0"/>
                <w:sz w:val="18"/>
              </w:rPr>
              <w:t>90%</w:t>
            </w:r>
          </w:p>
        </w:tc>
        <w:tc>
          <w:tcPr>
            <w:tcW w:w="406" w:type="pct"/>
            <w:tcBorders>
              <w:top w:val="single" w:color="auto" w:sz="10" w:space="0"/>
              <w:left w:val="single" w:color="auto" w:sz="10" w:space="0"/>
              <w:bottom w:val="single" w:color="auto" w:sz="10" w:space="0"/>
              <w:right w:val="single" w:color="auto" w:sz="10" w:space="0"/>
              <w:insideV w:val="single" w:sz="10" w:space="0"/>
            </w:tcBorders>
            <w:vAlign w:val="center"/>
          </w:tcPr>
          <w:p w14:paraId="5AA023A5">
            <w:pPr>
              <w:spacing w:before="0" w:after="0" w:line="240" w:lineRule="auto"/>
              <w:jc w:val="center"/>
            </w:pPr>
            <w:r>
              <w:rPr>
                <w:rFonts w:ascii="宋体" w:hAnsi="宋体" w:eastAsia="宋体"/>
                <w:b w:val="0"/>
                <w:i w:val="0"/>
                <w:sz w:val="18"/>
              </w:rPr>
              <w:t>按照完成比例赋分</w:t>
            </w:r>
          </w:p>
        </w:tc>
        <w:tc>
          <w:tcPr>
            <w:tcW w:w="361" w:type="pct"/>
            <w:tcBorders>
              <w:top w:val="single" w:color="auto" w:sz="10" w:space="0"/>
              <w:left w:val="single" w:color="auto" w:sz="10" w:space="0"/>
              <w:bottom w:val="single" w:color="auto" w:sz="10" w:space="0"/>
              <w:right w:val="single" w:color="auto" w:sz="10" w:space="0"/>
              <w:insideV w:val="single" w:sz="10" w:space="0"/>
            </w:tcBorders>
            <w:vAlign w:val="center"/>
          </w:tcPr>
          <w:p w14:paraId="0486D7C0">
            <w:pPr>
              <w:spacing w:before="0" w:after="0" w:line="240" w:lineRule="auto"/>
              <w:jc w:val="center"/>
            </w:pPr>
            <w:r>
              <w:rPr>
                <w:rFonts w:ascii="宋体" w:hAnsi="宋体" w:eastAsia="宋体"/>
                <w:b w:val="0"/>
                <w:i w:val="0"/>
                <w:sz w:val="18"/>
              </w:rPr>
              <w:t>工作资料</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6B2ED82C">
            <w:pPr>
              <w:spacing w:before="0" w:after="0" w:line="240" w:lineRule="auto"/>
              <w:jc w:val="center"/>
            </w:pPr>
          </w:p>
        </w:tc>
      </w:tr>
      <w:tr w14:paraId="50AB01F5">
        <w:tblPrEx>
          <w:tblCellMar>
            <w:top w:w="36" w:type="dxa"/>
            <w:left w:w="36" w:type="dxa"/>
            <w:bottom w:w="36" w:type="dxa"/>
            <w:right w:w="36" w:type="dxa"/>
          </w:tblCellMar>
        </w:tblPrEx>
        <w:trPr>
          <w:trHeight w:val="380" w:hRule="atLeast"/>
        </w:trPr>
        <w:tc>
          <w:tcPr>
            <w:tcW w:w="212" w:type="pct"/>
            <w:vMerge w:val="continue"/>
            <w:tcBorders>
              <w:top w:val="single" w:color="auto" w:sz="10" w:space="0"/>
              <w:left w:val="single" w:color="auto" w:sz="10" w:space="0"/>
              <w:bottom w:val="single" w:color="auto" w:sz="10" w:space="0"/>
              <w:right w:val="single" w:color="auto" w:sz="10" w:space="0"/>
              <w:insideV w:val="single" w:sz="10" w:space="0"/>
            </w:tcBorders>
          </w:tcPr>
          <w:p w14:paraId="637BEEFE"/>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2B9F37C4"/>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1490D843">
            <w:pPr>
              <w:spacing w:before="0" w:after="0" w:line="240" w:lineRule="auto"/>
              <w:jc w:val="center"/>
            </w:pPr>
            <w:r>
              <w:rPr>
                <w:rFonts w:ascii="宋体" w:hAnsi="宋体" w:eastAsia="宋体"/>
                <w:b w:val="0"/>
                <w:i w:val="0"/>
                <w:sz w:val="18"/>
              </w:rPr>
              <w:t>质量指标</w:t>
            </w:r>
          </w:p>
        </w:tc>
        <w:tc>
          <w:tcPr>
            <w:tcW w:w="476" w:type="pct"/>
            <w:tcBorders>
              <w:top w:val="single" w:color="auto" w:sz="10" w:space="0"/>
              <w:left w:val="single" w:color="auto" w:sz="10" w:space="0"/>
              <w:bottom w:val="single" w:color="auto" w:sz="10" w:space="0"/>
              <w:right w:val="single" w:color="auto" w:sz="10" w:space="0"/>
              <w:insideV w:val="single" w:sz="10" w:space="0"/>
            </w:tcBorders>
            <w:vAlign w:val="center"/>
          </w:tcPr>
          <w:p w14:paraId="40CB0319">
            <w:pPr>
              <w:spacing w:before="0" w:after="0" w:line="240" w:lineRule="auto"/>
              <w:jc w:val="center"/>
            </w:pPr>
            <w:r>
              <w:rPr>
                <w:rFonts w:ascii="宋体" w:hAnsi="宋体" w:eastAsia="宋体"/>
                <w:b w:val="0"/>
                <w:i w:val="0"/>
                <w:color w:val="000000"/>
                <w:sz w:val="18"/>
              </w:rPr>
              <w:t>提供水文资料有偿服务合格率</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333FA441">
            <w:pPr>
              <w:spacing w:before="0" w:after="0" w:line="240" w:lineRule="auto"/>
              <w:jc w:val="center"/>
            </w:pPr>
            <w:r>
              <w:rPr>
                <w:rFonts w:ascii="宋体" w:hAnsi="宋体" w:eastAsia="宋体"/>
                <w:b w:val="0"/>
                <w:i w:val="0"/>
                <w:sz w:val="18"/>
              </w:rPr>
              <w:t>12</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29B042C">
            <w:pPr>
              <w:spacing w:before="0" w:after="0" w:line="240" w:lineRule="auto"/>
              <w:jc w:val="center"/>
            </w:pPr>
            <w:r>
              <w:rPr>
                <w:rFonts w:ascii="宋体" w:hAnsi="宋体" w:eastAsia="宋体"/>
                <w:b w:val="0"/>
                <w:i w:val="0"/>
                <w:sz w:val="18"/>
              </w:rPr>
              <w:t>&gt;=90%</w:t>
            </w:r>
          </w:p>
        </w:tc>
        <w:tc>
          <w:tcPr>
            <w:tcW w:w="298" w:type="pct"/>
            <w:tcBorders>
              <w:top w:val="single" w:color="auto" w:sz="10" w:space="0"/>
              <w:left w:val="single" w:color="auto" w:sz="10" w:space="0"/>
              <w:bottom w:val="single" w:color="auto" w:sz="10" w:space="0"/>
              <w:right w:val="single" w:color="auto" w:sz="10" w:space="0"/>
              <w:insideV w:val="single" w:sz="10" w:space="0"/>
            </w:tcBorders>
            <w:vAlign w:val="center"/>
          </w:tcPr>
          <w:p w14:paraId="621E77CE">
            <w:pPr>
              <w:spacing w:before="0" w:after="0" w:line="240" w:lineRule="auto"/>
              <w:jc w:val="center"/>
            </w:pPr>
            <w:r>
              <w:rPr>
                <w:rFonts w:ascii="宋体" w:hAnsi="宋体" w:eastAsia="宋体"/>
                <w:b w:val="0"/>
                <w:i w:val="0"/>
                <w:sz w:val="18"/>
              </w:rPr>
              <w:t>=90%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7EAD6199">
            <w:pPr>
              <w:spacing w:before="0" w:after="0" w:line="240" w:lineRule="auto"/>
              <w:jc w:val="center"/>
            </w:pPr>
            <w:r>
              <w:rPr>
                <w:rFonts w:ascii="宋体" w:hAnsi="宋体" w:eastAsia="宋体"/>
                <w:b w:val="0"/>
                <w:i w:val="0"/>
                <w:sz w:val="18"/>
              </w:rPr>
              <w:t>100%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AFB4CDA">
            <w:pPr>
              <w:spacing w:before="0" w:after="0" w:line="240" w:lineRule="auto"/>
              <w:jc w:val="center"/>
            </w:pPr>
            <w:r>
              <w:rPr>
                <w:rFonts w:ascii="宋体" w:hAnsi="宋体" w:eastAsia="宋体"/>
                <w:b w:val="0"/>
                <w:i w:val="0"/>
                <w:sz w:val="18"/>
              </w:rPr>
              <w:t>12</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4847E444">
            <w:pPr>
              <w:spacing w:before="0" w:after="0" w:line="240" w:lineRule="auto"/>
              <w:jc w:val="center"/>
            </w:pPr>
            <w:r>
              <w:rPr>
                <w:rFonts w:ascii="宋体" w:hAnsi="宋体" w:eastAsia="宋体"/>
                <w:b w:val="0"/>
                <w:i w:val="0"/>
                <w:sz w:val="18"/>
              </w:rPr>
              <w:t>计划标准</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7FE5D4F1">
            <w:pPr>
              <w:spacing w:before="0" w:after="0" w:line="240" w:lineRule="auto"/>
              <w:jc w:val="center"/>
            </w:pPr>
            <w:r>
              <w:rPr>
                <w:rFonts w:ascii="宋体" w:hAnsi="宋体" w:eastAsia="宋体"/>
                <w:b w:val="0"/>
                <w:i w:val="0"/>
                <w:sz w:val="18"/>
              </w:rPr>
              <w:t>-</w:t>
            </w:r>
          </w:p>
        </w:tc>
        <w:tc>
          <w:tcPr>
            <w:tcW w:w="406" w:type="pct"/>
            <w:tcBorders>
              <w:top w:val="single" w:color="auto" w:sz="10" w:space="0"/>
              <w:left w:val="single" w:color="auto" w:sz="10" w:space="0"/>
              <w:bottom w:val="single" w:color="auto" w:sz="10" w:space="0"/>
              <w:right w:val="single" w:color="auto" w:sz="10" w:space="0"/>
              <w:insideV w:val="single" w:sz="10" w:space="0"/>
            </w:tcBorders>
            <w:vAlign w:val="center"/>
          </w:tcPr>
          <w:p w14:paraId="497745F9">
            <w:pPr>
              <w:spacing w:before="0" w:after="0" w:line="240" w:lineRule="auto"/>
              <w:jc w:val="center"/>
            </w:pPr>
            <w:r>
              <w:rPr>
                <w:rFonts w:ascii="宋体" w:hAnsi="宋体" w:eastAsia="宋体"/>
                <w:b w:val="0"/>
                <w:i w:val="0"/>
                <w:sz w:val="18"/>
              </w:rPr>
              <w:t>按照完成比例赋分</w:t>
            </w:r>
          </w:p>
        </w:tc>
        <w:tc>
          <w:tcPr>
            <w:tcW w:w="361" w:type="pct"/>
            <w:tcBorders>
              <w:top w:val="single" w:color="auto" w:sz="10" w:space="0"/>
              <w:left w:val="single" w:color="auto" w:sz="10" w:space="0"/>
              <w:bottom w:val="single" w:color="auto" w:sz="10" w:space="0"/>
              <w:right w:val="single" w:color="auto" w:sz="10" w:space="0"/>
              <w:insideV w:val="single" w:sz="10" w:space="0"/>
            </w:tcBorders>
            <w:vAlign w:val="center"/>
          </w:tcPr>
          <w:p w14:paraId="592340D4">
            <w:pPr>
              <w:spacing w:before="0" w:after="0" w:line="240" w:lineRule="auto"/>
              <w:jc w:val="center"/>
            </w:pPr>
            <w:r>
              <w:rPr>
                <w:rFonts w:ascii="宋体" w:hAnsi="宋体" w:eastAsia="宋体"/>
                <w:b w:val="0"/>
                <w:i w:val="0"/>
                <w:sz w:val="18"/>
              </w:rPr>
              <w:t>工作资料</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3B21DCC4">
            <w:pPr>
              <w:spacing w:before="0" w:after="0" w:line="240" w:lineRule="auto"/>
              <w:jc w:val="center"/>
            </w:pPr>
          </w:p>
        </w:tc>
      </w:tr>
      <w:tr w14:paraId="724BBF87">
        <w:tblPrEx>
          <w:tblCellMar>
            <w:top w:w="36" w:type="dxa"/>
            <w:left w:w="36" w:type="dxa"/>
            <w:bottom w:w="36" w:type="dxa"/>
            <w:right w:w="36" w:type="dxa"/>
          </w:tblCellMar>
        </w:tblPrEx>
        <w:trPr>
          <w:trHeight w:val="380" w:hRule="atLeast"/>
        </w:trPr>
        <w:tc>
          <w:tcPr>
            <w:tcW w:w="212" w:type="pct"/>
            <w:vMerge w:val="continue"/>
            <w:tcBorders>
              <w:top w:val="single" w:color="auto" w:sz="10" w:space="0"/>
              <w:left w:val="single" w:color="auto" w:sz="10" w:space="0"/>
              <w:bottom w:val="single" w:color="auto" w:sz="10" w:space="0"/>
              <w:right w:val="single" w:color="auto" w:sz="10" w:space="0"/>
              <w:insideV w:val="single" w:sz="10" w:space="0"/>
            </w:tcBorders>
          </w:tcPr>
          <w:p w14:paraId="61AFA0BB"/>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6570C4F4"/>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51654232">
            <w:pPr>
              <w:spacing w:before="0" w:after="0" w:line="240" w:lineRule="auto"/>
              <w:jc w:val="center"/>
            </w:pPr>
            <w:r>
              <w:rPr>
                <w:rFonts w:ascii="宋体" w:hAnsi="宋体" w:eastAsia="宋体"/>
                <w:b w:val="0"/>
                <w:i w:val="0"/>
                <w:sz w:val="18"/>
              </w:rPr>
              <w:t>时效指标</w:t>
            </w:r>
          </w:p>
        </w:tc>
        <w:tc>
          <w:tcPr>
            <w:tcW w:w="476" w:type="pct"/>
            <w:tcBorders>
              <w:top w:val="single" w:color="auto" w:sz="10" w:space="0"/>
              <w:left w:val="single" w:color="auto" w:sz="10" w:space="0"/>
              <w:bottom w:val="single" w:color="auto" w:sz="10" w:space="0"/>
              <w:right w:val="single" w:color="auto" w:sz="10" w:space="0"/>
              <w:insideV w:val="single" w:sz="10" w:space="0"/>
            </w:tcBorders>
            <w:vAlign w:val="center"/>
          </w:tcPr>
          <w:p w14:paraId="5641528E">
            <w:pPr>
              <w:spacing w:before="0" w:after="0" w:line="240" w:lineRule="auto"/>
              <w:jc w:val="center"/>
            </w:pPr>
            <w:r>
              <w:rPr>
                <w:rFonts w:ascii="宋体" w:hAnsi="宋体" w:eastAsia="宋体"/>
                <w:b w:val="0"/>
                <w:i w:val="0"/>
                <w:color w:val="000000"/>
                <w:sz w:val="18"/>
              </w:rPr>
              <w:t>水文测验任务完成及时率</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0FE846AA">
            <w:pPr>
              <w:spacing w:before="0" w:after="0" w:line="240" w:lineRule="auto"/>
              <w:jc w:val="center"/>
            </w:pPr>
            <w:r>
              <w:rPr>
                <w:rFonts w:ascii="宋体" w:hAnsi="宋体" w:eastAsia="宋体"/>
                <w:b w:val="0"/>
                <w:i w:val="0"/>
                <w:sz w:val="18"/>
              </w:rPr>
              <w:t>12</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0A5EBDE8">
            <w:pPr>
              <w:spacing w:before="0" w:after="0" w:line="240" w:lineRule="auto"/>
              <w:jc w:val="center"/>
            </w:pPr>
            <w:r>
              <w:rPr>
                <w:rFonts w:ascii="宋体" w:hAnsi="宋体" w:eastAsia="宋体"/>
                <w:b w:val="0"/>
                <w:i w:val="0"/>
                <w:sz w:val="18"/>
              </w:rPr>
              <w:t>&gt;=90%</w:t>
            </w:r>
          </w:p>
        </w:tc>
        <w:tc>
          <w:tcPr>
            <w:tcW w:w="298" w:type="pct"/>
            <w:tcBorders>
              <w:top w:val="single" w:color="auto" w:sz="10" w:space="0"/>
              <w:left w:val="single" w:color="auto" w:sz="10" w:space="0"/>
              <w:bottom w:val="single" w:color="auto" w:sz="10" w:space="0"/>
              <w:right w:val="single" w:color="auto" w:sz="10" w:space="0"/>
              <w:insideV w:val="single" w:sz="10" w:space="0"/>
            </w:tcBorders>
            <w:vAlign w:val="center"/>
          </w:tcPr>
          <w:p w14:paraId="088221B2">
            <w:pPr>
              <w:spacing w:before="0" w:after="0" w:line="240" w:lineRule="auto"/>
              <w:jc w:val="center"/>
            </w:pPr>
            <w:r>
              <w:rPr>
                <w:rFonts w:ascii="宋体" w:hAnsi="宋体" w:eastAsia="宋体"/>
                <w:b w:val="0"/>
                <w:i w:val="0"/>
                <w:sz w:val="18"/>
              </w:rPr>
              <w:t>=90%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515F2D7E">
            <w:pPr>
              <w:spacing w:before="0" w:after="0" w:line="240" w:lineRule="auto"/>
              <w:jc w:val="center"/>
            </w:pPr>
            <w:r>
              <w:rPr>
                <w:rFonts w:ascii="宋体" w:hAnsi="宋体" w:eastAsia="宋体"/>
                <w:b w:val="0"/>
                <w:i w:val="0"/>
                <w:sz w:val="18"/>
              </w:rPr>
              <w:t>100%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EFF07BA">
            <w:pPr>
              <w:spacing w:before="0" w:after="0" w:line="240" w:lineRule="auto"/>
              <w:jc w:val="center"/>
            </w:pPr>
            <w:r>
              <w:rPr>
                <w:rFonts w:ascii="宋体" w:hAnsi="宋体" w:eastAsia="宋体"/>
                <w:b w:val="0"/>
                <w:i w:val="0"/>
                <w:sz w:val="18"/>
              </w:rPr>
              <w:t>12</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286F57F8">
            <w:pPr>
              <w:spacing w:before="0" w:after="0" w:line="240" w:lineRule="auto"/>
              <w:jc w:val="center"/>
            </w:pPr>
            <w:r>
              <w:rPr>
                <w:rFonts w:ascii="宋体" w:hAnsi="宋体" w:eastAsia="宋体"/>
                <w:b w:val="0"/>
                <w:i w:val="0"/>
                <w:sz w:val="18"/>
              </w:rPr>
              <w:t>计划标准</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5661AE5F">
            <w:pPr>
              <w:spacing w:before="0" w:after="0" w:line="240" w:lineRule="auto"/>
              <w:jc w:val="center"/>
            </w:pPr>
            <w:r>
              <w:rPr>
                <w:rFonts w:ascii="宋体" w:hAnsi="宋体" w:eastAsia="宋体"/>
                <w:b w:val="0"/>
                <w:i w:val="0"/>
                <w:sz w:val="18"/>
              </w:rPr>
              <w:t>-</w:t>
            </w:r>
          </w:p>
        </w:tc>
        <w:tc>
          <w:tcPr>
            <w:tcW w:w="406" w:type="pct"/>
            <w:tcBorders>
              <w:top w:val="single" w:color="auto" w:sz="10" w:space="0"/>
              <w:left w:val="single" w:color="auto" w:sz="10" w:space="0"/>
              <w:bottom w:val="single" w:color="auto" w:sz="10" w:space="0"/>
              <w:right w:val="single" w:color="auto" w:sz="10" w:space="0"/>
              <w:insideV w:val="single" w:sz="10" w:space="0"/>
            </w:tcBorders>
            <w:vAlign w:val="center"/>
          </w:tcPr>
          <w:p w14:paraId="119287DD">
            <w:pPr>
              <w:spacing w:before="0" w:after="0" w:line="240" w:lineRule="auto"/>
              <w:jc w:val="center"/>
            </w:pPr>
            <w:r>
              <w:rPr>
                <w:rFonts w:ascii="宋体" w:hAnsi="宋体" w:eastAsia="宋体"/>
                <w:b w:val="0"/>
                <w:i w:val="0"/>
                <w:sz w:val="18"/>
              </w:rPr>
              <w:t>按照完成比例赋分</w:t>
            </w:r>
          </w:p>
        </w:tc>
        <w:tc>
          <w:tcPr>
            <w:tcW w:w="361" w:type="pct"/>
            <w:tcBorders>
              <w:top w:val="single" w:color="auto" w:sz="10" w:space="0"/>
              <w:left w:val="single" w:color="auto" w:sz="10" w:space="0"/>
              <w:bottom w:val="single" w:color="auto" w:sz="10" w:space="0"/>
              <w:right w:val="single" w:color="auto" w:sz="10" w:space="0"/>
              <w:insideV w:val="single" w:sz="10" w:space="0"/>
            </w:tcBorders>
            <w:vAlign w:val="center"/>
          </w:tcPr>
          <w:p w14:paraId="0AB86E3B">
            <w:pPr>
              <w:spacing w:before="0" w:after="0" w:line="240" w:lineRule="auto"/>
              <w:jc w:val="center"/>
            </w:pPr>
            <w:r>
              <w:rPr>
                <w:rFonts w:ascii="宋体" w:hAnsi="宋体" w:eastAsia="宋体"/>
                <w:b w:val="0"/>
                <w:i w:val="0"/>
                <w:sz w:val="18"/>
              </w:rPr>
              <w:t>工作资料</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66E50F69">
            <w:pPr>
              <w:spacing w:before="0" w:after="0" w:line="240" w:lineRule="auto"/>
              <w:jc w:val="center"/>
            </w:pPr>
          </w:p>
        </w:tc>
      </w:tr>
      <w:tr w14:paraId="584E86C1">
        <w:tblPrEx>
          <w:tblCellMar>
            <w:top w:w="36" w:type="dxa"/>
            <w:left w:w="36" w:type="dxa"/>
            <w:bottom w:w="36" w:type="dxa"/>
            <w:right w:w="36" w:type="dxa"/>
          </w:tblCellMar>
        </w:tblPrEx>
        <w:trPr>
          <w:trHeight w:val="380" w:hRule="atLeast"/>
        </w:trPr>
        <w:tc>
          <w:tcPr>
            <w:tcW w:w="212" w:type="pct"/>
            <w:vMerge w:val="continue"/>
            <w:tcBorders>
              <w:top w:val="single" w:color="auto" w:sz="10" w:space="0"/>
              <w:left w:val="single" w:color="auto" w:sz="10" w:space="0"/>
              <w:bottom w:val="single" w:color="auto" w:sz="10" w:space="0"/>
              <w:right w:val="single" w:color="auto" w:sz="10" w:space="0"/>
              <w:insideV w:val="single" w:sz="10" w:space="0"/>
            </w:tcBorders>
          </w:tcPr>
          <w:p w14:paraId="3FFFCDCF"/>
        </w:tc>
        <w:tc>
          <w:tcPr>
            <w:tcW w:w="29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95F9F">
            <w:pPr>
              <w:spacing w:before="0" w:after="0" w:line="240" w:lineRule="auto"/>
              <w:jc w:val="center"/>
            </w:pPr>
            <w:r>
              <w:rPr>
                <w:rFonts w:ascii="宋体" w:hAnsi="宋体" w:eastAsia="宋体"/>
                <w:b w:val="0"/>
                <w:i w:val="0"/>
                <w:sz w:val="18"/>
              </w:rPr>
              <w:t>成本指标</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71668BBE">
            <w:pPr>
              <w:spacing w:before="0" w:after="0" w:line="240" w:lineRule="auto"/>
              <w:jc w:val="center"/>
            </w:pPr>
            <w:r>
              <w:rPr>
                <w:rFonts w:ascii="宋体" w:hAnsi="宋体" w:eastAsia="宋体"/>
                <w:b w:val="0"/>
                <w:i w:val="0"/>
                <w:sz w:val="18"/>
              </w:rPr>
              <w:t>经济成本指标</w:t>
            </w:r>
          </w:p>
        </w:tc>
        <w:tc>
          <w:tcPr>
            <w:tcW w:w="476" w:type="pct"/>
            <w:tcBorders>
              <w:top w:val="single" w:color="auto" w:sz="10" w:space="0"/>
              <w:left w:val="single" w:color="auto" w:sz="10" w:space="0"/>
              <w:bottom w:val="single" w:color="auto" w:sz="10" w:space="0"/>
              <w:right w:val="single" w:color="auto" w:sz="10" w:space="0"/>
              <w:insideV w:val="single" w:sz="10" w:space="0"/>
            </w:tcBorders>
            <w:vAlign w:val="center"/>
          </w:tcPr>
          <w:p w14:paraId="564A93D0">
            <w:pPr>
              <w:spacing w:before="0" w:after="0" w:line="240" w:lineRule="auto"/>
              <w:jc w:val="center"/>
            </w:pPr>
            <w:r>
              <w:rPr>
                <w:rFonts w:ascii="宋体" w:hAnsi="宋体" w:eastAsia="宋体"/>
                <w:b w:val="0"/>
                <w:i w:val="0"/>
                <w:color w:val="000000"/>
                <w:sz w:val="18"/>
              </w:rPr>
              <w:t>水文测站工作经费支出</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290F090B">
            <w:pPr>
              <w:spacing w:before="0" w:after="0" w:line="240" w:lineRule="auto"/>
              <w:jc w:val="center"/>
            </w:pPr>
            <w:r>
              <w:rPr>
                <w:rFonts w:ascii="宋体" w:hAnsi="宋体" w:eastAsia="宋体"/>
                <w:b w:val="0"/>
                <w:i w:val="0"/>
                <w:sz w:val="18"/>
              </w:rPr>
              <w:t>10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4E86C853">
            <w:pPr>
              <w:spacing w:before="0" w:after="0" w:line="240" w:lineRule="auto"/>
              <w:jc w:val="center"/>
            </w:pPr>
            <w:r>
              <w:rPr>
                <w:rFonts w:ascii="宋体" w:hAnsi="宋体" w:eastAsia="宋体"/>
                <w:b w:val="0"/>
                <w:i w:val="0"/>
                <w:sz w:val="18"/>
              </w:rPr>
              <w:t>&lt;=40.62万元</w:t>
            </w:r>
          </w:p>
        </w:tc>
        <w:tc>
          <w:tcPr>
            <w:tcW w:w="298" w:type="pct"/>
            <w:tcBorders>
              <w:top w:val="single" w:color="auto" w:sz="10" w:space="0"/>
              <w:left w:val="single" w:color="auto" w:sz="10" w:space="0"/>
              <w:bottom w:val="single" w:color="auto" w:sz="10" w:space="0"/>
              <w:right w:val="single" w:color="auto" w:sz="10" w:space="0"/>
              <w:insideV w:val="single" w:sz="10" w:space="0"/>
            </w:tcBorders>
            <w:vAlign w:val="center"/>
          </w:tcPr>
          <w:p w14:paraId="7A949028">
            <w:pPr>
              <w:spacing w:before="0" w:after="0" w:line="240" w:lineRule="auto"/>
              <w:jc w:val="center"/>
            </w:pPr>
            <w:r>
              <w:rPr>
                <w:rFonts w:ascii="宋体" w:hAnsi="宋体" w:eastAsia="宋体"/>
                <w:b w:val="0"/>
                <w:i w:val="0"/>
                <w:sz w:val="18"/>
              </w:rPr>
              <w:t>=40.62万元</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4ED26F96">
            <w:pPr>
              <w:spacing w:before="0" w:after="0" w:line="240" w:lineRule="auto"/>
              <w:jc w:val="center"/>
            </w:pPr>
            <w:r>
              <w:rPr>
                <w:rFonts w:ascii="宋体" w:hAnsi="宋体" w:eastAsia="宋体"/>
                <w:b w:val="0"/>
                <w:i w:val="0"/>
                <w:sz w:val="18"/>
              </w:rPr>
              <w:t>100%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52ED9B20">
            <w:pPr>
              <w:spacing w:before="0" w:after="0" w:line="240" w:lineRule="auto"/>
              <w:jc w:val="center"/>
            </w:pPr>
            <w:r>
              <w:rPr>
                <w:rFonts w:ascii="宋体" w:hAnsi="宋体" w:eastAsia="宋体"/>
                <w:b w:val="0"/>
                <w:i w:val="0"/>
                <w:sz w:val="18"/>
              </w:rPr>
              <w:t>10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75E85E19">
            <w:pPr>
              <w:spacing w:before="0" w:after="0" w:line="240" w:lineRule="auto"/>
              <w:jc w:val="center"/>
            </w:pPr>
            <w:r>
              <w:rPr>
                <w:rFonts w:ascii="宋体" w:hAnsi="宋体" w:eastAsia="宋体"/>
                <w:b w:val="0"/>
                <w:i w:val="0"/>
                <w:sz w:val="18"/>
              </w:rPr>
              <w:t>计划标准</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EF5E012">
            <w:pPr>
              <w:spacing w:before="0" w:after="0" w:line="240" w:lineRule="auto"/>
              <w:jc w:val="center"/>
            </w:pPr>
            <w:r>
              <w:rPr>
                <w:rFonts w:ascii="宋体" w:hAnsi="宋体" w:eastAsia="宋体"/>
                <w:b w:val="0"/>
                <w:i w:val="0"/>
                <w:sz w:val="18"/>
              </w:rPr>
              <w:t>41.15万元</w:t>
            </w:r>
          </w:p>
        </w:tc>
        <w:tc>
          <w:tcPr>
            <w:tcW w:w="406" w:type="pct"/>
            <w:tcBorders>
              <w:top w:val="single" w:color="auto" w:sz="10" w:space="0"/>
              <w:left w:val="single" w:color="auto" w:sz="10" w:space="0"/>
              <w:bottom w:val="single" w:color="auto" w:sz="10" w:space="0"/>
              <w:right w:val="single" w:color="auto" w:sz="10" w:space="0"/>
              <w:insideV w:val="single" w:sz="10" w:space="0"/>
            </w:tcBorders>
            <w:vAlign w:val="center"/>
          </w:tcPr>
          <w:p w14:paraId="0F29E094">
            <w:pPr>
              <w:spacing w:before="0" w:after="0" w:line="240" w:lineRule="auto"/>
              <w:jc w:val="center"/>
            </w:pPr>
            <w:r>
              <w:rPr>
                <w:rFonts w:ascii="宋体" w:hAnsi="宋体" w:eastAsia="宋体"/>
                <w:b w:val="0"/>
                <w:i w:val="0"/>
                <w:sz w:val="18"/>
              </w:rPr>
              <w:t>按照完成比例赋分</w:t>
            </w:r>
          </w:p>
        </w:tc>
        <w:tc>
          <w:tcPr>
            <w:tcW w:w="361" w:type="pct"/>
            <w:tcBorders>
              <w:top w:val="single" w:color="auto" w:sz="10" w:space="0"/>
              <w:left w:val="single" w:color="auto" w:sz="10" w:space="0"/>
              <w:bottom w:val="single" w:color="auto" w:sz="10" w:space="0"/>
              <w:right w:val="single" w:color="auto" w:sz="10" w:space="0"/>
              <w:insideV w:val="single" w:sz="10" w:space="0"/>
            </w:tcBorders>
            <w:vAlign w:val="center"/>
          </w:tcPr>
          <w:p w14:paraId="2F869C68">
            <w:pPr>
              <w:spacing w:before="0" w:after="0" w:line="240" w:lineRule="auto"/>
              <w:jc w:val="center"/>
            </w:pPr>
            <w:r>
              <w:rPr>
                <w:rFonts w:ascii="宋体" w:hAnsi="宋体" w:eastAsia="宋体"/>
                <w:b w:val="0"/>
                <w:i w:val="0"/>
                <w:sz w:val="18"/>
              </w:rPr>
              <w:t>原始凭证</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0CD9D547">
            <w:pPr>
              <w:spacing w:before="0" w:after="0" w:line="240" w:lineRule="auto"/>
              <w:jc w:val="center"/>
            </w:pPr>
            <w:r>
              <w:rPr>
                <w:rFonts w:ascii="宋体" w:hAnsi="宋体" w:eastAsia="宋体"/>
                <w:b w:val="0"/>
                <w:i w:val="0"/>
                <w:sz w:val="18"/>
              </w:rPr>
              <w:t>偏差原因：严格落实支出精细化等管控措施，差旅费支出低于预算，形成成本偏低。改进措施：持续优化经费实际支出与预算的差异，提前预警偏差，实现经费精细化管控。</w:t>
            </w:r>
          </w:p>
        </w:tc>
      </w:tr>
      <w:tr w14:paraId="7D798F82">
        <w:tblPrEx>
          <w:tblCellMar>
            <w:top w:w="36" w:type="dxa"/>
            <w:left w:w="36" w:type="dxa"/>
            <w:bottom w:w="36" w:type="dxa"/>
            <w:right w:w="36" w:type="dxa"/>
          </w:tblCellMar>
        </w:tblPrEx>
        <w:trPr>
          <w:trHeight w:val="380" w:hRule="atLeast"/>
        </w:trPr>
        <w:tc>
          <w:tcPr>
            <w:tcW w:w="212" w:type="pct"/>
            <w:vMerge w:val="continue"/>
            <w:tcBorders>
              <w:top w:val="single" w:color="auto" w:sz="10" w:space="0"/>
              <w:left w:val="single" w:color="auto" w:sz="10" w:space="0"/>
              <w:bottom w:val="single" w:color="auto" w:sz="10" w:space="0"/>
              <w:right w:val="single" w:color="auto" w:sz="10" w:space="0"/>
              <w:insideV w:val="single" w:sz="10" w:space="0"/>
            </w:tcBorders>
          </w:tcPr>
          <w:p w14:paraId="76C4961D"/>
        </w:tc>
        <w:tc>
          <w:tcPr>
            <w:tcW w:w="297" w:type="pct"/>
            <w:vMerge w:val="continue"/>
            <w:tcBorders>
              <w:top w:val="single" w:color="auto" w:sz="10" w:space="0"/>
              <w:left w:val="single" w:color="auto" w:sz="10" w:space="0"/>
              <w:bottom w:val="single" w:color="auto" w:sz="10" w:space="0"/>
              <w:right w:val="single" w:color="auto" w:sz="10" w:space="0"/>
              <w:insideV w:val="single" w:sz="10" w:space="0"/>
            </w:tcBorders>
          </w:tcPr>
          <w:p w14:paraId="3445F568"/>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D5660E9">
            <w:pPr>
              <w:spacing w:before="0" w:after="0" w:line="240" w:lineRule="auto"/>
              <w:jc w:val="center"/>
            </w:pPr>
            <w:r>
              <w:rPr>
                <w:rFonts w:ascii="宋体" w:hAnsi="宋体" w:eastAsia="宋体"/>
                <w:b w:val="0"/>
                <w:i w:val="0"/>
                <w:sz w:val="18"/>
              </w:rPr>
              <w:t>经济成本指标</w:t>
            </w:r>
          </w:p>
        </w:tc>
        <w:tc>
          <w:tcPr>
            <w:tcW w:w="476" w:type="pct"/>
            <w:tcBorders>
              <w:top w:val="single" w:color="auto" w:sz="10" w:space="0"/>
              <w:left w:val="single" w:color="auto" w:sz="10" w:space="0"/>
              <w:bottom w:val="single" w:color="auto" w:sz="10" w:space="0"/>
              <w:right w:val="single" w:color="auto" w:sz="10" w:space="0"/>
              <w:insideV w:val="single" w:sz="10" w:space="0"/>
            </w:tcBorders>
            <w:vAlign w:val="center"/>
          </w:tcPr>
          <w:p w14:paraId="23A4CEAB">
            <w:pPr>
              <w:spacing w:before="0" w:after="0" w:line="240" w:lineRule="auto"/>
              <w:jc w:val="center"/>
            </w:pPr>
            <w:r>
              <w:rPr>
                <w:rFonts w:ascii="宋体" w:hAnsi="宋体" w:eastAsia="宋体"/>
                <w:b w:val="0"/>
                <w:i w:val="0"/>
                <w:color w:val="000000"/>
                <w:sz w:val="18"/>
              </w:rPr>
              <w:t>水文组织建设及经营性成本</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59155C17">
            <w:pPr>
              <w:spacing w:before="0" w:after="0" w:line="240" w:lineRule="auto"/>
              <w:jc w:val="center"/>
            </w:pPr>
            <w:r>
              <w:rPr>
                <w:rFonts w:ascii="宋体" w:hAnsi="宋体" w:eastAsia="宋体"/>
                <w:b w:val="0"/>
                <w:i w:val="0"/>
                <w:sz w:val="18"/>
              </w:rPr>
              <w:t>10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27343DF9">
            <w:pPr>
              <w:spacing w:before="0" w:after="0" w:line="240" w:lineRule="auto"/>
              <w:jc w:val="center"/>
            </w:pPr>
            <w:r>
              <w:rPr>
                <w:rFonts w:ascii="宋体" w:hAnsi="宋体" w:eastAsia="宋体"/>
                <w:b w:val="0"/>
                <w:i w:val="0"/>
                <w:sz w:val="18"/>
              </w:rPr>
              <w:t>&lt;=94.8万元</w:t>
            </w:r>
          </w:p>
        </w:tc>
        <w:tc>
          <w:tcPr>
            <w:tcW w:w="298" w:type="pct"/>
            <w:tcBorders>
              <w:top w:val="single" w:color="auto" w:sz="10" w:space="0"/>
              <w:left w:val="single" w:color="auto" w:sz="10" w:space="0"/>
              <w:bottom w:val="single" w:color="auto" w:sz="10" w:space="0"/>
              <w:right w:val="single" w:color="auto" w:sz="10" w:space="0"/>
              <w:insideV w:val="single" w:sz="10" w:space="0"/>
            </w:tcBorders>
            <w:vAlign w:val="center"/>
          </w:tcPr>
          <w:p w14:paraId="62618031">
            <w:pPr>
              <w:spacing w:before="0" w:after="0" w:line="240" w:lineRule="auto"/>
              <w:jc w:val="center"/>
            </w:pPr>
            <w:r>
              <w:rPr>
                <w:rFonts w:ascii="宋体" w:hAnsi="宋体" w:eastAsia="宋体"/>
                <w:b w:val="0"/>
                <w:i w:val="0"/>
                <w:sz w:val="18"/>
              </w:rPr>
              <w:t>=94.8万元</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A159C9E">
            <w:pPr>
              <w:spacing w:before="0" w:after="0" w:line="240" w:lineRule="auto"/>
              <w:jc w:val="center"/>
            </w:pPr>
            <w:r>
              <w:rPr>
                <w:rFonts w:ascii="宋体" w:hAnsi="宋体" w:eastAsia="宋体"/>
                <w:b w:val="0"/>
                <w:i w:val="0"/>
                <w:sz w:val="18"/>
              </w:rPr>
              <w:t>100%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3B8D6B52">
            <w:pPr>
              <w:spacing w:before="0" w:after="0" w:line="240" w:lineRule="auto"/>
              <w:jc w:val="center"/>
            </w:pPr>
            <w:r>
              <w:rPr>
                <w:rFonts w:ascii="宋体" w:hAnsi="宋体" w:eastAsia="宋体"/>
                <w:b w:val="0"/>
                <w:i w:val="0"/>
                <w:sz w:val="18"/>
              </w:rPr>
              <w:t>10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74326335">
            <w:pPr>
              <w:spacing w:before="0" w:after="0" w:line="240" w:lineRule="auto"/>
              <w:jc w:val="center"/>
            </w:pPr>
            <w:r>
              <w:rPr>
                <w:rFonts w:ascii="宋体" w:hAnsi="宋体" w:eastAsia="宋体"/>
                <w:b w:val="0"/>
                <w:i w:val="0"/>
                <w:sz w:val="18"/>
              </w:rPr>
              <w:t>历史标准</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5483A8F">
            <w:pPr>
              <w:spacing w:before="0" w:after="0" w:line="240" w:lineRule="auto"/>
              <w:jc w:val="center"/>
            </w:pPr>
            <w:r>
              <w:rPr>
                <w:rFonts w:ascii="宋体" w:hAnsi="宋体" w:eastAsia="宋体"/>
                <w:b w:val="0"/>
                <w:i w:val="0"/>
                <w:sz w:val="18"/>
              </w:rPr>
              <w:t>=91.18万元</w:t>
            </w:r>
          </w:p>
        </w:tc>
        <w:tc>
          <w:tcPr>
            <w:tcW w:w="406" w:type="pct"/>
            <w:tcBorders>
              <w:top w:val="single" w:color="auto" w:sz="10" w:space="0"/>
              <w:left w:val="single" w:color="auto" w:sz="10" w:space="0"/>
              <w:bottom w:val="single" w:color="auto" w:sz="10" w:space="0"/>
              <w:right w:val="single" w:color="auto" w:sz="10" w:space="0"/>
              <w:insideV w:val="single" w:sz="10" w:space="0"/>
            </w:tcBorders>
            <w:vAlign w:val="center"/>
          </w:tcPr>
          <w:p w14:paraId="217980B7">
            <w:pPr>
              <w:spacing w:before="0" w:after="0" w:line="240" w:lineRule="auto"/>
              <w:jc w:val="center"/>
            </w:pPr>
            <w:r>
              <w:rPr>
                <w:rFonts w:ascii="宋体" w:hAnsi="宋体" w:eastAsia="宋体"/>
                <w:b w:val="0"/>
                <w:i w:val="0"/>
                <w:sz w:val="18"/>
              </w:rPr>
              <w:t>按照完成比例赋分</w:t>
            </w:r>
          </w:p>
        </w:tc>
        <w:tc>
          <w:tcPr>
            <w:tcW w:w="361" w:type="pct"/>
            <w:tcBorders>
              <w:top w:val="single" w:color="auto" w:sz="10" w:space="0"/>
              <w:left w:val="single" w:color="auto" w:sz="10" w:space="0"/>
              <w:bottom w:val="single" w:color="auto" w:sz="10" w:space="0"/>
              <w:right w:val="single" w:color="auto" w:sz="10" w:space="0"/>
              <w:insideV w:val="single" w:sz="10" w:space="0"/>
            </w:tcBorders>
            <w:vAlign w:val="center"/>
          </w:tcPr>
          <w:p w14:paraId="5102F444">
            <w:pPr>
              <w:spacing w:before="0" w:after="0" w:line="240" w:lineRule="auto"/>
              <w:jc w:val="center"/>
            </w:pPr>
            <w:r>
              <w:rPr>
                <w:rFonts w:ascii="宋体" w:hAnsi="宋体" w:eastAsia="宋体"/>
                <w:b w:val="0"/>
                <w:i w:val="0"/>
                <w:sz w:val="18"/>
              </w:rPr>
              <w:t>原始凭证</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61CF422B">
            <w:pPr>
              <w:spacing w:before="0" w:after="0" w:line="240" w:lineRule="auto"/>
              <w:jc w:val="center"/>
            </w:pPr>
            <w:r>
              <w:rPr>
                <w:rFonts w:ascii="宋体" w:hAnsi="宋体" w:eastAsia="宋体"/>
                <w:b w:val="0"/>
                <w:i w:val="0"/>
                <w:sz w:val="18"/>
              </w:rPr>
              <w:t>偏差原因：年内上级部署新增工作任务、应急处置等原因，造成当期预算支出超支0.5万元。改进措施：提升预算编制的精准度。结合当年实际执行情况、支付变化等，提高预算预见性与合理性。</w:t>
            </w:r>
          </w:p>
        </w:tc>
      </w:tr>
      <w:tr w14:paraId="26F7331B">
        <w:tblPrEx>
          <w:tblCellMar>
            <w:top w:w="36" w:type="dxa"/>
            <w:left w:w="36" w:type="dxa"/>
            <w:bottom w:w="36" w:type="dxa"/>
            <w:right w:w="36" w:type="dxa"/>
          </w:tblCellMar>
        </w:tblPrEx>
        <w:trPr>
          <w:trHeight w:val="380" w:hRule="atLeast"/>
        </w:trPr>
        <w:tc>
          <w:tcPr>
            <w:tcW w:w="212" w:type="pct"/>
            <w:vMerge w:val="continue"/>
            <w:tcBorders>
              <w:top w:val="single" w:color="auto" w:sz="10" w:space="0"/>
              <w:left w:val="single" w:color="auto" w:sz="10" w:space="0"/>
              <w:bottom w:val="single" w:color="auto" w:sz="10" w:space="0"/>
              <w:right w:val="single" w:color="auto" w:sz="10" w:space="0"/>
              <w:insideV w:val="single" w:sz="10" w:space="0"/>
            </w:tcBorders>
          </w:tcPr>
          <w:p w14:paraId="375B5362"/>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4E94257D">
            <w:pPr>
              <w:spacing w:before="0" w:after="0" w:line="240" w:lineRule="auto"/>
              <w:jc w:val="center"/>
            </w:pPr>
            <w:r>
              <w:rPr>
                <w:rFonts w:ascii="宋体" w:hAnsi="宋体" w:eastAsia="宋体"/>
                <w:b w:val="0"/>
                <w:i w:val="0"/>
                <w:sz w:val="18"/>
              </w:rPr>
              <w:t>效益指标</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06F5EB53">
            <w:pPr>
              <w:spacing w:before="0" w:after="0" w:line="240" w:lineRule="auto"/>
              <w:jc w:val="center"/>
            </w:pPr>
            <w:r>
              <w:rPr>
                <w:rFonts w:ascii="宋体" w:hAnsi="宋体" w:eastAsia="宋体"/>
                <w:b w:val="0"/>
                <w:i w:val="0"/>
                <w:sz w:val="18"/>
              </w:rPr>
              <w:t>社会效益指标</w:t>
            </w:r>
          </w:p>
        </w:tc>
        <w:tc>
          <w:tcPr>
            <w:tcW w:w="476" w:type="pct"/>
            <w:tcBorders>
              <w:top w:val="single" w:color="auto" w:sz="10" w:space="0"/>
              <w:left w:val="single" w:color="auto" w:sz="10" w:space="0"/>
              <w:bottom w:val="single" w:color="auto" w:sz="10" w:space="0"/>
              <w:right w:val="single" w:color="auto" w:sz="10" w:space="0"/>
              <w:insideV w:val="single" w:sz="10" w:space="0"/>
            </w:tcBorders>
            <w:vAlign w:val="center"/>
          </w:tcPr>
          <w:p w14:paraId="0712E786">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19D75B0C">
            <w:pPr>
              <w:spacing w:before="0" w:after="0" w:line="240" w:lineRule="auto"/>
              <w:jc w:val="center"/>
            </w:pPr>
            <w:r>
              <w:rPr>
                <w:rFonts w:ascii="宋体" w:hAnsi="宋体" w:eastAsia="宋体"/>
                <w:b w:val="0"/>
                <w:i w:val="0"/>
                <w:sz w:val="18"/>
              </w:rPr>
              <w:t>10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422B80E0">
            <w:pPr>
              <w:spacing w:before="0" w:after="0" w:line="240" w:lineRule="auto"/>
              <w:jc w:val="center"/>
            </w:pPr>
            <w:r>
              <w:rPr>
                <w:rFonts w:ascii="宋体" w:hAnsi="宋体" w:eastAsia="宋体"/>
                <w:b w:val="0"/>
                <w:i w:val="0"/>
                <w:sz w:val="18"/>
              </w:rPr>
              <w:t>有效提供</w:t>
            </w:r>
          </w:p>
        </w:tc>
        <w:tc>
          <w:tcPr>
            <w:tcW w:w="298" w:type="pct"/>
            <w:tcBorders>
              <w:top w:val="single" w:color="auto" w:sz="10" w:space="0"/>
              <w:left w:val="single" w:color="auto" w:sz="10" w:space="0"/>
              <w:bottom w:val="single" w:color="auto" w:sz="10" w:space="0"/>
              <w:right w:val="single" w:color="auto" w:sz="10" w:space="0"/>
              <w:insideV w:val="single" w:sz="10" w:space="0"/>
            </w:tcBorders>
            <w:vAlign w:val="center"/>
          </w:tcPr>
          <w:p w14:paraId="1E610DD3">
            <w:pPr>
              <w:spacing w:before="0" w:after="0" w:line="240" w:lineRule="auto"/>
              <w:jc w:val="center"/>
            </w:pPr>
            <w:r>
              <w:rPr>
                <w:rFonts w:ascii="宋体" w:hAnsi="宋体" w:eastAsia="宋体"/>
                <w:b w:val="0"/>
                <w:i w:val="0"/>
                <w:sz w:val="18"/>
              </w:rPr>
              <w:t>有效提供</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5F7C0330">
            <w:pPr>
              <w:spacing w:before="0" w:after="0" w:line="240" w:lineRule="auto"/>
              <w:jc w:val="center"/>
            </w:pPr>
            <w:r>
              <w:rPr>
                <w:rFonts w:ascii="宋体" w:hAnsi="宋体" w:eastAsia="宋体"/>
                <w:b w:val="0"/>
                <w:i w:val="0"/>
                <w:sz w:val="18"/>
              </w:rPr>
              <w:t>100%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0C81D2D5">
            <w:pPr>
              <w:spacing w:before="0" w:after="0" w:line="240" w:lineRule="auto"/>
              <w:jc w:val="center"/>
            </w:pPr>
            <w:r>
              <w:rPr>
                <w:rFonts w:ascii="宋体" w:hAnsi="宋体" w:eastAsia="宋体"/>
                <w:b w:val="0"/>
                <w:i w:val="0"/>
                <w:sz w:val="18"/>
              </w:rPr>
              <w:t>10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1A6553FF">
            <w:pPr>
              <w:spacing w:before="0" w:after="0" w:line="240" w:lineRule="auto"/>
              <w:jc w:val="center"/>
            </w:pPr>
            <w:r>
              <w:rPr>
                <w:rFonts w:ascii="宋体" w:hAnsi="宋体" w:eastAsia="宋体"/>
                <w:b w:val="0"/>
                <w:i w:val="0"/>
                <w:sz w:val="18"/>
              </w:rPr>
              <w:t>计划标准</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0CC4B600">
            <w:pPr>
              <w:spacing w:before="0" w:after="0" w:line="240" w:lineRule="auto"/>
              <w:jc w:val="center"/>
            </w:pPr>
            <w:r>
              <w:rPr>
                <w:rFonts w:ascii="宋体" w:hAnsi="宋体" w:eastAsia="宋体"/>
                <w:b w:val="0"/>
                <w:i w:val="0"/>
                <w:sz w:val="18"/>
              </w:rPr>
              <w:t>-</w:t>
            </w:r>
          </w:p>
        </w:tc>
        <w:tc>
          <w:tcPr>
            <w:tcW w:w="406" w:type="pct"/>
            <w:tcBorders>
              <w:top w:val="single" w:color="auto" w:sz="10" w:space="0"/>
              <w:left w:val="single" w:color="auto" w:sz="10" w:space="0"/>
              <w:bottom w:val="single" w:color="auto" w:sz="10" w:space="0"/>
              <w:right w:val="single" w:color="auto" w:sz="10" w:space="0"/>
              <w:insideV w:val="single" w:sz="10" w:space="0"/>
            </w:tcBorders>
            <w:vAlign w:val="center"/>
          </w:tcPr>
          <w:p w14:paraId="4621FF41">
            <w:pPr>
              <w:spacing w:before="0" w:after="0" w:line="240" w:lineRule="auto"/>
              <w:jc w:val="center"/>
            </w:pPr>
            <w:r>
              <w:rPr>
                <w:rFonts w:ascii="宋体" w:hAnsi="宋体" w:eastAsia="宋体"/>
                <w:b w:val="0"/>
                <w:i w:val="0"/>
                <w:sz w:val="18"/>
              </w:rPr>
              <w:t>按评判等级赋分</w:t>
            </w:r>
          </w:p>
        </w:tc>
        <w:tc>
          <w:tcPr>
            <w:tcW w:w="361" w:type="pct"/>
            <w:tcBorders>
              <w:top w:val="single" w:color="auto" w:sz="10" w:space="0"/>
              <w:left w:val="single" w:color="auto" w:sz="10" w:space="0"/>
              <w:bottom w:val="single" w:color="auto" w:sz="10" w:space="0"/>
              <w:right w:val="single" w:color="auto" w:sz="10" w:space="0"/>
              <w:insideV w:val="single" w:sz="10" w:space="0"/>
            </w:tcBorders>
            <w:vAlign w:val="center"/>
          </w:tcPr>
          <w:p w14:paraId="77679912">
            <w:pPr>
              <w:spacing w:before="0" w:after="0" w:line="240" w:lineRule="auto"/>
              <w:jc w:val="center"/>
            </w:pPr>
            <w:r>
              <w:rPr>
                <w:rFonts w:ascii="宋体" w:hAnsi="宋体" w:eastAsia="宋体"/>
                <w:b w:val="0"/>
                <w:i w:val="0"/>
                <w:sz w:val="18"/>
              </w:rPr>
              <w:t>工作资料</w:t>
            </w: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56844824">
            <w:pPr>
              <w:spacing w:before="0" w:after="0" w:line="240" w:lineRule="auto"/>
              <w:jc w:val="center"/>
            </w:pPr>
          </w:p>
        </w:tc>
      </w:tr>
      <w:tr w14:paraId="02F85939">
        <w:tblPrEx>
          <w:tblCellMar>
            <w:top w:w="36" w:type="dxa"/>
            <w:left w:w="36" w:type="dxa"/>
            <w:bottom w:w="36" w:type="dxa"/>
            <w:right w:w="36" w:type="dxa"/>
          </w:tblCellMar>
        </w:tblPrEx>
        <w:trPr>
          <w:trHeight w:val="380" w:hRule="atLeast"/>
        </w:trPr>
        <w:tc>
          <w:tcPr>
            <w:tcW w:w="1284"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D55A9A">
            <w:pPr>
              <w:spacing w:before="0" w:after="0" w:line="240" w:lineRule="auto"/>
              <w:jc w:val="center"/>
            </w:pPr>
            <w:r>
              <w:rPr>
                <w:rFonts w:ascii="宋体" w:hAnsi="宋体" w:eastAsia="宋体"/>
                <w:b/>
                <w:i w:val="0"/>
                <w:color w:val="000000"/>
                <w:sz w:val="18"/>
              </w:rPr>
              <w:t>总分</w:t>
            </w:r>
          </w:p>
        </w:tc>
        <w:tc>
          <w:tcPr>
            <w:tcW w:w="338" w:type="pct"/>
            <w:tcBorders>
              <w:top w:val="single" w:color="auto" w:sz="10" w:space="0"/>
              <w:left w:val="single" w:color="auto" w:sz="10" w:space="0"/>
              <w:bottom w:val="single" w:color="auto" w:sz="10" w:space="0"/>
              <w:right w:val="single" w:color="auto" w:sz="10" w:space="0"/>
              <w:insideV w:val="single" w:sz="10" w:space="0"/>
            </w:tcBorders>
            <w:vAlign w:val="center"/>
          </w:tcPr>
          <w:p w14:paraId="15ADCC4B">
            <w:pPr>
              <w:spacing w:before="0" w:after="0" w:line="240" w:lineRule="auto"/>
              <w:jc w:val="center"/>
            </w:pPr>
            <w:r>
              <w:rPr>
                <w:rFonts w:ascii="宋体" w:hAnsi="宋体" w:eastAsia="宋体"/>
                <w:b w:val="0"/>
                <w:i w:val="0"/>
                <w:color w:val="000000"/>
                <w:sz w:val="18"/>
              </w:rPr>
              <w:t>100</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72B136AD">
            <w:pPr>
              <w:spacing w:before="0" w:after="0" w:line="240" w:lineRule="auto"/>
              <w:jc w:val="center"/>
            </w:pPr>
          </w:p>
        </w:tc>
        <w:tc>
          <w:tcPr>
            <w:tcW w:w="298" w:type="pct"/>
            <w:tcBorders>
              <w:top w:val="single" w:color="auto" w:sz="10" w:space="0"/>
              <w:left w:val="single" w:color="auto" w:sz="10" w:space="0"/>
              <w:bottom w:val="single" w:color="auto" w:sz="10" w:space="0"/>
              <w:right w:val="single" w:color="auto" w:sz="10" w:space="0"/>
              <w:insideV w:val="single" w:sz="10" w:space="0"/>
            </w:tcBorders>
            <w:vAlign w:val="center"/>
          </w:tcPr>
          <w:p w14:paraId="2F220F9D">
            <w:pPr>
              <w:spacing w:before="0" w:after="0" w:line="240" w:lineRule="auto"/>
              <w:jc w:val="center"/>
            </w:pP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01C70523">
            <w:pPr>
              <w:spacing w:before="0" w:after="0" w:line="240" w:lineRule="auto"/>
              <w:jc w:val="center"/>
            </w:pP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20A2F710">
            <w:pPr>
              <w:spacing w:before="0" w:after="0" w:line="240" w:lineRule="auto"/>
              <w:jc w:val="center"/>
            </w:pPr>
            <w:r>
              <w:rPr>
                <w:rFonts w:ascii="宋体" w:hAnsi="宋体" w:eastAsia="宋体"/>
                <w:b w:val="0"/>
                <w:i w:val="0"/>
                <w:color w:val="000000"/>
                <w:sz w:val="18"/>
              </w:rPr>
              <w:t>96.25分</w:t>
            </w: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436D7530">
            <w:pPr>
              <w:spacing w:before="0" w:after="0" w:line="240" w:lineRule="auto"/>
              <w:jc w:val="center"/>
            </w:pPr>
          </w:p>
        </w:tc>
        <w:tc>
          <w:tcPr>
            <w:tcW w:w="297" w:type="pct"/>
            <w:tcBorders>
              <w:top w:val="single" w:color="auto" w:sz="10" w:space="0"/>
              <w:left w:val="single" w:color="auto" w:sz="10" w:space="0"/>
              <w:bottom w:val="single" w:color="auto" w:sz="10" w:space="0"/>
              <w:right w:val="single" w:color="auto" w:sz="10" w:space="0"/>
              <w:insideV w:val="single" w:sz="10" w:space="0"/>
            </w:tcBorders>
            <w:vAlign w:val="center"/>
          </w:tcPr>
          <w:p w14:paraId="6A801879">
            <w:pPr>
              <w:spacing w:before="0" w:after="0" w:line="240" w:lineRule="auto"/>
              <w:jc w:val="center"/>
            </w:pPr>
          </w:p>
        </w:tc>
        <w:tc>
          <w:tcPr>
            <w:tcW w:w="406" w:type="pct"/>
            <w:tcBorders>
              <w:top w:val="single" w:color="auto" w:sz="10" w:space="0"/>
              <w:left w:val="single" w:color="auto" w:sz="10" w:space="0"/>
              <w:bottom w:val="single" w:color="auto" w:sz="10" w:space="0"/>
              <w:right w:val="single" w:color="auto" w:sz="10" w:space="0"/>
              <w:insideV w:val="single" w:sz="10" w:space="0"/>
            </w:tcBorders>
            <w:vAlign w:val="center"/>
          </w:tcPr>
          <w:p w14:paraId="4B675943">
            <w:pPr>
              <w:spacing w:before="0" w:after="0" w:line="240" w:lineRule="auto"/>
              <w:jc w:val="center"/>
            </w:pPr>
          </w:p>
        </w:tc>
        <w:tc>
          <w:tcPr>
            <w:tcW w:w="361" w:type="pct"/>
            <w:tcBorders>
              <w:top w:val="single" w:color="auto" w:sz="10" w:space="0"/>
              <w:left w:val="single" w:color="auto" w:sz="10" w:space="0"/>
              <w:bottom w:val="single" w:color="auto" w:sz="10" w:space="0"/>
              <w:right w:val="single" w:color="auto" w:sz="10" w:space="0"/>
              <w:insideV w:val="single" w:sz="10" w:space="0"/>
            </w:tcBorders>
            <w:vAlign w:val="center"/>
          </w:tcPr>
          <w:p w14:paraId="7E68510D">
            <w:pPr>
              <w:spacing w:before="0" w:after="0" w:line="240" w:lineRule="auto"/>
              <w:jc w:val="center"/>
            </w:pPr>
          </w:p>
        </w:tc>
        <w:tc>
          <w:tcPr>
            <w:tcW w:w="819" w:type="pct"/>
            <w:tcBorders>
              <w:top w:val="single" w:color="auto" w:sz="10" w:space="0"/>
              <w:left w:val="single" w:color="auto" w:sz="10" w:space="0"/>
              <w:bottom w:val="single" w:color="auto" w:sz="10" w:space="0"/>
              <w:right w:val="single" w:color="auto" w:sz="10" w:space="0"/>
              <w:insideV w:val="single" w:sz="10" w:space="0"/>
            </w:tcBorders>
            <w:vAlign w:val="center"/>
          </w:tcPr>
          <w:p w14:paraId="4CEA81D2">
            <w:pPr>
              <w:spacing w:before="0" w:after="0" w:line="240" w:lineRule="auto"/>
              <w:jc w:val="center"/>
            </w:pPr>
          </w:p>
        </w:tc>
      </w:tr>
    </w:tbl>
    <w:p w14:paraId="624FA59F">
      <w:r>
        <w:br w:type="page"/>
      </w:r>
    </w:p>
    <w:tbl>
      <w:tblPr>
        <w:tblStyle w:val="8"/>
        <w:tblW w:w="5000" w:type="pct"/>
        <w:tblInd w:w="0" w:type="dxa"/>
        <w:tblLayout w:type="autofit"/>
        <w:tblCellMar>
          <w:top w:w="36" w:type="dxa"/>
          <w:left w:w="36" w:type="dxa"/>
          <w:bottom w:w="36" w:type="dxa"/>
          <w:right w:w="36" w:type="dxa"/>
        </w:tblCellMar>
      </w:tblPr>
      <w:tblGrid>
        <w:gridCol w:w="285"/>
        <w:gridCol w:w="431"/>
        <w:gridCol w:w="426"/>
        <w:gridCol w:w="738"/>
        <w:gridCol w:w="522"/>
        <w:gridCol w:w="459"/>
        <w:gridCol w:w="243"/>
        <w:gridCol w:w="616"/>
        <w:gridCol w:w="111"/>
        <w:gridCol w:w="321"/>
        <w:gridCol w:w="618"/>
        <w:gridCol w:w="419"/>
        <w:gridCol w:w="613"/>
        <w:gridCol w:w="615"/>
        <w:gridCol w:w="543"/>
        <w:gridCol w:w="1346"/>
      </w:tblGrid>
      <w:tr w14:paraId="4952A7BE">
        <w:tblPrEx>
          <w:tblCellMar>
            <w:top w:w="36" w:type="dxa"/>
            <w:left w:w="36" w:type="dxa"/>
            <w:bottom w:w="36" w:type="dxa"/>
            <w:right w:w="36" w:type="dxa"/>
          </w:tblCellMar>
        </w:tblPrEx>
        <w:trPr>
          <w:trHeight w:val="408" w:hRule="atLeast"/>
        </w:trPr>
        <w:tc>
          <w:tcPr>
            <w:tcW w:w="5000" w:type="pct"/>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1A5BAEBF">
            <w:pPr>
              <w:spacing w:before="0" w:after="0" w:line="240" w:lineRule="auto"/>
              <w:jc w:val="center"/>
            </w:pPr>
            <w:r>
              <w:rPr>
                <w:rFonts w:ascii="宋体" w:hAnsi="宋体" w:eastAsia="宋体"/>
                <w:b/>
                <w:i w:val="0"/>
                <w:sz w:val="32"/>
              </w:rPr>
              <w:t>项目支出绩效自评表</w:t>
            </w:r>
          </w:p>
        </w:tc>
      </w:tr>
      <w:tr w14:paraId="249CEF63">
        <w:tblPrEx>
          <w:tblCellMar>
            <w:top w:w="36" w:type="dxa"/>
            <w:left w:w="36" w:type="dxa"/>
            <w:bottom w:w="36" w:type="dxa"/>
            <w:right w:w="36" w:type="dxa"/>
          </w:tblCellMar>
        </w:tblPrEx>
        <w:trPr>
          <w:trHeight w:val="380" w:hRule="atLeast"/>
        </w:trPr>
        <w:tc>
          <w:tcPr>
            <w:tcW w:w="5000" w:type="pct"/>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0F4E6547">
            <w:pPr>
              <w:spacing w:before="0" w:after="0" w:line="240" w:lineRule="auto"/>
              <w:jc w:val="center"/>
            </w:pPr>
            <w:r>
              <w:rPr>
                <w:rFonts w:ascii="宋体" w:hAnsi="宋体" w:eastAsia="宋体"/>
                <w:b w:val="0"/>
                <w:i w:val="0"/>
                <w:sz w:val="22"/>
              </w:rPr>
              <w:t>(2025年度)</w:t>
            </w:r>
          </w:p>
        </w:tc>
      </w:tr>
      <w:tr w14:paraId="3FCFB428">
        <w:tblPrEx>
          <w:tblCellMar>
            <w:top w:w="36" w:type="dxa"/>
            <w:left w:w="36" w:type="dxa"/>
            <w:bottom w:w="36" w:type="dxa"/>
            <w:right w:w="36" w:type="dxa"/>
          </w:tblCellMar>
        </w:tblPrEx>
        <w:trPr>
          <w:trHeight w:val="380" w:hRule="atLeast"/>
        </w:trPr>
        <w:tc>
          <w:tcPr>
            <w:tcW w:w="43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E8215">
            <w:pPr>
              <w:spacing w:before="0" w:after="0" w:line="240" w:lineRule="auto"/>
              <w:jc w:val="center"/>
            </w:pPr>
            <w:r>
              <w:rPr>
                <w:rFonts w:ascii="宋体" w:hAnsi="宋体" w:eastAsia="宋体"/>
                <w:b/>
                <w:i w:val="0"/>
                <w:sz w:val="18"/>
              </w:rPr>
              <w:t>项目名称</w:t>
            </w:r>
          </w:p>
        </w:tc>
        <w:tc>
          <w:tcPr>
            <w:tcW w:w="4567" w:type="pct"/>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847FC87">
            <w:pPr>
              <w:spacing w:before="0" w:after="0" w:line="240" w:lineRule="auto"/>
              <w:jc w:val="center"/>
            </w:pPr>
            <w:r>
              <w:rPr>
                <w:rFonts w:ascii="宋体" w:hAnsi="宋体" w:eastAsia="宋体"/>
                <w:b w:val="0"/>
                <w:i w:val="0"/>
                <w:sz w:val="18"/>
              </w:rPr>
              <w:t>自治区水利发展资金</w:t>
            </w:r>
          </w:p>
        </w:tc>
      </w:tr>
      <w:tr w14:paraId="26403F38">
        <w:tblPrEx>
          <w:tblCellMar>
            <w:top w:w="36" w:type="dxa"/>
            <w:left w:w="36" w:type="dxa"/>
            <w:bottom w:w="36" w:type="dxa"/>
            <w:right w:w="36" w:type="dxa"/>
          </w:tblCellMar>
        </w:tblPrEx>
        <w:trPr>
          <w:trHeight w:val="380" w:hRule="atLeast"/>
        </w:trPr>
        <w:tc>
          <w:tcPr>
            <w:tcW w:w="43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6F0D1">
            <w:pPr>
              <w:spacing w:before="0" w:after="0" w:line="240" w:lineRule="auto"/>
              <w:jc w:val="center"/>
            </w:pPr>
            <w:r>
              <w:rPr>
                <w:rFonts w:ascii="宋体" w:hAnsi="宋体" w:eastAsia="宋体"/>
                <w:b/>
                <w:i w:val="0"/>
                <w:sz w:val="18"/>
              </w:rPr>
              <w:t>主管部门</w:t>
            </w:r>
          </w:p>
        </w:tc>
        <w:tc>
          <w:tcPr>
            <w:tcW w:w="1808" w:type="pct"/>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61F7C9">
            <w:pPr>
              <w:spacing w:before="0" w:after="0" w:line="240" w:lineRule="auto"/>
              <w:jc w:val="center"/>
            </w:pPr>
            <w:r>
              <w:rPr>
                <w:rFonts w:ascii="宋体" w:hAnsi="宋体" w:eastAsia="宋体"/>
                <w:b w:val="0"/>
                <w:i w:val="0"/>
                <w:sz w:val="18"/>
              </w:rPr>
              <w:t>新疆维吾尔自治区水文局</w:t>
            </w:r>
          </w:p>
        </w:tc>
        <w:tc>
          <w:tcPr>
            <w:tcW w:w="630"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5076CB">
            <w:pPr>
              <w:spacing w:before="0" w:after="0" w:line="240" w:lineRule="auto"/>
              <w:jc w:val="center"/>
            </w:pPr>
            <w:r>
              <w:rPr>
                <w:rFonts w:ascii="宋体" w:hAnsi="宋体" w:eastAsia="宋体"/>
                <w:b/>
                <w:i w:val="0"/>
                <w:sz w:val="18"/>
              </w:rPr>
              <w:t>实施单位</w:t>
            </w:r>
          </w:p>
        </w:tc>
        <w:tc>
          <w:tcPr>
            <w:tcW w:w="2128"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29D19D">
            <w:pPr>
              <w:spacing w:before="0" w:after="0" w:line="240" w:lineRule="auto"/>
              <w:jc w:val="center"/>
            </w:pPr>
            <w:r>
              <w:rPr>
                <w:rFonts w:ascii="宋体" w:hAnsi="宋体" w:eastAsia="宋体"/>
                <w:b w:val="0"/>
                <w:i w:val="0"/>
                <w:sz w:val="18"/>
              </w:rPr>
              <w:t>新疆维吾尔自治区吐鲁番水文勘测中心</w:t>
            </w:r>
          </w:p>
        </w:tc>
      </w:tr>
      <w:tr w14:paraId="105D49C3">
        <w:tblPrEx>
          <w:tblCellMar>
            <w:top w:w="36" w:type="dxa"/>
            <w:left w:w="36" w:type="dxa"/>
            <w:bottom w:w="36" w:type="dxa"/>
            <w:right w:w="36" w:type="dxa"/>
          </w:tblCellMar>
        </w:tblPrEx>
        <w:trPr>
          <w:trHeight w:val="380" w:hRule="atLeast"/>
        </w:trPr>
        <w:tc>
          <w:tcPr>
            <w:tcW w:w="432" w:type="pct"/>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A2592">
            <w:pPr>
              <w:spacing w:before="0" w:after="0" w:line="240" w:lineRule="auto"/>
              <w:jc w:val="center"/>
            </w:pPr>
            <w:r>
              <w:rPr>
                <w:rFonts w:ascii="宋体" w:hAnsi="宋体" w:eastAsia="宋体"/>
                <w:b/>
                <w:i w:val="0"/>
                <w:sz w:val="18"/>
              </w:rPr>
              <w:t>项目资金
（万元）</w:t>
            </w:r>
          </w:p>
        </w:tc>
        <w:tc>
          <w:tcPr>
            <w:tcW w:w="70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50FFF">
            <w:pPr>
              <w:spacing w:before="0" w:after="0" w:line="240" w:lineRule="auto"/>
              <w:jc w:val="center"/>
            </w:pPr>
          </w:p>
        </w:tc>
        <w:tc>
          <w:tcPr>
            <w:tcW w:w="59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D179A">
            <w:pPr>
              <w:spacing w:before="0" w:after="0" w:line="240" w:lineRule="auto"/>
              <w:jc w:val="center"/>
            </w:pPr>
            <w:r>
              <w:rPr>
                <w:rFonts w:ascii="宋体" w:hAnsi="宋体" w:eastAsia="宋体"/>
                <w:b/>
                <w:i w:val="0"/>
                <w:sz w:val="18"/>
              </w:rPr>
              <w:t>年初预算数</w:t>
            </w:r>
          </w:p>
        </w:tc>
        <w:tc>
          <w:tcPr>
            <w:tcW w:w="583"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D18206">
            <w:pPr>
              <w:spacing w:before="0" w:after="0" w:line="240" w:lineRule="auto"/>
              <w:jc w:val="center"/>
            </w:pPr>
            <w:r>
              <w:rPr>
                <w:rFonts w:ascii="宋体" w:hAnsi="宋体" w:eastAsia="宋体"/>
                <w:b/>
                <w:i w:val="0"/>
                <w:sz w:val="18"/>
              </w:rPr>
              <w:t>全年预算数</w:t>
            </w:r>
          </w:p>
        </w:tc>
        <w:tc>
          <w:tcPr>
            <w:tcW w:w="56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269FF">
            <w:pPr>
              <w:spacing w:before="0" w:after="0" w:line="240" w:lineRule="auto"/>
              <w:jc w:val="center"/>
            </w:pPr>
            <w:r>
              <w:rPr>
                <w:rFonts w:ascii="宋体" w:hAnsi="宋体" w:eastAsia="宋体"/>
                <w:b/>
                <w:i w:val="0"/>
                <w:sz w:val="18"/>
              </w:rPr>
              <w:t>全年执行数</w:t>
            </w:r>
          </w:p>
        </w:tc>
        <w:tc>
          <w:tcPr>
            <w:tcW w:w="6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9FCDB">
            <w:pPr>
              <w:spacing w:before="0" w:after="0" w:line="240" w:lineRule="auto"/>
              <w:jc w:val="center"/>
            </w:pPr>
            <w:r>
              <w:rPr>
                <w:rFonts w:ascii="宋体" w:hAnsi="宋体" w:eastAsia="宋体"/>
                <w:b/>
                <w:i w:val="0"/>
                <w:sz w:val="18"/>
              </w:rPr>
              <w:t>分值</w:t>
            </w:r>
          </w:p>
        </w:tc>
        <w:tc>
          <w:tcPr>
            <w:tcW w:w="69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50CE3">
            <w:pPr>
              <w:spacing w:before="0" w:after="0" w:line="240" w:lineRule="auto"/>
              <w:jc w:val="center"/>
            </w:pPr>
            <w:r>
              <w:rPr>
                <w:rFonts w:ascii="宋体" w:hAnsi="宋体" w:eastAsia="宋体"/>
                <w:b/>
                <w:i w:val="0"/>
                <w:sz w:val="18"/>
              </w:rPr>
              <w:t>执行率</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3C7DD782">
            <w:pPr>
              <w:spacing w:before="0" w:after="0" w:line="240" w:lineRule="auto"/>
              <w:jc w:val="center"/>
            </w:pPr>
            <w:r>
              <w:rPr>
                <w:rFonts w:ascii="宋体" w:hAnsi="宋体" w:eastAsia="宋体"/>
                <w:b/>
                <w:i w:val="0"/>
                <w:sz w:val="18"/>
              </w:rPr>
              <w:t>得分</w:t>
            </w:r>
          </w:p>
        </w:tc>
      </w:tr>
      <w:tr w14:paraId="7FD4C48E">
        <w:tblPrEx>
          <w:tblCellMar>
            <w:top w:w="36" w:type="dxa"/>
            <w:left w:w="36" w:type="dxa"/>
            <w:bottom w:w="36" w:type="dxa"/>
            <w:right w:w="36" w:type="dxa"/>
          </w:tblCellMar>
        </w:tblPrEx>
        <w:trPr>
          <w:trHeight w:val="380" w:hRule="atLeast"/>
        </w:trPr>
        <w:tc>
          <w:tcPr>
            <w:tcW w:w="432"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7A76B3D"/>
        </w:tc>
        <w:tc>
          <w:tcPr>
            <w:tcW w:w="70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393BA">
            <w:pPr>
              <w:spacing w:before="0" w:after="0" w:line="240" w:lineRule="auto"/>
              <w:jc w:val="center"/>
            </w:pPr>
            <w:r>
              <w:rPr>
                <w:rFonts w:ascii="宋体" w:hAnsi="宋体" w:eastAsia="宋体"/>
                <w:b/>
                <w:i w:val="0"/>
                <w:sz w:val="18"/>
              </w:rPr>
              <w:t>年度资金总额</w:t>
            </w:r>
          </w:p>
        </w:tc>
        <w:tc>
          <w:tcPr>
            <w:tcW w:w="59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65F4C">
            <w:pPr>
              <w:spacing w:before="0" w:after="0" w:line="240" w:lineRule="auto"/>
              <w:jc w:val="center"/>
            </w:pPr>
            <w:r>
              <w:rPr>
                <w:rFonts w:ascii="宋体" w:hAnsi="宋体" w:eastAsia="宋体"/>
                <w:b w:val="0"/>
                <w:i w:val="0"/>
                <w:sz w:val="18"/>
              </w:rPr>
              <w:t>19.50</w:t>
            </w:r>
          </w:p>
        </w:tc>
        <w:tc>
          <w:tcPr>
            <w:tcW w:w="583"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1AE47B">
            <w:pPr>
              <w:spacing w:before="0" w:after="0" w:line="240" w:lineRule="auto"/>
              <w:jc w:val="center"/>
            </w:pPr>
            <w:r>
              <w:rPr>
                <w:rFonts w:ascii="宋体" w:hAnsi="宋体" w:eastAsia="宋体"/>
                <w:b w:val="0"/>
                <w:i w:val="0"/>
                <w:sz w:val="18"/>
              </w:rPr>
              <w:t>19.50</w:t>
            </w:r>
          </w:p>
        </w:tc>
        <w:tc>
          <w:tcPr>
            <w:tcW w:w="56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522E7">
            <w:pPr>
              <w:spacing w:before="0" w:after="0" w:line="240" w:lineRule="auto"/>
              <w:jc w:val="center"/>
            </w:pPr>
            <w:r>
              <w:rPr>
                <w:rFonts w:ascii="宋体" w:hAnsi="宋体" w:eastAsia="宋体"/>
                <w:b w:val="0"/>
                <w:i w:val="0"/>
                <w:sz w:val="18"/>
              </w:rPr>
              <w:t>19.50</w:t>
            </w:r>
          </w:p>
        </w:tc>
        <w:tc>
          <w:tcPr>
            <w:tcW w:w="6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A3B1D">
            <w:pPr>
              <w:spacing w:before="0" w:after="0" w:line="240" w:lineRule="auto"/>
              <w:jc w:val="center"/>
            </w:pPr>
            <w:r>
              <w:rPr>
                <w:rFonts w:ascii="宋体" w:hAnsi="宋体" w:eastAsia="宋体"/>
                <w:b w:val="0"/>
                <w:i w:val="0"/>
                <w:sz w:val="18"/>
              </w:rPr>
              <w:t>10</w:t>
            </w:r>
          </w:p>
        </w:tc>
        <w:tc>
          <w:tcPr>
            <w:tcW w:w="69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EB60D">
            <w:pPr>
              <w:spacing w:before="0" w:after="0" w:line="240" w:lineRule="auto"/>
              <w:jc w:val="center"/>
            </w:pPr>
            <w:r>
              <w:rPr>
                <w:rFonts w:ascii="宋体" w:hAnsi="宋体" w:eastAsia="宋体"/>
                <w:b w:val="0"/>
                <w:i w:val="0"/>
                <w:sz w:val="18"/>
              </w:rPr>
              <w:t>100.00%</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2117FA6F">
            <w:pPr>
              <w:spacing w:before="0" w:after="0" w:line="240" w:lineRule="auto"/>
              <w:jc w:val="center"/>
            </w:pPr>
            <w:r>
              <w:rPr>
                <w:rFonts w:ascii="宋体" w:hAnsi="宋体" w:eastAsia="宋体"/>
                <w:b w:val="0"/>
                <w:i w:val="0"/>
                <w:sz w:val="18"/>
              </w:rPr>
              <w:t>10.00</w:t>
            </w:r>
          </w:p>
        </w:tc>
      </w:tr>
      <w:tr w14:paraId="4DD996F6">
        <w:tblPrEx>
          <w:tblCellMar>
            <w:top w:w="36" w:type="dxa"/>
            <w:left w:w="36" w:type="dxa"/>
            <w:bottom w:w="36" w:type="dxa"/>
            <w:right w:w="36" w:type="dxa"/>
          </w:tblCellMar>
        </w:tblPrEx>
        <w:trPr>
          <w:trHeight w:val="380" w:hRule="atLeast"/>
        </w:trPr>
        <w:tc>
          <w:tcPr>
            <w:tcW w:w="432"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085BD5B"/>
        </w:tc>
        <w:tc>
          <w:tcPr>
            <w:tcW w:w="70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DEEA">
            <w:pPr>
              <w:spacing w:before="0" w:after="0" w:line="240" w:lineRule="auto"/>
              <w:jc w:val="center"/>
            </w:pPr>
            <w:r>
              <w:rPr>
                <w:rFonts w:ascii="宋体" w:hAnsi="宋体" w:eastAsia="宋体"/>
                <w:b/>
                <w:i w:val="0"/>
                <w:sz w:val="18"/>
              </w:rPr>
              <w:t>其中：当年财政拨款</w:t>
            </w:r>
          </w:p>
        </w:tc>
        <w:tc>
          <w:tcPr>
            <w:tcW w:w="59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0E0C">
            <w:pPr>
              <w:spacing w:before="0" w:after="0" w:line="240" w:lineRule="auto"/>
              <w:jc w:val="center"/>
            </w:pPr>
            <w:r>
              <w:rPr>
                <w:rFonts w:ascii="宋体" w:hAnsi="宋体" w:eastAsia="宋体"/>
                <w:b w:val="0"/>
                <w:i w:val="0"/>
                <w:sz w:val="18"/>
              </w:rPr>
              <w:t>19.50</w:t>
            </w:r>
          </w:p>
        </w:tc>
        <w:tc>
          <w:tcPr>
            <w:tcW w:w="583"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18AAD7">
            <w:pPr>
              <w:spacing w:before="0" w:after="0" w:line="240" w:lineRule="auto"/>
              <w:jc w:val="center"/>
            </w:pPr>
            <w:r>
              <w:rPr>
                <w:rFonts w:ascii="宋体" w:hAnsi="宋体" w:eastAsia="宋体"/>
                <w:b w:val="0"/>
                <w:i w:val="0"/>
                <w:sz w:val="18"/>
              </w:rPr>
              <w:t>19.50</w:t>
            </w:r>
          </w:p>
        </w:tc>
        <w:tc>
          <w:tcPr>
            <w:tcW w:w="56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56BEA">
            <w:pPr>
              <w:spacing w:before="0" w:after="0" w:line="240" w:lineRule="auto"/>
              <w:jc w:val="center"/>
            </w:pPr>
            <w:r>
              <w:rPr>
                <w:rFonts w:ascii="宋体" w:hAnsi="宋体" w:eastAsia="宋体"/>
                <w:b w:val="0"/>
                <w:i w:val="0"/>
                <w:sz w:val="18"/>
              </w:rPr>
              <w:t>19.50</w:t>
            </w:r>
          </w:p>
        </w:tc>
        <w:tc>
          <w:tcPr>
            <w:tcW w:w="6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A1C1D">
            <w:pPr>
              <w:spacing w:before="0" w:after="0" w:line="240" w:lineRule="auto"/>
              <w:jc w:val="center"/>
            </w:pPr>
            <w:r>
              <w:rPr>
                <w:rFonts w:ascii="宋体" w:hAnsi="宋体" w:eastAsia="宋体"/>
                <w:b w:val="0"/>
                <w:i w:val="0"/>
                <w:sz w:val="18"/>
              </w:rPr>
              <w:t>-</w:t>
            </w:r>
          </w:p>
        </w:tc>
        <w:tc>
          <w:tcPr>
            <w:tcW w:w="69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02376">
            <w:pPr>
              <w:spacing w:before="0" w:after="0" w:line="240" w:lineRule="auto"/>
              <w:jc w:val="center"/>
            </w:pPr>
            <w:r>
              <w:rPr>
                <w:rFonts w:ascii="宋体" w:hAnsi="宋体" w:eastAsia="宋体"/>
                <w:b w:val="0"/>
                <w:i w:val="0"/>
                <w:sz w:val="18"/>
              </w:rPr>
              <w:t>-</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408FBAEA">
            <w:pPr>
              <w:spacing w:before="0" w:after="0" w:line="240" w:lineRule="auto"/>
              <w:jc w:val="center"/>
            </w:pPr>
            <w:r>
              <w:rPr>
                <w:rFonts w:ascii="宋体" w:hAnsi="宋体" w:eastAsia="宋体"/>
                <w:b w:val="0"/>
                <w:i w:val="0"/>
                <w:sz w:val="18"/>
              </w:rPr>
              <w:t>-</w:t>
            </w:r>
          </w:p>
        </w:tc>
      </w:tr>
      <w:tr w14:paraId="20FB844A">
        <w:tblPrEx>
          <w:tblCellMar>
            <w:top w:w="36" w:type="dxa"/>
            <w:left w:w="36" w:type="dxa"/>
            <w:bottom w:w="36" w:type="dxa"/>
            <w:right w:w="36" w:type="dxa"/>
          </w:tblCellMar>
        </w:tblPrEx>
        <w:trPr>
          <w:trHeight w:val="380" w:hRule="atLeast"/>
        </w:trPr>
        <w:tc>
          <w:tcPr>
            <w:tcW w:w="432"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F013529"/>
        </w:tc>
        <w:tc>
          <w:tcPr>
            <w:tcW w:w="70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2304F">
            <w:pPr>
              <w:spacing w:before="0" w:after="0" w:line="240" w:lineRule="auto"/>
              <w:jc w:val="center"/>
            </w:pPr>
            <w:r>
              <w:rPr>
                <w:rFonts w:ascii="宋体" w:hAnsi="宋体" w:eastAsia="宋体"/>
                <w:b/>
                <w:i w:val="0"/>
                <w:sz w:val="18"/>
              </w:rPr>
              <w:t>其他资金</w:t>
            </w:r>
          </w:p>
        </w:tc>
        <w:tc>
          <w:tcPr>
            <w:tcW w:w="59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B0C93">
            <w:pPr>
              <w:spacing w:before="0" w:after="0" w:line="240" w:lineRule="auto"/>
              <w:jc w:val="center"/>
            </w:pPr>
            <w:r>
              <w:rPr>
                <w:rFonts w:ascii="宋体" w:hAnsi="宋体" w:eastAsia="宋体"/>
                <w:b w:val="0"/>
                <w:i w:val="0"/>
                <w:sz w:val="18"/>
              </w:rPr>
              <w:t>0.00</w:t>
            </w:r>
          </w:p>
        </w:tc>
        <w:tc>
          <w:tcPr>
            <w:tcW w:w="583"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DAA435">
            <w:pPr>
              <w:spacing w:before="0" w:after="0" w:line="240" w:lineRule="auto"/>
              <w:jc w:val="center"/>
            </w:pPr>
            <w:r>
              <w:rPr>
                <w:rFonts w:ascii="宋体" w:hAnsi="宋体" w:eastAsia="宋体"/>
                <w:b w:val="0"/>
                <w:i w:val="0"/>
                <w:sz w:val="18"/>
              </w:rPr>
              <w:t>0.00</w:t>
            </w:r>
          </w:p>
        </w:tc>
        <w:tc>
          <w:tcPr>
            <w:tcW w:w="56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294AD">
            <w:pPr>
              <w:spacing w:before="0" w:after="0" w:line="240" w:lineRule="auto"/>
              <w:jc w:val="center"/>
            </w:pPr>
            <w:r>
              <w:rPr>
                <w:rFonts w:ascii="宋体" w:hAnsi="宋体" w:eastAsia="宋体"/>
                <w:b w:val="0"/>
                <w:i w:val="0"/>
                <w:sz w:val="18"/>
              </w:rPr>
              <w:t>0.00</w:t>
            </w:r>
          </w:p>
        </w:tc>
        <w:tc>
          <w:tcPr>
            <w:tcW w:w="6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0131E">
            <w:pPr>
              <w:spacing w:before="0" w:after="0" w:line="240" w:lineRule="auto"/>
              <w:jc w:val="center"/>
            </w:pPr>
            <w:r>
              <w:rPr>
                <w:rFonts w:ascii="宋体" w:hAnsi="宋体" w:eastAsia="宋体"/>
                <w:b w:val="0"/>
                <w:i w:val="0"/>
                <w:sz w:val="18"/>
              </w:rPr>
              <w:t>-</w:t>
            </w:r>
          </w:p>
        </w:tc>
        <w:tc>
          <w:tcPr>
            <w:tcW w:w="697"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B5A1">
            <w:pPr>
              <w:spacing w:before="0" w:after="0" w:line="240" w:lineRule="auto"/>
              <w:jc w:val="center"/>
            </w:pPr>
            <w:r>
              <w:rPr>
                <w:rFonts w:ascii="宋体" w:hAnsi="宋体" w:eastAsia="宋体"/>
                <w:b w:val="0"/>
                <w:i w:val="0"/>
                <w:sz w:val="18"/>
              </w:rPr>
              <w:t>-</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08896144">
            <w:pPr>
              <w:spacing w:before="0" w:after="0" w:line="240" w:lineRule="auto"/>
              <w:jc w:val="center"/>
            </w:pPr>
            <w:r>
              <w:rPr>
                <w:rFonts w:ascii="宋体" w:hAnsi="宋体" w:eastAsia="宋体"/>
                <w:b w:val="0"/>
                <w:i w:val="0"/>
                <w:sz w:val="18"/>
              </w:rPr>
              <w:t>-</w:t>
            </w:r>
          </w:p>
        </w:tc>
      </w:tr>
      <w:tr w14:paraId="5BDA76DB">
        <w:tblPrEx>
          <w:tblCellMar>
            <w:top w:w="36" w:type="dxa"/>
            <w:left w:w="36" w:type="dxa"/>
            <w:bottom w:w="36" w:type="dxa"/>
            <w:right w:w="36" w:type="dxa"/>
          </w:tblCellMar>
        </w:tblPrEx>
        <w:trPr>
          <w:trHeight w:val="380" w:hRule="atLeast"/>
        </w:trPr>
        <w:tc>
          <w:tcPr>
            <w:tcW w:w="17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45A18">
            <w:pPr>
              <w:spacing w:before="0" w:after="0" w:line="240" w:lineRule="auto"/>
              <w:jc w:val="center"/>
            </w:pPr>
            <w:r>
              <w:rPr>
                <w:rFonts w:ascii="宋体" w:hAnsi="宋体" w:eastAsia="宋体"/>
                <w:b/>
                <w:i w:val="0"/>
                <w:sz w:val="18"/>
              </w:rPr>
              <w:t>年度总体目标</w:t>
            </w:r>
          </w:p>
        </w:tc>
        <w:tc>
          <w:tcPr>
            <w:tcW w:w="2699" w:type="pct"/>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5A612652">
            <w:pPr>
              <w:spacing w:before="0" w:after="0" w:line="240" w:lineRule="auto"/>
              <w:jc w:val="center"/>
            </w:pPr>
            <w:r>
              <w:rPr>
                <w:rFonts w:ascii="宋体" w:hAnsi="宋体" w:eastAsia="宋体"/>
                <w:b/>
                <w:i w:val="0"/>
                <w:sz w:val="18"/>
              </w:rPr>
              <w:t>预期目标</w:t>
            </w:r>
          </w:p>
        </w:tc>
        <w:tc>
          <w:tcPr>
            <w:tcW w:w="2128"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774322">
            <w:pPr>
              <w:spacing w:before="0" w:after="0" w:line="240" w:lineRule="auto"/>
              <w:jc w:val="center"/>
            </w:pPr>
            <w:r>
              <w:rPr>
                <w:rFonts w:ascii="宋体" w:hAnsi="宋体" w:eastAsia="宋体"/>
                <w:b/>
                <w:i w:val="0"/>
                <w:sz w:val="18"/>
              </w:rPr>
              <w:t>实际完成情况</w:t>
            </w:r>
          </w:p>
        </w:tc>
      </w:tr>
      <w:tr w14:paraId="0D2B7ECD">
        <w:tblPrEx>
          <w:tblCellMar>
            <w:top w:w="36" w:type="dxa"/>
            <w:left w:w="36" w:type="dxa"/>
            <w:bottom w:w="36" w:type="dxa"/>
            <w:right w:w="36" w:type="dxa"/>
          </w:tblCellMar>
        </w:tblPrEx>
        <w:trPr>
          <w:trHeight w:val="70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33A19E32"/>
        </w:tc>
        <w:tc>
          <w:tcPr>
            <w:tcW w:w="2699" w:type="pct"/>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5F20B917">
            <w:pPr>
              <w:spacing w:before="0" w:after="0" w:line="240" w:lineRule="auto"/>
              <w:jc w:val="center"/>
            </w:pPr>
            <w:r>
              <w:rPr>
                <w:rFonts w:ascii="宋体" w:hAnsi="宋体" w:eastAsia="宋体"/>
                <w:b w:val="0"/>
                <w:i w:val="0"/>
                <w:sz w:val="18"/>
              </w:rPr>
              <w:t>工作任务：1.完成2个基本水文站全年测验任务，全局2处水文站5年拟测水位2600次，测流120次；拟编写水雨情报文260余次；拟观测气温2190次， 蒸发量812次，积雪调查3次；初冰至终冰期间观测冰情。2.单位下属2处水文测站，负责收集水文基础数据和野外测量工作，工作需要测站职工长期驻守，按照我局相关规定，每人每年在站天数至少为300天。                                            具体工作及目标：通过对水文测站安全生产检查、水文资料的收集，完成水文资料整编以及为完成工作购买设备等，其目的为加强吐鲁番水文测报业务管理，保障测站功能作用的充分发挥；监测、收集、整编基础水文资料，为水利工程的设计、立项、审批、建设提供准确可靠的水文依据；为水资源管理和保护提供水文支撑，提供准确</w:t>
            </w:r>
            <w:r>
              <w:rPr>
                <w:rFonts w:hint="eastAsia" w:ascii="宋体" w:hAnsi="宋体"/>
                <w:b w:val="0"/>
                <w:i w:val="0"/>
                <w:sz w:val="18"/>
                <w:lang w:eastAsia="zh-CN"/>
              </w:rPr>
              <w:t>及</w:t>
            </w:r>
            <w:r>
              <w:rPr>
                <w:rFonts w:ascii="宋体" w:hAnsi="宋体" w:eastAsia="宋体"/>
                <w:b w:val="0"/>
                <w:i w:val="0"/>
                <w:sz w:val="18"/>
              </w:rPr>
              <w:t>时、可靠的水文情报预报，为地方政府、防办指挥决策、防洪抢险提供科学的依据。</w:t>
            </w:r>
          </w:p>
        </w:tc>
        <w:tc>
          <w:tcPr>
            <w:tcW w:w="2128"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E130AC">
            <w:pPr>
              <w:spacing w:before="0" w:after="0" w:line="240" w:lineRule="auto"/>
              <w:jc w:val="center"/>
            </w:pPr>
            <w:r>
              <w:rPr>
                <w:rFonts w:ascii="宋体" w:hAnsi="宋体" w:eastAsia="宋体"/>
                <w:b w:val="0"/>
                <w:i w:val="0"/>
                <w:sz w:val="18"/>
              </w:rPr>
              <w:t>1.完成2个基本水文站全年测验任务，单位2处水文站2025年1至12月份监测水位2780次，测流137次；观测气温2500次， 蒸发量879次，终冰期间观测冰情。2.负责收集单位2个国家基本水文站水文基础数据和野外测量工作，目前测站职工已驻站120天。 3. 完成吐鲁番市17条坎儿井的水量监测、数据分析及资料整编工作。4.采购了流速仪、水尺等一些基础水文监测设施设备，对2个基本站进行了汛前水文测报和安全生产综合检查，水文测站严格执</w:t>
            </w:r>
            <w:bookmarkStart w:id="0" w:name="_GoBack"/>
            <w:bookmarkEnd w:id="0"/>
            <w:r>
              <w:rPr>
                <w:rFonts w:ascii="宋体" w:hAnsi="宋体" w:eastAsia="宋体"/>
                <w:b w:val="0"/>
                <w:i w:val="0"/>
                <w:sz w:val="18"/>
              </w:rPr>
              <w:t>行“四随”“日清月结”工作制度，按要求做好了仪器设备的维护保养，完成了2025年水文资料的整编工作，为吐鲁番市水行政主管部门提供准确</w:t>
            </w:r>
            <w:r>
              <w:rPr>
                <w:rFonts w:hint="eastAsia" w:ascii="宋体" w:hAnsi="宋体"/>
                <w:b w:val="0"/>
                <w:i w:val="0"/>
                <w:sz w:val="18"/>
                <w:lang w:eastAsia="zh-CN"/>
              </w:rPr>
              <w:t>及</w:t>
            </w:r>
            <w:r>
              <w:rPr>
                <w:rFonts w:ascii="宋体" w:hAnsi="宋体" w:eastAsia="宋体"/>
                <w:b w:val="0"/>
                <w:i w:val="0"/>
                <w:sz w:val="18"/>
              </w:rPr>
              <w:t>时、可靠的水文情报预报，为地方防洪抢险及水资源调度管理提供科学的数据支撑。5.完成设备采购4.09万元。</w:t>
            </w:r>
          </w:p>
        </w:tc>
      </w:tr>
      <w:tr w14:paraId="4F87B9A0">
        <w:tblPrEx>
          <w:tblCellMar>
            <w:top w:w="36" w:type="dxa"/>
            <w:left w:w="36" w:type="dxa"/>
            <w:bottom w:w="36" w:type="dxa"/>
            <w:right w:w="36" w:type="dxa"/>
          </w:tblCellMar>
        </w:tblPrEx>
        <w:trPr>
          <w:trHeight w:val="312" w:hRule="atLeast"/>
        </w:trPr>
        <w:tc>
          <w:tcPr>
            <w:tcW w:w="17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B9AD2">
            <w:pPr>
              <w:spacing w:before="0" w:after="0" w:line="240" w:lineRule="auto"/>
              <w:jc w:val="center"/>
            </w:pPr>
          </w:p>
        </w:tc>
        <w:tc>
          <w:tcPr>
            <w:tcW w:w="26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E48ED">
            <w:pPr>
              <w:spacing w:before="0" w:after="0" w:line="240" w:lineRule="auto"/>
              <w:jc w:val="center"/>
            </w:pPr>
            <w:r>
              <w:rPr>
                <w:rFonts w:ascii="宋体" w:hAnsi="宋体" w:eastAsia="宋体"/>
                <w:b/>
                <w:i w:val="0"/>
                <w:sz w:val="18"/>
              </w:rPr>
              <w:t>一级指标</w:t>
            </w:r>
          </w:p>
        </w:tc>
        <w:tc>
          <w:tcPr>
            <w:tcW w:w="25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1CE69">
            <w:pPr>
              <w:spacing w:before="0" w:after="0" w:line="240" w:lineRule="auto"/>
              <w:jc w:val="center"/>
            </w:pPr>
            <w:r>
              <w:rPr>
                <w:rFonts w:ascii="宋体" w:hAnsi="宋体" w:eastAsia="宋体"/>
                <w:b/>
                <w:i w:val="0"/>
                <w:sz w:val="18"/>
              </w:rPr>
              <w:t>二级指标</w:t>
            </w:r>
          </w:p>
        </w:tc>
        <w:tc>
          <w:tcPr>
            <w:tcW w:w="443"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CF927">
            <w:pPr>
              <w:spacing w:before="0" w:after="0" w:line="240" w:lineRule="auto"/>
              <w:jc w:val="center"/>
            </w:pPr>
            <w:r>
              <w:rPr>
                <w:rFonts w:ascii="宋体" w:hAnsi="宋体" w:eastAsia="宋体"/>
                <w:b/>
                <w:i w:val="0"/>
                <w:sz w:val="18"/>
              </w:rPr>
              <w:t>三级指标</w:t>
            </w:r>
          </w:p>
        </w:tc>
        <w:tc>
          <w:tcPr>
            <w:tcW w:w="314"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8D2C8">
            <w:pPr>
              <w:spacing w:before="0" w:after="0" w:line="240" w:lineRule="auto"/>
              <w:jc w:val="center"/>
            </w:pPr>
            <w:r>
              <w:rPr>
                <w:rFonts w:ascii="宋体" w:hAnsi="宋体" w:eastAsia="宋体"/>
                <w:b/>
                <w:i w:val="0"/>
                <w:sz w:val="18"/>
              </w:rPr>
              <w:t>权重</w:t>
            </w:r>
          </w:p>
        </w:tc>
        <w:tc>
          <w:tcPr>
            <w:tcW w:w="422" w:type="pct"/>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A1BC7">
            <w:pPr>
              <w:spacing w:before="0" w:after="0" w:line="240" w:lineRule="auto"/>
              <w:jc w:val="center"/>
            </w:pPr>
            <w:r>
              <w:rPr>
                <w:rFonts w:ascii="宋体" w:hAnsi="宋体" w:eastAsia="宋体"/>
                <w:b/>
                <w:i w:val="0"/>
                <w:sz w:val="18"/>
              </w:rPr>
              <w:t>目标值</w:t>
            </w:r>
          </w:p>
        </w:tc>
        <w:tc>
          <w:tcPr>
            <w:tcW w:w="37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E373B">
            <w:pPr>
              <w:spacing w:before="0" w:after="0" w:line="240" w:lineRule="auto"/>
              <w:jc w:val="center"/>
            </w:pPr>
            <w:r>
              <w:rPr>
                <w:rFonts w:ascii="宋体" w:hAnsi="宋体" w:eastAsia="宋体"/>
                <w:b/>
                <w:i w:val="0"/>
                <w:sz w:val="18"/>
              </w:rPr>
              <w:t>业绩值</w:t>
            </w:r>
          </w:p>
        </w:tc>
        <w:tc>
          <w:tcPr>
            <w:tcW w:w="260" w:type="pct"/>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F9998">
            <w:pPr>
              <w:spacing w:before="0" w:after="0" w:line="240" w:lineRule="auto"/>
              <w:jc w:val="center"/>
            </w:pPr>
            <w:r>
              <w:rPr>
                <w:rFonts w:ascii="宋体" w:hAnsi="宋体" w:eastAsia="宋体"/>
                <w:b/>
                <w:i w:val="0"/>
                <w:sz w:val="18"/>
              </w:rPr>
              <w:t>完成率</w:t>
            </w:r>
          </w:p>
        </w:tc>
        <w:tc>
          <w:tcPr>
            <w:tcW w:w="37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55680">
            <w:pPr>
              <w:spacing w:before="0" w:after="0" w:line="240" w:lineRule="auto"/>
              <w:jc w:val="center"/>
            </w:pPr>
            <w:r>
              <w:rPr>
                <w:rFonts w:ascii="宋体" w:hAnsi="宋体" w:eastAsia="宋体"/>
                <w:b/>
                <w:i w:val="0"/>
                <w:sz w:val="18"/>
              </w:rPr>
              <w:t>指标得分</w:t>
            </w:r>
          </w:p>
        </w:tc>
        <w:tc>
          <w:tcPr>
            <w:tcW w:w="25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A76AE">
            <w:pPr>
              <w:spacing w:before="0" w:after="0" w:line="240" w:lineRule="auto"/>
              <w:jc w:val="center"/>
            </w:pPr>
            <w:r>
              <w:rPr>
                <w:rFonts w:ascii="宋体" w:hAnsi="宋体" w:eastAsia="宋体"/>
                <w:b/>
                <w:i w:val="0"/>
                <w:sz w:val="18"/>
              </w:rPr>
              <w:t>指标值设定依据</w:t>
            </w:r>
          </w:p>
        </w:tc>
        <w:tc>
          <w:tcPr>
            <w:tcW w:w="36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5DCE3">
            <w:pPr>
              <w:spacing w:before="0" w:after="0" w:line="240" w:lineRule="auto"/>
              <w:jc w:val="center"/>
            </w:pPr>
            <w:r>
              <w:rPr>
                <w:rFonts w:ascii="宋体" w:hAnsi="宋体" w:eastAsia="宋体"/>
                <w:b/>
                <w:i w:val="0"/>
                <w:sz w:val="18"/>
              </w:rPr>
              <w:t>上年完成情况</w:t>
            </w:r>
          </w:p>
        </w:tc>
        <w:tc>
          <w:tcPr>
            <w:tcW w:w="37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8E340">
            <w:pPr>
              <w:spacing w:before="0" w:after="0" w:line="240" w:lineRule="auto"/>
              <w:jc w:val="center"/>
            </w:pPr>
            <w:r>
              <w:rPr>
                <w:rFonts w:ascii="宋体" w:hAnsi="宋体" w:eastAsia="宋体"/>
                <w:b/>
                <w:i w:val="0"/>
                <w:sz w:val="18"/>
              </w:rPr>
              <w:t>赋分规则</w:t>
            </w:r>
          </w:p>
        </w:tc>
        <w:tc>
          <w:tcPr>
            <w:tcW w:w="32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1C9A3">
            <w:pPr>
              <w:spacing w:before="0" w:after="0" w:line="240" w:lineRule="auto"/>
              <w:jc w:val="center"/>
            </w:pPr>
            <w:r>
              <w:rPr>
                <w:rFonts w:ascii="宋体" w:hAnsi="宋体" w:eastAsia="宋体"/>
                <w:b/>
                <w:i w:val="0"/>
                <w:sz w:val="18"/>
              </w:rPr>
              <w:t>佐证资料</w:t>
            </w:r>
          </w:p>
        </w:tc>
        <w:tc>
          <w:tcPr>
            <w:tcW w:w="81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4A505">
            <w:pPr>
              <w:spacing w:before="0" w:after="0" w:line="240" w:lineRule="auto"/>
              <w:jc w:val="center"/>
            </w:pPr>
            <w:r>
              <w:rPr>
                <w:rFonts w:ascii="宋体" w:hAnsi="宋体" w:eastAsia="宋体"/>
                <w:b/>
                <w:i w:val="0"/>
                <w:sz w:val="18"/>
              </w:rPr>
              <w:t>偏差原因分析及改进措施</w:t>
            </w:r>
          </w:p>
        </w:tc>
      </w:tr>
      <w:tr w14:paraId="5162124E">
        <w:tblPrEx>
          <w:tblCellMar>
            <w:top w:w="36" w:type="dxa"/>
            <w:left w:w="36" w:type="dxa"/>
            <w:bottom w:w="36" w:type="dxa"/>
            <w:right w:w="36" w:type="dxa"/>
          </w:tblCellMar>
        </w:tblPrEx>
        <w:trPr>
          <w:trHeight w:val="312"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009D56AA"/>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38D7990E"/>
        </w:tc>
        <w:tc>
          <w:tcPr>
            <w:tcW w:w="257" w:type="pct"/>
            <w:vMerge w:val="continue"/>
            <w:tcBorders>
              <w:top w:val="single" w:color="auto" w:sz="10" w:space="0"/>
              <w:left w:val="single" w:color="auto" w:sz="10" w:space="0"/>
              <w:bottom w:val="single" w:color="auto" w:sz="10" w:space="0"/>
              <w:right w:val="single" w:color="auto" w:sz="10" w:space="0"/>
              <w:insideV w:val="single" w:sz="10" w:space="0"/>
            </w:tcBorders>
          </w:tcPr>
          <w:p w14:paraId="39C7F386"/>
        </w:tc>
        <w:tc>
          <w:tcPr>
            <w:tcW w:w="443" w:type="pct"/>
            <w:vMerge w:val="continue"/>
            <w:tcBorders>
              <w:top w:val="single" w:color="auto" w:sz="10" w:space="0"/>
              <w:left w:val="single" w:color="auto" w:sz="10" w:space="0"/>
              <w:bottom w:val="single" w:color="auto" w:sz="10" w:space="0"/>
              <w:right w:val="single" w:color="auto" w:sz="10" w:space="0"/>
              <w:insideV w:val="single" w:sz="10" w:space="0"/>
            </w:tcBorders>
          </w:tcPr>
          <w:p w14:paraId="0EF69BAF"/>
        </w:tc>
        <w:tc>
          <w:tcPr>
            <w:tcW w:w="314" w:type="pct"/>
            <w:vMerge w:val="continue"/>
            <w:tcBorders>
              <w:top w:val="single" w:color="auto" w:sz="10" w:space="0"/>
              <w:left w:val="single" w:color="auto" w:sz="10" w:space="0"/>
              <w:bottom w:val="single" w:color="auto" w:sz="10" w:space="0"/>
              <w:right w:val="single" w:color="auto" w:sz="10" w:space="0"/>
              <w:insideV w:val="single" w:sz="10" w:space="0"/>
            </w:tcBorders>
          </w:tcPr>
          <w:p w14:paraId="61ECA6A1"/>
        </w:tc>
        <w:tc>
          <w:tcPr>
            <w:tcW w:w="422"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3855149"/>
        </w:tc>
        <w:tc>
          <w:tcPr>
            <w:tcW w:w="370" w:type="pct"/>
            <w:vMerge w:val="continue"/>
            <w:tcBorders>
              <w:top w:val="single" w:color="auto" w:sz="10" w:space="0"/>
              <w:left w:val="single" w:color="auto" w:sz="10" w:space="0"/>
              <w:bottom w:val="single" w:color="auto" w:sz="10" w:space="0"/>
              <w:right w:val="single" w:color="auto" w:sz="10" w:space="0"/>
              <w:insideV w:val="single" w:sz="10" w:space="0"/>
            </w:tcBorders>
          </w:tcPr>
          <w:p w14:paraId="424298CD"/>
        </w:tc>
        <w:tc>
          <w:tcPr>
            <w:tcW w:w="260" w:type="pct"/>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2815B46"/>
        </w:tc>
        <w:tc>
          <w:tcPr>
            <w:tcW w:w="370" w:type="pct"/>
            <w:vMerge w:val="continue"/>
            <w:tcBorders>
              <w:top w:val="single" w:color="auto" w:sz="10" w:space="0"/>
              <w:left w:val="single" w:color="auto" w:sz="10" w:space="0"/>
              <w:bottom w:val="single" w:color="auto" w:sz="10" w:space="0"/>
              <w:right w:val="single" w:color="auto" w:sz="10" w:space="0"/>
              <w:insideV w:val="single" w:sz="10" w:space="0"/>
            </w:tcBorders>
          </w:tcPr>
          <w:p w14:paraId="54C25CEA"/>
        </w:tc>
        <w:tc>
          <w:tcPr>
            <w:tcW w:w="252" w:type="pct"/>
            <w:vMerge w:val="continue"/>
            <w:tcBorders>
              <w:top w:val="single" w:color="auto" w:sz="10" w:space="0"/>
              <w:left w:val="single" w:color="auto" w:sz="10" w:space="0"/>
              <w:bottom w:val="single" w:color="auto" w:sz="10" w:space="0"/>
              <w:right w:val="single" w:color="auto" w:sz="10" w:space="0"/>
              <w:insideV w:val="single" w:sz="10" w:space="0"/>
            </w:tcBorders>
          </w:tcPr>
          <w:p w14:paraId="1775328C"/>
        </w:tc>
        <w:tc>
          <w:tcPr>
            <w:tcW w:w="369" w:type="pct"/>
            <w:vMerge w:val="continue"/>
            <w:tcBorders>
              <w:top w:val="single" w:color="auto" w:sz="10" w:space="0"/>
              <w:left w:val="single" w:color="auto" w:sz="10" w:space="0"/>
              <w:bottom w:val="single" w:color="auto" w:sz="10" w:space="0"/>
              <w:right w:val="single" w:color="auto" w:sz="10" w:space="0"/>
              <w:insideV w:val="single" w:sz="10" w:space="0"/>
            </w:tcBorders>
          </w:tcPr>
          <w:p w14:paraId="79689505"/>
        </w:tc>
        <w:tc>
          <w:tcPr>
            <w:tcW w:w="370" w:type="pct"/>
            <w:vMerge w:val="continue"/>
            <w:tcBorders>
              <w:top w:val="single" w:color="auto" w:sz="10" w:space="0"/>
              <w:left w:val="single" w:color="auto" w:sz="10" w:space="0"/>
              <w:bottom w:val="single" w:color="auto" w:sz="10" w:space="0"/>
              <w:right w:val="single" w:color="auto" w:sz="10" w:space="0"/>
              <w:insideV w:val="single" w:sz="10" w:space="0"/>
            </w:tcBorders>
          </w:tcPr>
          <w:p w14:paraId="7A90EC7F"/>
        </w:tc>
        <w:tc>
          <w:tcPr>
            <w:tcW w:w="326" w:type="pct"/>
            <w:vMerge w:val="continue"/>
            <w:tcBorders>
              <w:top w:val="single" w:color="auto" w:sz="10" w:space="0"/>
              <w:left w:val="single" w:color="auto" w:sz="10" w:space="0"/>
              <w:bottom w:val="single" w:color="auto" w:sz="10" w:space="0"/>
              <w:right w:val="single" w:color="auto" w:sz="10" w:space="0"/>
              <w:insideV w:val="single" w:sz="10" w:space="0"/>
            </w:tcBorders>
          </w:tcPr>
          <w:p w14:paraId="55B255F2"/>
        </w:tc>
        <w:tc>
          <w:tcPr>
            <w:tcW w:w="810" w:type="pct"/>
            <w:vMerge w:val="continue"/>
            <w:tcBorders>
              <w:top w:val="single" w:color="auto" w:sz="10" w:space="0"/>
              <w:left w:val="single" w:color="auto" w:sz="10" w:space="0"/>
              <w:bottom w:val="single" w:color="auto" w:sz="10" w:space="0"/>
              <w:right w:val="single" w:color="auto" w:sz="10" w:space="0"/>
              <w:insideV w:val="single" w:sz="10" w:space="0"/>
            </w:tcBorders>
          </w:tcPr>
          <w:p w14:paraId="28BD869D"/>
        </w:tc>
      </w:tr>
      <w:tr w14:paraId="2D469CBD">
        <w:tblPrEx>
          <w:tblCellMar>
            <w:top w:w="36" w:type="dxa"/>
            <w:left w:w="36" w:type="dxa"/>
            <w:bottom w:w="36" w:type="dxa"/>
            <w:right w:w="36" w:type="dxa"/>
          </w:tblCellMar>
        </w:tblPrEx>
        <w:trPr>
          <w:trHeight w:val="380" w:hRule="atLeast"/>
        </w:trPr>
        <w:tc>
          <w:tcPr>
            <w:tcW w:w="17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370B9">
            <w:pPr>
              <w:spacing w:before="0" w:after="0" w:line="240" w:lineRule="auto"/>
              <w:jc w:val="center"/>
            </w:pPr>
            <w:r>
              <w:rPr>
                <w:rFonts w:ascii="宋体" w:hAnsi="宋体" w:eastAsia="宋体"/>
                <w:b/>
                <w:i w:val="0"/>
                <w:sz w:val="18"/>
              </w:rPr>
              <w:t>年度绩效指标完成情况</w:t>
            </w:r>
          </w:p>
        </w:tc>
        <w:tc>
          <w:tcPr>
            <w:tcW w:w="26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B8E36">
            <w:pPr>
              <w:spacing w:before="0" w:after="0" w:line="240" w:lineRule="auto"/>
              <w:jc w:val="center"/>
            </w:pPr>
            <w:r>
              <w:rPr>
                <w:rFonts w:ascii="宋体" w:hAnsi="宋体" w:eastAsia="宋体"/>
                <w:b w:val="0"/>
                <w:i w:val="0"/>
                <w:sz w:val="18"/>
              </w:rPr>
              <w:t>产出指标</w:t>
            </w:r>
          </w:p>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1984109C">
            <w:pPr>
              <w:spacing w:before="0" w:after="0" w:line="240" w:lineRule="auto"/>
              <w:jc w:val="center"/>
            </w:pPr>
            <w:r>
              <w:rPr>
                <w:rFonts w:ascii="宋体" w:hAnsi="宋体" w:eastAsia="宋体"/>
                <w:b w:val="0"/>
                <w:i w:val="0"/>
                <w:sz w:val="18"/>
              </w:rPr>
              <w:t>数量指标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58918151">
            <w:pPr>
              <w:spacing w:before="0" w:after="0" w:line="240" w:lineRule="auto"/>
              <w:jc w:val="center"/>
            </w:pPr>
            <w:r>
              <w:rPr>
                <w:rFonts w:ascii="宋体" w:hAnsi="宋体" w:eastAsia="宋体"/>
                <w:b w:val="0"/>
                <w:i w:val="0"/>
                <w:color w:val="000000"/>
                <w:sz w:val="18"/>
              </w:rPr>
              <w:t>在站整编审查站数量</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48075038">
            <w:pPr>
              <w:spacing w:before="0" w:after="0" w:line="240" w:lineRule="auto"/>
              <w:jc w:val="center"/>
            </w:pPr>
            <w:r>
              <w:rPr>
                <w:rFonts w:ascii="宋体" w:hAnsi="宋体" w:eastAsia="宋体"/>
                <w:b w:val="0"/>
                <w:i w:val="0"/>
                <w:sz w:val="18"/>
              </w:rPr>
              <w:t>7</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96BA6">
            <w:pPr>
              <w:spacing w:before="0" w:after="0" w:line="240" w:lineRule="auto"/>
              <w:jc w:val="center"/>
            </w:pPr>
            <w:r>
              <w:rPr>
                <w:rFonts w:ascii="宋体" w:hAnsi="宋体" w:eastAsia="宋体"/>
                <w:b w:val="0"/>
                <w:i w:val="0"/>
                <w:sz w:val="18"/>
              </w:rPr>
              <w:t>&gt;=2站</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78FC429C">
            <w:pPr>
              <w:spacing w:before="0" w:after="0" w:line="240" w:lineRule="auto"/>
              <w:jc w:val="center"/>
            </w:pPr>
            <w:r>
              <w:rPr>
                <w:rFonts w:ascii="宋体" w:hAnsi="宋体" w:eastAsia="宋体"/>
                <w:b w:val="0"/>
                <w:i w:val="0"/>
                <w:sz w:val="18"/>
              </w:rPr>
              <w:t>=2站</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FA837">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288BFB92">
            <w:pPr>
              <w:spacing w:before="0" w:after="0" w:line="240" w:lineRule="auto"/>
              <w:jc w:val="center"/>
            </w:pPr>
            <w:r>
              <w:rPr>
                <w:rFonts w:ascii="宋体" w:hAnsi="宋体" w:eastAsia="宋体"/>
                <w:b w:val="0"/>
                <w:i w:val="0"/>
                <w:sz w:val="18"/>
              </w:rPr>
              <w:t>7</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4A26B760">
            <w:pPr>
              <w:spacing w:before="0" w:after="0" w:line="240" w:lineRule="auto"/>
              <w:jc w:val="center"/>
            </w:pPr>
            <w:r>
              <w:rPr>
                <w:rFonts w:ascii="宋体" w:hAnsi="宋体" w:eastAsia="宋体"/>
                <w:b w:val="0"/>
                <w:i w:val="0"/>
                <w:sz w:val="18"/>
              </w:rPr>
              <w:t>计划标准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45CEE62D">
            <w:pPr>
              <w:spacing w:before="0" w:after="0" w:line="240" w:lineRule="auto"/>
              <w:jc w:val="center"/>
            </w:pPr>
            <w:r>
              <w:rPr>
                <w:rFonts w:ascii="宋体" w:hAnsi="宋体" w:eastAsia="宋体"/>
                <w:b w:val="0"/>
                <w:i w:val="0"/>
                <w:sz w:val="18"/>
              </w:rPr>
              <w:t>-</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3E918ACC">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53AB0DDC">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094D191A">
            <w:pPr>
              <w:spacing w:before="0" w:after="0" w:line="240" w:lineRule="auto"/>
              <w:jc w:val="center"/>
            </w:pPr>
          </w:p>
        </w:tc>
      </w:tr>
      <w:tr w14:paraId="29E016C9">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3734D8EE"/>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22A88208"/>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5DDCD53E">
            <w:pPr>
              <w:spacing w:before="0" w:after="0" w:line="240" w:lineRule="auto"/>
              <w:jc w:val="center"/>
            </w:pPr>
            <w:r>
              <w:rPr>
                <w:rFonts w:ascii="宋体" w:hAnsi="宋体" w:eastAsia="宋体"/>
                <w:b w:val="0"/>
                <w:i w:val="0"/>
                <w:sz w:val="18"/>
              </w:rPr>
              <w:t>数量指标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0ADD9523">
            <w:pPr>
              <w:spacing w:before="0" w:after="0" w:line="240" w:lineRule="auto"/>
              <w:jc w:val="center"/>
            </w:pPr>
            <w:r>
              <w:rPr>
                <w:rFonts w:ascii="宋体" w:hAnsi="宋体" w:eastAsia="宋体"/>
                <w:b w:val="0"/>
                <w:i w:val="0"/>
                <w:color w:val="000000"/>
                <w:sz w:val="18"/>
              </w:rPr>
              <w:t>水位监测断面数量</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290E10B4">
            <w:pPr>
              <w:spacing w:before="0" w:after="0" w:line="240" w:lineRule="auto"/>
              <w:jc w:val="center"/>
            </w:pPr>
            <w:r>
              <w:rPr>
                <w:rFonts w:ascii="宋体" w:hAnsi="宋体" w:eastAsia="宋体"/>
                <w:b w:val="0"/>
                <w:i w:val="0"/>
                <w:sz w:val="18"/>
              </w:rPr>
              <w:t>7</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4B9B9">
            <w:pPr>
              <w:spacing w:before="0" w:after="0" w:line="240" w:lineRule="auto"/>
              <w:jc w:val="center"/>
            </w:pPr>
            <w:r>
              <w:rPr>
                <w:rFonts w:ascii="宋体" w:hAnsi="宋体" w:eastAsia="宋体"/>
                <w:b w:val="0"/>
                <w:i w:val="0"/>
                <w:sz w:val="18"/>
              </w:rPr>
              <w:t>&gt;=4个</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0D1598E5">
            <w:pPr>
              <w:spacing w:before="0" w:after="0" w:line="240" w:lineRule="auto"/>
              <w:jc w:val="center"/>
            </w:pPr>
            <w:r>
              <w:rPr>
                <w:rFonts w:ascii="宋体" w:hAnsi="宋体" w:eastAsia="宋体"/>
                <w:b w:val="0"/>
                <w:i w:val="0"/>
                <w:sz w:val="18"/>
              </w:rPr>
              <w:t>=4个</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FFE4F">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27131978">
            <w:pPr>
              <w:spacing w:before="0" w:after="0" w:line="240" w:lineRule="auto"/>
              <w:jc w:val="center"/>
            </w:pPr>
            <w:r>
              <w:rPr>
                <w:rFonts w:ascii="宋体" w:hAnsi="宋体" w:eastAsia="宋体"/>
                <w:b w:val="0"/>
                <w:i w:val="0"/>
                <w:sz w:val="18"/>
              </w:rPr>
              <w:t>7</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1A8BD68E">
            <w:pPr>
              <w:spacing w:before="0" w:after="0" w:line="240" w:lineRule="auto"/>
              <w:jc w:val="center"/>
            </w:pPr>
            <w:r>
              <w:rPr>
                <w:rFonts w:ascii="宋体" w:hAnsi="宋体" w:eastAsia="宋体"/>
                <w:b w:val="0"/>
                <w:i w:val="0"/>
                <w:sz w:val="18"/>
              </w:rPr>
              <w:t>计划标准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3999C02A">
            <w:pPr>
              <w:spacing w:before="0" w:after="0" w:line="240" w:lineRule="auto"/>
              <w:jc w:val="center"/>
            </w:pPr>
            <w:r>
              <w:rPr>
                <w:rFonts w:ascii="宋体" w:hAnsi="宋体" w:eastAsia="宋体"/>
                <w:b w:val="0"/>
                <w:i w:val="0"/>
                <w:sz w:val="18"/>
              </w:rPr>
              <w:t>-</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45565AB6">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6E6F8519">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3F9F1A7F">
            <w:pPr>
              <w:spacing w:before="0" w:after="0" w:line="240" w:lineRule="auto"/>
              <w:jc w:val="center"/>
            </w:pPr>
          </w:p>
        </w:tc>
      </w:tr>
      <w:tr w14:paraId="18AFB06E">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77361AFA"/>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46AAE614"/>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0C98191F">
            <w:pPr>
              <w:spacing w:before="0" w:after="0" w:line="240" w:lineRule="auto"/>
              <w:jc w:val="center"/>
            </w:pPr>
            <w:r>
              <w:rPr>
                <w:rFonts w:ascii="宋体" w:hAnsi="宋体" w:eastAsia="宋体"/>
                <w:b w:val="0"/>
                <w:i w:val="0"/>
                <w:sz w:val="18"/>
              </w:rPr>
              <w:t>数量指标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618B7DFC">
            <w:pPr>
              <w:spacing w:before="0" w:after="0" w:line="240" w:lineRule="auto"/>
              <w:jc w:val="center"/>
            </w:pPr>
            <w:r>
              <w:rPr>
                <w:rFonts w:ascii="宋体" w:hAnsi="宋体" w:eastAsia="宋体"/>
                <w:b w:val="0"/>
                <w:i w:val="0"/>
                <w:color w:val="000000"/>
                <w:sz w:val="18"/>
              </w:rPr>
              <w:t>专用仪器设备购置数量</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1D420A1A">
            <w:pPr>
              <w:spacing w:before="0" w:after="0" w:line="240" w:lineRule="auto"/>
              <w:jc w:val="center"/>
            </w:pPr>
            <w:r>
              <w:rPr>
                <w:rFonts w:ascii="宋体" w:hAnsi="宋体" w:eastAsia="宋体"/>
                <w:b w:val="0"/>
                <w:i w:val="0"/>
                <w:sz w:val="18"/>
              </w:rPr>
              <w:t>7</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B0BEA">
            <w:pPr>
              <w:spacing w:before="0" w:after="0" w:line="240" w:lineRule="auto"/>
              <w:jc w:val="center"/>
            </w:pPr>
            <w:r>
              <w:rPr>
                <w:rFonts w:ascii="宋体" w:hAnsi="宋体" w:eastAsia="宋体"/>
                <w:b w:val="0"/>
                <w:i w:val="0"/>
                <w:sz w:val="18"/>
              </w:rPr>
              <w:t>&gt;=3个（套）</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33041244">
            <w:pPr>
              <w:spacing w:before="0" w:after="0" w:line="240" w:lineRule="auto"/>
              <w:jc w:val="center"/>
            </w:pPr>
            <w:r>
              <w:rPr>
                <w:rFonts w:ascii="宋体" w:hAnsi="宋体" w:eastAsia="宋体"/>
                <w:b w:val="0"/>
                <w:i w:val="0"/>
                <w:sz w:val="18"/>
              </w:rPr>
              <w:t>=3个（套）</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D1FF5">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4EF6735D">
            <w:pPr>
              <w:spacing w:before="0" w:after="0" w:line="240" w:lineRule="auto"/>
              <w:jc w:val="center"/>
            </w:pPr>
            <w:r>
              <w:rPr>
                <w:rFonts w:ascii="宋体" w:hAnsi="宋体" w:eastAsia="宋体"/>
                <w:b w:val="0"/>
                <w:i w:val="0"/>
                <w:sz w:val="18"/>
              </w:rPr>
              <w:t>7</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0D833469">
            <w:pPr>
              <w:spacing w:before="0" w:after="0" w:line="240" w:lineRule="auto"/>
              <w:jc w:val="center"/>
            </w:pPr>
            <w:r>
              <w:rPr>
                <w:rFonts w:ascii="宋体" w:hAnsi="宋体" w:eastAsia="宋体"/>
                <w:b w:val="0"/>
                <w:i w:val="0"/>
                <w:sz w:val="18"/>
              </w:rPr>
              <w:t>计划标准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596C9D75">
            <w:pPr>
              <w:spacing w:before="0" w:after="0" w:line="240" w:lineRule="auto"/>
              <w:jc w:val="center"/>
            </w:pPr>
            <w:r>
              <w:rPr>
                <w:rFonts w:ascii="宋体" w:hAnsi="宋体" w:eastAsia="宋体"/>
                <w:b w:val="0"/>
                <w:i w:val="0"/>
                <w:sz w:val="18"/>
              </w:rPr>
              <w:t>-</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24CE9B8C">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4F4F5991">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3B994A18">
            <w:pPr>
              <w:spacing w:before="0" w:after="0" w:line="240" w:lineRule="auto"/>
              <w:jc w:val="center"/>
            </w:pPr>
          </w:p>
        </w:tc>
      </w:tr>
      <w:tr w14:paraId="15247BF9">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74EACFF4"/>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0A5ACA89"/>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099C6E63">
            <w:pPr>
              <w:spacing w:before="0" w:after="0" w:line="240" w:lineRule="auto"/>
              <w:jc w:val="center"/>
            </w:pPr>
            <w:r>
              <w:rPr>
                <w:rFonts w:ascii="宋体" w:hAnsi="宋体" w:eastAsia="宋体"/>
                <w:b w:val="0"/>
                <w:i w:val="0"/>
                <w:sz w:val="18"/>
              </w:rPr>
              <w:t>质量指标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0E9BB15F">
            <w:pPr>
              <w:spacing w:before="0" w:after="0" w:line="240" w:lineRule="auto"/>
              <w:jc w:val="center"/>
            </w:pPr>
            <w:r>
              <w:rPr>
                <w:rFonts w:ascii="宋体" w:hAnsi="宋体" w:eastAsia="宋体"/>
                <w:b w:val="0"/>
                <w:i w:val="0"/>
                <w:color w:val="000000"/>
                <w:sz w:val="18"/>
              </w:rPr>
              <w:t>水文资料整编成果系统错误率/特征值错误率/数字错误率</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2045A1EE">
            <w:pPr>
              <w:spacing w:before="0" w:after="0" w:line="240" w:lineRule="auto"/>
              <w:jc w:val="center"/>
            </w:pPr>
            <w:r>
              <w:rPr>
                <w:rFonts w:ascii="宋体" w:hAnsi="宋体" w:eastAsia="宋体"/>
                <w:b w:val="0"/>
                <w:i w:val="0"/>
                <w:sz w:val="18"/>
              </w:rPr>
              <w:t>7</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AB739">
            <w:pPr>
              <w:spacing w:before="0" w:after="0" w:line="240" w:lineRule="auto"/>
              <w:jc w:val="center"/>
            </w:pPr>
            <w:r>
              <w:rPr>
                <w:rFonts w:ascii="宋体" w:hAnsi="宋体" w:eastAsia="宋体"/>
                <w:b w:val="0"/>
                <w:i w:val="0"/>
                <w:sz w:val="18"/>
              </w:rPr>
              <w:t>&lt;=10%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3170228B">
            <w:pPr>
              <w:spacing w:before="0" w:after="0" w:line="240" w:lineRule="auto"/>
              <w:jc w:val="center"/>
            </w:pPr>
            <w:r>
              <w:rPr>
                <w:rFonts w:ascii="宋体" w:hAnsi="宋体" w:eastAsia="宋体"/>
                <w:b w:val="0"/>
                <w:i w:val="0"/>
                <w:sz w:val="18"/>
              </w:rPr>
              <w:t>=10%</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8C0D1">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5EDE4222">
            <w:pPr>
              <w:spacing w:before="0" w:after="0" w:line="240" w:lineRule="auto"/>
              <w:jc w:val="center"/>
            </w:pPr>
            <w:r>
              <w:rPr>
                <w:rFonts w:ascii="宋体" w:hAnsi="宋体" w:eastAsia="宋体"/>
                <w:b w:val="0"/>
                <w:i w:val="0"/>
                <w:sz w:val="18"/>
              </w:rPr>
              <w:t>7</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19BDD48F">
            <w:pPr>
              <w:spacing w:before="0" w:after="0" w:line="240" w:lineRule="auto"/>
              <w:jc w:val="center"/>
            </w:pPr>
            <w:r>
              <w:rPr>
                <w:rFonts w:ascii="宋体" w:hAnsi="宋体" w:eastAsia="宋体"/>
                <w:b w:val="0"/>
                <w:i w:val="0"/>
                <w:sz w:val="18"/>
              </w:rPr>
              <w:t>计划标准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775847E4">
            <w:pPr>
              <w:spacing w:before="0" w:after="0" w:line="240" w:lineRule="auto"/>
              <w:jc w:val="center"/>
            </w:pPr>
            <w:r>
              <w:rPr>
                <w:rFonts w:ascii="宋体" w:hAnsi="宋体" w:eastAsia="宋体"/>
                <w:b w:val="0"/>
                <w:i w:val="0"/>
                <w:sz w:val="18"/>
              </w:rPr>
              <w:t>-</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3460D95C">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0747D7F4">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43E9BA2F">
            <w:pPr>
              <w:spacing w:before="0" w:after="0" w:line="240" w:lineRule="auto"/>
              <w:jc w:val="center"/>
            </w:pPr>
          </w:p>
        </w:tc>
      </w:tr>
      <w:tr w14:paraId="4534D089">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2D291064"/>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5645A5AB"/>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7B6D45C4">
            <w:pPr>
              <w:spacing w:before="0" w:after="0" w:line="240" w:lineRule="auto"/>
              <w:jc w:val="center"/>
            </w:pPr>
            <w:r>
              <w:rPr>
                <w:rFonts w:ascii="宋体" w:hAnsi="宋体" w:eastAsia="宋体"/>
                <w:b w:val="0"/>
                <w:i w:val="0"/>
                <w:sz w:val="18"/>
              </w:rPr>
              <w:t>质量指标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5796CE58">
            <w:pPr>
              <w:spacing w:before="0" w:after="0" w:line="240" w:lineRule="auto"/>
              <w:jc w:val="center"/>
            </w:pPr>
            <w:r>
              <w:rPr>
                <w:rFonts w:ascii="宋体" w:hAnsi="宋体" w:eastAsia="宋体"/>
                <w:b w:val="0"/>
                <w:i w:val="0"/>
                <w:color w:val="000000"/>
                <w:sz w:val="18"/>
              </w:rPr>
              <w:t>水位监测合格率</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2B448D42">
            <w:pPr>
              <w:spacing w:before="0" w:after="0" w:line="240" w:lineRule="auto"/>
              <w:jc w:val="center"/>
            </w:pPr>
            <w:r>
              <w:rPr>
                <w:rFonts w:ascii="宋体" w:hAnsi="宋体" w:eastAsia="宋体"/>
                <w:b w:val="0"/>
                <w:i w:val="0"/>
                <w:sz w:val="18"/>
              </w:rPr>
              <w:t>7</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41399">
            <w:pPr>
              <w:spacing w:before="0" w:after="0" w:line="240" w:lineRule="auto"/>
              <w:jc w:val="center"/>
            </w:pPr>
            <w:r>
              <w:rPr>
                <w:rFonts w:ascii="宋体" w:hAnsi="宋体" w:eastAsia="宋体"/>
                <w:b w:val="0"/>
                <w:i w:val="0"/>
                <w:sz w:val="18"/>
              </w:rPr>
              <w:t>&gt;=90%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00A1F358">
            <w:pPr>
              <w:spacing w:before="0" w:after="0" w:line="240" w:lineRule="auto"/>
              <w:jc w:val="center"/>
            </w:pPr>
            <w:r>
              <w:rPr>
                <w:rFonts w:ascii="宋体" w:hAnsi="宋体" w:eastAsia="宋体"/>
                <w:b w:val="0"/>
                <w:i w:val="0"/>
                <w:sz w:val="18"/>
              </w:rPr>
              <w:t>=100%</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F07C">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697760DB">
            <w:pPr>
              <w:spacing w:before="0" w:after="0" w:line="240" w:lineRule="auto"/>
              <w:jc w:val="center"/>
            </w:pPr>
            <w:r>
              <w:rPr>
                <w:rFonts w:ascii="宋体" w:hAnsi="宋体" w:eastAsia="宋体"/>
                <w:b w:val="0"/>
                <w:i w:val="0"/>
                <w:sz w:val="18"/>
              </w:rPr>
              <w:t>7</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13AD6D14">
            <w:pPr>
              <w:spacing w:before="0" w:after="0" w:line="240" w:lineRule="auto"/>
              <w:jc w:val="center"/>
            </w:pPr>
            <w:r>
              <w:rPr>
                <w:rFonts w:ascii="宋体" w:hAnsi="宋体" w:eastAsia="宋体"/>
                <w:b w:val="0"/>
                <w:i w:val="0"/>
                <w:sz w:val="18"/>
              </w:rPr>
              <w:t>计划标准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19C1B089">
            <w:pPr>
              <w:spacing w:before="0" w:after="0" w:line="240" w:lineRule="auto"/>
              <w:jc w:val="center"/>
            </w:pPr>
            <w:r>
              <w:rPr>
                <w:rFonts w:ascii="宋体" w:hAnsi="宋体" w:eastAsia="宋体"/>
                <w:b w:val="0"/>
                <w:i w:val="0"/>
                <w:sz w:val="18"/>
              </w:rPr>
              <w:t>-</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14653C73">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40927DD9">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63D81F00">
            <w:pPr>
              <w:spacing w:before="0" w:after="0" w:line="240" w:lineRule="auto"/>
              <w:jc w:val="center"/>
            </w:pPr>
          </w:p>
        </w:tc>
      </w:tr>
      <w:tr w14:paraId="4DD0AFF6">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5B8F117B"/>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07F16D5D"/>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4F7A07FC">
            <w:pPr>
              <w:spacing w:before="0" w:after="0" w:line="240" w:lineRule="auto"/>
              <w:jc w:val="center"/>
            </w:pPr>
            <w:r>
              <w:rPr>
                <w:rFonts w:ascii="宋体" w:hAnsi="宋体" w:eastAsia="宋体"/>
                <w:b w:val="0"/>
                <w:i w:val="0"/>
                <w:sz w:val="18"/>
              </w:rPr>
              <w:t>质量指标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4B4DF28E">
            <w:pPr>
              <w:spacing w:before="0" w:after="0" w:line="240" w:lineRule="auto"/>
              <w:jc w:val="center"/>
            </w:pPr>
            <w:r>
              <w:rPr>
                <w:rFonts w:ascii="宋体" w:hAnsi="宋体" w:eastAsia="宋体"/>
                <w:b w:val="0"/>
                <w:i w:val="0"/>
                <w:color w:val="000000"/>
                <w:sz w:val="18"/>
              </w:rPr>
              <w:t>仪器设备采购合格率</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77965F95">
            <w:pPr>
              <w:spacing w:before="0" w:after="0" w:line="240" w:lineRule="auto"/>
              <w:jc w:val="center"/>
            </w:pPr>
            <w:r>
              <w:rPr>
                <w:rFonts w:ascii="宋体" w:hAnsi="宋体" w:eastAsia="宋体"/>
                <w:b w:val="0"/>
                <w:i w:val="0"/>
                <w:sz w:val="18"/>
              </w:rPr>
              <w:t>7</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9EA99">
            <w:pPr>
              <w:spacing w:before="0" w:after="0" w:line="240" w:lineRule="auto"/>
              <w:jc w:val="center"/>
            </w:pPr>
            <w:r>
              <w:rPr>
                <w:rFonts w:ascii="宋体" w:hAnsi="宋体" w:eastAsia="宋体"/>
                <w:b w:val="0"/>
                <w:i w:val="0"/>
                <w:sz w:val="18"/>
              </w:rPr>
              <w:t>&gt;=90%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300EA633">
            <w:pPr>
              <w:spacing w:before="0" w:after="0" w:line="240" w:lineRule="auto"/>
              <w:jc w:val="center"/>
            </w:pPr>
            <w:r>
              <w:rPr>
                <w:rFonts w:ascii="宋体" w:hAnsi="宋体" w:eastAsia="宋体"/>
                <w:b w:val="0"/>
                <w:i w:val="0"/>
                <w:sz w:val="18"/>
              </w:rPr>
              <w:t>=100%</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7AF4">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3F576F96">
            <w:pPr>
              <w:spacing w:before="0" w:after="0" w:line="240" w:lineRule="auto"/>
              <w:jc w:val="center"/>
            </w:pPr>
            <w:r>
              <w:rPr>
                <w:rFonts w:ascii="宋体" w:hAnsi="宋体" w:eastAsia="宋体"/>
                <w:b w:val="0"/>
                <w:i w:val="0"/>
                <w:sz w:val="18"/>
              </w:rPr>
              <w:t>7</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458D1EDA">
            <w:pPr>
              <w:spacing w:before="0" w:after="0" w:line="240" w:lineRule="auto"/>
              <w:jc w:val="center"/>
            </w:pPr>
            <w:r>
              <w:rPr>
                <w:rFonts w:ascii="宋体" w:hAnsi="宋体" w:eastAsia="宋体"/>
                <w:b w:val="0"/>
                <w:i w:val="0"/>
                <w:sz w:val="18"/>
              </w:rPr>
              <w:t>历史标准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7B45AF1E">
            <w:pPr>
              <w:spacing w:before="0" w:after="0" w:line="240" w:lineRule="auto"/>
              <w:jc w:val="center"/>
            </w:pPr>
            <w:r>
              <w:rPr>
                <w:rFonts w:ascii="宋体" w:hAnsi="宋体" w:eastAsia="宋体"/>
                <w:b w:val="0"/>
                <w:i w:val="0"/>
                <w:sz w:val="18"/>
              </w:rPr>
              <w:t>90%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703A4916">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55AFF580">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617975B8">
            <w:pPr>
              <w:spacing w:before="0" w:after="0" w:line="240" w:lineRule="auto"/>
              <w:jc w:val="center"/>
            </w:pPr>
            <w:r>
              <w:rPr>
                <w:rFonts w:ascii="宋体" w:hAnsi="宋体" w:eastAsia="宋体"/>
                <w:b w:val="0"/>
                <w:i w:val="0"/>
                <w:sz w:val="18"/>
              </w:rPr>
              <w:t>从政府采购平台采购，严把质量关，做到设备采购合格率为100%。</w:t>
            </w:r>
          </w:p>
        </w:tc>
      </w:tr>
      <w:tr w14:paraId="6EFDF0E7">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65FAB93C"/>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6565B412"/>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597CE0AB">
            <w:pPr>
              <w:spacing w:before="0" w:after="0" w:line="240" w:lineRule="auto"/>
              <w:jc w:val="center"/>
            </w:pPr>
            <w:r>
              <w:rPr>
                <w:rFonts w:ascii="宋体" w:hAnsi="宋体" w:eastAsia="宋体"/>
                <w:b w:val="0"/>
                <w:i w:val="0"/>
                <w:sz w:val="18"/>
              </w:rPr>
              <w:t>时效指标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58DE2CED">
            <w:pPr>
              <w:spacing w:before="0" w:after="0" w:line="240" w:lineRule="auto"/>
              <w:jc w:val="center"/>
            </w:pPr>
            <w:r>
              <w:rPr>
                <w:rFonts w:ascii="宋体" w:hAnsi="宋体" w:eastAsia="宋体"/>
                <w:b w:val="0"/>
                <w:i w:val="0"/>
                <w:color w:val="000000"/>
                <w:sz w:val="18"/>
              </w:rPr>
              <w:t>水文资料整编成果及时率</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4069A973">
            <w:pPr>
              <w:spacing w:before="0" w:after="0" w:line="240" w:lineRule="auto"/>
              <w:jc w:val="center"/>
            </w:pPr>
            <w:r>
              <w:rPr>
                <w:rFonts w:ascii="宋体" w:hAnsi="宋体" w:eastAsia="宋体"/>
                <w:b w:val="0"/>
                <w:i w:val="0"/>
                <w:sz w:val="18"/>
              </w:rPr>
              <w:t>6</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43DA8">
            <w:pPr>
              <w:spacing w:before="0" w:after="0" w:line="240" w:lineRule="auto"/>
              <w:jc w:val="center"/>
            </w:pPr>
            <w:r>
              <w:rPr>
                <w:rFonts w:ascii="宋体" w:hAnsi="宋体" w:eastAsia="宋体"/>
                <w:b w:val="0"/>
                <w:i w:val="0"/>
                <w:sz w:val="18"/>
              </w:rPr>
              <w:t>&gt;=95%</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55CF26F4">
            <w:pPr>
              <w:spacing w:before="0" w:after="0" w:line="240" w:lineRule="auto"/>
              <w:jc w:val="center"/>
            </w:pPr>
            <w:r>
              <w:rPr>
                <w:rFonts w:ascii="宋体" w:hAnsi="宋体" w:eastAsia="宋体"/>
                <w:b w:val="0"/>
                <w:i w:val="0"/>
                <w:sz w:val="18"/>
              </w:rPr>
              <w:t>=95%</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F3924">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5775849B">
            <w:pPr>
              <w:spacing w:before="0" w:after="0" w:line="240" w:lineRule="auto"/>
              <w:jc w:val="center"/>
            </w:pPr>
            <w:r>
              <w:rPr>
                <w:rFonts w:ascii="宋体" w:hAnsi="宋体" w:eastAsia="宋体"/>
                <w:b w:val="0"/>
                <w:i w:val="0"/>
                <w:sz w:val="18"/>
              </w:rPr>
              <w:t>6</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28AF2450">
            <w:pPr>
              <w:spacing w:before="0" w:after="0" w:line="240" w:lineRule="auto"/>
              <w:jc w:val="center"/>
            </w:pPr>
            <w:r>
              <w:rPr>
                <w:rFonts w:ascii="宋体" w:hAnsi="宋体" w:eastAsia="宋体"/>
                <w:b w:val="0"/>
                <w:i w:val="0"/>
                <w:sz w:val="18"/>
              </w:rPr>
              <w:t>计划标准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0F1A1BBA">
            <w:pPr>
              <w:spacing w:before="0" w:after="0" w:line="240" w:lineRule="auto"/>
              <w:jc w:val="center"/>
            </w:pPr>
            <w:r>
              <w:rPr>
                <w:rFonts w:ascii="宋体" w:hAnsi="宋体" w:eastAsia="宋体"/>
                <w:b w:val="0"/>
                <w:i w:val="0"/>
                <w:sz w:val="18"/>
              </w:rPr>
              <w:t>-</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2E2EC203">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25A4AADC">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3C33711D">
            <w:pPr>
              <w:spacing w:before="0" w:after="0" w:line="240" w:lineRule="auto"/>
              <w:jc w:val="center"/>
            </w:pPr>
          </w:p>
        </w:tc>
      </w:tr>
      <w:tr w14:paraId="0FC1995B">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7E665E92"/>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13576B7F"/>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29DD02ED">
            <w:pPr>
              <w:spacing w:before="0" w:after="0" w:line="240" w:lineRule="auto"/>
              <w:jc w:val="center"/>
            </w:pPr>
            <w:r>
              <w:rPr>
                <w:rFonts w:ascii="宋体" w:hAnsi="宋体" w:eastAsia="宋体"/>
                <w:b w:val="0"/>
                <w:i w:val="0"/>
                <w:sz w:val="18"/>
              </w:rPr>
              <w:t>时效指标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2BAF9409">
            <w:pPr>
              <w:spacing w:before="0" w:after="0" w:line="240" w:lineRule="auto"/>
              <w:jc w:val="center"/>
            </w:pPr>
            <w:r>
              <w:rPr>
                <w:rFonts w:ascii="宋体" w:hAnsi="宋体" w:eastAsia="宋体"/>
                <w:b w:val="0"/>
                <w:i w:val="0"/>
                <w:color w:val="000000"/>
                <w:sz w:val="18"/>
              </w:rPr>
              <w:t>设施设备采购及时率</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652350DE">
            <w:pPr>
              <w:spacing w:before="0" w:after="0" w:line="240" w:lineRule="auto"/>
              <w:jc w:val="center"/>
            </w:pPr>
            <w:r>
              <w:rPr>
                <w:rFonts w:ascii="宋体" w:hAnsi="宋体" w:eastAsia="宋体"/>
                <w:b w:val="0"/>
                <w:i w:val="0"/>
                <w:sz w:val="18"/>
              </w:rPr>
              <w:t>6</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E84DC">
            <w:pPr>
              <w:spacing w:before="0" w:after="0" w:line="240" w:lineRule="auto"/>
              <w:jc w:val="center"/>
            </w:pPr>
            <w:r>
              <w:rPr>
                <w:rFonts w:ascii="宋体" w:hAnsi="宋体" w:eastAsia="宋体"/>
                <w:b w:val="0"/>
                <w:i w:val="0"/>
                <w:sz w:val="18"/>
              </w:rPr>
              <w:t>&gt;=90%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17E41E49">
            <w:pPr>
              <w:spacing w:before="0" w:after="0" w:line="240" w:lineRule="auto"/>
              <w:jc w:val="center"/>
            </w:pPr>
            <w:r>
              <w:rPr>
                <w:rFonts w:ascii="宋体" w:hAnsi="宋体" w:eastAsia="宋体"/>
                <w:b w:val="0"/>
                <w:i w:val="0"/>
                <w:sz w:val="18"/>
              </w:rPr>
              <w:t>=100%</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C573F">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46A3B71A">
            <w:pPr>
              <w:spacing w:before="0" w:after="0" w:line="240" w:lineRule="auto"/>
              <w:jc w:val="center"/>
            </w:pPr>
            <w:r>
              <w:rPr>
                <w:rFonts w:ascii="宋体" w:hAnsi="宋体" w:eastAsia="宋体"/>
                <w:b w:val="0"/>
                <w:i w:val="0"/>
                <w:sz w:val="18"/>
              </w:rPr>
              <w:t>6</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2C49D64B">
            <w:pPr>
              <w:spacing w:before="0" w:after="0" w:line="240" w:lineRule="auto"/>
              <w:jc w:val="center"/>
            </w:pPr>
            <w:r>
              <w:rPr>
                <w:rFonts w:ascii="宋体" w:hAnsi="宋体" w:eastAsia="宋体"/>
                <w:b w:val="0"/>
                <w:i w:val="0"/>
                <w:sz w:val="18"/>
              </w:rPr>
              <w:t>计划标准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701213E9">
            <w:pPr>
              <w:spacing w:before="0" w:after="0" w:line="240" w:lineRule="auto"/>
              <w:jc w:val="center"/>
            </w:pPr>
            <w:r>
              <w:rPr>
                <w:rFonts w:ascii="宋体" w:hAnsi="宋体" w:eastAsia="宋体"/>
                <w:b w:val="0"/>
                <w:i w:val="0"/>
                <w:sz w:val="18"/>
              </w:rPr>
              <w:t>-</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28FC5D23">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2BB37C10">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7ACC2CF2">
            <w:pPr>
              <w:spacing w:before="0" w:after="0" w:line="240" w:lineRule="auto"/>
              <w:jc w:val="center"/>
            </w:pPr>
          </w:p>
        </w:tc>
      </w:tr>
      <w:tr w14:paraId="3B997748">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740E1E36"/>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33D7188D"/>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077981C3">
            <w:pPr>
              <w:spacing w:before="0" w:after="0" w:line="240" w:lineRule="auto"/>
              <w:jc w:val="center"/>
            </w:pPr>
            <w:r>
              <w:rPr>
                <w:rFonts w:ascii="宋体" w:hAnsi="宋体" w:eastAsia="宋体"/>
                <w:b w:val="0"/>
                <w:i w:val="0"/>
                <w:sz w:val="18"/>
              </w:rPr>
              <w:t>时效指标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588FA22A">
            <w:pPr>
              <w:spacing w:before="0" w:after="0" w:line="240" w:lineRule="auto"/>
              <w:jc w:val="center"/>
            </w:pPr>
            <w:r>
              <w:rPr>
                <w:rFonts w:ascii="宋体" w:hAnsi="宋体" w:eastAsia="宋体"/>
                <w:b w:val="0"/>
                <w:i w:val="0"/>
                <w:color w:val="000000"/>
                <w:sz w:val="18"/>
              </w:rPr>
              <w:t>水位监测及时率</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1DC28729">
            <w:pPr>
              <w:spacing w:before="0" w:after="0" w:line="240" w:lineRule="auto"/>
              <w:jc w:val="center"/>
            </w:pPr>
            <w:r>
              <w:rPr>
                <w:rFonts w:ascii="宋体" w:hAnsi="宋体" w:eastAsia="宋体"/>
                <w:b w:val="0"/>
                <w:i w:val="0"/>
                <w:sz w:val="18"/>
              </w:rPr>
              <w:t>6</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0087C">
            <w:pPr>
              <w:spacing w:before="0" w:after="0" w:line="240" w:lineRule="auto"/>
              <w:jc w:val="center"/>
            </w:pPr>
            <w:r>
              <w:rPr>
                <w:rFonts w:ascii="宋体" w:hAnsi="宋体" w:eastAsia="宋体"/>
                <w:b w:val="0"/>
                <w:i w:val="0"/>
                <w:sz w:val="18"/>
              </w:rPr>
              <w:t>&gt;=90%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1EC31503">
            <w:pPr>
              <w:spacing w:before="0" w:after="0" w:line="240" w:lineRule="auto"/>
              <w:jc w:val="center"/>
            </w:pPr>
            <w:r>
              <w:rPr>
                <w:rFonts w:ascii="宋体" w:hAnsi="宋体" w:eastAsia="宋体"/>
                <w:b w:val="0"/>
                <w:i w:val="0"/>
                <w:sz w:val="18"/>
              </w:rPr>
              <w:t>=95%</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BA44E">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2DC239CA">
            <w:pPr>
              <w:spacing w:before="0" w:after="0" w:line="240" w:lineRule="auto"/>
              <w:jc w:val="center"/>
            </w:pPr>
            <w:r>
              <w:rPr>
                <w:rFonts w:ascii="宋体" w:hAnsi="宋体" w:eastAsia="宋体"/>
                <w:b w:val="0"/>
                <w:i w:val="0"/>
                <w:sz w:val="18"/>
              </w:rPr>
              <w:t>6</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6ED3423C">
            <w:pPr>
              <w:spacing w:before="0" w:after="0" w:line="240" w:lineRule="auto"/>
              <w:jc w:val="center"/>
            </w:pPr>
            <w:r>
              <w:rPr>
                <w:rFonts w:ascii="宋体" w:hAnsi="宋体" w:eastAsia="宋体"/>
                <w:b w:val="0"/>
                <w:i w:val="0"/>
                <w:sz w:val="18"/>
              </w:rPr>
              <w:t>计划标准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46313BBC">
            <w:pPr>
              <w:spacing w:before="0" w:after="0" w:line="240" w:lineRule="auto"/>
              <w:jc w:val="center"/>
            </w:pPr>
            <w:r>
              <w:rPr>
                <w:rFonts w:ascii="宋体" w:hAnsi="宋体" w:eastAsia="宋体"/>
                <w:b w:val="0"/>
                <w:i w:val="0"/>
                <w:sz w:val="18"/>
              </w:rPr>
              <w:t>_</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129F03AC">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163D5E36">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3CC3432C">
            <w:pPr>
              <w:spacing w:before="0" w:after="0" w:line="240" w:lineRule="auto"/>
              <w:jc w:val="center"/>
            </w:pPr>
            <w:r>
              <w:rPr>
                <w:rFonts w:ascii="宋体" w:hAnsi="宋体" w:eastAsia="宋体"/>
                <w:b w:val="0"/>
                <w:i w:val="0"/>
                <w:sz w:val="18"/>
              </w:rPr>
              <w:t>狠抓业务能力和对工作的高度重视意识，加强监督。故水文监测及时率提高。</w:t>
            </w:r>
          </w:p>
        </w:tc>
      </w:tr>
      <w:tr w14:paraId="2A76166B">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48B37B3E"/>
        </w:tc>
        <w:tc>
          <w:tcPr>
            <w:tcW w:w="26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736E1">
            <w:pPr>
              <w:spacing w:before="0" w:after="0" w:line="240" w:lineRule="auto"/>
              <w:jc w:val="center"/>
            </w:pPr>
            <w:r>
              <w:rPr>
                <w:rFonts w:ascii="宋体" w:hAnsi="宋体" w:eastAsia="宋体"/>
                <w:b w:val="0"/>
                <w:i w:val="0"/>
                <w:sz w:val="18"/>
              </w:rPr>
              <w:t>成本指标</w:t>
            </w:r>
          </w:p>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7680B9A2">
            <w:pPr>
              <w:spacing w:before="0" w:after="0" w:line="240" w:lineRule="auto"/>
              <w:jc w:val="center"/>
            </w:pPr>
            <w:r>
              <w:rPr>
                <w:rFonts w:ascii="宋体" w:hAnsi="宋体" w:eastAsia="宋体"/>
                <w:b w:val="0"/>
                <w:i w:val="0"/>
                <w:sz w:val="18"/>
              </w:rPr>
              <w:t>经济成本指标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71BFC130">
            <w:pPr>
              <w:spacing w:before="0" w:after="0" w:line="240" w:lineRule="auto"/>
              <w:jc w:val="center"/>
            </w:pPr>
            <w:r>
              <w:rPr>
                <w:rFonts w:ascii="宋体" w:hAnsi="宋体" w:eastAsia="宋体"/>
                <w:b w:val="0"/>
                <w:i w:val="0"/>
                <w:color w:val="000000"/>
                <w:sz w:val="18"/>
              </w:rPr>
              <w:t>采购设备支出费用</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2D9CE0F1">
            <w:pPr>
              <w:spacing w:before="0" w:after="0" w:line="240" w:lineRule="auto"/>
              <w:jc w:val="center"/>
            </w:pPr>
            <w:r>
              <w:rPr>
                <w:rFonts w:ascii="宋体" w:hAnsi="宋体" w:eastAsia="宋体"/>
                <w:b w:val="0"/>
                <w:i w:val="0"/>
                <w:sz w:val="18"/>
              </w:rPr>
              <w:t>10</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101C8">
            <w:pPr>
              <w:spacing w:before="0" w:after="0" w:line="240" w:lineRule="auto"/>
              <w:jc w:val="center"/>
            </w:pPr>
            <w:r>
              <w:rPr>
                <w:rFonts w:ascii="宋体" w:hAnsi="宋体" w:eastAsia="宋体"/>
                <w:b w:val="0"/>
                <w:i w:val="0"/>
                <w:sz w:val="18"/>
              </w:rPr>
              <w:t>&lt;=4.09万元</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1030DEAA">
            <w:pPr>
              <w:spacing w:before="0" w:after="0" w:line="240" w:lineRule="auto"/>
              <w:jc w:val="center"/>
            </w:pPr>
            <w:r>
              <w:rPr>
                <w:rFonts w:ascii="宋体" w:hAnsi="宋体" w:eastAsia="宋体"/>
                <w:b w:val="0"/>
                <w:i w:val="0"/>
                <w:sz w:val="18"/>
              </w:rPr>
              <w:t>=4.09万元</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E61FB">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0287DC8E">
            <w:pPr>
              <w:spacing w:before="0" w:after="0" w:line="240" w:lineRule="auto"/>
              <w:jc w:val="center"/>
            </w:pPr>
            <w:r>
              <w:rPr>
                <w:rFonts w:ascii="宋体" w:hAnsi="宋体" w:eastAsia="宋体"/>
                <w:b w:val="0"/>
                <w:i w:val="0"/>
                <w:sz w:val="18"/>
              </w:rPr>
              <w:t>10</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47094B9C">
            <w:pPr>
              <w:spacing w:before="0" w:after="0" w:line="240" w:lineRule="auto"/>
              <w:jc w:val="center"/>
            </w:pPr>
            <w:r>
              <w:rPr>
                <w:rFonts w:ascii="宋体" w:hAnsi="宋体" w:eastAsia="宋体"/>
                <w:b w:val="0"/>
                <w:i w:val="0"/>
                <w:sz w:val="18"/>
              </w:rPr>
              <w:t>历史标准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542EF8FC">
            <w:pPr>
              <w:spacing w:before="0" w:after="0" w:line="240" w:lineRule="auto"/>
              <w:jc w:val="center"/>
            </w:pPr>
            <w:r>
              <w:rPr>
                <w:rFonts w:ascii="宋体" w:hAnsi="宋体" w:eastAsia="宋体"/>
                <w:b w:val="0"/>
                <w:i w:val="0"/>
                <w:sz w:val="18"/>
              </w:rPr>
              <w:t>=0.312万元</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73054F36">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46291C1A">
            <w:pPr>
              <w:spacing w:before="0" w:after="0" w:line="240" w:lineRule="auto"/>
              <w:jc w:val="center"/>
            </w:pPr>
            <w:r>
              <w:rPr>
                <w:rFonts w:ascii="宋体" w:hAnsi="宋体" w:eastAsia="宋体"/>
                <w:b w:val="0"/>
                <w:i w:val="0"/>
                <w:sz w:val="18"/>
              </w:rPr>
              <w:t>原始凭证</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469EE8A3">
            <w:pPr>
              <w:spacing w:before="0" w:after="0" w:line="240" w:lineRule="auto"/>
              <w:jc w:val="center"/>
            </w:pPr>
          </w:p>
        </w:tc>
      </w:tr>
      <w:tr w14:paraId="7E89525D">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047EEC44"/>
        </w:tc>
        <w:tc>
          <w:tcPr>
            <w:tcW w:w="260" w:type="pct"/>
            <w:vMerge w:val="continue"/>
            <w:tcBorders>
              <w:top w:val="single" w:color="auto" w:sz="10" w:space="0"/>
              <w:left w:val="single" w:color="auto" w:sz="10" w:space="0"/>
              <w:bottom w:val="single" w:color="auto" w:sz="10" w:space="0"/>
              <w:right w:val="single" w:color="auto" w:sz="10" w:space="0"/>
              <w:insideV w:val="single" w:sz="10" w:space="0"/>
            </w:tcBorders>
          </w:tcPr>
          <w:p w14:paraId="798C56DF"/>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0F1394AE">
            <w:pPr>
              <w:spacing w:before="0" w:after="0" w:line="240" w:lineRule="auto"/>
              <w:jc w:val="center"/>
            </w:pPr>
            <w:r>
              <w:rPr>
                <w:rFonts w:ascii="宋体" w:hAnsi="宋体" w:eastAsia="宋体"/>
                <w:b w:val="0"/>
                <w:i w:val="0"/>
                <w:sz w:val="18"/>
              </w:rPr>
              <w:t>经济成本指标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52FFF5C0">
            <w:pPr>
              <w:spacing w:before="0" w:after="0" w:line="240" w:lineRule="auto"/>
              <w:jc w:val="center"/>
            </w:pPr>
            <w:r>
              <w:rPr>
                <w:rFonts w:ascii="宋体" w:hAnsi="宋体" w:eastAsia="宋体"/>
                <w:b w:val="0"/>
                <w:i w:val="0"/>
                <w:color w:val="000000"/>
                <w:sz w:val="18"/>
              </w:rPr>
              <w:t>水文测站工作经费支出</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044679D7">
            <w:pPr>
              <w:spacing w:before="0" w:after="0" w:line="240" w:lineRule="auto"/>
              <w:jc w:val="center"/>
            </w:pPr>
            <w:r>
              <w:rPr>
                <w:rFonts w:ascii="宋体" w:hAnsi="宋体" w:eastAsia="宋体"/>
                <w:b w:val="0"/>
                <w:i w:val="0"/>
                <w:sz w:val="18"/>
              </w:rPr>
              <w:t>10</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169F1">
            <w:pPr>
              <w:spacing w:before="0" w:after="0" w:line="240" w:lineRule="auto"/>
              <w:jc w:val="center"/>
            </w:pPr>
            <w:r>
              <w:rPr>
                <w:rFonts w:ascii="宋体" w:hAnsi="宋体" w:eastAsia="宋体"/>
                <w:b w:val="0"/>
                <w:i w:val="0"/>
                <w:sz w:val="18"/>
              </w:rPr>
              <w:t>&lt;=15.41万元</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3188CED3">
            <w:pPr>
              <w:spacing w:before="0" w:after="0" w:line="240" w:lineRule="auto"/>
              <w:jc w:val="center"/>
            </w:pPr>
            <w:r>
              <w:rPr>
                <w:rFonts w:ascii="宋体" w:hAnsi="宋体" w:eastAsia="宋体"/>
                <w:b w:val="0"/>
                <w:i w:val="0"/>
                <w:sz w:val="18"/>
              </w:rPr>
              <w:t>=15.41万元</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7C87A">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508E4ADB">
            <w:pPr>
              <w:spacing w:before="0" w:after="0" w:line="240" w:lineRule="auto"/>
              <w:jc w:val="center"/>
            </w:pPr>
            <w:r>
              <w:rPr>
                <w:rFonts w:ascii="宋体" w:hAnsi="宋体" w:eastAsia="宋体"/>
                <w:b w:val="0"/>
                <w:i w:val="0"/>
                <w:sz w:val="18"/>
              </w:rPr>
              <w:t>10</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0B4CC0B7">
            <w:pPr>
              <w:spacing w:before="0" w:after="0" w:line="240" w:lineRule="auto"/>
              <w:jc w:val="center"/>
            </w:pPr>
            <w:r>
              <w:rPr>
                <w:rFonts w:ascii="宋体" w:hAnsi="宋体" w:eastAsia="宋体"/>
                <w:b w:val="0"/>
                <w:i w:val="0"/>
                <w:sz w:val="18"/>
              </w:rPr>
              <w:t>历史标准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1120E6A2">
            <w:pPr>
              <w:spacing w:before="0" w:after="0" w:line="240" w:lineRule="auto"/>
              <w:jc w:val="center"/>
            </w:pPr>
            <w:r>
              <w:rPr>
                <w:rFonts w:ascii="宋体" w:hAnsi="宋体" w:eastAsia="宋体"/>
                <w:b w:val="0"/>
                <w:i w:val="0"/>
                <w:sz w:val="18"/>
              </w:rPr>
              <w:t>15.18万元</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7745AE5A">
            <w:pPr>
              <w:spacing w:before="0" w:after="0" w:line="240" w:lineRule="auto"/>
              <w:jc w:val="center"/>
            </w:pPr>
            <w:r>
              <w:rPr>
                <w:rFonts w:ascii="宋体" w:hAnsi="宋体" w:eastAsia="宋体"/>
                <w:b w:val="0"/>
                <w:i w:val="0"/>
                <w:sz w:val="18"/>
              </w:rPr>
              <w:t>按照完成比例赋分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7089928A">
            <w:pPr>
              <w:spacing w:before="0" w:after="0" w:line="240" w:lineRule="auto"/>
              <w:jc w:val="center"/>
            </w:pPr>
            <w:r>
              <w:rPr>
                <w:rFonts w:ascii="宋体" w:hAnsi="宋体" w:eastAsia="宋体"/>
                <w:b w:val="0"/>
                <w:i w:val="0"/>
                <w:sz w:val="18"/>
              </w:rPr>
              <w:t>原始凭证</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4E00124F">
            <w:pPr>
              <w:spacing w:before="0" w:after="0" w:line="240" w:lineRule="auto"/>
              <w:jc w:val="center"/>
            </w:pPr>
          </w:p>
        </w:tc>
      </w:tr>
      <w:tr w14:paraId="6DD0916D">
        <w:tblPrEx>
          <w:tblCellMar>
            <w:top w:w="36" w:type="dxa"/>
            <w:left w:w="36" w:type="dxa"/>
            <w:bottom w:w="36" w:type="dxa"/>
            <w:right w:w="36" w:type="dxa"/>
          </w:tblCellMar>
        </w:tblPrEx>
        <w:trPr>
          <w:trHeight w:val="380" w:hRule="atLeast"/>
        </w:trPr>
        <w:tc>
          <w:tcPr>
            <w:tcW w:w="172" w:type="pct"/>
            <w:vMerge w:val="continue"/>
            <w:tcBorders>
              <w:top w:val="single" w:color="auto" w:sz="10" w:space="0"/>
              <w:left w:val="single" w:color="auto" w:sz="10" w:space="0"/>
              <w:bottom w:val="single" w:color="auto" w:sz="10" w:space="0"/>
              <w:right w:val="single" w:color="auto" w:sz="10" w:space="0"/>
              <w:insideV w:val="single" w:sz="10" w:space="0"/>
            </w:tcBorders>
          </w:tcPr>
          <w:p w14:paraId="55810B53"/>
        </w:tc>
        <w:tc>
          <w:tcPr>
            <w:tcW w:w="260" w:type="pct"/>
            <w:tcBorders>
              <w:top w:val="single" w:color="auto" w:sz="10" w:space="0"/>
              <w:left w:val="single" w:color="auto" w:sz="10" w:space="0"/>
              <w:bottom w:val="single" w:color="auto" w:sz="10" w:space="0"/>
              <w:right w:val="single" w:color="auto" w:sz="10" w:space="0"/>
              <w:insideV w:val="single" w:sz="10" w:space="0"/>
            </w:tcBorders>
            <w:vAlign w:val="center"/>
          </w:tcPr>
          <w:p w14:paraId="40C52D1B">
            <w:pPr>
              <w:spacing w:before="0" w:after="0" w:line="240" w:lineRule="auto"/>
              <w:jc w:val="center"/>
            </w:pPr>
            <w:r>
              <w:rPr>
                <w:rFonts w:ascii="宋体" w:hAnsi="宋体" w:eastAsia="宋体"/>
                <w:b w:val="0"/>
                <w:i w:val="0"/>
                <w:sz w:val="18"/>
              </w:rPr>
              <w:t>效益指标</w:t>
            </w:r>
          </w:p>
        </w:tc>
        <w:tc>
          <w:tcPr>
            <w:tcW w:w="257" w:type="pct"/>
            <w:tcBorders>
              <w:top w:val="single" w:color="auto" w:sz="10" w:space="0"/>
              <w:left w:val="single" w:color="auto" w:sz="10" w:space="0"/>
              <w:bottom w:val="single" w:color="auto" w:sz="10" w:space="0"/>
              <w:right w:val="single" w:color="auto" w:sz="10" w:space="0"/>
              <w:insideV w:val="single" w:sz="10" w:space="0"/>
            </w:tcBorders>
            <w:vAlign w:val="center"/>
          </w:tcPr>
          <w:p w14:paraId="173C6E08">
            <w:pPr>
              <w:spacing w:before="0" w:after="0" w:line="240" w:lineRule="auto"/>
              <w:jc w:val="center"/>
            </w:pPr>
            <w:r>
              <w:rPr>
                <w:rFonts w:ascii="宋体" w:hAnsi="宋体" w:eastAsia="宋体"/>
                <w:b w:val="0"/>
                <w:i w:val="0"/>
                <w:sz w:val="18"/>
              </w:rPr>
              <w:t>社会效益指标</w:t>
            </w:r>
          </w:p>
        </w:tc>
        <w:tc>
          <w:tcPr>
            <w:tcW w:w="443" w:type="pct"/>
            <w:tcBorders>
              <w:top w:val="single" w:color="auto" w:sz="10" w:space="0"/>
              <w:left w:val="single" w:color="auto" w:sz="10" w:space="0"/>
              <w:bottom w:val="single" w:color="auto" w:sz="10" w:space="0"/>
              <w:right w:val="single" w:color="auto" w:sz="10" w:space="0"/>
              <w:insideV w:val="single" w:sz="10" w:space="0"/>
            </w:tcBorders>
            <w:vAlign w:val="center"/>
          </w:tcPr>
          <w:p w14:paraId="5128A144">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173F8CF7">
            <w:pPr>
              <w:spacing w:before="0" w:after="0" w:line="240" w:lineRule="auto"/>
              <w:jc w:val="center"/>
            </w:pPr>
            <w:r>
              <w:rPr>
                <w:rFonts w:ascii="宋体" w:hAnsi="宋体" w:eastAsia="宋体"/>
                <w:b w:val="0"/>
                <w:i w:val="0"/>
                <w:sz w:val="18"/>
              </w:rPr>
              <w:t>10</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225A">
            <w:pPr>
              <w:spacing w:before="0" w:after="0" w:line="240" w:lineRule="auto"/>
              <w:jc w:val="center"/>
            </w:pPr>
            <w:r>
              <w:rPr>
                <w:rFonts w:ascii="宋体" w:hAnsi="宋体" w:eastAsia="宋体"/>
                <w:b w:val="0"/>
                <w:i w:val="0"/>
                <w:sz w:val="18"/>
              </w:rPr>
              <w:t>有效提供</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4DEEA67A">
            <w:pPr>
              <w:spacing w:before="0" w:after="0" w:line="240" w:lineRule="auto"/>
              <w:jc w:val="center"/>
            </w:pPr>
            <w:r>
              <w:rPr>
                <w:rFonts w:ascii="宋体" w:hAnsi="宋体" w:eastAsia="宋体"/>
                <w:b w:val="0"/>
                <w:i w:val="0"/>
                <w:sz w:val="18"/>
              </w:rPr>
              <w:t>有效提供</w:t>
            </w: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D10B0">
            <w:pPr>
              <w:spacing w:before="0" w:after="0" w:line="240" w:lineRule="auto"/>
              <w:jc w:val="center"/>
            </w:pPr>
            <w:r>
              <w:rPr>
                <w:rFonts w:ascii="宋体" w:hAnsi="宋体" w:eastAsia="宋体"/>
                <w:b w:val="0"/>
                <w:i w:val="0"/>
                <w:sz w:val="18"/>
              </w:rPr>
              <w:t>100%</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519ECF94">
            <w:pPr>
              <w:spacing w:before="0" w:after="0" w:line="240" w:lineRule="auto"/>
              <w:jc w:val="center"/>
            </w:pPr>
            <w:r>
              <w:rPr>
                <w:rFonts w:ascii="宋体" w:hAnsi="宋体" w:eastAsia="宋体"/>
                <w:b w:val="0"/>
                <w:i w:val="0"/>
                <w:sz w:val="18"/>
              </w:rPr>
              <w:t>10</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78F1D419">
            <w:pPr>
              <w:spacing w:before="0" w:after="0" w:line="240" w:lineRule="auto"/>
              <w:jc w:val="center"/>
            </w:pPr>
            <w:r>
              <w:rPr>
                <w:rFonts w:ascii="宋体" w:hAnsi="宋体" w:eastAsia="宋体"/>
                <w:b w:val="0"/>
                <w:i w:val="0"/>
                <w:sz w:val="18"/>
              </w:rPr>
              <w:t>计划标准</w:t>
            </w: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76F2E823">
            <w:pPr>
              <w:spacing w:before="0" w:after="0" w:line="240" w:lineRule="auto"/>
              <w:jc w:val="center"/>
            </w:pPr>
            <w:r>
              <w:rPr>
                <w:rFonts w:ascii="宋体" w:hAnsi="宋体" w:eastAsia="宋体"/>
                <w:b w:val="0"/>
                <w:i w:val="0"/>
                <w:sz w:val="18"/>
              </w:rPr>
              <w:t>-</w:t>
            </w: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55F35307">
            <w:pPr>
              <w:spacing w:before="0" w:after="0" w:line="240" w:lineRule="auto"/>
              <w:jc w:val="center"/>
            </w:pPr>
            <w:r>
              <w:rPr>
                <w:rFonts w:ascii="宋体" w:hAnsi="宋体" w:eastAsia="宋体"/>
                <w:b w:val="0"/>
                <w:i w:val="0"/>
                <w:sz w:val="18"/>
              </w:rPr>
              <w:t>按评判等级赋分</w:t>
            </w: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0CAFCD7A">
            <w:pPr>
              <w:spacing w:before="0" w:after="0" w:line="240" w:lineRule="auto"/>
              <w:jc w:val="center"/>
            </w:pPr>
            <w:r>
              <w:rPr>
                <w:rFonts w:ascii="宋体" w:hAnsi="宋体" w:eastAsia="宋体"/>
                <w:b w:val="0"/>
                <w:i w:val="0"/>
                <w:sz w:val="18"/>
              </w:rPr>
              <w:t>工作资料</w:t>
            </w: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353024DE">
            <w:pPr>
              <w:spacing w:before="0" w:after="0" w:line="240" w:lineRule="auto"/>
              <w:jc w:val="center"/>
            </w:pPr>
          </w:p>
        </w:tc>
      </w:tr>
      <w:tr w14:paraId="0FBB4E6E">
        <w:tblPrEx>
          <w:tblCellMar>
            <w:top w:w="36" w:type="dxa"/>
            <w:left w:w="36" w:type="dxa"/>
            <w:bottom w:w="36" w:type="dxa"/>
            <w:right w:w="36" w:type="dxa"/>
          </w:tblCellMar>
        </w:tblPrEx>
        <w:trPr>
          <w:trHeight w:val="380" w:hRule="atLeast"/>
        </w:trPr>
        <w:tc>
          <w:tcPr>
            <w:tcW w:w="1133"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23A225">
            <w:pPr>
              <w:spacing w:before="0" w:after="0" w:line="240" w:lineRule="auto"/>
              <w:jc w:val="center"/>
            </w:pPr>
            <w:r>
              <w:rPr>
                <w:rFonts w:ascii="宋体" w:hAnsi="宋体" w:eastAsia="宋体"/>
                <w:b/>
                <w:i w:val="0"/>
                <w:color w:val="000000"/>
                <w:sz w:val="18"/>
              </w:rPr>
              <w:t>总分</w:t>
            </w:r>
          </w:p>
        </w:tc>
        <w:tc>
          <w:tcPr>
            <w:tcW w:w="314" w:type="pct"/>
            <w:tcBorders>
              <w:top w:val="single" w:color="auto" w:sz="10" w:space="0"/>
              <w:left w:val="single" w:color="auto" w:sz="10" w:space="0"/>
              <w:bottom w:val="single" w:color="auto" w:sz="10" w:space="0"/>
              <w:right w:val="single" w:color="auto" w:sz="10" w:space="0"/>
              <w:insideV w:val="single" w:sz="10" w:space="0"/>
            </w:tcBorders>
            <w:vAlign w:val="center"/>
          </w:tcPr>
          <w:p w14:paraId="7CFE13CE">
            <w:pPr>
              <w:spacing w:before="0" w:after="0" w:line="240" w:lineRule="auto"/>
              <w:jc w:val="center"/>
            </w:pPr>
            <w:r>
              <w:rPr>
                <w:rFonts w:ascii="宋体" w:hAnsi="宋体" w:eastAsia="宋体"/>
                <w:b w:val="0"/>
                <w:i w:val="0"/>
                <w:color w:val="000000"/>
                <w:sz w:val="18"/>
              </w:rPr>
              <w:t>100</w:t>
            </w:r>
          </w:p>
        </w:tc>
        <w:tc>
          <w:tcPr>
            <w:tcW w:w="42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58994">
            <w:pPr>
              <w:spacing w:before="0" w:after="0" w:line="240" w:lineRule="auto"/>
              <w:jc w:val="center"/>
            </w:pP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6A7C0C5C">
            <w:pPr>
              <w:spacing w:before="0" w:after="0" w:line="240" w:lineRule="auto"/>
              <w:jc w:val="center"/>
            </w:pPr>
          </w:p>
        </w:tc>
        <w:tc>
          <w:tcPr>
            <w:tcW w:w="260"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C4B0B">
            <w:pPr>
              <w:spacing w:before="0" w:after="0" w:line="240" w:lineRule="auto"/>
              <w:jc w:val="center"/>
            </w:pP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4FEE9D2B">
            <w:pPr>
              <w:spacing w:before="0" w:after="0" w:line="240" w:lineRule="auto"/>
              <w:jc w:val="center"/>
            </w:pPr>
            <w:r>
              <w:rPr>
                <w:rFonts w:ascii="宋体" w:hAnsi="宋体" w:eastAsia="宋体"/>
                <w:b w:val="0"/>
                <w:i w:val="0"/>
                <w:color w:val="000000"/>
                <w:sz w:val="18"/>
              </w:rPr>
              <w:t>100.00分</w:t>
            </w:r>
          </w:p>
        </w:tc>
        <w:tc>
          <w:tcPr>
            <w:tcW w:w="252" w:type="pct"/>
            <w:tcBorders>
              <w:top w:val="single" w:color="auto" w:sz="10" w:space="0"/>
              <w:left w:val="single" w:color="auto" w:sz="10" w:space="0"/>
              <w:bottom w:val="single" w:color="auto" w:sz="10" w:space="0"/>
              <w:right w:val="single" w:color="auto" w:sz="10" w:space="0"/>
              <w:insideV w:val="single" w:sz="10" w:space="0"/>
            </w:tcBorders>
            <w:vAlign w:val="center"/>
          </w:tcPr>
          <w:p w14:paraId="340F93BE">
            <w:pPr>
              <w:spacing w:before="0" w:after="0" w:line="240" w:lineRule="auto"/>
              <w:jc w:val="center"/>
            </w:pPr>
          </w:p>
        </w:tc>
        <w:tc>
          <w:tcPr>
            <w:tcW w:w="369" w:type="pct"/>
            <w:tcBorders>
              <w:top w:val="single" w:color="auto" w:sz="10" w:space="0"/>
              <w:left w:val="single" w:color="auto" w:sz="10" w:space="0"/>
              <w:bottom w:val="single" w:color="auto" w:sz="10" w:space="0"/>
              <w:right w:val="single" w:color="auto" w:sz="10" w:space="0"/>
              <w:insideV w:val="single" w:sz="10" w:space="0"/>
            </w:tcBorders>
            <w:vAlign w:val="center"/>
          </w:tcPr>
          <w:p w14:paraId="3F24A6F5">
            <w:pPr>
              <w:spacing w:before="0" w:after="0" w:line="240" w:lineRule="auto"/>
              <w:jc w:val="center"/>
            </w:pPr>
          </w:p>
        </w:tc>
        <w:tc>
          <w:tcPr>
            <w:tcW w:w="370" w:type="pct"/>
            <w:tcBorders>
              <w:top w:val="single" w:color="auto" w:sz="10" w:space="0"/>
              <w:left w:val="single" w:color="auto" w:sz="10" w:space="0"/>
              <w:bottom w:val="single" w:color="auto" w:sz="10" w:space="0"/>
              <w:right w:val="single" w:color="auto" w:sz="10" w:space="0"/>
              <w:insideV w:val="single" w:sz="10" w:space="0"/>
            </w:tcBorders>
            <w:vAlign w:val="center"/>
          </w:tcPr>
          <w:p w14:paraId="55CECD69">
            <w:pPr>
              <w:spacing w:before="0" w:after="0" w:line="240" w:lineRule="auto"/>
              <w:jc w:val="center"/>
            </w:pPr>
          </w:p>
        </w:tc>
        <w:tc>
          <w:tcPr>
            <w:tcW w:w="326" w:type="pct"/>
            <w:tcBorders>
              <w:top w:val="single" w:color="auto" w:sz="10" w:space="0"/>
              <w:left w:val="single" w:color="auto" w:sz="10" w:space="0"/>
              <w:bottom w:val="single" w:color="auto" w:sz="10" w:space="0"/>
              <w:right w:val="single" w:color="auto" w:sz="10" w:space="0"/>
              <w:insideV w:val="single" w:sz="10" w:space="0"/>
            </w:tcBorders>
            <w:vAlign w:val="center"/>
          </w:tcPr>
          <w:p w14:paraId="69D006AF">
            <w:pPr>
              <w:spacing w:before="0" w:after="0" w:line="240" w:lineRule="auto"/>
              <w:jc w:val="center"/>
            </w:pPr>
          </w:p>
        </w:tc>
        <w:tc>
          <w:tcPr>
            <w:tcW w:w="810" w:type="pct"/>
            <w:tcBorders>
              <w:top w:val="single" w:color="auto" w:sz="10" w:space="0"/>
              <w:left w:val="single" w:color="auto" w:sz="10" w:space="0"/>
              <w:bottom w:val="single" w:color="auto" w:sz="10" w:space="0"/>
              <w:right w:val="single" w:color="auto" w:sz="10" w:space="0"/>
              <w:insideV w:val="single" w:sz="10" w:space="0"/>
            </w:tcBorders>
            <w:vAlign w:val="center"/>
          </w:tcPr>
          <w:p w14:paraId="1B53D8AA">
            <w:pPr>
              <w:spacing w:before="0" w:after="0" w:line="240" w:lineRule="auto"/>
              <w:jc w:val="center"/>
            </w:pPr>
          </w:p>
        </w:tc>
      </w:tr>
    </w:tbl>
    <w:p w14:paraId="0C1134B8">
      <w:r>
        <w:br w:type="page"/>
      </w:r>
    </w:p>
    <w:p w14:paraId="335E1402">
      <w:pPr>
        <w:sectPr>
          <w:type w:val="continuous"/>
          <w:pgSz w:w="11906" w:h="16838"/>
          <w:pgMar w:top="1440" w:right="1800" w:bottom="1440" w:left="1800" w:header="851" w:footer="992" w:gutter="0"/>
          <w:cols w:space="720" w:num="1"/>
          <w:docGrid w:type="lines" w:linePitch="312" w:charSpace="0"/>
        </w:sectPr>
      </w:pPr>
    </w:p>
    <w:p w14:paraId="7FAB073C">
      <w:pPr>
        <w:spacing w:line="640" w:lineRule="exact"/>
        <w:ind w:firstLine="640"/>
        <w:jc w:val="both"/>
        <w:outlineLvl w:val="2"/>
      </w:pPr>
      <w:r>
        <w:rPr>
          <w:rFonts w:ascii="黑体" w:hAnsi="黑体" w:eastAsia="黑体"/>
          <w:sz w:val="32"/>
        </w:rPr>
        <w:t>十二、其他需说明的事项</w:t>
      </w:r>
    </w:p>
    <w:p w14:paraId="6D6AB34C">
      <w:pPr>
        <w:spacing w:line="580" w:lineRule="exact"/>
        <w:ind w:firstLine="640"/>
        <w:jc w:val="both"/>
      </w:pPr>
      <w:r>
        <w:rPr>
          <w:rFonts w:ascii="仿宋_GB2312" w:hAnsi="仿宋_GB2312" w:eastAsia="仿宋_GB2312"/>
          <w:b w:val="0"/>
          <w:sz w:val="32"/>
        </w:rPr>
        <w:t>本单位无其他需说明的事项。</w:t>
      </w:r>
    </w:p>
    <w:p w14:paraId="497446BA">
      <w:r>
        <w:br w:type="page"/>
      </w:r>
    </w:p>
    <w:p w14:paraId="7A9D8489">
      <w:pPr>
        <w:spacing w:line="600" w:lineRule="exact"/>
        <w:jc w:val="center"/>
        <w:outlineLvl w:val="0"/>
      </w:pPr>
      <w:r>
        <w:rPr>
          <w:rFonts w:ascii="黑体" w:hAnsi="黑体" w:eastAsia="黑体"/>
          <w:sz w:val="32"/>
        </w:rPr>
        <w:t>第三部分 专业名词解释</w:t>
      </w:r>
    </w:p>
    <w:p w14:paraId="7ACC2F4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2601E2D">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B5D0A7">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3D57ED8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934C02E">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3F83B8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7726D21">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67B6DA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8588FDE">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2423111">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5D9E1C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3AE681A4">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D4E3EE9">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5604C8F">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0025A07">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AA7FDE4">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7991C5F">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A59D040">
      <w:r>
        <w:br w:type="page"/>
      </w:r>
    </w:p>
    <w:p w14:paraId="17075560">
      <w:pPr>
        <w:spacing w:line="240" w:lineRule="auto"/>
        <w:jc w:val="center"/>
        <w:outlineLvl w:val="1"/>
      </w:pPr>
      <w:r>
        <w:rPr>
          <w:rFonts w:ascii="黑体" w:hAnsi="黑体" w:eastAsia="黑体"/>
          <w:sz w:val="32"/>
        </w:rPr>
        <w:t>第四部分 部门决算报表（见附表）</w:t>
      </w:r>
    </w:p>
    <w:p w14:paraId="4A2112C7">
      <w:pPr>
        <w:autoSpaceDE w:val="0"/>
        <w:autoSpaceDN w:val="0"/>
        <w:spacing w:line="600" w:lineRule="exact"/>
        <w:ind w:firstLine="640" w:firstLineChars="200"/>
      </w:pPr>
      <w:r>
        <w:rPr>
          <w:rFonts w:ascii="仿宋_GB2312" w:hAnsi="仿宋_GB2312" w:eastAsia="仿宋_GB2312"/>
          <w:b w:val="0"/>
          <w:sz w:val="32"/>
        </w:rPr>
        <w:t>一、《收入支出决算总表》</w:t>
      </w:r>
    </w:p>
    <w:p w14:paraId="14C1E8D1">
      <w:pPr>
        <w:autoSpaceDE w:val="0"/>
        <w:autoSpaceDN w:val="0"/>
        <w:spacing w:line="600" w:lineRule="exact"/>
        <w:ind w:firstLine="640" w:firstLineChars="200"/>
      </w:pPr>
      <w:r>
        <w:rPr>
          <w:rFonts w:ascii="仿宋_GB2312" w:hAnsi="仿宋_GB2312" w:eastAsia="仿宋_GB2312"/>
          <w:b w:val="0"/>
          <w:sz w:val="32"/>
        </w:rPr>
        <w:t>二、《收入决算表》</w:t>
      </w:r>
    </w:p>
    <w:p w14:paraId="45EFCD50">
      <w:pPr>
        <w:autoSpaceDE w:val="0"/>
        <w:autoSpaceDN w:val="0"/>
        <w:spacing w:line="600" w:lineRule="exact"/>
        <w:ind w:firstLine="640" w:firstLineChars="200"/>
      </w:pPr>
      <w:r>
        <w:rPr>
          <w:rFonts w:ascii="仿宋_GB2312" w:hAnsi="仿宋_GB2312" w:eastAsia="仿宋_GB2312"/>
          <w:b w:val="0"/>
          <w:sz w:val="32"/>
        </w:rPr>
        <w:t>三、《支出决算表》</w:t>
      </w:r>
    </w:p>
    <w:p w14:paraId="43F4E22C">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7112436">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BF8B264">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8405624">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DCB63FE">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B238A6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2A12EAE">
      <w:pPr>
        <w:autoSpaceDE w:val="0"/>
        <w:autoSpaceDN w:val="0"/>
        <w:spacing w:line="600" w:lineRule="exact"/>
        <w:ind w:firstLine="640" w:firstLineChars="200"/>
      </w:pPr>
    </w:p>
    <w:p w14:paraId="0F18296D">
      <w:pPr>
        <w:autoSpaceDE w:val="0"/>
        <w:autoSpaceDN w:val="0"/>
        <w:spacing w:line="600" w:lineRule="exact"/>
        <w:ind w:firstLine="640" w:firstLineChars="200"/>
      </w:pPr>
    </w:p>
    <w:p w14:paraId="35DB8EE9">
      <w:pPr>
        <w:autoSpaceDE w:val="0"/>
        <w:autoSpaceDN w:val="0"/>
        <w:spacing w:line="600" w:lineRule="exact"/>
        <w:ind w:firstLine="640" w:firstLineChars="200"/>
      </w:pPr>
    </w:p>
    <w:p w14:paraId="7FECB2AD">
      <w:pPr>
        <w:autoSpaceDE w:val="0"/>
        <w:autoSpaceDN w:val="0"/>
        <w:spacing w:line="600" w:lineRule="exact"/>
        <w:ind w:firstLine="640" w:firstLineChars="200"/>
      </w:pPr>
    </w:p>
    <w:p w14:paraId="4628A749">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B9DB0A-8747-4B7A-A7CC-A3393E5172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74EC99E-4EE7-454B-BED6-A198FE1BEADF}"/>
  </w:font>
  <w:font w:name="仿宋_GB2312">
    <w:panose1 w:val="02010609030101010101"/>
    <w:charset w:val="86"/>
    <w:family w:val="modern"/>
    <w:pitch w:val="default"/>
    <w:sig w:usb0="00000001" w:usb1="080E0000" w:usb2="00000000" w:usb3="00000000" w:csb0="00040000" w:csb1="00000000"/>
    <w:embedRegular r:id="rId3" w:fontKey="{E92EECEB-1EB9-4B43-8F01-156A43ECB6E7}"/>
  </w:font>
  <w:font w:name="楷体_GB2312">
    <w:altName w:val="楷体"/>
    <w:panose1 w:val="00000000000000000000"/>
    <w:charset w:val="00"/>
    <w:family w:val="auto"/>
    <w:pitch w:val="default"/>
    <w:sig w:usb0="00000000" w:usb1="00000000" w:usb2="00000000" w:usb3="00000000" w:csb0="00000000" w:csb1="00000000"/>
    <w:embedRegular r:id="rId4" w:fontKey="{40C0F278-1EF8-47B9-A3F9-659DFE44426F}"/>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86277C"/>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eb2ea5a6-f393-4c10-adad-0d3d389be350</errorID>
      <errorWord>水力水电</errorWord>
      <group>L1_Word</group>
      <groupName>字词问题</groupName>
      <ability>L2_Typo</ability>
      <abilityName>字词错误</abilityName>
      <candidateList>
        <item>水利水电</item>
      </candidateList>
      <explain>存在发音相同字词的误用。</explain>
      <paraID>2C0DB8C5</paraID>
      <start>88</start>
      <end>92</end>
      <status>modified</status>
      <modifiedWord>水利水电</modifiedWord>
      <trackRevisions>false</trackRevisions>
    </reviewItem>
    <reviewItem>
      <errorID>b17a8451-490d-46d1-8abd-602d59bc768b</errorID>
      <errorWord>帐外资产</errorWord>
      <group>L1_Word</group>
      <groupName>字词问题</groupName>
      <ability>L2_Alias</ability>
      <abilityName>也作/曾用词</abilityName>
      <candidateList>
        <item>账外资产</item>
      </candidateList>
      <explain>词汇[帐外资产]为不规范表述或旧称，其规范书面表述为[账外资产]。</explain>
      <paraID>204C4016</paraID>
      <start>108</start>
      <end>112</end>
      <status>modified</status>
      <modifiedWord>账外资产</modifiedWord>
      <trackRevisions>false</trackRevisions>
    </reviewItem>
    <reviewItem>
      <errorID>584788eb-c1a4-4231-9e88-0796c5d4b31c</errorID>
      <errorWord>源</errorWord>
      <group>L1_Word</group>
      <groupName>字词问题</groupName>
      <ability>L2_Typo</ability>
      <abilityName>字词错误</abilityName>
      <candidateList>
        <item>源局</item>
      </candidateList>
      <explain/>
      <paraID>204C4016</paraID>
      <start>136</start>
      <end>137</end>
      <status>ignored</status>
      <modifiedWord/>
      <trackRevisions>false</trackRevisions>
    </reviewItem>
    <reviewItem>
      <errorID>5777cb98-a786-480c-9d0b-c0a9da6277bc</errorID>
      <errorWord>年</errorWord>
      <group>L1_Word</group>
      <groupName>字词问题</groupName>
      <ability>L2_Typo</ability>
      <abilityName>字词错误</abilityName>
      <candidateList>
        <item>年度</item>
      </candidateList>
      <explain/>
      <paraID>51B40B69</paraID>
      <start>73</start>
      <end>74</end>
      <status>ignored</status>
      <modifiedWord/>
      <trackRevisions>false</trackRevisions>
    </reviewItem>
    <reviewItem>
      <errorID>64d5b975-403b-4644-9624-8b0a19432662</errorID>
      <errorWord>2月31日</errorWord>
      <group>L1_Sensitive</group>
      <groupName>敏感问题</groupName>
      <ability>L2_UserSensitive</ability>
      <abilityName>自定义敏感词</abilityName>
      <candidateList/>
      <explain>来自自定义敏感词库。</explain>
      <paraID>173ADEF2</paraID>
      <start>8</start>
      <end>13</end>
      <status>ignored</status>
      <modifiedWord/>
      <trackRevisions>false</trackRevisions>
    </reviewItem>
    <reviewItem>
      <errorID>3c336f50-de95-446c-abfc-a88333152b9b</errorID>
      <errorWord>监控</errorWord>
      <group>L1_Sensitive</group>
      <groupName>敏感问题</groupName>
      <ability>L2_UserSensitive</ability>
      <abilityName>自定义敏感词</abilityName>
      <candidateList/>
      <explain>来自自定义敏感词库。</explain>
      <paraID>561841F8</paraID>
      <start>1090</start>
      <end>1092</end>
      <status>ignored</status>
      <modifiedWord/>
      <trackRevisions>false</trackRevisions>
    </reviewItem>
    <reviewItem>
      <errorID>4243866a-03d8-4817-8014-4cc24a92d813</errorID>
      <errorWord>为</errorWord>
      <group>L1_Word</group>
      <groupName>字词问题</groupName>
      <ability>L2_Typo</ability>
      <abilityName>字词错误</abilityName>
      <candidateList>
        <item>未</item>
      </candidateList>
      <explain/>
      <paraID>561841F8</paraID>
      <start>1117</start>
      <end>1118</end>
      <status>ignored</status>
      <modifiedWord/>
      <trackRevisions>false</trackRevisions>
    </reviewItem>
    <reviewItem>
      <errorID>bcca8f12-c023-4ef6-94cf-2220e6b26e15</errorID>
      <errorWord>为能</errorWord>
      <group>L1_Word</group>
      <groupName>字词问题</groupName>
      <ability>L2_Typo</ability>
      <abilityName>字词错误</abilityName>
      <candidateList>
        <item>未能</item>
      </candidateList>
      <explain/>
      <paraID>561841F8</paraID>
      <start>1134</start>
      <end>1136</end>
      <status>modified</status>
      <modifiedWord>未能</modifiedWord>
      <trackRevisions>false</trackRevisions>
    </reviewItem>
    <reviewItem>
      <errorID>f585d4d5-71db-4365-b614-601dc5491f99</errorID>
      <errorWord>管</errorWord>
      <group>L1_Word</group>
      <groupName>字词问题</groupName>
      <ability>L2_Typo</ability>
      <abilityName>字词错误</abilityName>
      <candidateList>
        <item>管理</item>
      </candidateList>
      <explain/>
      <paraID>561841F8</paraID>
      <start>1260</start>
      <end>1262</end>
      <status>modified</status>
      <modifiedWord>管理</modifiedWord>
      <trackRevisions>false</trackRevisions>
    </reviewItem>
    <reviewItem>
      <errorID>e77e06d3-15ce-466b-ab37-b081a5809bb3</errorID>
      <errorWord>监控</errorWord>
      <group>L1_Sensitive</group>
      <groupName>敏感问题</groupName>
      <ability>L2_UserSensitive</ability>
      <abilityName>自定义敏感词</abilityName>
      <candidateList/>
      <explain>来自自定义敏感词库。</explain>
      <paraID>561841F8</paraID>
      <start>1277</start>
      <end>1279</end>
      <status>ignored</status>
      <modifiedWord/>
      <trackRevisions>false</trackRevisions>
    </reviewItem>
    <reviewItem>
      <errorID>b27bdf2f-ab80-4be7-baee-a09dd48fe039</errorID>
      <errorWord>监控</errorWord>
      <group>L1_Sensitive</group>
      <groupName>敏感问题</groupName>
      <ability>L2_UserSensitive</ability>
      <abilityName>自定义敏感词</abilityName>
      <candidateList/>
      <explain>来自自定义敏感词库。</explain>
      <paraID>561841F8</paraID>
      <start>1351</start>
      <end>1353</end>
      <status>ignored</status>
      <modifiedWord/>
      <trackRevisions>false</trackRevisions>
    </reviewItem>
    <reviewItem>
      <errorID>e74473ed-c6da-491b-bd37-04871cabadd1</errorID>
      <errorWord>监控</errorWord>
      <group>L1_Sensitive</group>
      <groupName>敏感问题</groupName>
      <ability>L2_UserSensitive</ability>
      <abilityName>自定义敏感词</abilityName>
      <candidateList/>
      <explain>来自自定义敏感词库。</explain>
      <paraID>561841F8</paraID>
      <start>1377</start>
      <end>1379</end>
      <status>ignored</status>
      <modifiedWord/>
      <trackRevisions>false</trackRevisions>
    </reviewItem>
    <reviewItem>
      <errorID>8167dfe3-64df-4205-a8ed-c5ff395d9da1</errorID>
      <errorWord>、以及</errorWord>
      <group>L1_Punc</group>
      <groupName>标点问题</groupName>
      <ability>L2_Punc_CN</ability>
      <abilityName>标点符号问题</abilityName>
      <candidateList>
        <item>，以及</item>
      </candidateList>
      <explain>连接词前后不宜使用顿号，建议使用逗号。</explain>
      <paraID>53203064</paraID>
      <start>124</start>
      <end>127</end>
      <status>modified</status>
      <modifiedWord>，以及</modifiedWord>
      <trackRevisions>false</trackRevisions>
    </reviewItem>
    <reviewItem>
      <errorID>6845d120-8dc1-4acd-abfb-7adca9ab344b</errorID>
      <errorWord>、以及</errorWord>
      <group>L1_Punc</group>
      <groupName>标点问题</groupName>
      <ability>L2_Punc_CN</ability>
      <abilityName>标点符号问题</abilityName>
      <candidateList>
        <item>，以及</item>
      </candidateList>
      <explain>连接词前后不宜使用顿号，建议使用逗号。</explain>
      <paraID>18F70253</paraID>
      <start>124</start>
      <end>127</end>
      <status>modified</status>
      <modifiedWord>，以及</modifiedWord>
      <trackRevisions>false</trackRevisions>
    </reviewItem>
    <reviewItem>
      <errorID>1dc036dc-54e4-400a-a453-d410ae39ca84</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18F70253</paraID>
      <start>224</start>
      <end>225</end>
      <status>ignored</status>
      <modifiedWord/>
      <trackRevisions>false</trackRevisions>
    </reviewItem>
    <reviewItem>
      <errorID>4edd98c0-bbee-4933-9e76-085fd2a90904</errorID>
      <errorWord>综合治理</errorWord>
      <group>L1_Sensitive</group>
      <groupName>敏感问题</groupName>
      <ability>L2_UserSensitive</ability>
      <abilityName>自定义敏感词</abilityName>
      <candidateList/>
      <explain>来自自定义敏感词库。</explain>
      <paraID>18F70253</paraID>
      <start>287</start>
      <end>291</end>
      <status>ignored</status>
      <modifiedWord/>
      <trackRevisions>false</trackRevisions>
    </reviewItem>
    <reviewItem>
      <errorID>dea54210-7c63-45bf-8cf5-5aab98f45674</errorID>
      <errorWord>警</errorWord>
      <group>L1_Sensitive</group>
      <groupName>敏感问题</groupName>
      <ability>L2_UserSensitive</ability>
      <abilityName>自定义敏感词</abilityName>
      <candidateList/>
      <explain>来自自定义敏感词库。</explain>
      <paraID> CD9D547</paraID>
      <start>62</start>
      <end>63</end>
      <status>ignored</status>
      <modifiedWord/>
      <trackRevisions>false</trackRevisions>
    </reviewItem>
    <reviewItem>
      <errorID>95e199ca-3220-47b2-9e52-d3670a4636e9</errorID>
      <errorWord>综合治理</errorWord>
      <group>L1_Sensitive</group>
      <groupName>敏感问题</groupName>
      <ability>L2_UserSensitive</ability>
      <abilityName>自定义敏感词</abilityName>
      <candidateList/>
      <explain>来自自定义敏感词库。</explain>
      <paraID> 712E786</paraID>
      <start>1</start>
      <end>5</end>
      <status>ignored</status>
      <modifiedWord/>
      <trackRevisions>false</trackRevisions>
    </reviewItem>
    <reviewItem>
      <errorID>fc73da17-c360-4895-ad3d-c44d54ed6c8e</errorID>
      <errorWord>、及</errorWord>
      <group>L1_Other</group>
      <groupName>其他问题</groupName>
      <ability>L2_UserTypo</ability>
      <abilityName>自定义错误</abilityName>
      <candidateList>
        <item>及</item>
      </candidateList>
      <explain>来自自定义错词库。</explain>
      <paraID>5F20B917</paraID>
      <start>362</start>
      <end>363</end>
      <status>modified</status>
      <modifiedWord>及</modifiedWord>
      <trackRevisions>false</trackRevisions>
    </reviewItem>
    <reviewItem>
      <errorID>daaa51e2-0796-4e87-97d7-7b27feb59e68</errorID>
      <errorWord>、及</errorWord>
      <group>L1_Other</group>
      <groupName>其他问题</groupName>
      <ability>L2_UserTypo</ability>
      <abilityName>自定义错误</abilityName>
      <candidateList>
        <item>及</item>
      </candidateList>
      <explain>来自自定义错词库。</explain>
      <paraID>74E130AC</paraID>
      <start>283</start>
      <end>284</end>
      <status>modified</status>
      <modifiedWord>及</modifiedWord>
      <trackRevisions>false</trackRevisions>
    </reviewItem>
    <reviewItem>
      <errorID>51d080b8-d16c-4223-ba2d-de16d2755a58</errorID>
      <errorWord>综合治理</errorWord>
      <group>L1_Sensitive</group>
      <groupName>敏感问题</groupName>
      <ability>L2_UserSensitive</ability>
      <abilityName>自定义敏感词</abilityName>
      <candidateList/>
      <explain>来自自定义敏感词库。</explain>
      <paraID>5128A144</paraID>
      <start>1</start>
      <end>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693961f9-675b-4889-b0a6-6acba5d04298}">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10026</Words>
  <Characters>11120</Characters>
  <Lines>10</Lines>
  <Paragraphs>2</Paragraphs>
  <TotalTime>29</TotalTime>
  <ScaleCrop>false</ScaleCrop>
  <LinksUpToDate>false</LinksUpToDate>
  <CharactersWithSpaces>11178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2026-08-28T05:42:08Z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