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新疆维吾尔自治区塔里木河流域下坂地水利枢纽管理中心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55856BD">
      <w:r>
        <w:br w:type="page"/>
      </w:r>
    </w:p>
    <w:p w14:paraId="3501D098">
      <w:pPr>
        <w:spacing w:line="640" w:lineRule="exact"/>
        <w:jc w:val="center"/>
        <w:outlineLvl w:val="1"/>
      </w:pPr>
      <w:r>
        <w:rPr>
          <w:rFonts w:ascii="黑体" w:hAnsi="黑体" w:eastAsia="黑体"/>
          <w:sz w:val="32"/>
        </w:rPr>
        <w:t>第一部分 单位概况</w:t>
      </w:r>
    </w:p>
    <w:p w14:paraId="3FC669FF">
      <w:pPr>
        <w:spacing w:line="640" w:lineRule="exact"/>
        <w:ind w:firstLine="640"/>
        <w:jc w:val="both"/>
        <w:outlineLvl w:val="2"/>
      </w:pPr>
      <w:r>
        <w:rPr>
          <w:rFonts w:ascii="黑体" w:hAnsi="黑体" w:eastAsia="黑体"/>
          <w:sz w:val="32"/>
        </w:rPr>
        <w:t>一、主要职能</w:t>
      </w:r>
    </w:p>
    <w:p w14:paraId="0F93EFE3">
      <w:pPr>
        <w:spacing w:line="580" w:lineRule="exact"/>
        <w:ind w:firstLine="640"/>
        <w:jc w:val="both"/>
      </w:pPr>
      <w:r>
        <w:rPr>
          <w:rFonts w:ascii="仿宋_GB2312" w:hAnsi="仿宋_GB2312" w:eastAsia="仿宋_GB2312"/>
          <w:sz w:val="32"/>
        </w:rPr>
        <w:t>按照中共新疆维吾尔自治区委员会机构编制委员会文件《自治区党委编委关于印发〈新疆维吾尔自治区塔里木河流域管理局及所属事业单位改革方案〉的通知》（新党编委〔2024〕106号）文件，自治区塔里木河流域下坂地水利枢纽管理中心，机构规格为县（处）级。承担下坂地水利枢纽、水库、电站等水利工程的运行管理、灌溉、防洪度汛、发电等工作，发挥水利枢纽工程的综合效益。</w:t>
      </w:r>
    </w:p>
    <w:p w14:paraId="4F6E1450">
      <w:pPr>
        <w:spacing w:line="640" w:lineRule="exact"/>
        <w:ind w:firstLine="640"/>
        <w:jc w:val="both"/>
        <w:outlineLvl w:val="2"/>
      </w:pPr>
      <w:r>
        <w:rPr>
          <w:rFonts w:ascii="黑体" w:hAnsi="黑体" w:eastAsia="黑体"/>
          <w:sz w:val="32"/>
        </w:rPr>
        <w:t>二、机构设置</w:t>
      </w:r>
    </w:p>
    <w:p w14:paraId="3E7A6117">
      <w:pPr>
        <w:spacing w:line="580" w:lineRule="exact"/>
        <w:ind w:firstLine="640"/>
        <w:jc w:val="both"/>
      </w:pPr>
      <w:r>
        <w:rPr>
          <w:rFonts w:ascii="仿宋_GB2312" w:hAnsi="仿宋_GB2312" w:eastAsia="仿宋_GB2312"/>
          <w:sz w:val="32"/>
        </w:rPr>
        <w:t>新疆维吾尔自治区塔里木河流域下坂地水利枢纽管理中心无下属预算单位。</w:t>
      </w:r>
    </w:p>
    <w:p w14:paraId="7E24464E">
      <w:r>
        <w:br w:type="page"/>
      </w:r>
    </w:p>
    <w:p w14:paraId="73620DBB">
      <w:pPr>
        <w:spacing w:line="240" w:lineRule="auto"/>
        <w:jc w:val="center"/>
        <w:outlineLvl w:val="1"/>
      </w:pPr>
      <w:r>
        <w:rPr>
          <w:rFonts w:ascii="黑体" w:hAnsi="黑体" w:eastAsia="黑体"/>
          <w:sz w:val="32"/>
        </w:rPr>
        <w:t>第二部分 部门决算情况说明</w:t>
      </w:r>
    </w:p>
    <w:p w14:paraId="62643B31">
      <w:pPr>
        <w:spacing w:line="640" w:lineRule="exact"/>
        <w:ind w:firstLine="640"/>
        <w:jc w:val="both"/>
        <w:outlineLvl w:val="2"/>
      </w:pPr>
      <w:r>
        <w:rPr>
          <w:rFonts w:ascii="黑体" w:hAnsi="黑体" w:eastAsia="黑体"/>
          <w:sz w:val="32"/>
        </w:rPr>
        <w:t>一、收入支出决算总体情况说明</w:t>
      </w:r>
    </w:p>
    <w:p w14:paraId="504D918A">
      <w:pPr>
        <w:spacing w:line="580" w:lineRule="exact"/>
        <w:ind w:firstLine="640"/>
        <w:jc w:val="both"/>
      </w:pPr>
      <w:r>
        <w:rPr>
          <w:rFonts w:ascii="仿宋_GB2312" w:hAnsi="仿宋_GB2312" w:eastAsia="仿宋_GB2312"/>
          <w:b/>
          <w:sz w:val="32"/>
        </w:rPr>
        <w:t>2025年度收入总计5,755.75万元，</w:t>
      </w:r>
      <w:r>
        <w:rPr>
          <w:rFonts w:ascii="仿宋_GB2312" w:hAnsi="仿宋_GB2312" w:eastAsia="仿宋_GB2312"/>
          <w:b w:val="0"/>
          <w:sz w:val="32"/>
        </w:rPr>
        <w:t>其中：本年收入合计5,753.97万元，使用非财政拨款结余（含专用结余）0.00万元，年初结转和结余1.78万元。</w:t>
      </w:r>
    </w:p>
    <w:p w14:paraId="4C3D8740">
      <w:pPr>
        <w:spacing w:line="580" w:lineRule="exact"/>
        <w:ind w:firstLine="640"/>
        <w:jc w:val="both"/>
      </w:pPr>
      <w:r>
        <w:rPr>
          <w:rFonts w:ascii="仿宋_GB2312" w:hAnsi="仿宋_GB2312" w:eastAsia="仿宋_GB2312"/>
          <w:b/>
          <w:sz w:val="32"/>
        </w:rPr>
        <w:t>2025年度支出总计5,755.75万元，</w:t>
      </w:r>
      <w:r>
        <w:rPr>
          <w:rFonts w:ascii="仿宋_GB2312" w:hAnsi="仿宋_GB2312" w:eastAsia="仿宋_GB2312"/>
          <w:b w:val="0"/>
          <w:sz w:val="32"/>
        </w:rPr>
        <w:t>其中：本年支出合计2,847.87万元，结余分配2,906.05万元，年末结转和结余1.83万元。</w:t>
      </w:r>
    </w:p>
    <w:p w14:paraId="0C27D8AC">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增加2,144.57万元，增长59.39%，主要原因是：经营收入（发电水费收入）较上年增加，其他收入支出较上年略有增加。</w:t>
      </w:r>
    </w:p>
    <w:p w14:paraId="2BBE1E48">
      <w:pPr>
        <w:spacing w:line="640" w:lineRule="exact"/>
        <w:ind w:firstLine="640"/>
        <w:jc w:val="both"/>
        <w:outlineLvl w:val="2"/>
      </w:pPr>
      <w:r>
        <w:rPr>
          <w:rFonts w:ascii="黑体" w:hAnsi="黑体" w:eastAsia="黑体"/>
          <w:sz w:val="32"/>
        </w:rPr>
        <w:t>二、收入决算情况说明</w:t>
      </w:r>
    </w:p>
    <w:p w14:paraId="457EA764">
      <w:pPr>
        <w:spacing w:line="580" w:lineRule="exact"/>
        <w:ind w:firstLine="640"/>
        <w:jc w:val="both"/>
      </w:pPr>
      <w:r>
        <w:rPr>
          <w:rFonts w:ascii="仿宋_GB2312" w:hAnsi="仿宋_GB2312" w:eastAsia="仿宋_GB2312"/>
          <w:b/>
          <w:sz w:val="32"/>
        </w:rPr>
        <w:t>本年收入5,753.97万元，</w:t>
      </w:r>
      <w:r>
        <w:rPr>
          <w:rFonts w:ascii="仿宋_GB2312" w:hAnsi="仿宋_GB2312" w:eastAsia="仿宋_GB2312"/>
          <w:b w:val="0"/>
          <w:sz w:val="32"/>
        </w:rPr>
        <w:t>其中：财政拨款收入530.83万元，占9.23%；上级补助收入0.00万元，占0.00%；事业收入0.00万元，占0.00%；经营收入5,181.78万元，占90.06%；附属单位上缴收入0.00万元，占0.00%；其他收入41.36万元，占0.72%。</w:t>
      </w:r>
    </w:p>
    <w:p w14:paraId="6C2A0945">
      <w:pPr>
        <w:spacing w:line="640" w:lineRule="exact"/>
        <w:ind w:firstLine="640"/>
        <w:jc w:val="both"/>
        <w:outlineLvl w:val="2"/>
      </w:pPr>
      <w:r>
        <w:rPr>
          <w:rFonts w:ascii="黑体" w:hAnsi="黑体" w:eastAsia="黑体"/>
          <w:sz w:val="32"/>
        </w:rPr>
        <w:t>三、支出决算情况说明</w:t>
      </w:r>
    </w:p>
    <w:p w14:paraId="48D6CEB0">
      <w:pPr>
        <w:spacing w:line="580" w:lineRule="exact"/>
        <w:ind w:firstLine="640"/>
        <w:jc w:val="both"/>
      </w:pPr>
      <w:r>
        <w:rPr>
          <w:rFonts w:ascii="仿宋_GB2312" w:hAnsi="仿宋_GB2312" w:eastAsia="仿宋_GB2312"/>
          <w:b/>
          <w:sz w:val="32"/>
        </w:rPr>
        <w:t>本年支出2,847.87万元，</w:t>
      </w:r>
      <w:r>
        <w:rPr>
          <w:rFonts w:ascii="仿宋_GB2312" w:hAnsi="仿宋_GB2312" w:eastAsia="仿宋_GB2312"/>
          <w:b w:val="0"/>
          <w:sz w:val="32"/>
        </w:rPr>
        <w:t>其中：基本支出499.39万元，占17.54%；项目支出60.89万元，占2.14%；上缴上级支出0.00万元，占0.00%；经营支出2,287.59万元，占80.33%；对附属单位补助支出0.00万元，占0.00%。</w:t>
      </w:r>
    </w:p>
    <w:p w14:paraId="3DA5D5E4">
      <w:pPr>
        <w:spacing w:line="640" w:lineRule="exact"/>
        <w:ind w:firstLine="640"/>
        <w:jc w:val="both"/>
        <w:outlineLvl w:val="2"/>
      </w:pPr>
      <w:r>
        <w:rPr>
          <w:rFonts w:ascii="黑体" w:hAnsi="黑体" w:eastAsia="黑体"/>
          <w:sz w:val="32"/>
        </w:rPr>
        <w:t>四、财政拨款收入支出决算总体情况说明</w:t>
      </w:r>
    </w:p>
    <w:p w14:paraId="59930825">
      <w:pPr>
        <w:spacing w:line="580" w:lineRule="exact"/>
        <w:ind w:firstLine="640"/>
        <w:jc w:val="both"/>
      </w:pPr>
      <w:r>
        <w:rPr>
          <w:rFonts w:ascii="仿宋_GB2312" w:hAnsi="仿宋_GB2312" w:eastAsia="仿宋_GB2312"/>
          <w:b/>
          <w:sz w:val="32"/>
        </w:rPr>
        <w:t>2025年度财政拨款收入总计530.83万元，</w:t>
      </w:r>
      <w:r>
        <w:rPr>
          <w:rFonts w:ascii="仿宋_GB2312" w:hAnsi="仿宋_GB2312" w:eastAsia="仿宋_GB2312"/>
          <w:b w:val="0"/>
          <w:sz w:val="32"/>
        </w:rPr>
        <w:t>其中：年初财政拨款结转和结余0.00万元，本年财政拨款收入530.83万元。</w:t>
      </w:r>
      <w:r>
        <w:rPr>
          <w:rFonts w:ascii="仿宋_GB2312" w:hAnsi="仿宋_GB2312" w:eastAsia="仿宋_GB2312"/>
          <w:b/>
          <w:sz w:val="32"/>
        </w:rPr>
        <w:t>财政拨款支出总计530.83万元，</w:t>
      </w:r>
      <w:r>
        <w:rPr>
          <w:rFonts w:ascii="仿宋_GB2312" w:hAnsi="仿宋_GB2312" w:eastAsia="仿宋_GB2312"/>
          <w:b w:val="0"/>
          <w:sz w:val="32"/>
        </w:rPr>
        <w:t>其中：年末财政拨款结转和结余0.00万元，本年财政拨款支出530.83万元。</w:t>
      </w:r>
    </w:p>
    <w:p w14:paraId="575AE9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减少0.94万元，下降0.18%，主要原因是：2025年减少公益性维修养护经费拨款。</w:t>
      </w:r>
      <w:r>
        <w:rPr>
          <w:rFonts w:ascii="仿宋_GB2312" w:hAnsi="仿宋_GB2312" w:eastAsia="仿宋_GB2312"/>
          <w:b/>
          <w:sz w:val="32"/>
        </w:rPr>
        <w:t>与年初预算相比，</w:t>
      </w:r>
      <w:r>
        <w:rPr>
          <w:rFonts w:ascii="仿宋_GB2312" w:hAnsi="仿宋_GB2312" w:eastAsia="仿宋_GB2312"/>
          <w:b w:val="0"/>
          <w:sz w:val="32"/>
        </w:rPr>
        <w:t>年初预算数510.23万元，决算数530.83万元，预决算差异率4.04%，主要原因是：2025年调增基本工资，年中追加人员工资社保住房公积金调增部分，导致预决算存在差异。</w:t>
      </w:r>
    </w:p>
    <w:p w14:paraId="1AEF1310">
      <w:pPr>
        <w:spacing w:line="640" w:lineRule="exact"/>
        <w:ind w:firstLine="640"/>
        <w:jc w:val="both"/>
        <w:outlineLvl w:val="2"/>
      </w:pPr>
      <w:r>
        <w:rPr>
          <w:rFonts w:ascii="黑体" w:hAnsi="黑体" w:eastAsia="黑体"/>
          <w:sz w:val="32"/>
        </w:rPr>
        <w:t>五、一般公共预算财政拨款支出决算情况说明</w:t>
      </w:r>
    </w:p>
    <w:p w14:paraId="730A3D50">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按照党中央、国务院关于党政机关习惯过紧日子的有关要求，厉行节约办一切事业，严控一般性支出。同时坚持有保有压，优化支出结构，提高资金使用效率，合理保障基本民生、水利事业发展 ，重点项目建设实施、单位保运转等重点支出，体现在有关支出科目中。</w:t>
      </w:r>
    </w:p>
    <w:p w14:paraId="11B8D988">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530.83万元，占比100.00%，主要用于人员工资福利支出及公益性维修养护项目支出。</w:t>
      </w:r>
    </w:p>
    <w:p w14:paraId="23F9E960">
      <w:pPr>
        <w:spacing w:line="640" w:lineRule="exact"/>
        <w:ind w:firstLine="640"/>
        <w:jc w:val="both"/>
        <w:outlineLvl w:val="3"/>
      </w:pPr>
      <w:r>
        <w:rPr>
          <w:rFonts w:ascii="楷体_GB2312" w:hAnsi="楷体_GB2312" w:eastAsia="楷体_GB2312"/>
          <w:b/>
          <w:sz w:val="32"/>
        </w:rPr>
        <w:t>（一）一般公共预算财政拨款支出决算总体情况</w:t>
      </w:r>
    </w:p>
    <w:p w14:paraId="148F4ECB">
      <w:pPr>
        <w:spacing w:line="580" w:lineRule="exact"/>
        <w:ind w:firstLine="640"/>
        <w:jc w:val="both"/>
      </w:pPr>
      <w:r>
        <w:rPr>
          <w:rFonts w:ascii="仿宋_GB2312" w:hAnsi="仿宋_GB2312" w:eastAsia="仿宋_GB2312"/>
          <w:b/>
          <w:sz w:val="32"/>
        </w:rPr>
        <w:t>2025年度一般公共预算财政拨款支出530.83万元，</w:t>
      </w:r>
      <w:r>
        <w:rPr>
          <w:rFonts w:ascii="仿宋_GB2312" w:hAnsi="仿宋_GB2312" w:eastAsia="仿宋_GB2312"/>
          <w:b w:val="0"/>
          <w:sz w:val="32"/>
        </w:rPr>
        <w:t>占本年支出合计的18.64%。</w:t>
      </w:r>
      <w:r>
        <w:rPr>
          <w:rFonts w:ascii="仿宋_GB2312" w:hAnsi="仿宋_GB2312" w:eastAsia="仿宋_GB2312"/>
          <w:b/>
          <w:sz w:val="32"/>
        </w:rPr>
        <w:t>与上年相比，</w:t>
      </w:r>
      <w:r>
        <w:rPr>
          <w:rFonts w:ascii="仿宋_GB2312" w:hAnsi="仿宋_GB2312" w:eastAsia="仿宋_GB2312"/>
          <w:b w:val="0"/>
          <w:sz w:val="32"/>
        </w:rPr>
        <w:t>减少0.94万元，下降0.18%，主要原因是：2025年减少公益性维修养护经费拨款。</w:t>
      </w:r>
      <w:r>
        <w:rPr>
          <w:rFonts w:ascii="仿宋_GB2312" w:hAnsi="仿宋_GB2312" w:eastAsia="仿宋_GB2312"/>
          <w:b/>
          <w:sz w:val="32"/>
        </w:rPr>
        <w:t>与年初预算相比，</w:t>
      </w:r>
      <w:r>
        <w:rPr>
          <w:rFonts w:ascii="仿宋_GB2312" w:hAnsi="仿宋_GB2312" w:eastAsia="仿宋_GB2312"/>
          <w:b w:val="0"/>
          <w:sz w:val="32"/>
        </w:rPr>
        <w:t>年初预算数510.23万元，决算数530.83万元，预决算差异率4.04%，主要原因是：2025年调增基本工资，年中追加人员工资社保住房公积金调增部分，导致预决算存在差异。</w:t>
      </w:r>
    </w:p>
    <w:p w14:paraId="28089B6F">
      <w:pPr>
        <w:spacing w:line="640" w:lineRule="exact"/>
        <w:ind w:firstLine="640"/>
        <w:jc w:val="both"/>
        <w:outlineLvl w:val="3"/>
      </w:pPr>
      <w:r>
        <w:rPr>
          <w:rFonts w:ascii="楷体_GB2312" w:hAnsi="楷体_GB2312" w:eastAsia="楷体_GB2312"/>
          <w:b/>
          <w:sz w:val="32"/>
        </w:rPr>
        <w:t>（二）一般公共预算财政拨款支出决算结构情况</w:t>
      </w:r>
    </w:p>
    <w:p w14:paraId="7F0DB60C">
      <w:pPr>
        <w:spacing w:line="580" w:lineRule="exact"/>
        <w:ind w:firstLine="640"/>
        <w:jc w:val="both"/>
      </w:pPr>
      <w:r>
        <w:rPr>
          <w:rFonts w:ascii="仿宋_GB2312" w:hAnsi="仿宋_GB2312" w:eastAsia="仿宋_GB2312"/>
          <w:b w:val="0"/>
          <w:sz w:val="32"/>
        </w:rPr>
        <w:t>1.农林水支出（类）530.83万元，占100.00%。</w:t>
      </w:r>
    </w:p>
    <w:p w14:paraId="18D4137F">
      <w:pPr>
        <w:spacing w:line="640" w:lineRule="exact"/>
        <w:ind w:firstLine="640"/>
        <w:jc w:val="both"/>
        <w:outlineLvl w:val="3"/>
      </w:pPr>
      <w:r>
        <w:rPr>
          <w:rFonts w:ascii="楷体_GB2312" w:hAnsi="楷体_GB2312" w:eastAsia="楷体_GB2312"/>
          <w:b/>
          <w:sz w:val="32"/>
        </w:rPr>
        <w:t>（三）一般公共预算财政拨款支出决算具体情况</w:t>
      </w:r>
    </w:p>
    <w:p w14:paraId="5CA0181F">
      <w:pPr>
        <w:spacing w:line="580" w:lineRule="exact"/>
        <w:ind w:firstLine="640"/>
        <w:jc w:val="both"/>
      </w:pPr>
      <w:r>
        <w:rPr>
          <w:rFonts w:ascii="仿宋_GB2312" w:hAnsi="仿宋_GB2312" w:eastAsia="仿宋_GB2312"/>
          <w:b w:val="0"/>
          <w:sz w:val="32"/>
        </w:rPr>
        <w:t>1.农林水支出（类）水利（款）水利工程运行与维护（项）：支出决算数为530.83万元，比上年决算减少0.94万元，下降0.18%，主要原因是：2025年减少公益性维修养护经费拨款。</w:t>
      </w:r>
    </w:p>
    <w:p w14:paraId="1B131461">
      <w:pPr>
        <w:spacing w:line="640" w:lineRule="exact"/>
        <w:ind w:firstLine="640"/>
        <w:jc w:val="both"/>
        <w:outlineLvl w:val="2"/>
      </w:pPr>
      <w:r>
        <w:rPr>
          <w:rFonts w:ascii="黑体" w:hAnsi="黑体" w:eastAsia="黑体"/>
          <w:sz w:val="32"/>
        </w:rPr>
        <w:t>六、一般公共预算财政拨款基本支出决算情况说明</w:t>
      </w:r>
    </w:p>
    <w:p w14:paraId="65E72708">
      <w:pPr>
        <w:spacing w:line="580" w:lineRule="exact"/>
        <w:ind w:firstLine="640"/>
        <w:jc w:val="both"/>
      </w:pPr>
      <w:r>
        <w:rPr>
          <w:rFonts w:ascii="仿宋_GB2312" w:hAnsi="仿宋_GB2312" w:eastAsia="仿宋_GB2312"/>
          <w:b w:val="0"/>
          <w:sz w:val="32"/>
        </w:rPr>
        <w:t>2025年度一般公共预算财政拨款基本支出499.39万元，其中：</w:t>
      </w:r>
      <w:r>
        <w:rPr>
          <w:rFonts w:ascii="仿宋_GB2312" w:hAnsi="仿宋_GB2312" w:eastAsia="仿宋_GB2312"/>
          <w:b/>
          <w:sz w:val="32"/>
        </w:rPr>
        <w:t>人员经费499.39万元，</w:t>
      </w:r>
      <w:r>
        <w:rPr>
          <w:rFonts w:ascii="仿宋_GB2312" w:hAnsi="仿宋_GB2312" w:eastAsia="仿宋_GB2312"/>
          <w:b w:val="0"/>
          <w:sz w:val="32"/>
        </w:rPr>
        <w:t>包括：基本工资、津贴补贴。</w:t>
      </w:r>
    </w:p>
    <w:p w14:paraId="42F6564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C6E2915">
      <w:pPr>
        <w:spacing w:line="640" w:lineRule="exact"/>
        <w:ind w:firstLine="640"/>
        <w:jc w:val="both"/>
        <w:outlineLvl w:val="2"/>
      </w:pPr>
      <w:r>
        <w:rPr>
          <w:rFonts w:ascii="黑体" w:hAnsi="黑体" w:eastAsia="黑体"/>
          <w:sz w:val="32"/>
        </w:rPr>
        <w:t>七、政府性基金预算财政拨款收入支出决算情况说明</w:t>
      </w:r>
    </w:p>
    <w:p w14:paraId="5F6243A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BF964F">
      <w:pPr>
        <w:spacing w:line="640" w:lineRule="exact"/>
        <w:ind w:firstLine="640"/>
        <w:jc w:val="both"/>
        <w:outlineLvl w:val="2"/>
      </w:pPr>
      <w:r>
        <w:rPr>
          <w:rFonts w:ascii="黑体" w:hAnsi="黑体" w:eastAsia="黑体"/>
          <w:sz w:val="32"/>
        </w:rPr>
        <w:t>八、国有资本经营预算财政拨款收入支出决算情况说明</w:t>
      </w:r>
    </w:p>
    <w:p w14:paraId="6F128AD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8F74AE3">
      <w:pPr>
        <w:spacing w:line="640" w:lineRule="exact"/>
        <w:ind w:firstLine="640"/>
        <w:jc w:val="both"/>
        <w:outlineLvl w:val="2"/>
      </w:pPr>
      <w:r>
        <w:rPr>
          <w:rFonts w:ascii="黑体" w:hAnsi="黑体" w:eastAsia="黑体"/>
          <w:sz w:val="32"/>
        </w:rPr>
        <w:t>九、财政拨款“三公”经费支出决算情况说明</w:t>
      </w:r>
    </w:p>
    <w:p w14:paraId="3FC0E3C0">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44B2102C">
      <w:pPr>
        <w:spacing w:line="580" w:lineRule="exact"/>
        <w:ind w:firstLine="640"/>
        <w:jc w:val="both"/>
      </w:pPr>
      <w:r>
        <w:rPr>
          <w:rFonts w:ascii="仿宋_GB2312" w:hAnsi="仿宋_GB2312" w:eastAsia="仿宋_GB2312"/>
          <w:b/>
          <w:sz w:val="32"/>
        </w:rPr>
        <w:t>具体情况如下：</w:t>
      </w:r>
    </w:p>
    <w:p w14:paraId="71695D5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2442D3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单位业务用车，</w:t>
      </w:r>
      <w:r>
        <w:rPr>
          <w:rFonts w:hint="eastAsia" w:ascii="仿宋_GB2312" w:hAnsi="仿宋_GB2312" w:eastAsia="仿宋_GB2312"/>
          <w:b w:val="0"/>
          <w:sz w:val="32"/>
          <w:lang w:eastAsia="zh-CN"/>
        </w:rPr>
        <w:t>本单位</w:t>
      </w:r>
      <w:r>
        <w:rPr>
          <w:rFonts w:ascii="仿宋_GB2312" w:hAnsi="仿宋_GB2312" w:eastAsia="仿宋_GB2312"/>
          <w:b w:val="0"/>
          <w:sz w:val="32"/>
        </w:rPr>
        <w:t>为差额拨款单位，财政拨款未保障车辆费用，车辆费用由经营收入保障。</w:t>
      </w:r>
    </w:p>
    <w:p w14:paraId="1D6F795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B2188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ABA2B10">
      <w:pPr>
        <w:spacing w:line="640" w:lineRule="exact"/>
        <w:ind w:firstLine="640"/>
        <w:jc w:val="both"/>
        <w:outlineLvl w:val="2"/>
      </w:pPr>
      <w:r>
        <w:rPr>
          <w:rFonts w:ascii="黑体" w:hAnsi="黑体" w:eastAsia="黑体"/>
          <w:sz w:val="32"/>
        </w:rPr>
        <w:t>十、其他重要事项的情况说明</w:t>
      </w:r>
    </w:p>
    <w:p w14:paraId="553C79C9">
      <w:pPr>
        <w:spacing w:line="640" w:lineRule="exact"/>
        <w:ind w:firstLine="640"/>
        <w:jc w:val="both"/>
        <w:outlineLvl w:val="3"/>
      </w:pPr>
      <w:r>
        <w:rPr>
          <w:rFonts w:ascii="楷体_GB2312" w:hAnsi="楷体_GB2312" w:eastAsia="楷体_GB2312"/>
          <w:b/>
          <w:sz w:val="32"/>
        </w:rPr>
        <w:t>（一）机关运行经费及公用经费支出情况</w:t>
      </w:r>
    </w:p>
    <w:p w14:paraId="0993ACC4">
      <w:pPr>
        <w:spacing w:line="580" w:lineRule="exact"/>
        <w:ind w:firstLine="640"/>
        <w:jc w:val="both"/>
      </w:pPr>
      <w:r>
        <w:rPr>
          <w:rFonts w:ascii="仿宋_GB2312" w:hAnsi="仿宋_GB2312" w:eastAsia="仿宋_GB2312"/>
          <w:b w:val="0"/>
          <w:sz w:val="32"/>
        </w:rPr>
        <w:t>2025年度新疆维吾尔自治区塔里木河流域下坂地水利枢纽管理中心（事业单位）公用经费支出0.00万元，比上年增加0.00万元，增长0.00%，主要原因是：2024年与2025年均无公用经费支出。</w:t>
      </w:r>
    </w:p>
    <w:p w14:paraId="30C18C0B">
      <w:pPr>
        <w:spacing w:line="640" w:lineRule="exact"/>
        <w:ind w:firstLine="640"/>
        <w:jc w:val="both"/>
        <w:outlineLvl w:val="3"/>
      </w:pPr>
      <w:r>
        <w:rPr>
          <w:rFonts w:ascii="楷体_GB2312" w:hAnsi="楷体_GB2312" w:eastAsia="楷体_GB2312"/>
          <w:b/>
          <w:sz w:val="32"/>
        </w:rPr>
        <w:t>（二）政府采购情况</w:t>
      </w:r>
    </w:p>
    <w:p w14:paraId="1F09AA49">
      <w:pPr>
        <w:spacing w:line="580" w:lineRule="exact"/>
        <w:ind w:firstLine="640"/>
        <w:jc w:val="both"/>
      </w:pPr>
      <w:r>
        <w:rPr>
          <w:rFonts w:ascii="仿宋_GB2312" w:hAnsi="仿宋_GB2312" w:eastAsia="仿宋_GB2312"/>
          <w:b w:val="0"/>
          <w:sz w:val="32"/>
        </w:rPr>
        <w:t>2025年度政府采购支出总额262.12万元，其中：政府采购货物支出0.98万元、政府采购工程支出212.02万元、政府采购服务支出49.11万元。</w:t>
      </w:r>
    </w:p>
    <w:p w14:paraId="078DC5F7">
      <w:pPr>
        <w:spacing w:line="580" w:lineRule="exact"/>
        <w:ind w:firstLine="640"/>
        <w:jc w:val="both"/>
      </w:pPr>
      <w:r>
        <w:rPr>
          <w:rFonts w:ascii="仿宋_GB2312" w:hAnsi="仿宋_GB2312" w:eastAsia="仿宋_GB2312"/>
          <w:b w:val="0"/>
          <w:sz w:val="32"/>
        </w:rPr>
        <w:t>授予中小企业合同金额246.94万元，占政府采购支出总额的94.21%，其中：授予小微企业合同金额246.94万元，占政府采购支出总额的94.21%。</w:t>
      </w:r>
    </w:p>
    <w:p w14:paraId="286A0B52">
      <w:pPr>
        <w:spacing w:line="640" w:lineRule="exact"/>
        <w:ind w:firstLine="640"/>
        <w:jc w:val="both"/>
        <w:outlineLvl w:val="3"/>
      </w:pPr>
      <w:r>
        <w:rPr>
          <w:rFonts w:ascii="楷体_GB2312" w:hAnsi="楷体_GB2312" w:eastAsia="楷体_GB2312"/>
          <w:b/>
          <w:sz w:val="32"/>
        </w:rPr>
        <w:t>（三）国有资产占用情况说明</w:t>
      </w:r>
    </w:p>
    <w:p w14:paraId="352E10A2">
      <w:pPr>
        <w:spacing w:line="580" w:lineRule="exact"/>
        <w:ind w:firstLine="640"/>
        <w:jc w:val="both"/>
      </w:pPr>
      <w:r>
        <w:rPr>
          <w:rFonts w:ascii="仿宋_GB2312" w:hAnsi="仿宋_GB2312" w:eastAsia="仿宋_GB2312"/>
          <w:b w:val="0"/>
          <w:sz w:val="32"/>
        </w:rPr>
        <w:t>截至2025年12月31日，房屋11,446.30平方米，价值2,887.77万元。车辆4辆，价值221.19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5台（套）。</w:t>
      </w:r>
    </w:p>
    <w:p w14:paraId="1ADE6856">
      <w:pPr>
        <w:spacing w:line="640" w:lineRule="exact"/>
        <w:ind w:firstLine="640"/>
        <w:jc w:val="both"/>
        <w:outlineLvl w:val="2"/>
      </w:pPr>
      <w:r>
        <w:rPr>
          <w:rFonts w:ascii="黑体" w:hAnsi="黑体" w:eastAsia="黑体"/>
          <w:sz w:val="32"/>
        </w:rPr>
        <w:t>十一、预算绩效的情况说明</w:t>
      </w:r>
    </w:p>
    <w:p w14:paraId="18B4FB94">
      <w:pPr>
        <w:spacing w:line="580" w:lineRule="exact"/>
        <w:ind w:firstLine="640"/>
        <w:jc w:val="both"/>
      </w:pPr>
      <w:r>
        <w:rPr>
          <w:rFonts w:ascii="仿宋_GB2312" w:hAnsi="仿宋_GB2312" w:eastAsia="仿宋_GB2312"/>
          <w:b w:val="0"/>
          <w:sz w:val="32"/>
        </w:rPr>
        <w:t>根据预算绩效管理要求，本单位预算绩效评价项目2个，全年预算数1,397.88万元，全年执行数1,369.60万元。预算绩效管理取得的成效：一是预算绩效管理责任落实到位，资金管控流程规范有序，各类项目实施管控扎实，各项财经政策落地见效，财政资源配置持续优化，切实提升财政资金产出效益。二是预算执行管控成效明显，支出规模严格控制在批复预算额度之内，预算管控相关制度得到有效落实，强化执行进度监控，保障预算目标有序落地。三是资产绩效基础不断夯实，健全资产管理配套制度，常态化开展资产清查盘点，规范资产运维处置，依托资产精细化管理助力整体绩效目标顺利达成。发现的问题及原因：一是预算编制精细化水平有待提升。预算编制工作的科学性、严谨性仍有欠缺，设定的绩效指标在明确性、可衡量性、关联性方面存在短板，指标设置不够精准细化。同时预算精细化管理制度执行不到位，预算编制规范化、专业化水平有待进一步提升。二是绩效评价结果运用不充分。绩效评价工作的闭</w:t>
      </w:r>
      <w:bookmarkStart w:id="0" w:name="_GoBack"/>
      <w:bookmarkEnd w:id="0"/>
      <w:r>
        <w:rPr>
          <w:rFonts w:ascii="仿宋_GB2312" w:hAnsi="仿宋_GB2312" w:eastAsia="仿宋_GB2312"/>
          <w:b w:val="0"/>
          <w:sz w:val="32"/>
        </w:rPr>
        <w:t>环管理尚未完全形成，未能有效将评价结果运用到预算编制、项目管理、资金优化等工作中，绩效评价的指导、约束和提升作用</w:t>
      </w:r>
      <w:r>
        <w:rPr>
          <w:rFonts w:hint="eastAsia" w:ascii="仿宋_GB2312" w:hAnsi="仿宋_GB2312" w:eastAsia="仿宋_GB2312"/>
          <w:b w:val="0"/>
          <w:sz w:val="32"/>
          <w:lang w:eastAsia="zh-CN"/>
        </w:rPr>
        <w:t>未能</w:t>
      </w:r>
      <w:r>
        <w:rPr>
          <w:rFonts w:ascii="仿宋_GB2312" w:hAnsi="仿宋_GB2312" w:eastAsia="仿宋_GB2312"/>
          <w:b w:val="0"/>
          <w:sz w:val="32"/>
        </w:rPr>
        <w:t>充分发挥。下一步改进措施：一是提升预算编制精细化水平。严格规范预算编制流程，结合项目实际精准设置绩效指标，进一步增强指标的针对性、可衡量性和关联性，不断提升预算编制的科学性、规范性和专业化水平。二是强化绩效评价结果运用。健全绩效管理闭环机制，切实将绩效评价结果运用到预算编制、项目管理和资金优化工作中，充分发挥绩效评价的导向约束作用，以绩效成效倒逼资金使用提质增效。具体附项目支出绩效自评表。</w:t>
      </w:r>
    </w:p>
    <w:p w14:paraId="64239E17">
      <w:r>
        <w:br w:type="page"/>
      </w:r>
    </w:p>
    <w:p w14:paraId="636429B5">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463717F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994F3C7">
            <w:pPr>
              <w:spacing w:before="0" w:after="0" w:line="240" w:lineRule="auto"/>
              <w:jc w:val="center"/>
            </w:pPr>
            <w:r>
              <w:rPr>
                <w:rFonts w:ascii="宋体" w:hAnsi="宋体" w:eastAsia="宋体"/>
                <w:b/>
                <w:i w:val="0"/>
                <w:sz w:val="32"/>
              </w:rPr>
              <w:t>项目支出绩效自评表</w:t>
            </w:r>
          </w:p>
        </w:tc>
      </w:tr>
      <w:tr w14:paraId="3BF7A32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0EB0ABD">
            <w:pPr>
              <w:spacing w:before="0" w:after="0" w:line="240" w:lineRule="auto"/>
              <w:jc w:val="center"/>
            </w:pPr>
            <w:r>
              <w:rPr>
                <w:rFonts w:ascii="宋体" w:hAnsi="宋体" w:eastAsia="宋体"/>
                <w:b w:val="0"/>
                <w:i w:val="0"/>
                <w:sz w:val="22"/>
              </w:rPr>
              <w:t>(2025年度)</w:t>
            </w:r>
          </w:p>
        </w:tc>
      </w:tr>
      <w:tr w14:paraId="6154F00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5EEA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B73398D">
            <w:pPr>
              <w:spacing w:before="0" w:after="0" w:line="240" w:lineRule="auto"/>
              <w:jc w:val="center"/>
            </w:pPr>
            <w:r>
              <w:rPr>
                <w:rFonts w:ascii="宋体" w:hAnsi="宋体" w:eastAsia="宋体"/>
                <w:b w:val="0"/>
                <w:i w:val="0"/>
                <w:sz w:val="18"/>
              </w:rPr>
              <w:t>2025年水利发展资金项目</w:t>
            </w:r>
          </w:p>
        </w:tc>
      </w:tr>
      <w:tr w14:paraId="58F004D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51AF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BD4370">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D975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82119D">
            <w:pPr>
              <w:spacing w:before="0" w:after="0" w:line="240" w:lineRule="auto"/>
              <w:jc w:val="center"/>
            </w:pPr>
            <w:r>
              <w:rPr>
                <w:rFonts w:ascii="宋体" w:hAnsi="宋体" w:eastAsia="宋体"/>
                <w:b w:val="0"/>
                <w:i w:val="0"/>
                <w:sz w:val="18"/>
              </w:rPr>
              <w:t>新疆维吾尔自治区塔里木河流域下坂地水利枢纽管理中心</w:t>
            </w:r>
          </w:p>
        </w:tc>
      </w:tr>
      <w:tr w14:paraId="6F36A62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3B011">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7F6D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AEE0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73EB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68F9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3B93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1241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5F19D">
            <w:pPr>
              <w:spacing w:before="0" w:after="0" w:line="240" w:lineRule="auto"/>
              <w:jc w:val="center"/>
            </w:pPr>
            <w:r>
              <w:rPr>
                <w:rFonts w:ascii="宋体" w:hAnsi="宋体" w:eastAsia="宋体"/>
                <w:b/>
                <w:i w:val="0"/>
                <w:sz w:val="18"/>
              </w:rPr>
              <w:t>得分</w:t>
            </w:r>
          </w:p>
        </w:tc>
      </w:tr>
      <w:tr w14:paraId="359A216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7018F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9B64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168EF">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8C591">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FABEA">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4C1A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BAD1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F33C3">
            <w:pPr>
              <w:spacing w:before="0" w:after="0" w:line="240" w:lineRule="auto"/>
              <w:jc w:val="center"/>
            </w:pPr>
            <w:r>
              <w:rPr>
                <w:rFonts w:ascii="宋体" w:hAnsi="宋体" w:eastAsia="宋体"/>
                <w:b w:val="0"/>
                <w:i w:val="0"/>
                <w:sz w:val="18"/>
              </w:rPr>
              <w:t>10.00</w:t>
            </w:r>
          </w:p>
        </w:tc>
      </w:tr>
      <w:tr w14:paraId="16F96F3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4099E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5AF4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83F35">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069A">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C871A">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7DC0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F66A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0833B">
            <w:pPr>
              <w:spacing w:before="0" w:after="0" w:line="240" w:lineRule="auto"/>
              <w:jc w:val="center"/>
            </w:pPr>
            <w:r>
              <w:rPr>
                <w:rFonts w:ascii="宋体" w:hAnsi="宋体" w:eastAsia="宋体"/>
                <w:b w:val="0"/>
                <w:i w:val="0"/>
                <w:sz w:val="18"/>
              </w:rPr>
              <w:t>-</w:t>
            </w:r>
          </w:p>
        </w:tc>
      </w:tr>
      <w:tr w14:paraId="53633F3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CAE47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3B2B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6544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0D40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BCCB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32F3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F64F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A63D7">
            <w:pPr>
              <w:spacing w:before="0" w:after="0" w:line="240" w:lineRule="auto"/>
              <w:jc w:val="center"/>
            </w:pPr>
            <w:r>
              <w:rPr>
                <w:rFonts w:ascii="宋体" w:hAnsi="宋体" w:eastAsia="宋体"/>
                <w:b w:val="0"/>
                <w:i w:val="0"/>
                <w:sz w:val="18"/>
              </w:rPr>
              <w:t>-</w:t>
            </w:r>
          </w:p>
        </w:tc>
      </w:tr>
      <w:tr w14:paraId="0D090E1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F291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E5D34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ABF3B">
            <w:pPr>
              <w:spacing w:before="0" w:after="0" w:line="240" w:lineRule="auto"/>
              <w:jc w:val="center"/>
            </w:pPr>
            <w:r>
              <w:rPr>
                <w:rFonts w:ascii="宋体" w:hAnsi="宋体" w:eastAsia="宋体"/>
                <w:b/>
                <w:i w:val="0"/>
                <w:sz w:val="18"/>
              </w:rPr>
              <w:t>实际完成情况</w:t>
            </w:r>
          </w:p>
        </w:tc>
      </w:tr>
      <w:tr w14:paraId="08779DF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6A832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C85714">
            <w:pPr>
              <w:spacing w:before="0" w:after="0" w:line="240" w:lineRule="auto"/>
              <w:jc w:val="center"/>
            </w:pPr>
            <w:r>
              <w:rPr>
                <w:rFonts w:ascii="宋体" w:hAnsi="宋体" w:eastAsia="宋体"/>
                <w:b w:val="0"/>
                <w:i w:val="0"/>
                <w:sz w:val="18"/>
              </w:rPr>
              <w:t>该项目总投资30万元，其中：财政资金30万元，其他资金0万元，主要对坝区闸房及备用发电机房老化的门窗进行更换，同时对屋顶防水进行重新处理，有利于延长闸房的使用寿命，降低未来维护和修复的成本，可确保内部设施设备的安全运行，提高坝区整体运行效率，提高该项目的实施将解决坝区闸房及备用发电机房门窗老化和屋顶渗漏问题，进一步提升闸房的安全性和防护性能，使设施设备始终处于安全正常运行状态，保障下坂地水利枢纽工程安全稳定运行。</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268B9">
            <w:pPr>
              <w:spacing w:before="0" w:after="0" w:line="240" w:lineRule="auto"/>
              <w:jc w:val="center"/>
            </w:pPr>
            <w:r>
              <w:rPr>
                <w:rFonts w:ascii="宋体" w:hAnsi="宋体" w:eastAsia="宋体"/>
                <w:b w:val="0"/>
                <w:i w:val="0"/>
                <w:sz w:val="18"/>
              </w:rPr>
              <w:t>该项目于2025年5月开工，于2025年11月完工。坝区闸房门窗拆除及更换安装完成296.35平方米，坝区闸房屋顶防水处理完成876.05平方米，竣工验收合格率为100%。通过对门窗更换及屋顶防水处理等土建项目的完成，进一步提升了坝区闸房及备用发电机房的安全性和防护性。</w:t>
            </w:r>
          </w:p>
        </w:tc>
      </w:tr>
      <w:tr w14:paraId="23F7399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7B48D">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74C3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0EA7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16A85">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A9F3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A6385">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19AA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2C9C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CDB0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A9EA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E734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03FD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080D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D4037">
            <w:pPr>
              <w:spacing w:before="0" w:after="0" w:line="240" w:lineRule="auto"/>
              <w:jc w:val="center"/>
            </w:pPr>
            <w:r>
              <w:rPr>
                <w:rFonts w:ascii="宋体" w:hAnsi="宋体" w:eastAsia="宋体"/>
                <w:b/>
                <w:i w:val="0"/>
                <w:sz w:val="18"/>
              </w:rPr>
              <w:t>偏差原因分析及改进措施</w:t>
            </w:r>
          </w:p>
        </w:tc>
      </w:tr>
      <w:tr w14:paraId="58DDD5E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13F7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0142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7B4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210C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2F49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52E1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94EB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58AC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F18E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CFD0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0352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5B09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113D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5706D7"/>
        </w:tc>
      </w:tr>
      <w:tr w14:paraId="74629AF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97EC5">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3D03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D418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57598">
            <w:pPr>
              <w:spacing w:before="0" w:after="0" w:line="240" w:lineRule="auto"/>
              <w:jc w:val="center"/>
            </w:pPr>
            <w:r>
              <w:rPr>
                <w:rFonts w:ascii="宋体" w:hAnsi="宋体" w:eastAsia="宋体"/>
                <w:b w:val="0"/>
                <w:i w:val="0"/>
                <w:color w:val="000000"/>
                <w:sz w:val="18"/>
              </w:rPr>
              <w:t>坝区闸房门窗拆除及更换安装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70EE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08AA7">
            <w:pPr>
              <w:spacing w:before="0" w:after="0" w:line="240" w:lineRule="auto"/>
              <w:jc w:val="center"/>
            </w:pPr>
            <w:r>
              <w:rPr>
                <w:rFonts w:ascii="宋体" w:hAnsi="宋体" w:eastAsia="宋体"/>
                <w:b w:val="0"/>
                <w:i w:val="0"/>
                <w:sz w:val="18"/>
              </w:rPr>
              <w:t>&gt;=317.35平方米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339D4">
            <w:pPr>
              <w:spacing w:before="0" w:after="0" w:line="240" w:lineRule="auto"/>
              <w:jc w:val="center"/>
            </w:pPr>
            <w:r>
              <w:rPr>
                <w:rFonts w:ascii="宋体" w:hAnsi="宋体" w:eastAsia="宋体"/>
                <w:b w:val="0"/>
                <w:i w:val="0"/>
                <w:sz w:val="18"/>
              </w:rPr>
              <w:t>=296.35平方米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48153">
            <w:pPr>
              <w:spacing w:before="0" w:after="0" w:line="240" w:lineRule="auto"/>
              <w:jc w:val="center"/>
            </w:pPr>
            <w:r>
              <w:rPr>
                <w:rFonts w:ascii="宋体" w:hAnsi="宋体" w:eastAsia="宋体"/>
                <w:b w:val="0"/>
                <w:i w:val="0"/>
                <w:sz w:val="18"/>
              </w:rPr>
              <w:t>92.38%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83D12">
            <w:pPr>
              <w:spacing w:before="0" w:after="0" w:line="240" w:lineRule="auto"/>
              <w:jc w:val="center"/>
            </w:pPr>
            <w:r>
              <w:rPr>
                <w:rFonts w:ascii="宋体" w:hAnsi="宋体" w:eastAsia="宋体"/>
                <w:b w:val="0"/>
                <w:i w:val="0"/>
                <w:sz w:val="18"/>
              </w:rPr>
              <w:t>8.09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CECA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F8FC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8F15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93AB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30551">
            <w:pPr>
              <w:spacing w:before="0" w:after="0" w:line="240" w:lineRule="auto"/>
              <w:jc w:val="center"/>
            </w:pPr>
            <w:r>
              <w:rPr>
                <w:rFonts w:ascii="宋体" w:hAnsi="宋体" w:eastAsia="宋体"/>
                <w:b w:val="0"/>
                <w:i w:val="0"/>
                <w:sz w:val="18"/>
              </w:rPr>
              <w:t>年初在编制项目绩效目标时，由工作人员对闸房门窗数量、规格尺寸进行现场人工初步丈量估算。因工作人员非专业造价测量人员，且为确保施工需求、预留一定余量，估算工程量相对宽裕，据此设定了年度绩效目标。项目实施过程中，施工单位按照规范要求现场精准实测实量，并依据实际测量数据开展施工、办理结算，导致实际完成工程量低于年初绩效目标值。</w:t>
            </w:r>
          </w:p>
        </w:tc>
      </w:tr>
      <w:tr w14:paraId="4E51C88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E4D85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0CA3D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51824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84E4A">
            <w:pPr>
              <w:spacing w:before="0" w:after="0" w:line="240" w:lineRule="auto"/>
              <w:jc w:val="center"/>
            </w:pPr>
            <w:r>
              <w:rPr>
                <w:rFonts w:ascii="宋体" w:hAnsi="宋体" w:eastAsia="宋体"/>
                <w:b w:val="0"/>
                <w:i w:val="0"/>
                <w:color w:val="000000"/>
                <w:sz w:val="18"/>
              </w:rPr>
              <w:t>坝区闸房屋顶防水处理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E0B1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2FC00">
            <w:pPr>
              <w:spacing w:before="0" w:after="0" w:line="240" w:lineRule="auto"/>
              <w:jc w:val="center"/>
            </w:pPr>
            <w:r>
              <w:rPr>
                <w:rFonts w:ascii="宋体" w:hAnsi="宋体" w:eastAsia="宋体"/>
                <w:b w:val="0"/>
                <w:i w:val="0"/>
                <w:sz w:val="18"/>
              </w:rPr>
              <w:t>&gt;=1210.48平方米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B4FBB">
            <w:pPr>
              <w:spacing w:before="0" w:after="0" w:line="240" w:lineRule="auto"/>
              <w:jc w:val="center"/>
            </w:pPr>
            <w:r>
              <w:rPr>
                <w:rFonts w:ascii="宋体" w:hAnsi="宋体" w:eastAsia="宋体"/>
                <w:b w:val="0"/>
                <w:i w:val="0"/>
                <w:sz w:val="18"/>
              </w:rPr>
              <w:t>=876.05平方米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09E47">
            <w:pPr>
              <w:spacing w:before="0" w:after="0" w:line="240" w:lineRule="auto"/>
              <w:jc w:val="center"/>
            </w:pPr>
            <w:r>
              <w:rPr>
                <w:rFonts w:ascii="宋体" w:hAnsi="宋体" w:eastAsia="宋体"/>
                <w:b w:val="0"/>
                <w:i w:val="0"/>
                <w:sz w:val="18"/>
              </w:rPr>
              <w:t>72.37%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20EAA">
            <w:pPr>
              <w:spacing w:before="0" w:after="0" w:line="240" w:lineRule="auto"/>
              <w:jc w:val="center"/>
            </w:pPr>
            <w:r>
              <w:rPr>
                <w:rFonts w:ascii="宋体" w:hAnsi="宋体" w:eastAsia="宋体"/>
                <w:b w:val="0"/>
                <w:i w:val="0"/>
                <w:sz w:val="18"/>
              </w:rPr>
              <w:t>3.09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F48A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05C0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2D19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B968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781DD">
            <w:pPr>
              <w:spacing w:before="0" w:after="0" w:line="240" w:lineRule="auto"/>
              <w:jc w:val="center"/>
            </w:pPr>
            <w:r>
              <w:rPr>
                <w:rFonts w:ascii="宋体" w:hAnsi="宋体" w:eastAsia="宋体"/>
                <w:b w:val="0"/>
                <w:i w:val="0"/>
                <w:sz w:val="18"/>
              </w:rPr>
              <w:t>年初编制绩效目标时，由工作人员对屋顶面积、防水处理范围进行人工初步估算。因测算人员不具备专业测量资质，同时为保障施工需要、预留安全余量，估算工程量相对宽裕，并以此设定绩效目标。项目实施时，施工单位按照施工规范现场精准实测实量，严格依据实际测量面积组织施工及结算，最终实际完成工程量未达到年初设定的绩效目标。</w:t>
            </w:r>
          </w:p>
        </w:tc>
      </w:tr>
      <w:tr w14:paraId="3FA0321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E5C3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62D8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CE63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1A99A">
            <w:pPr>
              <w:spacing w:before="0" w:after="0" w:line="240" w:lineRule="auto"/>
              <w:jc w:val="center"/>
            </w:pPr>
            <w:r>
              <w:rPr>
                <w:rFonts w:ascii="宋体" w:hAnsi="宋体" w:eastAsia="宋体"/>
                <w:b w:val="0"/>
                <w:i w:val="0"/>
                <w:color w:val="000000"/>
                <w:sz w:val="18"/>
              </w:rPr>
              <w:t>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35BD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AAF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696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C7CA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9D20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6A0E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9B2C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A80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2E95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5E086">
            <w:pPr>
              <w:spacing w:before="0" w:after="0" w:line="240" w:lineRule="auto"/>
              <w:jc w:val="center"/>
            </w:pPr>
          </w:p>
        </w:tc>
      </w:tr>
      <w:tr w14:paraId="5A88FD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7E87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F0F78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1D53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62669">
            <w:pPr>
              <w:spacing w:before="0" w:after="0" w:line="240" w:lineRule="auto"/>
              <w:jc w:val="center"/>
            </w:pPr>
            <w:r>
              <w:rPr>
                <w:rFonts w:ascii="宋体" w:hAnsi="宋体" w:eastAsia="宋体"/>
                <w:b w:val="0"/>
                <w:i w:val="0"/>
                <w:color w:val="000000"/>
                <w:sz w:val="18"/>
              </w:rPr>
              <w:t>项目计划开工时间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19CA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CC612">
            <w:pPr>
              <w:spacing w:before="0" w:after="0" w:line="240" w:lineRule="auto"/>
              <w:jc w:val="center"/>
            </w:pPr>
            <w:r>
              <w:rPr>
                <w:rFonts w:ascii="宋体" w:hAnsi="宋体" w:eastAsia="宋体"/>
                <w:b w:val="0"/>
                <w:i w:val="0"/>
                <w:sz w:val="18"/>
              </w:rPr>
              <w:t>&lt;=2025年5月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9CF82">
            <w:pPr>
              <w:spacing w:before="0" w:after="0" w:line="240" w:lineRule="auto"/>
              <w:jc w:val="center"/>
            </w:pPr>
            <w:r>
              <w:rPr>
                <w:rFonts w:ascii="宋体" w:hAnsi="宋体" w:eastAsia="宋体"/>
                <w:b w:val="0"/>
                <w:i w:val="0"/>
                <w:sz w:val="18"/>
              </w:rPr>
              <w:t>=2025年5月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4B35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FCC3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F85E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5D9D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F9E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BA6F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BB402">
            <w:pPr>
              <w:spacing w:before="0" w:after="0" w:line="240" w:lineRule="auto"/>
              <w:jc w:val="center"/>
            </w:pPr>
          </w:p>
        </w:tc>
      </w:tr>
      <w:tr w14:paraId="2064999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7D22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9DE1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7AE7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CFFDD">
            <w:pPr>
              <w:spacing w:before="0" w:after="0" w:line="240" w:lineRule="auto"/>
              <w:jc w:val="center"/>
            </w:pPr>
            <w:r>
              <w:rPr>
                <w:rFonts w:ascii="宋体" w:hAnsi="宋体" w:eastAsia="宋体"/>
                <w:b w:val="0"/>
                <w:i w:val="0"/>
                <w:color w:val="000000"/>
                <w:sz w:val="18"/>
              </w:rPr>
              <w:t>项目计划完工时间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2678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1DE4F">
            <w:pPr>
              <w:spacing w:before="0" w:after="0" w:line="240" w:lineRule="auto"/>
              <w:jc w:val="center"/>
            </w:pPr>
            <w:r>
              <w:rPr>
                <w:rFonts w:ascii="宋体" w:hAnsi="宋体" w:eastAsia="宋体"/>
                <w:b w:val="0"/>
                <w:i w:val="0"/>
                <w:sz w:val="18"/>
              </w:rPr>
              <w:t>&lt;=2025年11月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7E0B7">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C93D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E3C6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98E2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67DD9">
            <w:pPr>
              <w:spacing w:before="0" w:after="0" w:line="240" w:lineRule="auto"/>
              <w:jc w:val="center"/>
            </w:pPr>
            <w:r>
              <w:rPr>
                <w:rFonts w:ascii="宋体" w:hAnsi="宋体" w:eastAsia="宋体"/>
                <w:b w:val="0"/>
                <w:i w:val="0"/>
                <w:sz w:val="18"/>
              </w:rPr>
              <w:t>2024年8月15日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715A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E7E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0E7C4">
            <w:pPr>
              <w:spacing w:before="0" w:after="0" w:line="240" w:lineRule="auto"/>
              <w:jc w:val="center"/>
            </w:pPr>
          </w:p>
        </w:tc>
      </w:tr>
      <w:tr w14:paraId="017508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6EBC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6BC48">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E178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2777F">
            <w:pPr>
              <w:spacing w:before="0" w:after="0" w:line="240" w:lineRule="auto"/>
              <w:jc w:val="center"/>
            </w:pPr>
            <w:r>
              <w:rPr>
                <w:rFonts w:ascii="宋体" w:hAnsi="宋体" w:eastAsia="宋体"/>
                <w:b w:val="0"/>
                <w:i w:val="0"/>
                <w:color w:val="000000"/>
                <w:sz w:val="18"/>
              </w:rPr>
              <w:t>坝区闸房门窗拆除 及更换安装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F541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E4B83">
            <w:pPr>
              <w:spacing w:before="0" w:after="0" w:line="240" w:lineRule="auto"/>
              <w:jc w:val="center"/>
            </w:pPr>
            <w:r>
              <w:rPr>
                <w:rFonts w:ascii="宋体" w:hAnsi="宋体" w:eastAsia="宋体"/>
                <w:b w:val="0"/>
                <w:i w:val="0"/>
                <w:sz w:val="18"/>
              </w:rPr>
              <w:t>&lt;=21万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34158">
            <w:pPr>
              <w:spacing w:before="0" w:after="0" w:line="240" w:lineRule="auto"/>
              <w:jc w:val="center"/>
            </w:pPr>
            <w:r>
              <w:rPr>
                <w:rFonts w:ascii="宋体" w:hAnsi="宋体" w:eastAsia="宋体"/>
                <w:b w:val="0"/>
                <w:i w:val="0"/>
                <w:sz w:val="18"/>
              </w:rPr>
              <w:t>=21万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65F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1B33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0DCD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F5C9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2FC5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4E2E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D6995">
            <w:pPr>
              <w:spacing w:before="0" w:after="0" w:line="240" w:lineRule="auto"/>
              <w:jc w:val="center"/>
            </w:pPr>
          </w:p>
        </w:tc>
      </w:tr>
      <w:tr w14:paraId="3FC10E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3166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F456B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A7DF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949D8">
            <w:pPr>
              <w:spacing w:before="0" w:after="0" w:line="240" w:lineRule="auto"/>
              <w:jc w:val="center"/>
            </w:pPr>
            <w:r>
              <w:rPr>
                <w:rFonts w:ascii="宋体" w:hAnsi="宋体" w:eastAsia="宋体"/>
                <w:b w:val="0"/>
                <w:i w:val="0"/>
                <w:color w:val="000000"/>
                <w:sz w:val="18"/>
              </w:rPr>
              <w:t>坝区闸房 屋顶防水处理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F762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95382">
            <w:pPr>
              <w:spacing w:before="0" w:after="0" w:line="240" w:lineRule="auto"/>
              <w:jc w:val="center"/>
            </w:pPr>
            <w:r>
              <w:rPr>
                <w:rFonts w:ascii="宋体" w:hAnsi="宋体" w:eastAsia="宋体"/>
                <w:b w:val="0"/>
                <w:i w:val="0"/>
                <w:sz w:val="18"/>
              </w:rPr>
              <w:t>&lt;=9万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85A03">
            <w:pPr>
              <w:spacing w:before="0" w:after="0" w:line="240" w:lineRule="auto"/>
              <w:jc w:val="center"/>
            </w:pPr>
            <w:r>
              <w:rPr>
                <w:rFonts w:ascii="宋体" w:hAnsi="宋体" w:eastAsia="宋体"/>
                <w:b w:val="0"/>
                <w:i w:val="0"/>
                <w:sz w:val="18"/>
              </w:rPr>
              <w:t>=9万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7B31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584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2CC1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8B20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65C1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7A2C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EC167">
            <w:pPr>
              <w:spacing w:before="0" w:after="0" w:line="240" w:lineRule="auto"/>
              <w:jc w:val="center"/>
            </w:pPr>
          </w:p>
        </w:tc>
      </w:tr>
      <w:tr w14:paraId="358138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E27F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815B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6F45A">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AAA70">
            <w:pPr>
              <w:spacing w:before="0" w:after="0" w:line="240" w:lineRule="auto"/>
              <w:jc w:val="center"/>
            </w:pPr>
            <w:r>
              <w:rPr>
                <w:rFonts w:ascii="宋体" w:hAnsi="宋体" w:eastAsia="宋体"/>
                <w:b w:val="0"/>
                <w:i w:val="0"/>
                <w:color w:val="000000"/>
                <w:sz w:val="18"/>
              </w:rPr>
              <w:t>为下游生态保护提供必要水量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EEA96">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D9A20">
            <w:pPr>
              <w:spacing w:before="0" w:after="0" w:line="240" w:lineRule="auto"/>
              <w:jc w:val="center"/>
            </w:pPr>
            <w:r>
              <w:rPr>
                <w:rFonts w:ascii="宋体" w:hAnsi="宋体" w:eastAsia="宋体"/>
                <w:b w:val="0"/>
                <w:i w:val="0"/>
                <w:sz w:val="18"/>
              </w:rPr>
              <w:t>&gt;=1.84亿平方米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886B7">
            <w:pPr>
              <w:spacing w:before="0" w:after="0" w:line="240" w:lineRule="auto"/>
              <w:jc w:val="center"/>
            </w:pPr>
            <w:r>
              <w:rPr>
                <w:rFonts w:ascii="宋体" w:hAnsi="宋体" w:eastAsia="宋体"/>
                <w:b w:val="0"/>
                <w:i w:val="0"/>
                <w:sz w:val="18"/>
              </w:rPr>
              <w:t>=1.84亿平方米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48B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0309B">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EB40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7A2E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2025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7A7D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ADE5E">
            <w:pPr>
              <w:spacing w:before="0" w:after="0" w:line="240" w:lineRule="auto"/>
              <w:jc w:val="center"/>
            </w:pPr>
          </w:p>
        </w:tc>
      </w:tr>
      <w:tr w14:paraId="2D205646">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D7193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4BC9F">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287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0F99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487E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7B3CE">
            <w:pPr>
              <w:spacing w:before="0" w:after="0" w:line="240" w:lineRule="auto"/>
              <w:jc w:val="center"/>
            </w:pPr>
            <w:r>
              <w:rPr>
                <w:rFonts w:ascii="宋体" w:hAnsi="宋体" w:eastAsia="宋体"/>
                <w:b w:val="0"/>
                <w:i w:val="0"/>
                <w:color w:val="000000"/>
                <w:sz w:val="18"/>
              </w:rPr>
              <w:t>91.18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413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F34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0B8A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609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25797">
            <w:pPr>
              <w:spacing w:before="0" w:after="0" w:line="240" w:lineRule="auto"/>
              <w:jc w:val="center"/>
            </w:pPr>
          </w:p>
        </w:tc>
      </w:tr>
    </w:tbl>
    <w:p w14:paraId="7112558F">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2D763D9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72D081">
            <w:pPr>
              <w:spacing w:before="0" w:after="0" w:line="240" w:lineRule="auto"/>
              <w:jc w:val="center"/>
            </w:pPr>
            <w:r>
              <w:rPr>
                <w:rFonts w:ascii="宋体" w:hAnsi="宋体" w:eastAsia="宋体"/>
                <w:b/>
                <w:i w:val="0"/>
                <w:sz w:val="32"/>
              </w:rPr>
              <w:t>项目支出绩效自评表</w:t>
            </w:r>
          </w:p>
        </w:tc>
      </w:tr>
      <w:tr w14:paraId="00263CA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CC07B22">
            <w:pPr>
              <w:spacing w:before="0" w:after="0" w:line="240" w:lineRule="auto"/>
              <w:jc w:val="center"/>
            </w:pPr>
            <w:r>
              <w:rPr>
                <w:rFonts w:ascii="宋体" w:hAnsi="宋体" w:eastAsia="宋体"/>
                <w:b w:val="0"/>
                <w:i w:val="0"/>
                <w:sz w:val="22"/>
              </w:rPr>
              <w:t>(2025年度)</w:t>
            </w:r>
          </w:p>
        </w:tc>
      </w:tr>
      <w:tr w14:paraId="57E8AF3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5965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5788028">
            <w:pPr>
              <w:spacing w:before="0" w:after="0" w:line="240" w:lineRule="auto"/>
              <w:jc w:val="center"/>
            </w:pPr>
            <w:r>
              <w:rPr>
                <w:rFonts w:ascii="宋体" w:hAnsi="宋体" w:eastAsia="宋体"/>
                <w:b w:val="0"/>
                <w:i w:val="0"/>
                <w:sz w:val="18"/>
              </w:rPr>
              <w:t>2025年经营成本性项目</w:t>
            </w:r>
          </w:p>
        </w:tc>
      </w:tr>
      <w:tr w14:paraId="43BEAC8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1D665">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DFB98B">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C97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BAF140">
            <w:pPr>
              <w:spacing w:before="0" w:after="0" w:line="240" w:lineRule="auto"/>
              <w:jc w:val="center"/>
            </w:pPr>
            <w:r>
              <w:rPr>
                <w:rFonts w:ascii="宋体" w:hAnsi="宋体" w:eastAsia="宋体"/>
                <w:b w:val="0"/>
                <w:i w:val="0"/>
                <w:sz w:val="18"/>
              </w:rPr>
              <w:t>新疆维吾尔自治区塔里木河流域下坂地水利枢纽管理中心</w:t>
            </w:r>
          </w:p>
        </w:tc>
      </w:tr>
      <w:tr w14:paraId="69C9F21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84A91">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E415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FF8D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B81F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B6D7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5CF8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D214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B88DA">
            <w:pPr>
              <w:spacing w:before="0" w:after="0" w:line="240" w:lineRule="auto"/>
              <w:jc w:val="center"/>
            </w:pPr>
            <w:r>
              <w:rPr>
                <w:rFonts w:ascii="宋体" w:hAnsi="宋体" w:eastAsia="宋体"/>
                <w:b/>
                <w:i w:val="0"/>
                <w:sz w:val="18"/>
              </w:rPr>
              <w:t>得分</w:t>
            </w:r>
          </w:p>
        </w:tc>
      </w:tr>
      <w:tr w14:paraId="665CC46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C2AF2D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17DBF">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57C0B5">
            <w:pPr>
              <w:spacing w:before="0" w:after="0" w:line="240" w:lineRule="auto"/>
              <w:jc w:val="center"/>
            </w:pPr>
            <w:r>
              <w:rPr>
                <w:rFonts w:ascii="宋体" w:hAnsi="宋体" w:eastAsia="宋体"/>
                <w:b w:val="0"/>
                <w:i w:val="0"/>
                <w:sz w:val="18"/>
              </w:rPr>
              <w:t>1,367.88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D2199">
            <w:pPr>
              <w:spacing w:before="0" w:after="0" w:line="240" w:lineRule="auto"/>
              <w:jc w:val="center"/>
            </w:pPr>
            <w:r>
              <w:rPr>
                <w:rFonts w:ascii="宋体" w:hAnsi="宋体" w:eastAsia="宋体"/>
                <w:b w:val="0"/>
                <w:i w:val="0"/>
                <w:sz w:val="18"/>
              </w:rPr>
              <w:t>1,367.88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3D566">
            <w:pPr>
              <w:spacing w:before="0" w:after="0" w:line="240" w:lineRule="auto"/>
              <w:jc w:val="center"/>
            </w:pPr>
            <w:r>
              <w:rPr>
                <w:rFonts w:ascii="宋体" w:hAnsi="宋体" w:eastAsia="宋体"/>
                <w:b w:val="0"/>
                <w:i w:val="0"/>
                <w:sz w:val="18"/>
              </w:rPr>
              <w:t>1,339.60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C4D5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57077">
            <w:pPr>
              <w:spacing w:before="0" w:after="0" w:line="240" w:lineRule="auto"/>
              <w:jc w:val="center"/>
            </w:pPr>
            <w:r>
              <w:rPr>
                <w:rFonts w:ascii="宋体" w:hAnsi="宋体" w:eastAsia="宋体"/>
                <w:b w:val="0"/>
                <w:i w:val="0"/>
                <w:sz w:val="18"/>
              </w:rPr>
              <w:t>97.93%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7A197">
            <w:pPr>
              <w:spacing w:before="0" w:after="0" w:line="240" w:lineRule="auto"/>
              <w:jc w:val="center"/>
            </w:pPr>
            <w:r>
              <w:rPr>
                <w:rFonts w:ascii="宋体" w:hAnsi="宋体" w:eastAsia="宋体"/>
                <w:b w:val="0"/>
                <w:i w:val="0"/>
                <w:sz w:val="18"/>
              </w:rPr>
              <w:t>10.00</w:t>
            </w:r>
          </w:p>
        </w:tc>
      </w:tr>
      <w:tr w14:paraId="763B62B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CDF2A1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18FB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38AB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1104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04B3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368D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0D47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27A3A">
            <w:pPr>
              <w:spacing w:before="0" w:after="0" w:line="240" w:lineRule="auto"/>
              <w:jc w:val="center"/>
            </w:pPr>
            <w:r>
              <w:rPr>
                <w:rFonts w:ascii="宋体" w:hAnsi="宋体" w:eastAsia="宋体"/>
                <w:b w:val="0"/>
                <w:i w:val="0"/>
                <w:sz w:val="18"/>
              </w:rPr>
              <w:t>-</w:t>
            </w:r>
          </w:p>
        </w:tc>
      </w:tr>
      <w:tr w14:paraId="5B95E37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47B111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D23D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E2A4B">
            <w:pPr>
              <w:spacing w:before="0" w:after="0" w:line="240" w:lineRule="auto"/>
              <w:jc w:val="center"/>
            </w:pPr>
            <w:r>
              <w:rPr>
                <w:rFonts w:ascii="宋体" w:hAnsi="宋体" w:eastAsia="宋体"/>
                <w:b w:val="0"/>
                <w:i w:val="0"/>
                <w:sz w:val="18"/>
              </w:rPr>
              <w:t>1,367.88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5297F">
            <w:pPr>
              <w:spacing w:before="0" w:after="0" w:line="240" w:lineRule="auto"/>
              <w:jc w:val="center"/>
            </w:pPr>
            <w:r>
              <w:rPr>
                <w:rFonts w:ascii="宋体" w:hAnsi="宋体" w:eastAsia="宋体"/>
                <w:b w:val="0"/>
                <w:i w:val="0"/>
                <w:sz w:val="18"/>
              </w:rPr>
              <w:t>1,367.88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D0AF">
            <w:pPr>
              <w:spacing w:before="0" w:after="0" w:line="240" w:lineRule="auto"/>
              <w:jc w:val="center"/>
            </w:pPr>
            <w:r>
              <w:rPr>
                <w:rFonts w:ascii="宋体" w:hAnsi="宋体" w:eastAsia="宋体"/>
                <w:b w:val="0"/>
                <w:i w:val="0"/>
                <w:sz w:val="18"/>
              </w:rPr>
              <w:t>1,339.60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1DCC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CB8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22482">
            <w:pPr>
              <w:spacing w:before="0" w:after="0" w:line="240" w:lineRule="auto"/>
              <w:jc w:val="center"/>
            </w:pPr>
            <w:r>
              <w:rPr>
                <w:rFonts w:ascii="宋体" w:hAnsi="宋体" w:eastAsia="宋体"/>
                <w:b w:val="0"/>
                <w:i w:val="0"/>
                <w:sz w:val="18"/>
              </w:rPr>
              <w:t>-</w:t>
            </w:r>
          </w:p>
        </w:tc>
      </w:tr>
      <w:tr w14:paraId="1419267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73A8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F842B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C3C1F5">
            <w:pPr>
              <w:spacing w:before="0" w:after="0" w:line="240" w:lineRule="auto"/>
              <w:jc w:val="center"/>
            </w:pPr>
            <w:r>
              <w:rPr>
                <w:rFonts w:ascii="宋体" w:hAnsi="宋体" w:eastAsia="宋体"/>
                <w:b/>
                <w:i w:val="0"/>
                <w:sz w:val="18"/>
              </w:rPr>
              <w:t>实际完成情况</w:t>
            </w:r>
          </w:p>
        </w:tc>
      </w:tr>
      <w:tr w14:paraId="6371ADB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88B5E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43A05F">
            <w:pPr>
              <w:spacing w:before="0" w:after="0" w:line="240" w:lineRule="auto"/>
              <w:jc w:val="center"/>
            </w:pPr>
            <w:r>
              <w:rPr>
                <w:rFonts w:ascii="宋体" w:hAnsi="宋体" w:eastAsia="宋体"/>
                <w:b w:val="0"/>
                <w:i w:val="0"/>
                <w:sz w:val="18"/>
              </w:rPr>
              <w:t>1.监督资金支付准确性及安全性，确保相关项目按照计划，及时开展实施，监督项目进度按计划完成。
2.保证新疆下坂地水利枢纽工程完整性，防范化解重大风险点，保证工程安全稳定运行，充分发挥工程的防洪、灌溉、生态、发电等效益。</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627AE1">
            <w:pPr>
              <w:spacing w:before="0" w:after="0" w:line="240" w:lineRule="auto"/>
              <w:jc w:val="center"/>
            </w:pPr>
            <w:r>
              <w:rPr>
                <w:rFonts w:ascii="宋体" w:hAnsi="宋体" w:eastAsia="宋体"/>
                <w:b w:val="0"/>
                <w:i w:val="0"/>
                <w:sz w:val="18"/>
              </w:rPr>
              <w:t>经营成本性项目中全面完成了2套大屏会议系统，任务完成率为100%，以及全面完成6项维修养护项目，任务完成率为100%。工资发放保障人数目标22人，实际完成24人，完成率为109.09%。严格执行工资发放流程，按时足额发放12次工资，保障薪酬及时足额到位。该项目于2025年5月开工，于2025年10月完工。</w:t>
            </w:r>
          </w:p>
        </w:tc>
      </w:tr>
      <w:tr w14:paraId="601B372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59E2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B2AA9">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6408A">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428D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8D99C">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9AF42">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65BB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8404A">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DEBD8">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9F9B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60DC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A0C8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2A5E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B8CE4">
            <w:pPr>
              <w:spacing w:before="0" w:after="0" w:line="240" w:lineRule="auto"/>
              <w:jc w:val="center"/>
            </w:pPr>
            <w:r>
              <w:rPr>
                <w:rFonts w:ascii="宋体" w:hAnsi="宋体" w:eastAsia="宋体"/>
                <w:b/>
                <w:i w:val="0"/>
                <w:sz w:val="18"/>
              </w:rPr>
              <w:t>偏差原因分析及改进措施</w:t>
            </w:r>
          </w:p>
        </w:tc>
      </w:tr>
      <w:tr w14:paraId="5DF9075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87C8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3ABE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AE0F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0D4C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EB82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F420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B8AB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BF9B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BAB0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BED6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2DA1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1364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5607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61DDCF"/>
        </w:tc>
      </w:tr>
      <w:tr w14:paraId="57E1543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79DB6">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CF062">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EC1E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A2B8E">
            <w:pPr>
              <w:spacing w:before="0" w:after="0" w:line="240" w:lineRule="auto"/>
              <w:jc w:val="center"/>
            </w:pPr>
            <w:r>
              <w:rPr>
                <w:rFonts w:ascii="宋体" w:hAnsi="宋体" w:eastAsia="宋体"/>
                <w:b w:val="0"/>
                <w:i w:val="0"/>
                <w:color w:val="000000"/>
                <w:sz w:val="18"/>
              </w:rPr>
              <w:t>大屏会议系统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7EE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D8FB3">
            <w:pPr>
              <w:spacing w:before="0" w:after="0" w:line="240" w:lineRule="auto"/>
              <w:jc w:val="center"/>
            </w:pPr>
            <w:r>
              <w:rPr>
                <w:rFonts w:ascii="宋体" w:hAnsi="宋体" w:eastAsia="宋体"/>
                <w:b w:val="0"/>
                <w:i w:val="0"/>
                <w:sz w:val="18"/>
              </w:rPr>
              <w:t>=2套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0FBC4">
            <w:pPr>
              <w:spacing w:before="0" w:after="0" w:line="240" w:lineRule="auto"/>
              <w:jc w:val="center"/>
            </w:pPr>
            <w:r>
              <w:rPr>
                <w:rFonts w:ascii="宋体" w:hAnsi="宋体" w:eastAsia="宋体"/>
                <w:b w:val="0"/>
                <w:i w:val="0"/>
                <w:sz w:val="18"/>
              </w:rPr>
              <w:t>=2套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12C8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7BD6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DC1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D0CE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3CD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1E8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8D8FB">
            <w:pPr>
              <w:spacing w:before="0" w:after="0" w:line="240" w:lineRule="auto"/>
              <w:jc w:val="center"/>
            </w:pPr>
          </w:p>
        </w:tc>
      </w:tr>
      <w:tr w14:paraId="118580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027C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866D9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5B46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08900">
            <w:pPr>
              <w:spacing w:before="0" w:after="0" w:line="240" w:lineRule="auto"/>
              <w:jc w:val="center"/>
            </w:pPr>
            <w:r>
              <w:rPr>
                <w:rFonts w:ascii="宋体" w:hAnsi="宋体" w:eastAsia="宋体"/>
                <w:b w:val="0"/>
                <w:i w:val="0"/>
                <w:color w:val="000000"/>
                <w:sz w:val="18"/>
              </w:rPr>
              <w:t>维修养护项目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96DD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8CAAF">
            <w:pPr>
              <w:spacing w:before="0" w:after="0" w:line="240" w:lineRule="auto"/>
              <w:jc w:val="center"/>
            </w:pPr>
            <w:r>
              <w:rPr>
                <w:rFonts w:ascii="宋体" w:hAnsi="宋体" w:eastAsia="宋体"/>
                <w:b w:val="0"/>
                <w:i w:val="0"/>
                <w:sz w:val="18"/>
              </w:rPr>
              <w:t>=6项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67D1E">
            <w:pPr>
              <w:spacing w:before="0" w:after="0" w:line="240" w:lineRule="auto"/>
              <w:jc w:val="center"/>
            </w:pPr>
            <w:r>
              <w:rPr>
                <w:rFonts w:ascii="宋体" w:hAnsi="宋体" w:eastAsia="宋体"/>
                <w:b w:val="0"/>
                <w:i w:val="0"/>
                <w:sz w:val="18"/>
              </w:rPr>
              <w:t>=6项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8074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BA9B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D1F0F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73FE4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436A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96F0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9E230">
            <w:pPr>
              <w:spacing w:before="0" w:after="0" w:line="240" w:lineRule="auto"/>
              <w:jc w:val="center"/>
            </w:pPr>
          </w:p>
        </w:tc>
      </w:tr>
      <w:tr w14:paraId="59377DB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E71D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24DC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5E9E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2D771">
            <w:pPr>
              <w:spacing w:before="0" w:after="0" w:line="240" w:lineRule="auto"/>
              <w:jc w:val="center"/>
            </w:pPr>
            <w:r>
              <w:rPr>
                <w:rFonts w:ascii="宋体" w:hAnsi="宋体" w:eastAsia="宋体"/>
                <w:b w:val="0"/>
                <w:i w:val="0"/>
                <w:color w:val="000000"/>
                <w:sz w:val="18"/>
              </w:rPr>
              <w:t>工资保证人数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8A3E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AEEA4">
            <w:pPr>
              <w:spacing w:before="0" w:after="0" w:line="240" w:lineRule="auto"/>
              <w:jc w:val="center"/>
            </w:pPr>
            <w:r>
              <w:rPr>
                <w:rFonts w:ascii="宋体" w:hAnsi="宋体" w:eastAsia="宋体"/>
                <w:b w:val="0"/>
                <w:i w:val="0"/>
                <w:sz w:val="18"/>
              </w:rPr>
              <w:t>=22人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99537">
            <w:pPr>
              <w:spacing w:before="0" w:after="0" w:line="240" w:lineRule="auto"/>
              <w:jc w:val="center"/>
            </w:pPr>
            <w:r>
              <w:rPr>
                <w:rFonts w:ascii="宋体" w:hAnsi="宋体" w:eastAsia="宋体"/>
                <w:b w:val="0"/>
                <w:i w:val="0"/>
                <w:sz w:val="18"/>
              </w:rPr>
              <w:t>=24人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9E2C0">
            <w:pPr>
              <w:spacing w:before="0" w:after="0" w:line="240" w:lineRule="auto"/>
              <w:jc w:val="center"/>
            </w:pPr>
            <w:r>
              <w:rPr>
                <w:rFonts w:ascii="宋体" w:hAnsi="宋体" w:eastAsia="宋体"/>
                <w:b w:val="0"/>
                <w:i w:val="0"/>
                <w:sz w:val="18"/>
              </w:rPr>
              <w:t>109.09%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99A3E">
            <w:pPr>
              <w:spacing w:before="0" w:after="0" w:line="240" w:lineRule="auto"/>
              <w:jc w:val="center"/>
            </w:pPr>
            <w:r>
              <w:rPr>
                <w:rFonts w:ascii="宋体" w:hAnsi="宋体" w:eastAsia="宋体"/>
                <w:b w:val="0"/>
                <w:i w:val="0"/>
                <w:sz w:val="18"/>
              </w:rPr>
              <w:t>4.55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2DE6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1EC7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1AB8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8B24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946EB">
            <w:pPr>
              <w:spacing w:before="0" w:after="0" w:line="240" w:lineRule="auto"/>
              <w:jc w:val="center"/>
            </w:pPr>
            <w:r>
              <w:rPr>
                <w:rFonts w:ascii="宋体" w:hAnsi="宋体" w:eastAsia="宋体"/>
                <w:b w:val="0"/>
                <w:i w:val="0"/>
                <w:sz w:val="18"/>
              </w:rPr>
              <w:t>2025年度，因单位业务开展需要，经统筹安排新增聘用西部计划志愿者2名。受此影响，本年度月均发放工资人数为24人，较年初设定的绩效目标人数22人有所增加，从而形成人数偏差。</w:t>
            </w:r>
          </w:p>
        </w:tc>
      </w:tr>
      <w:tr w14:paraId="102A6F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41CA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1CA9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4190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F9EA4">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D0F7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CBFCC">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7D697">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2B2A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0D7D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6458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5F1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D135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F5D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AD7C0">
            <w:pPr>
              <w:spacing w:before="0" w:after="0" w:line="240" w:lineRule="auto"/>
              <w:jc w:val="center"/>
            </w:pPr>
          </w:p>
        </w:tc>
      </w:tr>
      <w:tr w14:paraId="268350E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A037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7B5A7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21A3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0948D">
            <w:pPr>
              <w:spacing w:before="0" w:after="0" w:line="240" w:lineRule="auto"/>
              <w:jc w:val="center"/>
            </w:pPr>
            <w:r>
              <w:rPr>
                <w:rFonts w:ascii="宋体" w:hAnsi="宋体" w:eastAsia="宋体"/>
                <w:b w:val="0"/>
                <w:i w:val="0"/>
                <w:color w:val="000000"/>
                <w:sz w:val="18"/>
              </w:rPr>
              <w:t>大屏会议系统验收合格率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E8A9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10A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D8B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D8F3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5F0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0A63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1B51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4860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EAE0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2C17E">
            <w:pPr>
              <w:spacing w:before="0" w:after="0" w:line="240" w:lineRule="auto"/>
              <w:jc w:val="center"/>
            </w:pPr>
          </w:p>
        </w:tc>
      </w:tr>
      <w:tr w14:paraId="3D6E3DA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0FCF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0351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0665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B0DFD">
            <w:pPr>
              <w:spacing w:before="0" w:after="0" w:line="240" w:lineRule="auto"/>
              <w:jc w:val="center"/>
            </w:pPr>
            <w:r>
              <w:rPr>
                <w:rFonts w:ascii="宋体" w:hAnsi="宋体" w:eastAsia="宋体"/>
                <w:b w:val="0"/>
                <w:i w:val="0"/>
                <w:color w:val="000000"/>
                <w:sz w:val="18"/>
              </w:rPr>
              <w:t>维修养护项目验收合格率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B5FD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E520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B99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D4F4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2637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D70E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58E7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0C2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C77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8C067">
            <w:pPr>
              <w:spacing w:before="0" w:after="0" w:line="240" w:lineRule="auto"/>
              <w:jc w:val="center"/>
            </w:pPr>
          </w:p>
        </w:tc>
      </w:tr>
      <w:tr w14:paraId="10027CB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43B9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7AE4F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DC4B7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6994B">
            <w:pPr>
              <w:spacing w:before="0" w:after="0" w:line="240" w:lineRule="auto"/>
              <w:jc w:val="center"/>
            </w:pPr>
            <w:r>
              <w:rPr>
                <w:rFonts w:ascii="宋体" w:hAnsi="宋体" w:eastAsia="宋体"/>
                <w:b w:val="0"/>
                <w:i w:val="0"/>
                <w:color w:val="000000"/>
                <w:sz w:val="18"/>
              </w:rPr>
              <w:t>项目开工时间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365D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A3CB7">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6AF8F">
            <w:pPr>
              <w:spacing w:before="0" w:after="0" w:line="240" w:lineRule="auto"/>
              <w:jc w:val="center"/>
            </w:pPr>
            <w:r>
              <w:rPr>
                <w:rFonts w:ascii="宋体" w:hAnsi="宋体" w:eastAsia="宋体"/>
                <w:b w:val="0"/>
                <w:i w:val="0"/>
                <w:sz w:val="18"/>
              </w:rPr>
              <w: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D6C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3A99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BB5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97C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957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5AEA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AD627">
            <w:pPr>
              <w:spacing w:before="0" w:after="0" w:line="240" w:lineRule="auto"/>
              <w:jc w:val="center"/>
            </w:pPr>
          </w:p>
        </w:tc>
      </w:tr>
      <w:tr w14:paraId="13F079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6F27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63897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08C7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C8FE9">
            <w:pPr>
              <w:spacing w:before="0" w:after="0" w:line="240" w:lineRule="auto"/>
              <w:jc w:val="center"/>
            </w:pPr>
            <w:r>
              <w:rPr>
                <w:rFonts w:ascii="宋体" w:hAnsi="宋体" w:eastAsia="宋体"/>
                <w:b w:val="0"/>
                <w:i w:val="0"/>
                <w:color w:val="000000"/>
                <w:sz w:val="18"/>
              </w:rPr>
              <w:t>项目计划完工时间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BE98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99457">
            <w:pPr>
              <w:spacing w:before="0" w:after="0" w:line="240" w:lineRule="auto"/>
              <w:jc w:val="center"/>
            </w:pPr>
            <w:r>
              <w:rPr>
                <w:rFonts w:ascii="宋体" w:hAnsi="宋体" w:eastAsia="宋体"/>
                <w:b w:val="0"/>
                <w:i w:val="0"/>
                <w:sz w:val="18"/>
              </w:rPr>
              <w:t>&lt;=12月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43957">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C03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A2DA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632B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045A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F20F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C60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2521C">
            <w:pPr>
              <w:spacing w:before="0" w:after="0" w:line="240" w:lineRule="auto"/>
              <w:jc w:val="center"/>
            </w:pPr>
          </w:p>
        </w:tc>
      </w:tr>
      <w:tr w14:paraId="3902E7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2AD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51B9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A6825">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C82C1">
            <w:pPr>
              <w:spacing w:before="0" w:after="0" w:line="240" w:lineRule="auto"/>
              <w:jc w:val="center"/>
            </w:pPr>
            <w:r>
              <w:rPr>
                <w:rFonts w:ascii="宋体" w:hAnsi="宋体" w:eastAsia="宋体"/>
                <w:b w:val="0"/>
                <w:i w:val="0"/>
                <w:color w:val="000000"/>
                <w:sz w:val="18"/>
              </w:rPr>
              <w:t>生态补水体量（立方米）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1ED38">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E075A">
            <w:pPr>
              <w:spacing w:before="0" w:after="0" w:line="240" w:lineRule="auto"/>
              <w:jc w:val="center"/>
            </w:pPr>
            <w:r>
              <w:rPr>
                <w:rFonts w:ascii="宋体" w:hAnsi="宋体" w:eastAsia="宋体"/>
                <w:b w:val="0"/>
                <w:i w:val="0"/>
                <w:sz w:val="18"/>
              </w:rPr>
              <w:t>&gt;=1.84亿立方米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98EBC">
            <w:pPr>
              <w:spacing w:before="0" w:after="0" w:line="240" w:lineRule="auto"/>
              <w:jc w:val="center"/>
            </w:pPr>
            <w:r>
              <w:rPr>
                <w:rFonts w:ascii="宋体" w:hAnsi="宋体" w:eastAsia="宋体"/>
                <w:b w:val="0"/>
                <w:i w:val="0"/>
                <w:sz w:val="18"/>
              </w:rPr>
              <w:t>=1.84亿立方米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5CE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4788E">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EDC7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5EB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7230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D789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36766">
            <w:pPr>
              <w:spacing w:before="0" w:after="0" w:line="240" w:lineRule="auto"/>
              <w:jc w:val="center"/>
            </w:pPr>
          </w:p>
        </w:tc>
      </w:tr>
      <w:tr w14:paraId="6B9BDB3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AA005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774D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4112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E34E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D0EA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39336">
            <w:pPr>
              <w:spacing w:before="0" w:after="0" w:line="240" w:lineRule="auto"/>
              <w:jc w:val="center"/>
            </w:pPr>
            <w:r>
              <w:rPr>
                <w:rFonts w:ascii="宋体" w:hAnsi="宋体" w:eastAsia="宋体"/>
                <w:b w:val="0"/>
                <w:i w:val="0"/>
                <w:color w:val="000000"/>
                <w:sz w:val="18"/>
              </w:rPr>
              <w:t>99.55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75E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A3C4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627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D396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7BDBC">
            <w:pPr>
              <w:spacing w:before="0" w:after="0" w:line="240" w:lineRule="auto"/>
              <w:jc w:val="center"/>
            </w:pPr>
          </w:p>
        </w:tc>
      </w:tr>
    </w:tbl>
    <w:p w14:paraId="6FA4002E">
      <w:r>
        <w:br w:type="page"/>
      </w:r>
    </w:p>
    <w:p w14:paraId="2EEDF298">
      <w:pPr>
        <w:sectPr>
          <w:type w:val="continuous"/>
          <w:pgSz w:w="11906" w:h="16838"/>
          <w:pgMar w:top="1440" w:right="1800" w:bottom="1440" w:left="1800" w:header="851" w:footer="992" w:gutter="0"/>
          <w:cols w:space="720" w:num="1"/>
          <w:docGrid w:type="lines" w:linePitch="312" w:charSpace="0"/>
        </w:sectPr>
      </w:pPr>
    </w:p>
    <w:p w14:paraId="7A2FA71D">
      <w:pPr>
        <w:spacing w:line="640" w:lineRule="exact"/>
        <w:ind w:firstLine="640"/>
        <w:jc w:val="both"/>
        <w:outlineLvl w:val="2"/>
      </w:pPr>
      <w:r>
        <w:rPr>
          <w:rFonts w:ascii="黑体" w:hAnsi="黑体" w:eastAsia="黑体"/>
          <w:sz w:val="32"/>
        </w:rPr>
        <w:t>十二、其他需说明的事项</w:t>
      </w:r>
    </w:p>
    <w:p w14:paraId="591DC65C">
      <w:pPr>
        <w:spacing w:line="580" w:lineRule="exact"/>
        <w:ind w:firstLine="640"/>
        <w:jc w:val="both"/>
      </w:pPr>
      <w:r>
        <w:rPr>
          <w:rFonts w:ascii="仿宋_GB2312" w:hAnsi="仿宋_GB2312" w:eastAsia="仿宋_GB2312"/>
          <w:b w:val="0"/>
          <w:sz w:val="32"/>
        </w:rPr>
        <w:t>本单位无其他需说明事项。</w:t>
      </w:r>
    </w:p>
    <w:p w14:paraId="49E5242F">
      <w:r>
        <w:br w:type="page"/>
      </w:r>
    </w:p>
    <w:p w14:paraId="44C4DA7D">
      <w:pPr>
        <w:spacing w:line="600" w:lineRule="exact"/>
        <w:jc w:val="center"/>
        <w:outlineLvl w:val="0"/>
      </w:pPr>
      <w:r>
        <w:rPr>
          <w:rFonts w:ascii="黑体" w:hAnsi="黑体" w:eastAsia="黑体"/>
          <w:sz w:val="32"/>
        </w:rPr>
        <w:t>第三部分 专业名词解释</w:t>
      </w:r>
    </w:p>
    <w:p w14:paraId="7CD3EF00">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D06F72F">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B52062">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31D5573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2FD5AE">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72375F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9A3F9A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AD0274A">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75F7F2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13AFB2C">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37FFEC0">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78A7A94">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30A773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E69CC71">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8A8FC62">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F0FFF17">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B6860F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5C5B797">
      <w:r>
        <w:br w:type="page"/>
      </w:r>
    </w:p>
    <w:p w14:paraId="568D2805">
      <w:pPr>
        <w:spacing w:line="240" w:lineRule="auto"/>
        <w:jc w:val="center"/>
        <w:outlineLvl w:val="1"/>
      </w:pPr>
      <w:r>
        <w:rPr>
          <w:rFonts w:ascii="黑体" w:hAnsi="黑体" w:eastAsia="黑体"/>
          <w:sz w:val="32"/>
        </w:rPr>
        <w:t>第四部分 部门决算报表（见附表）</w:t>
      </w:r>
    </w:p>
    <w:p w14:paraId="2A32A5B5">
      <w:pPr>
        <w:autoSpaceDE w:val="0"/>
        <w:autoSpaceDN w:val="0"/>
        <w:spacing w:line="600" w:lineRule="exact"/>
        <w:ind w:firstLine="640" w:firstLineChars="200"/>
      </w:pPr>
      <w:r>
        <w:rPr>
          <w:rFonts w:ascii="仿宋_GB2312" w:hAnsi="仿宋_GB2312" w:eastAsia="仿宋_GB2312"/>
          <w:b w:val="0"/>
          <w:sz w:val="32"/>
        </w:rPr>
        <w:t>一、《收入支出决算总表》</w:t>
      </w:r>
    </w:p>
    <w:p w14:paraId="2858A368">
      <w:pPr>
        <w:autoSpaceDE w:val="0"/>
        <w:autoSpaceDN w:val="0"/>
        <w:spacing w:line="600" w:lineRule="exact"/>
        <w:ind w:firstLine="640" w:firstLineChars="200"/>
      </w:pPr>
      <w:r>
        <w:rPr>
          <w:rFonts w:ascii="仿宋_GB2312" w:hAnsi="仿宋_GB2312" w:eastAsia="仿宋_GB2312"/>
          <w:b w:val="0"/>
          <w:sz w:val="32"/>
        </w:rPr>
        <w:t>二、《收入决算表》</w:t>
      </w:r>
    </w:p>
    <w:p w14:paraId="28EE4609">
      <w:pPr>
        <w:autoSpaceDE w:val="0"/>
        <w:autoSpaceDN w:val="0"/>
        <w:spacing w:line="600" w:lineRule="exact"/>
        <w:ind w:firstLine="640" w:firstLineChars="200"/>
      </w:pPr>
      <w:r>
        <w:rPr>
          <w:rFonts w:ascii="仿宋_GB2312" w:hAnsi="仿宋_GB2312" w:eastAsia="仿宋_GB2312"/>
          <w:b w:val="0"/>
          <w:sz w:val="32"/>
        </w:rPr>
        <w:t>三、《支出决算表》</w:t>
      </w:r>
    </w:p>
    <w:p w14:paraId="6A50499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71A74B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35C70DAF">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158E9A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24C8EEA">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5D712F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9774525">
      <w:pPr>
        <w:autoSpaceDE w:val="0"/>
        <w:autoSpaceDN w:val="0"/>
        <w:spacing w:line="600" w:lineRule="exact"/>
        <w:ind w:firstLine="640" w:firstLineChars="200"/>
      </w:pPr>
    </w:p>
    <w:p w14:paraId="0D63B582">
      <w:pPr>
        <w:autoSpaceDE w:val="0"/>
        <w:autoSpaceDN w:val="0"/>
        <w:spacing w:line="600" w:lineRule="exact"/>
        <w:ind w:firstLine="640" w:firstLineChars="200"/>
      </w:pPr>
    </w:p>
    <w:p w14:paraId="12F3AE3A">
      <w:pPr>
        <w:autoSpaceDE w:val="0"/>
        <w:autoSpaceDN w:val="0"/>
        <w:spacing w:line="600" w:lineRule="exact"/>
        <w:ind w:firstLine="640" w:firstLineChars="200"/>
      </w:pPr>
    </w:p>
    <w:p w14:paraId="72696AD7">
      <w:pPr>
        <w:autoSpaceDE w:val="0"/>
        <w:autoSpaceDN w:val="0"/>
        <w:spacing w:line="600" w:lineRule="exact"/>
        <w:ind w:firstLine="640" w:firstLineChars="200"/>
      </w:pPr>
    </w:p>
    <w:p w14:paraId="24DCBBB6">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A0F913-8BF6-4D1F-9DA5-FA7B71A6FB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7D3FFBA-CE2D-4565-93BE-A2AC2ACC30BF}"/>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18EA92F0-4AE1-4275-868F-9E95732082D5}"/>
  </w:font>
  <w:font w:name="楷体_GB2312">
    <w:altName w:val="楷体"/>
    <w:panose1 w:val="00000000000000000000"/>
    <w:charset w:val="00"/>
    <w:family w:val="auto"/>
    <w:pitch w:val="default"/>
    <w:sig w:usb0="00000000" w:usb1="00000000" w:usb2="00000000" w:usb3="00000000" w:csb0="00000000" w:csb1="00000000"/>
    <w:embedRegular r:id="rId4" w:fontKey="{D47FADE4-E4D1-4404-8071-FB42767CF1A6}"/>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D653651"/>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2659</Words>
  <Characters>3085</Characters>
  <Lines>10</Lines>
  <Paragraphs>2</Paragraphs>
  <TotalTime>13</TotalTime>
  <ScaleCrop>false</ScaleCrop>
  <LinksUpToDate>false</LinksUpToDate>
  <CharactersWithSpaces>3094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雨。</cp:lastModifiedBy>
  <cp:lastPrinted>2024-07-22T11:58:00Z</cp:lastPrinted>
  <dcterms:modified xsi:type="dcterms:W3CDTF">2026-08-28T08:33:18Z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8FDA567F26D84A8C8A1B02E29FDE1AE6_13</vt:lpwstr>
  </property>
  <property fmtid="{D5CDD505-2E9C-101B-9397-08002B2CF9AE}" pid="4" name="KSOTemplateDocerSaveRecord">
    <vt:lpwstr>eyJoZGlkIjoiYjc2OWIwYWEwODAyMWYzZDQ3MWM3NTI0ZDMwN2MzZTAiLCJ1c2VySWQiOiIyNTk4NTcxMjUifQ==</vt:lpwstr>
  </property>
</Properties>
</file>