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新疆维吾尔自治区塔里木河流域克孜尔水库管理中心2025年度部门决算公开说明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36AB797">
      <w:r>
        <w:br w:type="page"/>
      </w:r>
    </w:p>
    <w:p w14:paraId="0A85144B">
      <w:pPr>
        <w:spacing w:line="640" w:lineRule="exact"/>
        <w:jc w:val="center"/>
        <w:outlineLvl w:val="1"/>
      </w:pPr>
      <w:r>
        <w:rPr>
          <w:rFonts w:ascii="黑体" w:hAnsi="黑体" w:eastAsia="黑体"/>
          <w:sz w:val="32"/>
        </w:rPr>
        <w:t>第一部分 单位概况</w:t>
      </w:r>
    </w:p>
    <w:p w14:paraId="0D368AA7">
      <w:pPr>
        <w:spacing w:line="640" w:lineRule="exact"/>
        <w:ind w:firstLine="640"/>
        <w:jc w:val="both"/>
        <w:outlineLvl w:val="2"/>
      </w:pPr>
      <w:r>
        <w:rPr>
          <w:rFonts w:ascii="黑体" w:hAnsi="黑体" w:eastAsia="黑体"/>
          <w:sz w:val="32"/>
        </w:rPr>
        <w:t>一、主要职能</w:t>
      </w:r>
    </w:p>
    <w:p w14:paraId="4BCF7E05">
      <w:pPr>
        <w:spacing w:line="580" w:lineRule="exact"/>
        <w:ind w:firstLine="640"/>
        <w:jc w:val="both"/>
      </w:pPr>
      <w:r>
        <w:rPr>
          <w:rFonts w:ascii="仿宋_GB2312" w:hAnsi="仿宋_GB2312" w:eastAsia="仿宋_GB2312"/>
          <w:sz w:val="32"/>
        </w:rPr>
        <w:t>新疆维吾尔自治区塔里木河流域克孜尔水库管理中心（以下简称</w:t>
      </w:r>
      <w:r>
        <w:rPr>
          <w:rFonts w:hint="eastAsia" w:ascii="仿宋_GB2312" w:hAnsi="仿宋_GB2312" w:eastAsia="仿宋_GB2312"/>
          <w:sz w:val="32"/>
          <w:lang w:eastAsia="zh-CN"/>
        </w:rPr>
        <w:t>“</w:t>
      </w:r>
      <w:r>
        <w:rPr>
          <w:rFonts w:ascii="仿宋_GB2312" w:hAnsi="仿宋_GB2312" w:eastAsia="仿宋_GB2312"/>
          <w:sz w:val="32"/>
        </w:rPr>
        <w:t>克孜尔水管中心</w:t>
      </w:r>
      <w:r>
        <w:rPr>
          <w:rFonts w:hint="eastAsia" w:ascii="仿宋_GB2312" w:hAnsi="仿宋_GB2312" w:eastAsia="仿宋_GB2312"/>
          <w:sz w:val="32"/>
          <w:lang w:eastAsia="zh-CN"/>
        </w:rPr>
        <w:t>”</w:t>
      </w:r>
      <w:r>
        <w:rPr>
          <w:rFonts w:ascii="仿宋_GB2312" w:hAnsi="仿宋_GB2312" w:eastAsia="仿宋_GB2312"/>
          <w:sz w:val="32"/>
        </w:rPr>
        <w:t>）为隶属于塔管局的公益二类事业单位，负责克孜尔水库的运行管理。主要职能如下。</w:t>
      </w:r>
    </w:p>
    <w:p w14:paraId="26CFD0BD">
      <w:pPr>
        <w:spacing w:line="580" w:lineRule="exact"/>
        <w:ind w:firstLine="640"/>
        <w:jc w:val="both"/>
      </w:pPr>
      <w:r>
        <w:rPr>
          <w:rFonts w:ascii="仿宋_GB2312" w:hAnsi="仿宋_GB2312" w:eastAsia="仿宋_GB2312"/>
          <w:sz w:val="32"/>
        </w:rPr>
        <w:t>（一）贯彻落实《中华人民共和国水法》《新疆维吾尔自治区塔里木河流域水资源管理条例》等</w:t>
      </w:r>
      <w:r>
        <w:rPr>
          <w:rFonts w:hint="eastAsia" w:ascii="仿宋_GB2312" w:hAnsi="仿宋_GB2312" w:eastAsia="仿宋_GB2312"/>
          <w:sz w:val="32"/>
          <w:lang w:eastAsia="zh-CN"/>
        </w:rPr>
        <w:t>法律法规</w:t>
      </w:r>
      <w:r>
        <w:rPr>
          <w:rFonts w:ascii="仿宋_GB2312" w:hAnsi="仿宋_GB2312" w:eastAsia="仿宋_GB2312"/>
          <w:sz w:val="32"/>
        </w:rPr>
        <w:t>；落实工程法人责任相关管理制度；负责克孜尔水库管理中心的工程建设、验收、维护和运行管理工作。</w:t>
      </w:r>
    </w:p>
    <w:p w14:paraId="097D07CB">
      <w:pPr>
        <w:spacing w:line="580" w:lineRule="exact"/>
        <w:ind w:firstLine="640"/>
        <w:jc w:val="both"/>
      </w:pPr>
      <w:r>
        <w:rPr>
          <w:rFonts w:ascii="仿宋_GB2312" w:hAnsi="仿宋_GB2312" w:eastAsia="仿宋_GB2312"/>
          <w:sz w:val="32"/>
        </w:rPr>
        <w:t>（二）负责克孜尔水库管理中心国有资产管理；承担水库运行管理、灌溉、防洪度汛、防灾减灾、发电供水、安全生产、水费收缴；负责水库管理范围内的水土保持、泥沙治理，发挥水库的综合效益。</w:t>
      </w:r>
    </w:p>
    <w:p w14:paraId="5D2136CA">
      <w:pPr>
        <w:spacing w:line="580" w:lineRule="exact"/>
        <w:ind w:firstLine="640"/>
        <w:jc w:val="both"/>
      </w:pPr>
      <w:r>
        <w:rPr>
          <w:rFonts w:ascii="仿宋_GB2312" w:hAnsi="仿宋_GB2312" w:eastAsia="仿宋_GB2312"/>
          <w:sz w:val="32"/>
        </w:rPr>
        <w:t>（三）组织实施水利工程建设、管理和运行维护中新技术新材料和新机制新办法的总结推广和应用；承担工程建设和运行管理的资料档案管理工作。</w:t>
      </w:r>
    </w:p>
    <w:p w14:paraId="734668A9">
      <w:pPr>
        <w:spacing w:line="640" w:lineRule="exact"/>
        <w:ind w:firstLine="640"/>
        <w:jc w:val="both"/>
        <w:outlineLvl w:val="2"/>
      </w:pPr>
      <w:r>
        <w:rPr>
          <w:rFonts w:ascii="黑体" w:hAnsi="黑体" w:eastAsia="黑体"/>
          <w:sz w:val="32"/>
        </w:rPr>
        <w:t>二、机构设置</w:t>
      </w:r>
    </w:p>
    <w:p w14:paraId="2A2247C5">
      <w:pPr>
        <w:spacing w:line="580" w:lineRule="exact"/>
        <w:ind w:firstLine="640"/>
        <w:jc w:val="both"/>
      </w:pPr>
      <w:r>
        <w:rPr>
          <w:rFonts w:ascii="仿宋_GB2312" w:hAnsi="仿宋_GB2312" w:eastAsia="仿宋_GB2312"/>
          <w:sz w:val="32"/>
        </w:rPr>
        <w:t>新疆维吾尔自治区塔里木河流域克孜尔水库管理中心无下属预算单位。</w:t>
      </w:r>
    </w:p>
    <w:p w14:paraId="22F8FAA4">
      <w:r>
        <w:br w:type="page"/>
      </w:r>
    </w:p>
    <w:p w14:paraId="36B1036E">
      <w:pPr>
        <w:spacing w:line="240" w:lineRule="auto"/>
        <w:jc w:val="center"/>
        <w:outlineLvl w:val="1"/>
      </w:pPr>
      <w:r>
        <w:rPr>
          <w:rFonts w:ascii="黑体" w:hAnsi="黑体" w:eastAsia="黑体"/>
          <w:sz w:val="32"/>
        </w:rPr>
        <w:t>第二部分 部门决算情况说明</w:t>
      </w:r>
    </w:p>
    <w:p w14:paraId="5C672DF7">
      <w:pPr>
        <w:spacing w:line="640" w:lineRule="exact"/>
        <w:ind w:firstLine="640"/>
        <w:jc w:val="both"/>
        <w:outlineLvl w:val="2"/>
      </w:pPr>
      <w:r>
        <w:rPr>
          <w:rFonts w:ascii="黑体" w:hAnsi="黑体" w:eastAsia="黑体"/>
          <w:sz w:val="32"/>
        </w:rPr>
        <w:t>一、收入支出决算总体情况说明</w:t>
      </w:r>
    </w:p>
    <w:p w14:paraId="405F0357">
      <w:pPr>
        <w:spacing w:line="580" w:lineRule="exact"/>
        <w:ind w:firstLine="640"/>
        <w:jc w:val="both"/>
      </w:pPr>
      <w:r>
        <w:rPr>
          <w:rFonts w:ascii="仿宋_GB2312" w:hAnsi="仿宋_GB2312" w:eastAsia="仿宋_GB2312"/>
          <w:b/>
          <w:sz w:val="32"/>
        </w:rPr>
        <w:t>2025年度收入总计6,628.86万元，</w:t>
      </w:r>
      <w:r>
        <w:rPr>
          <w:rFonts w:ascii="仿宋_GB2312" w:hAnsi="仿宋_GB2312" w:eastAsia="仿宋_GB2312"/>
          <w:b w:val="0"/>
          <w:sz w:val="32"/>
        </w:rPr>
        <w:t>其中：本年收入合计6,628.86万元，使用非财政拨款结余（含专用结余）0.00万元，年初结转和结余0.00万元。</w:t>
      </w:r>
    </w:p>
    <w:p w14:paraId="72D96388">
      <w:pPr>
        <w:spacing w:line="580" w:lineRule="exact"/>
        <w:ind w:firstLine="640"/>
        <w:jc w:val="both"/>
      </w:pPr>
      <w:r>
        <w:rPr>
          <w:rFonts w:ascii="仿宋_GB2312" w:hAnsi="仿宋_GB2312" w:eastAsia="仿宋_GB2312"/>
          <w:b/>
          <w:sz w:val="32"/>
        </w:rPr>
        <w:t>2025年度支出总计6,628.86万元，</w:t>
      </w:r>
      <w:r>
        <w:rPr>
          <w:rFonts w:ascii="仿宋_GB2312" w:hAnsi="仿宋_GB2312" w:eastAsia="仿宋_GB2312"/>
          <w:b w:val="0"/>
          <w:sz w:val="32"/>
        </w:rPr>
        <w:t>其中：本年支出合计4,110.18万元，结余分配2,518.68万元，年末结转和结余0.00万元。</w:t>
      </w:r>
    </w:p>
    <w:p w14:paraId="7C1F6790">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增加2,329.37万元，增长54.18%，主要原因是：根据水费收缴工作安排，本年度调整水费确认周期，实际计入2023年10月至2024年12月及2025年1月至12月共27个月水费收入，较上年大幅增加，故本年收入支出总量相应增加。</w:t>
      </w:r>
    </w:p>
    <w:p w14:paraId="69B6503E">
      <w:pPr>
        <w:spacing w:line="640" w:lineRule="exact"/>
        <w:ind w:firstLine="640"/>
        <w:jc w:val="both"/>
        <w:outlineLvl w:val="2"/>
      </w:pPr>
      <w:r>
        <w:rPr>
          <w:rFonts w:ascii="黑体" w:hAnsi="黑体" w:eastAsia="黑体"/>
          <w:sz w:val="32"/>
        </w:rPr>
        <w:t>二、收入决算情况说明</w:t>
      </w:r>
    </w:p>
    <w:p w14:paraId="5C33BCC5">
      <w:pPr>
        <w:spacing w:line="580" w:lineRule="exact"/>
        <w:ind w:firstLine="640"/>
        <w:jc w:val="both"/>
      </w:pPr>
      <w:r>
        <w:rPr>
          <w:rFonts w:ascii="仿宋_GB2312" w:hAnsi="仿宋_GB2312" w:eastAsia="仿宋_GB2312"/>
          <w:b/>
          <w:sz w:val="32"/>
        </w:rPr>
        <w:t>本年收入6,628.86万元，</w:t>
      </w:r>
      <w:r>
        <w:rPr>
          <w:rFonts w:ascii="仿宋_GB2312" w:hAnsi="仿宋_GB2312" w:eastAsia="仿宋_GB2312"/>
          <w:b w:val="0"/>
          <w:sz w:val="32"/>
        </w:rPr>
        <w:t>其中：财政拨款收入1,527.53万元，占23.04%；上级补助收入0.00万元，占0.00%；事业收入0.00万元，占0.00%；经营收入5,041.72万元，占76.06%；附属单位上缴收入0.00万元，占0.00%；其他收入59.61万元，占0.90%。</w:t>
      </w:r>
    </w:p>
    <w:p w14:paraId="745FD695">
      <w:pPr>
        <w:spacing w:line="640" w:lineRule="exact"/>
        <w:ind w:firstLine="640"/>
        <w:jc w:val="both"/>
        <w:outlineLvl w:val="2"/>
      </w:pPr>
      <w:r>
        <w:rPr>
          <w:rFonts w:ascii="黑体" w:hAnsi="黑体" w:eastAsia="黑体"/>
          <w:sz w:val="32"/>
        </w:rPr>
        <w:t>三、支出决算情况说明</w:t>
      </w:r>
    </w:p>
    <w:p w14:paraId="067B233D">
      <w:pPr>
        <w:spacing w:line="580" w:lineRule="exact"/>
        <w:ind w:firstLine="640"/>
        <w:jc w:val="both"/>
      </w:pPr>
      <w:r>
        <w:rPr>
          <w:rFonts w:ascii="仿宋_GB2312" w:hAnsi="仿宋_GB2312" w:eastAsia="仿宋_GB2312"/>
          <w:b/>
          <w:sz w:val="32"/>
        </w:rPr>
        <w:t>本年支出4,110.18万元，</w:t>
      </w:r>
      <w:r>
        <w:rPr>
          <w:rFonts w:ascii="仿宋_GB2312" w:hAnsi="仿宋_GB2312" w:eastAsia="仿宋_GB2312"/>
          <w:b w:val="0"/>
          <w:sz w:val="32"/>
        </w:rPr>
        <w:t>其中：基本支出526.53万元，占12.81%；项目支出1,056.36万元，占25.70%；上缴上级支出0.00万元，占0.00%；经营支出2,527.29万元，占61.49%；对附属单位补助支出0.00万元，占0.00%。</w:t>
      </w:r>
    </w:p>
    <w:p w14:paraId="57E7D9A4">
      <w:pPr>
        <w:spacing w:line="640" w:lineRule="exact"/>
        <w:ind w:firstLine="640"/>
        <w:jc w:val="both"/>
        <w:outlineLvl w:val="2"/>
      </w:pPr>
      <w:r>
        <w:rPr>
          <w:rFonts w:ascii="黑体" w:hAnsi="黑体" w:eastAsia="黑体"/>
          <w:sz w:val="32"/>
        </w:rPr>
        <w:t>四、财政拨款收入支出决算总体情况说明</w:t>
      </w:r>
    </w:p>
    <w:p w14:paraId="388483C5">
      <w:pPr>
        <w:spacing w:line="580" w:lineRule="exact"/>
        <w:ind w:firstLine="640"/>
        <w:jc w:val="both"/>
      </w:pPr>
      <w:r>
        <w:rPr>
          <w:rFonts w:ascii="仿宋_GB2312" w:hAnsi="仿宋_GB2312" w:eastAsia="仿宋_GB2312"/>
          <w:b/>
          <w:sz w:val="32"/>
        </w:rPr>
        <w:t>2025年度财政拨款收入总计1,527.53万元，</w:t>
      </w:r>
      <w:r>
        <w:rPr>
          <w:rFonts w:ascii="仿宋_GB2312" w:hAnsi="仿宋_GB2312" w:eastAsia="仿宋_GB2312"/>
          <w:b w:val="0"/>
          <w:sz w:val="32"/>
        </w:rPr>
        <w:t>其中：年初财政拨款结转和结余0.00万元，本年财政拨款收入1,527.53万元。</w:t>
      </w:r>
      <w:r>
        <w:rPr>
          <w:rFonts w:ascii="仿宋_GB2312" w:hAnsi="仿宋_GB2312" w:eastAsia="仿宋_GB2312"/>
          <w:b/>
          <w:sz w:val="32"/>
        </w:rPr>
        <w:t>财政拨款支出总计1,527.53万元，</w:t>
      </w:r>
      <w:r>
        <w:rPr>
          <w:rFonts w:ascii="仿宋_GB2312" w:hAnsi="仿宋_GB2312" w:eastAsia="仿宋_GB2312"/>
          <w:b w:val="0"/>
          <w:sz w:val="32"/>
        </w:rPr>
        <w:t>其中：年末财政拨款结转和结余0.00万元，本年财政拨款支出1,527.53万元。</w:t>
      </w:r>
    </w:p>
    <w:p w14:paraId="01B573C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减少226.57万元，下降12.92%，主要原因是：本年减少水土保持项目资金。</w:t>
      </w:r>
      <w:r>
        <w:rPr>
          <w:rFonts w:ascii="仿宋_GB2312" w:hAnsi="仿宋_GB2312" w:eastAsia="仿宋_GB2312"/>
          <w:b/>
          <w:sz w:val="32"/>
        </w:rPr>
        <w:t>与年初预算相比，</w:t>
      </w:r>
      <w:r>
        <w:rPr>
          <w:rFonts w:ascii="仿宋_GB2312" w:hAnsi="仿宋_GB2312" w:eastAsia="仿宋_GB2312"/>
          <w:b w:val="0"/>
          <w:sz w:val="32"/>
        </w:rPr>
        <w:t>年初预算数1,473.67万元，决算数1,527.53万元，预决算差异率3.65%，主要原因是：年中追加人员工资、社保、公积金基数调增部分资金，导致预决算存在差异。</w:t>
      </w:r>
    </w:p>
    <w:p w14:paraId="1BD943A8">
      <w:pPr>
        <w:spacing w:line="640" w:lineRule="exact"/>
        <w:ind w:firstLine="640"/>
        <w:jc w:val="both"/>
        <w:outlineLvl w:val="2"/>
      </w:pPr>
      <w:r>
        <w:rPr>
          <w:rFonts w:ascii="黑体" w:hAnsi="黑体" w:eastAsia="黑体"/>
          <w:sz w:val="32"/>
        </w:rPr>
        <w:t>五、一般公共预算财政拨款支出决算情况说明</w:t>
      </w:r>
    </w:p>
    <w:p w14:paraId="3552B95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w:t>
      </w:r>
      <w:r>
        <w:rPr>
          <w:rFonts w:ascii="仿宋_GB2312" w:hAnsi="仿宋_GB2312" w:eastAsia="仿宋_GB2312"/>
          <w:sz w:val="32"/>
        </w:rPr>
        <w:t>水库运行管理、灌溉、防洪度汛、防灾减灾、发电供水、安全生产</w:t>
      </w:r>
      <w:r>
        <w:rPr>
          <w:rFonts w:ascii="仿宋_GB2312" w:hAnsi="仿宋_GB2312" w:eastAsia="仿宋_GB2312"/>
          <w:b w:val="0"/>
          <w:sz w:val="32"/>
        </w:rPr>
        <w:t>等重点支出，体现在有关支出科目中。</w:t>
      </w:r>
    </w:p>
    <w:p w14:paraId="6A111CD2">
      <w:pPr>
        <w:spacing w:line="580" w:lineRule="exact"/>
        <w:ind w:firstLine="640"/>
        <w:jc w:val="both"/>
      </w:pPr>
      <w:r>
        <w:rPr>
          <w:rFonts w:ascii="仿宋_GB2312" w:hAnsi="仿宋_GB2312" w:eastAsia="仿宋_GB2312"/>
          <w:b w:val="0"/>
          <w:sz w:val="32"/>
        </w:rPr>
        <w:t>按照支出功能分类，农林水支出（类）水利（款）水利工程运行与维护（项）的支出占本年财政拨款支出总额的比重最高，2025年度决算数为1,418.92万元，占比92.89%，主要用于人员工资福利、公用经费、2025年排沙清淤项目。</w:t>
      </w:r>
    </w:p>
    <w:p w14:paraId="08B39EE1">
      <w:pPr>
        <w:spacing w:line="640" w:lineRule="exact"/>
        <w:ind w:firstLine="640"/>
        <w:jc w:val="both"/>
        <w:outlineLvl w:val="3"/>
      </w:pPr>
      <w:r>
        <w:rPr>
          <w:rFonts w:ascii="楷体_GB2312" w:hAnsi="楷体_GB2312" w:eastAsia="楷体_GB2312"/>
          <w:b/>
          <w:sz w:val="32"/>
        </w:rPr>
        <w:t>（一）一般公共预算财政拨款支出决算总体情况</w:t>
      </w:r>
    </w:p>
    <w:p w14:paraId="2D1C272D">
      <w:pPr>
        <w:spacing w:line="580" w:lineRule="exact"/>
        <w:ind w:firstLine="640"/>
        <w:jc w:val="both"/>
      </w:pPr>
      <w:r>
        <w:rPr>
          <w:rFonts w:ascii="仿宋_GB2312" w:hAnsi="仿宋_GB2312" w:eastAsia="仿宋_GB2312"/>
          <w:b/>
          <w:sz w:val="32"/>
        </w:rPr>
        <w:t>2025年度一般公共预算财政拨款支出1,527.53万元，</w:t>
      </w:r>
      <w:r>
        <w:rPr>
          <w:rFonts w:ascii="仿宋_GB2312" w:hAnsi="仿宋_GB2312" w:eastAsia="仿宋_GB2312"/>
          <w:b w:val="0"/>
          <w:sz w:val="32"/>
        </w:rPr>
        <w:t>占本年支出合计的37.16%。</w:t>
      </w:r>
      <w:r>
        <w:rPr>
          <w:rFonts w:ascii="仿宋_GB2312" w:hAnsi="仿宋_GB2312" w:eastAsia="仿宋_GB2312"/>
          <w:b/>
          <w:sz w:val="32"/>
        </w:rPr>
        <w:t>与上年相比，</w:t>
      </w:r>
      <w:r>
        <w:rPr>
          <w:rFonts w:ascii="仿宋_GB2312" w:hAnsi="仿宋_GB2312" w:eastAsia="仿宋_GB2312"/>
          <w:b w:val="0"/>
          <w:sz w:val="32"/>
        </w:rPr>
        <w:t>减少226.57万元，下降12.92%，主要原因是：本年减少水土保持项目资金。</w:t>
      </w:r>
      <w:r>
        <w:rPr>
          <w:rFonts w:ascii="仿宋_GB2312" w:hAnsi="仿宋_GB2312" w:eastAsia="仿宋_GB2312"/>
          <w:b/>
          <w:sz w:val="32"/>
        </w:rPr>
        <w:t>与年初预算相比，</w:t>
      </w:r>
      <w:r>
        <w:rPr>
          <w:rFonts w:ascii="仿宋_GB2312" w:hAnsi="仿宋_GB2312" w:eastAsia="仿宋_GB2312"/>
          <w:b w:val="0"/>
          <w:sz w:val="32"/>
        </w:rPr>
        <w:t>年初预算数1,473.67万元，决算数1,527.53万元，预决算差异率3.65%，主要原因是：本年在职人员增加，年中追加人员经费及人员工资、社保、公积金基数调增部分资金，导致预决算存在差异。</w:t>
      </w:r>
    </w:p>
    <w:p w14:paraId="426BD92F">
      <w:pPr>
        <w:spacing w:line="640" w:lineRule="exact"/>
        <w:ind w:firstLine="640"/>
        <w:jc w:val="both"/>
        <w:outlineLvl w:val="3"/>
      </w:pPr>
      <w:r>
        <w:rPr>
          <w:rFonts w:ascii="楷体_GB2312" w:hAnsi="楷体_GB2312" w:eastAsia="楷体_GB2312"/>
          <w:b/>
          <w:sz w:val="32"/>
        </w:rPr>
        <w:t>（二）一般公共预算财政拨款支出决算结构情况</w:t>
      </w:r>
    </w:p>
    <w:p w14:paraId="6FB1F37D">
      <w:pPr>
        <w:spacing w:line="580" w:lineRule="exact"/>
        <w:ind w:firstLine="640"/>
        <w:jc w:val="both"/>
      </w:pPr>
      <w:r>
        <w:rPr>
          <w:rFonts w:ascii="仿宋_GB2312" w:hAnsi="仿宋_GB2312" w:eastAsia="仿宋_GB2312"/>
          <w:b w:val="0"/>
          <w:sz w:val="32"/>
        </w:rPr>
        <w:t>1.社会保障和就业支出（类）3.24万元，占0.21%。</w:t>
      </w:r>
    </w:p>
    <w:p w14:paraId="3C48A2D5">
      <w:pPr>
        <w:spacing w:line="580" w:lineRule="exact"/>
        <w:ind w:firstLine="640"/>
        <w:jc w:val="both"/>
      </w:pPr>
      <w:r>
        <w:rPr>
          <w:rFonts w:ascii="仿宋_GB2312" w:hAnsi="仿宋_GB2312" w:eastAsia="仿宋_GB2312"/>
          <w:b w:val="0"/>
          <w:sz w:val="32"/>
        </w:rPr>
        <w:t>2.卫生健康支出（类）2.94万元，占0.19%。</w:t>
      </w:r>
    </w:p>
    <w:p w14:paraId="621CFC4E">
      <w:pPr>
        <w:spacing w:line="580" w:lineRule="exact"/>
        <w:ind w:firstLine="640"/>
        <w:jc w:val="both"/>
      </w:pPr>
      <w:r>
        <w:rPr>
          <w:rFonts w:ascii="仿宋_GB2312" w:hAnsi="仿宋_GB2312" w:eastAsia="仿宋_GB2312"/>
          <w:b w:val="0"/>
          <w:sz w:val="32"/>
        </w:rPr>
        <w:t>3.农林水支出（类）1,518.92万元，占99.44%。</w:t>
      </w:r>
    </w:p>
    <w:p w14:paraId="3C001A63">
      <w:pPr>
        <w:spacing w:line="580" w:lineRule="exact"/>
        <w:ind w:firstLine="640"/>
        <w:jc w:val="both"/>
      </w:pPr>
      <w:r>
        <w:rPr>
          <w:rFonts w:ascii="仿宋_GB2312" w:hAnsi="仿宋_GB2312" w:eastAsia="仿宋_GB2312"/>
          <w:b w:val="0"/>
          <w:sz w:val="32"/>
        </w:rPr>
        <w:t>4.住房保障支出（类）2.43万元，占0.16%。</w:t>
      </w:r>
    </w:p>
    <w:p w14:paraId="46E87F3C">
      <w:pPr>
        <w:spacing w:line="640" w:lineRule="exact"/>
        <w:ind w:firstLine="640"/>
        <w:jc w:val="both"/>
        <w:outlineLvl w:val="3"/>
      </w:pPr>
      <w:r>
        <w:rPr>
          <w:rFonts w:ascii="楷体_GB2312" w:hAnsi="楷体_GB2312" w:eastAsia="楷体_GB2312"/>
          <w:b/>
          <w:sz w:val="32"/>
        </w:rPr>
        <w:t>（三）一般公共预算财政拨款支出决算具体情况</w:t>
      </w:r>
    </w:p>
    <w:p w14:paraId="24A91873">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3.24万元，比上年决算增加3.24万元，增长100.00%，主要原因是：本年功能科目调整，养老保险缴费上年度在主科目列支，本年单独列支，导致经费较上年增加。</w:t>
      </w:r>
    </w:p>
    <w:p w14:paraId="5B9DB865">
      <w:pPr>
        <w:spacing w:line="580" w:lineRule="exact"/>
        <w:ind w:firstLine="640"/>
        <w:jc w:val="both"/>
      </w:pPr>
      <w:r>
        <w:rPr>
          <w:rFonts w:ascii="仿宋_GB2312" w:hAnsi="仿宋_GB2312" w:eastAsia="仿宋_GB2312"/>
          <w:b w:val="0"/>
          <w:sz w:val="32"/>
        </w:rPr>
        <w:t>2.卫生健康支出（类）行政事业单位医疗（款）事业单位医疗（项）：支出决算数为1.52万元，比上年决算增加1.52万元，增长100.00%，主要原因是：本年功能科目调整，事业单位医疗上年度在主科目列支，本年单独列支，导致经费较上年增加。</w:t>
      </w:r>
    </w:p>
    <w:p w14:paraId="546B7620">
      <w:pPr>
        <w:spacing w:line="580" w:lineRule="exact"/>
        <w:ind w:firstLine="640"/>
        <w:jc w:val="both"/>
      </w:pPr>
      <w:r>
        <w:rPr>
          <w:rFonts w:ascii="仿宋_GB2312" w:hAnsi="仿宋_GB2312" w:eastAsia="仿宋_GB2312"/>
          <w:b w:val="0"/>
          <w:sz w:val="32"/>
        </w:rPr>
        <w:t>3.卫生健康支出（类）行政事业单位医疗（款）公务员医疗补助（项）：支出决算数为1.42万元，比上年决算增加1.42万元，增长100.00%，主要原因是：本年功能科目调整，公务员医疗补助上年度在主科目列支，本年单独列支，导致经费较上年增加。</w:t>
      </w:r>
    </w:p>
    <w:p w14:paraId="557EDEF1">
      <w:pPr>
        <w:spacing w:line="580" w:lineRule="exact"/>
        <w:ind w:firstLine="640"/>
        <w:jc w:val="both"/>
      </w:pPr>
      <w:r>
        <w:rPr>
          <w:rFonts w:ascii="仿宋_GB2312" w:hAnsi="仿宋_GB2312" w:eastAsia="仿宋_GB2312"/>
          <w:b w:val="0"/>
          <w:sz w:val="32"/>
        </w:rPr>
        <w:t>4.农林水支出（类）水利（款）水利工程运行与维护（项）：支出决算数为1,418.92万元，比上年决算增加371.82万元，增长35.51%，主要原因是：本年排沙清淤项目较上年增加；本年在职人员工资基数调增，故相应支出增加。</w:t>
      </w:r>
    </w:p>
    <w:p w14:paraId="009AF6AE">
      <w:pPr>
        <w:spacing w:line="580" w:lineRule="exact"/>
        <w:ind w:firstLine="640"/>
        <w:jc w:val="both"/>
      </w:pPr>
      <w:r>
        <w:rPr>
          <w:rFonts w:ascii="仿宋_GB2312" w:hAnsi="仿宋_GB2312" w:eastAsia="仿宋_GB2312"/>
          <w:b w:val="0"/>
          <w:sz w:val="32"/>
        </w:rPr>
        <w:t>5.农林水支出（类）水利（款）水土保持（项）：支出决算数为0.00万元，比上年决算减少600.00万元，下降100.00%，主要原因是：本年减少水土保持项目资金。</w:t>
      </w:r>
    </w:p>
    <w:p w14:paraId="73E15A4B">
      <w:pPr>
        <w:spacing w:line="580" w:lineRule="exact"/>
        <w:ind w:firstLine="640"/>
        <w:jc w:val="both"/>
      </w:pPr>
      <w:r>
        <w:rPr>
          <w:rFonts w:ascii="仿宋_GB2312" w:hAnsi="仿宋_GB2312" w:eastAsia="仿宋_GB2312"/>
          <w:b w:val="0"/>
          <w:sz w:val="32"/>
        </w:rPr>
        <w:t>6.农林水支出（类）水利（款）防汛（项）：支出决算数为100.00万元，比上年决算增加0.00万元，增长0.00%，主要原因是：经费预算安排与上年持平，年度防汛工作按既定计划正常开展。</w:t>
      </w:r>
    </w:p>
    <w:p w14:paraId="66ED6B72">
      <w:pPr>
        <w:spacing w:line="580" w:lineRule="exact"/>
        <w:ind w:firstLine="640"/>
        <w:jc w:val="both"/>
      </w:pPr>
      <w:r>
        <w:rPr>
          <w:rFonts w:ascii="仿宋_GB2312" w:hAnsi="仿宋_GB2312" w:eastAsia="仿宋_GB2312"/>
          <w:b w:val="0"/>
          <w:sz w:val="32"/>
        </w:rPr>
        <w:t>7.农林水支出（类）水利（款）江河湖库水系综合整治（项）：支出决算数为0.00万元，比上年决算减少7.00万元，下降100.00%，主要原因是：本年度减少江河湖库水系综合整治项目，相应项目未实施，故无相关支出发生。</w:t>
      </w:r>
    </w:p>
    <w:p w14:paraId="325AB317">
      <w:pPr>
        <w:spacing w:line="580" w:lineRule="exact"/>
        <w:ind w:firstLine="640"/>
        <w:jc w:val="both"/>
      </w:pPr>
      <w:r>
        <w:rPr>
          <w:rFonts w:ascii="仿宋_GB2312" w:hAnsi="仿宋_GB2312" w:eastAsia="仿宋_GB2312"/>
          <w:b w:val="0"/>
          <w:sz w:val="32"/>
        </w:rPr>
        <w:t>8.住房保障支出（类）住房改革支出（款）住房公积金（项）：支出决算数为2.43万元，比上年决算增加2.43万元，增长100.00%，主要原因是：本年功能科目调整，住房公积金上年度在主科目列支，本年单独列支，导致经费较上年增加。</w:t>
      </w:r>
    </w:p>
    <w:p w14:paraId="60590F03">
      <w:pPr>
        <w:spacing w:line="640" w:lineRule="exact"/>
        <w:ind w:firstLine="640"/>
        <w:jc w:val="both"/>
        <w:outlineLvl w:val="2"/>
      </w:pPr>
      <w:r>
        <w:rPr>
          <w:rFonts w:ascii="黑体" w:hAnsi="黑体" w:eastAsia="黑体"/>
          <w:sz w:val="32"/>
        </w:rPr>
        <w:t>六、一般公共预算财政拨款基本支出决算情况说明</w:t>
      </w:r>
    </w:p>
    <w:p w14:paraId="4876256F">
      <w:pPr>
        <w:spacing w:line="580" w:lineRule="exact"/>
        <w:ind w:firstLine="640"/>
        <w:jc w:val="both"/>
      </w:pPr>
      <w:r>
        <w:rPr>
          <w:rFonts w:ascii="仿宋_GB2312" w:hAnsi="仿宋_GB2312" w:eastAsia="仿宋_GB2312"/>
          <w:b w:val="0"/>
          <w:sz w:val="32"/>
        </w:rPr>
        <w:t>2025年度一般公共预算财政拨款基本支出526.53万元，其中：</w:t>
      </w:r>
      <w:r>
        <w:rPr>
          <w:rFonts w:ascii="仿宋_GB2312" w:hAnsi="仿宋_GB2312" w:eastAsia="仿宋_GB2312"/>
          <w:b/>
          <w:sz w:val="32"/>
        </w:rPr>
        <w:t>人员经费514.03万元，</w:t>
      </w:r>
      <w:r>
        <w:rPr>
          <w:rFonts w:ascii="仿宋_GB2312" w:hAnsi="仿宋_GB2312" w:eastAsia="仿宋_GB2312"/>
          <w:b w:val="0"/>
          <w:sz w:val="32"/>
        </w:rPr>
        <w:t>包括：基本工资、津贴补贴、奖金、绩效工资、机关事业单位基本养老保险缴费、职工基本医疗保险缴费、公务员医疗补助缴费、住房公积金。</w:t>
      </w:r>
    </w:p>
    <w:p w14:paraId="45C3B27F">
      <w:pPr>
        <w:spacing w:line="580" w:lineRule="exact"/>
        <w:ind w:firstLine="640"/>
        <w:jc w:val="both"/>
      </w:pPr>
      <w:r>
        <w:rPr>
          <w:rFonts w:ascii="仿宋_GB2312" w:hAnsi="仿宋_GB2312" w:eastAsia="仿宋_GB2312"/>
          <w:b/>
          <w:sz w:val="32"/>
        </w:rPr>
        <w:t>公用经费12.50万元，</w:t>
      </w:r>
      <w:r>
        <w:rPr>
          <w:rFonts w:ascii="仿宋_GB2312" w:hAnsi="仿宋_GB2312" w:eastAsia="仿宋_GB2312"/>
          <w:b w:val="0"/>
          <w:sz w:val="32"/>
        </w:rPr>
        <w:t>包括：委托业务费、其他商品和服务支出。</w:t>
      </w:r>
    </w:p>
    <w:p w14:paraId="78557A69">
      <w:pPr>
        <w:spacing w:line="640" w:lineRule="exact"/>
        <w:ind w:firstLine="640"/>
        <w:jc w:val="both"/>
        <w:outlineLvl w:val="2"/>
      </w:pPr>
      <w:r>
        <w:rPr>
          <w:rFonts w:ascii="黑体" w:hAnsi="黑体" w:eastAsia="黑体"/>
          <w:sz w:val="32"/>
        </w:rPr>
        <w:t>七、政府性基金预算财政拨款收入支出决算情况说明</w:t>
      </w:r>
    </w:p>
    <w:p w14:paraId="6871560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29705F6">
      <w:pPr>
        <w:spacing w:line="640" w:lineRule="exact"/>
        <w:ind w:firstLine="640"/>
        <w:jc w:val="both"/>
        <w:outlineLvl w:val="2"/>
      </w:pPr>
      <w:r>
        <w:rPr>
          <w:rFonts w:ascii="黑体" w:hAnsi="黑体" w:eastAsia="黑体"/>
          <w:sz w:val="32"/>
        </w:rPr>
        <w:t>八、国有资本经营预算财政拨款收入支出决算情况说明</w:t>
      </w:r>
    </w:p>
    <w:p w14:paraId="1637FC3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4253E2">
      <w:pPr>
        <w:spacing w:line="640" w:lineRule="exact"/>
        <w:ind w:firstLine="640"/>
        <w:jc w:val="both"/>
        <w:outlineLvl w:val="2"/>
      </w:pPr>
      <w:r>
        <w:rPr>
          <w:rFonts w:ascii="黑体" w:hAnsi="黑体" w:eastAsia="黑体"/>
          <w:sz w:val="32"/>
        </w:rPr>
        <w:t>九、财政拨款“三公”经费支出决算情况说明</w:t>
      </w:r>
    </w:p>
    <w:p w14:paraId="6ED6BC40">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0454EC2E">
      <w:pPr>
        <w:spacing w:line="580" w:lineRule="exact"/>
        <w:ind w:firstLine="640"/>
        <w:jc w:val="both"/>
      </w:pPr>
      <w:r>
        <w:rPr>
          <w:rFonts w:ascii="仿宋_GB2312" w:hAnsi="仿宋_GB2312" w:eastAsia="仿宋_GB2312"/>
          <w:b/>
          <w:sz w:val="32"/>
        </w:rPr>
        <w:t>具体情况如下：</w:t>
      </w:r>
    </w:p>
    <w:p w14:paraId="10DEB63F">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23CBDD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辆，与公务用车保有量差异原因是：差异车辆为单位业务用车，车辆费用未使用财政拨款公务用车运行维护费支付，由经营收入经费保障。</w:t>
      </w:r>
    </w:p>
    <w:p w14:paraId="167AB7E0">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CCA69D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4D80258">
      <w:pPr>
        <w:spacing w:line="640" w:lineRule="exact"/>
        <w:ind w:firstLine="640"/>
        <w:jc w:val="both"/>
        <w:outlineLvl w:val="2"/>
      </w:pPr>
      <w:r>
        <w:rPr>
          <w:rFonts w:ascii="黑体" w:hAnsi="黑体" w:eastAsia="黑体"/>
          <w:sz w:val="32"/>
        </w:rPr>
        <w:t>十、其他重要事项的情况说明</w:t>
      </w:r>
    </w:p>
    <w:p w14:paraId="5810D950">
      <w:pPr>
        <w:spacing w:line="640" w:lineRule="exact"/>
        <w:ind w:firstLine="640"/>
        <w:jc w:val="both"/>
        <w:outlineLvl w:val="3"/>
      </w:pPr>
      <w:r>
        <w:rPr>
          <w:rFonts w:ascii="楷体_GB2312" w:hAnsi="楷体_GB2312" w:eastAsia="楷体_GB2312"/>
          <w:b/>
          <w:sz w:val="32"/>
        </w:rPr>
        <w:t>（一）机关运行经费及公用经费支出情况</w:t>
      </w:r>
    </w:p>
    <w:p w14:paraId="7488AE43">
      <w:pPr>
        <w:spacing w:line="580" w:lineRule="exact"/>
        <w:ind w:firstLine="640"/>
        <w:jc w:val="both"/>
      </w:pPr>
      <w:r>
        <w:rPr>
          <w:rFonts w:ascii="仿宋_GB2312" w:hAnsi="仿宋_GB2312" w:eastAsia="仿宋_GB2312"/>
          <w:b w:val="0"/>
          <w:sz w:val="32"/>
        </w:rPr>
        <w:t>2025年度新疆维吾尔自治区塔里木河流域克孜尔水库管理中心（事业单位）公用经费支出12.50万元，比上年增加12.50万元，增长100.00%，主要原因是：本年增加委托业务费，导致公用经费较上年增加。</w:t>
      </w:r>
    </w:p>
    <w:p w14:paraId="1EDF155B">
      <w:pPr>
        <w:spacing w:line="640" w:lineRule="exact"/>
        <w:ind w:firstLine="640"/>
        <w:jc w:val="both"/>
        <w:outlineLvl w:val="3"/>
      </w:pPr>
      <w:r>
        <w:rPr>
          <w:rFonts w:ascii="楷体_GB2312" w:hAnsi="楷体_GB2312" w:eastAsia="楷体_GB2312"/>
          <w:b/>
          <w:sz w:val="32"/>
        </w:rPr>
        <w:t>（二）政府采购情况</w:t>
      </w:r>
    </w:p>
    <w:p w14:paraId="22161F66">
      <w:pPr>
        <w:spacing w:line="580" w:lineRule="exact"/>
        <w:ind w:firstLine="640"/>
        <w:jc w:val="both"/>
      </w:pPr>
      <w:r>
        <w:rPr>
          <w:rFonts w:ascii="仿宋_GB2312" w:hAnsi="仿宋_GB2312" w:eastAsia="仿宋_GB2312"/>
          <w:b w:val="0"/>
          <w:sz w:val="32"/>
        </w:rPr>
        <w:t>2025年度政府采购支出总额710.23万元，其中：政府采购货物支出41.51万元、政府采购工程支出649.76万元、政府采购服务支出18.95万元。</w:t>
      </w:r>
    </w:p>
    <w:p w14:paraId="63131371">
      <w:pPr>
        <w:spacing w:line="580" w:lineRule="exact"/>
        <w:ind w:firstLine="640"/>
        <w:jc w:val="both"/>
      </w:pPr>
      <w:r>
        <w:rPr>
          <w:rFonts w:ascii="仿宋_GB2312" w:hAnsi="仿宋_GB2312" w:eastAsia="仿宋_GB2312"/>
          <w:b w:val="0"/>
          <w:sz w:val="32"/>
        </w:rPr>
        <w:t>授予中小企业合同金额710.23万元，占政府采购支出总额的100.00%，其中：授予小微企业合同金额709.99万元，占政府采购支出总额的99.97%。</w:t>
      </w:r>
    </w:p>
    <w:p w14:paraId="3042169A">
      <w:pPr>
        <w:spacing w:line="640" w:lineRule="exact"/>
        <w:ind w:firstLine="640"/>
        <w:jc w:val="both"/>
        <w:outlineLvl w:val="3"/>
      </w:pPr>
      <w:r>
        <w:rPr>
          <w:rFonts w:ascii="楷体_GB2312" w:hAnsi="楷体_GB2312" w:eastAsia="楷体_GB2312"/>
          <w:b/>
          <w:sz w:val="32"/>
        </w:rPr>
        <w:t>（三）国有资产占用情况说明</w:t>
      </w:r>
    </w:p>
    <w:p w14:paraId="51A8E1A2">
      <w:pPr>
        <w:spacing w:line="580" w:lineRule="exact"/>
        <w:ind w:firstLine="640"/>
        <w:jc w:val="both"/>
      </w:pPr>
      <w:r>
        <w:rPr>
          <w:rFonts w:ascii="仿宋_GB2312" w:hAnsi="仿宋_GB2312" w:eastAsia="仿宋_GB2312"/>
          <w:b w:val="0"/>
          <w:sz w:val="32"/>
        </w:rPr>
        <w:t>截至2025年12月31日，房屋21,040.19平方米，价值2,480.73万元。车辆8辆，价值175.41万元，其中：副部（省）级及以上领导用车0辆、主要负责人用车0辆、机要通信用车0辆、应急保障用车0辆、执法执勤用车0辆、特种专业技术用车0辆、离退休干部服务用车0辆、其他用车8辆，其他用车主要是：单位业务用车。单价100万元（含）以上设备（不含车辆）5台（套）。</w:t>
      </w:r>
    </w:p>
    <w:p w14:paraId="62BF1BBC">
      <w:pPr>
        <w:spacing w:line="640" w:lineRule="exact"/>
        <w:ind w:firstLine="640"/>
        <w:jc w:val="both"/>
        <w:outlineLvl w:val="2"/>
      </w:pPr>
      <w:r>
        <w:rPr>
          <w:rFonts w:ascii="黑体" w:hAnsi="黑体" w:eastAsia="黑体"/>
          <w:sz w:val="32"/>
        </w:rPr>
        <w:t>十一、预算绩效的情况说明</w:t>
      </w:r>
    </w:p>
    <w:p w14:paraId="3E706833">
      <w:pPr>
        <w:spacing w:line="580" w:lineRule="exact"/>
        <w:ind w:firstLine="640"/>
        <w:jc w:val="both"/>
      </w:pPr>
      <w:r>
        <w:rPr>
          <w:rFonts w:ascii="仿宋_GB2312" w:hAnsi="仿宋_GB2312" w:eastAsia="仿宋_GB2312"/>
          <w:b w:val="0"/>
          <w:sz w:val="32"/>
        </w:rPr>
        <w:t>根据预算绩效管理要求，本单位预算绩效评价项目1个，全年预算数1,085.83万元，全年执行数1,085.83万元。预算绩效管理取得的成效：一是项目总体执行率为100%，全年累计发放职工工资12次，</w:t>
      </w:r>
      <w:r>
        <w:rPr>
          <w:rFonts w:hint="eastAsia" w:ascii="仿宋_GB2312" w:hAnsi="仿宋_GB2312" w:eastAsia="仿宋_GB2312"/>
          <w:b w:val="0"/>
          <w:sz w:val="32"/>
          <w:lang w:eastAsia="zh-CN"/>
        </w:rPr>
        <w:t>覆盖</w:t>
      </w:r>
      <w:r>
        <w:rPr>
          <w:rFonts w:ascii="仿宋_GB2312" w:hAnsi="仿宋_GB2312" w:eastAsia="仿宋_GB2312"/>
          <w:b w:val="0"/>
          <w:sz w:val="32"/>
        </w:rPr>
        <w:t>职工85人，做到按时足额发放，切实保障职工权益。二是严格按规定保障公务用车7辆，通过规范化管理确保车辆运行安全及公务出行需求。三是完成防汛、供电物资采购2批，物资储备充足且符合标准，同时对2780.50平方米办公场所进行有效维护与管理。四是项目有效完善了流域供水保障体系，提升水利工程公益服务功能，保障水库大坝及设施设备安全正常运行，提高设备完好率，提升水库工程抗风险能力。发现的问题及原因：一是相关人员对绩效管理专业知识的系统性学习不足，在指标设置的细化、量化方面仍需优化完善，绩效自评过程中存在自我审定的局限性，影响评价结果的客观性与质量。二是受轮岗、人员调动等因素影响，绩效工作人员变动较为频繁，新老人员交接过程中存在业务衔接不到位情况，导致部分工作推进滞后，影响绩效管理工作的连续性与稳定性。三是预算及绩效目标编制阶段，与业务科室的沟通调研不够深入，对人员结构调整等实际业务因素研判不精准，导致部分绩效指标目标值设置偏低，与实际执行情况存在小幅偏差（工资发放人数目标78人、实际85人，新招录5人、调入2人）。下一步改进措施：一是组织开展绩效管理专项培训，重点覆盖绩效目标设置、自评方法、数据审核、水利行业绩效评价等内容，提升评价工作质量。二是制定绩效工作人员定职、定岗、定责制度，明确岗位职责、工作标准及交接流程，建立完整交接资料清单与时限要求，稳定工作队伍，确保绩效管理工作连续稳定推进。三是在预算及绩效目标编制前，精准核定人员编制与岗位配置，结合单位业务实际与发展需求科学制定用人计划，强化招聘与人员调动的统筹管理，从源头避免超编现象，确保目标人数与业绩人数保持一致。具体附项目支出绩效自评表、项目支出绩效评价报告。</w:t>
      </w:r>
    </w:p>
    <w:p w14:paraId="4AAF06F9">
      <w:r>
        <w:br w:type="page"/>
      </w:r>
    </w:p>
    <w:p w14:paraId="7073406D">
      <w:pPr>
        <w:sectPr>
          <w:footerReference r:id="rId3" w:type="default"/>
          <w:pgSz w:w="11906" w:h="16838"/>
          <w:pgMar w:top="2098" w:right="1531" w:bottom="1985" w:left="1531" w:header="851" w:footer="992" w:gutter="0"/>
          <w:cols w:space="720" w:num="1"/>
          <w:docGrid w:type="lines" w:linePitch="312" w:charSpace="0"/>
        </w:sectPr>
      </w:pPr>
    </w:p>
    <w:tbl>
      <w:tblPr>
        <w:tblStyle w:val="8"/>
        <w:tblW w:w="4914" w:type="pct"/>
        <w:tblInd w:w="0" w:type="dxa"/>
        <w:tblLayout w:type="autofit"/>
        <w:tblCellMar>
          <w:top w:w="36" w:type="dxa"/>
          <w:left w:w="36" w:type="dxa"/>
          <w:bottom w:w="36" w:type="dxa"/>
          <w:right w:w="36" w:type="dxa"/>
        </w:tblCellMar>
      </w:tblPr>
      <w:tblGrid>
        <w:gridCol w:w="574"/>
        <w:gridCol w:w="562"/>
        <w:gridCol w:w="562"/>
        <w:gridCol w:w="579"/>
        <w:gridCol w:w="702"/>
        <w:gridCol w:w="573"/>
        <w:gridCol w:w="569"/>
        <w:gridCol w:w="577"/>
        <w:gridCol w:w="565"/>
        <w:gridCol w:w="562"/>
        <w:gridCol w:w="590"/>
        <w:gridCol w:w="570"/>
        <w:gridCol w:w="590"/>
        <w:gridCol w:w="588"/>
      </w:tblGrid>
      <w:tr w14:paraId="09EF92BF">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A77FFE1">
            <w:pPr>
              <w:spacing w:before="0" w:after="0" w:line="240" w:lineRule="auto"/>
              <w:jc w:val="center"/>
            </w:pPr>
            <w:r>
              <w:rPr>
                <w:rFonts w:ascii="宋体" w:hAnsi="宋体" w:eastAsia="宋体"/>
                <w:sz w:val="14"/>
              </w:rPr>
              <w:t>项目支出绩效自评表</w:t>
            </w:r>
          </w:p>
        </w:tc>
      </w:tr>
      <w:tr w14:paraId="6B155250">
        <w:tblPrEx>
          <w:tblCellMar>
            <w:top w:w="36" w:type="dxa"/>
            <w:left w:w="36" w:type="dxa"/>
            <w:bottom w:w="36" w:type="dxa"/>
            <w:right w:w="36" w:type="dxa"/>
          </w:tblCellMar>
        </w:tblPrEx>
        <w:tc>
          <w:tcPr>
            <w:tcW w:w="8235"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A355B12">
            <w:pPr>
              <w:spacing w:before="0" w:after="0" w:line="240" w:lineRule="auto"/>
              <w:jc w:val="center"/>
            </w:pPr>
            <w:r>
              <w:rPr>
                <w:rFonts w:ascii="宋体" w:hAnsi="宋体" w:eastAsia="宋体"/>
                <w:sz w:val="14"/>
              </w:rPr>
              <w:t>(2025年度)</w:t>
            </w:r>
          </w:p>
        </w:tc>
      </w:tr>
      <w:tr w14:paraId="7D6BCD83">
        <w:tblPrEx>
          <w:tblCellMar>
            <w:top w:w="36" w:type="dxa"/>
            <w:left w:w="36" w:type="dxa"/>
            <w:bottom w:w="36" w:type="dxa"/>
            <w:right w:w="36" w:type="dxa"/>
          </w:tblCellMar>
        </w:tblPrEx>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7F7A1">
            <w:pPr>
              <w:spacing w:before="0" w:after="0" w:line="240" w:lineRule="auto"/>
              <w:jc w:val="center"/>
            </w:pPr>
            <w:r>
              <w:rPr>
                <w:rFonts w:ascii="宋体" w:hAnsi="宋体" w:eastAsia="宋体"/>
                <w:sz w:val="14"/>
              </w:rPr>
              <w:t>项目名称</w:t>
            </w:r>
          </w:p>
        </w:tc>
        <w:tc>
          <w:tcPr>
            <w:tcW w:w="7084"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A938E8F">
            <w:pPr>
              <w:spacing w:before="0" w:after="0" w:line="240" w:lineRule="auto"/>
              <w:jc w:val="center"/>
            </w:pPr>
            <w:r>
              <w:rPr>
                <w:rFonts w:ascii="宋体" w:hAnsi="宋体" w:eastAsia="宋体"/>
                <w:sz w:val="14"/>
              </w:rPr>
              <w:t>克孜尔水库2025年经营成本性项目</w:t>
            </w:r>
          </w:p>
        </w:tc>
      </w:tr>
      <w:tr w14:paraId="152AB59F">
        <w:tblPrEx>
          <w:tblCellMar>
            <w:top w:w="36" w:type="dxa"/>
            <w:left w:w="36" w:type="dxa"/>
            <w:bottom w:w="36" w:type="dxa"/>
            <w:right w:w="36" w:type="dxa"/>
          </w:tblCellMar>
        </w:tblPrEx>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6A2BF">
            <w:pPr>
              <w:spacing w:before="0" w:after="0" w:line="240" w:lineRule="auto"/>
              <w:jc w:val="center"/>
            </w:pPr>
            <w:r>
              <w:rPr>
                <w:rFonts w:ascii="宋体" w:hAnsi="宋体" w:eastAsia="宋体"/>
                <w:sz w:val="14"/>
              </w:rPr>
              <w:t>主管部门</w:t>
            </w:r>
          </w:p>
        </w:tc>
        <w:tc>
          <w:tcPr>
            <w:tcW w:w="301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F534C3">
            <w:pPr>
              <w:spacing w:before="0" w:after="0" w:line="240" w:lineRule="auto"/>
              <w:jc w:val="center"/>
            </w:pPr>
            <w:r>
              <w:rPr>
                <w:rFonts w:ascii="宋体" w:hAnsi="宋体" w:eastAsia="宋体"/>
                <w:sz w:val="14"/>
              </w:rPr>
              <w:t>新疆维吾尔自治区塔里木河流域管理局</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59055">
            <w:pPr>
              <w:spacing w:before="0" w:after="0" w:line="240" w:lineRule="auto"/>
              <w:jc w:val="center"/>
            </w:pPr>
            <w:r>
              <w:rPr>
                <w:rFonts w:ascii="宋体" w:hAnsi="宋体" w:eastAsia="宋体"/>
                <w:sz w:val="14"/>
              </w:rPr>
              <w:t>实施单位</w:t>
            </w:r>
          </w:p>
        </w:tc>
        <w:tc>
          <w:tcPr>
            <w:tcW w:w="291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EFB92">
            <w:pPr>
              <w:spacing w:before="0" w:after="0" w:line="240" w:lineRule="auto"/>
              <w:jc w:val="center"/>
            </w:pPr>
            <w:r>
              <w:rPr>
                <w:rFonts w:ascii="宋体" w:hAnsi="宋体" w:eastAsia="宋体"/>
                <w:sz w:val="14"/>
              </w:rPr>
              <w:t>新疆维吾尔自治区塔里木河流域克孜尔水库管理中心</w:t>
            </w:r>
          </w:p>
        </w:tc>
      </w:tr>
      <w:tr w14:paraId="1DEFFF1C">
        <w:tblPrEx>
          <w:tblCellMar>
            <w:top w:w="36" w:type="dxa"/>
            <w:left w:w="36" w:type="dxa"/>
            <w:bottom w:w="36" w:type="dxa"/>
            <w:right w:w="36" w:type="dxa"/>
          </w:tblCellMar>
        </w:tblPrEx>
        <w:tc>
          <w:tcPr>
            <w:tcW w:w="1151"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B809A">
            <w:pPr>
              <w:spacing w:before="0" w:after="0" w:line="240" w:lineRule="auto"/>
              <w:jc w:val="center"/>
            </w:pPr>
            <w:r>
              <w:rPr>
                <w:rFonts w:ascii="宋体" w:hAnsi="宋体" w:eastAsia="宋体"/>
                <w:sz w:val="14"/>
              </w:rPr>
              <w:t>项目资金
（万元）</w:t>
            </w:r>
          </w:p>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4AE02">
            <w:pPr>
              <w:spacing w:before="0" w:after="0" w:line="240" w:lineRule="auto"/>
              <w:jc w:val="center"/>
            </w:pP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777AD9AF">
            <w:pPr>
              <w:spacing w:before="0" w:after="0" w:line="240" w:lineRule="auto"/>
              <w:jc w:val="center"/>
            </w:pPr>
            <w:r>
              <w:rPr>
                <w:rFonts w:ascii="宋体" w:hAnsi="宋体" w:eastAsia="宋体"/>
                <w:sz w:val="14"/>
              </w:rPr>
              <w:t>年初预算数</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972CF">
            <w:pPr>
              <w:spacing w:before="0" w:after="0" w:line="240" w:lineRule="auto"/>
              <w:jc w:val="center"/>
            </w:pPr>
            <w:r>
              <w:rPr>
                <w:rFonts w:ascii="宋体" w:hAnsi="宋体" w:eastAsia="宋体"/>
                <w:sz w:val="14"/>
              </w:rPr>
              <w:t>全年预算数</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63FA0">
            <w:pPr>
              <w:spacing w:before="0" w:after="0" w:line="240" w:lineRule="auto"/>
              <w:jc w:val="center"/>
            </w:pPr>
            <w:r>
              <w:rPr>
                <w:rFonts w:ascii="宋体" w:hAnsi="宋体" w:eastAsia="宋体"/>
                <w:sz w:val="14"/>
              </w:rPr>
              <w:t>全年执行数</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C15ED">
            <w:pPr>
              <w:spacing w:before="0" w:after="0" w:line="240" w:lineRule="auto"/>
              <w:jc w:val="center"/>
            </w:pPr>
            <w:r>
              <w:rPr>
                <w:rFonts w:ascii="宋体" w:hAnsi="宋体" w:eastAsia="宋体"/>
                <w:sz w:val="14"/>
              </w:rPr>
              <w:t>分值</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71DD">
            <w:pPr>
              <w:spacing w:before="0" w:after="0" w:line="240" w:lineRule="auto"/>
              <w:jc w:val="center"/>
            </w:pPr>
            <w:r>
              <w:rPr>
                <w:rFonts w:ascii="宋体" w:hAnsi="宋体" w:eastAsia="宋体"/>
                <w:sz w:val="14"/>
              </w:rPr>
              <w:t>执行率</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24C9363">
            <w:pPr>
              <w:spacing w:before="0" w:after="0" w:line="240" w:lineRule="auto"/>
              <w:jc w:val="center"/>
            </w:pPr>
            <w:r>
              <w:rPr>
                <w:rFonts w:ascii="宋体" w:hAnsi="宋体" w:eastAsia="宋体"/>
                <w:sz w:val="14"/>
              </w:rPr>
              <w:t>得分</w:t>
            </w:r>
          </w:p>
        </w:tc>
      </w:tr>
      <w:tr w14:paraId="364EEB4C">
        <w:tblPrEx>
          <w:tblCellMar>
            <w:top w:w="36" w:type="dxa"/>
            <w:left w:w="36" w:type="dxa"/>
            <w:bottom w:w="36" w:type="dxa"/>
            <w:right w:w="36" w:type="dxa"/>
          </w:tblCellMar>
        </w:tblPrEx>
        <w:tc>
          <w:tcPr>
            <w:tcW w:w="115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AB4AE8"/>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F4059">
            <w:pPr>
              <w:spacing w:before="0" w:after="0" w:line="240" w:lineRule="auto"/>
              <w:jc w:val="center"/>
            </w:pPr>
            <w:r>
              <w:rPr>
                <w:rFonts w:ascii="宋体" w:hAnsi="宋体" w:eastAsia="宋体"/>
                <w:sz w:val="14"/>
              </w:rPr>
              <w:t>年度资金总额</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B69B8A5">
            <w:pPr>
              <w:spacing w:before="0" w:after="0" w:line="240" w:lineRule="auto"/>
              <w:jc w:val="center"/>
            </w:pPr>
            <w:r>
              <w:rPr>
                <w:rFonts w:ascii="宋体" w:hAnsi="宋体" w:eastAsia="宋体"/>
                <w:sz w:val="14"/>
              </w:rPr>
              <w:t>1,085.83</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FE04">
            <w:pPr>
              <w:spacing w:before="0" w:after="0" w:line="240" w:lineRule="auto"/>
              <w:jc w:val="center"/>
            </w:pPr>
            <w:r>
              <w:rPr>
                <w:rFonts w:ascii="宋体" w:hAnsi="宋体" w:eastAsia="宋体"/>
                <w:sz w:val="14"/>
              </w:rPr>
              <w:t>1,085.83</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786B7">
            <w:pPr>
              <w:spacing w:before="0" w:after="0" w:line="240" w:lineRule="auto"/>
              <w:jc w:val="center"/>
            </w:pPr>
            <w:r>
              <w:rPr>
                <w:rFonts w:ascii="宋体" w:hAnsi="宋体" w:eastAsia="宋体"/>
                <w:sz w:val="14"/>
              </w:rPr>
              <w:t>1,085.83</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95E38">
            <w:pPr>
              <w:spacing w:before="0" w:after="0" w:line="240" w:lineRule="auto"/>
              <w:jc w:val="center"/>
            </w:pPr>
            <w:r>
              <w:rPr>
                <w:rFonts w:ascii="宋体" w:hAnsi="宋体" w:eastAsia="宋体"/>
                <w:sz w:val="14"/>
              </w:rPr>
              <w:t>10</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55ED3">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0F38A09">
            <w:pPr>
              <w:spacing w:before="0" w:after="0" w:line="240" w:lineRule="auto"/>
              <w:jc w:val="center"/>
            </w:pPr>
            <w:r>
              <w:rPr>
                <w:rFonts w:ascii="宋体" w:hAnsi="宋体" w:eastAsia="宋体"/>
                <w:sz w:val="14"/>
              </w:rPr>
              <w:t>10.00</w:t>
            </w:r>
          </w:p>
        </w:tc>
      </w:tr>
      <w:tr w14:paraId="7BF5D9B1">
        <w:tblPrEx>
          <w:tblCellMar>
            <w:top w:w="36" w:type="dxa"/>
            <w:left w:w="36" w:type="dxa"/>
            <w:bottom w:w="36" w:type="dxa"/>
            <w:right w:w="36" w:type="dxa"/>
          </w:tblCellMar>
        </w:tblPrEx>
        <w:tc>
          <w:tcPr>
            <w:tcW w:w="115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56B5E8D4"/>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0EB3E">
            <w:pPr>
              <w:spacing w:before="0" w:after="0" w:line="240" w:lineRule="auto"/>
              <w:jc w:val="center"/>
            </w:pPr>
            <w:r>
              <w:rPr>
                <w:rFonts w:ascii="宋体" w:hAnsi="宋体" w:eastAsia="宋体"/>
                <w:sz w:val="14"/>
              </w:rPr>
              <w:t>其中：当年财政拨款</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678981F5">
            <w:pPr>
              <w:spacing w:before="0" w:after="0" w:line="240" w:lineRule="auto"/>
              <w:jc w:val="center"/>
            </w:pPr>
            <w:r>
              <w:rPr>
                <w:rFonts w:ascii="宋体" w:hAnsi="宋体" w:eastAsia="宋体"/>
                <w:sz w:val="14"/>
              </w:rPr>
              <w:t>0.00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96BCB">
            <w:pPr>
              <w:spacing w:before="0" w:after="0" w:line="240" w:lineRule="auto"/>
              <w:jc w:val="center"/>
            </w:pPr>
            <w:r>
              <w:rPr>
                <w:rFonts w:ascii="宋体" w:hAnsi="宋体" w:eastAsia="宋体"/>
                <w:sz w:val="14"/>
              </w:rPr>
              <w:t>0.00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7597B">
            <w:pPr>
              <w:spacing w:before="0" w:after="0" w:line="240" w:lineRule="auto"/>
              <w:jc w:val="center"/>
            </w:pPr>
            <w:r>
              <w:rPr>
                <w:rFonts w:ascii="宋体" w:hAnsi="宋体" w:eastAsia="宋体"/>
                <w:sz w:val="14"/>
              </w:rPr>
              <w:t>0.00</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999EA">
            <w:pPr>
              <w:spacing w:before="0" w:after="0" w:line="240" w:lineRule="auto"/>
              <w:jc w:val="center"/>
            </w:pPr>
            <w:r>
              <w:rPr>
                <w:rFonts w:ascii="宋体" w:hAnsi="宋体" w:eastAsia="宋体"/>
                <w:sz w:val="14"/>
              </w:rPr>
              <w:t>-</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9AA6">
            <w:pPr>
              <w:spacing w:before="0" w:after="0" w:line="240" w:lineRule="auto"/>
              <w:jc w:val="center"/>
            </w:pPr>
            <w:r>
              <w:rPr>
                <w:rFonts w:ascii="宋体" w:hAnsi="宋体" w:eastAsia="宋体"/>
                <w:sz w:val="14"/>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748756A">
            <w:pPr>
              <w:spacing w:before="0" w:after="0" w:line="240" w:lineRule="auto"/>
              <w:jc w:val="center"/>
            </w:pPr>
            <w:r>
              <w:rPr>
                <w:rFonts w:ascii="宋体" w:hAnsi="宋体" w:eastAsia="宋体"/>
                <w:sz w:val="14"/>
              </w:rPr>
              <w:t>-</w:t>
            </w:r>
          </w:p>
        </w:tc>
      </w:tr>
      <w:tr w14:paraId="47D15787">
        <w:tblPrEx>
          <w:tblCellMar>
            <w:top w:w="36" w:type="dxa"/>
            <w:left w:w="36" w:type="dxa"/>
            <w:bottom w:w="36" w:type="dxa"/>
            <w:right w:w="36" w:type="dxa"/>
          </w:tblCellMar>
        </w:tblPrEx>
        <w:tc>
          <w:tcPr>
            <w:tcW w:w="115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DB46147"/>
        </w:tc>
        <w:tc>
          <w:tcPr>
            <w:tcW w:w="11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8BAF">
            <w:pPr>
              <w:spacing w:before="0" w:after="0" w:line="240" w:lineRule="auto"/>
              <w:jc w:val="center"/>
            </w:pPr>
            <w:r>
              <w:rPr>
                <w:rFonts w:ascii="宋体" w:hAnsi="宋体" w:eastAsia="宋体"/>
                <w:sz w:val="14"/>
              </w:rPr>
              <w:t>其他资金</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6BD84F1F">
            <w:pPr>
              <w:spacing w:before="0" w:after="0" w:line="240" w:lineRule="auto"/>
              <w:jc w:val="center"/>
            </w:pPr>
            <w:r>
              <w:rPr>
                <w:rFonts w:ascii="宋体" w:hAnsi="宋体" w:eastAsia="宋体"/>
                <w:sz w:val="14"/>
              </w:rPr>
              <w:t>1,085.83</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26481">
            <w:pPr>
              <w:spacing w:before="0" w:after="0" w:line="240" w:lineRule="auto"/>
              <w:jc w:val="center"/>
            </w:pPr>
            <w:r>
              <w:rPr>
                <w:rFonts w:ascii="宋体" w:hAnsi="宋体" w:eastAsia="宋体"/>
                <w:sz w:val="14"/>
              </w:rPr>
              <w:t>1,085.83</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A9764">
            <w:pPr>
              <w:spacing w:before="0" w:after="0" w:line="240" w:lineRule="auto"/>
              <w:jc w:val="center"/>
            </w:pPr>
            <w:r>
              <w:rPr>
                <w:rFonts w:ascii="宋体" w:hAnsi="宋体" w:eastAsia="宋体"/>
                <w:sz w:val="14"/>
              </w:rPr>
              <w:t>1,085.83</w:t>
            </w:r>
          </w:p>
        </w:tc>
        <w:tc>
          <w:tcPr>
            <w:tcW w:w="11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6A294">
            <w:pPr>
              <w:spacing w:before="0" w:after="0" w:line="240" w:lineRule="auto"/>
              <w:jc w:val="center"/>
            </w:pPr>
            <w:r>
              <w:rPr>
                <w:rFonts w:ascii="宋体" w:hAnsi="宋体" w:eastAsia="宋体"/>
                <w:sz w:val="14"/>
              </w:rPr>
              <w:t>-</w:t>
            </w:r>
          </w:p>
        </w:tc>
        <w:tc>
          <w:tcPr>
            <w:tcW w:w="116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9F991">
            <w:pPr>
              <w:spacing w:before="0" w:after="0" w:line="240" w:lineRule="auto"/>
              <w:jc w:val="center"/>
            </w:pPr>
            <w:r>
              <w:rPr>
                <w:rFonts w:ascii="宋体" w:hAnsi="宋体" w:eastAsia="宋体"/>
                <w:sz w:val="14"/>
              </w:rPr>
              <w:t>-</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E062D15">
            <w:pPr>
              <w:spacing w:before="0" w:after="0" w:line="240" w:lineRule="auto"/>
              <w:jc w:val="center"/>
            </w:pPr>
            <w:r>
              <w:rPr>
                <w:rFonts w:ascii="宋体" w:hAnsi="宋体" w:eastAsia="宋体"/>
                <w:sz w:val="14"/>
              </w:rPr>
              <w:t>-</w:t>
            </w:r>
          </w:p>
        </w:tc>
      </w:tr>
      <w:tr w14:paraId="311EC93A">
        <w:tblPrEx>
          <w:tblCellMar>
            <w:top w:w="36" w:type="dxa"/>
            <w:left w:w="36" w:type="dxa"/>
            <w:bottom w:w="36" w:type="dxa"/>
            <w:right w:w="36" w:type="dxa"/>
          </w:tblCellMar>
        </w:tblPrEx>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409FA5">
            <w:pPr>
              <w:spacing w:before="0" w:after="0" w:line="240" w:lineRule="auto"/>
              <w:jc w:val="center"/>
            </w:pPr>
            <w:r>
              <w:rPr>
                <w:rFonts w:ascii="宋体" w:hAnsi="宋体" w:eastAsia="宋体"/>
                <w:sz w:val="14"/>
              </w:rPr>
              <w:t>三、目标完成情况</w:t>
            </w:r>
          </w:p>
        </w:tc>
        <w:tc>
          <w:tcPr>
            <w:tcW w:w="35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69ED45">
            <w:pPr>
              <w:spacing w:before="0" w:after="0" w:line="240" w:lineRule="auto"/>
              <w:jc w:val="center"/>
            </w:pPr>
            <w:r>
              <w:rPr>
                <w:rFonts w:ascii="宋体" w:hAnsi="宋体" w:eastAsia="宋体"/>
                <w:sz w:val="14"/>
              </w:rPr>
              <w:t>预期目标</w:t>
            </w:r>
          </w:p>
        </w:tc>
        <w:tc>
          <w:tcPr>
            <w:tcW w:w="4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024C6C">
            <w:pPr>
              <w:spacing w:before="0" w:after="0" w:line="240" w:lineRule="auto"/>
              <w:jc w:val="center"/>
            </w:pPr>
            <w:r>
              <w:rPr>
                <w:rFonts w:ascii="宋体" w:hAnsi="宋体" w:eastAsia="宋体"/>
                <w:sz w:val="14"/>
              </w:rPr>
              <w:t>实际完成情况</w:t>
            </w:r>
          </w:p>
        </w:tc>
      </w:tr>
      <w:tr w14:paraId="1B76FA1A">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5D09CAB7"/>
        </w:tc>
        <w:tc>
          <w:tcPr>
            <w:tcW w:w="35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7B311">
            <w:pPr>
              <w:spacing w:before="0" w:after="0" w:line="240" w:lineRule="auto"/>
              <w:jc w:val="both"/>
            </w:pPr>
            <w:r>
              <w:rPr>
                <w:rFonts w:ascii="宋体" w:hAnsi="宋体" w:eastAsia="宋体"/>
                <w:sz w:val="14"/>
              </w:rPr>
              <w:t>1. 保障2025年职工薪酬的准时发放及日常运营的顺畅进行；
2. 加强对单位工作队的支持，确保群众工作的有效开展，充分发挥其积极作用。</w:t>
            </w:r>
          </w:p>
        </w:tc>
        <w:tc>
          <w:tcPr>
            <w:tcW w:w="407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436FF8">
            <w:pPr>
              <w:spacing w:before="0" w:after="0" w:line="240" w:lineRule="auto"/>
              <w:jc w:val="both"/>
            </w:pPr>
            <w:r>
              <w:rPr>
                <w:rFonts w:ascii="宋体" w:hAnsi="宋体" w:eastAsia="宋体"/>
                <w:sz w:val="14"/>
              </w:rPr>
              <w:t>2025年度，</w:t>
            </w:r>
            <w:r>
              <w:rPr>
                <w:rFonts w:hint="eastAsia" w:ascii="宋体" w:hAnsi="宋体"/>
                <w:sz w:val="14"/>
                <w:lang w:eastAsia="zh-CN"/>
              </w:rPr>
              <w:t>本单位</w:t>
            </w:r>
            <w:r>
              <w:rPr>
                <w:rFonts w:ascii="宋体" w:hAnsi="宋体" w:eastAsia="宋体"/>
                <w:sz w:val="14"/>
              </w:rPr>
              <w:t>经营成本性项目总体执行率为100%，各项保障任务均按序时进度足额、精准完成，有效确保了机构日常运转的高效与稳定。人员经费保障方面，全年累计发放职工工资12次，覆盖在职职工人员共计85人，做到了按时足额、无纰漏，切实保障了职工权益。公务用车管理方面：严格按规定保障公务用车7辆，通过规范化管理，确保了车辆运行安全及公务出行需求。物资及后勤保障方面，完成防汛、供电物资采购2批，物资储备充足且符合标准，同时，对2780.50平方米的办公场所进行了有效维护与管理。</w:t>
            </w:r>
          </w:p>
        </w:tc>
      </w:tr>
      <w:tr w14:paraId="531AAAD6">
        <w:tblPrEx>
          <w:tblCellMar>
            <w:top w:w="36" w:type="dxa"/>
            <w:left w:w="36" w:type="dxa"/>
            <w:bottom w:w="36" w:type="dxa"/>
            <w:right w:w="36" w:type="dxa"/>
          </w:tblCellMar>
        </w:tblPrEx>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2C5FA">
            <w:pPr>
              <w:spacing w:before="0" w:after="0" w:line="240" w:lineRule="auto"/>
              <w:jc w:val="center"/>
            </w:pP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832E7">
            <w:pPr>
              <w:spacing w:before="0" w:after="0" w:line="240" w:lineRule="auto"/>
              <w:jc w:val="center"/>
            </w:pPr>
            <w:r>
              <w:rPr>
                <w:rFonts w:ascii="宋体" w:hAnsi="宋体" w:eastAsia="宋体"/>
                <w:sz w:val="14"/>
              </w:rPr>
              <w:t>一级指标</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18706">
            <w:pPr>
              <w:spacing w:before="0" w:after="0" w:line="240" w:lineRule="auto"/>
              <w:jc w:val="center"/>
            </w:pPr>
            <w:r>
              <w:rPr>
                <w:rFonts w:ascii="宋体" w:hAnsi="宋体" w:eastAsia="宋体"/>
                <w:sz w:val="14"/>
              </w:rPr>
              <w:t>二级指标</w:t>
            </w:r>
          </w:p>
        </w:tc>
        <w:tc>
          <w:tcPr>
            <w:tcW w:w="5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01624C">
            <w:pPr>
              <w:spacing w:before="0" w:after="0" w:line="240" w:lineRule="auto"/>
              <w:jc w:val="center"/>
            </w:pPr>
            <w:r>
              <w:rPr>
                <w:rFonts w:ascii="宋体" w:hAnsi="宋体" w:eastAsia="宋体"/>
                <w:sz w:val="14"/>
              </w:rPr>
              <w:t>三级指标</w:t>
            </w:r>
          </w:p>
        </w:tc>
        <w:tc>
          <w:tcPr>
            <w:tcW w:w="7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6DB592">
            <w:pPr>
              <w:spacing w:before="0" w:after="0" w:line="240" w:lineRule="auto"/>
              <w:jc w:val="center"/>
            </w:pPr>
            <w:r>
              <w:rPr>
                <w:rFonts w:ascii="宋体" w:hAnsi="宋体" w:eastAsia="宋体"/>
                <w:sz w:val="14"/>
              </w:rPr>
              <w:t>年度指标值</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03D39">
            <w:pPr>
              <w:spacing w:before="0" w:after="0" w:line="240" w:lineRule="auto"/>
              <w:jc w:val="center"/>
            </w:pPr>
            <w:r>
              <w:rPr>
                <w:rFonts w:ascii="宋体" w:hAnsi="宋体" w:eastAsia="宋体"/>
                <w:sz w:val="14"/>
              </w:rPr>
              <w:t>指标值设定依据</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E8A08">
            <w:pPr>
              <w:spacing w:before="0" w:after="0" w:line="240" w:lineRule="auto"/>
              <w:jc w:val="center"/>
            </w:pPr>
            <w:r>
              <w:rPr>
                <w:rFonts w:ascii="宋体" w:hAnsi="宋体" w:eastAsia="宋体"/>
                <w:sz w:val="14"/>
              </w:rPr>
              <w:t>上年完成情况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B38BD">
            <w:pPr>
              <w:spacing w:before="0" w:after="0" w:line="240" w:lineRule="auto"/>
              <w:jc w:val="center"/>
            </w:pPr>
            <w:r>
              <w:rPr>
                <w:rFonts w:ascii="宋体" w:hAnsi="宋体" w:eastAsia="宋体"/>
                <w:sz w:val="14"/>
              </w:rPr>
              <w:t>权重</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D37A5">
            <w:pPr>
              <w:spacing w:before="0" w:after="0" w:line="240" w:lineRule="auto"/>
              <w:jc w:val="center"/>
            </w:pPr>
            <w:r>
              <w:rPr>
                <w:rFonts w:ascii="宋体" w:hAnsi="宋体" w:eastAsia="宋体"/>
                <w:sz w:val="14"/>
              </w:rPr>
              <w:t>赋分规则</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47A18">
            <w:pPr>
              <w:spacing w:before="0" w:after="0" w:line="240" w:lineRule="auto"/>
              <w:jc w:val="center"/>
            </w:pPr>
            <w:r>
              <w:rPr>
                <w:rFonts w:ascii="宋体" w:hAnsi="宋体" w:eastAsia="宋体"/>
                <w:sz w:val="14"/>
              </w:rPr>
              <w:t>佐证资料</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7B63E0">
            <w:pPr>
              <w:spacing w:before="0" w:after="0" w:line="240" w:lineRule="auto"/>
              <w:jc w:val="center"/>
            </w:pPr>
            <w:r>
              <w:rPr>
                <w:rFonts w:ascii="宋体" w:hAnsi="宋体" w:eastAsia="宋体"/>
                <w:sz w:val="14"/>
              </w:rPr>
              <w:t>实际完成值</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3758D">
            <w:pPr>
              <w:spacing w:before="0" w:after="0" w:line="240" w:lineRule="auto"/>
              <w:jc w:val="center"/>
            </w:pPr>
            <w:r>
              <w:rPr>
                <w:rFonts w:ascii="宋体" w:hAnsi="宋体" w:eastAsia="宋体"/>
                <w:sz w:val="14"/>
              </w:rPr>
              <w:t>指标得分</w:t>
            </w:r>
          </w:p>
        </w:tc>
        <w:tc>
          <w:tcPr>
            <w:tcW w:w="59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47387">
            <w:pPr>
              <w:spacing w:before="0" w:after="0" w:line="240" w:lineRule="auto"/>
              <w:jc w:val="center"/>
            </w:pPr>
            <w:r>
              <w:rPr>
                <w:rFonts w:ascii="宋体" w:hAnsi="宋体" w:eastAsia="宋体"/>
                <w:sz w:val="14"/>
              </w:rPr>
              <w:t>完成率</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9448D">
            <w:pPr>
              <w:spacing w:before="0" w:after="0" w:line="240" w:lineRule="auto"/>
              <w:jc w:val="center"/>
            </w:pPr>
            <w:r>
              <w:rPr>
                <w:rFonts w:ascii="宋体" w:hAnsi="宋体" w:eastAsia="宋体"/>
                <w:sz w:val="14"/>
              </w:rPr>
              <w:t>偏差原因分析及改进措施</w:t>
            </w:r>
          </w:p>
        </w:tc>
      </w:tr>
      <w:tr w14:paraId="6DD8F836">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C6A66E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1CE5D30D"/>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716F018"/>
        </w:tc>
        <w:tc>
          <w:tcPr>
            <w:tcW w:w="5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6A253"/>
        </w:tc>
        <w:tc>
          <w:tcPr>
            <w:tcW w:w="702" w:type="dxa"/>
            <w:vMerge w:val="continue"/>
            <w:tcBorders>
              <w:top w:val="single" w:color="auto" w:sz="10" w:space="0"/>
              <w:left w:val="single" w:color="auto" w:sz="10" w:space="0"/>
              <w:bottom w:val="single" w:color="auto" w:sz="10" w:space="0"/>
              <w:right w:val="single" w:color="auto" w:sz="10" w:space="0"/>
              <w:insideV w:val="single" w:sz="10" w:space="0"/>
            </w:tcBorders>
          </w:tcPr>
          <w:p w14:paraId="4CE4BA41"/>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63E7A6D8"/>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577234D3"/>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4329053"/>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35CB6673"/>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2BFC7E51"/>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38E413B5"/>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1431E6E"/>
        </w:tc>
        <w:tc>
          <w:tcPr>
            <w:tcW w:w="591" w:type="dxa"/>
            <w:vMerge w:val="continue"/>
            <w:tcBorders>
              <w:top w:val="single" w:color="auto" w:sz="10" w:space="0"/>
              <w:left w:val="single" w:color="auto" w:sz="10" w:space="0"/>
              <w:bottom w:val="single" w:color="auto" w:sz="10" w:space="0"/>
              <w:right w:val="single" w:color="auto" w:sz="10" w:space="0"/>
              <w:insideV w:val="single" w:sz="10" w:space="0"/>
            </w:tcBorders>
          </w:tcPr>
          <w:p w14:paraId="39E65A05"/>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3F7054DA"/>
        </w:tc>
      </w:tr>
      <w:tr w14:paraId="2BE94CB2">
        <w:tblPrEx>
          <w:tblCellMar>
            <w:top w:w="36" w:type="dxa"/>
            <w:left w:w="36" w:type="dxa"/>
            <w:bottom w:w="36" w:type="dxa"/>
            <w:right w:w="36" w:type="dxa"/>
          </w:tblCellMar>
        </w:tblPrEx>
        <w:tc>
          <w:tcPr>
            <w:tcW w:w="58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B4C33">
            <w:pPr>
              <w:spacing w:before="0" w:after="0" w:line="240" w:lineRule="auto"/>
              <w:jc w:val="center"/>
            </w:pPr>
            <w:r>
              <w:rPr>
                <w:rFonts w:ascii="宋体" w:hAnsi="宋体" w:eastAsia="宋体"/>
                <w:sz w:val="14"/>
              </w:rPr>
              <w:t>年度绩效指标完成情况</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218E3">
            <w:pPr>
              <w:spacing w:before="0" w:after="0" w:line="240" w:lineRule="auto"/>
              <w:jc w:val="center"/>
            </w:pPr>
            <w:r>
              <w:rPr>
                <w:rFonts w:ascii="宋体" w:hAnsi="宋体" w:eastAsia="宋体"/>
                <w:sz w:val="14"/>
              </w:rPr>
              <w:t>产出指标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114E103">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45AB31A">
            <w:pPr>
              <w:spacing w:before="0" w:after="0" w:line="240" w:lineRule="auto"/>
              <w:jc w:val="center"/>
            </w:pPr>
            <w:r>
              <w:rPr>
                <w:rFonts w:ascii="宋体" w:hAnsi="宋体" w:eastAsia="宋体"/>
                <w:sz w:val="14"/>
              </w:rPr>
              <w:t>人员工资发放次数</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59BE99E">
            <w:pPr>
              <w:spacing w:before="0" w:after="0" w:line="240" w:lineRule="auto"/>
              <w:jc w:val="center"/>
            </w:pPr>
            <w:r>
              <w:rPr>
                <w:rFonts w:ascii="宋体" w:hAnsi="宋体" w:eastAsia="宋体"/>
                <w:sz w:val="14"/>
              </w:rPr>
              <w:t>=12次</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21932B1">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73668B8">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71ECF4F">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628082D">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42FD983">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1CA2EEBD">
            <w:pPr>
              <w:spacing w:before="0" w:after="0" w:line="240" w:lineRule="auto"/>
              <w:jc w:val="center"/>
            </w:pPr>
            <w:r>
              <w:rPr>
                <w:rFonts w:ascii="宋体" w:hAnsi="宋体" w:eastAsia="宋体"/>
                <w:sz w:val="14"/>
              </w:rPr>
              <w:t>=12次</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BD4FA0D">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D4DA7AF">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E6FC7AC">
            <w:pPr>
              <w:spacing w:before="0" w:after="0" w:line="240" w:lineRule="auto"/>
              <w:jc w:val="center"/>
            </w:pPr>
          </w:p>
        </w:tc>
      </w:tr>
      <w:tr w14:paraId="4420C211">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7F0DD5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E0F370C"/>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854340F">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FCA0437">
            <w:pPr>
              <w:spacing w:before="0" w:after="0" w:line="240" w:lineRule="auto"/>
              <w:jc w:val="center"/>
            </w:pPr>
            <w:r>
              <w:rPr>
                <w:rFonts w:ascii="宋体" w:hAnsi="宋体" w:eastAsia="宋体"/>
                <w:sz w:val="14"/>
              </w:rPr>
              <w:t>公务保障用车数量</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7C47205F">
            <w:pPr>
              <w:spacing w:before="0" w:after="0" w:line="240" w:lineRule="auto"/>
              <w:jc w:val="center"/>
            </w:pPr>
            <w:r>
              <w:rPr>
                <w:rFonts w:ascii="宋体" w:hAnsi="宋体" w:eastAsia="宋体"/>
                <w:sz w:val="14"/>
              </w:rPr>
              <w:t>=7辆</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876A134">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5D9EB14">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6F27A19">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4F1F0FD">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79B209A">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30BD11E">
            <w:pPr>
              <w:spacing w:before="0" w:after="0" w:line="240" w:lineRule="auto"/>
              <w:jc w:val="center"/>
            </w:pPr>
            <w:r>
              <w:rPr>
                <w:rFonts w:ascii="宋体" w:hAnsi="宋体" w:eastAsia="宋体"/>
                <w:sz w:val="14"/>
              </w:rPr>
              <w:t>=7辆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7A664E7">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E66CDDE">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1397061">
            <w:pPr>
              <w:spacing w:before="0" w:after="0" w:line="240" w:lineRule="auto"/>
              <w:jc w:val="center"/>
            </w:pPr>
          </w:p>
        </w:tc>
      </w:tr>
      <w:tr w14:paraId="5EF3F236">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078806E8"/>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A917F0D"/>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ED3FB6B">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045C48A2">
            <w:pPr>
              <w:spacing w:before="0" w:after="0" w:line="240" w:lineRule="auto"/>
              <w:jc w:val="center"/>
            </w:pPr>
            <w:r>
              <w:rPr>
                <w:rFonts w:ascii="宋体" w:hAnsi="宋体" w:eastAsia="宋体"/>
                <w:sz w:val="14"/>
              </w:rPr>
              <w:t>工资发放人数</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460D0E0">
            <w:pPr>
              <w:spacing w:before="0" w:after="0" w:line="240" w:lineRule="auto"/>
              <w:jc w:val="center"/>
            </w:pPr>
            <w:r>
              <w:rPr>
                <w:rFonts w:ascii="宋体" w:hAnsi="宋体" w:eastAsia="宋体"/>
                <w:sz w:val="14"/>
              </w:rPr>
              <w:t>&gt;=78人</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8C45B78">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8FE466E">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F76CFAD">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F58D43C">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9CE6ADA">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43E0F8C">
            <w:pPr>
              <w:spacing w:before="0" w:after="0" w:line="240" w:lineRule="auto"/>
              <w:jc w:val="center"/>
            </w:pPr>
            <w:r>
              <w:rPr>
                <w:rFonts w:ascii="宋体" w:hAnsi="宋体" w:eastAsia="宋体"/>
                <w:sz w:val="14"/>
              </w:rPr>
              <w:t>=85人</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7E0D723">
            <w:pPr>
              <w:spacing w:before="0" w:after="0" w:line="240" w:lineRule="auto"/>
              <w:jc w:val="center"/>
            </w:pPr>
            <w:r>
              <w:rPr>
                <w:rFonts w:ascii="宋体" w:hAnsi="宋体" w:eastAsia="宋体"/>
                <w:sz w:val="14"/>
              </w:rPr>
              <w:t>9.2</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BE0A190">
            <w:pPr>
              <w:spacing w:before="0" w:after="0" w:line="240" w:lineRule="auto"/>
              <w:jc w:val="center"/>
            </w:pPr>
            <w:r>
              <w:rPr>
                <w:rFonts w:ascii="宋体" w:hAnsi="宋体" w:eastAsia="宋体"/>
                <w:sz w:val="14"/>
              </w:rPr>
              <w:t>108.00%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729C89E">
            <w:pPr>
              <w:spacing w:before="0" w:after="0" w:line="240" w:lineRule="auto"/>
              <w:jc w:val="both"/>
            </w:pPr>
            <w:r>
              <w:rPr>
                <w:rFonts w:ascii="宋体" w:hAnsi="宋体" w:eastAsia="宋体"/>
                <w:sz w:val="14"/>
              </w:rPr>
              <w:t>目标人数78人，业绩人数85人，相差7人（新招录5人，调入2人）。改进措施：精准核定人员编制与岗位配置，结合单位业务实际与发展需求，科学制定用人计划。通过强化招聘与人员调动的统筹管理，从源头避免超编现象，确保目标人数与业绩人数保持一致。</w:t>
            </w:r>
          </w:p>
        </w:tc>
      </w:tr>
      <w:tr w14:paraId="06EF5161">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4967A09B"/>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44F770B"/>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57B9690">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5745508">
            <w:pPr>
              <w:spacing w:before="0" w:after="0" w:line="240" w:lineRule="auto"/>
              <w:jc w:val="center"/>
            </w:pPr>
            <w:r>
              <w:rPr>
                <w:rFonts w:ascii="宋体" w:hAnsi="宋体" w:eastAsia="宋体"/>
                <w:sz w:val="14"/>
              </w:rPr>
              <w:t>防洪物资采购</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EB07317">
            <w:pPr>
              <w:spacing w:before="0" w:after="0" w:line="240" w:lineRule="auto"/>
              <w:jc w:val="center"/>
            </w:pPr>
            <w:r>
              <w:rPr>
                <w:rFonts w:ascii="宋体" w:hAnsi="宋体" w:eastAsia="宋体"/>
                <w:sz w:val="14"/>
              </w:rPr>
              <w:t>&gt;=2批</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9CF9BC5">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5651FB0">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5143BC0">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6068F57">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2B15A19">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5B30BC4">
            <w:pPr>
              <w:spacing w:before="0" w:after="0" w:line="240" w:lineRule="auto"/>
              <w:jc w:val="center"/>
            </w:pPr>
            <w:r>
              <w:rPr>
                <w:rFonts w:ascii="宋体" w:hAnsi="宋体" w:eastAsia="宋体"/>
                <w:sz w:val="14"/>
              </w:rPr>
              <w:t>=2批</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C630468">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0D7B3CE">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18EF8A7">
            <w:pPr>
              <w:spacing w:before="0" w:after="0" w:line="240" w:lineRule="auto"/>
              <w:jc w:val="center"/>
            </w:pPr>
          </w:p>
        </w:tc>
      </w:tr>
      <w:tr w14:paraId="7C0304EA">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1A15789E"/>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C03E34C"/>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480A1AE">
            <w:pPr>
              <w:spacing w:before="0" w:after="0" w:line="240" w:lineRule="auto"/>
              <w:jc w:val="center"/>
            </w:pPr>
            <w:r>
              <w:rPr>
                <w:rFonts w:ascii="宋体" w:hAnsi="宋体" w:eastAsia="宋体"/>
                <w:sz w:val="14"/>
              </w:rPr>
              <w:t>数量指标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18BA770F">
            <w:pPr>
              <w:spacing w:before="0" w:after="0" w:line="240" w:lineRule="auto"/>
              <w:jc w:val="center"/>
            </w:pPr>
            <w:r>
              <w:rPr>
                <w:rFonts w:ascii="宋体" w:hAnsi="宋体" w:eastAsia="宋体"/>
                <w:sz w:val="14"/>
              </w:rPr>
              <w:t>保障办公场所面积</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D89A386">
            <w:pPr>
              <w:spacing w:before="0" w:after="0" w:line="240" w:lineRule="auto"/>
              <w:jc w:val="center"/>
            </w:pPr>
            <w:r>
              <w:rPr>
                <w:rFonts w:ascii="宋体" w:hAnsi="宋体" w:eastAsia="宋体"/>
                <w:sz w:val="14"/>
              </w:rPr>
              <w:t>&gt;=2779.92㎡</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BA7EE0C">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DF9C9D1">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646E668">
            <w:pPr>
              <w:spacing w:before="0" w:after="0" w:line="240" w:lineRule="auto"/>
              <w:jc w:val="center"/>
            </w:pPr>
            <w:r>
              <w:rPr>
                <w:rFonts w:ascii="宋体" w:hAnsi="宋体" w:eastAsia="宋体"/>
                <w:sz w:val="14"/>
              </w:rPr>
              <w:t>5</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22FEF3A">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D09A03F">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A213CC1">
            <w:pPr>
              <w:spacing w:before="0" w:after="0" w:line="240" w:lineRule="auto"/>
              <w:jc w:val="center"/>
            </w:pPr>
            <w:r>
              <w:rPr>
                <w:rFonts w:ascii="宋体" w:hAnsi="宋体" w:eastAsia="宋体"/>
                <w:sz w:val="14"/>
              </w:rPr>
              <w:t>=2780.5㎡</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63C306F">
            <w:pPr>
              <w:spacing w:before="0" w:after="0" w:line="240" w:lineRule="auto"/>
              <w:jc w:val="center"/>
            </w:pPr>
            <w:r>
              <w:rPr>
                <w:rFonts w:ascii="宋体" w:hAnsi="宋体" w:eastAsia="宋体"/>
                <w:sz w:val="14"/>
              </w:rPr>
              <w:t>5</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449AC0C">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37D6E17">
            <w:pPr>
              <w:spacing w:before="0" w:after="0" w:line="240" w:lineRule="auto"/>
              <w:jc w:val="center"/>
            </w:pPr>
          </w:p>
        </w:tc>
      </w:tr>
      <w:tr w14:paraId="318E3D73">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5522769"/>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CA2135B"/>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B1AF7E6">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6D4CB9EF">
            <w:pPr>
              <w:spacing w:before="0" w:after="0" w:line="240" w:lineRule="auto"/>
              <w:jc w:val="center"/>
            </w:pPr>
            <w:r>
              <w:rPr>
                <w:rFonts w:ascii="宋体" w:hAnsi="宋体" w:eastAsia="宋体"/>
                <w:sz w:val="14"/>
              </w:rPr>
              <w:t>资金发放准确率（%）</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372C778C">
            <w:pPr>
              <w:spacing w:before="0" w:after="0" w:line="240" w:lineRule="auto"/>
              <w:jc w:val="center"/>
            </w:pPr>
            <w:r>
              <w:rPr>
                <w:rFonts w:ascii="宋体" w:hAnsi="宋体" w:eastAsia="宋体"/>
                <w:sz w:val="14"/>
              </w:rPr>
              <w:t>=98%</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B78A169">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93285B4">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D659B99">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B7E7FAA">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8EE929F">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42B8A28E">
            <w:pPr>
              <w:spacing w:before="0" w:after="0" w:line="240" w:lineRule="auto"/>
              <w:jc w:val="center"/>
            </w:pPr>
            <w:r>
              <w:rPr>
                <w:rFonts w:ascii="宋体" w:hAnsi="宋体" w:eastAsia="宋体"/>
                <w:sz w:val="14"/>
              </w:rPr>
              <w:t>=98%</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70CEE8F">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B69C14F">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7A4A29C">
            <w:pPr>
              <w:spacing w:before="0" w:after="0" w:line="240" w:lineRule="auto"/>
              <w:jc w:val="center"/>
            </w:pPr>
          </w:p>
        </w:tc>
      </w:tr>
      <w:tr w14:paraId="0745C7AF">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7DFB6843"/>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7A13DDE9"/>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C6C1725">
            <w:pPr>
              <w:spacing w:before="0" w:after="0" w:line="240" w:lineRule="auto"/>
              <w:jc w:val="center"/>
            </w:pPr>
            <w:r>
              <w:rPr>
                <w:rFonts w:ascii="宋体" w:hAnsi="宋体" w:eastAsia="宋体"/>
                <w:sz w:val="14"/>
              </w:rPr>
              <w:t>质量指标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52E397C9">
            <w:pPr>
              <w:spacing w:before="0" w:after="0" w:line="240" w:lineRule="auto"/>
              <w:jc w:val="center"/>
            </w:pPr>
            <w:r>
              <w:rPr>
                <w:rFonts w:ascii="宋体" w:hAnsi="宋体" w:eastAsia="宋体"/>
                <w:sz w:val="14"/>
              </w:rPr>
              <w:t>防洪物资采购质量合格率</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5EE08CAF">
            <w:pPr>
              <w:spacing w:before="0" w:after="0" w:line="240" w:lineRule="auto"/>
              <w:jc w:val="center"/>
            </w:pPr>
            <w:r>
              <w:rPr>
                <w:rFonts w:ascii="宋体" w:hAnsi="宋体" w:eastAsia="宋体"/>
                <w:sz w:val="14"/>
              </w:rPr>
              <w:t>=98%</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51C39B8">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7E06221">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BA9DCFF">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5478AEC">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401421C">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C40CAFC">
            <w:pPr>
              <w:spacing w:before="0" w:after="0" w:line="240" w:lineRule="auto"/>
              <w:jc w:val="center"/>
            </w:pPr>
            <w:r>
              <w:rPr>
                <w:rFonts w:ascii="宋体" w:hAnsi="宋体" w:eastAsia="宋体"/>
                <w:sz w:val="14"/>
              </w:rPr>
              <w:t>=98%</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EDBF7F2">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3522ED84">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E3A6735">
            <w:pPr>
              <w:spacing w:before="0" w:after="0" w:line="240" w:lineRule="auto"/>
              <w:jc w:val="center"/>
            </w:pPr>
          </w:p>
        </w:tc>
      </w:tr>
      <w:tr w14:paraId="0B678163">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36F35F9C"/>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392C112"/>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8B94419">
            <w:pPr>
              <w:spacing w:before="0" w:after="0" w:line="240" w:lineRule="auto"/>
              <w:jc w:val="center"/>
            </w:pPr>
            <w:r>
              <w:rPr>
                <w:rFonts w:ascii="宋体" w:hAnsi="宋体" w:eastAsia="宋体"/>
                <w:sz w:val="14"/>
              </w:rPr>
              <w:t>时效指标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0E49F11">
            <w:pPr>
              <w:spacing w:before="0" w:after="0" w:line="240" w:lineRule="auto"/>
              <w:jc w:val="center"/>
            </w:pPr>
            <w:r>
              <w:rPr>
                <w:rFonts w:ascii="宋体" w:hAnsi="宋体" w:eastAsia="宋体"/>
                <w:sz w:val="14"/>
              </w:rPr>
              <w:t>防洪物资采购及时率</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12E7C451">
            <w:pPr>
              <w:spacing w:before="0" w:after="0" w:line="240" w:lineRule="auto"/>
              <w:jc w:val="center"/>
            </w:pPr>
            <w:r>
              <w:rPr>
                <w:rFonts w:ascii="宋体" w:hAnsi="宋体" w:eastAsia="宋体"/>
                <w:sz w:val="14"/>
              </w:rPr>
              <w:t>&gt;=98%</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A4D4ADC">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1F6B1CA">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97D1481">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C495842">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08C9BEE">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94F488A">
            <w:pPr>
              <w:spacing w:before="0" w:after="0" w:line="240" w:lineRule="auto"/>
              <w:jc w:val="center"/>
            </w:pPr>
            <w:r>
              <w:rPr>
                <w:rFonts w:ascii="宋体" w:hAnsi="宋体" w:eastAsia="宋体"/>
                <w:sz w:val="14"/>
              </w:rPr>
              <w:t>=98%</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61DEEAB">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4A09A2D">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00092A4">
            <w:pPr>
              <w:spacing w:before="0" w:after="0" w:line="240" w:lineRule="auto"/>
              <w:jc w:val="center"/>
            </w:pPr>
          </w:p>
        </w:tc>
      </w:tr>
      <w:tr w14:paraId="3DE3A03A">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294AD4BD"/>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2768B">
            <w:pPr>
              <w:spacing w:before="0" w:after="0" w:line="240" w:lineRule="auto"/>
              <w:jc w:val="center"/>
            </w:pPr>
            <w:r>
              <w:rPr>
                <w:rFonts w:ascii="宋体" w:hAnsi="宋体" w:eastAsia="宋体"/>
                <w:sz w:val="14"/>
              </w:rPr>
              <w:t>成本指标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94B544F">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7A752777">
            <w:pPr>
              <w:spacing w:before="0" w:after="0" w:line="240" w:lineRule="auto"/>
              <w:jc w:val="center"/>
            </w:pPr>
            <w:r>
              <w:rPr>
                <w:rFonts w:ascii="宋体" w:hAnsi="宋体" w:eastAsia="宋体"/>
                <w:sz w:val="14"/>
              </w:rPr>
              <w:t>保障人员经费</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EE26D4C">
            <w:pPr>
              <w:spacing w:before="0" w:after="0" w:line="240" w:lineRule="auto"/>
              <w:jc w:val="center"/>
            </w:pPr>
            <w:r>
              <w:rPr>
                <w:rFonts w:ascii="宋体" w:hAnsi="宋体" w:eastAsia="宋体"/>
                <w:sz w:val="14"/>
              </w:rPr>
              <w:t>&lt;=199.21万元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5C9840B">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2B5E409">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6CB95F8">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9CA320D">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05B71C1">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62AE8E44">
            <w:pPr>
              <w:spacing w:before="0" w:after="0" w:line="240" w:lineRule="auto"/>
              <w:jc w:val="center"/>
            </w:pPr>
            <w:r>
              <w:rPr>
                <w:rFonts w:ascii="宋体" w:hAnsi="宋体" w:eastAsia="宋体"/>
                <w:sz w:val="14"/>
              </w:rPr>
              <w:t>=199.21万元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C9CA95B">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25846345">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F1F609E">
            <w:pPr>
              <w:spacing w:before="0" w:after="0" w:line="240" w:lineRule="auto"/>
              <w:jc w:val="center"/>
            </w:pPr>
          </w:p>
        </w:tc>
      </w:tr>
      <w:tr w14:paraId="76E14C1F">
        <w:tblPrEx>
          <w:tblCellMar>
            <w:top w:w="36" w:type="dxa"/>
            <w:left w:w="36" w:type="dxa"/>
            <w:bottom w:w="36" w:type="dxa"/>
            <w:right w:w="36" w:type="dxa"/>
          </w:tblCellMar>
        </w:tblPrEx>
        <w:tc>
          <w:tcPr>
            <w:tcW w:w="580" w:type="dxa"/>
            <w:vMerge w:val="continue"/>
            <w:tcBorders>
              <w:top w:val="single" w:color="auto" w:sz="10" w:space="0"/>
              <w:left w:val="single" w:color="auto" w:sz="10" w:space="0"/>
              <w:bottom w:val="single" w:color="auto" w:sz="10" w:space="0"/>
              <w:right w:val="single" w:color="auto" w:sz="10" w:space="0"/>
              <w:insideV w:val="single" w:sz="10" w:space="0"/>
            </w:tcBorders>
          </w:tcPr>
          <w:p w14:paraId="4468319D"/>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74A776A"/>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6355337">
            <w:pPr>
              <w:spacing w:before="0" w:after="0" w:line="240" w:lineRule="auto"/>
              <w:jc w:val="center"/>
            </w:pPr>
            <w:r>
              <w:rPr>
                <w:rFonts w:ascii="宋体" w:hAnsi="宋体" w:eastAsia="宋体"/>
                <w:sz w:val="14"/>
              </w:rPr>
              <w:t>经济成本指标</w:t>
            </w:r>
          </w:p>
        </w:tc>
        <w:tc>
          <w:tcPr>
            <w:tcW w:w="583" w:type="dxa"/>
            <w:tcBorders>
              <w:top w:val="single" w:color="auto" w:sz="10" w:space="0"/>
              <w:left w:val="single" w:color="auto" w:sz="10" w:space="0"/>
              <w:bottom w:val="single" w:color="auto" w:sz="10" w:space="0"/>
              <w:right w:val="single" w:color="auto" w:sz="10" w:space="0"/>
              <w:insideV w:val="single" w:sz="10" w:space="0"/>
            </w:tcBorders>
            <w:vAlign w:val="center"/>
          </w:tcPr>
          <w:p w14:paraId="4CA92A70">
            <w:pPr>
              <w:spacing w:before="0" w:after="0" w:line="240" w:lineRule="auto"/>
              <w:jc w:val="center"/>
            </w:pPr>
            <w:r>
              <w:rPr>
                <w:rFonts w:ascii="宋体" w:hAnsi="宋体" w:eastAsia="宋体"/>
                <w:sz w:val="14"/>
              </w:rPr>
              <w:t>保障日常运转经费</w:t>
            </w:r>
          </w:p>
        </w:tc>
        <w:tc>
          <w:tcPr>
            <w:tcW w:w="702" w:type="dxa"/>
            <w:tcBorders>
              <w:top w:val="single" w:color="auto" w:sz="10" w:space="0"/>
              <w:left w:val="single" w:color="auto" w:sz="10" w:space="0"/>
              <w:bottom w:val="single" w:color="auto" w:sz="10" w:space="0"/>
              <w:right w:val="single" w:color="auto" w:sz="10" w:space="0"/>
              <w:insideV w:val="single" w:sz="10" w:space="0"/>
            </w:tcBorders>
            <w:vAlign w:val="center"/>
          </w:tcPr>
          <w:p w14:paraId="0B960E35">
            <w:pPr>
              <w:spacing w:before="0" w:after="0" w:line="240" w:lineRule="auto"/>
              <w:jc w:val="center"/>
            </w:pPr>
            <w:r>
              <w:rPr>
                <w:rFonts w:ascii="宋体" w:hAnsi="宋体" w:eastAsia="宋体"/>
                <w:sz w:val="14"/>
              </w:rPr>
              <w:t>&lt;=886.62万元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836732C">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D4D2B2F">
            <w:pPr>
              <w:spacing w:before="0" w:after="0" w:line="240" w:lineRule="auto"/>
              <w:jc w:val="center"/>
            </w:pPr>
            <w:r>
              <w:rPr>
                <w:rFonts w:ascii="宋体" w:hAnsi="宋体" w:eastAsia="宋体"/>
                <w:sz w:val="14"/>
              </w:rPr>
              <w:t>-</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9B15439">
            <w:pPr>
              <w:spacing w:before="0" w:after="0" w:line="240" w:lineRule="auto"/>
              <w:jc w:val="center"/>
            </w:pPr>
            <w:r>
              <w:rPr>
                <w:rFonts w:ascii="宋体" w:hAnsi="宋体" w:eastAsia="宋体"/>
                <w:sz w:val="14"/>
              </w:rPr>
              <w:t>10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11B6A70">
            <w:pPr>
              <w:spacing w:before="0" w:after="0" w:line="240" w:lineRule="auto"/>
              <w:jc w:val="center"/>
            </w:pPr>
            <w:r>
              <w:rPr>
                <w:rFonts w:ascii="宋体" w:hAnsi="宋体" w:eastAsia="宋体"/>
                <w:sz w:val="14"/>
              </w:rPr>
              <w:t>按照完成比例赋分</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3FC59F4">
            <w:pPr>
              <w:spacing w:before="0" w:after="0" w:line="240" w:lineRule="auto"/>
              <w:jc w:val="center"/>
            </w:pPr>
            <w:r>
              <w:rPr>
                <w:rFonts w:ascii="宋体" w:hAnsi="宋体" w:eastAsia="宋体"/>
                <w:sz w:val="14"/>
              </w:rPr>
              <w:t>工作资料</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B01BD06">
            <w:pPr>
              <w:spacing w:before="0" w:after="0" w:line="240" w:lineRule="auto"/>
              <w:jc w:val="center"/>
            </w:pPr>
            <w:r>
              <w:rPr>
                <w:rFonts w:ascii="宋体" w:hAnsi="宋体" w:eastAsia="宋体"/>
                <w:sz w:val="14"/>
              </w:rPr>
              <w:t>=886.62万元</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3E23222">
            <w:pPr>
              <w:spacing w:before="0" w:after="0" w:line="240" w:lineRule="auto"/>
              <w:jc w:val="center"/>
            </w:pPr>
            <w:r>
              <w:rPr>
                <w:rFonts w:ascii="宋体" w:hAnsi="宋体" w:eastAsia="宋体"/>
                <w:sz w:val="14"/>
              </w:rPr>
              <w:t>10</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56426D3B">
            <w:pPr>
              <w:spacing w:before="0" w:after="0" w:line="240" w:lineRule="auto"/>
              <w:jc w:val="center"/>
            </w:pPr>
            <w:r>
              <w:rPr>
                <w:rFonts w:ascii="宋体" w:hAnsi="宋体" w:eastAsia="宋体"/>
                <w:sz w:val="14"/>
              </w:rPr>
              <w:t>100.00%</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AA5F756">
            <w:pPr>
              <w:spacing w:before="0" w:after="0" w:line="240" w:lineRule="auto"/>
              <w:jc w:val="center"/>
            </w:pPr>
          </w:p>
        </w:tc>
      </w:tr>
      <w:tr w14:paraId="4B749F6D">
        <w:tblPrEx>
          <w:tblCellMar>
            <w:top w:w="36" w:type="dxa"/>
            <w:left w:w="36" w:type="dxa"/>
            <w:bottom w:w="36" w:type="dxa"/>
            <w:right w:w="36" w:type="dxa"/>
          </w:tblCellMar>
        </w:tblPrEx>
        <w:tc>
          <w:tcPr>
            <w:tcW w:w="41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8B8DAD">
            <w:pPr>
              <w:spacing w:before="0" w:after="0" w:line="240" w:lineRule="auto"/>
              <w:jc w:val="center"/>
            </w:pPr>
            <w:r>
              <w:rPr>
                <w:rFonts w:ascii="宋体" w:hAnsi="宋体" w:eastAsia="宋体"/>
                <w:sz w:val="14"/>
              </w:rPr>
              <w:t>总分</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3AC2AEC">
            <w:pPr>
              <w:spacing w:before="0" w:after="0" w:line="240" w:lineRule="auto"/>
              <w:jc w:val="center"/>
              <w:rPr>
                <w:rFonts w:hint="default" w:ascii="宋体" w:hAnsi="宋体" w:eastAsia="宋体"/>
                <w:sz w:val="14"/>
                <w:lang w:val="en-US" w:eastAsia="zh-CN"/>
              </w:rPr>
            </w:pPr>
            <w:r>
              <w:rPr>
                <w:rFonts w:hint="eastAsia" w:ascii="宋体" w:hAnsi="宋体" w:eastAsia="宋体"/>
                <w:sz w:val="14"/>
                <w:lang w:val="en-US" w:eastAsia="zh-CN"/>
              </w:rPr>
              <w:t>100</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96C9E2C">
            <w:pPr>
              <w:spacing w:before="0" w:after="0" w:line="240" w:lineRule="auto"/>
              <w:jc w:val="center"/>
              <w:rPr>
                <w:rFonts w:ascii="宋体" w:hAnsi="宋体" w:eastAsia="宋体"/>
                <w:sz w:val="14"/>
              </w:rPr>
            </w:pP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F80825E">
            <w:pPr>
              <w:spacing w:before="0" w:after="0" w:line="240" w:lineRule="auto"/>
              <w:jc w:val="center"/>
            </w:pP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76D2A77D">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5235E10">
            <w:pPr>
              <w:spacing w:before="0" w:after="0" w:line="240" w:lineRule="auto"/>
              <w:jc w:val="center"/>
            </w:pPr>
            <w:r>
              <w:rPr>
                <w:rFonts w:ascii="宋体" w:hAnsi="宋体" w:eastAsia="宋体"/>
                <w:sz w:val="14"/>
              </w:rPr>
              <w:t>99.2</w:t>
            </w:r>
          </w:p>
        </w:tc>
        <w:tc>
          <w:tcPr>
            <w:tcW w:w="591" w:type="dxa"/>
            <w:tcBorders>
              <w:top w:val="single" w:color="auto" w:sz="10" w:space="0"/>
              <w:left w:val="single" w:color="auto" w:sz="10" w:space="0"/>
              <w:bottom w:val="single" w:color="auto" w:sz="10" w:space="0"/>
              <w:right w:val="single" w:color="auto" w:sz="10" w:space="0"/>
              <w:insideV w:val="single" w:sz="10" w:space="0"/>
            </w:tcBorders>
            <w:vAlign w:val="center"/>
          </w:tcPr>
          <w:p w14:paraId="06E8F7A7">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EF662DE">
            <w:pPr>
              <w:spacing w:before="0" w:after="0" w:line="240" w:lineRule="auto"/>
              <w:jc w:val="center"/>
            </w:pPr>
          </w:p>
        </w:tc>
      </w:tr>
    </w:tbl>
    <w:p w14:paraId="06592402">
      <w:r>
        <w:br w:type="page"/>
      </w:r>
    </w:p>
    <w:p w14:paraId="27CFF2E9">
      <w:pPr>
        <w:sectPr>
          <w:type w:val="continuous"/>
          <w:pgSz w:w="11906" w:h="16838"/>
          <w:pgMar w:top="1440" w:right="1800" w:bottom="1440" w:left="1800" w:header="851" w:footer="992" w:gutter="0"/>
          <w:cols w:space="720" w:num="1"/>
          <w:docGrid w:type="lines" w:linePitch="312" w:charSpace="0"/>
        </w:sectPr>
      </w:pPr>
      <w:bookmarkStart w:id="0" w:name="_GoBack"/>
      <w:bookmarkEnd w:id="0"/>
    </w:p>
    <w:p w14:paraId="287FCFCA">
      <w:pPr>
        <w:spacing w:line="640" w:lineRule="exact"/>
        <w:ind w:firstLine="640"/>
        <w:jc w:val="both"/>
        <w:outlineLvl w:val="2"/>
      </w:pPr>
      <w:r>
        <w:rPr>
          <w:rFonts w:ascii="黑体" w:hAnsi="黑体" w:eastAsia="黑体"/>
          <w:sz w:val="32"/>
        </w:rPr>
        <w:t>十二、其他需说明的事项</w:t>
      </w:r>
    </w:p>
    <w:p w14:paraId="73E80F91">
      <w:pPr>
        <w:spacing w:line="580" w:lineRule="exact"/>
        <w:ind w:firstLine="640"/>
        <w:jc w:val="both"/>
      </w:pPr>
      <w:r>
        <w:rPr>
          <w:rFonts w:ascii="仿宋_GB2312" w:hAnsi="仿宋_GB2312" w:eastAsia="仿宋_GB2312"/>
          <w:b w:val="0"/>
          <w:sz w:val="32"/>
        </w:rPr>
        <w:t>本单位无其他需说明的事项。</w:t>
      </w:r>
    </w:p>
    <w:p w14:paraId="0A592F23">
      <w:r>
        <w:br w:type="page"/>
      </w:r>
    </w:p>
    <w:p w14:paraId="696A3388">
      <w:pPr>
        <w:spacing w:line="600" w:lineRule="exact"/>
        <w:jc w:val="center"/>
        <w:outlineLvl w:val="0"/>
      </w:pPr>
      <w:r>
        <w:rPr>
          <w:rFonts w:ascii="黑体" w:hAnsi="黑体" w:eastAsia="黑体"/>
          <w:sz w:val="32"/>
        </w:rPr>
        <w:t>第三部分 专业名词解释</w:t>
      </w:r>
    </w:p>
    <w:p w14:paraId="79C4445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1B949A81">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EB34B0A">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1FE44BBD">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E71B30A">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3B31F65">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4887052">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42532195">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64BB6D34">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357DDFA">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4666E601">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4B10183">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B96D73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152DD2F0">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498AC0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5FFA3A26">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4B707C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61B207D7">
      <w:r>
        <w:br w:type="page"/>
      </w:r>
    </w:p>
    <w:p w14:paraId="6D339A6E">
      <w:pPr>
        <w:spacing w:line="240" w:lineRule="auto"/>
        <w:jc w:val="center"/>
        <w:outlineLvl w:val="1"/>
      </w:pPr>
      <w:r>
        <w:rPr>
          <w:rFonts w:ascii="黑体" w:hAnsi="黑体" w:eastAsia="黑体"/>
          <w:sz w:val="32"/>
        </w:rPr>
        <w:t>第四部分 部门决算报表（见附表）</w:t>
      </w:r>
    </w:p>
    <w:p w14:paraId="3555BE30">
      <w:pPr>
        <w:autoSpaceDE w:val="0"/>
        <w:autoSpaceDN w:val="0"/>
        <w:spacing w:line="600" w:lineRule="exact"/>
        <w:ind w:firstLine="640" w:firstLineChars="200"/>
      </w:pPr>
      <w:r>
        <w:rPr>
          <w:rFonts w:ascii="仿宋_GB2312" w:hAnsi="仿宋_GB2312" w:eastAsia="仿宋_GB2312"/>
          <w:b w:val="0"/>
          <w:sz w:val="32"/>
        </w:rPr>
        <w:t>一、《收入支出决算总表》</w:t>
      </w:r>
    </w:p>
    <w:p w14:paraId="2041691F">
      <w:pPr>
        <w:autoSpaceDE w:val="0"/>
        <w:autoSpaceDN w:val="0"/>
        <w:spacing w:line="600" w:lineRule="exact"/>
        <w:ind w:firstLine="640" w:firstLineChars="200"/>
      </w:pPr>
      <w:r>
        <w:rPr>
          <w:rFonts w:ascii="仿宋_GB2312" w:hAnsi="仿宋_GB2312" w:eastAsia="仿宋_GB2312"/>
          <w:b w:val="0"/>
          <w:sz w:val="32"/>
        </w:rPr>
        <w:t>二、《收入决算表》</w:t>
      </w:r>
    </w:p>
    <w:p w14:paraId="5A502090">
      <w:pPr>
        <w:autoSpaceDE w:val="0"/>
        <w:autoSpaceDN w:val="0"/>
        <w:spacing w:line="600" w:lineRule="exact"/>
        <w:ind w:firstLine="640" w:firstLineChars="200"/>
      </w:pPr>
      <w:r>
        <w:rPr>
          <w:rFonts w:ascii="仿宋_GB2312" w:hAnsi="仿宋_GB2312" w:eastAsia="仿宋_GB2312"/>
          <w:b w:val="0"/>
          <w:sz w:val="32"/>
        </w:rPr>
        <w:t>三、《支出决算表》</w:t>
      </w:r>
    </w:p>
    <w:p w14:paraId="76FC2C6A">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60FB403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2711F1A3">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C5AA4F5">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189ED7B2">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0D1683E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3EF03E6D">
      <w:pPr>
        <w:autoSpaceDE w:val="0"/>
        <w:autoSpaceDN w:val="0"/>
        <w:spacing w:line="600" w:lineRule="exact"/>
        <w:ind w:firstLine="640" w:firstLineChars="200"/>
      </w:pPr>
    </w:p>
    <w:p w14:paraId="75CC48B2">
      <w:pPr>
        <w:autoSpaceDE w:val="0"/>
        <w:autoSpaceDN w:val="0"/>
        <w:spacing w:line="600" w:lineRule="exact"/>
        <w:ind w:firstLine="640" w:firstLineChars="200"/>
      </w:pPr>
    </w:p>
    <w:p w14:paraId="72DCB901">
      <w:pPr>
        <w:autoSpaceDE w:val="0"/>
        <w:autoSpaceDN w:val="0"/>
        <w:spacing w:line="600" w:lineRule="exact"/>
        <w:ind w:firstLine="640" w:firstLineChars="200"/>
      </w:pPr>
    </w:p>
    <w:p w14:paraId="2A71E47D">
      <w:pPr>
        <w:autoSpaceDE w:val="0"/>
        <w:autoSpaceDN w:val="0"/>
        <w:spacing w:line="600" w:lineRule="exact"/>
        <w:ind w:firstLine="640" w:firstLineChars="200"/>
      </w:pPr>
    </w:p>
    <w:p w14:paraId="1B742435">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5F31FF-2FAD-49C3-B2D9-3B91187E7B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768571F-683F-42FE-9758-31B23A4A782C}"/>
  </w:font>
  <w:font w:name="仿宋_GB2312">
    <w:panose1 w:val="02010609030101010101"/>
    <w:charset w:val="86"/>
    <w:family w:val="modern"/>
    <w:pitch w:val="default"/>
    <w:sig w:usb0="00000001" w:usb1="080E0000" w:usb2="00000000" w:usb3="00000000" w:csb0="00040000" w:csb1="00000000"/>
    <w:embedRegular r:id="rId3" w:fontKey="{12B6FE26-AB59-49B6-B3D3-45D08A3E2AAE}"/>
  </w:font>
  <w:font w:name="楷体_GB2312">
    <w:altName w:val="楷体"/>
    <w:panose1 w:val="00000000000000000000"/>
    <w:charset w:val="00"/>
    <w:family w:val="auto"/>
    <w:pitch w:val="default"/>
    <w:sig w:usb0="00000000" w:usb1="00000000" w:usb2="00000000" w:usb3="00000000" w:csb0="00000000" w:csb1="00000000"/>
    <w:embedRegular r:id="rId4" w:fontKey="{13B901CE-78DC-462C-BFA3-F92F70044039}"/>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D61EAF"/>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CD4EA9"/>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0221C48"/>
    <w:rsid w:val="313F1D52"/>
    <w:rsid w:val="318029AB"/>
    <w:rsid w:val="319D6C1C"/>
    <w:rsid w:val="31C63837"/>
    <w:rsid w:val="326F0A17"/>
    <w:rsid w:val="34623382"/>
    <w:rsid w:val="390019F4"/>
    <w:rsid w:val="3914510A"/>
    <w:rsid w:val="39B051C8"/>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4C179D9"/>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5BC0475"/>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59e5aeba-7637-4d61-b610-e987dad7e947</errorID>
      <errorWord>"</errorWord>
      <group>L1_Format</group>
      <groupName>格式问题</groupName>
      <ability>L2_HalfPunc_CN</ability>
      <abilityName>全半角问题</abilityName>
      <candidateList>
        <item>“</item>
      </candidateList>
      <explain>文本全半角错误。</explain>
      <paraID>4BCF7E05</paraID>
      <start>28</start>
      <end>29</end>
      <status>modified</status>
      <modifiedWord>“</modifiedWord>
      <trackRevisions>false</trackRevisions>
    </reviewItem>
    <reviewItem>
      <errorID>7cb4d758-b092-4dbf-9a67-124903dcfbac</errorID>
      <errorWord>"</errorWord>
      <group>L1_Format</group>
      <groupName>格式问题</groupName>
      <ability>L2_HalfPunc_CN</ability>
      <abilityName>全半角问题</abilityName>
      <candidateList>
        <item>”</item>
      </candidateList>
      <explain>文本全半角错误。</explain>
      <paraID>4BCF7E05</paraID>
      <start>36</start>
      <end>37</end>
      <status>modified</status>
      <modifiedWord>”</modifiedWord>
      <trackRevisions>false</trackRevisions>
    </reviewItem>
    <reviewItem>
      <errorID>da50fbb6-f4ec-49fc-a293-165afc32ebe1</errorID>
      <errorWord>法律、法规</errorWord>
      <group>L1_Word</group>
      <groupName>字词问题</groupName>
      <ability>L2_Typo</ability>
      <abilityName>字词错误</abilityName>
      <candidateList>
        <item>法律法规</item>
      </candidateList>
      <explain/>
      <paraID>26CFD0BD</paraID>
      <start>42</start>
      <end>46</end>
      <status>modified</status>
      <modifiedWord>法律法规</modifiedWord>
      <trackRevisions>false</trackRevisions>
    </reviewItem>
    <reviewItem>
      <errorID>efd6dfcb-f44d-4643-8d6e-8af61305efcb</errorID>
      <errorWord>2月31日</errorWord>
      <group>L1_Sensitive</group>
      <groupName>敏感问题</groupName>
      <ability>L2_UserSensitive</ability>
      <abilityName>自定义敏感词</abilityName>
      <candidateList/>
      <explain>来自自定义敏感词库。</explain>
      <paraID>51A8E1A2</paraID>
      <start>8</start>
      <end>13</end>
      <status>ignored</status>
      <modifiedWord/>
      <trackRevisions>false</trackRevisions>
    </reviewItem>
    <reviewItem>
      <errorID>40e1ff9e-4a54-44f0-8e0f-f98f35b42faa</errorID>
      <errorWord>覆盖在</errorWord>
      <group>L1_Word</group>
      <groupName>字词问题</groupName>
      <ability>L2_Typo</ability>
      <abilityName>字词错误</abilityName>
      <candidateList>
        <item>覆盖</item>
      </candidateList>
      <explain/>
      <paraID>3E706833</paraID>
      <start>98</start>
      <end>100</end>
      <status>modified</status>
      <modifiedWord>覆盖</modifiedWord>
      <trackRevisions>false</trackRevisions>
    </reviewItem>
    <reviewItem>
      <errorID>0f43c374-60d3-42c2-ab85-d425bf7c8f48</errorID>
      <errorWord>薪酬</errorWord>
      <group>L1_Sensitive</group>
      <groupName>敏感问题</groupName>
      <ability>L2_UserSensitive</ability>
      <abilityName>自定义敏感词</abilityName>
      <candidateList/>
      <explain>来自自定义敏感词库。</explain>
      <paraID>3167B311</paraID>
      <start>12</start>
      <end>14</end>
      <status>ignored</status>
      <modifiedWord/>
      <trackRevisions>false</trackRevisions>
    </reviewItem>
    <reviewItem>
      <errorID>f445443a-91b3-4ec3-bf9e-ff895432b4c3</errorID>
      <errorWord>我单位</errorWord>
      <group>L1_Other</group>
      <groupName>其他问题</groupName>
      <ability>L2_UserTypo</ability>
      <abilityName>自定义错误</abilityName>
      <candidateList>
        <item>本单位</item>
      </candidateList>
      <explain>来自自定义错词库。</explain>
      <paraID>7A436FF8</paraID>
      <start>7</start>
      <end>10</end>
      <status>modified</status>
      <modifiedWord>本单位</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abe2bbca-0803-4c58-a637-82f3295387a1}">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6280</Words>
  <Characters>7269</Characters>
  <Lines>10</Lines>
  <Paragraphs>2</Paragraphs>
  <TotalTime>34</TotalTime>
  <ScaleCrop>false</ScaleCrop>
  <LinksUpToDate>false</LinksUpToDate>
  <CharactersWithSpaces>7280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2026-08-28T04:49:42Z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