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新疆维吾尔自治区塔里木河流域克里雅河水利管理中心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B8A410C">
      <w:r>
        <w:br w:type="page"/>
      </w:r>
    </w:p>
    <w:p w14:paraId="792802AA">
      <w:pPr>
        <w:spacing w:line="640" w:lineRule="exact"/>
        <w:jc w:val="center"/>
        <w:outlineLvl w:val="1"/>
      </w:pPr>
      <w:r>
        <w:rPr>
          <w:rFonts w:ascii="黑体" w:hAnsi="黑体" w:eastAsia="黑体"/>
          <w:sz w:val="32"/>
        </w:rPr>
        <w:t>第一部分 单位概况</w:t>
      </w:r>
    </w:p>
    <w:p w14:paraId="7FD560CF">
      <w:pPr>
        <w:spacing w:line="640" w:lineRule="exact"/>
        <w:ind w:firstLine="640"/>
        <w:jc w:val="both"/>
        <w:outlineLvl w:val="2"/>
      </w:pPr>
      <w:r>
        <w:rPr>
          <w:rFonts w:ascii="黑体" w:hAnsi="黑体" w:eastAsia="黑体"/>
          <w:sz w:val="32"/>
        </w:rPr>
        <w:t>一、主要职能</w:t>
      </w:r>
    </w:p>
    <w:p w14:paraId="05469571">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一</w:t>
      </w:r>
      <w:r>
        <w:rPr>
          <w:rFonts w:ascii="仿宋_GB2312" w:hAnsi="仿宋_GB2312" w:eastAsia="仿宋_GB2312"/>
          <w:sz w:val="32"/>
        </w:rPr>
        <w:t>)贯彻落实《中华⼈民共和国水法》《新疆维吾尔自治区塔里木河流域水资源管理条例》等法</w:t>
      </w:r>
      <w:r>
        <w:rPr>
          <w:rFonts w:hint="eastAsia" w:ascii="仿宋_GB2312" w:hAnsi="仿宋_GB2312" w:eastAsia="仿宋_GB2312"/>
          <w:sz w:val="32"/>
        </w:rPr>
        <w:t>律</w:t>
      </w:r>
      <w:r>
        <w:rPr>
          <w:rFonts w:hint="eastAsia" w:ascii="仿宋_GB2312" w:hAnsi="仿宋_GB2312" w:eastAsia="仿宋_GB2312"/>
          <w:sz w:val="32"/>
          <w:lang w:eastAsia="zh-CN"/>
        </w:rPr>
        <w:t>、</w:t>
      </w:r>
      <w:r>
        <w:rPr>
          <w:rFonts w:ascii="仿宋_GB2312" w:hAnsi="仿宋_GB2312" w:eastAsia="仿宋_GB2312"/>
          <w:sz w:val="32"/>
        </w:rPr>
        <w:t>法规；负责管辖范围内的地州(兵团)水事纠纷监督</w:t>
      </w:r>
      <w:r>
        <w:rPr>
          <w:rFonts w:hint="eastAsia" w:ascii="仿宋_GB2312" w:hAnsi="仿宋_GB2312" w:eastAsia="仿宋_GB2312"/>
          <w:sz w:val="32"/>
          <w:lang w:eastAsia="zh-CN"/>
        </w:rPr>
        <w:t>、</w:t>
      </w:r>
      <w:r>
        <w:rPr>
          <w:rFonts w:ascii="仿宋_GB2312" w:hAnsi="仿宋_GB2312" w:eastAsia="仿宋_GB2312"/>
          <w:sz w:val="32"/>
        </w:rPr>
        <w:t>调处等工作。</w:t>
      </w:r>
    </w:p>
    <w:p w14:paraId="25B20F68">
      <w:pPr>
        <w:spacing w:line="580" w:lineRule="exact"/>
        <w:ind w:firstLine="640"/>
        <w:jc w:val="both"/>
      </w:pPr>
      <w:r>
        <w:rPr>
          <w:rFonts w:ascii="仿宋_GB2312" w:hAnsi="仿宋_GB2312" w:eastAsia="仿宋_GB2312"/>
          <w:sz w:val="32"/>
        </w:rPr>
        <w:t>(二)组织编制并监督实施流域综合规划和专业､专项规划；按照职责权限依法依规开展有关评估､评价和审查工作。</w:t>
      </w:r>
    </w:p>
    <w:p w14:paraId="764FB8DD">
      <w:pPr>
        <w:spacing w:line="580" w:lineRule="exact"/>
        <w:ind w:firstLine="640"/>
        <w:jc w:val="both"/>
      </w:pPr>
      <w:r>
        <w:rPr>
          <w:rFonts w:ascii="仿宋_GB2312" w:hAnsi="仿宋_GB2312" w:eastAsia="仿宋_GB2312"/>
          <w:sz w:val="32"/>
        </w:rPr>
        <w:t>(三)负责流域管辖范围内水资源</w:t>
      </w:r>
      <w:r>
        <w:rPr>
          <w:rFonts w:hint="eastAsia" w:ascii="仿宋_GB2312" w:hAnsi="仿宋_GB2312" w:eastAsia="仿宋_GB2312"/>
          <w:sz w:val="32"/>
          <w:lang w:eastAsia="zh-CN"/>
        </w:rPr>
        <w:t>统一</w:t>
      </w:r>
      <w:r>
        <w:rPr>
          <w:rFonts w:ascii="仿宋_GB2312" w:hAnsi="仿宋_GB2312" w:eastAsia="仿宋_GB2312"/>
          <w:sz w:val="32"/>
        </w:rPr>
        <w:t>管理，统筹协调流域用水，实施取用水总量控制；指导流域管辖范围内水能资源开发，按照电调服从水调的原则，负责管辖范围内水库及电站水量</w:t>
      </w:r>
      <w:r>
        <w:rPr>
          <w:rFonts w:hint="eastAsia" w:ascii="仿宋_GB2312" w:hAnsi="仿宋_GB2312" w:eastAsia="仿宋_GB2312"/>
          <w:sz w:val="32"/>
          <w:lang w:eastAsia="zh-CN"/>
        </w:rPr>
        <w:t>统一</w:t>
      </w:r>
      <w:r>
        <w:rPr>
          <w:rFonts w:ascii="仿宋_GB2312" w:hAnsi="仿宋_GB2312" w:eastAsia="仿宋_GB2312"/>
          <w:sz w:val="32"/>
        </w:rPr>
        <w:t>调度；在管辖范围内依法组织实施取水许可</w:t>
      </w:r>
      <w:r>
        <w:rPr>
          <w:rFonts w:hint="eastAsia" w:ascii="仿宋_GB2312" w:hAnsi="仿宋_GB2312" w:eastAsia="仿宋_GB2312"/>
          <w:sz w:val="32"/>
          <w:lang w:eastAsia="zh-CN"/>
        </w:rPr>
        <w:t>、</w:t>
      </w:r>
      <w:r>
        <w:rPr>
          <w:rFonts w:ascii="仿宋_GB2312" w:hAnsi="仿宋_GB2312" w:eastAsia="仿宋_GB2312"/>
          <w:sz w:val="32"/>
        </w:rPr>
        <w:t>水资源有偿使用等制度。</w:t>
      </w:r>
    </w:p>
    <w:p w14:paraId="0C996A48">
      <w:pPr>
        <w:spacing w:line="580" w:lineRule="exact"/>
        <w:ind w:firstLine="640"/>
        <w:jc w:val="both"/>
      </w:pPr>
      <w:r>
        <w:rPr>
          <w:rFonts w:ascii="仿宋_GB2312" w:hAnsi="仿宋_GB2312" w:eastAsia="仿宋_GB2312"/>
          <w:sz w:val="32"/>
        </w:rPr>
        <w:t>(四)负责流域管辖范围内水资源保护工作；根据授权，开展流域水功能区划工作，组织编制管辖范围内的水功能区划，参与核定管辖范围内河湖水域纳污能力，提出限制排污总量意见；负责入河排污口设置的审查许可；依法在管辖范围内开展水土保持监督管理；指导流域节约用水工作。</w:t>
      </w:r>
    </w:p>
    <w:p w14:paraId="5E75A3E1">
      <w:pPr>
        <w:spacing w:line="580" w:lineRule="exact"/>
        <w:ind w:firstLine="640"/>
        <w:jc w:val="both"/>
      </w:pPr>
      <w:r>
        <w:rPr>
          <w:rFonts w:ascii="仿宋_GB2312" w:hAnsi="仿宋_GB2312" w:eastAsia="仿宋_GB2312"/>
          <w:sz w:val="32"/>
        </w:rPr>
        <w:t>(五)负责流域管辖范围内的河道管理；承担职责范围内的河湖长制相关工作；承担河道管理范围内涉河(湖)建设项目､涉河(湖)活动､河道采砂等审查及监督工作。</w:t>
      </w:r>
    </w:p>
    <w:p w14:paraId="0E06FBD0">
      <w:pPr>
        <w:spacing w:line="580" w:lineRule="exact"/>
        <w:ind w:firstLine="640"/>
        <w:jc w:val="both"/>
      </w:pPr>
      <w:r>
        <w:rPr>
          <w:rFonts w:ascii="仿宋_GB2312" w:hAnsi="仿宋_GB2312" w:eastAsia="仿宋_GB2312"/>
          <w:sz w:val="32"/>
        </w:rPr>
        <w:t>(六)负责直管水利工程的建设与运行管理；研究提出直管工程建设的水价以及其他收费项目的立项､调整建议方案｡负责直管水利项目资金的使用､管理和监督。</w:t>
      </w:r>
    </w:p>
    <w:p w14:paraId="40ED9299">
      <w:pPr>
        <w:spacing w:line="580" w:lineRule="exact"/>
        <w:ind w:firstLine="640"/>
        <w:jc w:val="both"/>
      </w:pPr>
      <w:r>
        <w:rPr>
          <w:rFonts w:ascii="仿宋_GB2312" w:hAnsi="仿宋_GB2312" w:eastAsia="仿宋_GB2312"/>
          <w:sz w:val="32"/>
        </w:rPr>
        <w:t>(七)按照职责权限，组织编制并实施流域及</w:t>
      </w:r>
      <w:r>
        <w:rPr>
          <w:rFonts w:hint="eastAsia" w:ascii="仿宋_GB2312" w:hAnsi="仿宋_GB2312" w:eastAsia="仿宋_GB2312"/>
          <w:sz w:val="32"/>
          <w:lang w:eastAsia="zh-CN"/>
        </w:rPr>
        <w:t>重要水利工程</w:t>
      </w:r>
      <w:r>
        <w:rPr>
          <w:rFonts w:ascii="仿宋_GB2312" w:hAnsi="仿宋_GB2312" w:eastAsia="仿宋_GB2312"/>
          <w:sz w:val="32"/>
        </w:rPr>
        <w:t>的防洪抗旱应急水量调度方案；在管辖范围内开展防汛抗旱协调､调度和监督管理等工作；参与协调水利突发事件应急工作，负责防洪应急抢险的技术支撑工作。</w:t>
      </w:r>
    </w:p>
    <w:p w14:paraId="7C9C7495">
      <w:pPr>
        <w:spacing w:line="580" w:lineRule="exact"/>
        <w:ind w:firstLine="640"/>
        <w:jc w:val="both"/>
      </w:pPr>
      <w:r>
        <w:rPr>
          <w:rFonts w:ascii="仿宋_GB2312" w:hAnsi="仿宋_GB2312" w:eastAsia="仿宋_GB2312"/>
          <w:sz w:val="32"/>
        </w:rPr>
        <w:t>(八)负责组织开展流域管辖范围内水利科技</w:t>
      </w:r>
      <w:r>
        <w:rPr>
          <w:rFonts w:hint="eastAsia" w:ascii="仿宋_GB2312" w:hAnsi="仿宋_GB2312" w:eastAsia="仿宋_GB2312"/>
          <w:sz w:val="32"/>
          <w:lang w:eastAsia="zh-CN"/>
        </w:rPr>
        <w:t>、</w:t>
      </w:r>
      <w:r>
        <w:rPr>
          <w:rFonts w:ascii="仿宋_GB2312" w:hAnsi="仿宋_GB2312" w:eastAsia="仿宋_GB2312"/>
          <w:sz w:val="32"/>
        </w:rPr>
        <w:t>统计</w:t>
      </w:r>
      <w:r>
        <w:rPr>
          <w:rFonts w:hint="eastAsia" w:ascii="仿宋_GB2312" w:hAnsi="仿宋_GB2312" w:eastAsia="仿宋_GB2312"/>
          <w:sz w:val="32"/>
          <w:lang w:eastAsia="zh-CN"/>
        </w:rPr>
        <w:t>和信</w:t>
      </w:r>
      <w:r>
        <w:rPr>
          <w:rFonts w:ascii="仿宋_GB2312" w:hAnsi="仿宋_GB2312" w:eastAsia="仿宋_GB2312"/>
          <w:sz w:val="32"/>
        </w:rPr>
        <w:t>息化建设工作。</w:t>
      </w:r>
    </w:p>
    <w:p w14:paraId="7214E5BB">
      <w:pPr>
        <w:spacing w:line="580" w:lineRule="exact"/>
        <w:ind w:firstLine="640"/>
        <w:jc w:val="both"/>
      </w:pPr>
      <w:r>
        <w:rPr>
          <w:rFonts w:ascii="仿宋_GB2312" w:hAnsi="仿宋_GB2312" w:eastAsia="仿宋_GB2312"/>
          <w:sz w:val="32"/>
        </w:rPr>
        <w:t>(九)承办塔管局党委交办的其他事项。</w:t>
      </w:r>
    </w:p>
    <w:p w14:paraId="482C6F9F">
      <w:pPr>
        <w:spacing w:line="640" w:lineRule="exact"/>
        <w:ind w:firstLine="640"/>
        <w:jc w:val="both"/>
        <w:outlineLvl w:val="2"/>
      </w:pPr>
      <w:r>
        <w:rPr>
          <w:rFonts w:ascii="黑体" w:hAnsi="黑体" w:eastAsia="黑体"/>
          <w:sz w:val="32"/>
        </w:rPr>
        <w:t>二、机构设置</w:t>
      </w:r>
    </w:p>
    <w:p w14:paraId="48358665">
      <w:pPr>
        <w:spacing w:line="580" w:lineRule="exact"/>
        <w:ind w:firstLine="640"/>
        <w:jc w:val="both"/>
      </w:pPr>
      <w:r>
        <w:rPr>
          <w:rFonts w:ascii="仿宋_GB2312" w:hAnsi="仿宋_GB2312" w:eastAsia="仿宋_GB2312"/>
          <w:sz w:val="32"/>
        </w:rPr>
        <w:t>新疆维吾尔自治区塔里木河流域克里雅河水利管理中心无下属预算单位。</w:t>
      </w:r>
    </w:p>
    <w:p w14:paraId="0307F0A6">
      <w:r>
        <w:br w:type="page"/>
      </w:r>
    </w:p>
    <w:p w14:paraId="55076FA0">
      <w:pPr>
        <w:spacing w:line="240" w:lineRule="auto"/>
        <w:jc w:val="center"/>
        <w:outlineLvl w:val="1"/>
      </w:pPr>
      <w:r>
        <w:rPr>
          <w:rFonts w:ascii="黑体" w:hAnsi="黑体" w:eastAsia="黑体"/>
          <w:sz w:val="32"/>
        </w:rPr>
        <w:t>第二部分 部门决算情况说明</w:t>
      </w:r>
    </w:p>
    <w:p w14:paraId="733F74A9">
      <w:pPr>
        <w:spacing w:line="640" w:lineRule="exact"/>
        <w:ind w:firstLine="640"/>
        <w:jc w:val="both"/>
        <w:outlineLvl w:val="2"/>
      </w:pPr>
      <w:r>
        <w:rPr>
          <w:rFonts w:ascii="黑体" w:hAnsi="黑体" w:eastAsia="黑体"/>
          <w:sz w:val="32"/>
        </w:rPr>
        <w:t>一、收入支出决算总体情况说明</w:t>
      </w:r>
    </w:p>
    <w:p w14:paraId="37ECA607">
      <w:pPr>
        <w:spacing w:line="580" w:lineRule="exact"/>
        <w:ind w:firstLine="640"/>
        <w:jc w:val="both"/>
      </w:pPr>
      <w:r>
        <w:rPr>
          <w:rFonts w:ascii="仿宋_GB2312" w:hAnsi="仿宋_GB2312" w:eastAsia="仿宋_GB2312"/>
          <w:b/>
          <w:sz w:val="32"/>
        </w:rPr>
        <w:t>2025年度收入总计282.42万元，</w:t>
      </w:r>
      <w:r>
        <w:rPr>
          <w:rFonts w:ascii="仿宋_GB2312" w:hAnsi="仿宋_GB2312" w:eastAsia="仿宋_GB2312"/>
          <w:b w:val="0"/>
          <w:sz w:val="32"/>
        </w:rPr>
        <w:t>其中：本年收入合计282.42万元，使用非财政拨款结余（含专用结余）0.00万元，年初结转和结余0.00万元。</w:t>
      </w:r>
    </w:p>
    <w:p w14:paraId="3FD22B0E">
      <w:pPr>
        <w:spacing w:line="580" w:lineRule="exact"/>
        <w:ind w:firstLine="640"/>
        <w:jc w:val="both"/>
      </w:pPr>
      <w:r>
        <w:rPr>
          <w:rFonts w:ascii="仿宋_GB2312" w:hAnsi="仿宋_GB2312" w:eastAsia="仿宋_GB2312"/>
          <w:b/>
          <w:sz w:val="32"/>
        </w:rPr>
        <w:t>2025年度支出总计282.42万元，</w:t>
      </w:r>
      <w:r>
        <w:rPr>
          <w:rFonts w:ascii="仿宋_GB2312" w:hAnsi="仿宋_GB2312" w:eastAsia="仿宋_GB2312"/>
          <w:b w:val="0"/>
          <w:sz w:val="32"/>
        </w:rPr>
        <w:t>其中：本年支出合计113.12万元，结余分配169.31万元，年末结转和结余0.00万元。</w:t>
      </w:r>
    </w:p>
    <w:p w14:paraId="7C4FFA9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增加282.42万元，增长100.00%，主要原因是：本单位为本年新增预算单位，无上年对比数据。</w:t>
      </w:r>
    </w:p>
    <w:p w14:paraId="218B6738">
      <w:pPr>
        <w:spacing w:line="640" w:lineRule="exact"/>
        <w:ind w:firstLine="640"/>
        <w:jc w:val="both"/>
        <w:outlineLvl w:val="2"/>
      </w:pPr>
      <w:r>
        <w:rPr>
          <w:rFonts w:ascii="黑体" w:hAnsi="黑体" w:eastAsia="黑体"/>
          <w:sz w:val="32"/>
        </w:rPr>
        <w:t>二、收入决算情况说明</w:t>
      </w:r>
    </w:p>
    <w:p w14:paraId="1E80192D">
      <w:pPr>
        <w:spacing w:line="580" w:lineRule="exact"/>
        <w:ind w:firstLine="640"/>
        <w:jc w:val="both"/>
      </w:pPr>
      <w:r>
        <w:rPr>
          <w:rFonts w:ascii="仿宋_GB2312" w:hAnsi="仿宋_GB2312" w:eastAsia="仿宋_GB2312"/>
          <w:b/>
          <w:sz w:val="32"/>
        </w:rPr>
        <w:t>本年收入282.42万元，</w:t>
      </w:r>
      <w:r>
        <w:rPr>
          <w:rFonts w:ascii="仿宋_GB2312" w:hAnsi="仿宋_GB2312" w:eastAsia="仿宋_GB2312"/>
          <w:b w:val="0"/>
          <w:sz w:val="32"/>
        </w:rPr>
        <w:t>其中：财政拨款收入22.39万元，占7.93%；上级补助收入0.00万元，占0.00%；事业收入0.00万元，占0.00%；经营收入260.00万元，占92.06%；附属单位上缴收入0.00万元，占0.00%；其他收入0.04万元，占0.01%。</w:t>
      </w:r>
    </w:p>
    <w:p w14:paraId="38A9A499">
      <w:pPr>
        <w:spacing w:line="640" w:lineRule="exact"/>
        <w:ind w:firstLine="640"/>
        <w:jc w:val="both"/>
        <w:outlineLvl w:val="2"/>
      </w:pPr>
      <w:r>
        <w:rPr>
          <w:rFonts w:ascii="黑体" w:hAnsi="黑体" w:eastAsia="黑体"/>
          <w:sz w:val="32"/>
        </w:rPr>
        <w:t>三、支出决算情况说明</w:t>
      </w:r>
    </w:p>
    <w:p w14:paraId="25DDFDE8">
      <w:pPr>
        <w:spacing w:line="580" w:lineRule="exact"/>
        <w:ind w:firstLine="640"/>
        <w:jc w:val="both"/>
      </w:pPr>
      <w:r>
        <w:rPr>
          <w:rFonts w:ascii="仿宋_GB2312" w:hAnsi="仿宋_GB2312" w:eastAsia="仿宋_GB2312"/>
          <w:b/>
          <w:sz w:val="32"/>
        </w:rPr>
        <w:t>本年支出113.12万元，</w:t>
      </w:r>
      <w:r>
        <w:rPr>
          <w:rFonts w:ascii="仿宋_GB2312" w:hAnsi="仿宋_GB2312" w:eastAsia="仿宋_GB2312"/>
          <w:b w:val="0"/>
          <w:sz w:val="32"/>
        </w:rPr>
        <w:t>其中：基本支出22.39万元，占19.79%；项目支出0.00万元，占0.00%；上缴上级支出0.00万元，占0.00%；经营支出90.73万元，占80.21%；对附属单位补助支出0.00万元，占0.00%。</w:t>
      </w:r>
    </w:p>
    <w:p w14:paraId="7C4C7899">
      <w:pPr>
        <w:spacing w:line="640" w:lineRule="exact"/>
        <w:ind w:firstLine="640"/>
        <w:jc w:val="both"/>
        <w:outlineLvl w:val="2"/>
      </w:pPr>
      <w:r>
        <w:rPr>
          <w:rFonts w:ascii="黑体" w:hAnsi="黑体" w:eastAsia="黑体"/>
          <w:sz w:val="32"/>
        </w:rPr>
        <w:t>四、财政拨款收入支出决算总体情况说明</w:t>
      </w:r>
    </w:p>
    <w:p w14:paraId="3B3EF9EF">
      <w:pPr>
        <w:spacing w:line="580" w:lineRule="exact"/>
        <w:ind w:firstLine="640"/>
        <w:jc w:val="both"/>
      </w:pPr>
      <w:r>
        <w:rPr>
          <w:rFonts w:ascii="仿宋_GB2312" w:hAnsi="仿宋_GB2312" w:eastAsia="仿宋_GB2312"/>
          <w:b/>
          <w:sz w:val="32"/>
        </w:rPr>
        <w:t>2025年度财政拨款收入总计22.39万元，</w:t>
      </w:r>
      <w:r>
        <w:rPr>
          <w:rFonts w:ascii="仿宋_GB2312" w:hAnsi="仿宋_GB2312" w:eastAsia="仿宋_GB2312"/>
          <w:b w:val="0"/>
          <w:sz w:val="32"/>
        </w:rPr>
        <w:t>其中：年初财政拨款结转和结余0.00万元，本年财政拨款收入22.39万元。</w:t>
      </w:r>
      <w:r>
        <w:rPr>
          <w:rFonts w:ascii="仿宋_GB2312" w:hAnsi="仿宋_GB2312" w:eastAsia="仿宋_GB2312"/>
          <w:b/>
          <w:sz w:val="32"/>
        </w:rPr>
        <w:t>财政拨款支出总计22.39万元，</w:t>
      </w:r>
      <w:r>
        <w:rPr>
          <w:rFonts w:ascii="仿宋_GB2312" w:hAnsi="仿宋_GB2312" w:eastAsia="仿宋_GB2312"/>
          <w:b w:val="0"/>
          <w:sz w:val="32"/>
        </w:rPr>
        <w:t>其中：年末财政拨款结转和结余0.00万元，本年财政拨款支出22.39万元。</w:t>
      </w:r>
    </w:p>
    <w:p w14:paraId="015F8E2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增加22.39万元，增长100.00%，主要原因是：本单位为本年新增预算单位，无上年对比数据。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年初预算数0.00万元，决算数22.39万元，预决算差异率100.00%，主要原因是：年中追加人员工资、社保、公积金基数调增部分资金，导致预决算存在差异。</w:t>
      </w:r>
    </w:p>
    <w:p w14:paraId="0A7EB8CA">
      <w:pPr>
        <w:spacing w:line="640" w:lineRule="exact"/>
        <w:ind w:firstLine="640"/>
        <w:jc w:val="both"/>
        <w:outlineLvl w:val="2"/>
      </w:pPr>
      <w:r>
        <w:rPr>
          <w:rFonts w:ascii="黑体" w:hAnsi="黑体" w:eastAsia="黑体"/>
          <w:sz w:val="32"/>
        </w:rPr>
        <w:t>五、一般公共预算财政拨款支出决算情况说明</w:t>
      </w:r>
    </w:p>
    <w:p w14:paraId="35BC2CEF">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办公用品等重点支出，体现在有关支出科目中。</w:t>
      </w:r>
    </w:p>
    <w:p w14:paraId="1F14BB90">
      <w:pPr>
        <w:spacing w:line="580" w:lineRule="exact"/>
        <w:ind w:firstLine="640"/>
        <w:jc w:val="both"/>
      </w:pPr>
      <w:r>
        <w:rPr>
          <w:rFonts w:ascii="仿宋_GB2312" w:hAnsi="仿宋_GB2312" w:eastAsia="仿宋_GB2312"/>
          <w:b w:val="0"/>
          <w:sz w:val="32"/>
        </w:rPr>
        <w:t>按照支出功能分类，农林水支出（类）水利（款）水利执法监督（项）的支出占本年财政拨款支出总额的比重最高，2025年度决算数为14.14万元，占比63.15%，主要用于人员工资。</w:t>
      </w:r>
    </w:p>
    <w:p w14:paraId="4CAA55B0">
      <w:pPr>
        <w:spacing w:line="640" w:lineRule="exact"/>
        <w:ind w:firstLine="640"/>
        <w:jc w:val="both"/>
        <w:outlineLvl w:val="3"/>
      </w:pPr>
      <w:r>
        <w:rPr>
          <w:rFonts w:ascii="楷体_GB2312" w:hAnsi="楷体_GB2312" w:eastAsia="楷体_GB2312"/>
          <w:b/>
          <w:sz w:val="32"/>
        </w:rPr>
        <w:t>（一）一般公共预算财政拨款支出决算总体情况</w:t>
      </w:r>
    </w:p>
    <w:p w14:paraId="35936DE7">
      <w:pPr>
        <w:spacing w:line="580" w:lineRule="exact"/>
        <w:ind w:firstLine="640"/>
        <w:jc w:val="both"/>
      </w:pPr>
      <w:r>
        <w:rPr>
          <w:rFonts w:ascii="仿宋_GB2312" w:hAnsi="仿宋_GB2312" w:eastAsia="仿宋_GB2312"/>
          <w:b/>
          <w:sz w:val="32"/>
        </w:rPr>
        <w:t>2025年度一般公共预算财政拨款支出22.39万元，</w:t>
      </w:r>
      <w:r>
        <w:rPr>
          <w:rFonts w:ascii="仿宋_GB2312" w:hAnsi="仿宋_GB2312" w:eastAsia="仿宋_GB2312"/>
          <w:b w:val="0"/>
          <w:sz w:val="32"/>
        </w:rPr>
        <w:t>占本年支出合计的19.79%。</w:t>
      </w:r>
      <w:r>
        <w:rPr>
          <w:rFonts w:ascii="仿宋_GB2312" w:hAnsi="仿宋_GB2312" w:eastAsia="仿宋_GB2312"/>
          <w:b/>
          <w:sz w:val="32"/>
        </w:rPr>
        <w:t>与上年相比，</w:t>
      </w:r>
      <w:r>
        <w:rPr>
          <w:rFonts w:ascii="仿宋_GB2312" w:hAnsi="仿宋_GB2312" w:eastAsia="仿宋_GB2312"/>
          <w:b w:val="0"/>
          <w:sz w:val="32"/>
        </w:rPr>
        <w:t>增加22.39万元，增长100.00%，主要原因是：本单位为本年新增预算单位，无上年对比数据。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年初预算数0.00万元，决算数22.39万元，预决算差异率100.00%，主要原因是：年中追加人员工资、社保、公积金基数调增部分资金，导致预决算存在差异。</w:t>
      </w:r>
      <w:bookmarkStart w:id="0" w:name="_GoBack"/>
      <w:bookmarkEnd w:id="0"/>
    </w:p>
    <w:p w14:paraId="0751FF17">
      <w:pPr>
        <w:spacing w:line="640" w:lineRule="exact"/>
        <w:ind w:firstLine="640"/>
        <w:jc w:val="both"/>
        <w:outlineLvl w:val="3"/>
      </w:pPr>
      <w:r>
        <w:rPr>
          <w:rFonts w:ascii="楷体_GB2312" w:hAnsi="楷体_GB2312" w:eastAsia="楷体_GB2312"/>
          <w:b/>
          <w:sz w:val="32"/>
        </w:rPr>
        <w:t>（二）一般公共预算财政拨款支出决算结构情况</w:t>
      </w:r>
    </w:p>
    <w:p w14:paraId="6202F05E">
      <w:pPr>
        <w:spacing w:line="580" w:lineRule="exact"/>
        <w:ind w:firstLine="640"/>
        <w:jc w:val="both"/>
      </w:pPr>
      <w:r>
        <w:rPr>
          <w:rFonts w:ascii="仿宋_GB2312" w:hAnsi="仿宋_GB2312" w:eastAsia="仿宋_GB2312"/>
          <w:b w:val="0"/>
          <w:sz w:val="32"/>
        </w:rPr>
        <w:t>1.社会保障和就业支出（类）2.88万元，占12.86%。</w:t>
      </w:r>
    </w:p>
    <w:p w14:paraId="30BB4DEF">
      <w:pPr>
        <w:spacing w:line="580" w:lineRule="exact"/>
        <w:ind w:firstLine="640"/>
        <w:jc w:val="both"/>
      </w:pPr>
      <w:r>
        <w:rPr>
          <w:rFonts w:ascii="仿宋_GB2312" w:hAnsi="仿宋_GB2312" w:eastAsia="仿宋_GB2312"/>
          <w:b w:val="0"/>
          <w:sz w:val="32"/>
        </w:rPr>
        <w:t>2.卫生健康支出（类）2.27万元，占10.14%。</w:t>
      </w:r>
    </w:p>
    <w:p w14:paraId="6A1D6047">
      <w:pPr>
        <w:spacing w:line="580" w:lineRule="exact"/>
        <w:ind w:firstLine="640"/>
        <w:jc w:val="both"/>
      </w:pPr>
      <w:r>
        <w:rPr>
          <w:rFonts w:ascii="仿宋_GB2312" w:hAnsi="仿宋_GB2312" w:eastAsia="仿宋_GB2312"/>
          <w:b w:val="0"/>
          <w:sz w:val="32"/>
        </w:rPr>
        <w:t>3.农林水支出（类）14.14万元，占63.15%。</w:t>
      </w:r>
    </w:p>
    <w:p w14:paraId="444D56E1">
      <w:pPr>
        <w:spacing w:line="580" w:lineRule="exact"/>
        <w:ind w:firstLine="640"/>
        <w:jc w:val="both"/>
      </w:pPr>
      <w:r>
        <w:rPr>
          <w:rFonts w:ascii="仿宋_GB2312" w:hAnsi="仿宋_GB2312" w:eastAsia="仿宋_GB2312"/>
          <w:b w:val="0"/>
          <w:sz w:val="32"/>
        </w:rPr>
        <w:t>4.住房保障支出（类）3.10万元，占13.85%。</w:t>
      </w:r>
    </w:p>
    <w:p w14:paraId="321642D2">
      <w:pPr>
        <w:spacing w:line="640" w:lineRule="exact"/>
        <w:ind w:firstLine="640"/>
        <w:jc w:val="both"/>
        <w:outlineLvl w:val="3"/>
      </w:pPr>
      <w:r>
        <w:rPr>
          <w:rFonts w:ascii="楷体_GB2312" w:hAnsi="楷体_GB2312" w:eastAsia="楷体_GB2312"/>
          <w:b/>
          <w:sz w:val="32"/>
        </w:rPr>
        <w:t>（三）一般公共预算财政拨款支出决算具体情况</w:t>
      </w:r>
    </w:p>
    <w:p w14:paraId="29761656">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2.88万元，比上年决算增加2.88万元，增长100.00%，主要原因是：本单位为本年新增预算单位，无上年对比数据。</w:t>
      </w:r>
    </w:p>
    <w:p w14:paraId="17AD40FE">
      <w:pPr>
        <w:spacing w:line="580" w:lineRule="exact"/>
        <w:ind w:firstLine="640"/>
        <w:jc w:val="both"/>
      </w:pPr>
      <w:r>
        <w:rPr>
          <w:rFonts w:ascii="仿宋_GB2312" w:hAnsi="仿宋_GB2312" w:eastAsia="仿宋_GB2312"/>
          <w:b w:val="0"/>
          <w:sz w:val="32"/>
        </w:rPr>
        <w:t>2.卫生健康支出（类）行政事业单位医疗（款）事业单位医疗（项）：支出决算数为1.46万元，比上年决算增加1.46万元，增长100.00%，主要原因是：本单位为本年新增预算单位，无上年对比数据。</w:t>
      </w:r>
    </w:p>
    <w:p w14:paraId="4F7CC83F">
      <w:pPr>
        <w:spacing w:line="580" w:lineRule="exact"/>
        <w:ind w:firstLine="640"/>
        <w:jc w:val="both"/>
      </w:pPr>
      <w:r>
        <w:rPr>
          <w:rFonts w:ascii="仿宋_GB2312" w:hAnsi="仿宋_GB2312" w:eastAsia="仿宋_GB2312"/>
          <w:b w:val="0"/>
          <w:sz w:val="32"/>
        </w:rPr>
        <w:t>3.卫生健康支出（类）行政事业单位医疗（款）公务员医疗补助（项）：支出决算数为0.81万元，比上年决算增加0.81万元，增长100.00%，主要原因是：本单位为本年新增预算单位，无上年对比数据。</w:t>
      </w:r>
    </w:p>
    <w:p w14:paraId="7595B226">
      <w:pPr>
        <w:spacing w:line="580" w:lineRule="exact"/>
        <w:ind w:firstLine="640"/>
        <w:jc w:val="both"/>
      </w:pPr>
      <w:r>
        <w:rPr>
          <w:rFonts w:ascii="仿宋_GB2312" w:hAnsi="仿宋_GB2312" w:eastAsia="仿宋_GB2312"/>
          <w:b w:val="0"/>
          <w:sz w:val="32"/>
        </w:rPr>
        <w:t>4.农林水支出（类）水利（款）水利执法监督（项）：支出决算数为14.14万元，比上年决算增加14.14万元，增长100.00%，主要原因是：本单位为本年新增预算单位，无上年对比数据。</w:t>
      </w:r>
    </w:p>
    <w:p w14:paraId="12E6DFA9">
      <w:pPr>
        <w:spacing w:line="580" w:lineRule="exact"/>
        <w:ind w:firstLine="640"/>
        <w:jc w:val="both"/>
      </w:pPr>
      <w:r>
        <w:rPr>
          <w:rFonts w:ascii="仿宋_GB2312" w:hAnsi="仿宋_GB2312" w:eastAsia="仿宋_GB2312"/>
          <w:b w:val="0"/>
          <w:sz w:val="32"/>
        </w:rPr>
        <w:t>5.住房保障支出（类）住房改革支出（款）住房公积金（项）：支出决算数为3.10万元，比上年决算增加3.10万元，增长100.00%，主要原因是：本单位为本年新增预算单位，无上年对比数据。</w:t>
      </w:r>
    </w:p>
    <w:p w14:paraId="47A3DFA1">
      <w:pPr>
        <w:spacing w:line="640" w:lineRule="exact"/>
        <w:ind w:firstLine="640"/>
        <w:jc w:val="both"/>
        <w:outlineLvl w:val="2"/>
      </w:pPr>
      <w:r>
        <w:rPr>
          <w:rFonts w:ascii="黑体" w:hAnsi="黑体" w:eastAsia="黑体"/>
          <w:sz w:val="32"/>
        </w:rPr>
        <w:t>六、一般公共预算财政拨款基本支出决算情况说明</w:t>
      </w:r>
    </w:p>
    <w:p w14:paraId="07833BE4">
      <w:pPr>
        <w:spacing w:line="580" w:lineRule="exact"/>
        <w:ind w:firstLine="640"/>
        <w:jc w:val="both"/>
      </w:pPr>
      <w:r>
        <w:rPr>
          <w:rFonts w:ascii="仿宋_GB2312" w:hAnsi="仿宋_GB2312" w:eastAsia="仿宋_GB2312"/>
          <w:b w:val="0"/>
          <w:sz w:val="32"/>
        </w:rPr>
        <w:t>2025年度一般公共预算财政拨款基本支出22.39万元，其中：</w:t>
      </w:r>
      <w:r>
        <w:rPr>
          <w:rFonts w:ascii="仿宋_GB2312" w:hAnsi="仿宋_GB2312" w:eastAsia="仿宋_GB2312"/>
          <w:b/>
          <w:sz w:val="32"/>
        </w:rPr>
        <w:t>人员经费22.39万元，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0245EB3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EE1EE34">
      <w:pPr>
        <w:spacing w:line="640" w:lineRule="exact"/>
        <w:ind w:firstLine="640"/>
        <w:jc w:val="both"/>
        <w:outlineLvl w:val="2"/>
      </w:pPr>
      <w:r>
        <w:rPr>
          <w:rFonts w:ascii="黑体" w:hAnsi="黑体" w:eastAsia="黑体"/>
          <w:sz w:val="32"/>
        </w:rPr>
        <w:t>七、政府性基金预算财政拨款收入支出决算情况说明</w:t>
      </w:r>
    </w:p>
    <w:p w14:paraId="76C969D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2CA875B">
      <w:pPr>
        <w:spacing w:line="640" w:lineRule="exact"/>
        <w:ind w:firstLine="640"/>
        <w:jc w:val="both"/>
        <w:outlineLvl w:val="2"/>
      </w:pPr>
      <w:r>
        <w:rPr>
          <w:rFonts w:ascii="黑体" w:hAnsi="黑体" w:eastAsia="黑体"/>
          <w:sz w:val="32"/>
        </w:rPr>
        <w:t>八、国有资本经营预算财政拨款收入支出决算情况说明</w:t>
      </w:r>
    </w:p>
    <w:p w14:paraId="46747AE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6EEC41">
      <w:pPr>
        <w:spacing w:line="640" w:lineRule="exact"/>
        <w:ind w:firstLine="640"/>
        <w:jc w:val="both"/>
        <w:outlineLvl w:val="2"/>
      </w:pPr>
      <w:r>
        <w:rPr>
          <w:rFonts w:ascii="黑体" w:hAnsi="黑体" w:eastAsia="黑体"/>
          <w:sz w:val="32"/>
        </w:rPr>
        <w:t>九、财政拨款“三公”经费支出决算情况说明</w:t>
      </w:r>
    </w:p>
    <w:p w14:paraId="0F9D175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3ACEE80F">
      <w:pPr>
        <w:spacing w:line="580" w:lineRule="exact"/>
        <w:ind w:firstLine="640"/>
        <w:jc w:val="both"/>
      </w:pPr>
      <w:r>
        <w:rPr>
          <w:rFonts w:ascii="仿宋_GB2312" w:hAnsi="仿宋_GB2312" w:eastAsia="仿宋_GB2312"/>
          <w:b/>
          <w:sz w:val="32"/>
        </w:rPr>
        <w:t>具体情况如下：</w:t>
      </w:r>
    </w:p>
    <w:p w14:paraId="6C53EBE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77F345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2C28A9D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115CC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A659B30">
      <w:pPr>
        <w:spacing w:line="640" w:lineRule="exact"/>
        <w:ind w:firstLine="640"/>
        <w:jc w:val="both"/>
        <w:outlineLvl w:val="2"/>
      </w:pPr>
      <w:r>
        <w:rPr>
          <w:rFonts w:ascii="黑体" w:hAnsi="黑体" w:eastAsia="黑体"/>
          <w:sz w:val="32"/>
        </w:rPr>
        <w:t>十、其他重要事项的情况说明</w:t>
      </w:r>
    </w:p>
    <w:p w14:paraId="6EB7BEC9">
      <w:pPr>
        <w:spacing w:line="640" w:lineRule="exact"/>
        <w:ind w:firstLine="640"/>
        <w:jc w:val="both"/>
        <w:outlineLvl w:val="3"/>
      </w:pPr>
      <w:r>
        <w:rPr>
          <w:rFonts w:ascii="楷体_GB2312" w:hAnsi="楷体_GB2312" w:eastAsia="楷体_GB2312"/>
          <w:b/>
          <w:sz w:val="32"/>
        </w:rPr>
        <w:t>（一）机关运行经费及公用经费支出情况</w:t>
      </w:r>
    </w:p>
    <w:p w14:paraId="3F56826B">
      <w:pPr>
        <w:spacing w:line="580" w:lineRule="exact"/>
        <w:ind w:firstLine="640"/>
        <w:jc w:val="both"/>
      </w:pPr>
      <w:r>
        <w:rPr>
          <w:rFonts w:ascii="仿宋_GB2312" w:hAnsi="仿宋_GB2312" w:eastAsia="仿宋_GB2312"/>
          <w:b w:val="0"/>
          <w:sz w:val="32"/>
        </w:rPr>
        <w:t>2025年度新疆维吾尔自治区塔里木河流域克里雅河水利管理中心（事业单位）公用经费支出0.00万元，比上年增加0.00万元，增长0.00%，主要原因是：2025年本单位无公用经费支出。</w:t>
      </w:r>
    </w:p>
    <w:p w14:paraId="60D739A3">
      <w:pPr>
        <w:spacing w:line="640" w:lineRule="exact"/>
        <w:ind w:firstLine="640"/>
        <w:jc w:val="both"/>
        <w:outlineLvl w:val="3"/>
      </w:pPr>
      <w:r>
        <w:rPr>
          <w:rFonts w:ascii="楷体_GB2312" w:hAnsi="楷体_GB2312" w:eastAsia="楷体_GB2312"/>
          <w:b/>
          <w:sz w:val="32"/>
        </w:rPr>
        <w:t>（二）政府采购情况</w:t>
      </w:r>
    </w:p>
    <w:p w14:paraId="2C6EF645">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6926B231">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BCE5DCC">
      <w:pPr>
        <w:spacing w:line="640" w:lineRule="exact"/>
        <w:ind w:firstLine="640"/>
        <w:jc w:val="both"/>
        <w:outlineLvl w:val="3"/>
      </w:pPr>
      <w:r>
        <w:rPr>
          <w:rFonts w:ascii="楷体_GB2312" w:hAnsi="楷体_GB2312" w:eastAsia="楷体_GB2312"/>
          <w:b/>
          <w:sz w:val="32"/>
        </w:rPr>
        <w:t>（三）国有资产占用情况说明</w:t>
      </w:r>
    </w:p>
    <w:p w14:paraId="7DD0DF0C">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6AD494A">
      <w:pPr>
        <w:spacing w:line="640" w:lineRule="exact"/>
        <w:ind w:firstLine="640"/>
        <w:jc w:val="both"/>
        <w:outlineLvl w:val="2"/>
      </w:pPr>
      <w:r>
        <w:rPr>
          <w:rFonts w:ascii="黑体" w:hAnsi="黑体" w:eastAsia="黑体"/>
          <w:sz w:val="32"/>
        </w:rPr>
        <w:t>十一、预算绩效的情况说明</w:t>
      </w:r>
    </w:p>
    <w:p w14:paraId="72274523">
      <w:pPr>
        <w:spacing w:line="580" w:lineRule="exact"/>
        <w:ind w:firstLine="640"/>
        <w:jc w:val="both"/>
      </w:pPr>
      <w:r>
        <w:rPr>
          <w:rFonts w:ascii="仿宋_GB2312" w:hAnsi="仿宋_GB2312" w:eastAsia="仿宋_GB2312"/>
          <w:b w:val="0"/>
          <w:sz w:val="32"/>
        </w:rPr>
        <w:t>根据预算绩效管理要求，本单位预算绩效评价项目1个，全年预算数85.80万元，全年执行数85.80万元。预算绩效管理取得的成效：本项目资金足额执行到位，按时完成职工工资发放、社保缴纳工作，有效保障了在岗人员待遇，提升了干部</w:t>
      </w:r>
      <w:r>
        <w:rPr>
          <w:rFonts w:hint="eastAsia" w:ascii="仿宋_GB2312" w:hAnsi="仿宋_GB2312" w:eastAsia="仿宋_GB2312"/>
          <w:b w:val="0"/>
          <w:sz w:val="32"/>
          <w:lang w:eastAsia="zh-CN"/>
        </w:rPr>
        <w:t>职工</w:t>
      </w:r>
      <w:r>
        <w:rPr>
          <w:rFonts w:ascii="仿宋_GB2312" w:hAnsi="仿宋_GB2312" w:eastAsia="仿宋_GB2312"/>
          <w:b w:val="0"/>
          <w:sz w:val="32"/>
        </w:rPr>
        <w:t>工作积极性。发现的问题及原因：项目执行过程中绩效目标精细化管理仍有待加强，绩效运行跟踪资料归集完善度不足。下一步改进措施：后续将进一步细化绩效指标台账，规范绩效佐证材料收集归档，常态化做好项目绩效运行监控工作。具体附项目支出绩效自评表。</w:t>
      </w:r>
    </w:p>
    <w:p w14:paraId="441B8819">
      <w:r>
        <w:br w:type="page"/>
      </w:r>
    </w:p>
    <w:p w14:paraId="08C03177">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1EED79C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C03A151">
            <w:pPr>
              <w:spacing w:before="0" w:after="0" w:line="240" w:lineRule="auto"/>
              <w:jc w:val="center"/>
            </w:pPr>
            <w:r>
              <w:rPr>
                <w:rFonts w:ascii="宋体" w:hAnsi="宋体" w:eastAsia="宋体"/>
                <w:b/>
                <w:i w:val="0"/>
                <w:sz w:val="32"/>
              </w:rPr>
              <w:t>项目支出绩效自评表</w:t>
            </w:r>
          </w:p>
        </w:tc>
      </w:tr>
      <w:tr w14:paraId="7582043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74C399F">
            <w:pPr>
              <w:spacing w:before="0" w:after="0" w:line="240" w:lineRule="auto"/>
              <w:jc w:val="center"/>
            </w:pPr>
            <w:r>
              <w:rPr>
                <w:rFonts w:ascii="宋体" w:hAnsi="宋体" w:eastAsia="宋体"/>
                <w:b w:val="0"/>
                <w:i w:val="0"/>
                <w:sz w:val="22"/>
              </w:rPr>
              <w:t>(2025年度)</w:t>
            </w:r>
          </w:p>
        </w:tc>
      </w:tr>
      <w:tr w14:paraId="5184306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FB9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4ECB0F1">
            <w:pPr>
              <w:spacing w:before="0" w:after="0" w:line="240" w:lineRule="auto"/>
              <w:jc w:val="center"/>
            </w:pPr>
            <w:r>
              <w:rPr>
                <w:rFonts w:ascii="宋体" w:hAnsi="宋体" w:eastAsia="宋体"/>
                <w:b w:val="0"/>
                <w:i w:val="0"/>
                <w:sz w:val="18"/>
              </w:rPr>
              <w:t>经营成本性项目</w:t>
            </w:r>
          </w:p>
        </w:tc>
      </w:tr>
      <w:tr w14:paraId="3FBBD07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9419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82614D">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91F9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152FDD">
            <w:pPr>
              <w:spacing w:before="0" w:after="0" w:line="240" w:lineRule="auto"/>
              <w:jc w:val="center"/>
            </w:pPr>
            <w:r>
              <w:rPr>
                <w:rFonts w:ascii="宋体" w:hAnsi="宋体" w:eastAsia="宋体"/>
                <w:b w:val="0"/>
                <w:i w:val="0"/>
                <w:sz w:val="18"/>
              </w:rPr>
              <w:t>新疆维吾尔自治区塔里木河流域克里雅河水利管理中心</w:t>
            </w:r>
          </w:p>
        </w:tc>
      </w:tr>
      <w:tr w14:paraId="780056B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D31C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712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308E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211A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6AC5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81FF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B483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C9734">
            <w:pPr>
              <w:spacing w:before="0" w:after="0" w:line="240" w:lineRule="auto"/>
              <w:jc w:val="center"/>
            </w:pPr>
            <w:r>
              <w:rPr>
                <w:rFonts w:ascii="宋体" w:hAnsi="宋体" w:eastAsia="宋体"/>
                <w:b/>
                <w:i w:val="0"/>
                <w:sz w:val="18"/>
              </w:rPr>
              <w:t>得分</w:t>
            </w:r>
          </w:p>
        </w:tc>
      </w:tr>
      <w:tr w14:paraId="008CA82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84A9B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7FBB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969D0">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1EDD5">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A4CB1">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DF102">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5D76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13E62">
            <w:pPr>
              <w:spacing w:before="0" w:after="0" w:line="240" w:lineRule="auto"/>
              <w:jc w:val="center"/>
            </w:pPr>
            <w:r>
              <w:rPr>
                <w:rFonts w:ascii="宋体" w:hAnsi="宋体" w:eastAsia="宋体"/>
                <w:b w:val="0"/>
                <w:i w:val="0"/>
                <w:sz w:val="18"/>
              </w:rPr>
              <w:t>10.00</w:t>
            </w:r>
          </w:p>
        </w:tc>
      </w:tr>
      <w:tr w14:paraId="4A1A954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51C579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ABB1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D175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6461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FE46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4995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3488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FD9E9">
            <w:pPr>
              <w:spacing w:before="0" w:after="0" w:line="240" w:lineRule="auto"/>
              <w:jc w:val="center"/>
            </w:pPr>
            <w:r>
              <w:rPr>
                <w:rFonts w:ascii="宋体" w:hAnsi="宋体" w:eastAsia="宋体"/>
                <w:b w:val="0"/>
                <w:i w:val="0"/>
                <w:sz w:val="18"/>
              </w:rPr>
              <w:t>—</w:t>
            </w:r>
          </w:p>
        </w:tc>
      </w:tr>
      <w:tr w14:paraId="2D24E7A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D932BA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91E1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3D197">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7315E">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22DDB">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7690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D75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A53C7">
            <w:pPr>
              <w:spacing w:before="0" w:after="0" w:line="240" w:lineRule="auto"/>
              <w:jc w:val="center"/>
            </w:pPr>
            <w:r>
              <w:rPr>
                <w:rFonts w:ascii="宋体" w:hAnsi="宋体" w:eastAsia="宋体"/>
                <w:b w:val="0"/>
                <w:i w:val="0"/>
                <w:sz w:val="18"/>
              </w:rPr>
              <w:t>—</w:t>
            </w:r>
          </w:p>
        </w:tc>
      </w:tr>
      <w:tr w14:paraId="7EA34D8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5863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66309">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1E2B5">
            <w:pPr>
              <w:spacing w:before="0" w:after="0" w:line="240" w:lineRule="auto"/>
              <w:jc w:val="center"/>
            </w:pPr>
            <w:r>
              <w:rPr>
                <w:rFonts w:ascii="宋体" w:hAnsi="宋体" w:eastAsia="宋体"/>
                <w:b/>
                <w:i w:val="0"/>
                <w:sz w:val="18"/>
              </w:rPr>
              <w:t>实际完成情况</w:t>
            </w:r>
          </w:p>
        </w:tc>
      </w:tr>
      <w:tr w14:paraId="7829D74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83B9F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C294DF">
            <w:pPr>
              <w:spacing w:before="0" w:after="0" w:line="240" w:lineRule="auto"/>
              <w:jc w:val="center"/>
            </w:pPr>
            <w:r>
              <w:rPr>
                <w:rFonts w:ascii="宋体" w:hAnsi="宋体" w:eastAsia="宋体"/>
                <w:b w:val="0"/>
                <w:i w:val="0"/>
                <w:sz w:val="18"/>
              </w:rPr>
              <w:t>通过按时足额为6名在职人员发放工资、依法缴纳社会保险，计划全年规范完成12次薪酬发放，切实保障职工基本生活与长远福利，稳定个人与家庭经济来源，此举有助于增强员工的职业安全感与组织认同感，提升整体归属感与幸福感，进而营造稳定和谐、积极向上的工作氛围。</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0C31D">
            <w:pPr>
              <w:spacing w:before="0" w:after="0" w:line="240" w:lineRule="auto"/>
              <w:jc w:val="center"/>
            </w:pPr>
            <w:r>
              <w:rPr>
                <w:rFonts w:ascii="宋体" w:hAnsi="宋体" w:eastAsia="宋体"/>
                <w:b w:val="0"/>
                <w:i w:val="0"/>
                <w:sz w:val="18"/>
              </w:rPr>
              <w:t>按时足额为6名在职人员发放工资、依法缴纳社会保险，全年规范完成12次薪酬发放，切实保障了职工基本生活与长远福利，增强了员工的职业安全感与组织认同感，提升整体归属感与幸福感，营造了稳定和谐、积极向上的工作氛围。</w:t>
            </w:r>
          </w:p>
        </w:tc>
      </w:tr>
      <w:tr w14:paraId="1B87AFFC">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A5D6A">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62E1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8933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D7A3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E4A79">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4A8E4">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4309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1B85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1915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A8ED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FCEF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DDC7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CC2D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A2C88">
            <w:pPr>
              <w:spacing w:before="0" w:after="0" w:line="240" w:lineRule="auto"/>
              <w:jc w:val="center"/>
            </w:pPr>
            <w:r>
              <w:rPr>
                <w:rFonts w:ascii="宋体" w:hAnsi="宋体" w:eastAsia="宋体"/>
                <w:b/>
                <w:i w:val="0"/>
                <w:sz w:val="18"/>
              </w:rPr>
              <w:t>偏差原因分析及改进措施</w:t>
            </w:r>
          </w:p>
        </w:tc>
      </w:tr>
      <w:tr w14:paraId="5C05B7B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FB76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7C4E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FC00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E118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DBBD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7076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CFD3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9D60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C460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CF3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C00E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9A65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86EC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29B1B6"/>
        </w:tc>
      </w:tr>
      <w:tr w14:paraId="7B71777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9E17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CF455">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3835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6D7E8">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E6459">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D33E2">
            <w:pPr>
              <w:spacing w:before="0" w:after="0" w:line="240" w:lineRule="auto"/>
              <w:jc w:val="center"/>
            </w:pPr>
            <w:r>
              <w:rPr>
                <w:rFonts w:ascii="宋体" w:hAnsi="宋体" w:eastAsia="宋体"/>
                <w:b w:val="0"/>
                <w:i w:val="0"/>
                <w:sz w:val="18"/>
              </w:rPr>
              <w:t>&gt;=12次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DFB14">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BDE4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649E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1032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B154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5A08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2FF3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A9030">
            <w:pPr>
              <w:spacing w:before="0" w:after="0" w:line="240" w:lineRule="auto"/>
              <w:jc w:val="center"/>
            </w:pPr>
          </w:p>
        </w:tc>
      </w:tr>
      <w:tr w14:paraId="59169A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183E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FA62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A495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46EEB">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1039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B032A">
            <w:pPr>
              <w:spacing w:before="0" w:after="0" w:line="240" w:lineRule="auto"/>
              <w:jc w:val="center"/>
            </w:pPr>
            <w:r>
              <w:rPr>
                <w:rFonts w:ascii="宋体" w:hAnsi="宋体" w:eastAsia="宋体"/>
                <w:b w:val="0"/>
                <w:i w:val="0"/>
                <w:sz w:val="18"/>
              </w:rPr>
              <w:t>&gt;=6人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D389F">
            <w:pPr>
              <w:spacing w:before="0" w:after="0" w:line="240" w:lineRule="auto"/>
              <w:jc w:val="center"/>
            </w:pPr>
            <w:r>
              <w:rPr>
                <w:rFonts w:ascii="宋体" w:hAnsi="宋体" w:eastAsia="宋体"/>
                <w:b w:val="0"/>
                <w:i w:val="0"/>
                <w:sz w:val="18"/>
              </w:rPr>
              <w:t>=6人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52C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1541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7386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CCAE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86E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8F4C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36508">
            <w:pPr>
              <w:spacing w:before="0" w:after="0" w:line="240" w:lineRule="auto"/>
              <w:jc w:val="center"/>
            </w:pPr>
          </w:p>
        </w:tc>
      </w:tr>
      <w:tr w14:paraId="4162E8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3C8E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87F4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23C6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A4B47">
            <w:pPr>
              <w:spacing w:before="0" w:after="0" w:line="240" w:lineRule="auto"/>
              <w:jc w:val="center"/>
            </w:pPr>
            <w:r>
              <w:rPr>
                <w:rFonts w:ascii="宋体" w:hAnsi="宋体" w:eastAsia="宋体"/>
                <w:b w:val="0"/>
                <w:i w:val="0"/>
                <w:color w:val="000000"/>
                <w:sz w:val="18"/>
              </w:rPr>
              <w:t>保障办公人员数量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340E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2766B">
            <w:pPr>
              <w:spacing w:before="0" w:after="0" w:line="240" w:lineRule="auto"/>
              <w:jc w:val="center"/>
            </w:pPr>
            <w:r>
              <w:rPr>
                <w:rFonts w:ascii="宋体" w:hAnsi="宋体" w:eastAsia="宋体"/>
                <w:b w:val="0"/>
                <w:i w:val="0"/>
                <w:sz w:val="18"/>
              </w:rPr>
              <w:t>&gt;=6人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1E622">
            <w:pPr>
              <w:spacing w:before="0" w:after="0" w:line="240" w:lineRule="auto"/>
              <w:jc w:val="center"/>
            </w:pPr>
            <w:r>
              <w:rPr>
                <w:rFonts w:ascii="宋体" w:hAnsi="宋体" w:eastAsia="宋体"/>
                <w:b w:val="0"/>
                <w:i w:val="0"/>
                <w:sz w:val="18"/>
              </w:rPr>
              <w:t>=6人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9C1D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F3BF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70AC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BD85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50D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935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C06F4">
            <w:pPr>
              <w:spacing w:before="0" w:after="0" w:line="240" w:lineRule="auto"/>
              <w:jc w:val="center"/>
            </w:pPr>
          </w:p>
        </w:tc>
      </w:tr>
      <w:tr w14:paraId="59E1C5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EAF0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28D76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4218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5866F">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1C07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6616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409B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EB6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D31D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A894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111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5CF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D50A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50467">
            <w:pPr>
              <w:spacing w:before="0" w:after="0" w:line="240" w:lineRule="auto"/>
              <w:jc w:val="center"/>
            </w:pPr>
          </w:p>
        </w:tc>
      </w:tr>
      <w:tr w14:paraId="114761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0DF3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484B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01E0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A3100">
            <w:pPr>
              <w:spacing w:before="0" w:after="0" w:line="240" w:lineRule="auto"/>
              <w:jc w:val="center"/>
            </w:pPr>
            <w:r>
              <w:rPr>
                <w:rFonts w:ascii="宋体" w:hAnsi="宋体" w:eastAsia="宋体"/>
                <w:b w:val="0"/>
                <w:i w:val="0"/>
                <w:color w:val="000000"/>
                <w:sz w:val="18"/>
              </w:rPr>
              <w:t>公用经费支出及时率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C5CF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A241D">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A698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C75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84E0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B622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3BB3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5077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E11A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6810D">
            <w:pPr>
              <w:spacing w:before="0" w:after="0" w:line="240" w:lineRule="auto"/>
              <w:jc w:val="center"/>
            </w:pPr>
          </w:p>
        </w:tc>
      </w:tr>
      <w:tr w14:paraId="70E4397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20EE7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17638">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B1F7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53445">
            <w:pPr>
              <w:spacing w:before="0" w:after="0" w:line="240" w:lineRule="auto"/>
              <w:jc w:val="center"/>
            </w:pPr>
            <w:r>
              <w:rPr>
                <w:rFonts w:ascii="宋体" w:hAnsi="宋体" w:eastAsia="宋体"/>
                <w:b w:val="0"/>
                <w:i w:val="0"/>
                <w:color w:val="000000"/>
                <w:sz w:val="18"/>
              </w:rPr>
              <w:t>保障人员支出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928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4B7E0">
            <w:pPr>
              <w:spacing w:before="0" w:after="0" w:line="240" w:lineRule="auto"/>
              <w:jc w:val="center"/>
            </w:pPr>
            <w:r>
              <w:rPr>
                <w:rFonts w:ascii="宋体" w:hAnsi="宋体" w:eastAsia="宋体"/>
                <w:b w:val="0"/>
                <w:i w:val="0"/>
                <w:sz w:val="18"/>
              </w:rPr>
              <w:t>&lt;=81.50万元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09165">
            <w:pPr>
              <w:spacing w:before="0" w:after="0" w:line="240" w:lineRule="auto"/>
              <w:jc w:val="center"/>
            </w:pPr>
            <w:r>
              <w:rPr>
                <w:rFonts w:ascii="宋体" w:hAnsi="宋体" w:eastAsia="宋体"/>
                <w:b w:val="0"/>
                <w:i w:val="0"/>
                <w:sz w:val="18"/>
              </w:rPr>
              <w:t>=81.5万元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D1B8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5D9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0DD2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9573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1BA8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8D07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4F31E">
            <w:pPr>
              <w:spacing w:before="0" w:after="0" w:line="240" w:lineRule="auto"/>
              <w:jc w:val="center"/>
            </w:pPr>
            <w:r>
              <w:rPr>
                <w:rFonts w:ascii="宋体" w:hAnsi="宋体" w:eastAsia="宋体"/>
                <w:b w:val="0"/>
                <w:i w:val="0"/>
                <w:sz w:val="18"/>
              </w:rPr>
              <w:t>原因：因2025年11月</w:t>
            </w:r>
            <w:r>
              <w:rPr>
                <w:rFonts w:hint="eastAsia" w:ascii="宋体" w:hAnsi="宋体"/>
                <w:b w:val="0"/>
                <w:i w:val="0"/>
                <w:sz w:val="18"/>
                <w:lang w:eastAsia="zh-CN"/>
              </w:rPr>
              <w:t>本单位</w:t>
            </w:r>
            <w:r>
              <w:rPr>
                <w:rFonts w:ascii="宋体" w:hAnsi="宋体" w:eastAsia="宋体"/>
                <w:b w:val="0"/>
                <w:i w:val="0"/>
                <w:sz w:val="18"/>
              </w:rPr>
              <w:t>新转入人员，发放工资及补缴5人公务员医疗补助，导致人员经费超支。改进措施：严格按照年度预计在岗人数、薪酬标准、社保、医保缴费政策据实测算人员经费，对人员变动、调资等情况实时更新。</w:t>
            </w:r>
          </w:p>
        </w:tc>
      </w:tr>
      <w:tr w14:paraId="439E34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3E43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859DE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44AA9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37F1D">
            <w:pPr>
              <w:spacing w:before="0" w:after="0" w:line="240" w:lineRule="auto"/>
              <w:jc w:val="center"/>
            </w:pPr>
            <w:r>
              <w:rPr>
                <w:rFonts w:ascii="宋体" w:hAnsi="宋体" w:eastAsia="宋体"/>
                <w:b w:val="0"/>
                <w:i w:val="0"/>
                <w:color w:val="000000"/>
                <w:sz w:val="18"/>
              </w:rPr>
              <w:t>保障运行成本支出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8359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91FD2">
            <w:pPr>
              <w:spacing w:before="0" w:after="0" w:line="240" w:lineRule="auto"/>
              <w:jc w:val="center"/>
            </w:pPr>
            <w:r>
              <w:rPr>
                <w:rFonts w:ascii="宋体" w:hAnsi="宋体" w:eastAsia="宋体"/>
                <w:b w:val="0"/>
                <w:i w:val="0"/>
                <w:sz w:val="18"/>
              </w:rPr>
              <w:t>&lt;=4.30万元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EBADF">
            <w:pPr>
              <w:spacing w:before="0" w:after="0" w:line="240" w:lineRule="auto"/>
              <w:jc w:val="center"/>
            </w:pPr>
            <w:r>
              <w:rPr>
                <w:rFonts w:ascii="宋体" w:hAnsi="宋体" w:eastAsia="宋体"/>
                <w:b w:val="0"/>
                <w:i w:val="0"/>
                <w:sz w:val="18"/>
              </w:rPr>
              <w:t>=4.3万元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BBF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628A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FD6B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179A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61A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130E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BF4E2">
            <w:pPr>
              <w:spacing w:before="0" w:after="0" w:line="240" w:lineRule="auto"/>
              <w:jc w:val="center"/>
            </w:pPr>
          </w:p>
        </w:tc>
      </w:tr>
      <w:tr w14:paraId="31F1F6F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88E1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5593D">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367E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D1C2B">
            <w:pPr>
              <w:spacing w:before="0" w:after="0" w:line="240" w:lineRule="auto"/>
              <w:jc w:val="center"/>
            </w:pPr>
            <w:r>
              <w:rPr>
                <w:rFonts w:ascii="宋体" w:hAnsi="宋体" w:eastAsia="宋体"/>
                <w:b w:val="0"/>
                <w:i w:val="0"/>
                <w:color w:val="000000"/>
                <w:sz w:val="18"/>
              </w:rPr>
              <w:t>提高工作效率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09E6C">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9C879">
            <w:pPr>
              <w:spacing w:before="0" w:after="0" w:line="240" w:lineRule="auto"/>
              <w:jc w:val="center"/>
            </w:pPr>
            <w:r>
              <w:rPr>
                <w:rFonts w:ascii="宋体" w:hAnsi="宋体" w:eastAsia="宋体"/>
                <w:b w:val="0"/>
                <w:i w:val="0"/>
                <w:sz w:val="18"/>
              </w:rPr>
              <w:t>有效提高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88B2D">
            <w:pPr>
              <w:spacing w:before="0" w:after="0" w:line="240" w:lineRule="auto"/>
              <w:jc w:val="center"/>
            </w:pPr>
            <w:r>
              <w:rPr>
                <w:rFonts w:ascii="宋体" w:hAnsi="宋体" w:eastAsia="宋体"/>
                <w:b w:val="0"/>
                <w:i w:val="0"/>
                <w:sz w:val="18"/>
              </w:rPr>
              <w:t>有效提高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DB3F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F0DAE">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CCA3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504C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433F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2B6B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3E54F">
            <w:pPr>
              <w:spacing w:before="0" w:after="0" w:line="240" w:lineRule="auto"/>
              <w:jc w:val="center"/>
            </w:pPr>
          </w:p>
        </w:tc>
      </w:tr>
      <w:tr w14:paraId="3C6140C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8719C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E57C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AE2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971A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047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7C8CA">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7486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003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0120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8901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16BC6">
            <w:pPr>
              <w:spacing w:before="0" w:after="0" w:line="240" w:lineRule="auto"/>
              <w:jc w:val="center"/>
            </w:pPr>
          </w:p>
        </w:tc>
      </w:tr>
    </w:tbl>
    <w:p w14:paraId="3B0D81A1">
      <w:r>
        <w:br w:type="page"/>
      </w:r>
    </w:p>
    <w:p w14:paraId="1058F593">
      <w:pPr>
        <w:sectPr>
          <w:type w:val="continuous"/>
          <w:pgSz w:w="11906" w:h="16838"/>
          <w:pgMar w:top="1440" w:right="1800" w:bottom="1440" w:left="1800" w:header="851" w:footer="992" w:gutter="0"/>
          <w:cols w:space="720" w:num="1"/>
          <w:docGrid w:type="lines" w:linePitch="312" w:charSpace="0"/>
        </w:sectPr>
      </w:pPr>
    </w:p>
    <w:p w14:paraId="410BD63A">
      <w:pPr>
        <w:spacing w:line="640" w:lineRule="exact"/>
        <w:ind w:firstLine="640"/>
        <w:jc w:val="both"/>
        <w:outlineLvl w:val="2"/>
      </w:pPr>
      <w:r>
        <w:rPr>
          <w:rFonts w:ascii="黑体" w:hAnsi="黑体" w:eastAsia="黑体"/>
          <w:sz w:val="32"/>
        </w:rPr>
        <w:t>十二、其他需说明的事项</w:t>
      </w:r>
    </w:p>
    <w:p w14:paraId="4964BD89">
      <w:pPr>
        <w:spacing w:line="580" w:lineRule="exact"/>
        <w:ind w:firstLine="640"/>
        <w:jc w:val="both"/>
      </w:pPr>
      <w:r>
        <w:rPr>
          <w:rFonts w:ascii="仿宋_GB2312" w:hAnsi="仿宋_GB2312" w:eastAsia="仿宋_GB2312"/>
          <w:b w:val="0"/>
          <w:sz w:val="32"/>
        </w:rPr>
        <w:t>本单位2025年度无政府采购支出，授予中小</w:t>
      </w:r>
      <w:r>
        <w:rPr>
          <w:rFonts w:hint="eastAsia" w:ascii="仿宋_GB2312" w:hAnsi="仿宋_GB2312" w:eastAsia="仿宋_GB2312"/>
          <w:b w:val="0"/>
          <w:sz w:val="32"/>
          <w:lang w:val="en-US" w:eastAsia="zh-CN"/>
        </w:rPr>
        <w:t>微</w:t>
      </w:r>
      <w:r>
        <w:rPr>
          <w:rFonts w:ascii="仿宋_GB2312" w:hAnsi="仿宋_GB2312" w:eastAsia="仿宋_GB2312"/>
          <w:b w:val="0"/>
          <w:sz w:val="32"/>
        </w:rPr>
        <w:t>企业合同金额0.00万元。</w:t>
      </w:r>
    </w:p>
    <w:p w14:paraId="26715A52">
      <w:r>
        <w:br w:type="page"/>
      </w:r>
    </w:p>
    <w:p w14:paraId="3C943766">
      <w:pPr>
        <w:spacing w:line="600" w:lineRule="exact"/>
        <w:jc w:val="center"/>
        <w:outlineLvl w:val="0"/>
      </w:pPr>
      <w:r>
        <w:rPr>
          <w:rFonts w:ascii="黑体" w:hAnsi="黑体" w:eastAsia="黑体"/>
          <w:sz w:val="32"/>
        </w:rPr>
        <w:t>第三部分 专业名词解释</w:t>
      </w:r>
    </w:p>
    <w:p w14:paraId="16894E4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BB7501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27E0B0">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5157145">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8F370E">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0F9517D">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26AFD92">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EF2B5B4">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F7F39A5">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D36357B">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C0B56F6">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D31FB46">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0AED136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962C4A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1469D4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A1954B6">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D7709F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BE0A774">
      <w:r>
        <w:br w:type="page"/>
      </w:r>
    </w:p>
    <w:p w14:paraId="391A5FA8">
      <w:pPr>
        <w:spacing w:line="240" w:lineRule="auto"/>
        <w:jc w:val="center"/>
        <w:outlineLvl w:val="1"/>
      </w:pPr>
      <w:r>
        <w:rPr>
          <w:rFonts w:ascii="黑体" w:hAnsi="黑体" w:eastAsia="黑体"/>
          <w:sz w:val="32"/>
        </w:rPr>
        <w:t>第四部分 部门决算报表（见附表）</w:t>
      </w:r>
    </w:p>
    <w:p w14:paraId="021376EA">
      <w:pPr>
        <w:autoSpaceDE w:val="0"/>
        <w:autoSpaceDN w:val="0"/>
        <w:spacing w:line="600" w:lineRule="exact"/>
        <w:ind w:firstLine="640" w:firstLineChars="200"/>
      </w:pPr>
      <w:r>
        <w:rPr>
          <w:rFonts w:ascii="仿宋_GB2312" w:hAnsi="仿宋_GB2312" w:eastAsia="仿宋_GB2312"/>
          <w:b w:val="0"/>
          <w:sz w:val="32"/>
        </w:rPr>
        <w:t>一、《收入支出决算总表》</w:t>
      </w:r>
    </w:p>
    <w:p w14:paraId="48929E1C">
      <w:pPr>
        <w:autoSpaceDE w:val="0"/>
        <w:autoSpaceDN w:val="0"/>
        <w:spacing w:line="600" w:lineRule="exact"/>
        <w:ind w:firstLine="640" w:firstLineChars="200"/>
      </w:pPr>
      <w:r>
        <w:rPr>
          <w:rFonts w:ascii="仿宋_GB2312" w:hAnsi="仿宋_GB2312" w:eastAsia="仿宋_GB2312"/>
          <w:b w:val="0"/>
          <w:sz w:val="32"/>
        </w:rPr>
        <w:t>二、《收入决算表》</w:t>
      </w:r>
    </w:p>
    <w:p w14:paraId="70A305BC">
      <w:pPr>
        <w:autoSpaceDE w:val="0"/>
        <w:autoSpaceDN w:val="0"/>
        <w:spacing w:line="600" w:lineRule="exact"/>
        <w:ind w:firstLine="640" w:firstLineChars="200"/>
      </w:pPr>
      <w:r>
        <w:rPr>
          <w:rFonts w:ascii="仿宋_GB2312" w:hAnsi="仿宋_GB2312" w:eastAsia="仿宋_GB2312"/>
          <w:b w:val="0"/>
          <w:sz w:val="32"/>
        </w:rPr>
        <w:t>三、《支出决算表》</w:t>
      </w:r>
    </w:p>
    <w:p w14:paraId="21F483C0">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A6CC34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FF28ADB">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48024FF">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9D44E4A">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A31066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E88C6FE">
      <w:pPr>
        <w:autoSpaceDE w:val="0"/>
        <w:autoSpaceDN w:val="0"/>
        <w:spacing w:line="600" w:lineRule="exact"/>
        <w:ind w:firstLine="640" w:firstLineChars="200"/>
      </w:pPr>
    </w:p>
    <w:p w14:paraId="4D9DC30E">
      <w:pPr>
        <w:autoSpaceDE w:val="0"/>
        <w:autoSpaceDN w:val="0"/>
        <w:spacing w:line="600" w:lineRule="exact"/>
        <w:ind w:firstLine="640" w:firstLineChars="200"/>
      </w:pPr>
    </w:p>
    <w:p w14:paraId="7455DA8B">
      <w:pPr>
        <w:autoSpaceDE w:val="0"/>
        <w:autoSpaceDN w:val="0"/>
        <w:spacing w:line="600" w:lineRule="exact"/>
        <w:ind w:firstLine="640" w:firstLineChars="200"/>
      </w:pPr>
    </w:p>
    <w:p w14:paraId="552C070C">
      <w:pPr>
        <w:autoSpaceDE w:val="0"/>
        <w:autoSpaceDN w:val="0"/>
        <w:spacing w:line="600" w:lineRule="exact"/>
        <w:ind w:firstLine="640" w:firstLineChars="200"/>
      </w:pPr>
    </w:p>
    <w:p w14:paraId="1665613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2543BF-2D15-4C41-ADF0-7831B22BD5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DE26D04-FF3C-4C8E-8516-E02760B60F68}"/>
  </w:font>
  <w:font w:name="仿宋_GB2312">
    <w:altName w:val="微软雅黑"/>
    <w:panose1 w:val="02010609030101010101"/>
    <w:charset w:val="86"/>
    <w:family w:val="modern"/>
    <w:pitch w:val="default"/>
    <w:sig w:usb0="00000001" w:usb1="080E0000" w:usb2="00000000" w:usb3="00000000" w:csb0="00040000" w:csb1="00000000"/>
    <w:embedRegular r:id="rId3" w:fontKey="{C4D54224-95BA-4BB1-814A-BA4AD4E662FD}"/>
  </w:font>
  <w:font w:name="楷体_GB2312">
    <w:altName w:val="楷体"/>
    <w:panose1 w:val="00000000000000000000"/>
    <w:charset w:val="00"/>
    <w:family w:val="auto"/>
    <w:pitch w:val="default"/>
    <w:sig w:usb0="00000000" w:usb1="00000000" w:usb2="00000000" w:usb3="00000000" w:csb0="00000000" w:csb1="00000000"/>
    <w:embedRegular r:id="rId4" w:fontKey="{62B8CBFB-D3BD-4963-ACB4-7E95E78CA2EB}"/>
  </w:font>
  <w:font w:name="楷体">
    <w:panose1 w:val="02010609060101010101"/>
    <w:charset w:val="86"/>
    <w:family w:val="auto"/>
    <w:pitch w:val="default"/>
    <w:sig w:usb0="800002BF" w:usb1="38CF7CFA" w:usb2="00000016" w:usb3="00000000" w:csb0="00040001" w:csb1="00000000"/>
  </w:font>
  <w:font w:name="WPSEMBED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B17128"/>
    <w:rsid w:val="03DE0026"/>
    <w:rsid w:val="03E2747C"/>
    <w:rsid w:val="043E5B56"/>
    <w:rsid w:val="04EF7C1A"/>
    <w:rsid w:val="06792773"/>
    <w:rsid w:val="06896151"/>
    <w:rsid w:val="09A729D8"/>
    <w:rsid w:val="09F57A01"/>
    <w:rsid w:val="0A7B4867"/>
    <w:rsid w:val="0AC260D6"/>
    <w:rsid w:val="0B8C3ECC"/>
    <w:rsid w:val="0BC24C29"/>
    <w:rsid w:val="0C3613A3"/>
    <w:rsid w:val="0C7227A7"/>
    <w:rsid w:val="0DCA6EF7"/>
    <w:rsid w:val="0E4B1576"/>
    <w:rsid w:val="11E15093"/>
    <w:rsid w:val="120E0809"/>
    <w:rsid w:val="181A30AD"/>
    <w:rsid w:val="1875698D"/>
    <w:rsid w:val="19071D6C"/>
    <w:rsid w:val="19D93400"/>
    <w:rsid w:val="1C317E4F"/>
    <w:rsid w:val="1C472464"/>
    <w:rsid w:val="1DAF458D"/>
    <w:rsid w:val="1E086ACE"/>
    <w:rsid w:val="1EAA4A5F"/>
    <w:rsid w:val="1F040613"/>
    <w:rsid w:val="1F587A0B"/>
    <w:rsid w:val="1FE96E5D"/>
    <w:rsid w:val="2064678E"/>
    <w:rsid w:val="209713EB"/>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2550</Words>
  <Characters>2870</Characters>
  <Lines>10</Lines>
  <Paragraphs>2</Paragraphs>
  <TotalTime>2</TotalTime>
  <ScaleCrop>false</ScaleCrop>
  <LinksUpToDate>false</LinksUpToDate>
  <CharactersWithSpaces>2878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雨。</cp:lastModifiedBy>
  <cp:lastPrinted>2024-07-22T11:58:00Z</cp:lastPrinted>
  <dcterms:modified xsi:type="dcterms:W3CDTF">2026-08-28T09:01:11Z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8FDA567F26D84A8C8A1B02E29FDE1AE6_13</vt:lpwstr>
  </property>
  <property fmtid="{D5CDD505-2E9C-101B-9397-08002B2CF9AE}" pid="4" name="KSOTemplateDocerSaveRecord">
    <vt:lpwstr>eyJoZGlkIjoiYjc2OWIwYWEwODAyMWYzZDQ3MWM3NTI0ZDMwN2MzZTAiLCJ1c2VySWQiOiIyNTk4NTcxMjUifQ==</vt:lpwstr>
  </property>
</Properties>
</file>