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新疆维吾尔自治区塔里木河流域叶尔羌河水利管理中心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38AEE1D">
      <w:r>
        <w:br w:type="page"/>
      </w:r>
    </w:p>
    <w:p w14:paraId="03DB697E">
      <w:pPr>
        <w:spacing w:line="640" w:lineRule="exact"/>
        <w:jc w:val="center"/>
        <w:outlineLvl w:val="1"/>
      </w:pPr>
      <w:r>
        <w:rPr>
          <w:rFonts w:ascii="黑体" w:hAnsi="黑体" w:eastAsia="黑体"/>
          <w:sz w:val="32"/>
        </w:rPr>
        <w:t>第一部分 单位概况</w:t>
      </w:r>
    </w:p>
    <w:p w14:paraId="1B322508">
      <w:pPr>
        <w:spacing w:line="640" w:lineRule="exact"/>
        <w:ind w:firstLine="640"/>
        <w:jc w:val="both"/>
        <w:outlineLvl w:val="2"/>
      </w:pPr>
      <w:r>
        <w:rPr>
          <w:rFonts w:ascii="黑体" w:hAnsi="黑体" w:eastAsia="黑体"/>
          <w:sz w:val="32"/>
        </w:rPr>
        <w:t>一、主要职能</w:t>
      </w:r>
    </w:p>
    <w:p w14:paraId="3B17D921">
      <w:pPr>
        <w:spacing w:line="580" w:lineRule="exact"/>
        <w:ind w:firstLine="640"/>
        <w:jc w:val="both"/>
      </w:pPr>
      <w:r>
        <w:rPr>
          <w:rFonts w:ascii="仿宋_GB2312" w:hAnsi="仿宋_GB2312" w:eastAsia="仿宋_GB2312"/>
          <w:sz w:val="32"/>
        </w:rPr>
        <w:t>（1）贯彻落实《中华人民共和国水法》《新疆维吾尔自治区塔里木河流域水资源管理条例》等法律、法规；负责管辖范围内的地州（兵团）水事纠纷监督调处等工作。</w:t>
      </w:r>
    </w:p>
    <w:p w14:paraId="3BFB6CFF">
      <w:pPr>
        <w:spacing w:line="580" w:lineRule="exact"/>
        <w:ind w:firstLine="640"/>
        <w:jc w:val="both"/>
      </w:pPr>
      <w:r>
        <w:rPr>
          <w:rFonts w:ascii="仿宋_GB2312" w:hAnsi="仿宋_GB2312" w:eastAsia="仿宋_GB2312"/>
          <w:sz w:val="32"/>
        </w:rPr>
        <w:t>（2）组织编制并监督实施流域综合规划和专业、专项规划；按照职责权限依法依规开展有关评估、评价和审查工作。</w:t>
      </w:r>
    </w:p>
    <w:p w14:paraId="3A9BF9A2">
      <w:pPr>
        <w:spacing w:line="580" w:lineRule="exact"/>
        <w:ind w:firstLine="640"/>
        <w:jc w:val="both"/>
      </w:pPr>
      <w:r>
        <w:rPr>
          <w:rFonts w:ascii="仿宋_GB2312" w:hAnsi="仿宋_GB2312" w:eastAsia="仿宋_GB2312"/>
          <w:sz w:val="32"/>
        </w:rPr>
        <w:t>（3）负责流域管辖范围内水资源统一管理，统筹协调流域用水，实施取用水总量控制；指导流域管辖范围内水能资源开发，按照电调服从水调的原则，负责管辖范围内水库及电站水量统一调度；负责组织实施向塔里木河干流生态输水；在管辖范围内依法组织实施取水许可、水资源有偿使用等制度。</w:t>
      </w:r>
    </w:p>
    <w:p w14:paraId="0B11A52A">
      <w:pPr>
        <w:spacing w:line="580" w:lineRule="exact"/>
        <w:ind w:firstLine="640"/>
        <w:jc w:val="both"/>
      </w:pPr>
      <w:r>
        <w:rPr>
          <w:rFonts w:ascii="仿宋_GB2312" w:hAnsi="仿宋_GB2312" w:eastAsia="仿宋_GB2312"/>
          <w:sz w:val="32"/>
        </w:rPr>
        <w:t>（4）负责流域管辖范围内水资源保护工作；根据授权，开展流域水功能区划工作，组织编制管辖范围内的水功能区划，参与核定管辖范围内河湖水域纳污能力，提出限制排污总量意见；负责入河排污口设置的审查许可；依法在管辖范围内开展水土保持监督管理；指导流域节约用水工作。</w:t>
      </w:r>
    </w:p>
    <w:p w14:paraId="78C24E36">
      <w:pPr>
        <w:spacing w:line="580" w:lineRule="exact"/>
        <w:ind w:firstLine="640"/>
        <w:jc w:val="both"/>
      </w:pPr>
      <w:r>
        <w:rPr>
          <w:rFonts w:ascii="仿宋_GB2312" w:hAnsi="仿宋_GB2312" w:eastAsia="仿宋_GB2312"/>
          <w:sz w:val="32"/>
        </w:rPr>
        <w:t>（5）负责流域管辖范围内的河道管理；承担职责范围内的河湖长制相关工作；承担河道管理范围内涉河(湖)建设项目、涉河(湖)活动、河道采砂等审查及监督工作。</w:t>
      </w:r>
    </w:p>
    <w:p w14:paraId="4ED29E80">
      <w:pPr>
        <w:spacing w:line="580" w:lineRule="exact"/>
        <w:ind w:firstLine="640"/>
        <w:jc w:val="both"/>
      </w:pPr>
      <w:r>
        <w:rPr>
          <w:rFonts w:ascii="仿宋_GB2312" w:hAnsi="仿宋_GB2312" w:eastAsia="仿宋_GB2312"/>
          <w:sz w:val="32"/>
        </w:rPr>
        <w:t>（6）负责直管水利工程的建设与运行管理；研究提出直管工程建设的水价以及其他收费项目的立项、调整建议方案。负责直管水利项目资金的使用、管理和监督。</w:t>
      </w:r>
    </w:p>
    <w:p w14:paraId="7AA2FA39">
      <w:pPr>
        <w:spacing w:line="580" w:lineRule="exact"/>
        <w:ind w:firstLine="640"/>
        <w:jc w:val="both"/>
      </w:pPr>
      <w:r>
        <w:rPr>
          <w:rFonts w:ascii="仿宋_GB2312" w:hAnsi="仿宋_GB2312" w:eastAsia="仿宋_GB2312"/>
          <w:sz w:val="32"/>
        </w:rPr>
        <w:t>（7）按照职责权限，组织编制并实施流域及</w:t>
      </w:r>
      <w:r>
        <w:rPr>
          <w:rFonts w:hint="eastAsia" w:ascii="仿宋_GB2312" w:hAnsi="仿宋_GB2312" w:eastAsia="仿宋_GB2312"/>
          <w:sz w:val="32"/>
          <w:lang w:eastAsia="zh-CN"/>
        </w:rPr>
        <w:t>重要水利工程</w:t>
      </w:r>
      <w:r>
        <w:rPr>
          <w:rFonts w:ascii="仿宋_GB2312" w:hAnsi="仿宋_GB2312" w:eastAsia="仿宋_GB2312"/>
          <w:sz w:val="32"/>
        </w:rPr>
        <w:t>的防洪抗旱应急水量调度方案；在管辖范围内开展防汛抗旱协调、调度和监督管理等工作；参与协调水利突发事件应急工作，负责防洪应急抢险的技术支撑工作。</w:t>
      </w:r>
    </w:p>
    <w:p w14:paraId="6BDB9C96">
      <w:pPr>
        <w:spacing w:line="580" w:lineRule="exact"/>
        <w:ind w:firstLine="640"/>
        <w:jc w:val="both"/>
      </w:pPr>
      <w:r>
        <w:rPr>
          <w:rFonts w:ascii="仿宋_GB2312" w:hAnsi="仿宋_GB2312" w:eastAsia="仿宋_GB2312"/>
          <w:sz w:val="32"/>
        </w:rPr>
        <w:t>（8）负责组织开展流域管辖范围内水利科技、统计和信息化建设工作。</w:t>
      </w:r>
    </w:p>
    <w:p w14:paraId="3030EEDA">
      <w:pPr>
        <w:spacing w:line="580" w:lineRule="exact"/>
        <w:ind w:firstLine="640"/>
        <w:jc w:val="both"/>
      </w:pPr>
      <w:r>
        <w:rPr>
          <w:rFonts w:ascii="仿宋_GB2312" w:hAnsi="仿宋_GB2312" w:eastAsia="仿宋_GB2312"/>
          <w:sz w:val="32"/>
        </w:rPr>
        <w:t>（9）承办塔管局党委交办的其他事项。</w:t>
      </w:r>
    </w:p>
    <w:p w14:paraId="3DDEAB59">
      <w:pPr>
        <w:spacing w:line="640" w:lineRule="exact"/>
        <w:ind w:firstLine="640"/>
        <w:jc w:val="both"/>
        <w:outlineLvl w:val="2"/>
      </w:pPr>
      <w:r>
        <w:rPr>
          <w:rFonts w:ascii="黑体" w:hAnsi="黑体" w:eastAsia="黑体"/>
          <w:sz w:val="32"/>
        </w:rPr>
        <w:t>二、机构设置</w:t>
      </w:r>
    </w:p>
    <w:p w14:paraId="25C33406">
      <w:pPr>
        <w:spacing w:line="580" w:lineRule="exact"/>
        <w:ind w:firstLine="640"/>
        <w:jc w:val="both"/>
      </w:pPr>
      <w:r>
        <w:rPr>
          <w:rFonts w:ascii="仿宋_GB2312" w:hAnsi="仿宋_GB2312" w:eastAsia="仿宋_GB2312"/>
          <w:sz w:val="32"/>
        </w:rPr>
        <w:t>新疆维吾尔自治区塔里木河流域叶尔羌河水利管理中心无下属预算单位。</w:t>
      </w:r>
    </w:p>
    <w:p w14:paraId="6276FA95">
      <w:r>
        <w:br w:type="page"/>
      </w:r>
    </w:p>
    <w:p w14:paraId="70866C93">
      <w:pPr>
        <w:spacing w:line="240" w:lineRule="auto"/>
        <w:jc w:val="center"/>
        <w:outlineLvl w:val="1"/>
      </w:pPr>
      <w:r>
        <w:rPr>
          <w:rFonts w:ascii="黑体" w:hAnsi="黑体" w:eastAsia="黑体"/>
          <w:sz w:val="32"/>
        </w:rPr>
        <w:t>第二部分 部门决算情况说明</w:t>
      </w:r>
    </w:p>
    <w:p w14:paraId="2969F50A">
      <w:pPr>
        <w:spacing w:line="640" w:lineRule="exact"/>
        <w:ind w:firstLine="640"/>
        <w:jc w:val="both"/>
        <w:outlineLvl w:val="2"/>
      </w:pPr>
      <w:r>
        <w:rPr>
          <w:rFonts w:ascii="黑体" w:hAnsi="黑体" w:eastAsia="黑体"/>
          <w:sz w:val="32"/>
        </w:rPr>
        <w:t>一、收入支出决算总体情况说明</w:t>
      </w:r>
    </w:p>
    <w:p w14:paraId="25342EFE">
      <w:pPr>
        <w:spacing w:line="580" w:lineRule="exact"/>
        <w:ind w:firstLine="640"/>
        <w:jc w:val="both"/>
      </w:pPr>
      <w:r>
        <w:rPr>
          <w:rFonts w:ascii="仿宋_GB2312" w:hAnsi="仿宋_GB2312" w:eastAsia="仿宋_GB2312"/>
          <w:b/>
          <w:sz w:val="32"/>
        </w:rPr>
        <w:t>2025年度收入总计24,173.20万元，</w:t>
      </w:r>
      <w:r>
        <w:rPr>
          <w:rFonts w:ascii="仿宋_GB2312" w:hAnsi="仿宋_GB2312" w:eastAsia="仿宋_GB2312"/>
          <w:b w:val="0"/>
          <w:sz w:val="32"/>
        </w:rPr>
        <w:t>其中：本年收入合计23,801.16万元，使用非财政拨款结余（含专用结余）0.00万元，年初结转和结余372.04万元。</w:t>
      </w:r>
    </w:p>
    <w:p w14:paraId="4BF7A6DD">
      <w:pPr>
        <w:spacing w:line="580" w:lineRule="exact"/>
        <w:ind w:firstLine="640"/>
        <w:jc w:val="both"/>
      </w:pPr>
      <w:r>
        <w:rPr>
          <w:rFonts w:ascii="仿宋_GB2312" w:hAnsi="仿宋_GB2312" w:eastAsia="仿宋_GB2312"/>
          <w:b/>
          <w:sz w:val="32"/>
        </w:rPr>
        <w:t>2025年度支出总计24,173.20万元，</w:t>
      </w:r>
      <w:r>
        <w:rPr>
          <w:rFonts w:ascii="仿宋_GB2312" w:hAnsi="仿宋_GB2312" w:eastAsia="仿宋_GB2312"/>
          <w:b w:val="0"/>
          <w:sz w:val="32"/>
        </w:rPr>
        <w:t>其中：本年支出合计21,981.12万元，结余分配1,948.66万元，年末结转和结余243.41万元。</w:t>
      </w:r>
    </w:p>
    <w:p w14:paraId="702AAFCB">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减少26,128.20万元，下降51.94%，主要原因是：2025年减少5个国债基建项目。</w:t>
      </w:r>
    </w:p>
    <w:p w14:paraId="72B4DE18">
      <w:pPr>
        <w:spacing w:line="640" w:lineRule="exact"/>
        <w:ind w:firstLine="640"/>
        <w:jc w:val="both"/>
        <w:outlineLvl w:val="2"/>
      </w:pPr>
      <w:r>
        <w:rPr>
          <w:rFonts w:ascii="黑体" w:hAnsi="黑体" w:eastAsia="黑体"/>
          <w:sz w:val="32"/>
        </w:rPr>
        <w:t>二、收入决算情况说明</w:t>
      </w:r>
    </w:p>
    <w:p w14:paraId="2C70CBC2">
      <w:pPr>
        <w:spacing w:line="580" w:lineRule="exact"/>
        <w:ind w:firstLine="640"/>
        <w:jc w:val="both"/>
      </w:pPr>
      <w:r>
        <w:rPr>
          <w:rFonts w:ascii="仿宋_GB2312" w:hAnsi="仿宋_GB2312" w:eastAsia="仿宋_GB2312"/>
          <w:b/>
          <w:sz w:val="32"/>
        </w:rPr>
        <w:t>本年收入23,801.16万元，</w:t>
      </w:r>
      <w:r>
        <w:rPr>
          <w:rFonts w:ascii="仿宋_GB2312" w:hAnsi="仿宋_GB2312" w:eastAsia="仿宋_GB2312"/>
          <w:b w:val="0"/>
          <w:sz w:val="32"/>
        </w:rPr>
        <w:t>其中：财政拨款收入8,396.69万元，占35.28%；上级补助收入0.00万元，占0.00%；事业收入0.00万元，占0.00%；经营收入14,803.67万元，占62.20%；附属单位上缴收入0.00万元，占0.00%；其他收入600.80万元，占2.52%。</w:t>
      </w:r>
    </w:p>
    <w:p w14:paraId="1BF232C0">
      <w:pPr>
        <w:spacing w:line="640" w:lineRule="exact"/>
        <w:ind w:firstLine="640"/>
        <w:jc w:val="both"/>
        <w:outlineLvl w:val="2"/>
      </w:pPr>
      <w:r>
        <w:rPr>
          <w:rFonts w:ascii="黑体" w:hAnsi="黑体" w:eastAsia="黑体"/>
          <w:sz w:val="32"/>
        </w:rPr>
        <w:t>三、支出决算情况说明</w:t>
      </w:r>
    </w:p>
    <w:p w14:paraId="76DC89D2">
      <w:pPr>
        <w:spacing w:line="580" w:lineRule="exact"/>
        <w:ind w:firstLine="640"/>
        <w:jc w:val="both"/>
      </w:pPr>
      <w:r>
        <w:rPr>
          <w:rFonts w:ascii="仿宋_GB2312" w:hAnsi="仿宋_GB2312" w:eastAsia="仿宋_GB2312"/>
          <w:b/>
          <w:sz w:val="32"/>
        </w:rPr>
        <w:t>本年支出21,981.12万元，</w:t>
      </w:r>
      <w:r>
        <w:rPr>
          <w:rFonts w:ascii="仿宋_GB2312" w:hAnsi="仿宋_GB2312" w:eastAsia="仿宋_GB2312"/>
          <w:b w:val="0"/>
          <w:sz w:val="32"/>
        </w:rPr>
        <w:t>其中：基本支出3,926.29万元，占17.86%；项目支出4,665.39万元，占21.22%；上缴上级支出0.00万元，占0.00%；经营支出13,389.44万元，占60.91%；对附属单位补助支出0.00万元，占0.00%。</w:t>
      </w:r>
    </w:p>
    <w:p w14:paraId="332FB372">
      <w:pPr>
        <w:spacing w:line="640" w:lineRule="exact"/>
        <w:ind w:firstLine="640"/>
        <w:jc w:val="both"/>
        <w:outlineLvl w:val="2"/>
      </w:pPr>
      <w:r>
        <w:rPr>
          <w:rFonts w:ascii="黑体" w:hAnsi="黑体" w:eastAsia="黑体"/>
          <w:sz w:val="32"/>
        </w:rPr>
        <w:t>四、财政拨款收入支出决算总体情况说明</w:t>
      </w:r>
    </w:p>
    <w:p w14:paraId="2B1DF796">
      <w:pPr>
        <w:spacing w:line="580" w:lineRule="exact"/>
        <w:ind w:firstLine="640"/>
        <w:jc w:val="both"/>
      </w:pPr>
      <w:r>
        <w:rPr>
          <w:rFonts w:ascii="仿宋_GB2312" w:hAnsi="仿宋_GB2312" w:eastAsia="仿宋_GB2312"/>
          <w:b/>
          <w:sz w:val="32"/>
        </w:rPr>
        <w:t>2025年度财政拨款收入总计8,768.73万元，</w:t>
      </w:r>
      <w:r>
        <w:rPr>
          <w:rFonts w:ascii="仿宋_GB2312" w:hAnsi="仿宋_GB2312" w:eastAsia="仿宋_GB2312"/>
          <w:b w:val="0"/>
          <w:sz w:val="32"/>
        </w:rPr>
        <w:t>其中：年初财政拨款结转和结余372.04万元，本年财政拨款收入8,396.69万元。</w:t>
      </w:r>
      <w:r>
        <w:rPr>
          <w:rFonts w:ascii="仿宋_GB2312" w:hAnsi="仿宋_GB2312" w:eastAsia="仿宋_GB2312"/>
          <w:b/>
          <w:sz w:val="32"/>
        </w:rPr>
        <w:t>财政拨款支出总计8,768.73万元，</w:t>
      </w:r>
      <w:r>
        <w:rPr>
          <w:rFonts w:ascii="仿宋_GB2312" w:hAnsi="仿宋_GB2312" w:eastAsia="仿宋_GB2312"/>
          <w:b w:val="0"/>
          <w:sz w:val="32"/>
        </w:rPr>
        <w:t>其中：年末财政拨款结转和结余243.41万元，本年财政拨款支出8,525.32万元。</w:t>
      </w:r>
    </w:p>
    <w:p w14:paraId="46E6E74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减少25,607.25万元，下降74.49%，主要原因是：2025年减少5个国债基建项目。</w:t>
      </w:r>
      <w:r>
        <w:rPr>
          <w:rFonts w:ascii="仿宋_GB2312" w:hAnsi="仿宋_GB2312" w:eastAsia="仿宋_GB2312"/>
          <w:b/>
          <w:sz w:val="32"/>
        </w:rPr>
        <w:t>与年初预算相比，</w:t>
      </w:r>
      <w:r>
        <w:rPr>
          <w:rFonts w:ascii="仿宋_GB2312" w:hAnsi="仿宋_GB2312" w:eastAsia="仿宋_GB2312"/>
          <w:b w:val="0"/>
          <w:sz w:val="32"/>
        </w:rPr>
        <w:t>年初预算数3,649.91万元，决算数8,768.73万元，预决算差异率140.25%，主要原因是：年中追加新疆维吾尔自治区叶尔羌河依干其引水枢纽除险加固工程、新疆维吾尔自治区提孜那甫河红卫渠首除险加固工程项目资金。</w:t>
      </w:r>
    </w:p>
    <w:p w14:paraId="71C7C983">
      <w:pPr>
        <w:spacing w:line="640" w:lineRule="exact"/>
        <w:ind w:firstLine="640"/>
        <w:jc w:val="both"/>
        <w:outlineLvl w:val="2"/>
      </w:pPr>
      <w:r>
        <w:rPr>
          <w:rFonts w:ascii="黑体" w:hAnsi="黑体" w:eastAsia="黑体"/>
          <w:sz w:val="32"/>
        </w:rPr>
        <w:t>五、一般公共预算财政拨款支出决算情况说明</w:t>
      </w:r>
    </w:p>
    <w:p w14:paraId="3515F428">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优化支出结构，提高资金使用效率，合理保障事业发展等重点支出，体现在有关支出科目中。</w:t>
      </w:r>
    </w:p>
    <w:p w14:paraId="63A15CAF">
      <w:pPr>
        <w:spacing w:line="580" w:lineRule="exact"/>
        <w:ind w:firstLine="640"/>
        <w:jc w:val="both"/>
      </w:pPr>
      <w:r>
        <w:rPr>
          <w:rFonts w:ascii="仿宋_GB2312" w:hAnsi="仿宋_GB2312" w:eastAsia="仿宋_GB2312"/>
          <w:b w:val="0"/>
          <w:sz w:val="32"/>
        </w:rPr>
        <w:t>按照支出功能分类，农林水支出（类）水利（款）水利工程运行与维护（项）的支出占本年财政拨款支出总额的比重最高，2025年度决算数为3,571.11万元，占比41.89%，主要用于人员工资福利支出及公益性维修养护项目支出。</w:t>
      </w:r>
    </w:p>
    <w:p w14:paraId="10F3146F">
      <w:pPr>
        <w:spacing w:line="640" w:lineRule="exact"/>
        <w:ind w:firstLine="640"/>
        <w:jc w:val="both"/>
        <w:outlineLvl w:val="3"/>
      </w:pPr>
      <w:r>
        <w:rPr>
          <w:rFonts w:ascii="楷体_GB2312" w:hAnsi="楷体_GB2312" w:eastAsia="楷体_GB2312"/>
          <w:b/>
          <w:sz w:val="32"/>
        </w:rPr>
        <w:t>（一）一般公共预算财政拨款支出决算总体情况</w:t>
      </w:r>
    </w:p>
    <w:p w14:paraId="78E82812">
      <w:pPr>
        <w:spacing w:line="580" w:lineRule="exact"/>
        <w:ind w:firstLine="640"/>
        <w:jc w:val="both"/>
      </w:pPr>
      <w:r>
        <w:rPr>
          <w:rFonts w:ascii="仿宋_GB2312" w:hAnsi="仿宋_GB2312" w:eastAsia="仿宋_GB2312"/>
          <w:b/>
          <w:sz w:val="32"/>
        </w:rPr>
        <w:t>2025年度一般公共预算财政拨款支出8,525.32万元，</w:t>
      </w:r>
      <w:r>
        <w:rPr>
          <w:rFonts w:ascii="仿宋_GB2312" w:hAnsi="仿宋_GB2312" w:eastAsia="仿宋_GB2312"/>
          <w:b w:val="0"/>
          <w:sz w:val="32"/>
        </w:rPr>
        <w:t>占本年支出合计的38.78%。</w:t>
      </w:r>
      <w:r>
        <w:rPr>
          <w:rFonts w:ascii="仿宋_GB2312" w:hAnsi="仿宋_GB2312" w:eastAsia="仿宋_GB2312"/>
          <w:b/>
          <w:sz w:val="32"/>
        </w:rPr>
        <w:t>与上年相比，</w:t>
      </w:r>
      <w:r>
        <w:rPr>
          <w:rFonts w:ascii="仿宋_GB2312" w:hAnsi="仿宋_GB2312" w:eastAsia="仿宋_GB2312"/>
          <w:b w:val="0"/>
          <w:sz w:val="32"/>
        </w:rPr>
        <w:t>减少25,478.62万元，下降74.93%，主要原因是：2025年减少5个国债基建项目。</w:t>
      </w:r>
      <w:r>
        <w:rPr>
          <w:rFonts w:ascii="仿宋_GB2312" w:hAnsi="仿宋_GB2312" w:eastAsia="仿宋_GB2312"/>
          <w:b/>
          <w:sz w:val="32"/>
        </w:rPr>
        <w:t>与年初预算相比，</w:t>
      </w:r>
      <w:r>
        <w:rPr>
          <w:rFonts w:ascii="仿宋_GB2312" w:hAnsi="仿宋_GB2312" w:eastAsia="仿宋_GB2312"/>
          <w:b w:val="0"/>
          <w:sz w:val="32"/>
        </w:rPr>
        <w:t>年初预算数3,649.91万元，决算数8,525.32万元，预决算差异率133.58%，主要原因是：年中追加新疆维吾尔自治区叶尔羌河依干其引水枢纽除险加固工程、新疆维吾尔自治区提孜那甫河红卫渠首除险加固工程项目资金。</w:t>
      </w:r>
    </w:p>
    <w:p w14:paraId="65BC7A9E">
      <w:pPr>
        <w:spacing w:line="640" w:lineRule="exact"/>
        <w:ind w:firstLine="640"/>
        <w:jc w:val="both"/>
        <w:outlineLvl w:val="3"/>
      </w:pPr>
      <w:r>
        <w:rPr>
          <w:rFonts w:ascii="楷体_GB2312" w:hAnsi="楷体_GB2312" w:eastAsia="楷体_GB2312"/>
          <w:b/>
          <w:sz w:val="32"/>
        </w:rPr>
        <w:t>（二）一般公共预算财政拨款支出决算结构情况</w:t>
      </w:r>
    </w:p>
    <w:p w14:paraId="60650F7F">
      <w:pPr>
        <w:spacing w:line="580" w:lineRule="exact"/>
        <w:ind w:firstLine="640"/>
        <w:jc w:val="both"/>
      </w:pPr>
      <w:r>
        <w:rPr>
          <w:rFonts w:ascii="仿宋_GB2312" w:hAnsi="仿宋_GB2312" w:eastAsia="仿宋_GB2312"/>
          <w:b w:val="0"/>
          <w:sz w:val="32"/>
        </w:rPr>
        <w:t>1.社会保障和就业支出（类）343.70万元，占4.03%。</w:t>
      </w:r>
    </w:p>
    <w:p w14:paraId="7DF84469">
      <w:pPr>
        <w:spacing w:line="580" w:lineRule="exact"/>
        <w:ind w:firstLine="640"/>
        <w:jc w:val="both"/>
      </w:pPr>
      <w:r>
        <w:rPr>
          <w:rFonts w:ascii="仿宋_GB2312" w:hAnsi="仿宋_GB2312" w:eastAsia="仿宋_GB2312"/>
          <w:b w:val="0"/>
          <w:sz w:val="32"/>
        </w:rPr>
        <w:t>2.卫生健康支出（类）50.70万元，占0.59%。</w:t>
      </w:r>
    </w:p>
    <w:p w14:paraId="4C3AEBB7">
      <w:pPr>
        <w:spacing w:line="580" w:lineRule="exact"/>
        <w:ind w:firstLine="640"/>
        <w:jc w:val="both"/>
      </w:pPr>
      <w:r>
        <w:rPr>
          <w:rFonts w:ascii="仿宋_GB2312" w:hAnsi="仿宋_GB2312" w:eastAsia="仿宋_GB2312"/>
          <w:b w:val="0"/>
          <w:sz w:val="32"/>
        </w:rPr>
        <w:t>3.农林水支出（类）8,065.14万元，占94.60%。</w:t>
      </w:r>
    </w:p>
    <w:p w14:paraId="498E5738">
      <w:pPr>
        <w:spacing w:line="580" w:lineRule="exact"/>
        <w:ind w:firstLine="640"/>
        <w:jc w:val="both"/>
      </w:pPr>
      <w:r>
        <w:rPr>
          <w:rFonts w:ascii="仿宋_GB2312" w:hAnsi="仿宋_GB2312" w:eastAsia="仿宋_GB2312"/>
          <w:b w:val="0"/>
          <w:sz w:val="32"/>
        </w:rPr>
        <w:t>4.住房保障支出（类）65.78万元，占0.77%。</w:t>
      </w:r>
    </w:p>
    <w:p w14:paraId="20D48C22">
      <w:pPr>
        <w:spacing w:line="640" w:lineRule="exact"/>
        <w:ind w:firstLine="640"/>
        <w:jc w:val="both"/>
        <w:outlineLvl w:val="3"/>
      </w:pPr>
      <w:r>
        <w:rPr>
          <w:rFonts w:ascii="楷体_GB2312" w:hAnsi="楷体_GB2312" w:eastAsia="楷体_GB2312"/>
          <w:b/>
          <w:sz w:val="32"/>
        </w:rPr>
        <w:t>（三）一般公共预算财政拨款支出决算具体情况</w:t>
      </w:r>
    </w:p>
    <w:p w14:paraId="1B0D2E46">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1.社会保障和就业支出（类）行政事业单位养老支出（款）事业单位离退休（项）：支出决算数为23.59万元，比上年决算减少3.49万元，下降12.89%，主要原因是：本年退休人员自然减员，退休费支出较上年减少。</w:t>
      </w:r>
    </w:p>
    <w:p w14:paraId="6A24B62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146.12万元，比上年决算增加16.99万元，增长13.16%，主要原因是：本年在职人员增加，养老保险缴费较上年增加。</w:t>
      </w:r>
    </w:p>
    <w:p w14:paraId="388FB65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173.99万元，比上年决算增加164.30万元，增长1,695.56%，主要原因是：本年新增退休人员，职业年金缴费支出增加。</w:t>
      </w:r>
    </w:p>
    <w:p w14:paraId="5781A83D">
      <w:pPr>
        <w:spacing w:line="580" w:lineRule="exact"/>
        <w:ind w:firstLine="640"/>
        <w:jc w:val="both"/>
      </w:pPr>
      <w:r>
        <w:rPr>
          <w:rFonts w:ascii="仿宋_GB2312" w:hAnsi="仿宋_GB2312" w:eastAsia="仿宋_GB2312"/>
          <w:b w:val="0"/>
          <w:sz w:val="32"/>
        </w:rPr>
        <w:t>4.卫生健康支出（类）行政事业单位医疗（款）事业单位医疗（项）：支出决算数为36.16万元，比上年决算增加11.99万元，增长49.61%，主要原因是：本年在职人员增加，事业单位医疗支出较上年增加。</w:t>
      </w:r>
    </w:p>
    <w:p w14:paraId="7334C5AA">
      <w:pPr>
        <w:spacing w:line="580" w:lineRule="exact"/>
        <w:ind w:firstLine="640"/>
        <w:jc w:val="both"/>
      </w:pPr>
      <w:r>
        <w:rPr>
          <w:rFonts w:ascii="仿宋_GB2312" w:hAnsi="仿宋_GB2312" w:eastAsia="仿宋_GB2312"/>
          <w:b w:val="0"/>
          <w:sz w:val="32"/>
        </w:rPr>
        <w:t>5.卫生健康支出（类）行政事业单位医疗（款）公务员医疗补助（项）：支出决算数为14.54万元，比上年决算增加14.54万元，增长100.00%，主要原因是：本年在职人员增加，公务员医疗补助支出较上年增加。</w:t>
      </w:r>
    </w:p>
    <w:p w14:paraId="35046992">
      <w:pPr>
        <w:spacing w:line="580" w:lineRule="exact"/>
        <w:ind w:firstLine="640"/>
        <w:jc w:val="both"/>
      </w:pPr>
      <w:r>
        <w:rPr>
          <w:rFonts w:ascii="仿宋_GB2312" w:hAnsi="仿宋_GB2312" w:eastAsia="仿宋_GB2312"/>
          <w:b w:val="0"/>
          <w:sz w:val="32"/>
        </w:rPr>
        <w:t>6.农林水支出（类）水利（款）水利工程建设（项）：支出决算数为3,494.03万元，比上年决算增加2,538.38万元，增长265.62%，主要原因是：2025年增加西岸第一管理站标准化项目。</w:t>
      </w:r>
    </w:p>
    <w:p w14:paraId="14BE0D34">
      <w:pPr>
        <w:spacing w:line="580" w:lineRule="exact"/>
        <w:ind w:firstLine="640"/>
        <w:jc w:val="both"/>
      </w:pPr>
      <w:r>
        <w:rPr>
          <w:rFonts w:ascii="仿宋_GB2312" w:hAnsi="仿宋_GB2312" w:eastAsia="仿宋_GB2312"/>
          <w:b w:val="0"/>
          <w:sz w:val="32"/>
        </w:rPr>
        <w:t>7.农林水支出（类）水利（款）水利工程运行与维护（项）：支出决算数为3,571.11万元，比上年决算减少29,223.08万元，下降89.11%，主要原因是：2025年减少5个国债基建项目。</w:t>
      </w:r>
    </w:p>
    <w:p w14:paraId="31D81561">
      <w:pPr>
        <w:spacing w:line="580" w:lineRule="exact"/>
        <w:ind w:firstLine="640"/>
        <w:jc w:val="both"/>
      </w:pPr>
      <w:r>
        <w:rPr>
          <w:rFonts w:ascii="仿宋_GB2312" w:hAnsi="仿宋_GB2312" w:eastAsia="仿宋_GB2312"/>
          <w:b w:val="0"/>
          <w:sz w:val="32"/>
        </w:rPr>
        <w:t>8.农林水支出（类）水利（款）水利前期工作（项）：支出决算数为1,000.00万元，比上年决算增加1,000.00万元，增长100.00%，主要原因是：2025年增加叶尔羌河灌区续建配套与现代化改造项目前期设计费。</w:t>
      </w:r>
    </w:p>
    <w:p w14:paraId="70405172">
      <w:pPr>
        <w:spacing w:line="580" w:lineRule="exact"/>
        <w:ind w:firstLine="640"/>
        <w:jc w:val="both"/>
      </w:pPr>
      <w:r>
        <w:rPr>
          <w:rFonts w:ascii="仿宋_GB2312" w:hAnsi="仿宋_GB2312" w:eastAsia="仿宋_GB2312"/>
          <w:b w:val="0"/>
          <w:sz w:val="32"/>
        </w:rPr>
        <w:t>9.农林水支出（类）水利（款）水资源节约管理与保护（项）：支出决算数为0.00万元，比上年决算减少7.00万元，下降100.00%，主要原因是：2025年减少新疆骨干人才研修经费。</w:t>
      </w:r>
    </w:p>
    <w:p w14:paraId="3AA903ED">
      <w:pPr>
        <w:spacing w:line="580" w:lineRule="exact"/>
        <w:ind w:firstLine="640"/>
        <w:jc w:val="both"/>
      </w:pPr>
      <w:r>
        <w:rPr>
          <w:rFonts w:ascii="仿宋_GB2312" w:hAnsi="仿宋_GB2312" w:eastAsia="仿宋_GB2312"/>
          <w:b w:val="0"/>
          <w:sz w:val="32"/>
        </w:rPr>
        <w:t>10.农林水支出（类）水利（款）江河湖库水系综合整治（项）：支出决算数为0.00万元，比上年决算减少4.00万元，下降100.00%，主要原因是：2025年减少江河湖库水系综合整治支出，未安排该项预算支出。</w:t>
      </w:r>
    </w:p>
    <w:p w14:paraId="3BB5D51B">
      <w:pPr>
        <w:spacing w:line="580" w:lineRule="exact"/>
        <w:ind w:firstLine="640"/>
        <w:jc w:val="both"/>
      </w:pPr>
      <w:r>
        <w:rPr>
          <w:rFonts w:ascii="仿宋_GB2312" w:hAnsi="仿宋_GB2312" w:eastAsia="仿宋_GB2312"/>
          <w:b w:val="0"/>
          <w:sz w:val="32"/>
        </w:rPr>
        <w:t>11.住房保障支出（类）住房改革支出（款）住房公积金（项）：支出决算数为65.78万元，比上年决算增加12.74万元，增长24.02%，主要原因是：本年在职人员增加，住房公积金支出较上年增加。</w:t>
      </w:r>
    </w:p>
    <w:p w14:paraId="03E126C5">
      <w:pPr>
        <w:spacing w:line="640" w:lineRule="exact"/>
        <w:ind w:firstLine="640"/>
        <w:jc w:val="both"/>
        <w:outlineLvl w:val="2"/>
      </w:pPr>
      <w:r>
        <w:rPr>
          <w:rFonts w:ascii="黑体" w:hAnsi="黑体" w:eastAsia="黑体"/>
          <w:sz w:val="32"/>
        </w:rPr>
        <w:t>六、一般公共预算财政拨款基本支出决算情况说明</w:t>
      </w:r>
    </w:p>
    <w:p w14:paraId="5D7EAB11">
      <w:pPr>
        <w:spacing w:line="580" w:lineRule="exact"/>
        <w:ind w:firstLine="640"/>
        <w:jc w:val="both"/>
      </w:pPr>
      <w:r>
        <w:rPr>
          <w:rFonts w:ascii="仿宋_GB2312" w:hAnsi="仿宋_GB2312" w:eastAsia="仿宋_GB2312"/>
          <w:b w:val="0"/>
          <w:sz w:val="32"/>
        </w:rPr>
        <w:t>2025年度一般公共预算财政拨款基本支出3,926.29万元，其中：</w:t>
      </w:r>
      <w:r>
        <w:rPr>
          <w:rFonts w:ascii="仿宋_GB2312" w:hAnsi="仿宋_GB2312" w:eastAsia="仿宋_GB2312"/>
          <w:b/>
          <w:sz w:val="32"/>
        </w:rPr>
        <w:t>人员经费3,845.86万元，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w:t>
      </w:r>
    </w:p>
    <w:p w14:paraId="3574EB7E">
      <w:pPr>
        <w:spacing w:line="580" w:lineRule="exact"/>
        <w:ind w:firstLine="640"/>
        <w:jc w:val="both"/>
      </w:pPr>
      <w:r>
        <w:rPr>
          <w:rFonts w:ascii="仿宋_GB2312" w:hAnsi="仿宋_GB2312" w:eastAsia="仿宋_GB2312"/>
          <w:b/>
          <w:sz w:val="32"/>
        </w:rPr>
        <w:t>公用经费80.43万元，</w:t>
      </w:r>
      <w:r>
        <w:rPr>
          <w:rFonts w:ascii="仿宋_GB2312" w:hAnsi="仿宋_GB2312" w:eastAsia="仿宋_GB2312"/>
          <w:b w:val="0"/>
          <w:sz w:val="32"/>
        </w:rPr>
        <w:t>包括：办公费、电费、差旅费。</w:t>
      </w:r>
    </w:p>
    <w:p w14:paraId="40C22E1C">
      <w:pPr>
        <w:spacing w:line="640" w:lineRule="exact"/>
        <w:ind w:firstLine="640"/>
        <w:jc w:val="both"/>
        <w:outlineLvl w:val="2"/>
      </w:pPr>
      <w:r>
        <w:rPr>
          <w:rFonts w:ascii="黑体" w:hAnsi="黑体" w:eastAsia="黑体"/>
          <w:sz w:val="32"/>
        </w:rPr>
        <w:t>七、政府性基金预算财政拨款收入支出决算情况说明</w:t>
      </w:r>
    </w:p>
    <w:p w14:paraId="14ECEE5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B4C379E">
      <w:pPr>
        <w:spacing w:line="640" w:lineRule="exact"/>
        <w:ind w:firstLine="640"/>
        <w:jc w:val="both"/>
        <w:outlineLvl w:val="2"/>
      </w:pPr>
      <w:r>
        <w:rPr>
          <w:rFonts w:ascii="黑体" w:hAnsi="黑体" w:eastAsia="黑体"/>
          <w:sz w:val="32"/>
        </w:rPr>
        <w:t>八、国有资本经营预算财政拨款收入支出决算情况说明</w:t>
      </w:r>
    </w:p>
    <w:p w14:paraId="2E09602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04D3AFC">
      <w:pPr>
        <w:spacing w:line="640" w:lineRule="exact"/>
        <w:ind w:firstLine="640"/>
        <w:jc w:val="both"/>
        <w:outlineLvl w:val="2"/>
      </w:pPr>
      <w:r>
        <w:rPr>
          <w:rFonts w:ascii="黑体" w:hAnsi="黑体" w:eastAsia="黑体"/>
          <w:sz w:val="32"/>
        </w:rPr>
        <w:t>九、财政拨款“三公”经费支出决算情况说明</w:t>
      </w:r>
    </w:p>
    <w:p w14:paraId="4DC3E1F4">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25E9771E">
      <w:pPr>
        <w:spacing w:line="580" w:lineRule="exact"/>
        <w:ind w:firstLine="640"/>
        <w:jc w:val="both"/>
      </w:pPr>
      <w:r>
        <w:rPr>
          <w:rFonts w:ascii="仿宋_GB2312" w:hAnsi="仿宋_GB2312" w:eastAsia="仿宋_GB2312"/>
          <w:b/>
          <w:sz w:val="32"/>
        </w:rPr>
        <w:t>具体情况如下：</w:t>
      </w:r>
    </w:p>
    <w:p w14:paraId="51821C47">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320488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43辆，与公务用车保有量差异原因是：差异车辆为单位业务用车，车辆费用未使用财政拨款公务用车运行维护费支付，由自有资金保障。</w:t>
      </w:r>
    </w:p>
    <w:p w14:paraId="39AB941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14D118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4EB0140">
      <w:pPr>
        <w:spacing w:line="640" w:lineRule="exact"/>
        <w:ind w:firstLine="640"/>
        <w:jc w:val="both"/>
        <w:outlineLvl w:val="2"/>
      </w:pPr>
      <w:r>
        <w:rPr>
          <w:rFonts w:ascii="黑体" w:hAnsi="黑体" w:eastAsia="黑体"/>
          <w:sz w:val="32"/>
        </w:rPr>
        <w:t>十、其他重要事项的情况说明</w:t>
      </w:r>
    </w:p>
    <w:p w14:paraId="27FF3A57">
      <w:pPr>
        <w:spacing w:line="640" w:lineRule="exact"/>
        <w:ind w:firstLine="640"/>
        <w:jc w:val="both"/>
        <w:outlineLvl w:val="3"/>
      </w:pPr>
      <w:r>
        <w:rPr>
          <w:rFonts w:ascii="楷体_GB2312" w:hAnsi="楷体_GB2312" w:eastAsia="楷体_GB2312"/>
          <w:b/>
          <w:sz w:val="32"/>
        </w:rPr>
        <w:t>（一）机关运行经费及公用经费支出情况</w:t>
      </w:r>
    </w:p>
    <w:p w14:paraId="683F24AF">
      <w:pPr>
        <w:spacing w:line="580" w:lineRule="exact"/>
        <w:ind w:firstLine="640"/>
        <w:jc w:val="both"/>
      </w:pPr>
      <w:r>
        <w:rPr>
          <w:rFonts w:ascii="仿宋_GB2312" w:hAnsi="仿宋_GB2312" w:eastAsia="仿宋_GB2312"/>
          <w:b w:val="0"/>
          <w:sz w:val="32"/>
        </w:rPr>
        <w:t>2025年度新疆维吾尔自治区塔里木河流域叶尔羌河水利管理中心（事业单位）公用经费支出80.43万元，比上年增加0.00万元，增长0.00%，主要原因是：本单位公用经费支出与上年一致无变化。</w:t>
      </w:r>
    </w:p>
    <w:p w14:paraId="6851A004">
      <w:pPr>
        <w:spacing w:line="640" w:lineRule="exact"/>
        <w:ind w:firstLine="640"/>
        <w:jc w:val="both"/>
        <w:outlineLvl w:val="3"/>
      </w:pPr>
      <w:r>
        <w:rPr>
          <w:rFonts w:ascii="楷体_GB2312" w:hAnsi="楷体_GB2312" w:eastAsia="楷体_GB2312"/>
          <w:b/>
          <w:sz w:val="32"/>
        </w:rPr>
        <w:t>（二）政府采购情况</w:t>
      </w:r>
    </w:p>
    <w:p w14:paraId="41BE5BD8">
      <w:pPr>
        <w:spacing w:line="580" w:lineRule="exact"/>
        <w:ind w:firstLine="640"/>
        <w:jc w:val="both"/>
      </w:pPr>
      <w:r>
        <w:rPr>
          <w:rFonts w:ascii="仿宋_GB2312" w:hAnsi="仿宋_GB2312" w:eastAsia="仿宋_GB2312"/>
          <w:b w:val="0"/>
          <w:sz w:val="32"/>
        </w:rPr>
        <w:t>2025年度政府采购支出总额9,229.75万元，其中：政府采购货物支出597.72万元、政府采购工程支出6,628.27万元、政府采购服务支出2,003.76万元。</w:t>
      </w:r>
    </w:p>
    <w:p w14:paraId="5C5E7EF7">
      <w:pPr>
        <w:spacing w:line="580" w:lineRule="exact"/>
        <w:ind w:firstLine="640"/>
        <w:jc w:val="both"/>
      </w:pPr>
      <w:r>
        <w:rPr>
          <w:rFonts w:ascii="仿宋_GB2312" w:hAnsi="仿宋_GB2312" w:eastAsia="仿宋_GB2312"/>
          <w:b w:val="0"/>
          <w:sz w:val="32"/>
        </w:rPr>
        <w:t>授予中小企业合同金额9,229.75万元，占政府采购支出总额的100.00%，其中：授予小微企业合同金额8,523.47万元，占政府采购支出总额的92.35%。</w:t>
      </w:r>
    </w:p>
    <w:p w14:paraId="50C14C4E">
      <w:pPr>
        <w:spacing w:line="640" w:lineRule="exact"/>
        <w:ind w:firstLine="640"/>
        <w:jc w:val="both"/>
        <w:outlineLvl w:val="3"/>
      </w:pPr>
      <w:r>
        <w:rPr>
          <w:rFonts w:ascii="楷体_GB2312" w:hAnsi="楷体_GB2312" w:eastAsia="楷体_GB2312"/>
          <w:b/>
          <w:sz w:val="32"/>
        </w:rPr>
        <w:t>（三）国有资产占用情况说明</w:t>
      </w:r>
    </w:p>
    <w:p w14:paraId="690C4C35">
      <w:pPr>
        <w:spacing w:line="580" w:lineRule="exact"/>
        <w:ind w:firstLine="640"/>
        <w:jc w:val="both"/>
      </w:pPr>
      <w:r>
        <w:rPr>
          <w:rFonts w:ascii="仿宋_GB2312" w:hAnsi="仿宋_GB2312" w:eastAsia="仿宋_GB2312"/>
          <w:b w:val="0"/>
          <w:sz w:val="32"/>
        </w:rPr>
        <w:t>截至2025年12月31日，房屋57,409.24平方米，价值5,698.71万元。车辆43辆，价值1,151.36万元，其中：副部（省）级及以上领导用车0辆、主要负责人用车0辆、机要通信用车0辆、应急保障用车0辆、执法执勤用车0辆、特种专业技术用车10辆、离退休干部服务用车0辆、其他用车33辆，其他用车主要是：单位业务用车。单价100万元（含）以上设备（不含车辆）9台（套）。</w:t>
      </w:r>
    </w:p>
    <w:p w14:paraId="2F3F0DBC">
      <w:pPr>
        <w:spacing w:line="640" w:lineRule="exact"/>
        <w:ind w:firstLine="640"/>
        <w:jc w:val="both"/>
        <w:outlineLvl w:val="2"/>
      </w:pPr>
      <w:r>
        <w:rPr>
          <w:rFonts w:ascii="黑体" w:hAnsi="黑体" w:eastAsia="黑体"/>
          <w:sz w:val="32"/>
        </w:rPr>
        <w:t>十一、预算绩效的情况说明</w:t>
      </w:r>
    </w:p>
    <w:p w14:paraId="2CA1F561">
      <w:pPr>
        <w:spacing w:line="580" w:lineRule="exact"/>
        <w:ind w:firstLine="640"/>
        <w:jc w:val="both"/>
      </w:pPr>
      <w:r>
        <w:rPr>
          <w:rFonts w:ascii="仿宋_GB2312" w:hAnsi="仿宋_GB2312" w:eastAsia="仿宋_GB2312"/>
          <w:b w:val="0"/>
          <w:sz w:val="32"/>
        </w:rPr>
        <w:t>根据预算绩效管理要求，本单位预算绩效评价项目2个，全年预算数11,555.88万元，全年执行数11,555.88万元。预算绩效管理取得的成效：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w:t>
      </w:r>
      <w:bookmarkStart w:id="0" w:name="_GoBack"/>
      <w:bookmarkEnd w:id="0"/>
      <w:r>
        <w:rPr>
          <w:rFonts w:ascii="仿宋_GB2312" w:hAnsi="仿宋_GB2312" w:eastAsia="仿宋_GB2312"/>
          <w:b w:val="0"/>
          <w:sz w:val="32"/>
        </w:rPr>
        <w:t>产出成果上，项目产出数量满足计划要求，质量符合相关标准规范，产出时效与成本控制均达到预期目标</w:t>
      </w:r>
      <w:r>
        <w:rPr>
          <w:rFonts w:hint="eastAsia" w:ascii="仿宋_GB2312" w:hAnsi="仿宋_GB2312" w:eastAsia="仿宋_GB2312"/>
          <w:b w:val="0"/>
          <w:sz w:val="32"/>
          <w:lang w:eastAsia="zh-CN"/>
        </w:rPr>
        <w:t>，在</w:t>
      </w:r>
      <w:r>
        <w:rPr>
          <w:rFonts w:ascii="仿宋_GB2312" w:hAnsi="仿宋_GB2312" w:eastAsia="仿宋_GB2312"/>
          <w:b w:val="0"/>
          <w:sz w:val="32"/>
        </w:rPr>
        <w:t>综合效益方面，项目在经济效益上发挥了积极作用，具体效益表现，如：设备正常运转率方面的提升，为项目的利益相关者带来了实在的利益。整体实现了项目预期的实施价值。发现的问题及原因：一是相关绩效管理方面专业知识的系统性学习有待加强；二是各项指标的设置要进一步优化、完善，在细化、量化上改进；三是绩效自评过程中，部分人员缺乏相关绩效管理专业知识，自评价工作还存在自我审定的局限性，影响评价质量。下一步改进措施：一是增加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进一步规范项目建设的程序，严格执行资金管理办法和财政资金管理制度，按照项目实施计划、招投标管理办法等稳步推进工作，加强对绩效管理工作的组织领导，提高对预算绩效管理工作重要性的认识；三是总结经验查找问题，抓紧研究制定更全面更完善的绩效评价管理办法。具体附项目支出绩效自评表、项目支出绩效评价报告。</w:t>
      </w:r>
    </w:p>
    <w:p w14:paraId="5AA7E48E">
      <w:r>
        <w:br w:type="page"/>
      </w:r>
    </w:p>
    <w:p w14:paraId="23C7F7CF">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598"/>
        <w:gridCol w:w="598"/>
        <w:gridCol w:w="598"/>
        <w:gridCol w:w="598"/>
        <w:gridCol w:w="598"/>
        <w:gridCol w:w="598"/>
        <w:gridCol w:w="598"/>
        <w:gridCol w:w="598"/>
        <w:gridCol w:w="598"/>
        <w:gridCol w:w="598"/>
        <w:gridCol w:w="598"/>
        <w:gridCol w:w="598"/>
        <w:gridCol w:w="598"/>
        <w:gridCol w:w="598"/>
      </w:tblGrid>
      <w:tr w14:paraId="545154B1">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903C80F">
            <w:pPr>
              <w:spacing w:before="0" w:after="0" w:line="240" w:lineRule="auto"/>
              <w:jc w:val="center"/>
            </w:pPr>
            <w:r>
              <w:rPr>
                <w:rFonts w:ascii="宋体" w:hAnsi="宋体" w:eastAsia="宋体"/>
                <w:b/>
                <w:i w:val="0"/>
                <w:sz w:val="32"/>
              </w:rPr>
              <w:t>项目支出绩效自评表</w:t>
            </w:r>
          </w:p>
        </w:tc>
      </w:tr>
      <w:tr w14:paraId="79CE4C23">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F9F9AA1">
            <w:pPr>
              <w:spacing w:before="0" w:after="0" w:line="240" w:lineRule="auto"/>
              <w:jc w:val="center"/>
            </w:pPr>
            <w:r>
              <w:rPr>
                <w:rFonts w:ascii="宋体" w:hAnsi="宋体" w:eastAsia="宋体"/>
                <w:b w:val="0"/>
                <w:i w:val="0"/>
                <w:sz w:val="22"/>
              </w:rPr>
              <w:t>(2025年度)</w:t>
            </w:r>
          </w:p>
        </w:tc>
      </w:tr>
      <w:tr w14:paraId="33176451">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E90C6">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1140940">
            <w:pPr>
              <w:spacing w:before="0" w:after="0" w:line="240" w:lineRule="auto"/>
              <w:jc w:val="center"/>
            </w:pPr>
            <w:r>
              <w:rPr>
                <w:rFonts w:ascii="宋体" w:hAnsi="宋体" w:eastAsia="宋体"/>
                <w:b w:val="0"/>
                <w:i w:val="0"/>
                <w:sz w:val="18"/>
              </w:rPr>
              <w:t>经营成本性项目</w:t>
            </w:r>
          </w:p>
        </w:tc>
      </w:tr>
      <w:tr w14:paraId="1FFC8F18">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D2DD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AF78CF">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A9C88">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D668C2">
            <w:pPr>
              <w:spacing w:before="0" w:after="0" w:line="240" w:lineRule="auto"/>
              <w:jc w:val="center"/>
            </w:pPr>
            <w:r>
              <w:rPr>
                <w:rFonts w:ascii="宋体" w:hAnsi="宋体" w:eastAsia="宋体"/>
                <w:b w:val="0"/>
                <w:i w:val="0"/>
                <w:sz w:val="18"/>
              </w:rPr>
              <w:t>新疆维吾尔自治区塔里木河流域叶尔羌河水利管理中心</w:t>
            </w:r>
          </w:p>
        </w:tc>
      </w:tr>
      <w:tr w14:paraId="523A61DE">
        <w:tblPrEx>
          <w:tblCellMar>
            <w:top w:w="36" w:type="dxa"/>
            <w:left w:w="36" w:type="dxa"/>
            <w:bottom w:w="36" w:type="dxa"/>
            <w:right w:w="36" w:type="dxa"/>
          </w:tblCellMar>
        </w:tblPrEx>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99F8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8516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44E0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F1FA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E11B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9B65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D09C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2417A">
            <w:pPr>
              <w:spacing w:before="0" w:after="0" w:line="240" w:lineRule="auto"/>
              <w:jc w:val="center"/>
            </w:pPr>
            <w:r>
              <w:rPr>
                <w:rFonts w:ascii="宋体" w:hAnsi="宋体" w:eastAsia="宋体"/>
                <w:b/>
                <w:i w:val="0"/>
                <w:sz w:val="18"/>
              </w:rPr>
              <w:t>得分</w:t>
            </w:r>
          </w:p>
        </w:tc>
      </w:tr>
      <w:tr w14:paraId="2953A2FF">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828920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F77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0D921">
            <w:pPr>
              <w:spacing w:before="0" w:after="0" w:line="240" w:lineRule="auto"/>
              <w:jc w:val="center"/>
            </w:pPr>
            <w:r>
              <w:rPr>
                <w:rFonts w:ascii="宋体" w:hAnsi="宋体" w:eastAsia="宋体"/>
                <w:b w:val="0"/>
                <w:i w:val="0"/>
                <w:sz w:val="18"/>
              </w:rPr>
              <w:t>15727.84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8F17D">
            <w:pPr>
              <w:spacing w:before="0" w:after="0" w:line="240" w:lineRule="auto"/>
              <w:jc w:val="center"/>
            </w:pPr>
            <w:r>
              <w:rPr>
                <w:rFonts w:ascii="宋体" w:hAnsi="宋体" w:eastAsia="宋体"/>
                <w:b w:val="0"/>
                <w:i w:val="0"/>
                <w:sz w:val="18"/>
              </w:rPr>
              <w:t>11455.88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82B1D">
            <w:pPr>
              <w:spacing w:before="0" w:after="0" w:line="240" w:lineRule="auto"/>
              <w:jc w:val="center"/>
            </w:pPr>
            <w:r>
              <w:rPr>
                <w:rFonts w:ascii="宋体" w:hAnsi="宋体" w:eastAsia="宋体"/>
                <w:b w:val="0"/>
                <w:i w:val="0"/>
                <w:sz w:val="18"/>
              </w:rPr>
              <w:t>11455.88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E780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D7BB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DD720F">
            <w:pPr>
              <w:spacing w:before="0" w:after="0" w:line="240" w:lineRule="auto"/>
              <w:jc w:val="center"/>
            </w:pPr>
            <w:r>
              <w:rPr>
                <w:rFonts w:ascii="宋体" w:hAnsi="宋体" w:eastAsia="宋体"/>
                <w:b w:val="0"/>
                <w:i w:val="0"/>
                <w:sz w:val="18"/>
              </w:rPr>
              <w:t>10.00</w:t>
            </w:r>
          </w:p>
        </w:tc>
      </w:tr>
      <w:tr w14:paraId="2B7B7C5B">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1050C9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323F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A357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F543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AD12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4C40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53AC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1CDDD">
            <w:pPr>
              <w:spacing w:before="0" w:after="0" w:line="240" w:lineRule="auto"/>
              <w:jc w:val="center"/>
            </w:pPr>
            <w:r>
              <w:rPr>
                <w:rFonts w:ascii="宋体" w:hAnsi="宋体" w:eastAsia="宋体"/>
                <w:b w:val="0"/>
                <w:i w:val="0"/>
                <w:sz w:val="18"/>
              </w:rPr>
              <w:t>—</w:t>
            </w:r>
          </w:p>
        </w:tc>
      </w:tr>
      <w:tr w14:paraId="7D23F659">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45009B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92F1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8B4F50">
            <w:pPr>
              <w:spacing w:before="0" w:after="0" w:line="240" w:lineRule="auto"/>
              <w:jc w:val="center"/>
            </w:pPr>
            <w:r>
              <w:rPr>
                <w:rFonts w:ascii="宋体" w:hAnsi="宋体" w:eastAsia="宋体"/>
                <w:b w:val="0"/>
                <w:i w:val="0"/>
                <w:sz w:val="18"/>
              </w:rPr>
              <w:t>15727.84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1936A">
            <w:pPr>
              <w:spacing w:before="0" w:after="0" w:line="240" w:lineRule="auto"/>
              <w:jc w:val="center"/>
            </w:pPr>
            <w:r>
              <w:rPr>
                <w:rFonts w:ascii="宋体" w:hAnsi="宋体" w:eastAsia="宋体"/>
                <w:b w:val="0"/>
                <w:i w:val="0"/>
                <w:sz w:val="18"/>
              </w:rPr>
              <w:t>11455.88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3FBD2">
            <w:pPr>
              <w:spacing w:before="0" w:after="0" w:line="240" w:lineRule="auto"/>
              <w:jc w:val="center"/>
            </w:pPr>
            <w:r>
              <w:rPr>
                <w:rFonts w:ascii="宋体" w:hAnsi="宋体" w:eastAsia="宋体"/>
                <w:b w:val="0"/>
                <w:i w:val="0"/>
                <w:sz w:val="18"/>
              </w:rPr>
              <w:t>11455.88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2293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2754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1BE88">
            <w:pPr>
              <w:spacing w:before="0" w:after="0" w:line="240" w:lineRule="auto"/>
              <w:jc w:val="center"/>
            </w:pPr>
            <w:r>
              <w:rPr>
                <w:rFonts w:ascii="宋体" w:hAnsi="宋体" w:eastAsia="宋体"/>
                <w:b w:val="0"/>
                <w:i w:val="0"/>
                <w:sz w:val="18"/>
              </w:rPr>
              <w:t>—</w:t>
            </w:r>
          </w:p>
        </w:tc>
      </w:tr>
      <w:tr w14:paraId="5254BCE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BCB9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1BA04B">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8DF2B">
            <w:pPr>
              <w:spacing w:before="0" w:after="0" w:line="240" w:lineRule="auto"/>
              <w:jc w:val="center"/>
            </w:pPr>
            <w:r>
              <w:rPr>
                <w:rFonts w:ascii="宋体" w:hAnsi="宋体" w:eastAsia="宋体"/>
                <w:b/>
                <w:i w:val="0"/>
                <w:sz w:val="18"/>
              </w:rPr>
              <w:t>实际完成情况</w:t>
            </w:r>
          </w:p>
        </w:tc>
      </w:tr>
      <w:tr w14:paraId="2626435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AF788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5A54E7">
            <w:pPr>
              <w:spacing w:before="0" w:after="0" w:line="240" w:lineRule="auto"/>
              <w:jc w:val="center"/>
            </w:pPr>
            <w:r>
              <w:rPr>
                <w:rFonts w:ascii="宋体" w:hAnsi="宋体" w:eastAsia="宋体"/>
                <w:b w:val="0"/>
                <w:i w:val="0"/>
                <w:sz w:val="18"/>
              </w:rPr>
              <w:t>深入贯彻落实党的二十大精神，完整、准确、全面贯彻落实新时代党的治疆方略，深入贯彻落实</w:t>
            </w:r>
            <w:r>
              <w:rPr>
                <w:rFonts w:hint="eastAsia" w:ascii="宋体" w:hAnsi="宋体"/>
                <w:b w:val="0"/>
                <w:i w:val="0"/>
                <w:sz w:val="18"/>
                <w:lang w:eastAsia="zh-CN"/>
              </w:rPr>
              <w:t>习近平总书记</w:t>
            </w:r>
            <w:r>
              <w:rPr>
                <w:rFonts w:ascii="宋体" w:hAnsi="宋体" w:eastAsia="宋体"/>
                <w:b w:val="0"/>
                <w:i w:val="0"/>
                <w:sz w:val="18"/>
              </w:rPr>
              <w:t>关于治水重要讲话指示批示精神，积极践行“节水优先、空间均衡、系统治理、两手发力”治水思路，统筹推进水灾害防治、水资源节约、水生态保护修复、水环境治理。发放2025年单位在职及退休人员的工资、缴纳社保等，计划全年发放工资 12 次，工资发放及时率 95%以上，保证549人的收入稳定。围绕水资源节约集约利用，规范取用水行为，加强对叶尔羌河流域的保护，顺利完成叶尔羌河流域2025年水资源管理、水资源费征收、河道管理、水政监察、水事纠纷调处、水利工程维修养护等工作任务。保障叶尔羌河流域正常供水需求，保证渠道全年供水安全，满足流域内农业灌溉以及水利工程安全度汛，工程安全运行，通过水利工程项目的建设逐步实施标准化建设。</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2F0B8">
            <w:pPr>
              <w:spacing w:before="0" w:after="0" w:line="240" w:lineRule="auto"/>
              <w:jc w:val="center"/>
            </w:pPr>
            <w:r>
              <w:rPr>
                <w:rFonts w:ascii="宋体" w:hAnsi="宋体" w:eastAsia="宋体"/>
                <w:b w:val="0"/>
                <w:i w:val="0"/>
                <w:sz w:val="18"/>
              </w:rPr>
              <w:t>2025年度，项目共完成水利工程维修养护项目2项，实际发放工资人数316人，发放工资12次，工程质保金支付6笔。所有维修养护工程验收合格率、工资发放及时率均达100%。灌区用水保证率保持在98%以上，灌区用户满意度达到95%，圆满完成了年度各项既定目标任务。</w:t>
            </w:r>
          </w:p>
        </w:tc>
      </w:tr>
      <w:tr w14:paraId="5035692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AD84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2BD5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A53C5">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A4F48">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1452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065A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2A4A6">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6CCB9">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EEB2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A2C9D">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BC289">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AB39E">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3D5F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364FB">
            <w:pPr>
              <w:spacing w:before="0" w:after="0" w:line="240" w:lineRule="auto"/>
              <w:jc w:val="center"/>
            </w:pPr>
            <w:r>
              <w:rPr>
                <w:rFonts w:ascii="宋体" w:hAnsi="宋体" w:eastAsia="宋体"/>
                <w:b/>
                <w:i w:val="0"/>
                <w:sz w:val="18"/>
              </w:rPr>
              <w:t>偏差原因分析及改进措施</w:t>
            </w:r>
          </w:p>
        </w:tc>
      </w:tr>
      <w:tr w14:paraId="21D6EEF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E05BB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6C3E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0E99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FB37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D0DF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8E2F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ED85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949D0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8065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8C99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DF8F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6C36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CD98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C71369"/>
        </w:tc>
      </w:tr>
      <w:tr w14:paraId="2CD33D3C">
        <w:tblPrEx>
          <w:tblCellMar>
            <w:top w:w="36" w:type="dxa"/>
            <w:left w:w="36" w:type="dxa"/>
            <w:bottom w:w="36" w:type="dxa"/>
            <w:right w:w="36" w:type="dxa"/>
          </w:tblCellMar>
        </w:tblPrEx>
        <w:trPr>
          <w:trHeight w:val="45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EE8FE">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B02FB">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D0BF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6704E">
            <w:pPr>
              <w:spacing w:before="0" w:after="0" w:line="240" w:lineRule="auto"/>
              <w:jc w:val="center"/>
            </w:pPr>
            <w:r>
              <w:rPr>
                <w:rFonts w:ascii="宋体" w:hAnsi="宋体" w:eastAsia="宋体"/>
                <w:b w:val="0"/>
                <w:i w:val="0"/>
                <w:color w:val="000000"/>
                <w:sz w:val="18"/>
              </w:rPr>
              <w:t>水利工程维修养护</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3C352">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A4DBA">
            <w:pPr>
              <w:spacing w:before="0" w:after="0" w:line="240" w:lineRule="auto"/>
              <w:jc w:val="center"/>
            </w:pPr>
            <w:r>
              <w:rPr>
                <w:rFonts w:ascii="宋体" w:hAnsi="宋体" w:eastAsia="宋体"/>
                <w:b w:val="0"/>
                <w:i w:val="0"/>
                <w:sz w:val="18"/>
              </w:rPr>
              <w:t>&gt;=2项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9FD4F">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720A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CA6D0">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8D3E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4489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C2F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7FCC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D13EBD">
            <w:pPr>
              <w:spacing w:before="0" w:after="0" w:line="240" w:lineRule="auto"/>
              <w:jc w:val="center"/>
            </w:pPr>
          </w:p>
        </w:tc>
      </w:tr>
      <w:tr w14:paraId="4542AF50">
        <w:tblPrEx>
          <w:tblCellMar>
            <w:top w:w="36" w:type="dxa"/>
            <w:left w:w="36" w:type="dxa"/>
            <w:bottom w:w="36" w:type="dxa"/>
            <w:right w:w="36" w:type="dxa"/>
          </w:tblCellMar>
        </w:tblPrEx>
        <w:trPr>
          <w:trHeight w:val="45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2BC7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F98DD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C936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CBE64">
            <w:pPr>
              <w:spacing w:before="0" w:after="0" w:line="240" w:lineRule="auto"/>
              <w:jc w:val="center"/>
            </w:pPr>
            <w:r>
              <w:rPr>
                <w:rFonts w:ascii="宋体" w:hAnsi="宋体" w:eastAsia="宋体"/>
                <w:b w:val="0"/>
                <w:i w:val="0"/>
                <w:color w:val="000000"/>
                <w:sz w:val="18"/>
              </w:rPr>
              <w:t>发放工资次数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712F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A40A9">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E379C">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0946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4775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7813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C8A58">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0E7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A323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04E5B">
            <w:pPr>
              <w:spacing w:before="0" w:after="0" w:line="240" w:lineRule="auto"/>
              <w:jc w:val="center"/>
            </w:pPr>
          </w:p>
        </w:tc>
      </w:tr>
      <w:tr w14:paraId="5032C343">
        <w:tblPrEx>
          <w:tblCellMar>
            <w:top w:w="36" w:type="dxa"/>
            <w:left w:w="36" w:type="dxa"/>
            <w:bottom w:w="36" w:type="dxa"/>
            <w:right w:w="36" w:type="dxa"/>
          </w:tblCellMar>
        </w:tblPrEx>
        <w:trPr>
          <w:trHeight w:val="45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5D1F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05FE6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B890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4DAA99">
            <w:pPr>
              <w:spacing w:before="0" w:after="0" w:line="240" w:lineRule="auto"/>
              <w:jc w:val="center"/>
            </w:pPr>
            <w:r>
              <w:rPr>
                <w:rFonts w:ascii="宋体" w:hAnsi="宋体" w:eastAsia="宋体"/>
                <w:b w:val="0"/>
                <w:i w:val="0"/>
                <w:color w:val="000000"/>
                <w:sz w:val="18"/>
              </w:rPr>
              <w:t>工程质保金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2791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3B710">
            <w:pPr>
              <w:spacing w:before="0" w:after="0" w:line="240" w:lineRule="auto"/>
              <w:jc w:val="center"/>
            </w:pPr>
            <w:r>
              <w:rPr>
                <w:rFonts w:ascii="宋体" w:hAnsi="宋体" w:eastAsia="宋体"/>
                <w:b w:val="0"/>
                <w:i w:val="0"/>
                <w:sz w:val="18"/>
              </w:rPr>
              <w:t>&gt;=6笔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7530CC">
            <w:pPr>
              <w:spacing w:before="0" w:after="0" w:line="240" w:lineRule="auto"/>
              <w:jc w:val="center"/>
            </w:pPr>
            <w:r>
              <w:rPr>
                <w:rFonts w:ascii="宋体" w:hAnsi="宋体" w:eastAsia="宋体"/>
                <w:b w:val="0"/>
                <w:i w:val="0"/>
                <w:sz w:val="18"/>
              </w:rPr>
              <w:t>=6笔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A9B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63C4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E861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DFE5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4B54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82CB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DC8A3">
            <w:pPr>
              <w:spacing w:before="0" w:after="0" w:line="240" w:lineRule="auto"/>
              <w:jc w:val="center"/>
            </w:pPr>
          </w:p>
        </w:tc>
      </w:tr>
      <w:tr w14:paraId="155BC757">
        <w:tblPrEx>
          <w:tblCellMar>
            <w:top w:w="36" w:type="dxa"/>
            <w:left w:w="36" w:type="dxa"/>
            <w:bottom w:w="36" w:type="dxa"/>
            <w:right w:w="36" w:type="dxa"/>
          </w:tblCellMar>
        </w:tblPrEx>
        <w:trPr>
          <w:trHeight w:val="45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83CB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A8A15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A927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6AB3E">
            <w:pPr>
              <w:spacing w:before="0" w:after="0" w:line="240" w:lineRule="auto"/>
              <w:jc w:val="center"/>
            </w:pPr>
            <w:r>
              <w:rPr>
                <w:rFonts w:ascii="宋体" w:hAnsi="宋体" w:eastAsia="宋体"/>
                <w:b w:val="0"/>
                <w:i w:val="0"/>
                <w:color w:val="000000"/>
                <w:sz w:val="18"/>
              </w:rPr>
              <w:t>发放工资人数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4E17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A0FBD">
            <w:pPr>
              <w:spacing w:before="0" w:after="0" w:line="240" w:lineRule="auto"/>
              <w:jc w:val="center"/>
            </w:pPr>
            <w:r>
              <w:rPr>
                <w:rFonts w:ascii="宋体" w:hAnsi="宋体" w:eastAsia="宋体"/>
                <w:b w:val="0"/>
                <w:i w:val="0"/>
                <w:sz w:val="18"/>
              </w:rPr>
              <w:t>&gt;=313人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9E876">
            <w:pPr>
              <w:spacing w:before="0" w:after="0" w:line="240" w:lineRule="auto"/>
              <w:jc w:val="center"/>
            </w:pPr>
            <w:r>
              <w:rPr>
                <w:rFonts w:ascii="宋体" w:hAnsi="宋体" w:eastAsia="宋体"/>
                <w:b w:val="0"/>
                <w:i w:val="0"/>
                <w:sz w:val="18"/>
              </w:rPr>
              <w:t>=316人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9B73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6EF0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629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60A1C">
            <w:pPr>
              <w:spacing w:before="0" w:after="0" w:line="240" w:lineRule="auto"/>
              <w:jc w:val="center"/>
              <w:rPr>
                <w:rFonts w:hint="eastAsia" w:eastAsia="宋体"/>
                <w:lang w:val="en-US" w:eastAsia="zh-CN"/>
              </w:rP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B705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E458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4C5F58">
            <w:pPr>
              <w:spacing w:before="0" w:after="0" w:line="240" w:lineRule="auto"/>
              <w:jc w:val="center"/>
            </w:pPr>
          </w:p>
        </w:tc>
      </w:tr>
      <w:tr w14:paraId="2BD8868E">
        <w:tblPrEx>
          <w:tblCellMar>
            <w:top w:w="36" w:type="dxa"/>
            <w:left w:w="36" w:type="dxa"/>
            <w:bottom w:w="36" w:type="dxa"/>
            <w:right w:w="36" w:type="dxa"/>
          </w:tblCellMar>
        </w:tblPrEx>
        <w:trPr>
          <w:trHeight w:val="45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0EBF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83CC5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2D61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BEFDC">
            <w:pPr>
              <w:spacing w:before="0" w:after="0" w:line="240" w:lineRule="auto"/>
              <w:jc w:val="center"/>
            </w:pPr>
            <w:r>
              <w:rPr>
                <w:rFonts w:ascii="宋体" w:hAnsi="宋体" w:eastAsia="宋体"/>
                <w:b w:val="0"/>
                <w:i w:val="0"/>
                <w:color w:val="000000"/>
                <w:sz w:val="18"/>
              </w:rPr>
              <w:t>工程验收合格率（%）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10D4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2AD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551C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5BD4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4507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0ABB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4F95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69DD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D455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076AB">
            <w:pPr>
              <w:spacing w:before="0" w:after="0" w:line="240" w:lineRule="auto"/>
              <w:jc w:val="center"/>
            </w:pPr>
          </w:p>
        </w:tc>
      </w:tr>
      <w:tr w14:paraId="64C6BBF9">
        <w:tblPrEx>
          <w:tblCellMar>
            <w:top w:w="36" w:type="dxa"/>
            <w:left w:w="36" w:type="dxa"/>
            <w:bottom w:w="36" w:type="dxa"/>
            <w:right w:w="36" w:type="dxa"/>
          </w:tblCellMar>
        </w:tblPrEx>
        <w:trPr>
          <w:trHeight w:val="45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8D5B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E2C81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692D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FFBE4">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B58F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CC83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82A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787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62BB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AE8E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689E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2040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0369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A5F56">
            <w:pPr>
              <w:spacing w:before="0" w:after="0" w:line="240" w:lineRule="auto"/>
              <w:jc w:val="center"/>
            </w:pPr>
          </w:p>
        </w:tc>
      </w:tr>
      <w:tr w14:paraId="490BF594">
        <w:tblPrEx>
          <w:tblCellMar>
            <w:top w:w="36" w:type="dxa"/>
            <w:left w:w="36" w:type="dxa"/>
            <w:bottom w:w="36" w:type="dxa"/>
            <w:right w:w="36" w:type="dxa"/>
          </w:tblCellMar>
        </w:tblPrEx>
        <w:trPr>
          <w:trHeight w:val="45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5CEE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7F701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6498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E5871">
            <w:pPr>
              <w:spacing w:before="0" w:after="0" w:line="240" w:lineRule="auto"/>
              <w:jc w:val="center"/>
            </w:pPr>
            <w:r>
              <w:rPr>
                <w:rFonts w:ascii="宋体" w:hAnsi="宋体" w:eastAsia="宋体"/>
                <w:b w:val="0"/>
                <w:i w:val="0"/>
                <w:color w:val="000000"/>
                <w:sz w:val="18"/>
              </w:rPr>
              <w:t>项目计划开工时间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C1CD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ADC10">
            <w:pPr>
              <w:spacing w:before="0" w:after="0" w:line="240" w:lineRule="auto"/>
              <w:jc w:val="center"/>
            </w:pPr>
            <w:r>
              <w:rPr>
                <w:rFonts w:ascii="宋体" w:hAnsi="宋体" w:eastAsia="宋体"/>
                <w:b w:val="0"/>
                <w:i w:val="0"/>
                <w:sz w:val="18"/>
              </w:rPr>
              <w:t>=2025年4月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7132D">
            <w:pPr>
              <w:spacing w:before="0" w:after="0" w:line="240" w:lineRule="auto"/>
              <w:jc w:val="center"/>
            </w:pPr>
            <w:r>
              <w:rPr>
                <w:rFonts w:ascii="宋体" w:hAnsi="宋体" w:eastAsia="宋体"/>
                <w:b w:val="0"/>
                <w:i w:val="0"/>
                <w:sz w:val="18"/>
              </w:rPr>
              <w:t>=2025年4月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6E7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6CD2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D78D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81B0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A47C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C248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942C3">
            <w:pPr>
              <w:spacing w:before="0" w:after="0" w:line="240" w:lineRule="auto"/>
              <w:jc w:val="center"/>
            </w:pPr>
          </w:p>
        </w:tc>
      </w:tr>
      <w:tr w14:paraId="3458BCBC">
        <w:tblPrEx>
          <w:tblCellMar>
            <w:top w:w="36" w:type="dxa"/>
            <w:left w:w="36" w:type="dxa"/>
            <w:bottom w:w="36" w:type="dxa"/>
            <w:right w:w="36" w:type="dxa"/>
          </w:tblCellMar>
        </w:tblPrEx>
        <w:trPr>
          <w:trHeight w:val="45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26E59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2EBBB">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6E878">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BC3AD">
            <w:pPr>
              <w:spacing w:before="0" w:after="0" w:line="240" w:lineRule="auto"/>
              <w:jc w:val="center"/>
            </w:pPr>
            <w:r>
              <w:rPr>
                <w:rFonts w:ascii="宋体" w:hAnsi="宋体" w:eastAsia="宋体"/>
                <w:b w:val="0"/>
                <w:i w:val="0"/>
                <w:color w:val="000000"/>
                <w:sz w:val="18"/>
              </w:rPr>
              <w:t>灌区用水保证率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8135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5BBA9">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AD92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A235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A707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D082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004EE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1464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C6AC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27D3A">
            <w:pPr>
              <w:spacing w:before="0" w:after="0" w:line="240" w:lineRule="auto"/>
              <w:jc w:val="center"/>
            </w:pPr>
          </w:p>
        </w:tc>
      </w:tr>
      <w:tr w14:paraId="4066EF1D">
        <w:tblPrEx>
          <w:tblCellMar>
            <w:top w:w="36" w:type="dxa"/>
            <w:left w:w="36" w:type="dxa"/>
            <w:bottom w:w="36" w:type="dxa"/>
            <w:right w:w="36" w:type="dxa"/>
          </w:tblCellMar>
        </w:tblPrEx>
        <w:trPr>
          <w:trHeight w:val="45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7D854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DFEED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175F8">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9FAA0">
            <w:pPr>
              <w:spacing w:before="0" w:after="0" w:line="240" w:lineRule="auto"/>
              <w:jc w:val="center"/>
            </w:pPr>
            <w:r>
              <w:rPr>
                <w:rFonts w:ascii="宋体" w:hAnsi="宋体" w:eastAsia="宋体"/>
                <w:b w:val="0"/>
                <w:i w:val="0"/>
                <w:color w:val="000000"/>
                <w:sz w:val="18"/>
              </w:rPr>
              <w:t>灌区用户满意度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751F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7FAB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AC64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7189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076E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15B5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0D53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A2452">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1617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3ABA4">
            <w:pPr>
              <w:spacing w:before="0" w:after="0" w:line="240" w:lineRule="auto"/>
              <w:jc w:val="center"/>
            </w:pPr>
          </w:p>
        </w:tc>
      </w:tr>
      <w:tr w14:paraId="535A775F">
        <w:tblPrEx>
          <w:tblCellMar>
            <w:top w:w="36" w:type="dxa"/>
            <w:left w:w="36" w:type="dxa"/>
            <w:bottom w:w="36" w:type="dxa"/>
            <w:right w:w="36" w:type="dxa"/>
          </w:tblCellMar>
        </w:tblPrEx>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3E29C5">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D29EC">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2950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6BA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6BCA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04DBD">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1A73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667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D0618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F80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0F01F">
            <w:pPr>
              <w:spacing w:before="0" w:after="0" w:line="240" w:lineRule="auto"/>
              <w:jc w:val="center"/>
            </w:pPr>
          </w:p>
        </w:tc>
      </w:tr>
    </w:tbl>
    <w:p w14:paraId="007F7B55">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52E5095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D16C5EF">
            <w:pPr>
              <w:spacing w:before="0" w:after="0" w:line="240" w:lineRule="auto"/>
              <w:jc w:val="center"/>
            </w:pPr>
            <w:r>
              <w:rPr>
                <w:rFonts w:ascii="宋体" w:hAnsi="宋体" w:eastAsia="宋体"/>
                <w:b/>
                <w:i w:val="0"/>
                <w:sz w:val="32"/>
              </w:rPr>
              <w:t>项目支出绩效自评表</w:t>
            </w:r>
          </w:p>
        </w:tc>
      </w:tr>
      <w:tr w14:paraId="399D14A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28EBBAB">
            <w:pPr>
              <w:spacing w:before="0" w:after="0" w:line="240" w:lineRule="auto"/>
              <w:jc w:val="center"/>
            </w:pPr>
            <w:r>
              <w:rPr>
                <w:rFonts w:ascii="宋体" w:hAnsi="宋体" w:eastAsia="宋体"/>
                <w:b w:val="0"/>
                <w:i w:val="0"/>
                <w:sz w:val="22"/>
              </w:rPr>
              <w:t>(2025年度)</w:t>
            </w:r>
          </w:p>
        </w:tc>
      </w:tr>
      <w:tr w14:paraId="311BF72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C0FB6">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02955E3">
            <w:pPr>
              <w:spacing w:before="0" w:after="0" w:line="240" w:lineRule="auto"/>
              <w:jc w:val="center"/>
            </w:pPr>
            <w:r>
              <w:rPr>
                <w:rFonts w:ascii="宋体" w:hAnsi="宋体" w:eastAsia="宋体"/>
                <w:b w:val="0"/>
                <w:i w:val="0"/>
                <w:sz w:val="18"/>
              </w:rPr>
              <w:t>自治区水利发展专项</w:t>
            </w:r>
          </w:p>
        </w:tc>
      </w:tr>
      <w:tr w14:paraId="59D4FFF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E65D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C62640">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B79A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821637">
            <w:pPr>
              <w:spacing w:before="0" w:after="0" w:line="240" w:lineRule="auto"/>
              <w:jc w:val="center"/>
            </w:pPr>
            <w:r>
              <w:rPr>
                <w:rFonts w:ascii="宋体" w:hAnsi="宋体" w:eastAsia="宋体"/>
                <w:b w:val="0"/>
                <w:i w:val="0"/>
                <w:sz w:val="18"/>
              </w:rPr>
              <w:t>新疆维吾尔自治区塔里木河流域叶尔羌河水利管理中心</w:t>
            </w:r>
          </w:p>
        </w:tc>
      </w:tr>
      <w:tr w14:paraId="547893B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6DB0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9645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FBBB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BDE8B">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9847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FDE6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D79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1AB1D">
            <w:pPr>
              <w:spacing w:before="0" w:after="0" w:line="240" w:lineRule="auto"/>
              <w:jc w:val="center"/>
            </w:pPr>
            <w:r>
              <w:rPr>
                <w:rFonts w:ascii="宋体" w:hAnsi="宋体" w:eastAsia="宋体"/>
                <w:b/>
                <w:i w:val="0"/>
                <w:sz w:val="18"/>
              </w:rPr>
              <w:t>得分</w:t>
            </w:r>
          </w:p>
        </w:tc>
      </w:tr>
      <w:tr w14:paraId="2C442B0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875038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E621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3F08C">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6B794">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F15EF">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D7B85">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57BF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B88D7">
            <w:pPr>
              <w:spacing w:before="0" w:after="0" w:line="240" w:lineRule="auto"/>
              <w:jc w:val="center"/>
            </w:pPr>
            <w:r>
              <w:rPr>
                <w:rFonts w:ascii="宋体" w:hAnsi="宋体" w:eastAsia="宋体"/>
                <w:b w:val="0"/>
                <w:i w:val="0"/>
                <w:sz w:val="18"/>
              </w:rPr>
              <w:t>10.00</w:t>
            </w:r>
          </w:p>
        </w:tc>
      </w:tr>
      <w:tr w14:paraId="0BC843E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1DC642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49AE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6AF2B">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EAC2">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CFB77">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A101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DE4B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69879">
            <w:pPr>
              <w:spacing w:before="0" w:after="0" w:line="240" w:lineRule="auto"/>
              <w:jc w:val="center"/>
            </w:pPr>
            <w:r>
              <w:rPr>
                <w:rFonts w:ascii="宋体" w:hAnsi="宋体" w:eastAsia="宋体"/>
                <w:b w:val="0"/>
                <w:i w:val="0"/>
                <w:sz w:val="18"/>
              </w:rPr>
              <w:t>—</w:t>
            </w:r>
          </w:p>
        </w:tc>
      </w:tr>
      <w:tr w14:paraId="63E8A39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D78D17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DEB1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DFA2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6C8B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6727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8EDA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7EAA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291D7">
            <w:pPr>
              <w:spacing w:before="0" w:after="0" w:line="240" w:lineRule="auto"/>
              <w:jc w:val="center"/>
            </w:pPr>
            <w:r>
              <w:rPr>
                <w:rFonts w:ascii="宋体" w:hAnsi="宋体" w:eastAsia="宋体"/>
                <w:b w:val="0"/>
                <w:i w:val="0"/>
                <w:sz w:val="18"/>
              </w:rPr>
              <w:t>—</w:t>
            </w:r>
          </w:p>
        </w:tc>
      </w:tr>
      <w:tr w14:paraId="5305BB9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8FB1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82DC1B">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F6DBF">
            <w:pPr>
              <w:spacing w:before="0" w:after="0" w:line="240" w:lineRule="auto"/>
              <w:jc w:val="center"/>
            </w:pPr>
            <w:r>
              <w:rPr>
                <w:rFonts w:ascii="宋体" w:hAnsi="宋体" w:eastAsia="宋体"/>
                <w:b/>
                <w:i w:val="0"/>
                <w:sz w:val="18"/>
              </w:rPr>
              <w:t>实际完成情况</w:t>
            </w:r>
          </w:p>
        </w:tc>
      </w:tr>
      <w:tr w14:paraId="6A86EEB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36346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26E04B">
            <w:pPr>
              <w:spacing w:before="0" w:after="0" w:line="240" w:lineRule="auto"/>
              <w:jc w:val="center"/>
            </w:pPr>
            <w:r>
              <w:rPr>
                <w:rFonts w:ascii="宋体" w:hAnsi="宋体" w:eastAsia="宋体"/>
                <w:b w:val="0"/>
                <w:i w:val="0"/>
                <w:sz w:val="18"/>
              </w:rPr>
              <w:t>通过对我局管理的渠道、水库（对依干其水库坝顶防汛道路整平，铺设戈壁，确保防汛道路畅通）维修养护，维持、恢复或局部改善原有工程设施，确保工程设施的完好率及安全运行。</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90B3B8">
            <w:pPr>
              <w:spacing w:before="0" w:after="0" w:line="240" w:lineRule="auto"/>
              <w:jc w:val="center"/>
            </w:pPr>
            <w:r>
              <w:rPr>
                <w:rFonts w:ascii="宋体" w:hAnsi="宋体" w:eastAsia="宋体"/>
                <w:b w:val="0"/>
                <w:i w:val="0"/>
                <w:sz w:val="18"/>
              </w:rPr>
              <w:t>项目于2025年4月12日开工，9月18日提前完工。完成了对依干其水库坝顶防汛道路的整平及戈壁铺设，工程维修数量为1项，验收合格率100%。资金支付率、任务完成率及运营单位满意度均达100%。道路修缮后有效保障了防汛畅通，同时通过减少渠道水量损失，为生态水下放提供了有效保障。</w:t>
            </w:r>
          </w:p>
        </w:tc>
      </w:tr>
      <w:tr w14:paraId="29C06E1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AC6E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DAB9D">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BD38E">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7541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5C13C">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2B172">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8F2A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3B0B7">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519F0">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C8BDB">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4052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E1758">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C691E">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5B3E8">
            <w:pPr>
              <w:spacing w:before="0" w:after="0" w:line="240" w:lineRule="auto"/>
              <w:jc w:val="center"/>
            </w:pPr>
            <w:r>
              <w:rPr>
                <w:rFonts w:ascii="宋体" w:hAnsi="宋体" w:eastAsia="宋体"/>
                <w:b/>
                <w:i w:val="0"/>
                <w:sz w:val="18"/>
              </w:rPr>
              <w:t>偏差原因分析及改进措施</w:t>
            </w:r>
          </w:p>
        </w:tc>
      </w:tr>
      <w:tr w14:paraId="57DA0D0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E3AA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0D7F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097E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6F7E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57D9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2010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091F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7681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4309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A0D7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F8FF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01CE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0ADF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4FADED"/>
        </w:tc>
      </w:tr>
      <w:tr w14:paraId="78F5E3A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093C1">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AD578">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E400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77C1C">
            <w:pPr>
              <w:spacing w:before="0" w:after="0" w:line="240" w:lineRule="auto"/>
              <w:jc w:val="center"/>
            </w:pPr>
            <w:r>
              <w:rPr>
                <w:rFonts w:ascii="宋体" w:hAnsi="宋体" w:eastAsia="宋体"/>
                <w:b w:val="0"/>
                <w:i w:val="0"/>
                <w:color w:val="000000"/>
                <w:sz w:val="18"/>
              </w:rPr>
              <w:t>工程维修数量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887F4">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1619D">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1059C">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E81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3E1D7">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3988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4DCE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BCDF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229A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2C2E7">
            <w:pPr>
              <w:spacing w:before="0" w:after="0" w:line="240" w:lineRule="auto"/>
              <w:jc w:val="center"/>
            </w:pPr>
          </w:p>
        </w:tc>
      </w:tr>
      <w:tr w14:paraId="4AB2FB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9AC8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5417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93BE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7006B">
            <w:pPr>
              <w:spacing w:before="0" w:after="0" w:line="240" w:lineRule="auto"/>
              <w:jc w:val="center"/>
            </w:pPr>
            <w:r>
              <w:rPr>
                <w:rFonts w:ascii="宋体" w:hAnsi="宋体" w:eastAsia="宋体"/>
                <w:b w:val="0"/>
                <w:i w:val="0"/>
                <w:color w:val="000000"/>
                <w:sz w:val="18"/>
              </w:rPr>
              <w:t>工程维修养护验收合格率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22885">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834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F6C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C8C6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7E82F">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82AA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B321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312F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5830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C08ED">
            <w:pPr>
              <w:spacing w:before="0" w:after="0" w:line="240" w:lineRule="auto"/>
              <w:jc w:val="center"/>
            </w:pPr>
          </w:p>
        </w:tc>
      </w:tr>
      <w:tr w14:paraId="0AE912A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F677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3224B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0E05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F6E72">
            <w:pPr>
              <w:spacing w:before="0" w:after="0" w:line="240" w:lineRule="auto"/>
              <w:jc w:val="center"/>
            </w:pPr>
            <w:r>
              <w:rPr>
                <w:rFonts w:ascii="宋体" w:hAnsi="宋体" w:eastAsia="宋体"/>
                <w:b w:val="0"/>
                <w:i w:val="0"/>
                <w:color w:val="000000"/>
                <w:sz w:val="18"/>
              </w:rPr>
              <w:t>项目资金支付率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F2D51">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142C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F386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932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AA16A">
            <w:pPr>
              <w:spacing w:before="0" w:after="0" w:line="240" w:lineRule="auto"/>
              <w:jc w:val="center"/>
            </w:pPr>
            <w:r>
              <w:rPr>
                <w:rFonts w:ascii="宋体" w:hAnsi="宋体" w:eastAsia="宋体"/>
                <w:b w:val="0"/>
                <w:i w:val="0"/>
                <w:sz w:val="18"/>
              </w:rPr>
              <w:t>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3284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CA68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D97F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01D5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D0590">
            <w:pPr>
              <w:spacing w:before="0" w:after="0" w:line="240" w:lineRule="auto"/>
              <w:jc w:val="center"/>
            </w:pPr>
          </w:p>
        </w:tc>
      </w:tr>
      <w:tr w14:paraId="3CD4D4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FBB2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653E9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6A99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15AE3">
            <w:pPr>
              <w:spacing w:before="0" w:after="0" w:line="240" w:lineRule="auto"/>
              <w:jc w:val="center"/>
            </w:pPr>
            <w:r>
              <w:rPr>
                <w:rFonts w:ascii="宋体" w:hAnsi="宋体" w:eastAsia="宋体"/>
                <w:b w:val="0"/>
                <w:i w:val="0"/>
                <w:color w:val="000000"/>
                <w:sz w:val="18"/>
              </w:rPr>
              <w:t>项目开工时间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101AA">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F3097">
            <w:pPr>
              <w:spacing w:before="0" w:after="0" w:line="240" w:lineRule="auto"/>
              <w:jc w:val="center"/>
            </w:pPr>
            <w:r>
              <w:rPr>
                <w:rFonts w:ascii="宋体" w:hAnsi="宋体" w:eastAsia="宋体"/>
                <w:b w:val="0"/>
                <w:i w:val="0"/>
                <w:sz w:val="18"/>
              </w:rPr>
              <w:t>&lt;=5月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2B5D6">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732B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508F8">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F2AC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50D7E">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FD80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C433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20CB4">
            <w:pPr>
              <w:spacing w:before="0" w:after="0" w:line="240" w:lineRule="auto"/>
              <w:jc w:val="center"/>
            </w:pPr>
          </w:p>
        </w:tc>
      </w:tr>
      <w:tr w14:paraId="7ADB8AC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CC61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85BFF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93F2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32753">
            <w:pPr>
              <w:spacing w:before="0" w:after="0" w:line="240" w:lineRule="auto"/>
              <w:jc w:val="center"/>
            </w:pPr>
            <w:r>
              <w:rPr>
                <w:rFonts w:ascii="宋体" w:hAnsi="宋体" w:eastAsia="宋体"/>
                <w:b w:val="0"/>
                <w:i w:val="0"/>
                <w:color w:val="000000"/>
                <w:sz w:val="18"/>
              </w:rPr>
              <w:t>项目完工时间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44457">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36932">
            <w:pPr>
              <w:spacing w:before="0" w:after="0" w:line="240" w:lineRule="auto"/>
              <w:jc w:val="center"/>
            </w:pPr>
            <w:r>
              <w:rPr>
                <w:rFonts w:ascii="宋体" w:hAnsi="宋体" w:eastAsia="宋体"/>
                <w:b w:val="0"/>
                <w:i w:val="0"/>
                <w:sz w:val="18"/>
              </w:rPr>
              <w:t>&lt;=10月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A405A">
            <w:pPr>
              <w:spacing w:before="0" w:after="0" w:line="240" w:lineRule="auto"/>
              <w:jc w:val="center"/>
            </w:pPr>
            <w:r>
              <w:rPr>
                <w:rFonts w:ascii="宋体" w:hAnsi="宋体" w:eastAsia="宋体"/>
                <w:b w:val="0"/>
                <w:i w:val="0"/>
                <w:sz w:val="18"/>
              </w:rPr>
              <w:t>=9月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48CB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52819">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9CCC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8E209">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81B8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5A1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8584E">
            <w:pPr>
              <w:spacing w:before="0" w:after="0" w:line="240" w:lineRule="auto"/>
              <w:jc w:val="center"/>
            </w:pPr>
          </w:p>
        </w:tc>
      </w:tr>
      <w:tr w14:paraId="23E893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D6BD0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BC78C">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BD17A">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92739">
            <w:pPr>
              <w:spacing w:before="0" w:after="0" w:line="240" w:lineRule="auto"/>
              <w:jc w:val="center"/>
            </w:pPr>
            <w:r>
              <w:rPr>
                <w:rFonts w:ascii="宋体" w:hAnsi="宋体" w:eastAsia="宋体"/>
                <w:b w:val="0"/>
                <w:i w:val="0"/>
                <w:color w:val="000000"/>
                <w:sz w:val="18"/>
              </w:rPr>
              <w:t>减少渠道水量损失，保障生态水下放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23705">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09940">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C0046">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CD1F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1BB94">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F842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49C4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2B765">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6EEAC">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784B4">
            <w:pPr>
              <w:spacing w:before="0" w:after="0" w:line="240" w:lineRule="auto"/>
              <w:jc w:val="center"/>
            </w:pPr>
          </w:p>
        </w:tc>
      </w:tr>
      <w:tr w14:paraId="0DB315B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BEF55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C3A8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0B22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9CDE5">
            <w:pPr>
              <w:spacing w:before="0" w:after="0" w:line="240" w:lineRule="auto"/>
              <w:jc w:val="center"/>
            </w:pPr>
            <w:r>
              <w:rPr>
                <w:rFonts w:ascii="宋体" w:hAnsi="宋体" w:eastAsia="宋体"/>
                <w:b w:val="0"/>
                <w:i w:val="0"/>
                <w:color w:val="000000"/>
                <w:sz w:val="18"/>
              </w:rPr>
              <w:t>按照设计要求完成维修养护任务，运行管理单位满意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D17E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948C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5223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615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E37F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C215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EC36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641AC">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E213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3C765">
            <w:pPr>
              <w:spacing w:before="0" w:after="0" w:line="240" w:lineRule="auto"/>
              <w:jc w:val="center"/>
            </w:pPr>
          </w:p>
        </w:tc>
      </w:tr>
      <w:tr w14:paraId="15C0B96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6F12B6">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4539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827A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B3BC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323B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66282">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404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CD61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DCCB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DD91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E25EC">
            <w:pPr>
              <w:spacing w:before="0" w:after="0" w:line="240" w:lineRule="auto"/>
              <w:jc w:val="center"/>
            </w:pPr>
          </w:p>
        </w:tc>
      </w:tr>
    </w:tbl>
    <w:p w14:paraId="5521922D">
      <w:r>
        <w:br w:type="page"/>
      </w:r>
    </w:p>
    <w:p w14:paraId="4A372DE2">
      <w:pPr>
        <w:sectPr>
          <w:type w:val="continuous"/>
          <w:pgSz w:w="11906" w:h="16838"/>
          <w:pgMar w:top="1440" w:right="1800" w:bottom="1440" w:left="1800" w:header="851" w:footer="992" w:gutter="0"/>
          <w:cols w:space="720" w:num="1"/>
          <w:docGrid w:type="lines" w:linePitch="312" w:charSpace="0"/>
        </w:sectPr>
      </w:pPr>
    </w:p>
    <w:p w14:paraId="65C257B5">
      <w:pPr>
        <w:spacing w:line="640" w:lineRule="exact"/>
        <w:ind w:firstLine="640"/>
        <w:jc w:val="both"/>
        <w:outlineLvl w:val="2"/>
      </w:pPr>
      <w:r>
        <w:rPr>
          <w:rFonts w:ascii="黑体" w:hAnsi="黑体" w:eastAsia="黑体"/>
          <w:sz w:val="32"/>
        </w:rPr>
        <w:t>十二、其他需说明的事项</w:t>
      </w:r>
    </w:p>
    <w:p w14:paraId="36348098">
      <w:pPr>
        <w:spacing w:line="580" w:lineRule="exact"/>
        <w:ind w:firstLine="640"/>
        <w:jc w:val="both"/>
      </w:pPr>
      <w:r>
        <w:rPr>
          <w:rFonts w:ascii="仿宋_GB2312" w:hAnsi="仿宋_GB2312" w:eastAsia="仿宋_GB2312"/>
          <w:b w:val="0"/>
          <w:sz w:val="32"/>
        </w:rPr>
        <w:t>本单位无其他需说明的事项。</w:t>
      </w:r>
    </w:p>
    <w:p w14:paraId="6C8A2D13">
      <w:r>
        <w:br w:type="page"/>
      </w:r>
    </w:p>
    <w:p w14:paraId="305978DB">
      <w:pPr>
        <w:spacing w:line="600" w:lineRule="exact"/>
        <w:jc w:val="center"/>
        <w:outlineLvl w:val="0"/>
      </w:pPr>
      <w:r>
        <w:rPr>
          <w:rFonts w:ascii="黑体" w:hAnsi="黑体" w:eastAsia="黑体"/>
          <w:sz w:val="32"/>
        </w:rPr>
        <w:t>第三部分 专业名词解释</w:t>
      </w:r>
    </w:p>
    <w:p w14:paraId="7502C669">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7DBC4F3">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56987E3">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5EF81DB">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E779FF">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B50C125">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EA2ECC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B934E5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5E27DB5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CFA6DCE">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CA68463">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955FC7F">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69B7DB5">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FB929F0">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85F18E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012AFB37">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163A416">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AC96125">
      <w:r>
        <w:br w:type="page"/>
      </w:r>
    </w:p>
    <w:p w14:paraId="5ED74509">
      <w:pPr>
        <w:spacing w:line="240" w:lineRule="auto"/>
        <w:jc w:val="center"/>
        <w:outlineLvl w:val="1"/>
      </w:pPr>
      <w:r>
        <w:rPr>
          <w:rFonts w:ascii="黑体" w:hAnsi="黑体" w:eastAsia="黑体"/>
          <w:sz w:val="32"/>
        </w:rPr>
        <w:t>第四部分 部门决算报表（见附表）</w:t>
      </w:r>
    </w:p>
    <w:p w14:paraId="497B74EA">
      <w:pPr>
        <w:autoSpaceDE w:val="0"/>
        <w:autoSpaceDN w:val="0"/>
        <w:spacing w:line="600" w:lineRule="exact"/>
        <w:ind w:firstLine="640" w:firstLineChars="200"/>
      </w:pPr>
      <w:r>
        <w:rPr>
          <w:rFonts w:ascii="仿宋_GB2312" w:hAnsi="仿宋_GB2312" w:eastAsia="仿宋_GB2312"/>
          <w:b w:val="0"/>
          <w:sz w:val="32"/>
        </w:rPr>
        <w:t>一、《收入支出决算总表》</w:t>
      </w:r>
    </w:p>
    <w:p w14:paraId="3DB7DCB4">
      <w:pPr>
        <w:autoSpaceDE w:val="0"/>
        <w:autoSpaceDN w:val="0"/>
        <w:spacing w:line="600" w:lineRule="exact"/>
        <w:ind w:firstLine="640" w:firstLineChars="200"/>
      </w:pPr>
      <w:r>
        <w:rPr>
          <w:rFonts w:ascii="仿宋_GB2312" w:hAnsi="仿宋_GB2312" w:eastAsia="仿宋_GB2312"/>
          <w:b w:val="0"/>
          <w:sz w:val="32"/>
        </w:rPr>
        <w:t>二、《收入决算表》</w:t>
      </w:r>
    </w:p>
    <w:p w14:paraId="6E8DDB21">
      <w:pPr>
        <w:autoSpaceDE w:val="0"/>
        <w:autoSpaceDN w:val="0"/>
        <w:spacing w:line="600" w:lineRule="exact"/>
        <w:ind w:firstLine="640" w:firstLineChars="200"/>
      </w:pPr>
      <w:r>
        <w:rPr>
          <w:rFonts w:ascii="仿宋_GB2312" w:hAnsi="仿宋_GB2312" w:eastAsia="仿宋_GB2312"/>
          <w:b w:val="0"/>
          <w:sz w:val="32"/>
        </w:rPr>
        <w:t>三、《支出决算表》</w:t>
      </w:r>
    </w:p>
    <w:p w14:paraId="113BB7D1">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2BC1CDE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0D2067B">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2A275F7">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AAC3A85">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117C92C">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645FFB4">
      <w:pPr>
        <w:autoSpaceDE w:val="0"/>
        <w:autoSpaceDN w:val="0"/>
        <w:spacing w:line="600" w:lineRule="exact"/>
        <w:ind w:firstLine="640" w:firstLineChars="200"/>
      </w:pPr>
    </w:p>
    <w:p w14:paraId="5269C2C5">
      <w:pPr>
        <w:autoSpaceDE w:val="0"/>
        <w:autoSpaceDN w:val="0"/>
        <w:spacing w:line="600" w:lineRule="exact"/>
        <w:ind w:firstLine="640" w:firstLineChars="200"/>
      </w:pPr>
    </w:p>
    <w:p w14:paraId="537EFD44">
      <w:pPr>
        <w:autoSpaceDE w:val="0"/>
        <w:autoSpaceDN w:val="0"/>
        <w:spacing w:line="600" w:lineRule="exact"/>
        <w:ind w:firstLine="640" w:firstLineChars="200"/>
      </w:pPr>
    </w:p>
    <w:p w14:paraId="2C995B7F">
      <w:pPr>
        <w:autoSpaceDE w:val="0"/>
        <w:autoSpaceDN w:val="0"/>
        <w:spacing w:line="600" w:lineRule="exact"/>
        <w:ind w:firstLine="640" w:firstLineChars="200"/>
      </w:pPr>
    </w:p>
    <w:p w14:paraId="15C8A997">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481A4E-8DF4-430F-9F04-B192F6BFCD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4499E8DC-0950-4471-AC8C-9B5912782B1B}"/>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4C6C1FB8-66CB-4674-8016-1564098A01F8}"/>
  </w:font>
  <w:font w:name="楷体_GB2312">
    <w:altName w:val="楷体"/>
    <w:panose1 w:val="00000000000000000000"/>
    <w:charset w:val="00"/>
    <w:family w:val="auto"/>
    <w:pitch w:val="default"/>
    <w:sig w:usb0="00000000" w:usb1="00000000" w:usb2="00000000" w:usb3="00000000" w:csb0="00000000" w:csb1="00000000"/>
    <w:embedRegular r:id="rId4" w:fontKey="{6623105F-B3B1-4136-B171-DA2C9837E4C4}"/>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2537E5"/>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2668</Words>
  <Characters>3098</Characters>
  <Lines>10</Lines>
  <Paragraphs>2</Paragraphs>
  <TotalTime>3</TotalTime>
  <ScaleCrop>false</ScaleCrop>
  <LinksUpToDate>false</LinksUpToDate>
  <CharactersWithSpaces>3106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雨。</cp:lastModifiedBy>
  <cp:lastPrinted>2024-07-22T11:58:00Z</cp:lastPrinted>
  <dcterms:modified xsi:type="dcterms:W3CDTF">2026-08-28T08:15:45Z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8FDA567F26D84A8C8A1B02E29FDE1AE6_13</vt:lpwstr>
  </property>
  <property fmtid="{D5CDD505-2E9C-101B-9397-08002B2CF9AE}" pid="4" name="KSOTemplateDocerSaveRecord">
    <vt:lpwstr>eyJoZGlkIjoiYjc2OWIwYWEwODAyMWYzZDQ3MWM3NTI0ZDMwN2MzZTAiLCJ1c2VySWQiOiIyNTk4NTcxMjUifQ==</vt:lpwstr>
  </property>
</Properties>
</file>