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DE1098">
      <w:pPr>
        <w:rPr>
          <w:rFonts w:hint="eastAsia" w:ascii="黑体" w:hAnsi="黑体" w:eastAsia="黑体"/>
          <w:sz w:val="32"/>
          <w:szCs w:val="32"/>
        </w:rPr>
      </w:pPr>
    </w:p>
    <w:p w14:paraId="7E2F62AB">
      <w:pPr>
        <w:jc w:val="center"/>
        <w:rPr>
          <w:rFonts w:hint="eastAsia" w:ascii="方正小标宋_GBK" w:hAnsi="宋体" w:eastAsia="方正小标宋_GBK"/>
          <w:sz w:val="44"/>
          <w:szCs w:val="44"/>
        </w:rPr>
      </w:pPr>
    </w:p>
    <w:p w14:paraId="7AE936F3">
      <w:pPr>
        <w:jc w:val="center"/>
        <w:rPr>
          <w:rFonts w:hint="eastAsia" w:ascii="方正小标宋_GBK" w:hAnsi="宋体" w:eastAsia="方正小标宋_GBK"/>
          <w:sz w:val="44"/>
          <w:szCs w:val="44"/>
        </w:rPr>
      </w:pPr>
    </w:p>
    <w:p w14:paraId="5FEDF9CB">
      <w:pPr>
        <w:jc w:val="center"/>
        <w:rPr>
          <w:rFonts w:hint="eastAsia" w:ascii="方正小标宋_GBK" w:hAnsi="宋体" w:eastAsia="方正小标宋_GBK"/>
          <w:sz w:val="44"/>
          <w:szCs w:val="44"/>
        </w:rPr>
      </w:pPr>
    </w:p>
    <w:p w14:paraId="4794C1C7">
      <w:pPr>
        <w:jc w:val="center"/>
        <w:rPr>
          <w:rFonts w:hint="eastAsia" w:ascii="方正小标宋_GBK" w:hAnsi="宋体" w:eastAsia="方正小标宋_GBK"/>
          <w:sz w:val="44"/>
          <w:szCs w:val="44"/>
        </w:rPr>
      </w:pPr>
    </w:p>
    <w:p w14:paraId="2FB3E0A1">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新疆维吾尔自治区塔里木河流域大石峡水利枢纽工程建设管理中心</w:t>
      </w:r>
    </w:p>
    <w:p w14:paraId="55AD8026">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2025年度部门决算公开说明</w:t>
      </w:r>
    </w:p>
    <w:p w14:paraId="7C1A23FE">
      <w:pPr>
        <w:spacing w:line="600" w:lineRule="exact"/>
        <w:jc w:val="center"/>
        <w:rPr>
          <w:rFonts w:hint="eastAsia" w:ascii="仿宋_GB2312" w:hAnsi="仿宋_GB2312" w:eastAsia="仿宋_GB2312" w:cs="仿宋_GB2312"/>
          <w:bCs/>
          <w:kern w:val="0"/>
          <w:sz w:val="32"/>
          <w:szCs w:val="32"/>
        </w:rPr>
      </w:pPr>
      <w:r>
        <w:rPr>
          <w:rFonts w:hint="eastAsia" w:ascii="方正小标宋_GBK" w:hAnsi="宋体" w:eastAsia="方正小标宋_GBK"/>
          <w:sz w:val="44"/>
          <w:szCs w:val="44"/>
        </w:rPr>
        <w:br w:type="page"/>
      </w:r>
      <w:r>
        <w:rPr>
          <w:rFonts w:hint="eastAsia" w:ascii="仿宋_GB2312" w:hAnsi="仿宋_GB2312" w:eastAsia="仿宋_GB2312" w:cs="仿宋_GB2312"/>
          <w:b/>
          <w:kern w:val="0"/>
          <w:sz w:val="36"/>
          <w:szCs w:val="36"/>
        </w:rPr>
        <w:t>目  录</w:t>
      </w:r>
    </w:p>
    <w:p w14:paraId="11E3C096">
      <w:pPr>
        <w:pStyle w:val="6"/>
        <w:tabs>
          <w:tab w:val="right" w:leader="dot" w:pos="8306"/>
        </w:tabs>
        <w:spacing w:line="60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"_Toc31918"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695FF0F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"_Toc2898"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20AC0F9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"_Toc1387" </w:instrText>
      </w:r>
      <w:r>
        <w:fldChar w:fldCharType="separate"/>
      </w:r>
      <w:r>
        <w:rPr>
          <w:rFonts w:hint="eastAsia" w:ascii="仿宋_GB2312" w:hAnsi="仿宋_GB2312" w:eastAsia="仿宋_GB2312" w:cs="仿宋_GB2312"/>
          <w:bCs/>
          <w:kern w:val="0"/>
          <w:sz w:val="32"/>
          <w:szCs w:val="32"/>
        </w:rPr>
        <w:t>二、机构设置</w:t>
      </w:r>
      <w:r>
        <w:rPr>
          <w:rFonts w:hint="eastAsia" w:ascii="仿宋_GB2312" w:hAnsi="仿宋_GB2312" w:eastAsia="仿宋_GB2312" w:cs="仿宋_GB2312"/>
          <w:bCs/>
          <w:kern w:val="0"/>
          <w:sz w:val="32"/>
          <w:szCs w:val="32"/>
        </w:rPr>
        <w:fldChar w:fldCharType="end"/>
      </w:r>
    </w:p>
    <w:p w14:paraId="03DF0839">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"_Toc7559"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1E4B298F">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"_Toc6321"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448604E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"_Toc6311"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6477D7D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"_Toc20629"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64A0CBA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"_Toc7371"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07B13FA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"_Toc18905"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35E4954F">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"_Toc1165" </w:instrText>
      </w:r>
      <w:r>
        <w:fldChar w:fldCharType="separate"/>
      </w:r>
      <w:r>
        <w:rPr>
          <w:rFonts w:hint="eastAsia" w:ascii="仿宋_GB2312" w:hAnsi="仿宋_GB2312" w:eastAsia="仿宋_GB2312" w:cs="仿宋_GB2312"/>
          <w:sz w:val="32"/>
          <w:szCs w:val="32"/>
        </w:rPr>
        <w:t>（一）一般公共预算财政拨款支出决算总体情况</w:t>
      </w:r>
      <w:r>
        <w:rPr>
          <w:rFonts w:hint="eastAsia" w:ascii="仿宋_GB2312" w:hAnsi="仿宋_GB2312" w:eastAsia="仿宋_GB2312" w:cs="仿宋_GB2312"/>
          <w:sz w:val="32"/>
          <w:szCs w:val="32"/>
        </w:rPr>
        <w:fldChar w:fldCharType="end"/>
      </w:r>
    </w:p>
    <w:p w14:paraId="1D40B9C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"_Toc27147" </w:instrText>
      </w:r>
      <w:r>
        <w:fldChar w:fldCharType="separate"/>
      </w:r>
      <w:r>
        <w:rPr>
          <w:rFonts w:hint="eastAsia" w:ascii="仿宋_GB2312" w:hAnsi="仿宋_GB2312" w:eastAsia="仿宋_GB2312" w:cs="仿宋_GB2312"/>
          <w:sz w:val="32"/>
          <w:szCs w:val="32"/>
        </w:rPr>
        <w:t>（二）一般公共预算财政拨款支出决算结构情况</w:t>
      </w:r>
      <w:r>
        <w:rPr>
          <w:rFonts w:hint="eastAsia" w:ascii="仿宋_GB2312" w:hAnsi="仿宋_GB2312" w:eastAsia="仿宋_GB2312" w:cs="仿宋_GB2312"/>
          <w:sz w:val="32"/>
          <w:szCs w:val="32"/>
        </w:rPr>
        <w:fldChar w:fldCharType="end"/>
      </w:r>
    </w:p>
    <w:p w14:paraId="572435C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"_Toc10037" </w:instrText>
      </w:r>
      <w:r>
        <w:fldChar w:fldCharType="separate"/>
      </w:r>
      <w:r>
        <w:rPr>
          <w:rFonts w:hint="eastAsia" w:ascii="仿宋_GB2312" w:hAnsi="仿宋_GB2312" w:eastAsia="仿宋_GB2312" w:cs="仿宋_GB2312"/>
          <w:sz w:val="32"/>
          <w:szCs w:val="32"/>
        </w:rPr>
        <w:t>（三）一般公共预算财政拨款支出决算具体情况</w:t>
      </w:r>
      <w:r>
        <w:rPr>
          <w:rFonts w:hint="eastAsia" w:ascii="仿宋_GB2312" w:hAnsi="仿宋_GB2312" w:eastAsia="仿宋_GB2312" w:cs="仿宋_GB2312"/>
          <w:sz w:val="32"/>
          <w:szCs w:val="32"/>
        </w:rPr>
        <w:fldChar w:fldCharType="end"/>
      </w:r>
    </w:p>
    <w:p w14:paraId="2330D4E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"_Toc23415"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2363D30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"_Toc7523" </w:instrText>
      </w:r>
      <w:r>
        <w:fldChar w:fldCharType="separate"/>
      </w:r>
      <w:r>
        <w:rPr>
          <w:rFonts w:hint="eastAsia" w:ascii="仿宋_GB2312" w:hAnsi="仿宋_GB2312" w:eastAsia="仿宋_GB2312" w:cs="仿宋_GB2312"/>
          <w:bCs/>
          <w:kern w:val="0"/>
          <w:sz w:val="32"/>
          <w:szCs w:val="32"/>
        </w:rPr>
        <w:t>七、政府性基金预算财政拨款收入支出决算情况说明</w:t>
      </w:r>
      <w:r>
        <w:rPr>
          <w:rFonts w:hint="eastAsia" w:ascii="仿宋_GB2312" w:hAnsi="仿宋_GB2312" w:eastAsia="仿宋_GB2312" w:cs="仿宋_GB2312"/>
          <w:bCs/>
          <w:kern w:val="0"/>
          <w:sz w:val="32"/>
          <w:szCs w:val="32"/>
        </w:rPr>
        <w:fldChar w:fldCharType="end"/>
      </w:r>
    </w:p>
    <w:p w14:paraId="47A3366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"_Toc5563" </w:instrText>
      </w:r>
      <w:r>
        <w:fldChar w:fldCharType="separate"/>
      </w:r>
      <w:r>
        <w:rPr>
          <w:rFonts w:hint="eastAsia" w:ascii="仿宋_GB2312" w:hAnsi="仿宋_GB2312" w:eastAsia="仿宋_GB2312" w:cs="仿宋_GB2312"/>
          <w:bCs/>
          <w:kern w:val="0"/>
          <w:sz w:val="32"/>
          <w:szCs w:val="32"/>
        </w:rPr>
        <w:t>八、国有资本经营预算财政拨款收入支出决算情况说明</w:t>
      </w:r>
      <w:r>
        <w:rPr>
          <w:rFonts w:hint="eastAsia" w:ascii="仿宋_GB2312" w:hAnsi="仿宋_GB2312" w:eastAsia="仿宋_GB2312" w:cs="仿宋_GB2312"/>
          <w:bCs/>
          <w:kern w:val="0"/>
          <w:sz w:val="32"/>
          <w:szCs w:val="32"/>
        </w:rPr>
        <w:fldChar w:fldCharType="end"/>
      </w:r>
    </w:p>
    <w:p w14:paraId="5B6A706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"_Toc9161" </w:instrText>
      </w:r>
      <w:r>
        <w:fldChar w:fldCharType="separate"/>
      </w:r>
      <w:r>
        <w:rPr>
          <w:rFonts w:hint="eastAsia" w:ascii="仿宋_GB2312" w:hAnsi="仿宋_GB2312" w:eastAsia="仿宋_GB2312" w:cs="仿宋_GB2312"/>
          <w:bCs/>
          <w:kern w:val="0"/>
          <w:sz w:val="32"/>
          <w:szCs w:val="32"/>
        </w:rPr>
        <w:t>九、财政拨款“三公”经费支出决算情况说明</w:t>
      </w:r>
      <w:r>
        <w:rPr>
          <w:rFonts w:hint="eastAsia" w:ascii="仿宋_GB2312" w:hAnsi="仿宋_GB2312" w:eastAsia="仿宋_GB2312" w:cs="仿宋_GB2312"/>
          <w:bCs/>
          <w:kern w:val="0"/>
          <w:sz w:val="32"/>
          <w:szCs w:val="32"/>
        </w:rPr>
        <w:fldChar w:fldCharType="end"/>
      </w:r>
    </w:p>
    <w:p w14:paraId="1D67ADC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"_Toc16395" </w:instrText>
      </w:r>
      <w:r>
        <w:fldChar w:fldCharType="separate"/>
      </w:r>
      <w:r>
        <w:rPr>
          <w:rFonts w:hint="eastAsia" w:ascii="仿宋_GB2312" w:hAnsi="仿宋_GB2312" w:eastAsia="仿宋_GB2312" w:cs="仿宋_GB2312"/>
          <w:bCs/>
          <w:kern w:val="0"/>
          <w:sz w:val="32"/>
          <w:szCs w:val="32"/>
        </w:rPr>
        <w:t>十、其他重要事项的情况说明</w:t>
      </w:r>
      <w:r>
        <w:rPr>
          <w:rFonts w:hint="eastAsia" w:ascii="仿宋_GB2312" w:hAnsi="仿宋_GB2312" w:eastAsia="仿宋_GB2312" w:cs="仿宋_GB2312"/>
          <w:bCs/>
          <w:kern w:val="0"/>
          <w:sz w:val="32"/>
          <w:szCs w:val="32"/>
        </w:rPr>
        <w:fldChar w:fldCharType="end"/>
      </w:r>
    </w:p>
    <w:p w14:paraId="2D81D31B">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"_Toc21748" </w:instrText>
      </w:r>
      <w:r>
        <w:fldChar w:fldCharType="separate"/>
      </w:r>
      <w:r>
        <w:rPr>
          <w:rFonts w:hint="eastAsia" w:ascii="仿宋_GB2312" w:hAnsi="仿宋_GB2312" w:eastAsia="仿宋_GB2312" w:cs="仿宋_GB2312"/>
          <w:sz w:val="32"/>
          <w:szCs w:val="32"/>
        </w:rPr>
        <w:t>（一）机关运行经费及公用经费支出情况</w:t>
      </w:r>
      <w:r>
        <w:rPr>
          <w:rFonts w:hint="eastAsia" w:ascii="仿宋_GB2312" w:hAnsi="仿宋_GB2312" w:eastAsia="仿宋_GB2312" w:cs="仿宋_GB2312"/>
          <w:sz w:val="32"/>
          <w:szCs w:val="32"/>
        </w:rPr>
        <w:fldChar w:fldCharType="end"/>
      </w:r>
    </w:p>
    <w:p w14:paraId="688C6E4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"_Toc25177"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6E70625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"_Toc31294"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687A037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"_Toc17664"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2BE4C8B9">
      <w:pPr>
        <w:spacing w:line="600" w:lineRule="exact"/>
        <w:rPr>
          <w:rFonts w:eastAsia="仿宋_GB2312"/>
        </w:rPr>
      </w:pPr>
      <w:r>
        <w:rPr>
          <w:rFonts w:hint="eastAsia" w:ascii="仿宋_GB2312" w:hAnsi="仿宋_GB2312" w:eastAsia="仿宋_GB2312" w:cs="仿宋_GB2312"/>
          <w:sz w:val="32"/>
          <w:szCs w:val="32"/>
        </w:rPr>
        <w:t>十二、</w:t>
      </w:r>
      <w:r>
        <w:rPr>
          <w:rFonts w:ascii="仿宋_GB2312" w:hAnsi="仿宋_GB2312" w:eastAsia="仿宋_GB2312" w:cs="仿宋_GB2312"/>
          <w:sz w:val="32"/>
          <w:szCs w:val="32"/>
        </w:rPr>
        <w:t>其他需说明的事项</w:t>
      </w:r>
    </w:p>
    <w:p w14:paraId="02F533C8">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"_Toc30038"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13D03994">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"_Toc6831"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363DA5E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"_Toc3845"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7612762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"_Toc11927"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3D4C350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"_Toc7443"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2F9A11B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"_Toc24884"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44A5CB8E">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"_Toc16518"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277EE40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"_Toc20514"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49FE811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"_Toc18055" </w:instrText>
      </w:r>
      <w:r>
        <w:fldChar w:fldCharType="separate"/>
      </w:r>
      <w:r>
        <w:rPr>
          <w:rFonts w:hint="eastAsia" w:ascii="仿宋_GB2312" w:hAnsi="仿宋_GB2312" w:eastAsia="仿宋_GB2312" w:cs="仿宋_GB2312"/>
          <w:bCs/>
          <w:kern w:val="0"/>
          <w:sz w:val="32"/>
          <w:szCs w:val="32"/>
        </w:rPr>
        <w:t>七、《政府性基金预算财政拨款收入支出决算表》</w:t>
      </w:r>
      <w:r>
        <w:rPr>
          <w:rFonts w:hint="eastAsia" w:ascii="仿宋_GB2312" w:hAnsi="仿宋_GB2312" w:eastAsia="仿宋_GB2312" w:cs="仿宋_GB2312"/>
          <w:bCs/>
          <w:kern w:val="0"/>
          <w:sz w:val="32"/>
          <w:szCs w:val="32"/>
        </w:rPr>
        <w:fldChar w:fldCharType="end"/>
      </w:r>
    </w:p>
    <w:p w14:paraId="43AA163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"_Toc10719" </w:instrText>
      </w:r>
      <w:r>
        <w:fldChar w:fldCharType="separate"/>
      </w:r>
      <w:r>
        <w:rPr>
          <w:rFonts w:hint="eastAsia" w:ascii="仿宋_GB2312" w:hAnsi="仿宋_GB2312" w:eastAsia="仿宋_GB2312" w:cs="仿宋_GB2312"/>
          <w:bCs/>
          <w:kern w:val="0"/>
          <w:sz w:val="32"/>
          <w:szCs w:val="32"/>
        </w:rPr>
        <w:t>八、《国有资本经营预算财政拨款收入支出决算表》</w:t>
      </w:r>
      <w:r>
        <w:rPr>
          <w:rFonts w:hint="eastAsia" w:ascii="仿宋_GB2312" w:hAnsi="仿宋_GB2312" w:eastAsia="仿宋_GB2312" w:cs="仿宋_GB2312"/>
          <w:bCs/>
          <w:kern w:val="0"/>
          <w:sz w:val="32"/>
          <w:szCs w:val="32"/>
        </w:rPr>
        <w:fldChar w:fldCharType="end"/>
      </w:r>
    </w:p>
    <w:p w14:paraId="5D4DF260">
      <w:pPr>
        <w:pStyle w:val="7"/>
        <w:tabs>
          <w:tab w:val="right" w:leader="dot" w:pos="8306"/>
        </w:tabs>
        <w:spacing w:line="600" w:lineRule="exact"/>
        <w:ind w:left="0" w:leftChars="0"/>
        <w:rPr>
          <w:rFonts w:hint="eastAsia" w:ascii="黑体" w:hAnsi="黑体" w:eastAsia="黑体" w:cs="宋体"/>
          <w:bCs/>
          <w:kern w:val="0"/>
          <w:sz w:val="32"/>
          <w:szCs w:val="32"/>
        </w:rPr>
      </w:pPr>
      <w:r>
        <w:fldChar w:fldCharType="begin"/>
      </w:r>
      <w:r>
        <w:instrText xml:space="preserve"> HYPERLINK \l "_Toc18861" </w:instrText>
      </w:r>
      <w:r>
        <w:fldChar w:fldCharType="separate"/>
      </w:r>
      <w:r>
        <w:rPr>
          <w:rFonts w:hint="eastAsia" w:ascii="仿宋_GB2312" w:hAnsi="仿宋_GB2312" w:eastAsia="仿宋_GB2312" w:cs="仿宋_GB2312"/>
          <w:bCs/>
          <w:kern w:val="0"/>
          <w:sz w:val="32"/>
          <w:szCs w:val="32"/>
        </w:rPr>
        <w:t>九、《财政拨款“三公”经费支出决算表》</w:t>
      </w:r>
      <w:r>
        <w:rPr>
          <w:rFonts w:hint="eastAsia" w:ascii="仿宋_GB2312" w:hAnsi="仿宋_GB2312" w:eastAsia="仿宋_GB2312" w:cs="仿宋_GB2312"/>
          <w:bCs/>
          <w:kern w:val="0"/>
          <w:sz w:val="32"/>
          <w:szCs w:val="32"/>
        </w:rPr>
        <w:fldChar w:fldCharType="end"/>
      </w:r>
      <w:r>
        <w:rPr>
          <w:rFonts w:hint="eastAsia" w:ascii="仿宋_GB2312" w:hAnsi="仿宋_GB2312" w:eastAsia="仿宋_GB2312" w:cs="仿宋_GB2312"/>
          <w:sz w:val="32"/>
          <w:szCs w:val="32"/>
        </w:rPr>
        <w:fldChar w:fldCharType="end"/>
      </w:r>
    </w:p>
    <w:p w14:paraId="6A3AF186">
      <w:r>
        <w:br w:type="page"/>
      </w:r>
    </w:p>
    <w:p w14:paraId="1A406BDE">
      <w:pPr>
        <w:spacing w:line="640" w:lineRule="exact"/>
        <w:jc w:val="center"/>
        <w:outlineLvl w:val="1"/>
      </w:pPr>
      <w:r>
        <w:rPr>
          <w:rFonts w:ascii="黑体" w:hAnsi="黑体" w:eastAsia="黑体"/>
          <w:sz w:val="32"/>
        </w:rPr>
        <w:t>第一部分 单位概况</w:t>
      </w:r>
    </w:p>
    <w:p w14:paraId="367CE245">
      <w:pPr>
        <w:spacing w:line="640" w:lineRule="exact"/>
        <w:ind w:firstLine="640"/>
        <w:jc w:val="both"/>
        <w:outlineLvl w:val="2"/>
      </w:pPr>
      <w:r>
        <w:rPr>
          <w:rFonts w:ascii="黑体" w:hAnsi="黑体" w:eastAsia="黑体"/>
          <w:sz w:val="32"/>
        </w:rPr>
        <w:t>一、主要职能</w:t>
      </w:r>
    </w:p>
    <w:p w14:paraId="0A3AC1CA">
      <w:pPr>
        <w:spacing w:line="580" w:lineRule="exact"/>
        <w:ind w:firstLine="640"/>
        <w:jc w:val="both"/>
      </w:pPr>
      <w:r>
        <w:rPr>
          <w:rFonts w:ascii="仿宋_GB2312" w:hAnsi="仿宋_GB2312" w:eastAsia="仿宋_GB2312"/>
          <w:sz w:val="32"/>
        </w:rPr>
        <w:t>新疆维吾尔自治区塔里木河流域大石峡水利枢纽工程建设管理中心（简称大石峡建管中心）于2016年8月9日经自治区编委以《自治区党委编办关于设立新疆维吾尔自治区塔里木河流域大石峡水利枢纽工程建设管理局的批复》（新党编办〔2016〕100号）批准设立。因机构改革，新疆维吾尔自治区塔里木河流域大石峡水利枢纽工程建设管理局更名为新疆维吾尔自治区塔里木河流域大石峡水利枢纽工程建设管理中心，为公益二类事业单位，机构规格为县（处）级，工程建设期间经费实行自收自支，工程完工后经费实行差额预算管理。2025年1月26日，按照《关于新疆维吾尔自治区塔里木河流域大石峡水利枢纽工程建设管理中心机构编制方案的批复》（新塔办〔2025〕28号）要求，大石峡建管中心内设6个机构，规格相当于乡（科）级，分别为办公室、组织人事科、财务审计科、建设与运行管理科（安全监督科）、纪检室和水库管理站，负责大石峡水利枢纽工程的投资、建设、运营监督管理和水费收取等工作。</w:t>
      </w:r>
    </w:p>
    <w:p w14:paraId="1E6640DF">
      <w:pPr>
        <w:spacing w:line="640" w:lineRule="exact"/>
        <w:ind w:firstLine="640"/>
        <w:jc w:val="both"/>
        <w:outlineLvl w:val="2"/>
      </w:pPr>
      <w:r>
        <w:rPr>
          <w:rFonts w:ascii="黑体" w:hAnsi="黑体" w:eastAsia="黑体"/>
          <w:sz w:val="32"/>
        </w:rPr>
        <w:t>二、机构设置</w:t>
      </w:r>
    </w:p>
    <w:p w14:paraId="620F7E5D">
      <w:pPr>
        <w:spacing w:line="580" w:lineRule="exact"/>
        <w:ind w:firstLine="640"/>
        <w:jc w:val="both"/>
      </w:pPr>
      <w:r>
        <w:rPr>
          <w:rFonts w:ascii="仿宋_GB2312" w:hAnsi="仿宋_GB2312" w:eastAsia="仿宋_GB2312"/>
          <w:sz w:val="32"/>
        </w:rPr>
        <w:t>新疆维吾尔自治区塔里木河流域大石峡水利枢纽工程建设管理中心无下属预算单位。</w:t>
      </w:r>
    </w:p>
    <w:p w14:paraId="0AF58CD3">
      <w:r>
        <w:br w:type="page"/>
      </w:r>
    </w:p>
    <w:p w14:paraId="5A0AA7A2">
      <w:pPr>
        <w:spacing w:line="240" w:lineRule="auto"/>
        <w:jc w:val="center"/>
        <w:outlineLvl w:val="1"/>
      </w:pPr>
      <w:r>
        <w:rPr>
          <w:rFonts w:ascii="黑体" w:hAnsi="黑体" w:eastAsia="黑体"/>
          <w:sz w:val="32"/>
        </w:rPr>
        <w:t>第二部分 部门决算情况说明</w:t>
      </w:r>
    </w:p>
    <w:p w14:paraId="19ED34CB">
      <w:pPr>
        <w:spacing w:line="640" w:lineRule="exact"/>
        <w:ind w:firstLine="640"/>
        <w:jc w:val="both"/>
        <w:outlineLvl w:val="2"/>
      </w:pPr>
      <w:r>
        <w:rPr>
          <w:rFonts w:ascii="黑体" w:hAnsi="黑体" w:eastAsia="黑体"/>
          <w:sz w:val="32"/>
        </w:rPr>
        <w:t>一、收入支出决算总体情况说明</w:t>
      </w:r>
    </w:p>
    <w:p w14:paraId="533CE7B1">
      <w:pPr>
        <w:spacing w:line="580" w:lineRule="exact"/>
        <w:ind w:firstLine="640"/>
        <w:jc w:val="both"/>
      </w:pPr>
      <w:r>
        <w:rPr>
          <w:rFonts w:ascii="仿宋_GB2312" w:hAnsi="仿宋_GB2312" w:eastAsia="仿宋_GB2312"/>
          <w:b/>
          <w:sz w:val="32"/>
        </w:rPr>
        <w:t>2025年度收入总计41,010.53万元，</w:t>
      </w:r>
      <w:r>
        <w:rPr>
          <w:rFonts w:ascii="仿宋_GB2312" w:hAnsi="仿宋_GB2312" w:eastAsia="仿宋_GB2312"/>
          <w:b w:val="0"/>
          <w:sz w:val="32"/>
        </w:rPr>
        <w:t>其中：本年收入合计41,009.78万元，使用非财政拨款</w:t>
      </w:r>
      <w:bookmarkStart w:id="0" w:name="_GoBack"/>
      <w:bookmarkEnd w:id="0"/>
      <w:r>
        <w:rPr>
          <w:rFonts w:ascii="仿宋_GB2312" w:hAnsi="仿宋_GB2312" w:eastAsia="仿宋_GB2312"/>
          <w:b w:val="0"/>
          <w:sz w:val="32"/>
        </w:rPr>
        <w:t>结余（含专用结余）0.00万元，年初结转和结余0.75万元。</w:t>
      </w:r>
    </w:p>
    <w:p w14:paraId="594E1E02">
      <w:pPr>
        <w:spacing w:line="580" w:lineRule="exact"/>
        <w:ind w:firstLine="640"/>
        <w:jc w:val="both"/>
      </w:pPr>
      <w:r>
        <w:rPr>
          <w:rFonts w:ascii="仿宋_GB2312" w:hAnsi="仿宋_GB2312" w:eastAsia="仿宋_GB2312"/>
          <w:b/>
          <w:sz w:val="32"/>
        </w:rPr>
        <w:t>2025年度支出总计41,010.53万元，</w:t>
      </w:r>
      <w:r>
        <w:rPr>
          <w:rFonts w:ascii="仿宋_GB2312" w:hAnsi="仿宋_GB2312" w:eastAsia="仿宋_GB2312"/>
          <w:b w:val="0"/>
          <w:sz w:val="32"/>
        </w:rPr>
        <w:t>其中：本年支出合计40,910.74万元，结余分配99.04万元，年末结转和结余0.75万元。</w:t>
      </w:r>
    </w:p>
    <w:p w14:paraId="43704B3B">
      <w:pPr>
        <w:spacing w:line="580" w:lineRule="exact"/>
        <w:ind w:firstLine="640"/>
        <w:jc w:val="both"/>
      </w:pPr>
      <w:r>
        <w:rPr>
          <w:rFonts w:ascii="仿宋_GB2312" w:hAnsi="仿宋_GB2312" w:eastAsia="仿宋_GB2312"/>
          <w:b/>
          <w:sz w:val="32"/>
        </w:rPr>
        <w:t>收入支出总体与上年相比，</w:t>
      </w:r>
      <w:r>
        <w:rPr>
          <w:rFonts w:ascii="仿宋_GB2312" w:hAnsi="仿宋_GB2312" w:eastAsia="仿宋_GB2312"/>
          <w:b w:val="0"/>
          <w:sz w:val="32"/>
        </w:rPr>
        <w:t>增加41,010.53万元，增长100.00%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主要原因是：本单位为本年新增预算单位，无上年对比数据。</w:t>
      </w:r>
    </w:p>
    <w:p w14:paraId="7E5342B0">
      <w:pPr>
        <w:spacing w:line="640" w:lineRule="exact"/>
        <w:ind w:firstLine="640"/>
        <w:jc w:val="both"/>
        <w:outlineLvl w:val="2"/>
      </w:pPr>
      <w:r>
        <w:rPr>
          <w:rFonts w:ascii="黑体" w:hAnsi="黑体" w:eastAsia="黑体"/>
          <w:sz w:val="32"/>
        </w:rPr>
        <w:t>二、收入决算情况说明</w:t>
      </w:r>
    </w:p>
    <w:p w14:paraId="66F3A523">
      <w:pPr>
        <w:spacing w:line="580" w:lineRule="exact"/>
        <w:ind w:firstLine="640"/>
        <w:jc w:val="both"/>
      </w:pPr>
      <w:r>
        <w:rPr>
          <w:rFonts w:ascii="仿宋_GB2312" w:hAnsi="仿宋_GB2312" w:eastAsia="仿宋_GB2312"/>
          <w:b/>
          <w:sz w:val="32"/>
        </w:rPr>
        <w:t>本年收入41,009.78万元，</w:t>
      </w:r>
      <w:r>
        <w:rPr>
          <w:rFonts w:ascii="仿宋_GB2312" w:hAnsi="仿宋_GB2312" w:eastAsia="仿宋_GB2312"/>
          <w:b w:val="0"/>
          <w:sz w:val="32"/>
        </w:rPr>
        <w:t>其中：财政拨款收入40,000.00万元，占97.54%；上级补助收入0.00万元，占0.00%；事业收入0.00万元，占0.00%；经营收入1,003.08万元，占2.45%；附属单位上缴收入0.00万元，占0.00%；其他收入6.70万元，占0.02%。</w:t>
      </w:r>
    </w:p>
    <w:p w14:paraId="0C167530">
      <w:pPr>
        <w:spacing w:line="640" w:lineRule="exact"/>
        <w:ind w:firstLine="640"/>
        <w:jc w:val="both"/>
        <w:outlineLvl w:val="2"/>
      </w:pPr>
      <w:r>
        <w:rPr>
          <w:rFonts w:ascii="黑体" w:hAnsi="黑体" w:eastAsia="黑体"/>
          <w:sz w:val="32"/>
        </w:rPr>
        <w:t>三、支出决算情况说明</w:t>
      </w:r>
    </w:p>
    <w:p w14:paraId="5668258B">
      <w:pPr>
        <w:spacing w:line="580" w:lineRule="exact"/>
        <w:ind w:firstLine="640"/>
        <w:jc w:val="both"/>
      </w:pPr>
      <w:r>
        <w:rPr>
          <w:rFonts w:ascii="仿宋_GB2312" w:hAnsi="仿宋_GB2312" w:eastAsia="仿宋_GB2312"/>
          <w:b/>
          <w:sz w:val="32"/>
        </w:rPr>
        <w:t>本年支出40,910.74万元，</w:t>
      </w:r>
      <w:r>
        <w:rPr>
          <w:rFonts w:ascii="仿宋_GB2312" w:hAnsi="仿宋_GB2312" w:eastAsia="仿宋_GB2312"/>
          <w:b w:val="0"/>
          <w:sz w:val="32"/>
        </w:rPr>
        <w:t>其中：基本支出0.00万元，占0.00%；项目支出40,000.00万元，占97.77%；上缴上级支出0.00万元，占0.00%；经营支出910.74万元，占2.23%；对附属单位补助支出0.00万元，占0.00%。</w:t>
      </w:r>
    </w:p>
    <w:p w14:paraId="5AB9B99C">
      <w:pPr>
        <w:spacing w:line="640" w:lineRule="exact"/>
        <w:ind w:firstLine="640"/>
        <w:jc w:val="both"/>
        <w:outlineLvl w:val="2"/>
      </w:pPr>
      <w:r>
        <w:rPr>
          <w:rFonts w:ascii="黑体" w:hAnsi="黑体" w:eastAsia="黑体"/>
          <w:sz w:val="32"/>
        </w:rPr>
        <w:t>四、财政拨款收入支出决算总体情况说明</w:t>
      </w:r>
    </w:p>
    <w:p w14:paraId="73610956">
      <w:pPr>
        <w:spacing w:line="580" w:lineRule="exact"/>
        <w:ind w:firstLine="640"/>
        <w:jc w:val="both"/>
      </w:pPr>
      <w:r>
        <w:rPr>
          <w:rFonts w:ascii="仿宋_GB2312" w:hAnsi="仿宋_GB2312" w:eastAsia="仿宋_GB2312"/>
          <w:b/>
          <w:sz w:val="32"/>
        </w:rPr>
        <w:t>2025年度财政拨款收入总计40,000.00万元，</w:t>
      </w:r>
      <w:r>
        <w:rPr>
          <w:rFonts w:ascii="仿宋_GB2312" w:hAnsi="仿宋_GB2312" w:eastAsia="仿宋_GB2312"/>
          <w:b w:val="0"/>
          <w:sz w:val="32"/>
        </w:rPr>
        <w:t>其中：年初财政拨款结转和结余0.00万元，本年财政拨款收入40,000.00万元。</w:t>
      </w:r>
      <w:r>
        <w:rPr>
          <w:rFonts w:ascii="仿宋_GB2312" w:hAnsi="仿宋_GB2312" w:eastAsia="仿宋_GB2312"/>
          <w:b/>
          <w:sz w:val="32"/>
        </w:rPr>
        <w:t>财政拨款支出总计40,000.00万元，</w:t>
      </w:r>
      <w:r>
        <w:rPr>
          <w:rFonts w:ascii="仿宋_GB2312" w:hAnsi="仿宋_GB2312" w:eastAsia="仿宋_GB2312"/>
          <w:b w:val="0"/>
          <w:sz w:val="32"/>
        </w:rPr>
        <w:t>其中：年末财政拨款结转和结余0.00万元，本年财政拨款支出40,000.00万元。</w:t>
      </w:r>
    </w:p>
    <w:p w14:paraId="7A50F7FA">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增加40,000.00万元，增长100.00%，主要原因是：本单位为本年新增预算单位，无上年对比数据。</w:t>
      </w:r>
      <w:r>
        <w:rPr>
          <w:rFonts w:ascii="仿宋_GB2312" w:hAnsi="仿宋_GB2312" w:eastAsia="仿宋_GB2312"/>
          <w:b/>
          <w:sz w:val="32"/>
        </w:rPr>
        <w:t>与年初预算相比，</w:t>
      </w:r>
      <w:r>
        <w:rPr>
          <w:rFonts w:ascii="仿宋_GB2312" w:hAnsi="仿宋_GB2312" w:eastAsia="仿宋_GB2312"/>
          <w:b w:val="0"/>
          <w:sz w:val="32"/>
        </w:rPr>
        <w:t>年初预算数0.00万元，决算数40,000.00万元，预决算差异率100.00%，主要原因是：2025年中追加大石峡水利枢纽工程项目，导致预决算存在差异。</w:t>
      </w:r>
    </w:p>
    <w:p w14:paraId="0A5628F0">
      <w:pPr>
        <w:spacing w:line="640" w:lineRule="exact"/>
        <w:ind w:firstLine="640"/>
        <w:jc w:val="both"/>
        <w:outlineLvl w:val="2"/>
      </w:pPr>
      <w:r>
        <w:rPr>
          <w:rFonts w:ascii="黑体" w:hAnsi="黑体" w:eastAsia="黑体"/>
          <w:sz w:val="32"/>
        </w:rPr>
        <w:t>五、一般公共预算财政拨款支出决算情况说明</w:t>
      </w:r>
    </w:p>
    <w:p w14:paraId="62E2BABE">
      <w:pPr>
        <w:spacing w:line="640" w:lineRule="exact"/>
        <w:ind w:firstLine="640"/>
        <w:jc w:val="both"/>
        <w:outlineLvl w:val="3"/>
      </w:pPr>
      <w:r>
        <w:rPr>
          <w:rFonts w:ascii="楷体_GB2312" w:hAnsi="楷体_GB2312" w:eastAsia="楷体_GB2312"/>
          <w:b/>
          <w:sz w:val="32"/>
        </w:rPr>
        <w:t>（一）一般公共预算财政拨款支出决算总体情况</w:t>
      </w:r>
    </w:p>
    <w:p w14:paraId="48A97796">
      <w:pPr>
        <w:spacing w:line="580" w:lineRule="exact"/>
        <w:ind w:firstLine="640"/>
        <w:jc w:val="both"/>
      </w:pPr>
      <w:r>
        <w:rPr>
          <w:rFonts w:ascii="仿宋_GB2312" w:hAnsi="仿宋_GB2312" w:eastAsia="仿宋_GB2312"/>
          <w:b/>
          <w:sz w:val="32"/>
        </w:rPr>
        <w:t>2025年度一般公共预算财政拨款支出0.00万元，</w:t>
      </w:r>
      <w:r>
        <w:rPr>
          <w:rFonts w:ascii="仿宋_GB2312" w:hAnsi="仿宋_GB2312" w:eastAsia="仿宋_GB2312"/>
          <w:b w:val="0"/>
          <w:sz w:val="32"/>
        </w:rPr>
        <w:t>占本年支出合计的0.00%。</w:t>
      </w:r>
      <w:r>
        <w:rPr>
          <w:rFonts w:ascii="仿宋_GB2312" w:hAnsi="仿宋_GB2312" w:eastAsia="仿宋_GB2312"/>
          <w:b/>
          <w:sz w:val="32"/>
        </w:rPr>
        <w:t>与上年相比，</w:t>
      </w:r>
      <w:r>
        <w:rPr>
          <w:rFonts w:ascii="仿宋_GB2312" w:hAnsi="仿宋_GB2312" w:eastAsia="仿宋_GB2312"/>
          <w:b w:val="0"/>
          <w:sz w:val="32"/>
        </w:rPr>
        <w:t>增加0.00万元，增长0.00%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主要原因是：本单位无一般公共预算财政拨款支出。</w:t>
      </w:r>
      <w:r>
        <w:rPr>
          <w:rFonts w:ascii="仿宋_GB2312" w:hAnsi="仿宋_GB2312" w:eastAsia="仿宋_GB2312"/>
          <w:b/>
          <w:sz w:val="32"/>
        </w:rPr>
        <w:t>与年初预算相比，</w:t>
      </w:r>
      <w:r>
        <w:rPr>
          <w:rFonts w:ascii="仿宋_GB2312" w:hAnsi="仿宋_GB2312" w:eastAsia="仿宋_GB2312"/>
          <w:b w:val="0"/>
          <w:sz w:val="32"/>
        </w:rPr>
        <w:t>年初预算数0.00万元，决算数0.00万元，预决算差异率0.00%，主要原因是：2025年度无一般公共预算财政拨款支出。</w:t>
      </w:r>
    </w:p>
    <w:p w14:paraId="5101039F">
      <w:pPr>
        <w:spacing w:line="640" w:lineRule="exact"/>
        <w:ind w:firstLine="640"/>
        <w:jc w:val="both"/>
        <w:outlineLvl w:val="2"/>
      </w:pPr>
      <w:r>
        <w:rPr>
          <w:rFonts w:ascii="黑体" w:hAnsi="黑体" w:eastAsia="黑体"/>
          <w:sz w:val="32"/>
        </w:rPr>
        <w:t>六、一般公共预算财政拨款基本支出决算情况说明</w:t>
      </w:r>
    </w:p>
    <w:p w14:paraId="7440FE1A">
      <w:pPr>
        <w:spacing w:line="580" w:lineRule="exact"/>
        <w:ind w:firstLine="640"/>
        <w:jc w:val="both"/>
      </w:pPr>
      <w:r>
        <w:rPr>
          <w:rFonts w:ascii="仿宋_GB2312" w:hAnsi="仿宋_GB2312" w:eastAsia="仿宋_GB2312"/>
          <w:b w:val="0"/>
          <w:sz w:val="32"/>
        </w:rPr>
        <w:t>2025年度一般公共预算财政拨款基本支出0.00万元，其中：</w:t>
      </w:r>
      <w:r>
        <w:rPr>
          <w:rFonts w:ascii="仿宋_GB2312" w:hAnsi="仿宋_GB2312" w:eastAsia="仿宋_GB2312"/>
          <w:b/>
          <w:sz w:val="32"/>
        </w:rPr>
        <w:t>人员经费0.00万元，</w:t>
      </w:r>
      <w:r>
        <w:rPr>
          <w:rFonts w:ascii="仿宋_GB2312" w:hAnsi="仿宋_GB2312" w:eastAsia="仿宋_GB2312"/>
          <w:b w:val="0"/>
          <w:sz w:val="32"/>
        </w:rPr>
        <w:t>包括：无人员经费。</w:t>
      </w:r>
    </w:p>
    <w:p w14:paraId="252EBC8E">
      <w:pPr>
        <w:spacing w:line="580" w:lineRule="exact"/>
        <w:ind w:firstLine="640"/>
        <w:jc w:val="both"/>
      </w:pPr>
      <w:r>
        <w:rPr>
          <w:rFonts w:ascii="仿宋_GB2312" w:hAnsi="仿宋_GB2312" w:eastAsia="仿宋_GB2312"/>
          <w:b/>
          <w:sz w:val="32"/>
        </w:rPr>
        <w:t>公用经费0.00万元，</w:t>
      </w:r>
      <w:r>
        <w:rPr>
          <w:rFonts w:ascii="仿宋_GB2312" w:hAnsi="仿宋_GB2312" w:eastAsia="仿宋_GB2312"/>
          <w:b w:val="0"/>
          <w:sz w:val="32"/>
        </w:rPr>
        <w:t>包括：无公用经费。</w:t>
      </w:r>
    </w:p>
    <w:p w14:paraId="4A7F36D6">
      <w:pPr>
        <w:spacing w:line="640" w:lineRule="exact"/>
        <w:ind w:firstLine="640"/>
        <w:jc w:val="both"/>
        <w:outlineLvl w:val="2"/>
      </w:pPr>
      <w:r>
        <w:rPr>
          <w:rFonts w:ascii="黑体" w:hAnsi="黑体" w:eastAsia="黑体"/>
          <w:sz w:val="32"/>
        </w:rPr>
        <w:t>七、政府性基金预算财政拨款收入支出决算情况说明</w:t>
      </w:r>
    </w:p>
    <w:p w14:paraId="5F1391F1">
      <w:pPr>
        <w:spacing w:line="580" w:lineRule="exact"/>
        <w:ind w:firstLine="640"/>
        <w:jc w:val="both"/>
      </w:pPr>
      <w:r>
        <w:rPr>
          <w:rFonts w:ascii="仿宋_GB2312" w:hAnsi="仿宋_GB2312" w:eastAsia="仿宋_GB2312"/>
          <w:b w:val="0"/>
          <w:sz w:val="32"/>
        </w:rPr>
        <w:t>按照党中央、国务院关于党政机关习惯过紧日子的有关要求，厉行节约办一切事业，严控一般性支出。同时坚持有保有压，优化支出结构，提高资金使用效率，合理保障大石峡水利枢纽工程项目建设、工程现场管理、安全生产保障等重点支出，体现在有关支出科目中。</w:t>
      </w:r>
    </w:p>
    <w:p w14:paraId="586FBC0F">
      <w:pPr>
        <w:spacing w:line="580" w:lineRule="exact"/>
        <w:ind w:firstLine="640"/>
        <w:jc w:val="both"/>
      </w:pPr>
      <w:r>
        <w:rPr>
          <w:rFonts w:ascii="仿宋_GB2312" w:hAnsi="仿宋_GB2312" w:eastAsia="仿宋_GB2312"/>
          <w:b/>
          <w:sz w:val="32"/>
        </w:rPr>
        <w:t>2025年度政府性基金预算财政拨款收入总计40,000.00万元，</w:t>
      </w:r>
      <w:r>
        <w:rPr>
          <w:rFonts w:ascii="仿宋_GB2312" w:hAnsi="仿宋_GB2312" w:eastAsia="仿宋_GB2312"/>
          <w:b w:val="0"/>
          <w:sz w:val="32"/>
        </w:rPr>
        <w:t>其中：年初结转和结余0.00万元，本年收入40,000.00万元。</w:t>
      </w:r>
      <w:r>
        <w:rPr>
          <w:rFonts w:ascii="仿宋_GB2312" w:hAnsi="仿宋_GB2312" w:eastAsia="仿宋_GB2312"/>
          <w:b/>
          <w:sz w:val="32"/>
        </w:rPr>
        <w:t>政府性基金预算财政拨款支出总计40,000.00万元，</w:t>
      </w:r>
      <w:r>
        <w:rPr>
          <w:rFonts w:ascii="仿宋_GB2312" w:hAnsi="仿宋_GB2312" w:eastAsia="仿宋_GB2312"/>
          <w:b w:val="0"/>
          <w:sz w:val="32"/>
        </w:rPr>
        <w:t>其中：年末结转和结余0.00万元，本年支出40,000.00万元。</w:t>
      </w:r>
    </w:p>
    <w:p w14:paraId="0EB9414F">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增加40,000.00万元，增长100.00%，主要原因是：本单位为本年新增预算单位，无上年对比数据。</w:t>
      </w:r>
      <w:r>
        <w:rPr>
          <w:rFonts w:ascii="仿宋_GB2312" w:hAnsi="仿宋_GB2312" w:eastAsia="仿宋_GB2312"/>
          <w:b/>
          <w:sz w:val="32"/>
        </w:rPr>
        <w:t>与年初预算相比，</w:t>
      </w:r>
      <w:r>
        <w:rPr>
          <w:rFonts w:ascii="仿宋_GB2312" w:hAnsi="仿宋_GB2312" w:eastAsia="仿宋_GB2312"/>
          <w:b w:val="0"/>
          <w:sz w:val="32"/>
        </w:rPr>
        <w:t>年初预算数0.00万元，决算数40,000.00万元，预决算差异率100.00%，主要原因是：2025年中追加大石峡水利枢纽工程项目，导致预决算存在差异。</w:t>
      </w:r>
    </w:p>
    <w:p w14:paraId="47EB0613">
      <w:pPr>
        <w:spacing w:line="580" w:lineRule="exact"/>
        <w:ind w:firstLine="640"/>
        <w:jc w:val="both"/>
      </w:pPr>
      <w:r>
        <w:rPr>
          <w:rFonts w:ascii="仿宋_GB2312" w:hAnsi="仿宋_GB2312" w:eastAsia="仿宋_GB2312"/>
          <w:b w:val="0"/>
          <w:sz w:val="32"/>
        </w:rPr>
        <w:t>政府性基金预算财政拨款本年支出40,000.00万元。具体情况如下：</w:t>
      </w:r>
    </w:p>
    <w:p w14:paraId="7D7BA90D">
      <w:pPr>
        <w:spacing w:line="580" w:lineRule="exact"/>
        <w:ind w:firstLine="640"/>
        <w:jc w:val="both"/>
      </w:pPr>
      <w:r>
        <w:rPr>
          <w:rFonts w:ascii="仿宋_GB2312" w:hAnsi="仿宋_GB2312" w:eastAsia="仿宋_GB2312"/>
          <w:b w:val="0"/>
          <w:sz w:val="32"/>
        </w:rPr>
        <w:t>1.农林水支出（类）超长期特别国债安排的支出（款）水利支出（项）：支出决算数为40,000.00万元，比上年决算增加40,000.00万元，增长100.00%，主要原因是：本单位为本年新增预算单位，无上年对比数据。</w:t>
      </w:r>
    </w:p>
    <w:p w14:paraId="2056B1E7">
      <w:pPr>
        <w:spacing w:line="640" w:lineRule="exact"/>
        <w:ind w:firstLine="640"/>
        <w:jc w:val="both"/>
        <w:outlineLvl w:val="2"/>
      </w:pPr>
      <w:r>
        <w:rPr>
          <w:rFonts w:ascii="黑体" w:hAnsi="黑体" w:eastAsia="黑体"/>
          <w:sz w:val="32"/>
        </w:rPr>
        <w:t>八、国有资本经营预算财政拨款收入支出决算情况说明</w:t>
      </w:r>
    </w:p>
    <w:p w14:paraId="31FFB278">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0E76CFF3">
      <w:pPr>
        <w:spacing w:line="640" w:lineRule="exact"/>
        <w:ind w:firstLine="640"/>
        <w:jc w:val="both"/>
        <w:outlineLvl w:val="2"/>
      </w:pPr>
      <w:r>
        <w:rPr>
          <w:rFonts w:ascii="黑体" w:hAnsi="黑体" w:eastAsia="黑体"/>
          <w:sz w:val="32"/>
        </w:rPr>
        <w:t>九、财政拨款“三公”经费支出决算情况说明</w:t>
      </w:r>
    </w:p>
    <w:p w14:paraId="25727356">
      <w:pPr>
        <w:spacing w:line="580" w:lineRule="exact"/>
        <w:ind w:firstLine="640"/>
        <w:jc w:val="both"/>
      </w:pPr>
      <w:r>
        <w:rPr>
          <w:rFonts w:ascii="仿宋_GB2312" w:hAnsi="仿宋_GB2312" w:eastAsia="仿宋_GB2312"/>
          <w:b/>
          <w:sz w:val="32"/>
        </w:rPr>
        <w:t>2025年度财政拨款“三公”经费支出0.00万元，</w:t>
      </w:r>
      <w:r>
        <w:rPr>
          <w:rFonts w:ascii="仿宋_GB2312" w:hAnsi="仿宋_GB2312" w:eastAsia="仿宋_GB2312"/>
          <w:b w:val="0"/>
          <w:sz w:val="32"/>
        </w:rPr>
        <w:t>比上年增加0.00万元，增长0.00%，主要原因是：2025年本单位无财政拨款“三公”经费支出。其中：因公出国（境）费用支出0.00万元，占0.00%，比上年增加0.00万元，增长0.00%，主要原因是：2025年本单位无因公出国（境）费用支出。公务用车购置及运行维护费支出0.00万元，占0.00%，比上年增加0.00万元，增长0.00%，主要原因是：2025年本单位无公务用车购置及运行维护费支出。公务接待费支出0.00万元，占0.00%，比上年增加0.00万元，增长0.00%，主要原因是：2025年本单位无公务接待费支出。</w:t>
      </w:r>
    </w:p>
    <w:p w14:paraId="4DEF8E96">
      <w:pPr>
        <w:spacing w:line="580" w:lineRule="exact"/>
        <w:ind w:firstLine="640"/>
        <w:jc w:val="both"/>
      </w:pPr>
      <w:r>
        <w:rPr>
          <w:rFonts w:ascii="仿宋_GB2312" w:hAnsi="仿宋_GB2312" w:eastAsia="仿宋_GB2312"/>
          <w:b/>
          <w:sz w:val="32"/>
        </w:rPr>
        <w:t>具体情况如下：</w:t>
      </w:r>
    </w:p>
    <w:p w14:paraId="5690C6DD">
      <w:pPr>
        <w:spacing w:line="580" w:lineRule="exact"/>
        <w:ind w:firstLine="640"/>
        <w:jc w:val="both"/>
      </w:pPr>
      <w:r>
        <w:rPr>
          <w:rFonts w:ascii="仿宋_GB2312" w:hAnsi="仿宋_GB2312" w:eastAsia="仿宋_GB2312"/>
          <w:b w:val="0"/>
          <w:sz w:val="32"/>
        </w:rPr>
        <w:t>因公出国（境）费用0.00万元，开支内容包括本单位无因公出国（境）费用。单位全年安排的因公出国（境）团组0个，因公出国（境）0人次。</w:t>
      </w:r>
    </w:p>
    <w:p w14:paraId="1F1044A5">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1辆，与公务用车保有量差异原因是：差异车辆为单位业务用车，车辆费用未使用财政拨款公务用车运行维护费支付，由单位自有资金经费保障。</w:t>
      </w:r>
    </w:p>
    <w:p w14:paraId="161B9C34">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51B4CD4F">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其中：因公出国（境）费用全年预算数0.00万元，决算数0.00万元，预决算差异率0.00%，主要原因是：本单位无因公出国（境）费用。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6BA9AEC8">
      <w:pPr>
        <w:spacing w:line="640" w:lineRule="exact"/>
        <w:ind w:firstLine="640"/>
        <w:jc w:val="both"/>
        <w:outlineLvl w:val="2"/>
      </w:pPr>
      <w:r>
        <w:rPr>
          <w:rFonts w:ascii="黑体" w:hAnsi="黑体" w:eastAsia="黑体"/>
          <w:sz w:val="32"/>
        </w:rPr>
        <w:t>十、其他重要事项的情况说明</w:t>
      </w:r>
    </w:p>
    <w:p w14:paraId="66B7F81E">
      <w:pPr>
        <w:spacing w:line="640" w:lineRule="exact"/>
        <w:ind w:firstLine="640"/>
        <w:jc w:val="both"/>
        <w:outlineLvl w:val="3"/>
      </w:pPr>
      <w:r>
        <w:rPr>
          <w:rFonts w:ascii="楷体_GB2312" w:hAnsi="楷体_GB2312" w:eastAsia="楷体_GB2312"/>
          <w:b/>
          <w:sz w:val="32"/>
        </w:rPr>
        <w:t>（一）机关运行经费及公用经费支出情况</w:t>
      </w:r>
    </w:p>
    <w:p w14:paraId="2DDDFD1A">
      <w:pPr>
        <w:spacing w:line="580" w:lineRule="exact"/>
        <w:ind w:firstLine="640"/>
        <w:jc w:val="both"/>
      </w:pPr>
      <w:r>
        <w:rPr>
          <w:rFonts w:ascii="仿宋_GB2312" w:hAnsi="仿宋_GB2312" w:eastAsia="仿宋_GB2312"/>
          <w:b w:val="0"/>
          <w:sz w:val="32"/>
        </w:rPr>
        <w:t>2025年度新疆维吾尔自治区塔里木河流域大石峡水利枢纽工程建设管理中心（事业单位）公用经费支出0.00万元，比上年增加0.00万元，增长0.00%，主要原因是：2025年本单位无公用经费支出。</w:t>
      </w:r>
    </w:p>
    <w:p w14:paraId="3C259932">
      <w:pPr>
        <w:spacing w:line="640" w:lineRule="exact"/>
        <w:ind w:firstLine="640"/>
        <w:jc w:val="both"/>
        <w:outlineLvl w:val="3"/>
      </w:pPr>
      <w:r>
        <w:rPr>
          <w:rFonts w:ascii="楷体_GB2312" w:hAnsi="楷体_GB2312" w:eastAsia="楷体_GB2312"/>
          <w:b/>
          <w:sz w:val="32"/>
        </w:rPr>
        <w:t>（二）政府采购情况</w:t>
      </w:r>
    </w:p>
    <w:p w14:paraId="31A1A708">
      <w:pPr>
        <w:spacing w:line="580" w:lineRule="exact"/>
        <w:ind w:firstLine="640"/>
        <w:jc w:val="both"/>
      </w:pPr>
      <w:r>
        <w:rPr>
          <w:rFonts w:ascii="仿宋_GB2312" w:hAnsi="仿宋_GB2312" w:eastAsia="仿宋_GB2312"/>
          <w:b w:val="0"/>
          <w:sz w:val="32"/>
        </w:rPr>
        <w:t>2025年度政府采购支出总额38.68万元，其中：政府采购货物支出6.42万元、政府采购工程支出0.00万元、政府采购服务支出32.27万元。</w:t>
      </w:r>
    </w:p>
    <w:p w14:paraId="31BDE00D">
      <w:pPr>
        <w:spacing w:line="580" w:lineRule="exact"/>
        <w:ind w:firstLine="640"/>
        <w:jc w:val="both"/>
      </w:pPr>
      <w:r>
        <w:rPr>
          <w:rFonts w:ascii="仿宋_GB2312" w:hAnsi="仿宋_GB2312" w:eastAsia="仿宋_GB2312"/>
          <w:b w:val="0"/>
          <w:sz w:val="32"/>
        </w:rPr>
        <w:t>授予中小企业合同金额16.49万元，占政府采购支出总额的42.63%，其中：授予小微企业合同金额16.49万元，占政府采购支出总额的42.63%。</w:t>
      </w:r>
    </w:p>
    <w:p w14:paraId="507BD670">
      <w:pPr>
        <w:spacing w:line="640" w:lineRule="exact"/>
        <w:ind w:firstLine="640"/>
        <w:jc w:val="both"/>
        <w:outlineLvl w:val="3"/>
      </w:pPr>
      <w:r>
        <w:rPr>
          <w:rFonts w:ascii="楷体_GB2312" w:hAnsi="楷体_GB2312" w:eastAsia="楷体_GB2312"/>
          <w:b/>
          <w:sz w:val="32"/>
        </w:rPr>
        <w:t>（三）国有资产占用情况说明</w:t>
      </w:r>
    </w:p>
    <w:p w14:paraId="2BD956B7">
      <w:pPr>
        <w:spacing w:line="580" w:lineRule="exact"/>
        <w:ind w:firstLine="640"/>
        <w:jc w:val="both"/>
      </w:pPr>
      <w:r>
        <w:rPr>
          <w:rFonts w:ascii="仿宋_GB2312" w:hAnsi="仿宋_GB2312" w:eastAsia="仿宋_GB2312"/>
          <w:b w:val="0"/>
          <w:sz w:val="32"/>
        </w:rPr>
        <w:t>截至2025年12月31日，房屋0.00平方米，价值0.00万元。车辆1辆，价值58.81万元，其中：副部（省）级及以上领导用车0辆、主要负责人用车0辆、机要通信用车0辆、应急保障用车0辆、执法执勤用车0辆、特种专业技术用车0辆、离退休干部服务用车0辆、其他用车1辆，其他用车主要是：单位业务用车。单价100万元（含）以上设备（不含车辆）0台（套）。</w:t>
      </w:r>
    </w:p>
    <w:p w14:paraId="562926FF">
      <w:pPr>
        <w:spacing w:line="640" w:lineRule="exact"/>
        <w:ind w:firstLine="640"/>
        <w:jc w:val="both"/>
        <w:outlineLvl w:val="2"/>
      </w:pPr>
      <w:r>
        <w:rPr>
          <w:rFonts w:ascii="黑体" w:hAnsi="黑体" w:eastAsia="黑体"/>
          <w:sz w:val="32"/>
        </w:rPr>
        <w:t>十一、预算绩效的情况说明</w:t>
      </w:r>
    </w:p>
    <w:p w14:paraId="0D5DA03C">
      <w:pPr>
        <w:spacing w:line="580" w:lineRule="exact"/>
        <w:ind w:firstLine="640"/>
        <w:jc w:val="both"/>
      </w:pPr>
      <w:r>
        <w:rPr>
          <w:rFonts w:ascii="仿宋_GB2312" w:hAnsi="仿宋_GB2312" w:eastAsia="仿宋_GB2312"/>
          <w:b w:val="0"/>
          <w:sz w:val="32"/>
        </w:rPr>
        <w:t>根据预算绩效管理要求，本单位预算绩效评价项目0个，全年预算数0.00万元，全年执行数0.00万元。预算绩效管理取得的成效：本单位无项目绩效。发现的问题及原因：本单位无项目绩效。下一步改进措施：本单位无项目绩效。</w:t>
      </w:r>
    </w:p>
    <w:p w14:paraId="6DF2FEBE">
      <w:r>
        <w:br w:type="page"/>
      </w:r>
    </w:p>
    <w:p w14:paraId="14828502">
      <w:pPr>
        <w:spacing w:line="640" w:lineRule="exact"/>
        <w:ind w:firstLine="640"/>
        <w:jc w:val="both"/>
        <w:outlineLvl w:val="2"/>
      </w:pPr>
      <w:r>
        <w:rPr>
          <w:rFonts w:ascii="黑体" w:hAnsi="黑体" w:eastAsia="黑体"/>
          <w:sz w:val="32"/>
        </w:rPr>
        <w:t>十二、其他需说明的事项</w:t>
      </w:r>
    </w:p>
    <w:p w14:paraId="4DE798DB">
      <w:pPr>
        <w:spacing w:line="580" w:lineRule="exact"/>
        <w:ind w:firstLine="640"/>
        <w:jc w:val="both"/>
      </w:pPr>
      <w:r>
        <w:rPr>
          <w:rFonts w:ascii="仿宋_GB2312" w:hAnsi="仿宋_GB2312" w:eastAsia="仿宋_GB2312"/>
          <w:b w:val="0"/>
          <w:sz w:val="32"/>
        </w:rPr>
        <w:t>本单位无其他需说明事项。</w:t>
      </w:r>
    </w:p>
    <w:p w14:paraId="26853403">
      <w:r>
        <w:br w:type="page"/>
      </w:r>
    </w:p>
    <w:p w14:paraId="54496150">
      <w:pPr>
        <w:spacing w:line="600" w:lineRule="exact"/>
        <w:jc w:val="center"/>
        <w:outlineLvl w:val="0"/>
      </w:pPr>
      <w:r>
        <w:rPr>
          <w:rFonts w:ascii="黑体" w:hAnsi="黑体" w:eastAsia="黑体"/>
          <w:sz w:val="32"/>
        </w:rPr>
        <w:t>第三部分 专业名词解释</w:t>
      </w:r>
    </w:p>
    <w:p w14:paraId="097E6169">
      <w:pPr>
        <w:autoSpaceDE w:val="0"/>
        <w:autoSpaceDN w:val="0"/>
        <w:spacing w:line="600" w:lineRule="exact"/>
        <w:ind w:firstLine="643" w:firstLineChars="200"/>
      </w:pPr>
      <w:r>
        <w:rPr>
          <w:rFonts w:ascii="仿宋_GB2312" w:hAnsi="仿宋_GB2312" w:eastAsia="仿宋_GB2312"/>
          <w:b/>
          <w:sz w:val="32"/>
        </w:rPr>
        <w:t>一、财政拨款收入：</w:t>
      </w:r>
      <w:r>
        <w:rPr>
          <w:rFonts w:ascii="仿宋_GB2312" w:hAnsi="仿宋_GB2312" w:eastAsia="仿宋_GB2312"/>
          <w:b w:val="0"/>
          <w:sz w:val="32"/>
        </w:rPr>
        <w:t>指单位本年度从同级财政部门取得的财政拨款，包括一般公共预算财政拨款、政府性基金预算财政拨款和国有资本经营预算财政拨款。</w:t>
      </w:r>
    </w:p>
    <w:p w14:paraId="418EF314">
      <w:pPr>
        <w:autoSpaceDE w:val="0"/>
        <w:autoSpaceDN w:val="0"/>
        <w:spacing w:line="600" w:lineRule="exact"/>
        <w:ind w:firstLine="643" w:firstLineChars="200"/>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118DAC35">
      <w:pPr>
        <w:autoSpaceDE w:val="0"/>
        <w:autoSpaceDN w:val="0"/>
        <w:spacing w:line="600" w:lineRule="exact"/>
        <w:ind w:firstLine="643" w:firstLineChars="200"/>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指事业单位开展专业业务活动及其辅助活动取得的收入。</w:t>
      </w:r>
    </w:p>
    <w:p w14:paraId="438A7A4E">
      <w:pPr>
        <w:autoSpaceDE w:val="0"/>
        <w:autoSpaceDN w:val="0"/>
        <w:spacing w:line="600" w:lineRule="exact"/>
        <w:ind w:firstLine="643" w:firstLineChars="200"/>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22184E66">
      <w:pPr>
        <w:autoSpaceDE w:val="0"/>
        <w:autoSpaceDN w:val="0"/>
        <w:spacing w:line="600" w:lineRule="exact"/>
        <w:ind w:firstLine="643" w:firstLineChars="200"/>
      </w:pPr>
      <w:r>
        <w:rPr>
          <w:rFonts w:ascii="仿宋_GB2312" w:hAnsi="仿宋_GB2312" w:eastAsia="仿宋_GB2312"/>
          <w:b/>
          <w:sz w:val="32"/>
        </w:rPr>
        <w:t>五、附属单位上缴收入：</w:t>
      </w:r>
      <w:r>
        <w:rPr>
          <w:rFonts w:ascii="仿宋_GB2312" w:hAnsi="仿宋_GB2312" w:eastAsia="仿宋_GB2312"/>
          <w:b w:val="0"/>
          <w:sz w:val="32"/>
        </w:rPr>
        <w:t>指事业单位附属独立核算单位按照有关规定上缴的收入。</w:t>
      </w:r>
    </w:p>
    <w:p w14:paraId="38E78870">
      <w:pPr>
        <w:autoSpaceDE w:val="0"/>
        <w:autoSpaceDN w:val="0"/>
        <w:spacing w:line="600" w:lineRule="exact"/>
        <w:ind w:firstLine="643" w:firstLineChars="200"/>
      </w:pPr>
      <w:r>
        <w:rPr>
          <w:rFonts w:ascii="仿宋_GB2312" w:hAnsi="仿宋_GB2312" w:eastAsia="仿宋_GB2312"/>
          <w:b/>
          <w:sz w:val="32"/>
        </w:rPr>
        <w:t>六、其他收入：</w:t>
      </w:r>
      <w:r>
        <w:rPr>
          <w:rFonts w:ascii="仿宋_GB2312" w:hAnsi="仿宋_GB2312" w:eastAsia="仿宋_GB2312"/>
          <w:b w:val="0"/>
          <w:sz w:val="32"/>
        </w:rPr>
        <w:t>指单位取得的除上述“财政拨款收入”“上级补助收入”“事业收入”“经营收入”“附属单位上缴收入”以外的各项收入。</w:t>
      </w:r>
    </w:p>
    <w:p w14:paraId="7C26BE82">
      <w:pPr>
        <w:autoSpaceDE w:val="0"/>
        <w:autoSpaceDN w:val="0"/>
        <w:spacing w:line="600" w:lineRule="exact"/>
        <w:ind w:firstLine="643" w:firstLineChars="200"/>
      </w:pPr>
      <w:r>
        <w:rPr>
          <w:rFonts w:ascii="仿宋_GB2312" w:hAnsi="仿宋_GB2312" w:eastAsia="仿宋_GB2312"/>
          <w:b/>
          <w:sz w:val="32"/>
        </w:rPr>
        <w:t>七、年初结转和结余：</w:t>
      </w:r>
      <w:r>
        <w:rPr>
          <w:rFonts w:ascii="仿宋_GB2312" w:hAnsi="仿宋_GB2312" w:eastAsia="仿宋_GB2312"/>
          <w:b w:val="0"/>
          <w:sz w:val="32"/>
        </w:rPr>
        <w:t>指单位上年结转本年使用的基本支出结转、项目支出结转和结余、经营结余。</w:t>
      </w:r>
    </w:p>
    <w:p w14:paraId="308FFBF2">
      <w:pPr>
        <w:autoSpaceDE w:val="0"/>
        <w:autoSpaceDN w:val="0"/>
        <w:spacing w:line="600" w:lineRule="exact"/>
        <w:ind w:firstLine="643" w:firstLineChars="200"/>
      </w:pPr>
      <w:r>
        <w:rPr>
          <w:rFonts w:ascii="仿宋_GB2312" w:hAnsi="仿宋_GB2312" w:eastAsia="仿宋_GB2312"/>
          <w:b/>
          <w:sz w:val="32"/>
        </w:rPr>
        <w:t>八、使用非财政拨款结余（含专用结余）：</w:t>
      </w:r>
      <w:r>
        <w:rPr>
          <w:rFonts w:ascii="仿宋_GB2312" w:hAnsi="仿宋_GB2312" w:eastAsia="仿宋_GB2312"/>
          <w:b w:val="0"/>
          <w:sz w:val="32"/>
        </w:rPr>
        <w:t>指单位按照预算管理要求使用非财政拨款结余弥补收支差额的金额，以及使用专用结余安排支出的金额。</w:t>
      </w:r>
    </w:p>
    <w:p w14:paraId="4EE7FD1B">
      <w:pPr>
        <w:autoSpaceDE w:val="0"/>
        <w:autoSpaceDN w:val="0"/>
        <w:spacing w:line="600" w:lineRule="exact"/>
        <w:ind w:firstLine="643" w:firstLineChars="200"/>
      </w:pPr>
      <w:r>
        <w:rPr>
          <w:rFonts w:ascii="仿宋_GB2312" w:hAnsi="仿宋_GB2312" w:eastAsia="仿宋_GB2312"/>
          <w:b/>
          <w:sz w:val="32"/>
        </w:rPr>
        <w:t>九、结余分配：</w:t>
      </w:r>
      <w:r>
        <w:rPr>
          <w:rFonts w:ascii="仿宋_GB2312" w:hAnsi="仿宋_GB2312" w:eastAsia="仿宋_GB2312"/>
          <w:b w:val="0"/>
          <w:sz w:val="32"/>
        </w:rPr>
        <w:t>指单位缴纳企业所得税以及从非财政拨款结余或经营结余中提取各类结余的情况。</w:t>
      </w:r>
    </w:p>
    <w:p w14:paraId="14920F2F">
      <w:pPr>
        <w:autoSpaceDE w:val="0"/>
        <w:autoSpaceDN w:val="0"/>
        <w:spacing w:line="600" w:lineRule="exact"/>
        <w:ind w:firstLine="643" w:firstLineChars="200"/>
      </w:pPr>
      <w:r>
        <w:rPr>
          <w:rFonts w:ascii="仿宋_GB2312" w:hAnsi="仿宋_GB2312" w:eastAsia="仿宋_GB2312"/>
          <w:b/>
          <w:sz w:val="32"/>
        </w:rPr>
        <w:t>十、年末结转和结余：</w:t>
      </w:r>
      <w:r>
        <w:rPr>
          <w:rFonts w:ascii="仿宋_GB2312" w:hAnsi="仿宋_GB2312" w:eastAsia="仿宋_GB2312"/>
          <w:b w:val="0"/>
          <w:sz w:val="32"/>
        </w:rPr>
        <w:t>指单位结转下年的基本支出结转、项目支出结转和结余、经营结余。</w:t>
      </w:r>
    </w:p>
    <w:p w14:paraId="1A2A2327">
      <w:pPr>
        <w:autoSpaceDE w:val="0"/>
        <w:autoSpaceDN w:val="0"/>
        <w:spacing w:line="600" w:lineRule="exact"/>
        <w:ind w:firstLine="643" w:firstLineChars="200"/>
      </w:pPr>
      <w:r>
        <w:rPr>
          <w:rFonts w:ascii="仿宋_GB2312" w:hAnsi="仿宋_GB2312" w:eastAsia="仿宋_GB2312"/>
          <w:b/>
          <w:sz w:val="32"/>
        </w:rPr>
        <w:t>十一、基本支出：</w:t>
      </w:r>
      <w:r>
        <w:rPr>
          <w:rFonts w:ascii="仿宋_GB2312" w:hAnsi="仿宋_GB2312" w:eastAsia="仿宋_GB2312"/>
          <w:b w:val="0"/>
          <w:sz w:val="32"/>
        </w:rPr>
        <w:t>指单位为保障机构正常运转、完成日常工作任务而发生的各项支出。</w:t>
      </w:r>
    </w:p>
    <w:p w14:paraId="63A756F8">
      <w:pPr>
        <w:autoSpaceDE w:val="0"/>
        <w:autoSpaceDN w:val="0"/>
        <w:spacing w:line="600" w:lineRule="exact"/>
        <w:ind w:firstLine="643" w:firstLineChars="200"/>
      </w:pPr>
      <w:r>
        <w:rPr>
          <w:rFonts w:ascii="仿宋_GB2312" w:hAnsi="仿宋_GB2312" w:eastAsia="仿宋_GB2312"/>
          <w:b/>
          <w:sz w:val="32"/>
        </w:rPr>
        <w:t>十二、项目支出：</w:t>
      </w:r>
      <w:r>
        <w:rPr>
          <w:rFonts w:ascii="仿宋_GB2312" w:hAnsi="仿宋_GB2312" w:eastAsia="仿宋_GB2312"/>
          <w:b w:val="0"/>
          <w:sz w:val="32"/>
        </w:rPr>
        <w:t>指单位为完成特定的行政工作任务或事业发展目标，在基本支出之外发生的各项支出。</w:t>
      </w:r>
    </w:p>
    <w:p w14:paraId="320A6BEB">
      <w:pPr>
        <w:autoSpaceDE w:val="0"/>
        <w:autoSpaceDN w:val="0"/>
        <w:spacing w:line="600" w:lineRule="exact"/>
        <w:ind w:firstLine="643" w:firstLineChars="200"/>
      </w:pPr>
      <w:r>
        <w:rPr>
          <w:rFonts w:ascii="仿宋_GB2312" w:hAnsi="仿宋_GB2312" w:eastAsia="仿宋_GB2312"/>
          <w:b/>
          <w:sz w:val="32"/>
        </w:rPr>
        <w:t>十三、上缴上级支出：</w:t>
      </w:r>
      <w:r>
        <w:rPr>
          <w:rFonts w:ascii="仿宋_GB2312" w:hAnsi="仿宋_GB2312" w:eastAsia="仿宋_GB2312"/>
          <w:b w:val="0"/>
          <w:sz w:val="32"/>
        </w:rPr>
        <w:t>指事业单位按照财政部门和主管部门的规定上缴上级单位的支出。</w:t>
      </w:r>
    </w:p>
    <w:p w14:paraId="1A2C2C83">
      <w:pPr>
        <w:autoSpaceDE w:val="0"/>
        <w:autoSpaceDN w:val="0"/>
        <w:spacing w:line="600" w:lineRule="exact"/>
        <w:ind w:firstLine="643" w:firstLineChars="200"/>
      </w:pPr>
      <w:r>
        <w:rPr>
          <w:rFonts w:ascii="仿宋_GB2312" w:hAnsi="仿宋_GB2312" w:eastAsia="仿宋_GB2312"/>
          <w:b/>
          <w:sz w:val="32"/>
        </w:rPr>
        <w:t>十四、经营支出：</w:t>
      </w:r>
      <w:r>
        <w:rPr>
          <w:rFonts w:ascii="仿宋_GB2312" w:hAnsi="仿宋_GB2312" w:eastAsia="仿宋_GB2312"/>
          <w:b w:val="0"/>
          <w:sz w:val="32"/>
        </w:rPr>
        <w:t>指事业单位在专业活动及辅助活动之外开展非独立核算经营活动发生的支出。</w:t>
      </w:r>
    </w:p>
    <w:p w14:paraId="46E4CD41">
      <w:pPr>
        <w:autoSpaceDE w:val="0"/>
        <w:autoSpaceDN w:val="0"/>
        <w:spacing w:line="600" w:lineRule="exact"/>
        <w:ind w:firstLine="643" w:firstLineChars="200"/>
      </w:pPr>
      <w:r>
        <w:rPr>
          <w:rFonts w:ascii="仿宋_GB2312" w:hAnsi="仿宋_GB2312" w:eastAsia="仿宋_GB2312"/>
          <w:b/>
          <w:sz w:val="32"/>
        </w:rPr>
        <w:t>十五、对附属单位补助支出：</w:t>
      </w:r>
      <w:r>
        <w:rPr>
          <w:rFonts w:ascii="仿宋_GB2312" w:hAnsi="仿宋_GB2312" w:eastAsia="仿宋_GB2312"/>
          <w:b w:val="0"/>
          <w:sz w:val="32"/>
        </w:rPr>
        <w:t>指事业单位用财政补助收入之外的收入对附属单位补助发生的支出。</w:t>
      </w:r>
    </w:p>
    <w:p w14:paraId="21F5C32A">
      <w:pPr>
        <w:autoSpaceDE w:val="0"/>
        <w:autoSpaceDN w:val="0"/>
        <w:spacing w:line="600" w:lineRule="exact"/>
        <w:ind w:firstLine="643" w:firstLineChars="200"/>
      </w:pPr>
      <w:r>
        <w:rPr>
          <w:rFonts w:ascii="仿宋_GB2312" w:hAnsi="仿宋_GB2312" w:eastAsia="仿宋_GB2312"/>
          <w:b/>
          <w:sz w:val="32"/>
        </w:rPr>
        <w:t>十六、“三公”经费：</w:t>
      </w:r>
      <w:r>
        <w:rPr>
          <w:rFonts w:ascii="仿宋_GB2312" w:hAnsi="仿宋_GB2312" w:eastAsia="仿宋_GB2312"/>
          <w:b w:val="0"/>
          <w:sz w:val="32"/>
        </w:rPr>
        <w:t>指单位使用财政拨款安排的因公出国（境）费用、公务用车购置及运行维护费和公务接待费。其中，因公出国（境）费用反映单位公务出国（境）的国际旅费、国外城市间交通费、住宿费、伙食费、培训费、公杂费等支出；公务用车购置费反映公务用车购置支出（含车辆购置税、牌照费）；公务用车运行维护费反映单位按规定保留的公务用车燃料费、新能源汽车充电费、维修费、过路过桥费、保险费、安全奖励费用等支出；公务接待费反映单位按规定开支的各类公务接待（含外宾接待）费用。</w:t>
      </w:r>
    </w:p>
    <w:p w14:paraId="33DDB701">
      <w:pPr>
        <w:autoSpaceDE w:val="0"/>
        <w:autoSpaceDN w:val="0"/>
        <w:spacing w:line="600" w:lineRule="exact"/>
        <w:ind w:firstLine="643" w:firstLineChars="200"/>
      </w:pPr>
      <w:r>
        <w:rPr>
          <w:rFonts w:ascii="仿宋_GB2312" w:hAnsi="仿宋_GB2312" w:eastAsia="仿宋_GB2312"/>
          <w:b/>
          <w:sz w:val="32"/>
        </w:rPr>
        <w:t>十七、机关运行经费：</w:t>
      </w:r>
      <w:r>
        <w:rPr>
          <w:rFonts w:ascii="仿宋_GB2312" w:hAnsi="仿宋_GB2312" w:eastAsia="仿宋_GB2312"/>
          <w:b w:val="0"/>
          <w:sz w:val="32"/>
        </w:rPr>
        <w:t>指行政单位和参照公务员法管理的事业单位财政拨款基本支出中的公用经费支出。</w:t>
      </w:r>
    </w:p>
    <w:p w14:paraId="02358464">
      <w:r>
        <w:br w:type="page"/>
      </w:r>
    </w:p>
    <w:p w14:paraId="66000261">
      <w:pPr>
        <w:spacing w:line="240" w:lineRule="auto"/>
        <w:jc w:val="center"/>
        <w:outlineLvl w:val="1"/>
      </w:pPr>
      <w:r>
        <w:rPr>
          <w:rFonts w:ascii="黑体" w:hAnsi="黑体" w:eastAsia="黑体"/>
          <w:sz w:val="32"/>
        </w:rPr>
        <w:t>第四部分 部门决算报表（见附表）</w:t>
      </w:r>
    </w:p>
    <w:p w14:paraId="670C30EA">
      <w:pPr>
        <w:autoSpaceDE w:val="0"/>
        <w:autoSpaceDN w:val="0"/>
        <w:spacing w:line="600" w:lineRule="exact"/>
        <w:ind w:firstLine="640" w:firstLineChars="200"/>
      </w:pPr>
      <w:r>
        <w:rPr>
          <w:rFonts w:ascii="仿宋_GB2312" w:hAnsi="仿宋_GB2312" w:eastAsia="仿宋_GB2312"/>
          <w:b w:val="0"/>
          <w:sz w:val="32"/>
        </w:rPr>
        <w:t>一、《收入支出决算总表》</w:t>
      </w:r>
    </w:p>
    <w:p w14:paraId="7678087A">
      <w:pPr>
        <w:autoSpaceDE w:val="0"/>
        <w:autoSpaceDN w:val="0"/>
        <w:spacing w:line="600" w:lineRule="exact"/>
        <w:ind w:firstLine="640" w:firstLineChars="200"/>
      </w:pPr>
      <w:r>
        <w:rPr>
          <w:rFonts w:ascii="仿宋_GB2312" w:hAnsi="仿宋_GB2312" w:eastAsia="仿宋_GB2312"/>
          <w:b w:val="0"/>
          <w:sz w:val="32"/>
        </w:rPr>
        <w:t>二、《收入决算表》</w:t>
      </w:r>
    </w:p>
    <w:p w14:paraId="34FB1450">
      <w:pPr>
        <w:autoSpaceDE w:val="0"/>
        <w:autoSpaceDN w:val="0"/>
        <w:spacing w:line="600" w:lineRule="exact"/>
        <w:ind w:firstLine="640" w:firstLineChars="200"/>
      </w:pPr>
      <w:r>
        <w:rPr>
          <w:rFonts w:ascii="仿宋_GB2312" w:hAnsi="仿宋_GB2312" w:eastAsia="仿宋_GB2312"/>
          <w:b w:val="0"/>
          <w:sz w:val="32"/>
        </w:rPr>
        <w:t>三、《支出决算表》</w:t>
      </w:r>
    </w:p>
    <w:p w14:paraId="34E0DDF6">
      <w:pPr>
        <w:autoSpaceDE w:val="0"/>
        <w:autoSpaceDN w:val="0"/>
        <w:spacing w:line="600" w:lineRule="exact"/>
        <w:ind w:firstLine="640" w:firstLineChars="200"/>
      </w:pPr>
      <w:r>
        <w:rPr>
          <w:rFonts w:ascii="仿宋_GB2312" w:hAnsi="仿宋_GB2312" w:eastAsia="仿宋_GB2312"/>
          <w:b w:val="0"/>
          <w:sz w:val="32"/>
        </w:rPr>
        <w:t>四、《财政拨款收入支出决算总表》</w:t>
      </w:r>
    </w:p>
    <w:p w14:paraId="14F3A38E">
      <w:pPr>
        <w:autoSpaceDE w:val="0"/>
        <w:autoSpaceDN w:val="0"/>
        <w:spacing w:line="600" w:lineRule="exact"/>
        <w:ind w:firstLine="640" w:firstLineChars="200"/>
      </w:pPr>
      <w:r>
        <w:rPr>
          <w:rFonts w:ascii="仿宋_GB2312" w:hAnsi="仿宋_GB2312" w:eastAsia="仿宋_GB2312"/>
          <w:b w:val="0"/>
          <w:sz w:val="32"/>
        </w:rPr>
        <w:t>五、《一般公共预算财政拨款支出决算表》</w:t>
      </w:r>
    </w:p>
    <w:p w14:paraId="6004C0C3">
      <w:pPr>
        <w:autoSpaceDE w:val="0"/>
        <w:autoSpaceDN w:val="0"/>
        <w:spacing w:line="600" w:lineRule="exact"/>
        <w:ind w:firstLine="640" w:firstLineChars="200"/>
      </w:pPr>
      <w:r>
        <w:rPr>
          <w:rFonts w:ascii="仿宋_GB2312" w:hAnsi="仿宋_GB2312" w:eastAsia="仿宋_GB2312"/>
          <w:b w:val="0"/>
          <w:sz w:val="32"/>
        </w:rPr>
        <w:t>六、《一般公共预算财政拨款基本支出决算表》</w:t>
      </w:r>
    </w:p>
    <w:p w14:paraId="21D9739E">
      <w:pPr>
        <w:autoSpaceDE w:val="0"/>
        <w:autoSpaceDN w:val="0"/>
        <w:spacing w:line="600" w:lineRule="exact"/>
        <w:ind w:firstLine="640" w:firstLineChars="200"/>
      </w:pPr>
      <w:r>
        <w:rPr>
          <w:rFonts w:ascii="仿宋_GB2312" w:hAnsi="仿宋_GB2312" w:eastAsia="仿宋_GB2312"/>
          <w:b w:val="0"/>
          <w:sz w:val="32"/>
        </w:rPr>
        <w:t>七、《政府性基金预算财政拨款收入支出决算表》</w:t>
      </w:r>
    </w:p>
    <w:p w14:paraId="6F424DBA">
      <w:pPr>
        <w:autoSpaceDE w:val="0"/>
        <w:autoSpaceDN w:val="0"/>
        <w:spacing w:line="600" w:lineRule="exact"/>
        <w:ind w:firstLine="640" w:firstLineChars="200"/>
      </w:pPr>
      <w:r>
        <w:rPr>
          <w:rFonts w:ascii="仿宋_GB2312" w:hAnsi="仿宋_GB2312" w:eastAsia="仿宋_GB2312"/>
          <w:b w:val="0"/>
          <w:sz w:val="32"/>
        </w:rPr>
        <w:t>八、《国有资本经营预算财政拨款收入支出决算表》</w:t>
      </w:r>
    </w:p>
    <w:p w14:paraId="3CE35702">
      <w:pPr>
        <w:autoSpaceDE w:val="0"/>
        <w:autoSpaceDN w:val="0"/>
        <w:spacing w:line="600" w:lineRule="exact"/>
        <w:ind w:firstLine="640" w:firstLineChars="200"/>
      </w:pPr>
      <w:r>
        <w:rPr>
          <w:rFonts w:ascii="仿宋_GB2312" w:hAnsi="仿宋_GB2312" w:eastAsia="仿宋_GB2312"/>
          <w:b w:val="0"/>
          <w:sz w:val="32"/>
        </w:rPr>
        <w:t>九、《财政拨款“三公”经费支出决算表》</w:t>
      </w:r>
    </w:p>
    <w:p w14:paraId="03AC2FBF">
      <w:pPr>
        <w:autoSpaceDE w:val="0"/>
        <w:autoSpaceDN w:val="0"/>
        <w:spacing w:line="600" w:lineRule="exact"/>
        <w:ind w:firstLine="640" w:firstLineChars="200"/>
      </w:pPr>
    </w:p>
    <w:p w14:paraId="02452B2B">
      <w:pPr>
        <w:autoSpaceDE w:val="0"/>
        <w:autoSpaceDN w:val="0"/>
        <w:spacing w:line="600" w:lineRule="exact"/>
        <w:ind w:firstLine="640" w:firstLineChars="200"/>
      </w:pPr>
    </w:p>
    <w:p w14:paraId="5BEDE8FF">
      <w:pPr>
        <w:autoSpaceDE w:val="0"/>
        <w:autoSpaceDN w:val="0"/>
        <w:spacing w:line="600" w:lineRule="exact"/>
        <w:ind w:firstLine="640" w:firstLineChars="200"/>
      </w:pPr>
    </w:p>
    <w:p w14:paraId="76193898">
      <w:pPr>
        <w:autoSpaceDE w:val="0"/>
        <w:autoSpaceDN w:val="0"/>
        <w:spacing w:line="600" w:lineRule="exact"/>
        <w:ind w:firstLine="640" w:firstLineChars="200"/>
      </w:pPr>
    </w:p>
    <w:p w14:paraId="5DFAA15E">
      <w:pPr>
        <w:autoSpaceDE w:val="0"/>
        <w:autoSpaceDN w:val="0"/>
        <w:spacing w:line="600" w:lineRule="exact"/>
        <w:ind w:firstLine="640" w:firstLineChars="200"/>
      </w:pPr>
    </w:p>
    <w:sectPr>
      <w:footerReference r:id="rId3" w:type="default"/>
      <w:pgSz w:w="11906" w:h="16838"/>
      <w:pgMar w:top="2098" w:right="1531" w:bottom="1985"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4DDB03B6-C172-4E8F-9F27-5C8B56606329}"/>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9CA5C4CE-AA7F-4525-84B1-92DAB6E8351B}"/>
  </w:font>
  <w:font w:name="仿宋_GB2312">
    <w:altName w:val="微软雅黑"/>
    <w:panose1 w:val="02010609030101010101"/>
    <w:charset w:val="86"/>
    <w:family w:val="modern"/>
    <w:pitch w:val="default"/>
    <w:sig w:usb0="00000001" w:usb1="080E0000" w:usb2="00000000" w:usb3="00000000" w:csb0="00040000" w:csb1="00000000"/>
    <w:embedRegular r:id="rId3" w:fontKey="{0043780B-0B15-4C37-9FE2-35FFCC4A49AB}"/>
  </w:font>
  <w:font w:name="楷体_GB2312">
    <w:altName w:val="楷体"/>
    <w:panose1 w:val="00000000000000000000"/>
    <w:charset w:val="00"/>
    <w:family w:val="auto"/>
    <w:pitch w:val="default"/>
    <w:sig w:usb0="00000000" w:usb1="00000000" w:usb2="00000000" w:usb3="00000000" w:csb0="00000000" w:csb1="00000000"/>
    <w:embedRegular r:id="rId4" w:fontKey="{4E08D5B0-DEDB-4F34-87DC-B72795D320F0}"/>
  </w:font>
  <w:font w:name="WPSEMBED1">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1994FD">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AwYmRmZTlkODBlYWI2MWEzOGMyNWRlOTFmY2QzMTQifQ=="/>
  </w:docVars>
  <w:rsids>
    <w:rsidRoot w:val="00672051"/>
    <w:rsid w:val="000D14C6"/>
    <w:rsid w:val="002D017C"/>
    <w:rsid w:val="0039186B"/>
    <w:rsid w:val="00644722"/>
    <w:rsid w:val="00672051"/>
    <w:rsid w:val="006B29E4"/>
    <w:rsid w:val="00702FBA"/>
    <w:rsid w:val="00982448"/>
    <w:rsid w:val="009D5C6A"/>
    <w:rsid w:val="00A22425"/>
    <w:rsid w:val="00D34B7C"/>
    <w:rsid w:val="00F14B19"/>
    <w:rsid w:val="02F73D26"/>
    <w:rsid w:val="034D4FEF"/>
    <w:rsid w:val="03DE0026"/>
    <w:rsid w:val="03E2747C"/>
    <w:rsid w:val="043E5B56"/>
    <w:rsid w:val="04EF7C1A"/>
    <w:rsid w:val="06792773"/>
    <w:rsid w:val="06896151"/>
    <w:rsid w:val="09A729D8"/>
    <w:rsid w:val="0A7B4867"/>
    <w:rsid w:val="0AC260D6"/>
    <w:rsid w:val="0B8C3ECC"/>
    <w:rsid w:val="0BC24C29"/>
    <w:rsid w:val="0C3613A3"/>
    <w:rsid w:val="0C7227A7"/>
    <w:rsid w:val="0DCA6EF7"/>
    <w:rsid w:val="0E4B1576"/>
    <w:rsid w:val="11E15093"/>
    <w:rsid w:val="120E0809"/>
    <w:rsid w:val="181A30AD"/>
    <w:rsid w:val="1875698D"/>
    <w:rsid w:val="19071D6C"/>
    <w:rsid w:val="1C317E4F"/>
    <w:rsid w:val="1C472464"/>
    <w:rsid w:val="1DAF458D"/>
    <w:rsid w:val="1E086ACE"/>
    <w:rsid w:val="1EAA4A5F"/>
    <w:rsid w:val="1F040613"/>
    <w:rsid w:val="1F587A0B"/>
    <w:rsid w:val="1FE96E5D"/>
    <w:rsid w:val="2064678E"/>
    <w:rsid w:val="20DD6197"/>
    <w:rsid w:val="21F317F2"/>
    <w:rsid w:val="2241392C"/>
    <w:rsid w:val="23BC04D2"/>
    <w:rsid w:val="25275618"/>
    <w:rsid w:val="27CF2642"/>
    <w:rsid w:val="282459E2"/>
    <w:rsid w:val="2A053397"/>
    <w:rsid w:val="2A444FB1"/>
    <w:rsid w:val="2A6064E2"/>
    <w:rsid w:val="2BA9200B"/>
    <w:rsid w:val="2D1136DF"/>
    <w:rsid w:val="2DAE0E44"/>
    <w:rsid w:val="2EB07E70"/>
    <w:rsid w:val="2F9E416C"/>
    <w:rsid w:val="2FD27414"/>
    <w:rsid w:val="313F1D52"/>
    <w:rsid w:val="318029AB"/>
    <w:rsid w:val="319D6C1C"/>
    <w:rsid w:val="31C63837"/>
    <w:rsid w:val="326F0A17"/>
    <w:rsid w:val="34623382"/>
    <w:rsid w:val="390019F4"/>
    <w:rsid w:val="3914510A"/>
    <w:rsid w:val="3B1220C9"/>
    <w:rsid w:val="3D5275AC"/>
    <w:rsid w:val="3D55093B"/>
    <w:rsid w:val="3EA7725F"/>
    <w:rsid w:val="40834692"/>
    <w:rsid w:val="423A32B2"/>
    <w:rsid w:val="45765046"/>
    <w:rsid w:val="464B7E04"/>
    <w:rsid w:val="46901EEE"/>
    <w:rsid w:val="469C74D2"/>
    <w:rsid w:val="47445515"/>
    <w:rsid w:val="48E21116"/>
    <w:rsid w:val="49C97D5C"/>
    <w:rsid w:val="49F5131D"/>
    <w:rsid w:val="4AE426AE"/>
    <w:rsid w:val="4B4C0111"/>
    <w:rsid w:val="4D3F1CC6"/>
    <w:rsid w:val="4D730311"/>
    <w:rsid w:val="505A358E"/>
    <w:rsid w:val="50DB5F45"/>
    <w:rsid w:val="52F92565"/>
    <w:rsid w:val="55DA564E"/>
    <w:rsid w:val="56E07045"/>
    <w:rsid w:val="583059FA"/>
    <w:rsid w:val="587E6212"/>
    <w:rsid w:val="58D10A34"/>
    <w:rsid w:val="59973ABF"/>
    <w:rsid w:val="5A74678C"/>
    <w:rsid w:val="5AFC6609"/>
    <w:rsid w:val="5C3B09A8"/>
    <w:rsid w:val="5FA17648"/>
    <w:rsid w:val="613409CB"/>
    <w:rsid w:val="61A46A97"/>
    <w:rsid w:val="62DD7D21"/>
    <w:rsid w:val="65D97752"/>
    <w:rsid w:val="664C500C"/>
    <w:rsid w:val="670267B3"/>
    <w:rsid w:val="6773145F"/>
    <w:rsid w:val="68DB0208"/>
    <w:rsid w:val="69846A0E"/>
    <w:rsid w:val="69AD798C"/>
    <w:rsid w:val="6B68175F"/>
    <w:rsid w:val="6B8B5C99"/>
    <w:rsid w:val="6E0F7A08"/>
    <w:rsid w:val="6E801ABC"/>
    <w:rsid w:val="71473612"/>
    <w:rsid w:val="716B13F9"/>
    <w:rsid w:val="718F7F65"/>
    <w:rsid w:val="73423603"/>
    <w:rsid w:val="73DE4104"/>
    <w:rsid w:val="73FB6630"/>
    <w:rsid w:val="74CE04EC"/>
    <w:rsid w:val="74E76DCD"/>
    <w:rsid w:val="76660D7C"/>
    <w:rsid w:val="76CF72D3"/>
    <w:rsid w:val="77ED6F44"/>
    <w:rsid w:val="78B87A58"/>
    <w:rsid w:val="795A0A34"/>
    <w:rsid w:val="79FB30B5"/>
    <w:rsid w:val="7A0D3BC7"/>
    <w:rsid w:val="7A3A3CDB"/>
    <w:rsid w:val="7EAC4F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9">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customStyle="1" w:styleId="10">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1">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2">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0D2BC71-196F-4E8D-B958-07750D1EE8B3}">
  <ds:schemaRefs/>
</ds:datastoreItem>
</file>

<file path=docProps/app.xml><?xml version="1.0" encoding="utf-8"?>
<Properties xmlns="http://schemas.openxmlformats.org/officeDocument/2006/extended-properties" xmlns:vt="http://schemas.openxmlformats.org/officeDocument/2006/docPropsVTypes">
  <Template>Normal.dotm</Template>
  <Pages>16</Pages>
  <Words>2285</Words>
  <Characters>2703</Characters>
  <Lines>10</Lines>
  <Paragraphs>2</Paragraphs>
  <TotalTime>14</TotalTime>
  <ScaleCrop>false</ScaleCrop>
  <LinksUpToDate>false</LinksUpToDate>
  <CharactersWithSpaces>2711</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2026-07-22T07:37:00Z</dcterms:created>
  <dc:creator>GXR</dc:creator>
  <cp:lastModifiedBy>雨。</cp:lastModifiedBy>
  <cp:lastPrinted>2024-07-22T11:58:00Z</cp:lastPrinted>
  <dcterms:modified xsi:type="dcterms:W3CDTF">2026-08-28T09:07:27Z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8FDA567F26D84A8C8A1B02E29FDE1AE6_13</vt:lpwstr>
  </property>
  <property fmtid="{D5CDD505-2E9C-101B-9397-08002B2CF9AE}" pid="4" name="KSOTemplateDocerSaveRecord">
    <vt:lpwstr>eyJoZGlkIjoiYjc2OWIwYWEwODAyMWYzZDQ3MWM3NTI0ZDMwN2MzZTAiLCJ1c2VySWQiOiIyNTk4NTcxMjUifQ==</vt:lpwstr>
  </property>
</Properties>
</file>