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新疆维吾尔自治区塔里木河流域干流水利管理中心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5DF33FB">
      <w:r>
        <w:br w:type="page"/>
      </w:r>
    </w:p>
    <w:p w14:paraId="0841A205">
      <w:pPr>
        <w:spacing w:line="640" w:lineRule="exact"/>
        <w:jc w:val="center"/>
        <w:outlineLvl w:val="1"/>
      </w:pPr>
      <w:r>
        <w:rPr>
          <w:rFonts w:ascii="黑体" w:hAnsi="黑体" w:eastAsia="黑体"/>
          <w:sz w:val="32"/>
        </w:rPr>
        <w:t>第一部分 单位概况</w:t>
      </w:r>
    </w:p>
    <w:p w14:paraId="5A465805">
      <w:pPr>
        <w:spacing w:line="640" w:lineRule="exact"/>
        <w:ind w:firstLine="640"/>
        <w:jc w:val="both"/>
        <w:outlineLvl w:val="2"/>
      </w:pPr>
      <w:r>
        <w:rPr>
          <w:rFonts w:ascii="黑体" w:hAnsi="黑体" w:eastAsia="黑体"/>
          <w:sz w:val="32"/>
        </w:rPr>
        <w:t>一、主要职能</w:t>
      </w:r>
    </w:p>
    <w:p w14:paraId="004990CB">
      <w:pPr>
        <w:spacing w:line="580" w:lineRule="exact"/>
        <w:ind w:firstLine="640"/>
        <w:jc w:val="both"/>
      </w:pPr>
      <w:r>
        <w:rPr>
          <w:rFonts w:ascii="仿宋_GB2312" w:hAnsi="仿宋_GB2312" w:eastAsia="仿宋_GB2312"/>
          <w:sz w:val="32"/>
        </w:rPr>
        <w:t>为合理配置水资源，维护塔里木河干流生态提供管理服务；为宣传贯彻执行相关法律法规、水行政执法检查、水量调度及水费征收、水事纠纷处理、依法管理和保护塔里木河流域干流区河道水资源、水域、水土、保持生态环境及水利工程设施；经授权依法实施取水许可证制度，征收水利规费，开展水行政许可等。</w:t>
      </w:r>
    </w:p>
    <w:p w14:paraId="58642C6B">
      <w:pPr>
        <w:spacing w:line="640" w:lineRule="exact"/>
        <w:ind w:firstLine="640"/>
        <w:jc w:val="both"/>
        <w:outlineLvl w:val="2"/>
      </w:pPr>
      <w:r>
        <w:rPr>
          <w:rFonts w:ascii="黑体" w:hAnsi="黑体" w:eastAsia="黑体"/>
          <w:sz w:val="32"/>
        </w:rPr>
        <w:t>二、机构设置</w:t>
      </w:r>
    </w:p>
    <w:p w14:paraId="4F6AAABB">
      <w:pPr>
        <w:spacing w:line="580" w:lineRule="exact"/>
        <w:ind w:firstLine="640"/>
        <w:jc w:val="both"/>
      </w:pPr>
      <w:r>
        <w:rPr>
          <w:rFonts w:ascii="仿宋_GB2312" w:hAnsi="仿宋_GB2312" w:eastAsia="仿宋_GB2312"/>
          <w:sz w:val="32"/>
        </w:rPr>
        <w:t>新疆维吾尔自治区塔里木河流域干流水利管理中心无下属预算单位。</w:t>
      </w:r>
    </w:p>
    <w:p w14:paraId="4F501BA6">
      <w:r>
        <w:br w:type="page"/>
      </w:r>
    </w:p>
    <w:p w14:paraId="7E2363FC">
      <w:pPr>
        <w:spacing w:line="240" w:lineRule="auto"/>
        <w:jc w:val="center"/>
        <w:outlineLvl w:val="1"/>
      </w:pPr>
      <w:r>
        <w:rPr>
          <w:rFonts w:ascii="黑体" w:hAnsi="黑体" w:eastAsia="黑体"/>
          <w:sz w:val="32"/>
        </w:rPr>
        <w:t>第二部分 部门决算情况说明</w:t>
      </w:r>
    </w:p>
    <w:p w14:paraId="0CD8ED8A">
      <w:pPr>
        <w:spacing w:line="640" w:lineRule="exact"/>
        <w:ind w:firstLine="640"/>
        <w:jc w:val="both"/>
        <w:outlineLvl w:val="2"/>
      </w:pPr>
      <w:r>
        <w:rPr>
          <w:rFonts w:ascii="黑体" w:hAnsi="黑体" w:eastAsia="黑体"/>
          <w:sz w:val="32"/>
        </w:rPr>
        <w:t>一、收入支出决算总体情况说明</w:t>
      </w:r>
    </w:p>
    <w:p w14:paraId="5950DF51">
      <w:pPr>
        <w:spacing w:line="580" w:lineRule="exact"/>
        <w:ind w:firstLine="640"/>
        <w:jc w:val="both"/>
      </w:pPr>
      <w:r>
        <w:rPr>
          <w:rFonts w:ascii="仿宋_GB2312" w:hAnsi="仿宋_GB2312" w:eastAsia="仿宋_GB2312"/>
          <w:b/>
          <w:sz w:val="32"/>
        </w:rPr>
        <w:t>2025年度收入总计12,494.04万元，</w:t>
      </w:r>
      <w:r>
        <w:rPr>
          <w:rFonts w:ascii="仿宋_GB2312" w:hAnsi="仿宋_GB2312" w:eastAsia="仿宋_GB2312"/>
          <w:b w:val="0"/>
          <w:sz w:val="32"/>
        </w:rPr>
        <w:t>其中：本年收入合计12,494.04万元，使用非财政拨款结余（含专用结余）0.00万元，年初结转和结余0.00万元。</w:t>
      </w:r>
    </w:p>
    <w:p w14:paraId="13B7C549">
      <w:pPr>
        <w:spacing w:line="580" w:lineRule="exact"/>
        <w:ind w:firstLine="640"/>
        <w:jc w:val="both"/>
      </w:pPr>
      <w:r>
        <w:rPr>
          <w:rFonts w:ascii="仿宋_GB2312" w:hAnsi="仿宋_GB2312" w:eastAsia="仿宋_GB2312"/>
          <w:b/>
          <w:sz w:val="32"/>
        </w:rPr>
        <w:t>2025年度支出总计12,494.04万元，</w:t>
      </w:r>
      <w:r>
        <w:rPr>
          <w:rFonts w:ascii="仿宋_GB2312" w:hAnsi="仿宋_GB2312" w:eastAsia="仿宋_GB2312"/>
          <w:b w:val="0"/>
          <w:sz w:val="32"/>
        </w:rPr>
        <w:t>其中：本年支出合计7,993.84万元，结余分配4,472.22万元，年末结转和结余27.98万元。</w:t>
      </w:r>
    </w:p>
    <w:p w14:paraId="676A147A">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增加8,737.88万元，增长232.63%，主要原因是：本年增加</w:t>
      </w:r>
      <w:r>
        <w:rPr>
          <w:rFonts w:hint="eastAsia" w:ascii="仿宋_GB2312" w:hAnsi="仿宋_GB2312" w:eastAsia="仿宋_GB2312"/>
          <w:b w:val="0"/>
          <w:sz w:val="32"/>
          <w:lang w:val="en-US" w:eastAsia="zh-CN"/>
        </w:rPr>
        <w:t>水利</w:t>
      </w:r>
      <w:r>
        <w:rPr>
          <w:rFonts w:ascii="仿宋_GB2312" w:hAnsi="仿宋_GB2312" w:eastAsia="仿宋_GB2312"/>
          <w:b w:val="0"/>
          <w:sz w:val="32"/>
        </w:rPr>
        <w:t>经营收入支出项目，所以收支较上年有所增长。</w:t>
      </w:r>
    </w:p>
    <w:p w14:paraId="1EAB7DCE">
      <w:pPr>
        <w:spacing w:line="640" w:lineRule="exact"/>
        <w:ind w:firstLine="640"/>
        <w:jc w:val="both"/>
        <w:outlineLvl w:val="2"/>
      </w:pPr>
      <w:r>
        <w:rPr>
          <w:rFonts w:ascii="黑体" w:hAnsi="黑体" w:eastAsia="黑体"/>
          <w:sz w:val="32"/>
        </w:rPr>
        <w:t>二、收入决算情况说明</w:t>
      </w:r>
    </w:p>
    <w:p w14:paraId="4466F933">
      <w:pPr>
        <w:spacing w:line="580" w:lineRule="exact"/>
        <w:ind w:firstLine="640"/>
        <w:jc w:val="both"/>
      </w:pPr>
      <w:r>
        <w:rPr>
          <w:rFonts w:ascii="仿宋_GB2312" w:hAnsi="仿宋_GB2312" w:eastAsia="仿宋_GB2312"/>
          <w:b/>
          <w:sz w:val="32"/>
        </w:rPr>
        <w:t>本年收入12,494.04万元，</w:t>
      </w:r>
      <w:r>
        <w:rPr>
          <w:rFonts w:ascii="仿宋_GB2312" w:hAnsi="仿宋_GB2312" w:eastAsia="仿宋_GB2312"/>
          <w:b w:val="0"/>
          <w:sz w:val="32"/>
        </w:rPr>
        <w:t>其中：财政拨款收入3,230.73万元，占25.86%；上级补助收入0.00万元，占0.00%；事业收入0.00万元，占0.00%；经营收入9,232.14万元，占73.89%；附属单位上缴收入0.00万元，占0.00%；其他收入31.17万元，占0.25%。</w:t>
      </w:r>
    </w:p>
    <w:p w14:paraId="719B8A05">
      <w:pPr>
        <w:spacing w:line="640" w:lineRule="exact"/>
        <w:ind w:firstLine="640"/>
        <w:jc w:val="both"/>
        <w:outlineLvl w:val="2"/>
      </w:pPr>
      <w:r>
        <w:rPr>
          <w:rFonts w:ascii="黑体" w:hAnsi="黑体" w:eastAsia="黑体"/>
          <w:sz w:val="32"/>
        </w:rPr>
        <w:t>三、支出决算情况说明</w:t>
      </w:r>
    </w:p>
    <w:p w14:paraId="3B9C4239">
      <w:pPr>
        <w:spacing w:line="580" w:lineRule="exact"/>
        <w:ind w:firstLine="640"/>
        <w:jc w:val="both"/>
      </w:pPr>
      <w:r>
        <w:rPr>
          <w:rFonts w:ascii="仿宋_GB2312" w:hAnsi="仿宋_GB2312" w:eastAsia="仿宋_GB2312"/>
          <w:b/>
          <w:sz w:val="32"/>
        </w:rPr>
        <w:t>本年支出7,993.84万元，</w:t>
      </w:r>
      <w:r>
        <w:rPr>
          <w:rFonts w:ascii="仿宋_GB2312" w:hAnsi="仿宋_GB2312" w:eastAsia="仿宋_GB2312"/>
          <w:b w:val="0"/>
          <w:sz w:val="32"/>
        </w:rPr>
        <w:t>其中：基本支出3,029.73万元，占37.90%；项目支出202.22万元，占2.53%；上缴上级支出0.00万元，占0.00%；经营支出4,761.90万元，占59.57%；对附属单位补助支出0.00万元，占0.00%。</w:t>
      </w:r>
    </w:p>
    <w:p w14:paraId="445B0819">
      <w:pPr>
        <w:spacing w:line="640" w:lineRule="exact"/>
        <w:ind w:firstLine="640"/>
        <w:jc w:val="both"/>
        <w:outlineLvl w:val="2"/>
      </w:pPr>
      <w:r>
        <w:rPr>
          <w:rFonts w:ascii="黑体" w:hAnsi="黑体" w:eastAsia="黑体"/>
          <w:sz w:val="32"/>
        </w:rPr>
        <w:t>四、财政拨款收入支出决算总体情况说明</w:t>
      </w:r>
    </w:p>
    <w:p w14:paraId="7907B5DE">
      <w:pPr>
        <w:spacing w:line="580" w:lineRule="exact"/>
        <w:ind w:firstLine="640"/>
        <w:jc w:val="both"/>
      </w:pPr>
      <w:r>
        <w:rPr>
          <w:rFonts w:ascii="仿宋_GB2312" w:hAnsi="仿宋_GB2312" w:eastAsia="仿宋_GB2312"/>
          <w:b/>
          <w:sz w:val="32"/>
        </w:rPr>
        <w:t>2025年度财政拨款收入总计3,230.73万元，</w:t>
      </w:r>
      <w:r>
        <w:rPr>
          <w:rFonts w:ascii="仿宋_GB2312" w:hAnsi="仿宋_GB2312" w:eastAsia="仿宋_GB2312"/>
          <w:b w:val="0"/>
          <w:sz w:val="32"/>
        </w:rPr>
        <w:t>其中：年初财政拨款结转和结余0.00万元，本年财政拨款收入3,230.73万元。</w:t>
      </w:r>
      <w:r>
        <w:rPr>
          <w:rFonts w:ascii="仿宋_GB2312" w:hAnsi="仿宋_GB2312" w:eastAsia="仿宋_GB2312"/>
          <w:b/>
          <w:sz w:val="32"/>
        </w:rPr>
        <w:t>财政拨款支出总计3,230.73万元，</w:t>
      </w:r>
      <w:r>
        <w:rPr>
          <w:rFonts w:ascii="仿宋_GB2312" w:hAnsi="仿宋_GB2312" w:eastAsia="仿宋_GB2312"/>
          <w:b w:val="0"/>
          <w:sz w:val="32"/>
        </w:rPr>
        <w:t>其中：年末财政拨款结转和结余0.00万元，本年财政拨款支出3,230.73万元。</w:t>
      </w:r>
    </w:p>
    <w:p w14:paraId="61C7FE1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减少525.43万元，下降13.99%，主要原因是：本年水利工程维修养护经费项目、江河湖库水系综合整治项目减少，所以财政拨款收入支出有所减少。</w:t>
      </w:r>
      <w:r>
        <w:rPr>
          <w:rFonts w:ascii="仿宋_GB2312" w:hAnsi="仿宋_GB2312" w:eastAsia="仿宋_GB2312"/>
          <w:b/>
          <w:sz w:val="32"/>
        </w:rPr>
        <w:t>与年初预算相比，</w:t>
      </w:r>
      <w:r>
        <w:rPr>
          <w:rFonts w:ascii="仿宋_GB2312" w:hAnsi="仿宋_GB2312" w:eastAsia="仿宋_GB2312"/>
          <w:b w:val="0"/>
          <w:sz w:val="32"/>
        </w:rPr>
        <w:t>年初预算数2,863.03万元，决算数3,230.73万元，预决算差异率12.84%，主要原因是：年中追加2025年度水利工程运行与维护人员类项目-保工资项目，导致预决算存在差异。</w:t>
      </w:r>
    </w:p>
    <w:p w14:paraId="75A6CBA7">
      <w:pPr>
        <w:spacing w:line="640" w:lineRule="exact"/>
        <w:ind w:firstLine="640"/>
        <w:jc w:val="both"/>
        <w:outlineLvl w:val="2"/>
      </w:pPr>
      <w:r>
        <w:rPr>
          <w:rFonts w:ascii="黑体" w:hAnsi="黑体" w:eastAsia="黑体"/>
          <w:sz w:val="32"/>
        </w:rPr>
        <w:t>五、一般公共预算财政拨款支出决算情况说明</w:t>
      </w:r>
    </w:p>
    <w:p w14:paraId="44032BAB">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河道堤防日常巡查管护、水利工程维修养护、防汛应急等重点支出，体现在有关支出科目中。</w:t>
      </w:r>
    </w:p>
    <w:p w14:paraId="5623056C">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2,245.11万元，占比69.49%，主要用于河道日常巡堤查险、水利设施维修养护、闸站运行管理、防汛物资管护、工程安全监测等支出。</w:t>
      </w:r>
    </w:p>
    <w:p w14:paraId="4FCBB7D2">
      <w:pPr>
        <w:spacing w:line="640" w:lineRule="exact"/>
        <w:ind w:firstLine="640"/>
        <w:jc w:val="both"/>
        <w:outlineLvl w:val="3"/>
      </w:pPr>
      <w:r>
        <w:rPr>
          <w:rFonts w:ascii="楷体_GB2312" w:hAnsi="楷体_GB2312" w:eastAsia="楷体_GB2312"/>
          <w:b/>
          <w:sz w:val="32"/>
        </w:rPr>
        <w:t>（一）一般公共预算财政拨款支出决算总体情况</w:t>
      </w:r>
    </w:p>
    <w:p w14:paraId="1CFFA085">
      <w:pPr>
        <w:spacing w:line="580" w:lineRule="exact"/>
        <w:ind w:firstLine="640"/>
        <w:jc w:val="both"/>
      </w:pPr>
      <w:r>
        <w:rPr>
          <w:rFonts w:ascii="仿宋_GB2312" w:hAnsi="仿宋_GB2312" w:eastAsia="仿宋_GB2312"/>
          <w:b/>
          <w:sz w:val="32"/>
        </w:rPr>
        <w:t>2025年度一般公共预算财政拨款支出3,230.73万元，</w:t>
      </w:r>
      <w:r>
        <w:rPr>
          <w:rFonts w:ascii="仿宋_GB2312" w:hAnsi="仿宋_GB2312" w:eastAsia="仿宋_GB2312"/>
          <w:b w:val="0"/>
          <w:sz w:val="32"/>
        </w:rPr>
        <w:t>占本年支出合计的40.42%。</w:t>
      </w:r>
      <w:r>
        <w:rPr>
          <w:rFonts w:ascii="仿宋_GB2312" w:hAnsi="仿宋_GB2312" w:eastAsia="仿宋_GB2312"/>
          <w:b/>
          <w:sz w:val="32"/>
        </w:rPr>
        <w:t>与上年相比，</w:t>
      </w:r>
      <w:r>
        <w:rPr>
          <w:rFonts w:ascii="仿宋_GB2312" w:hAnsi="仿宋_GB2312" w:eastAsia="仿宋_GB2312"/>
          <w:b w:val="0"/>
          <w:sz w:val="32"/>
        </w:rPr>
        <w:t>减少525.43万元，下降13.99%，主要原因是：本年水利工程维修养护经费项目、江河湖库水系综合整治项目减少，所以支出有所减少。</w:t>
      </w:r>
      <w:r>
        <w:rPr>
          <w:rFonts w:ascii="仿宋_GB2312" w:hAnsi="仿宋_GB2312" w:eastAsia="仿宋_GB2312"/>
          <w:b/>
          <w:sz w:val="32"/>
        </w:rPr>
        <w:t>与年初预算相比，</w:t>
      </w:r>
      <w:r>
        <w:rPr>
          <w:rFonts w:ascii="仿宋_GB2312" w:hAnsi="仿宋_GB2312" w:eastAsia="仿宋_GB2312"/>
          <w:b w:val="0"/>
          <w:sz w:val="32"/>
        </w:rPr>
        <w:t>年初预算数2,863.03万元，决算数3,230.73万元，预决算差异率12.84%，主要原因是：年中追加2025年度水利工程运行与维护人员类项目-保工资项目，导致预决算存在差异。</w:t>
      </w:r>
    </w:p>
    <w:p w14:paraId="430D84F2">
      <w:pPr>
        <w:spacing w:line="640" w:lineRule="exact"/>
        <w:ind w:firstLine="640"/>
        <w:jc w:val="both"/>
        <w:outlineLvl w:val="3"/>
      </w:pPr>
      <w:r>
        <w:rPr>
          <w:rFonts w:ascii="楷体_GB2312" w:hAnsi="楷体_GB2312" w:eastAsia="楷体_GB2312"/>
          <w:b/>
          <w:sz w:val="32"/>
        </w:rPr>
        <w:t>（二）一般公共预算财政拨款支出决算结构情况</w:t>
      </w:r>
    </w:p>
    <w:p w14:paraId="720D18C0">
      <w:pPr>
        <w:spacing w:line="580" w:lineRule="exact"/>
        <w:ind w:firstLine="640"/>
        <w:jc w:val="both"/>
      </w:pPr>
      <w:r>
        <w:rPr>
          <w:rFonts w:ascii="仿宋_GB2312" w:hAnsi="仿宋_GB2312" w:eastAsia="仿宋_GB2312"/>
          <w:b w:val="0"/>
          <w:sz w:val="32"/>
        </w:rPr>
        <w:t>1.社会保障和就业支出（类）437.66万元，占13.55%。</w:t>
      </w:r>
    </w:p>
    <w:p w14:paraId="0E6D530F">
      <w:pPr>
        <w:spacing w:line="580" w:lineRule="exact"/>
        <w:ind w:firstLine="640"/>
        <w:jc w:val="both"/>
      </w:pPr>
      <w:r>
        <w:rPr>
          <w:rFonts w:ascii="仿宋_GB2312" w:hAnsi="仿宋_GB2312" w:eastAsia="仿宋_GB2312"/>
          <w:b w:val="0"/>
          <w:sz w:val="32"/>
        </w:rPr>
        <w:t>2.卫生健康支出（类）283.13万元，占8.76%。</w:t>
      </w:r>
    </w:p>
    <w:p w14:paraId="64CE57FD">
      <w:pPr>
        <w:spacing w:line="580" w:lineRule="exact"/>
        <w:ind w:firstLine="640"/>
        <w:jc w:val="both"/>
      </w:pPr>
      <w:r>
        <w:rPr>
          <w:rFonts w:ascii="仿宋_GB2312" w:hAnsi="仿宋_GB2312" w:eastAsia="仿宋_GB2312"/>
          <w:b w:val="0"/>
          <w:sz w:val="32"/>
        </w:rPr>
        <w:t>3.农林水支出（类）2,295.11万元，占71.04%。</w:t>
      </w:r>
    </w:p>
    <w:p w14:paraId="3EB21715">
      <w:pPr>
        <w:spacing w:line="580" w:lineRule="exact"/>
        <w:ind w:firstLine="640"/>
        <w:jc w:val="both"/>
      </w:pPr>
      <w:r>
        <w:rPr>
          <w:rFonts w:ascii="仿宋_GB2312" w:hAnsi="仿宋_GB2312" w:eastAsia="仿宋_GB2312"/>
          <w:b w:val="0"/>
          <w:sz w:val="32"/>
        </w:rPr>
        <w:t>4.住房保障支出（类）214.83万元，占6.65%。</w:t>
      </w:r>
    </w:p>
    <w:p w14:paraId="682FC572">
      <w:pPr>
        <w:spacing w:line="640" w:lineRule="exact"/>
        <w:ind w:firstLine="640"/>
        <w:jc w:val="both"/>
        <w:outlineLvl w:val="3"/>
      </w:pPr>
      <w:r>
        <w:rPr>
          <w:rFonts w:ascii="楷体_GB2312" w:hAnsi="楷体_GB2312" w:eastAsia="楷体_GB2312"/>
          <w:b/>
          <w:sz w:val="32"/>
        </w:rPr>
        <w:t>（三）一般公共预算财政拨款支出决算具体情况</w:t>
      </w:r>
    </w:p>
    <w:p w14:paraId="1FB3BBB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1.社会保障和就业支出（类）行政事业单位养老支出（款）事业单位离退休（项）：支出决算数为34.47万元，比上年决算增加3.42万元，增长11.01%，主要原因是：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退休人员绩效奖增加，导致事业单位退休费用增加。</w:t>
      </w:r>
    </w:p>
    <w:p w14:paraId="50B0CC5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283.46万元，比上年决算增加27.21万元，增长10.62%，主要原因是：2025年度调增基本工资及人员岗位晋升，缴费基数增加，导致机关事业单位基本养老保险缴费增加。</w:t>
      </w:r>
    </w:p>
    <w:p w14:paraId="6F069EB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3.社会保障和就业支出（类）行政事业单位养老支出（款）机关事业单位职业年金缴费支出（项）：支出决算数为119.73万元，比上年决算增加109.11万元，增长1,027.40%，主要原因是：因</w:t>
      </w:r>
      <w:r>
        <w:rPr>
          <w:rFonts w:hint="eastAsia" w:ascii="仿宋_GB2312" w:hAnsi="仿宋_GB2312" w:eastAsia="仿宋_GB2312"/>
          <w:b w:val="0"/>
          <w:sz w:val="32"/>
          <w:lang w:eastAsia="zh-CN"/>
        </w:rPr>
        <w:t>本单位</w:t>
      </w:r>
      <w:r>
        <w:rPr>
          <w:rFonts w:ascii="仿宋_GB2312" w:hAnsi="仿宋_GB2312" w:eastAsia="仿宋_GB2312"/>
          <w:b w:val="0"/>
          <w:sz w:val="32"/>
        </w:rPr>
        <w:t>机构改革，经费实行差额预算管理，职业年金缴纳人员范围变大，所以导致机关事业单位职业年金缴费支出增加。</w:t>
      </w:r>
    </w:p>
    <w:p w14:paraId="085D8AF0">
      <w:pPr>
        <w:spacing w:line="580" w:lineRule="exact"/>
        <w:ind w:firstLine="640"/>
        <w:jc w:val="both"/>
      </w:pPr>
      <w:r>
        <w:rPr>
          <w:rFonts w:ascii="仿宋_GB2312" w:hAnsi="仿宋_GB2312" w:eastAsia="仿宋_GB2312"/>
          <w:b w:val="0"/>
          <w:sz w:val="32"/>
        </w:rPr>
        <w:t>4.卫生健康支出（类）行政事业单位医疗（款）事业单位医疗（项）：支出决算数为157.81万元，比上年决算增加21.87万元，增长16.09%，主要原因是：2025年度调增基本工资及人员岗位晋升，医疗保障缴费基数增加，导致事业单位医疗缴费增加。</w:t>
      </w:r>
    </w:p>
    <w:p w14:paraId="638B3E20">
      <w:pPr>
        <w:spacing w:line="580" w:lineRule="exact"/>
        <w:ind w:firstLine="640"/>
        <w:jc w:val="both"/>
      </w:pPr>
      <w:r>
        <w:rPr>
          <w:rFonts w:ascii="仿宋_GB2312" w:hAnsi="仿宋_GB2312" w:eastAsia="仿宋_GB2312"/>
          <w:b w:val="0"/>
          <w:sz w:val="32"/>
        </w:rPr>
        <w:t>5.卫生健康支出（类）行政事业单位医疗（款）公务员医疗补助（项）：支出决算数为125.32万元，比上年决算增加10.41万元，增长9.06%，主要原因是：2025年度调增基本工资及人员岗位晋升，医疗保障缴费基数增加，导致公务员医疗补助缴费</w:t>
      </w:r>
      <w:r>
        <w:rPr>
          <w:rFonts w:hint="eastAsia" w:ascii="仿宋_GB2312" w:hAnsi="仿宋_GB2312" w:eastAsia="仿宋_GB2312"/>
          <w:b w:val="0"/>
          <w:sz w:val="32"/>
          <w:lang w:val="en-US" w:eastAsia="zh-CN"/>
        </w:rPr>
        <w:t>较上年</w:t>
      </w:r>
      <w:r>
        <w:rPr>
          <w:rFonts w:ascii="仿宋_GB2312" w:hAnsi="仿宋_GB2312" w:eastAsia="仿宋_GB2312"/>
          <w:b w:val="0"/>
          <w:sz w:val="32"/>
        </w:rPr>
        <w:t>增加。</w:t>
      </w:r>
    </w:p>
    <w:p w14:paraId="177DA6E4">
      <w:pPr>
        <w:spacing w:line="580" w:lineRule="exact"/>
        <w:ind w:firstLine="640"/>
        <w:jc w:val="both"/>
      </w:pPr>
      <w:r>
        <w:rPr>
          <w:rFonts w:ascii="仿宋_GB2312" w:hAnsi="仿宋_GB2312" w:eastAsia="仿宋_GB2312"/>
          <w:b w:val="0"/>
          <w:sz w:val="32"/>
        </w:rPr>
        <w:t>6.农林水支出（类）水利（款）水利工程运行与维护（项）：支出决算数为2,245.11万元，比上年决算减少718.29万元，下降24.24%，主要原因是：本年水利工程维修养护经费项目、江河湖库水系综合整治项目减少。</w:t>
      </w:r>
    </w:p>
    <w:p w14:paraId="1EB06F9B">
      <w:pPr>
        <w:spacing w:line="580" w:lineRule="exact"/>
        <w:ind w:firstLine="640"/>
        <w:jc w:val="both"/>
      </w:pPr>
      <w:r>
        <w:rPr>
          <w:rFonts w:ascii="仿宋_GB2312" w:hAnsi="仿宋_GB2312" w:eastAsia="仿宋_GB2312"/>
          <w:b w:val="0"/>
          <w:sz w:val="32"/>
        </w:rPr>
        <w:t>7.农林水支出（类）水利（款）防汛（项）：支出决算数为50.00万元，比上年决算增加50.00万元，增长100.00%，主要原因是：2025年新增财政拨款防汛经费。</w:t>
      </w:r>
    </w:p>
    <w:p w14:paraId="3812664A">
      <w:pPr>
        <w:spacing w:line="580" w:lineRule="exact"/>
        <w:ind w:firstLine="640"/>
        <w:jc w:val="both"/>
      </w:pPr>
      <w:r>
        <w:rPr>
          <w:rFonts w:ascii="仿宋_GB2312" w:hAnsi="仿宋_GB2312" w:eastAsia="仿宋_GB2312"/>
          <w:b w:val="0"/>
          <w:sz w:val="32"/>
        </w:rPr>
        <w:t>8.农林水支出（类）水利（款）江河湖库水系综合整治（项）：支出决算数为0.00万元，比上年决算减少47.00万元，下降100.00%，主要原因是：根据工作安排，2025年减少江河湖库水系综合整治项目。</w:t>
      </w:r>
    </w:p>
    <w:p w14:paraId="14461B9D">
      <w:pPr>
        <w:spacing w:line="580" w:lineRule="exact"/>
        <w:ind w:firstLine="640"/>
        <w:jc w:val="both"/>
      </w:pPr>
      <w:r>
        <w:rPr>
          <w:rFonts w:ascii="仿宋_GB2312" w:hAnsi="仿宋_GB2312" w:eastAsia="仿宋_GB2312"/>
          <w:b w:val="0"/>
          <w:sz w:val="32"/>
        </w:rPr>
        <w:t>9.住房保障支出（类）住房改革支出（款）住房公积金（项）：支出决算数为214.83万元，比上年决算增加17.83万元，增长9.05%，主要原因是：2025年度调增基本工资及人员岗位晋升，住房公积金缴费基数增加，导致住房公积金缴费增加。</w:t>
      </w:r>
    </w:p>
    <w:p w14:paraId="76D0E232">
      <w:pPr>
        <w:spacing w:line="640" w:lineRule="exact"/>
        <w:ind w:firstLine="640"/>
        <w:jc w:val="both"/>
        <w:outlineLvl w:val="2"/>
      </w:pPr>
      <w:r>
        <w:rPr>
          <w:rFonts w:ascii="黑体" w:hAnsi="黑体" w:eastAsia="黑体"/>
          <w:sz w:val="32"/>
        </w:rPr>
        <w:t>六、一般公共预算财政拨款基本支出决算情况说明</w:t>
      </w:r>
    </w:p>
    <w:p w14:paraId="19480837">
      <w:pPr>
        <w:spacing w:line="580" w:lineRule="exact"/>
        <w:ind w:firstLine="640"/>
        <w:jc w:val="both"/>
      </w:pPr>
      <w:r>
        <w:rPr>
          <w:rFonts w:ascii="仿宋_GB2312" w:hAnsi="仿宋_GB2312" w:eastAsia="仿宋_GB2312"/>
          <w:b w:val="0"/>
          <w:sz w:val="32"/>
        </w:rPr>
        <w:t>2025年度一般公共预算财政拨款基本支出3,029.73万元，其中：</w:t>
      </w:r>
      <w:r>
        <w:rPr>
          <w:rFonts w:ascii="仿宋_GB2312" w:hAnsi="仿宋_GB2312" w:eastAsia="仿宋_GB2312"/>
          <w:b/>
          <w:sz w:val="32"/>
        </w:rPr>
        <w:t>人员经费2,842.61万元，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其他对个人和家庭的补助。</w:t>
      </w:r>
    </w:p>
    <w:p w14:paraId="7E2FF347">
      <w:pPr>
        <w:spacing w:line="580" w:lineRule="exact"/>
        <w:ind w:firstLine="640"/>
        <w:jc w:val="both"/>
      </w:pPr>
      <w:r>
        <w:rPr>
          <w:rFonts w:ascii="仿宋_GB2312" w:hAnsi="仿宋_GB2312" w:eastAsia="仿宋_GB2312"/>
          <w:b/>
          <w:sz w:val="32"/>
        </w:rPr>
        <w:t>公用经费187.12万元，</w:t>
      </w:r>
      <w:r>
        <w:rPr>
          <w:rFonts w:ascii="仿宋_GB2312" w:hAnsi="仿宋_GB2312" w:eastAsia="仿宋_GB2312"/>
          <w:b w:val="0"/>
          <w:sz w:val="32"/>
        </w:rPr>
        <w:t>包括：办公费、电费、取暖费、差旅费、工会经费、福利费、公务用车运行维护费、其他商品和服务支出。</w:t>
      </w:r>
    </w:p>
    <w:p w14:paraId="39835A22">
      <w:pPr>
        <w:spacing w:line="640" w:lineRule="exact"/>
        <w:ind w:firstLine="640"/>
        <w:jc w:val="both"/>
        <w:outlineLvl w:val="2"/>
      </w:pPr>
      <w:r>
        <w:rPr>
          <w:rFonts w:ascii="黑体" w:hAnsi="黑体" w:eastAsia="黑体"/>
          <w:sz w:val="32"/>
        </w:rPr>
        <w:t>七、政府性基金预算财政拨款收入支出决算情况说明</w:t>
      </w:r>
    </w:p>
    <w:p w14:paraId="05F8120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14320C5">
      <w:pPr>
        <w:spacing w:line="640" w:lineRule="exact"/>
        <w:ind w:firstLine="640"/>
        <w:jc w:val="both"/>
        <w:outlineLvl w:val="2"/>
      </w:pPr>
      <w:r>
        <w:rPr>
          <w:rFonts w:ascii="黑体" w:hAnsi="黑体" w:eastAsia="黑体"/>
          <w:sz w:val="32"/>
        </w:rPr>
        <w:t>八、国有资本经营预算财政拨款收入支出决算情况说明</w:t>
      </w:r>
    </w:p>
    <w:p w14:paraId="49CB435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62750A">
      <w:pPr>
        <w:spacing w:line="640" w:lineRule="exact"/>
        <w:ind w:firstLine="640"/>
        <w:jc w:val="both"/>
        <w:outlineLvl w:val="2"/>
      </w:pPr>
      <w:r>
        <w:rPr>
          <w:rFonts w:ascii="黑体" w:hAnsi="黑体" w:eastAsia="黑体"/>
          <w:sz w:val="32"/>
        </w:rPr>
        <w:t>九、财政拨款“三公”经费支出决算情况说明</w:t>
      </w:r>
    </w:p>
    <w:p w14:paraId="1C16F469">
      <w:pPr>
        <w:spacing w:line="580" w:lineRule="exact"/>
        <w:ind w:firstLine="640"/>
        <w:jc w:val="both"/>
      </w:pPr>
      <w:r>
        <w:rPr>
          <w:rFonts w:ascii="仿宋_GB2312" w:hAnsi="仿宋_GB2312" w:eastAsia="仿宋_GB2312"/>
          <w:b/>
          <w:sz w:val="32"/>
        </w:rPr>
        <w:t>2025年度财政拨款“三公”经费支出5.86万元，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5.86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0A1C4A93">
      <w:pPr>
        <w:spacing w:line="580" w:lineRule="exact"/>
        <w:ind w:firstLine="640"/>
        <w:jc w:val="both"/>
      </w:pPr>
      <w:r>
        <w:rPr>
          <w:rFonts w:ascii="仿宋_GB2312" w:hAnsi="仿宋_GB2312" w:eastAsia="仿宋_GB2312"/>
          <w:b/>
          <w:sz w:val="32"/>
        </w:rPr>
        <w:t>具体情况如下：</w:t>
      </w:r>
    </w:p>
    <w:p w14:paraId="41CA9481">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F5BADC3">
      <w:pPr>
        <w:spacing w:line="580" w:lineRule="exact"/>
        <w:ind w:firstLine="640"/>
        <w:jc w:val="both"/>
      </w:pPr>
      <w:r>
        <w:rPr>
          <w:rFonts w:ascii="仿宋_GB2312" w:hAnsi="仿宋_GB2312" w:eastAsia="仿宋_GB2312"/>
          <w:b w:val="0"/>
          <w:sz w:val="32"/>
        </w:rPr>
        <w:t>公务用车购置及运行维护费5.86万元，其中：公务用车购置费0.00万元，公务用车运行维护费5.86万元。公务用车运行维护费开支内容包括燃料费、维修费及过路费等。公务用车购置数0辆，公务用车保有量9辆。国有资产占用情况中固定资产车辆0辆，与公务用车保有量差异原因是：差异车辆为调用上级单位车辆，尚未完成资产划拨，车辆费用由本单位支付。</w:t>
      </w:r>
    </w:p>
    <w:p w14:paraId="602066C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5AD84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5.86万元，决算数5.86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5.86万元，决算数5.86万元，预决算差异率0.00%，主要原因是：严格按照预算执行，预决算无差异。公务接待费全年预算数0.00万元，决算数0.00万元，预决算差异率0.00%，主要原因是：本单位无公务接待费。</w:t>
      </w:r>
    </w:p>
    <w:p w14:paraId="5243AAA0">
      <w:pPr>
        <w:spacing w:line="640" w:lineRule="exact"/>
        <w:ind w:firstLine="640"/>
        <w:jc w:val="both"/>
        <w:outlineLvl w:val="2"/>
      </w:pPr>
      <w:r>
        <w:rPr>
          <w:rFonts w:ascii="黑体" w:hAnsi="黑体" w:eastAsia="黑体"/>
          <w:sz w:val="32"/>
        </w:rPr>
        <w:t>十、其他重要事项的情况说明</w:t>
      </w:r>
    </w:p>
    <w:p w14:paraId="5D95F3ED">
      <w:pPr>
        <w:spacing w:line="640" w:lineRule="exact"/>
        <w:ind w:firstLine="640"/>
        <w:jc w:val="both"/>
        <w:outlineLvl w:val="3"/>
      </w:pPr>
      <w:r>
        <w:rPr>
          <w:rFonts w:ascii="楷体_GB2312" w:hAnsi="楷体_GB2312" w:eastAsia="楷体_GB2312"/>
          <w:b/>
          <w:sz w:val="32"/>
        </w:rPr>
        <w:t>（一）机关运行经费及公用经费支出情况</w:t>
      </w:r>
    </w:p>
    <w:p w14:paraId="028AC70F">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2025年度新疆维吾尔自治区塔里木河流域干流水利管理中心（事业单位）公用经费支出187.12万元，比上年增加20.17万元，增长12.08%，主要原因是：本年度塔里木河干流河道巡护、水资源监测、工程安全排查等履职任务增多，各类办公运行保障相关支出有所上升，经费增加全部为流域水利管理工作必需的刚性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w:t>
      </w:r>
      <w:r>
        <w:rPr>
          <w:rFonts w:ascii="仿宋_GB2312" w:hAnsi="仿宋_GB2312" w:eastAsia="仿宋_GB2312"/>
          <w:b w:val="0"/>
          <w:sz w:val="32"/>
        </w:rPr>
        <w:t>办公费</w:t>
      </w:r>
      <w:r>
        <w:rPr>
          <w:rFonts w:hint="eastAsia" w:ascii="仿宋_GB2312" w:hAnsi="仿宋_GB2312" w:eastAsia="仿宋_GB2312"/>
          <w:b w:val="0"/>
          <w:sz w:val="32"/>
          <w:lang w:eastAsia="zh-CN"/>
        </w:rPr>
        <w:t>、</w:t>
      </w:r>
      <w:r>
        <w:rPr>
          <w:rFonts w:ascii="仿宋_GB2312" w:hAnsi="仿宋_GB2312" w:eastAsia="仿宋_GB2312"/>
          <w:b w:val="0"/>
          <w:sz w:val="32"/>
        </w:rPr>
        <w:t>取暖费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福利费等</w:t>
      </w:r>
      <w:r>
        <w:rPr>
          <w:rFonts w:ascii="仿宋_GB2312" w:hAnsi="仿宋_GB2312" w:eastAsia="仿宋_GB2312"/>
          <w:b w:val="0"/>
          <w:sz w:val="32"/>
        </w:rPr>
        <w:t>。</w:t>
      </w:r>
    </w:p>
    <w:p w14:paraId="5E0D57B0">
      <w:pPr>
        <w:spacing w:line="640" w:lineRule="exact"/>
        <w:ind w:firstLine="640"/>
        <w:jc w:val="both"/>
        <w:outlineLvl w:val="3"/>
      </w:pPr>
      <w:r>
        <w:rPr>
          <w:rFonts w:ascii="楷体_GB2312" w:hAnsi="楷体_GB2312" w:eastAsia="楷体_GB2312"/>
          <w:b/>
          <w:sz w:val="32"/>
        </w:rPr>
        <w:t>（二）政府采购情况</w:t>
      </w:r>
    </w:p>
    <w:p w14:paraId="4FA7EB9F">
      <w:pPr>
        <w:spacing w:line="580" w:lineRule="exact"/>
        <w:ind w:firstLine="640"/>
        <w:jc w:val="both"/>
      </w:pPr>
      <w:r>
        <w:rPr>
          <w:rFonts w:ascii="仿宋_GB2312" w:hAnsi="仿宋_GB2312" w:eastAsia="仿宋_GB2312"/>
          <w:b w:val="0"/>
          <w:sz w:val="32"/>
        </w:rPr>
        <w:t>2025年度政府采购支出总额3,920.58万元，其中：政府采购货物支出637.31万元、政府采购工程支出723.43万元、政府采购服务支出2,559.85万元。</w:t>
      </w:r>
    </w:p>
    <w:p w14:paraId="5660DD70">
      <w:pPr>
        <w:spacing w:line="580" w:lineRule="exact"/>
        <w:ind w:firstLine="640"/>
        <w:jc w:val="both"/>
      </w:pPr>
      <w:r>
        <w:rPr>
          <w:rFonts w:ascii="仿宋_GB2312" w:hAnsi="仿宋_GB2312" w:eastAsia="仿宋_GB2312"/>
          <w:b w:val="0"/>
          <w:sz w:val="32"/>
        </w:rPr>
        <w:t>授予中小企业合同金额3,918.28万元，占政府采购支出总额的99.94%，其中：授予小微企业合同金额3,748.92万元，占政府采购支出总额的95.62%。</w:t>
      </w:r>
    </w:p>
    <w:p w14:paraId="5784F039">
      <w:pPr>
        <w:spacing w:line="640" w:lineRule="exact"/>
        <w:ind w:firstLine="640"/>
        <w:jc w:val="both"/>
        <w:outlineLvl w:val="3"/>
      </w:pPr>
      <w:r>
        <w:rPr>
          <w:rFonts w:ascii="楷体_GB2312" w:hAnsi="楷体_GB2312" w:eastAsia="楷体_GB2312"/>
          <w:b/>
          <w:sz w:val="32"/>
        </w:rPr>
        <w:t>（三）国有资产占用情况说明</w:t>
      </w:r>
    </w:p>
    <w:p w14:paraId="20D00F49">
      <w:pPr>
        <w:spacing w:line="580" w:lineRule="exact"/>
        <w:ind w:firstLine="640"/>
        <w:jc w:val="both"/>
      </w:pPr>
      <w:r>
        <w:rPr>
          <w:rFonts w:ascii="仿宋_GB2312" w:hAnsi="仿宋_GB2312" w:eastAsia="仿宋_GB2312"/>
          <w:b w:val="0"/>
          <w:sz w:val="32"/>
        </w:rPr>
        <w:t>截至2025年12月31日，房屋5,336.53平方米，价值1,235.85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9720BB4">
      <w:pPr>
        <w:spacing w:line="640" w:lineRule="exact"/>
        <w:ind w:firstLine="640"/>
        <w:jc w:val="both"/>
        <w:outlineLvl w:val="2"/>
      </w:pPr>
      <w:r>
        <w:rPr>
          <w:rFonts w:ascii="黑体" w:hAnsi="黑体" w:eastAsia="黑体"/>
          <w:sz w:val="32"/>
        </w:rPr>
        <w:t>十一、预算绩效的情况说明</w:t>
      </w:r>
    </w:p>
    <w:p w14:paraId="33EB2A76">
      <w:pPr>
        <w:spacing w:line="580" w:lineRule="exact"/>
        <w:ind w:firstLine="640"/>
        <w:jc w:val="both"/>
      </w:pPr>
      <w:r>
        <w:rPr>
          <w:rFonts w:ascii="仿宋_GB2312" w:hAnsi="仿宋_GB2312" w:eastAsia="仿宋_GB2312"/>
          <w:b w:val="0"/>
          <w:sz w:val="32"/>
        </w:rPr>
        <w:t>根据预算绩效管理要求，本单位预算绩效评价项目1个，全年预算数100.00万元，全年执行数100.00万元。预算绩效管理取得的成效：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资金运行维护决策正确，资金管理规范，项目管理到位，政策执行有力，有效发挥了</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率。预算执行方面，支出总额控制在预算总额之内，严禁超预算支出；预算管理方面，各类财务制度完备，制度执行总体较为有效；资产管理方面，建立了资产管理制度，定期进行了资产盘点和资产清理，总体执行较好。各项工作实施及资金使用情况均在绩效目标设定时限完成。发现的问题及原因：绩效管理质量有待提升，绩效管理结果应用不充分。下一步改进措施：夯实绩效管理基础，提高预算绩效管理质量，加强人员培训教育，加大绩效公开、预决算公开力度。具体附项目支出绩效自评表。</w:t>
      </w:r>
    </w:p>
    <w:p w14:paraId="2ADACC63">
      <w:r>
        <w:br w:type="page"/>
      </w:r>
    </w:p>
    <w:p w14:paraId="46EE6145">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474"/>
        <w:gridCol w:w="559"/>
        <w:gridCol w:w="559"/>
        <w:gridCol w:w="1119"/>
        <w:gridCol w:w="559"/>
        <w:gridCol w:w="559"/>
        <w:gridCol w:w="559"/>
        <w:gridCol w:w="559"/>
        <w:gridCol w:w="559"/>
        <w:gridCol w:w="559"/>
        <w:gridCol w:w="559"/>
        <w:gridCol w:w="559"/>
        <w:gridCol w:w="559"/>
        <w:gridCol w:w="559"/>
      </w:tblGrid>
      <w:tr w14:paraId="7C918796">
        <w:tblPrEx>
          <w:tblCellMar>
            <w:top w:w="36" w:type="dxa"/>
            <w:left w:w="36" w:type="dxa"/>
            <w:bottom w:w="36" w:type="dxa"/>
            <w:right w:w="36" w:type="dxa"/>
          </w:tblCellMar>
        </w:tblPrEx>
        <w:trPr>
          <w:trHeight w:val="405" w:hRule="atLeast"/>
        </w:trPr>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D5FE65B">
            <w:pPr>
              <w:spacing w:before="0" w:after="0" w:line="240" w:lineRule="auto"/>
              <w:jc w:val="center"/>
            </w:pPr>
            <w:r>
              <w:rPr>
                <w:rFonts w:ascii="宋体" w:hAnsi="宋体" w:eastAsia="宋体"/>
                <w:b/>
                <w:i w:val="0"/>
                <w:sz w:val="32"/>
              </w:rPr>
              <w:t>项目支出绩效自评表</w:t>
            </w:r>
          </w:p>
        </w:tc>
      </w:tr>
      <w:tr w14:paraId="460617D9">
        <w:tblPrEx>
          <w:tblCellMar>
            <w:top w:w="36" w:type="dxa"/>
            <w:left w:w="36" w:type="dxa"/>
            <w:bottom w:w="36" w:type="dxa"/>
            <w:right w:w="36" w:type="dxa"/>
          </w:tblCellMar>
        </w:tblPrEx>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3B691F2">
            <w:pPr>
              <w:spacing w:before="0" w:after="0" w:line="240" w:lineRule="auto"/>
              <w:jc w:val="center"/>
            </w:pPr>
            <w:r>
              <w:rPr>
                <w:rFonts w:ascii="宋体" w:hAnsi="宋体" w:eastAsia="宋体"/>
                <w:b w:val="0"/>
                <w:i w:val="0"/>
                <w:sz w:val="20"/>
              </w:rPr>
              <w:t>(2025年度)</w:t>
            </w:r>
          </w:p>
        </w:tc>
      </w:tr>
      <w:tr w14:paraId="2C317D41">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559AD">
            <w:pPr>
              <w:spacing w:before="0" w:after="0" w:line="240" w:lineRule="auto"/>
              <w:jc w:val="center"/>
            </w:pPr>
            <w:r>
              <w:rPr>
                <w:rFonts w:ascii="宋体" w:hAnsi="宋体" w:eastAsia="宋体"/>
                <w:b w:val="0"/>
                <w:i w:val="0"/>
                <w:color w:val="000000"/>
                <w:sz w:val="20"/>
              </w:rPr>
              <w:t>项目名称</w:t>
            </w:r>
          </w:p>
        </w:tc>
        <w:tc>
          <w:tcPr>
            <w:tcW w:w="55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509A5A5">
            <w:pPr>
              <w:spacing w:before="0" w:after="0" w:line="240" w:lineRule="auto"/>
              <w:jc w:val="center"/>
            </w:pPr>
            <w:r>
              <w:rPr>
                <w:rFonts w:ascii="宋体" w:hAnsi="宋体" w:eastAsia="宋体"/>
                <w:b w:val="0"/>
                <w:i w:val="0"/>
                <w:sz w:val="20"/>
              </w:rPr>
              <w:t>自治区水利发展资金专项</w:t>
            </w:r>
          </w:p>
        </w:tc>
      </w:tr>
      <w:tr w14:paraId="0876B1C0">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3DE1A">
            <w:pPr>
              <w:spacing w:before="0" w:after="0" w:line="240" w:lineRule="auto"/>
              <w:jc w:val="center"/>
            </w:pPr>
            <w:r>
              <w:rPr>
                <w:rFonts w:ascii="宋体" w:hAnsi="宋体" w:eastAsia="宋体"/>
                <w:b w:val="0"/>
                <w:i w:val="0"/>
                <w:color w:val="000000"/>
                <w:sz w:val="20"/>
              </w:rPr>
              <w:t>主管部门</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D9D9F5">
            <w:pPr>
              <w:spacing w:before="0" w:after="0" w:line="240" w:lineRule="auto"/>
              <w:jc w:val="center"/>
            </w:pPr>
            <w:r>
              <w:rPr>
                <w:rFonts w:ascii="宋体" w:hAnsi="宋体" w:eastAsia="宋体"/>
                <w:b w:val="0"/>
                <w:i w:val="0"/>
                <w:sz w:val="20"/>
              </w:rPr>
              <w:t>新疆维吾尔自治区塔里木河流域管理局</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8CAD458">
            <w:pPr>
              <w:spacing w:before="0" w:after="0" w:line="240" w:lineRule="auto"/>
              <w:jc w:val="center"/>
            </w:pPr>
            <w:r>
              <w:rPr>
                <w:rFonts w:ascii="宋体" w:hAnsi="宋体" w:eastAsia="宋体"/>
                <w:b w:val="0"/>
                <w:i w:val="0"/>
                <w:sz w:val="20"/>
              </w:rPr>
              <w:t>实施单位</w:t>
            </w:r>
          </w:p>
        </w:tc>
        <w:tc>
          <w:tcPr>
            <w:tcW w:w="55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E1DADF">
            <w:pPr>
              <w:spacing w:before="0" w:after="0" w:line="240" w:lineRule="auto"/>
              <w:jc w:val="center"/>
            </w:pPr>
            <w:r>
              <w:rPr>
                <w:rFonts w:ascii="宋体" w:hAnsi="宋体" w:eastAsia="宋体"/>
                <w:b w:val="0"/>
                <w:i w:val="0"/>
                <w:sz w:val="20"/>
              </w:rPr>
              <w:t>新疆维吾尔自治区塔里木河流域干流水利管理中心</w:t>
            </w:r>
          </w:p>
        </w:tc>
      </w:tr>
      <w:tr w14:paraId="6142A4C8">
        <w:tblPrEx>
          <w:tblCellMar>
            <w:top w:w="36" w:type="dxa"/>
            <w:left w:w="36" w:type="dxa"/>
            <w:bottom w:w="36" w:type="dxa"/>
            <w:right w:w="36" w:type="dxa"/>
          </w:tblCellMar>
        </w:tblPrEx>
        <w:trPr>
          <w:trHeight w:val="38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F8952">
            <w:pPr>
              <w:spacing w:before="0" w:after="0" w:line="240" w:lineRule="auto"/>
              <w:jc w:val="center"/>
            </w:pPr>
            <w:r>
              <w:rPr>
                <w:rFonts w:ascii="宋体" w:hAnsi="宋体" w:eastAsia="宋体"/>
                <w:b w:val="0"/>
                <w:i w:val="0"/>
                <w:color w:val="000000"/>
                <w:sz w:val="20"/>
              </w:rPr>
              <w:t>项目资金
（万元）</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483D6">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9DCEC6">
            <w:pPr>
              <w:spacing w:before="0" w:after="0" w:line="240" w:lineRule="auto"/>
              <w:jc w:val="center"/>
            </w:pPr>
            <w:r>
              <w:rPr>
                <w:rFonts w:ascii="宋体" w:hAnsi="宋体" w:eastAsia="宋体"/>
                <w:b w:val="0"/>
                <w:i w:val="0"/>
                <w:sz w:val="20"/>
              </w:rPr>
              <w:t>年初预算数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2B8D28">
            <w:pPr>
              <w:spacing w:before="0" w:after="0" w:line="240" w:lineRule="auto"/>
              <w:jc w:val="center"/>
            </w:pPr>
            <w:r>
              <w:rPr>
                <w:rFonts w:ascii="宋体" w:hAnsi="宋体" w:eastAsia="宋体"/>
                <w:b w:val="0"/>
                <w:i w:val="0"/>
                <w:sz w:val="20"/>
              </w:rPr>
              <w:t>全年预算数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49E67F">
            <w:pPr>
              <w:spacing w:before="0" w:after="0" w:line="240" w:lineRule="auto"/>
              <w:jc w:val="center"/>
            </w:pPr>
            <w:r>
              <w:rPr>
                <w:rFonts w:ascii="宋体" w:hAnsi="宋体" w:eastAsia="宋体"/>
                <w:b w:val="0"/>
                <w:i w:val="0"/>
                <w:sz w:val="20"/>
              </w:rPr>
              <w:t>全年执行数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FFAFA5">
            <w:pPr>
              <w:spacing w:before="0" w:after="0" w:line="240" w:lineRule="auto"/>
              <w:jc w:val="center"/>
            </w:pPr>
            <w:r>
              <w:rPr>
                <w:rFonts w:ascii="宋体" w:hAnsi="宋体" w:eastAsia="宋体"/>
                <w:b w:val="0"/>
                <w:i w:val="0"/>
                <w:color w:val="000000"/>
                <w:sz w:val="20"/>
              </w:rPr>
              <w:t>分值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EFD40D3">
            <w:pPr>
              <w:spacing w:before="0" w:after="0" w:line="240" w:lineRule="auto"/>
              <w:jc w:val="center"/>
            </w:pPr>
            <w:r>
              <w:rPr>
                <w:rFonts w:ascii="宋体" w:hAnsi="宋体" w:eastAsia="宋体"/>
                <w:b w:val="0"/>
                <w:i w:val="0"/>
                <w:color w:val="000000"/>
                <w:sz w:val="20"/>
              </w:rPr>
              <w:t>执行率</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411F6">
            <w:pPr>
              <w:spacing w:before="0" w:after="0" w:line="240" w:lineRule="auto"/>
              <w:jc w:val="center"/>
            </w:pPr>
            <w:r>
              <w:rPr>
                <w:rFonts w:ascii="宋体" w:hAnsi="宋体" w:eastAsia="宋体"/>
                <w:b w:val="0"/>
                <w:i w:val="0"/>
                <w:sz w:val="20"/>
              </w:rPr>
              <w:t>得分</w:t>
            </w:r>
          </w:p>
        </w:tc>
      </w:tr>
      <w:tr w14:paraId="4D7AD1FE">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6D726FD"/>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A42DD">
            <w:pPr>
              <w:spacing w:before="0" w:after="0" w:line="240" w:lineRule="auto"/>
              <w:jc w:val="center"/>
            </w:pPr>
            <w:r>
              <w:rPr>
                <w:rFonts w:ascii="宋体" w:hAnsi="宋体" w:eastAsia="宋体"/>
                <w:b w:val="0"/>
                <w:i w:val="0"/>
                <w:sz w:val="20"/>
              </w:rPr>
              <w:t>年度资金总额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9A84E40">
            <w:pPr>
              <w:spacing w:before="0" w:after="0" w:line="240" w:lineRule="auto"/>
              <w:jc w:val="center"/>
            </w:pPr>
            <w:r>
              <w:rPr>
                <w:rFonts w:ascii="宋体" w:hAnsi="宋体" w:eastAsia="宋体"/>
                <w:b w:val="0"/>
                <w:i w:val="0"/>
                <w:sz w:val="20"/>
              </w:rPr>
              <w:t>100.00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DC108E">
            <w:pPr>
              <w:spacing w:before="0" w:after="0" w:line="240" w:lineRule="auto"/>
              <w:jc w:val="center"/>
              <w:rPr>
                <w:rFonts w:ascii="宋体" w:hAnsi="宋体" w:eastAsia="宋体"/>
                <w:b w:val="0"/>
                <w:i w:val="0"/>
                <w:sz w:val="20"/>
              </w:rPr>
            </w:pPr>
            <w:r>
              <w:rPr>
                <w:rFonts w:ascii="宋体" w:hAnsi="宋体" w:eastAsia="宋体"/>
                <w:b w:val="0"/>
                <w:i w:val="0"/>
                <w:sz w:val="20"/>
              </w:rPr>
              <w:t>100.00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ACD552">
            <w:pPr>
              <w:spacing w:before="0" w:after="0" w:line="240" w:lineRule="auto"/>
              <w:jc w:val="center"/>
              <w:rPr>
                <w:rFonts w:ascii="宋体" w:hAnsi="宋体" w:eastAsia="宋体"/>
                <w:b w:val="0"/>
                <w:i w:val="0"/>
                <w:sz w:val="20"/>
              </w:rPr>
            </w:pPr>
            <w:r>
              <w:rPr>
                <w:rFonts w:ascii="宋体" w:hAnsi="宋体" w:eastAsia="宋体"/>
                <w:b w:val="0"/>
                <w:i w:val="0"/>
                <w:sz w:val="20"/>
              </w:rPr>
              <w:t>100.00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3B1488C">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8272730">
            <w:pPr>
              <w:spacing w:before="0" w:after="0" w:line="240" w:lineRule="auto"/>
              <w:jc w:val="center"/>
            </w:pPr>
            <w:r>
              <w:rPr>
                <w:rFonts w:ascii="宋体" w:hAnsi="宋体" w:eastAsia="宋体"/>
                <w:b w:val="0"/>
                <w:i w:val="0"/>
                <w:sz w:val="20"/>
              </w:rPr>
              <w:t>100%</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623D6">
            <w:pPr>
              <w:spacing w:before="0" w:after="0" w:line="240" w:lineRule="auto"/>
              <w:jc w:val="center"/>
            </w:pPr>
            <w:r>
              <w:rPr>
                <w:rFonts w:ascii="宋体" w:hAnsi="宋体" w:eastAsia="宋体"/>
                <w:b w:val="0"/>
                <w:i w:val="0"/>
                <w:sz w:val="20"/>
              </w:rPr>
              <w:t>10</w:t>
            </w:r>
          </w:p>
        </w:tc>
      </w:tr>
      <w:tr w14:paraId="616A3847">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D65A8D6"/>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FA4B5">
            <w:pPr>
              <w:spacing w:before="0" w:after="0" w:line="240" w:lineRule="auto"/>
              <w:jc w:val="center"/>
            </w:pPr>
            <w:r>
              <w:rPr>
                <w:rFonts w:ascii="宋体" w:hAnsi="宋体" w:eastAsia="宋体"/>
                <w:b w:val="0"/>
                <w:i w:val="0"/>
                <w:sz w:val="20"/>
              </w:rPr>
              <w:t>其中：当年财政拨款</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6B7ED3">
            <w:pPr>
              <w:spacing w:before="0" w:after="0" w:line="240" w:lineRule="auto"/>
              <w:jc w:val="center"/>
            </w:pPr>
            <w:r>
              <w:rPr>
                <w:rFonts w:ascii="宋体" w:hAnsi="宋体" w:eastAsia="宋体"/>
                <w:b w:val="0"/>
                <w:i w:val="0"/>
                <w:sz w:val="20"/>
              </w:rPr>
              <w:t>100.00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760758">
            <w:pPr>
              <w:spacing w:before="0" w:after="0" w:line="240" w:lineRule="auto"/>
              <w:jc w:val="center"/>
              <w:rPr>
                <w:rFonts w:ascii="宋体" w:hAnsi="宋体" w:eastAsia="宋体"/>
                <w:b w:val="0"/>
                <w:i w:val="0"/>
                <w:sz w:val="20"/>
              </w:rPr>
            </w:pPr>
            <w:r>
              <w:rPr>
                <w:rFonts w:ascii="宋体" w:hAnsi="宋体" w:eastAsia="宋体"/>
                <w:b w:val="0"/>
                <w:i w:val="0"/>
                <w:sz w:val="20"/>
              </w:rPr>
              <w:t>100.00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4CC35">
            <w:pPr>
              <w:spacing w:before="0" w:after="0" w:line="240" w:lineRule="auto"/>
              <w:jc w:val="center"/>
              <w:rPr>
                <w:rFonts w:ascii="宋体" w:hAnsi="宋体" w:eastAsia="宋体"/>
                <w:b w:val="0"/>
                <w:i w:val="0"/>
                <w:sz w:val="20"/>
              </w:rPr>
            </w:pPr>
            <w:r>
              <w:rPr>
                <w:rFonts w:ascii="宋体" w:hAnsi="宋体" w:eastAsia="宋体"/>
                <w:b w:val="0"/>
                <w:i w:val="0"/>
                <w:sz w:val="20"/>
              </w:rPr>
              <w:t>100.00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88FD10">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8292B5">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C6B8">
            <w:pPr>
              <w:spacing w:before="0" w:after="0" w:line="240" w:lineRule="auto"/>
              <w:jc w:val="center"/>
            </w:pPr>
            <w:r>
              <w:rPr>
                <w:rFonts w:ascii="宋体" w:hAnsi="宋体" w:eastAsia="宋体"/>
                <w:b w:val="0"/>
                <w:i w:val="0"/>
                <w:sz w:val="20"/>
              </w:rPr>
              <w:t>-</w:t>
            </w:r>
          </w:p>
        </w:tc>
      </w:tr>
      <w:tr w14:paraId="5F13791F">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F36AA20"/>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F1C15">
            <w:pPr>
              <w:spacing w:before="0" w:after="0" w:line="240" w:lineRule="auto"/>
              <w:jc w:val="center"/>
            </w:pPr>
            <w:r>
              <w:rPr>
                <w:rFonts w:ascii="宋体" w:hAnsi="宋体" w:eastAsia="宋体"/>
                <w:b w:val="0"/>
                <w:i w:val="0"/>
                <w:sz w:val="20"/>
              </w:rPr>
              <w:t>其他资金</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780C4DA">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E59D77">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9609C0">
            <w:pPr>
              <w:spacing w:before="0" w:after="0" w:line="240" w:lineRule="auto"/>
              <w:jc w:val="center"/>
            </w:pPr>
            <w:r>
              <w:rPr>
                <w:rFonts w:ascii="宋体" w:hAnsi="宋体" w:eastAsia="宋体"/>
                <w:b w:val="0"/>
                <w:i w:val="0"/>
                <w:sz w:val="20"/>
              </w:rPr>
              <w:t>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15AB253">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D25E191">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C5D5D">
            <w:pPr>
              <w:spacing w:before="0" w:after="0" w:line="240" w:lineRule="auto"/>
              <w:jc w:val="center"/>
            </w:pPr>
            <w:r>
              <w:rPr>
                <w:rFonts w:ascii="宋体" w:hAnsi="宋体" w:eastAsia="宋体"/>
                <w:b w:val="0"/>
                <w:i w:val="0"/>
                <w:sz w:val="20"/>
              </w:rPr>
              <w:t>-</w:t>
            </w:r>
          </w:p>
        </w:tc>
      </w:tr>
      <w:tr w14:paraId="14F76592">
        <w:tblPrEx>
          <w:tblCellMar>
            <w:top w:w="36" w:type="dxa"/>
            <w:left w:w="36" w:type="dxa"/>
            <w:bottom w:w="36" w:type="dxa"/>
            <w:right w:w="36" w:type="dxa"/>
          </w:tblCellMar>
        </w:tblPrEx>
        <w:trPr>
          <w:trHeight w:val="36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4802D">
            <w:pPr>
              <w:spacing w:before="0" w:after="0" w:line="240" w:lineRule="auto"/>
              <w:jc w:val="center"/>
            </w:pPr>
            <w:r>
              <w:rPr>
                <w:rFonts w:ascii="宋体" w:hAnsi="宋体" w:eastAsia="宋体"/>
                <w:b w:val="0"/>
                <w:i w:val="0"/>
                <w:color w:val="000000"/>
                <w:sz w:val="20"/>
              </w:rPr>
              <w:t>三、目标完成情况</w:t>
            </w:r>
          </w:p>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873DB6">
            <w:pPr>
              <w:spacing w:before="0" w:after="0" w:line="240" w:lineRule="auto"/>
              <w:jc w:val="center"/>
            </w:pPr>
            <w:r>
              <w:rPr>
                <w:rFonts w:ascii="宋体" w:hAnsi="宋体" w:eastAsia="宋体"/>
                <w:b w:val="0"/>
                <w:i w:val="0"/>
                <w:color w:val="000000"/>
                <w:sz w:val="20"/>
              </w:rPr>
              <w:t>预期目标</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35449F5">
            <w:pPr>
              <w:spacing w:before="0" w:after="0" w:line="240" w:lineRule="auto"/>
              <w:jc w:val="center"/>
            </w:pPr>
            <w:r>
              <w:rPr>
                <w:rFonts w:ascii="宋体" w:hAnsi="宋体" w:eastAsia="宋体"/>
                <w:b w:val="0"/>
                <w:i w:val="0"/>
                <w:color w:val="000000"/>
                <w:sz w:val="20"/>
              </w:rPr>
              <w:t>实际完成情况</w:t>
            </w:r>
          </w:p>
        </w:tc>
      </w:tr>
      <w:tr w14:paraId="267B092F">
        <w:tblPrEx>
          <w:tblCellMar>
            <w:top w:w="36" w:type="dxa"/>
            <w:left w:w="36" w:type="dxa"/>
            <w:bottom w:w="36" w:type="dxa"/>
            <w:right w:w="36" w:type="dxa"/>
          </w:tblCellMar>
        </w:tblPrEx>
        <w:trPr>
          <w:trHeight w:val="160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4689140"/>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top"/>
          </w:tcPr>
          <w:p w14:paraId="32F3FAD8">
            <w:pPr>
              <w:spacing w:before="0" w:after="0" w:line="240" w:lineRule="auto"/>
              <w:jc w:val="left"/>
            </w:pPr>
            <w:r>
              <w:rPr>
                <w:rFonts w:ascii="宋体" w:hAnsi="宋体" w:eastAsia="宋体"/>
                <w:b w:val="0"/>
                <w:i w:val="0"/>
                <w:color w:val="000000"/>
                <w:sz w:val="20"/>
              </w:rPr>
              <w:t>通过塔里木河流域干流管理局2025年度防洪物资采购的顺利实施，确保塔里木河干流沿线人民群众生命财产安全和水利工程安全运行，使之发挥效益，实现流域水资源统一调度和管理的目标，保障流域水资源的可持续利用，支撑流域经济社会和生态环境的持续、和谐发展。</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top"/>
          </w:tcPr>
          <w:p w14:paraId="68AA61C7">
            <w:pPr>
              <w:spacing w:before="0" w:after="0" w:line="240" w:lineRule="auto"/>
              <w:jc w:val="center"/>
            </w:pPr>
            <w:r>
              <w:rPr>
                <w:rFonts w:ascii="宋体" w:hAnsi="宋体" w:eastAsia="宋体"/>
                <w:b w:val="0"/>
                <w:i w:val="0"/>
                <w:color w:val="000000"/>
                <w:sz w:val="20"/>
              </w:rPr>
              <w:t>2025年已完成全年防洪物资</w:t>
            </w:r>
            <w:r>
              <w:rPr>
                <w:rFonts w:hint="eastAsia" w:ascii="宋体" w:hAnsi="宋体"/>
                <w:b w:val="0"/>
                <w:i w:val="0"/>
                <w:color w:val="000000"/>
                <w:sz w:val="20"/>
                <w:lang w:eastAsia="zh-CN"/>
              </w:rPr>
              <w:t>采购</w:t>
            </w:r>
            <w:r>
              <w:rPr>
                <w:rFonts w:ascii="宋体" w:hAnsi="宋体" w:eastAsia="宋体"/>
                <w:b w:val="0"/>
                <w:i w:val="0"/>
                <w:color w:val="000000"/>
                <w:sz w:val="20"/>
              </w:rPr>
              <w:t>任务。</w:t>
            </w:r>
          </w:p>
        </w:tc>
      </w:tr>
      <w:tr w14:paraId="6A18F7A6">
        <w:tblPrEx>
          <w:tblCellMar>
            <w:top w:w="36" w:type="dxa"/>
            <w:left w:w="36" w:type="dxa"/>
            <w:bottom w:w="36" w:type="dxa"/>
            <w:right w:w="36" w:type="dxa"/>
          </w:tblCellMar>
        </w:tblPrEx>
        <w:trPr>
          <w:trHeight w:val="400" w:hRule="atLeast"/>
        </w:trPr>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58627B">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FC475A0">
            <w:pPr>
              <w:spacing w:before="0" w:after="0" w:line="240" w:lineRule="auto"/>
              <w:jc w:val="center"/>
            </w:pPr>
            <w:r>
              <w:rPr>
                <w:rFonts w:ascii="宋体" w:hAnsi="宋体" w:eastAsia="宋体"/>
                <w:b w:val="0"/>
                <w:i w:val="0"/>
                <w:color w:val="000000"/>
                <w:sz w:val="20"/>
              </w:rPr>
              <w:t>一级指标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136B25">
            <w:pPr>
              <w:spacing w:before="0" w:after="0" w:line="240" w:lineRule="auto"/>
              <w:jc w:val="center"/>
            </w:pPr>
            <w:r>
              <w:rPr>
                <w:rFonts w:ascii="宋体" w:hAnsi="宋体" w:eastAsia="宋体"/>
                <w:b w:val="0"/>
                <w:i w:val="0"/>
                <w:color w:val="000000"/>
                <w:sz w:val="20"/>
              </w:rPr>
              <w:t>二级指标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3832897">
            <w:pPr>
              <w:spacing w:before="0" w:after="0" w:line="240" w:lineRule="auto"/>
              <w:jc w:val="center"/>
            </w:pPr>
            <w:r>
              <w:rPr>
                <w:rFonts w:ascii="宋体" w:hAnsi="宋体" w:eastAsia="宋体"/>
                <w:b w:val="0"/>
                <w:i w:val="0"/>
                <w:color w:val="000000"/>
                <w:sz w:val="20"/>
              </w:rPr>
              <w:t>三级指标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B4D47DC">
            <w:pPr>
              <w:spacing w:before="0" w:after="0" w:line="240" w:lineRule="auto"/>
              <w:jc w:val="center"/>
            </w:pPr>
            <w:r>
              <w:rPr>
                <w:rFonts w:ascii="宋体" w:hAnsi="宋体" w:eastAsia="宋体"/>
                <w:b w:val="0"/>
                <w:i w:val="0"/>
                <w:color w:val="000000"/>
                <w:sz w:val="20"/>
              </w:rPr>
              <w:t>年度指标值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345E75">
            <w:pPr>
              <w:spacing w:before="0" w:after="0" w:line="240" w:lineRule="auto"/>
              <w:jc w:val="center"/>
            </w:pPr>
            <w:r>
              <w:rPr>
                <w:rFonts w:ascii="宋体" w:hAnsi="宋体" w:eastAsia="宋体"/>
                <w:b w:val="0"/>
                <w:i w:val="0"/>
                <w:sz w:val="20"/>
              </w:rPr>
              <w:t>指标值设定依据</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ED14FE5">
            <w:pPr>
              <w:spacing w:before="0" w:after="0" w:line="240" w:lineRule="auto"/>
              <w:jc w:val="center"/>
            </w:pPr>
            <w:r>
              <w:rPr>
                <w:rFonts w:ascii="宋体" w:hAnsi="宋体" w:eastAsia="宋体"/>
                <w:b w:val="0"/>
                <w:i w:val="0"/>
                <w:sz w:val="20"/>
              </w:rPr>
              <w:t>上年完成情况</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3CA472C">
            <w:pPr>
              <w:spacing w:before="0" w:after="0" w:line="240" w:lineRule="auto"/>
              <w:jc w:val="center"/>
            </w:pPr>
            <w:r>
              <w:rPr>
                <w:rFonts w:ascii="宋体" w:hAnsi="宋体" w:eastAsia="宋体"/>
                <w:b w:val="0"/>
                <w:i w:val="0"/>
                <w:sz w:val="20"/>
              </w:rPr>
              <w:t>权重</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9A9226C">
            <w:pPr>
              <w:spacing w:before="0" w:after="0" w:line="240" w:lineRule="auto"/>
              <w:jc w:val="center"/>
            </w:pPr>
            <w:r>
              <w:rPr>
                <w:rFonts w:ascii="宋体" w:hAnsi="宋体" w:eastAsia="宋体"/>
                <w:b w:val="0"/>
                <w:i w:val="0"/>
                <w:sz w:val="20"/>
              </w:rPr>
              <w:t>赋分规则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D9D789E">
            <w:pPr>
              <w:spacing w:before="0" w:after="0" w:line="240" w:lineRule="auto"/>
              <w:jc w:val="center"/>
            </w:pPr>
            <w:r>
              <w:rPr>
                <w:rFonts w:ascii="宋体" w:hAnsi="宋体" w:eastAsia="宋体"/>
                <w:b w:val="0"/>
                <w:i w:val="0"/>
                <w:sz w:val="20"/>
              </w:rPr>
              <w:t>佐证资料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2DB0B02">
            <w:pPr>
              <w:spacing w:before="0" w:after="0" w:line="240" w:lineRule="auto"/>
              <w:jc w:val="center"/>
            </w:pPr>
            <w:r>
              <w:rPr>
                <w:rFonts w:ascii="宋体" w:hAnsi="宋体" w:eastAsia="宋体"/>
                <w:b w:val="0"/>
                <w:i w:val="0"/>
                <w:color w:val="000000"/>
                <w:sz w:val="20"/>
              </w:rPr>
              <w:t>实际完成值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294416F">
            <w:pPr>
              <w:spacing w:before="0" w:after="0" w:line="240" w:lineRule="auto"/>
              <w:jc w:val="center"/>
            </w:pPr>
            <w:r>
              <w:rPr>
                <w:rFonts w:ascii="宋体" w:hAnsi="宋体" w:eastAsia="宋体"/>
                <w:b w:val="0"/>
                <w:i w:val="0"/>
                <w:color w:val="000000"/>
                <w:sz w:val="20"/>
              </w:rPr>
              <w:t>得分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2406691">
            <w:pPr>
              <w:spacing w:before="0" w:after="0" w:line="240" w:lineRule="auto"/>
              <w:jc w:val="center"/>
            </w:pPr>
            <w:r>
              <w:rPr>
                <w:rFonts w:ascii="宋体" w:hAnsi="宋体" w:eastAsia="宋体"/>
                <w:b w:val="0"/>
                <w:i w:val="0"/>
                <w:sz w:val="20"/>
              </w:rPr>
              <w:t>偏差原因分析及改进措施</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5AA359">
            <w:pPr>
              <w:spacing w:before="0" w:after="0" w:line="240" w:lineRule="auto"/>
              <w:jc w:val="center"/>
            </w:pPr>
            <w:r>
              <w:rPr>
                <w:rFonts w:ascii="宋体" w:hAnsi="宋体" w:eastAsia="宋体"/>
                <w:b w:val="0"/>
                <w:i w:val="0"/>
                <w:sz w:val="20"/>
              </w:rPr>
              <w:t>完成率</w:t>
            </w:r>
          </w:p>
        </w:tc>
      </w:tr>
      <w:tr w14:paraId="533B2D7B">
        <w:tblPrEx>
          <w:tblCellMar>
            <w:top w:w="36" w:type="dxa"/>
            <w:left w:w="36" w:type="dxa"/>
            <w:bottom w:w="36" w:type="dxa"/>
            <w:right w:w="36" w:type="dxa"/>
          </w:tblCellMar>
        </w:tblPrEx>
        <w:trPr>
          <w:trHeight w:val="42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C6691">
            <w:pPr>
              <w:spacing w:before="0" w:after="0" w:line="240" w:lineRule="auto"/>
              <w:jc w:val="center"/>
            </w:pPr>
            <w:r>
              <w:rPr>
                <w:rFonts w:ascii="宋体" w:hAnsi="宋体" w:eastAsia="宋体"/>
                <w:b w:val="0"/>
                <w:i w:val="0"/>
                <w:color w:val="000000"/>
                <w:sz w:val="20"/>
              </w:rPr>
              <w:t>年度绩效指标完成情况</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05884">
            <w:pPr>
              <w:spacing w:before="0" w:after="0" w:line="240" w:lineRule="auto"/>
              <w:jc w:val="center"/>
            </w:pPr>
            <w:r>
              <w:rPr>
                <w:rFonts w:ascii="宋体" w:hAnsi="宋体" w:eastAsia="宋体"/>
                <w:b w:val="0"/>
                <w:i w:val="0"/>
                <w:color w:val="000000"/>
                <w:sz w:val="20"/>
              </w:rPr>
              <w:t>产出指标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4151E">
            <w:pPr>
              <w:spacing w:before="0" w:after="0" w:line="240" w:lineRule="auto"/>
              <w:jc w:val="center"/>
            </w:pPr>
            <w:r>
              <w:rPr>
                <w:rFonts w:ascii="宋体" w:hAnsi="宋体" w:eastAsia="宋体"/>
                <w:b w:val="0"/>
                <w:i w:val="0"/>
                <w:color w:val="000000"/>
                <w:sz w:val="20"/>
              </w:rPr>
              <w:t>数量指标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8601BAC">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汛期保障输水堤安全运行数量</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04A705">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=650千米</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42BF98">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6217EC">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79F65F4">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BBBDE16">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118900F">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54F9994">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=650千米</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D70B910">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851405">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无</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DDDC41C">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100%</w:t>
            </w:r>
          </w:p>
        </w:tc>
      </w:tr>
      <w:tr w14:paraId="26844285">
        <w:tblPrEx>
          <w:tblCellMar>
            <w:top w:w="36" w:type="dxa"/>
            <w:left w:w="36" w:type="dxa"/>
            <w:bottom w:w="36" w:type="dxa"/>
            <w:right w:w="36" w:type="dxa"/>
          </w:tblCellMar>
        </w:tblPrEx>
        <w:trPr>
          <w:trHeight w:val="42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A2F58E0"/>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C52CC12"/>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EBAF101"/>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7791336">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采购防洪无纺布袋</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8802AB4">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=25000个</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BA4E9B">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9765D9">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E28353E">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D2FA638">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F667EF0">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010B3F">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=25000个</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7C2305">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310E08">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无</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102639">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100%</w:t>
            </w:r>
          </w:p>
        </w:tc>
      </w:tr>
      <w:tr w14:paraId="3B1E83E5">
        <w:tblPrEx>
          <w:tblCellMar>
            <w:top w:w="36" w:type="dxa"/>
            <w:left w:w="36" w:type="dxa"/>
            <w:bottom w:w="36" w:type="dxa"/>
            <w:right w:w="36" w:type="dxa"/>
          </w:tblCellMar>
        </w:tblPrEx>
        <w:trPr>
          <w:trHeight w:val="42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3224BD4"/>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E572FD9"/>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89DC580"/>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C0A4E03">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防洪物资利用率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A5F9410">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&gt;=95%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5C90814">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E7DB46">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C93F8BE">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743CCEA">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A32F74F">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0E8CC9">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=95%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B70101">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269871A">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无</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9BD6536">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100%</w:t>
            </w:r>
          </w:p>
        </w:tc>
      </w:tr>
      <w:tr w14:paraId="443ECB36">
        <w:tblPrEx>
          <w:tblCellMar>
            <w:top w:w="36" w:type="dxa"/>
            <w:left w:w="36" w:type="dxa"/>
            <w:bottom w:w="36" w:type="dxa"/>
            <w:right w:w="36" w:type="dxa"/>
          </w:tblCellMar>
        </w:tblPrEx>
        <w:trPr>
          <w:trHeight w:val="42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3ABB0E7"/>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C9CC002"/>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0FAB2A7">
            <w:pPr>
              <w:spacing w:before="0" w:after="0" w:line="240" w:lineRule="auto"/>
              <w:jc w:val="center"/>
            </w:pPr>
            <w:r>
              <w:rPr>
                <w:rFonts w:ascii="宋体" w:hAnsi="宋体" w:eastAsia="宋体"/>
                <w:b w:val="0"/>
                <w:i w:val="0"/>
                <w:color w:val="000000"/>
                <w:sz w:val="20"/>
              </w:rPr>
              <w:t>时效指标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01442D9">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防洪物资采购完成时间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30BBD9">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D41A0DC">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CCF8ECA">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C42C336">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0EFBEC0">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48270B4">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E4168AA">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6BE51DC">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B2CABC1">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无</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4E6A963">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100%</w:t>
            </w:r>
          </w:p>
        </w:tc>
      </w:tr>
      <w:tr w14:paraId="39C96ED3">
        <w:tblPrEx>
          <w:tblCellMar>
            <w:top w:w="36" w:type="dxa"/>
            <w:left w:w="36" w:type="dxa"/>
            <w:bottom w:w="36" w:type="dxa"/>
            <w:right w:w="36" w:type="dxa"/>
          </w:tblCellMar>
        </w:tblPrEx>
        <w:trPr>
          <w:trHeight w:val="42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0AE55A8"/>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80600A">
            <w:pPr>
              <w:spacing w:before="0" w:after="0" w:line="240" w:lineRule="auto"/>
              <w:jc w:val="center"/>
            </w:pPr>
            <w:r>
              <w:rPr>
                <w:rFonts w:ascii="宋体" w:hAnsi="宋体" w:eastAsia="宋体"/>
                <w:b w:val="0"/>
                <w:i w:val="0"/>
                <w:color w:val="000000"/>
                <w:sz w:val="20"/>
              </w:rPr>
              <w:t>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E35A025">
            <w:pPr>
              <w:spacing w:before="0" w:after="0" w:line="240" w:lineRule="auto"/>
              <w:jc w:val="center"/>
            </w:pPr>
            <w:r>
              <w:rPr>
                <w:rFonts w:ascii="宋体" w:hAnsi="宋体" w:eastAsia="宋体"/>
                <w:b w:val="0"/>
                <w:i w:val="0"/>
                <w:color w:val="000000"/>
                <w:sz w:val="20"/>
              </w:rPr>
              <w:t>社会效益指标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8D2F97">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保障流域内群众人身及财产安全</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50D32D">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有效保障</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9856836">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94FE260">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378203A">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20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9770AAA">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FB4A4F6">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A17D7C1">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有效保障</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0F2A598">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20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36C3323">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无</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F85A3C">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100%</w:t>
            </w:r>
          </w:p>
        </w:tc>
      </w:tr>
      <w:tr w14:paraId="1C1C3728">
        <w:tblPrEx>
          <w:tblCellMar>
            <w:top w:w="36" w:type="dxa"/>
            <w:left w:w="36" w:type="dxa"/>
            <w:bottom w:w="36" w:type="dxa"/>
            <w:right w:w="36" w:type="dxa"/>
          </w:tblCellMar>
        </w:tblPrEx>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A4AA26B"/>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4190768">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满意度指标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87F8D22">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满意度指标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5F5DF71">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防洪受益群众满意度</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BCEDAD">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&gt;=90%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729FDDF">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3AC314D">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59FE15D">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08D6BB9">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满意度赋分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61E5972">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工作资料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D6E3BB6">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=90%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6B15CA1">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8D01F2">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无</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F88ED0F">
            <w:pPr>
              <w:spacing w:before="0" w:after="0" w:line="240" w:lineRule="auto"/>
              <w:jc w:val="center"/>
              <w:rPr>
                <w:rFonts w:ascii="宋体" w:hAnsi="宋体" w:eastAsia="宋体"/>
                <w:b w:val="0"/>
                <w:i w:val="0"/>
                <w:color w:val="000000"/>
                <w:sz w:val="20"/>
              </w:rPr>
            </w:pPr>
            <w:r>
              <w:rPr>
                <w:rFonts w:ascii="宋体" w:hAnsi="宋体" w:eastAsia="宋体"/>
                <w:b w:val="0"/>
                <w:i w:val="0"/>
                <w:color w:val="000000"/>
                <w:sz w:val="20"/>
              </w:rPr>
              <w:t>100%</w:t>
            </w:r>
          </w:p>
        </w:tc>
      </w:tr>
      <w:tr w14:paraId="2244E69F">
        <w:tblPrEx>
          <w:tblCellMar>
            <w:top w:w="36" w:type="dxa"/>
            <w:left w:w="36" w:type="dxa"/>
            <w:bottom w:w="36" w:type="dxa"/>
            <w:right w:w="36" w:type="dxa"/>
          </w:tblCellMar>
        </w:tblPrEx>
        <w:trPr>
          <w:trHeight w:val="280" w:hRule="atLeast"/>
        </w:trPr>
        <w:tc>
          <w:tcPr>
            <w:tcW w:w="55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A642B">
            <w:pPr>
              <w:spacing w:before="0" w:after="0" w:line="240" w:lineRule="auto"/>
              <w:jc w:val="center"/>
            </w:pPr>
            <w:bookmarkStart w:id="0" w:name="_GoBack"/>
            <w:r>
              <w:rPr>
                <w:rFonts w:ascii="宋体" w:hAnsi="宋体" w:eastAsia="宋体"/>
                <w:b w:val="0"/>
                <w:i w:val="0"/>
                <w:sz w:val="20"/>
              </w:rPr>
              <w:t>总分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A2CD7B1">
            <w:pPr>
              <w:spacing w:before="0" w:after="0" w:line="240" w:lineRule="auto"/>
              <w:jc w:val="center"/>
            </w:pPr>
            <w:r>
              <w:rPr>
                <w:rFonts w:ascii="宋体" w:hAnsi="宋体" w:eastAsia="宋体"/>
                <w:b w:val="0"/>
                <w:i w:val="0"/>
                <w:color w:val="000000"/>
                <w:sz w:val="20"/>
              </w:rPr>
              <w:t>100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B21F60">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51C9E58">
            <w:pPr>
              <w:spacing w:before="0" w:after="0" w:line="240" w:lineRule="auto"/>
              <w:jc w:val="center"/>
            </w:pPr>
            <w:r>
              <w:rPr>
                <w:rFonts w:ascii="宋体" w:hAnsi="宋体" w:eastAsia="宋体"/>
                <w:b w:val="0"/>
                <w:i w:val="0"/>
                <w:color w:val="000000"/>
                <w:sz w:val="20"/>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757F70C">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D0E70A5">
            <w:pPr>
              <w:spacing w:before="0" w:after="0" w:line="240" w:lineRule="auto"/>
              <w:jc w:val="center"/>
            </w:pPr>
          </w:p>
        </w:tc>
      </w:tr>
    </w:tbl>
    <w:p w14:paraId="397BED71">
      <w:r>
        <w:br w:type="page"/>
      </w:r>
    </w:p>
    <w:p w14:paraId="5883641E">
      <w:pPr>
        <w:sectPr>
          <w:type w:val="continuous"/>
          <w:pgSz w:w="11906" w:h="16838"/>
          <w:pgMar w:top="1440" w:right="1800" w:bottom="1440" w:left="1800" w:header="851" w:footer="992" w:gutter="0"/>
          <w:cols w:space="720" w:num="1"/>
          <w:docGrid w:type="lines" w:linePitch="312" w:charSpace="0"/>
        </w:sectPr>
      </w:pPr>
    </w:p>
    <w:p w14:paraId="24716BE6">
      <w:pPr>
        <w:spacing w:line="640" w:lineRule="exact"/>
        <w:ind w:firstLine="640"/>
        <w:jc w:val="both"/>
        <w:outlineLvl w:val="2"/>
      </w:pPr>
      <w:r>
        <w:rPr>
          <w:rFonts w:ascii="黑体" w:hAnsi="黑体" w:eastAsia="黑体"/>
          <w:sz w:val="32"/>
        </w:rPr>
        <w:t>十二、其他需说明</w:t>
      </w:r>
      <w:bookmarkEnd w:id="0"/>
      <w:r>
        <w:rPr>
          <w:rFonts w:ascii="黑体" w:hAnsi="黑体" w:eastAsia="黑体"/>
          <w:sz w:val="32"/>
        </w:rPr>
        <w:t>的事项</w:t>
      </w:r>
    </w:p>
    <w:p w14:paraId="2EC70F1A">
      <w:pPr>
        <w:spacing w:line="580" w:lineRule="exact"/>
        <w:ind w:firstLine="640"/>
        <w:jc w:val="both"/>
      </w:pPr>
      <w:r>
        <w:rPr>
          <w:rFonts w:ascii="仿宋_GB2312" w:hAnsi="仿宋_GB2312" w:eastAsia="仿宋_GB2312"/>
          <w:b w:val="0"/>
          <w:sz w:val="32"/>
        </w:rPr>
        <w:t>本单位无其他需说明事项。</w:t>
      </w:r>
    </w:p>
    <w:p w14:paraId="787861EB">
      <w:r>
        <w:br w:type="page"/>
      </w:r>
    </w:p>
    <w:p w14:paraId="619ED883">
      <w:pPr>
        <w:spacing w:line="600" w:lineRule="exact"/>
        <w:jc w:val="center"/>
        <w:outlineLvl w:val="0"/>
      </w:pPr>
      <w:r>
        <w:rPr>
          <w:rFonts w:ascii="黑体" w:hAnsi="黑体" w:eastAsia="黑体"/>
          <w:sz w:val="32"/>
        </w:rPr>
        <w:t>第三部分 专业名词解释</w:t>
      </w:r>
    </w:p>
    <w:p w14:paraId="0773F305">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D5E763A">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3FFCCD">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7EE6B1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D05BC0">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36AC8B1">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966BA63">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1D243B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036646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5FF851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0BFB57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29DF1A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0EEBC3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FD4927B">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2767F76">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F57DCE5">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17B502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53FAC3A">
      <w:r>
        <w:br w:type="page"/>
      </w:r>
    </w:p>
    <w:p w14:paraId="2363297A">
      <w:pPr>
        <w:spacing w:line="240" w:lineRule="auto"/>
        <w:jc w:val="center"/>
        <w:outlineLvl w:val="1"/>
      </w:pPr>
      <w:r>
        <w:rPr>
          <w:rFonts w:ascii="黑体" w:hAnsi="黑体" w:eastAsia="黑体"/>
          <w:sz w:val="32"/>
        </w:rPr>
        <w:t>第四部分 部门决算报表（见附表）</w:t>
      </w:r>
    </w:p>
    <w:p w14:paraId="34400375">
      <w:pPr>
        <w:autoSpaceDE w:val="0"/>
        <w:autoSpaceDN w:val="0"/>
        <w:spacing w:line="600" w:lineRule="exact"/>
        <w:ind w:firstLine="640" w:firstLineChars="200"/>
      </w:pPr>
      <w:r>
        <w:rPr>
          <w:rFonts w:ascii="仿宋_GB2312" w:hAnsi="仿宋_GB2312" w:eastAsia="仿宋_GB2312"/>
          <w:b w:val="0"/>
          <w:sz w:val="32"/>
        </w:rPr>
        <w:t>一、《收入支出决算总表》</w:t>
      </w:r>
    </w:p>
    <w:p w14:paraId="6A7DB750">
      <w:pPr>
        <w:autoSpaceDE w:val="0"/>
        <w:autoSpaceDN w:val="0"/>
        <w:spacing w:line="600" w:lineRule="exact"/>
        <w:ind w:firstLine="640" w:firstLineChars="200"/>
      </w:pPr>
      <w:r>
        <w:rPr>
          <w:rFonts w:ascii="仿宋_GB2312" w:hAnsi="仿宋_GB2312" w:eastAsia="仿宋_GB2312"/>
          <w:b w:val="0"/>
          <w:sz w:val="32"/>
        </w:rPr>
        <w:t>二、《收入决算表》</w:t>
      </w:r>
    </w:p>
    <w:p w14:paraId="7DF8E313">
      <w:pPr>
        <w:autoSpaceDE w:val="0"/>
        <w:autoSpaceDN w:val="0"/>
        <w:spacing w:line="600" w:lineRule="exact"/>
        <w:ind w:firstLine="640" w:firstLineChars="200"/>
      </w:pPr>
      <w:r>
        <w:rPr>
          <w:rFonts w:ascii="仿宋_GB2312" w:hAnsi="仿宋_GB2312" w:eastAsia="仿宋_GB2312"/>
          <w:b w:val="0"/>
          <w:sz w:val="32"/>
        </w:rPr>
        <w:t>三、《支出决算表》</w:t>
      </w:r>
    </w:p>
    <w:p w14:paraId="03FB297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8011040">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0B7319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52EABD2">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6C3A9BC">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F796D09">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2417C1F">
      <w:pPr>
        <w:autoSpaceDE w:val="0"/>
        <w:autoSpaceDN w:val="0"/>
        <w:spacing w:line="600" w:lineRule="exact"/>
        <w:ind w:firstLine="640" w:firstLineChars="200"/>
      </w:pPr>
    </w:p>
    <w:p w14:paraId="1F662FD6">
      <w:pPr>
        <w:autoSpaceDE w:val="0"/>
        <w:autoSpaceDN w:val="0"/>
        <w:spacing w:line="600" w:lineRule="exact"/>
        <w:ind w:firstLine="640" w:firstLineChars="200"/>
      </w:pPr>
    </w:p>
    <w:p w14:paraId="4CC701A3">
      <w:pPr>
        <w:autoSpaceDE w:val="0"/>
        <w:autoSpaceDN w:val="0"/>
        <w:spacing w:line="600" w:lineRule="exact"/>
        <w:ind w:firstLine="640" w:firstLineChars="200"/>
      </w:pPr>
    </w:p>
    <w:p w14:paraId="754F54A4">
      <w:pPr>
        <w:autoSpaceDE w:val="0"/>
        <w:autoSpaceDN w:val="0"/>
        <w:spacing w:line="600" w:lineRule="exact"/>
        <w:ind w:firstLine="640" w:firstLineChars="200"/>
      </w:pPr>
    </w:p>
    <w:p w14:paraId="1EF4FB7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A36C12-EBF1-4458-85EC-7694D5B3D8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7CADB364-135D-48F3-8510-3B65D4C675B4}"/>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03DDCCE6-5E06-4EEA-99AF-EC4AB8462BC0}"/>
  </w:font>
  <w:font w:name="楷体_GB2312">
    <w:altName w:val="楷体"/>
    <w:panose1 w:val="00000000000000000000"/>
    <w:charset w:val="00"/>
    <w:family w:val="auto"/>
    <w:pitch w:val="default"/>
    <w:sig w:usb0="00000000" w:usb1="00000000" w:usb2="00000000" w:usb3="00000000" w:csb0="00000000" w:csb1="00000000"/>
    <w:embedRegular r:id="rId4" w:fontKey="{8E5623D6-6A18-42C0-BD19-78F7565AE2D4}"/>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604E4C"/>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0B1216"/>
    <w:rsid w:val="1DAF458D"/>
    <w:rsid w:val="1E086ACE"/>
    <w:rsid w:val="1EAA4A5F"/>
    <w:rsid w:val="1F040613"/>
    <w:rsid w:val="1F587A0B"/>
    <w:rsid w:val="1FE96E5D"/>
    <w:rsid w:val="2064678E"/>
    <w:rsid w:val="20DD6197"/>
    <w:rsid w:val="21F317F2"/>
    <w:rsid w:val="2241392C"/>
    <w:rsid w:val="23BC04D2"/>
    <w:rsid w:val="25275618"/>
    <w:rsid w:val="27CF2642"/>
    <w:rsid w:val="282459E2"/>
    <w:rsid w:val="297B5976"/>
    <w:rsid w:val="2A053397"/>
    <w:rsid w:val="2A444FB1"/>
    <w:rsid w:val="2A6064E2"/>
    <w:rsid w:val="2BA9200B"/>
    <w:rsid w:val="2BDD6474"/>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5DD205C"/>
    <w:rsid w:val="664C500C"/>
    <w:rsid w:val="670267B3"/>
    <w:rsid w:val="6773145F"/>
    <w:rsid w:val="68DB0208"/>
    <w:rsid w:val="6938470E"/>
    <w:rsid w:val="69846A0E"/>
    <w:rsid w:val="69AD798C"/>
    <w:rsid w:val="6B68175F"/>
    <w:rsid w:val="6B8B5C99"/>
    <w:rsid w:val="6E0F7A08"/>
    <w:rsid w:val="6E801ABC"/>
    <w:rsid w:val="71473612"/>
    <w:rsid w:val="716B13F9"/>
    <w:rsid w:val="718F7F65"/>
    <w:rsid w:val="73423603"/>
    <w:rsid w:val="73DE4104"/>
    <w:rsid w:val="73FB6630"/>
    <w:rsid w:val="74CE04EC"/>
    <w:rsid w:val="74DE2803"/>
    <w:rsid w:val="74E76DCD"/>
    <w:rsid w:val="7610256F"/>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09cefaba-8005-4395-b7f5-1c1bdf0726ce</errorID>
      <errorWord>-</errorWord>
      <group>L1_Format</group>
      <groupName>格式问题</groupName>
      <ability>L2_HalfPunc_CN</ability>
      <abilityName>全半角问题</abilityName>
      <candidateList>
        <item>－</item>
      </candidateList>
      <explain>文本全半角错误。</explain>
      <paraID>61C7FE1F</paraID>
      <start>168</start>
      <end>169</end>
      <status>unmodified</status>
      <modifiedWord/>
      <trackRevisions>false</trackRevisions>
    </reviewItem>
    <reviewItem>
      <errorID>45f13d3d-2969-4c9f-9a37-8c116af30398</errorID>
      <errorWord>-</errorWord>
      <group>L1_Format</group>
      <groupName>格式问题</groupName>
      <ability>L2_HalfPunc_CN</ability>
      <abilityName>全半角问题</abilityName>
      <candidateList>
        <item>－</item>
      </candidateList>
      <explain>文本全半角错误。</explain>
      <paraID>1CFFA085</paraID>
      <start>196</start>
      <end>197</end>
      <status>unmodified</status>
      <modifiedWord/>
      <trackRevisions>false</trackRevisions>
    </reviewItem>
    <reviewItem>
      <errorID>e07caf15-b080-4d72-abb4-e501f5edab1f</errorID>
      <errorWord>我单位</errorWord>
      <group>L1_Other</group>
      <groupName>其他问题</groupName>
      <ability>L2_UserTypo</ability>
      <abilityName>自定义错误</abilityName>
      <candidateList>
        <item>本单位</item>
      </candidateList>
      <explain>来自自定义错词库。</explain>
      <paraID>6F069EB5</paraID>
      <start>95</start>
      <end>98</end>
      <status>modified</status>
      <modifiedWord>本单位</modifiedWord>
      <trackRevisions>false</trackRevisions>
    </reviewItem>
    <reviewItem>
      <errorID>669ba690-d3aa-425f-8ace-1bf593584a48</errorID>
      <errorWord>我单位</errorWord>
      <group>L1_Other</group>
      <groupName>其他问题</groupName>
      <ability>L2_UserTypo</ability>
      <abilityName>自定义错误</abilityName>
      <candidateList>
        <item>本单位</item>
      </candidateList>
      <explain>来自自定义错词库。</explain>
      <paraID>33EB2A76</paraID>
      <start>65</start>
      <end>68</end>
      <status>modified</status>
      <modifiedWord>本单位</modifiedWord>
      <trackRevisions>false</trackRevisions>
    </reviewItem>
    <reviewItem>
      <errorID>ef13694f-cc04-4b1c-a213-e2006aa2a270</errorID>
      <errorWord>财政资金的使用</errorWord>
      <group>L1_Political</group>
      <groupName>政治性问题</groupName>
      <ability>L2_Keyword</ability>
      <abilityName>固定表述</abilityName>
      <candidateList>
        <item>财政资金使用</item>
      </candidateList>
      <explain>词汇“财政资金使用”在特定场景下为固定表述形式，请确认此处的“财政资金的使用”是否存在不当。</explain>
      <paraID>33EB2A76</paraID>
      <start>105</start>
      <end>111</end>
      <status>modified</status>
      <modifiedWord>财政资金使用</modifiedWord>
      <trackRevisions>false</trackRevisions>
    </reviewItem>
    <reviewItem>
      <errorID>1836f641-ef18-46cd-b94b-154451c4e06d</errorID>
      <errorWord>采购的</errorWord>
      <group>L1_Word</group>
      <groupName>字词问题</groupName>
      <ability>L2_Typo</ability>
      <abilityName>字词错误</abilityName>
      <candidateList>
        <item>采购</item>
      </candidateList>
      <explain/>
      <paraID>68AA61C7</paraID>
      <start>14</start>
      <end>16</end>
      <status>modified</status>
      <modifiedWord>采购</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0eb8323d-c550-4a50-b2ff-3e0d04c1848f}">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6340</Words>
  <Characters>7235</Characters>
  <Lines>10</Lines>
  <Paragraphs>2</Paragraphs>
  <TotalTime>13</TotalTime>
  <ScaleCrop>false</ScaleCrop>
  <LinksUpToDate>false</LinksUpToDate>
  <CharactersWithSpaces>7244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2026-08-28T07:40:51Z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