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新疆维吾尔自治区塔里木河流域水资源调度中心2025年度部门决算公开说明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436BCF60">
      <w:r>
        <w:br w:type="page"/>
      </w:r>
    </w:p>
    <w:p w14:paraId="683437A0">
      <w:pPr>
        <w:spacing w:line="640" w:lineRule="exact"/>
        <w:jc w:val="center"/>
        <w:outlineLvl w:val="1"/>
      </w:pPr>
      <w:r>
        <w:rPr>
          <w:rFonts w:ascii="黑体" w:hAnsi="黑体" w:eastAsia="黑体"/>
          <w:sz w:val="32"/>
        </w:rPr>
        <w:t>第一部分 单位概况</w:t>
      </w:r>
    </w:p>
    <w:p w14:paraId="75E417DB">
      <w:pPr>
        <w:spacing w:line="640" w:lineRule="exact"/>
        <w:ind w:firstLine="640"/>
        <w:jc w:val="both"/>
        <w:outlineLvl w:val="2"/>
      </w:pPr>
      <w:r>
        <w:rPr>
          <w:rFonts w:ascii="黑体" w:hAnsi="黑体" w:eastAsia="黑体"/>
          <w:sz w:val="32"/>
        </w:rPr>
        <w:t>一、主要职能</w:t>
      </w:r>
    </w:p>
    <w:p w14:paraId="09849784">
      <w:pPr>
        <w:spacing w:line="580" w:lineRule="exact"/>
        <w:ind w:firstLine="640"/>
        <w:jc w:val="both"/>
      </w:pPr>
      <w:r>
        <w:rPr>
          <w:rFonts w:ascii="仿宋_GB2312" w:hAnsi="仿宋_GB2312" w:eastAsia="仿宋_GB2312"/>
          <w:sz w:val="32"/>
        </w:rPr>
        <w:t>（1）协助开展水资源调度管理，实施水资源监测分析和生态输水工作；技术支撑水量分配方案、调度方案（计划）、应急调度预案和供水计划等编制工作；配合开展相关监督检查工作；技术支撑水库运行调度规程、调度运用计划等审查工作；负责推进流域水量调度信息化应用工作。</w:t>
      </w:r>
    </w:p>
    <w:p w14:paraId="0C323598">
      <w:pPr>
        <w:spacing w:line="580" w:lineRule="exact"/>
        <w:ind w:firstLine="640"/>
        <w:jc w:val="both"/>
      </w:pPr>
      <w:r>
        <w:rPr>
          <w:rFonts w:ascii="仿宋_GB2312" w:hAnsi="仿宋_GB2312" w:eastAsia="仿宋_GB2312"/>
          <w:sz w:val="32"/>
        </w:rPr>
        <w:t>（2）承担水库、堤防、水闸等水利工程调度运用等技术支撑工作。</w:t>
      </w:r>
    </w:p>
    <w:p w14:paraId="23F5DD24">
      <w:pPr>
        <w:spacing w:line="580" w:lineRule="exact"/>
        <w:ind w:firstLine="640"/>
        <w:jc w:val="both"/>
      </w:pPr>
      <w:r>
        <w:rPr>
          <w:rFonts w:ascii="仿宋_GB2312" w:hAnsi="仿宋_GB2312" w:eastAsia="仿宋_GB2312"/>
          <w:sz w:val="32"/>
        </w:rPr>
        <w:t>（3）组织编制塔里木河流域水利信息化发展规划，拟订水利信息化技术及项目建设、运维等相关标准及制度并监督实施；组织信息化及网络安全建设项目审查。</w:t>
      </w:r>
    </w:p>
    <w:p w14:paraId="68178E31">
      <w:pPr>
        <w:spacing w:line="580" w:lineRule="exact"/>
        <w:ind w:firstLine="640"/>
        <w:jc w:val="both"/>
      </w:pPr>
      <w:r>
        <w:rPr>
          <w:rFonts w:ascii="仿宋_GB2312" w:hAnsi="仿宋_GB2312" w:eastAsia="仿宋_GB2312"/>
          <w:sz w:val="32"/>
        </w:rPr>
        <w:t>（4）承担塔管局系统信息化项目建设；负责塔管局系统综合信息平台的应用管理，协助开展塔管局数字孪生水利建设工作；配合业务处室开展业务信息系统应用推广。</w:t>
      </w:r>
    </w:p>
    <w:p w14:paraId="05EC2A15">
      <w:pPr>
        <w:spacing w:line="580" w:lineRule="exact"/>
        <w:ind w:firstLine="640"/>
        <w:jc w:val="both"/>
      </w:pPr>
      <w:r>
        <w:rPr>
          <w:rFonts w:ascii="仿宋_GB2312" w:hAnsi="仿宋_GB2312" w:eastAsia="仿宋_GB2312"/>
          <w:sz w:val="32"/>
        </w:rPr>
        <w:t>（5）承担塔里木河流域核心系统的运行与维护管理工作，承担网络信息、视频会商系统和计算机终端日常维护和技术服务；指导并监督局属各单位信息化运维工作，保障全流域网络安全工作。</w:t>
      </w:r>
    </w:p>
    <w:p w14:paraId="03A0A20F">
      <w:pPr>
        <w:spacing w:line="580" w:lineRule="exact"/>
        <w:ind w:firstLine="640"/>
        <w:jc w:val="both"/>
      </w:pPr>
      <w:r>
        <w:rPr>
          <w:rFonts w:ascii="仿宋_GB2312" w:hAnsi="仿宋_GB2312" w:eastAsia="仿宋_GB2312"/>
          <w:sz w:val="32"/>
        </w:rPr>
        <w:t>（6）指导塔里木河流域水利系统网络安全工作，负责流域网络信息安全体系建设和运行管理，制定水利网络安全事件应急预案并组织实施。</w:t>
      </w:r>
    </w:p>
    <w:p w14:paraId="0C3BABAA">
      <w:pPr>
        <w:spacing w:line="580" w:lineRule="exact"/>
        <w:ind w:firstLine="640"/>
        <w:jc w:val="both"/>
      </w:pPr>
      <w:r>
        <w:rPr>
          <w:rFonts w:ascii="仿宋_GB2312" w:hAnsi="仿宋_GB2312" w:eastAsia="仿宋_GB2312"/>
          <w:sz w:val="32"/>
        </w:rPr>
        <w:t>（7）承办塔管局党委交办的其他事项。</w:t>
      </w:r>
    </w:p>
    <w:p w14:paraId="1C7B861D">
      <w:pPr>
        <w:spacing w:line="640" w:lineRule="exact"/>
        <w:ind w:firstLine="640"/>
        <w:jc w:val="both"/>
        <w:outlineLvl w:val="2"/>
      </w:pPr>
      <w:r>
        <w:rPr>
          <w:rFonts w:ascii="黑体" w:hAnsi="黑体" w:eastAsia="黑体"/>
          <w:sz w:val="32"/>
        </w:rPr>
        <w:t>二、机构设置</w:t>
      </w:r>
    </w:p>
    <w:p w14:paraId="00D23F9E">
      <w:pPr>
        <w:spacing w:line="580" w:lineRule="exact"/>
        <w:ind w:firstLine="640"/>
        <w:jc w:val="both"/>
      </w:pPr>
      <w:r>
        <w:rPr>
          <w:rFonts w:ascii="仿宋_GB2312" w:hAnsi="仿宋_GB2312" w:eastAsia="仿宋_GB2312"/>
          <w:sz w:val="32"/>
        </w:rPr>
        <w:t>新疆维吾尔自治区塔里木河流域水资源调度中心无下属预算单位。</w:t>
      </w:r>
    </w:p>
    <w:p w14:paraId="64CDEC2F">
      <w:r>
        <w:br w:type="page"/>
      </w:r>
    </w:p>
    <w:p w14:paraId="4E60B547">
      <w:pPr>
        <w:spacing w:line="240" w:lineRule="auto"/>
        <w:jc w:val="center"/>
        <w:outlineLvl w:val="1"/>
      </w:pPr>
      <w:r>
        <w:rPr>
          <w:rFonts w:ascii="黑体" w:hAnsi="黑体" w:eastAsia="黑体"/>
          <w:sz w:val="32"/>
        </w:rPr>
        <w:t>第二部分 部门决算情况说明</w:t>
      </w:r>
    </w:p>
    <w:p w14:paraId="519C6B3F">
      <w:pPr>
        <w:spacing w:line="640" w:lineRule="exact"/>
        <w:ind w:firstLine="640"/>
        <w:jc w:val="both"/>
        <w:outlineLvl w:val="2"/>
      </w:pPr>
      <w:r>
        <w:rPr>
          <w:rFonts w:ascii="黑体" w:hAnsi="黑体" w:eastAsia="黑体"/>
          <w:sz w:val="32"/>
        </w:rPr>
        <w:t>一、收入支出决算总体情况说明</w:t>
      </w:r>
    </w:p>
    <w:p w14:paraId="4626B4AA">
      <w:pPr>
        <w:spacing w:line="580" w:lineRule="exact"/>
        <w:ind w:firstLine="640"/>
        <w:jc w:val="both"/>
      </w:pPr>
      <w:r>
        <w:rPr>
          <w:rFonts w:ascii="仿宋_GB2312" w:hAnsi="仿宋_GB2312" w:eastAsia="仿宋_GB2312"/>
          <w:b/>
          <w:sz w:val="32"/>
        </w:rPr>
        <w:t>2025年度收入总计86.42万元，</w:t>
      </w:r>
      <w:r>
        <w:rPr>
          <w:rFonts w:ascii="仿宋_GB2312" w:hAnsi="仿宋_GB2312" w:eastAsia="仿宋_GB2312"/>
          <w:b w:val="0"/>
          <w:sz w:val="32"/>
        </w:rPr>
        <w:t>其中：本年收入合计86.42万元，使用非财政拨款结余（含专用结余）0.00万元，年初结转和结余0.00万元。</w:t>
      </w:r>
    </w:p>
    <w:p w14:paraId="197B02DB">
      <w:pPr>
        <w:spacing w:line="580" w:lineRule="exact"/>
        <w:ind w:firstLine="640"/>
        <w:jc w:val="both"/>
      </w:pPr>
      <w:r>
        <w:rPr>
          <w:rFonts w:ascii="仿宋_GB2312" w:hAnsi="仿宋_GB2312" w:eastAsia="仿宋_GB2312"/>
          <w:b/>
          <w:sz w:val="32"/>
        </w:rPr>
        <w:t>2025年度支出总计86.42万元，</w:t>
      </w:r>
      <w:r>
        <w:rPr>
          <w:rFonts w:ascii="仿宋_GB2312" w:hAnsi="仿宋_GB2312" w:eastAsia="仿宋_GB2312"/>
          <w:b w:val="0"/>
          <w:sz w:val="32"/>
        </w:rPr>
        <w:t>其中：本年支出合计86.42万元，结余分配0.00万元，年末结转和结余0.00万元。</w:t>
      </w:r>
    </w:p>
    <w:p w14:paraId="108AD829">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增加86.42万元，增长100.00%，主要原因是：本单位为本年新增预算单位，无上年对比数据。</w:t>
      </w:r>
    </w:p>
    <w:p w14:paraId="262D03F9">
      <w:pPr>
        <w:spacing w:line="640" w:lineRule="exact"/>
        <w:ind w:firstLine="640"/>
        <w:jc w:val="both"/>
        <w:outlineLvl w:val="2"/>
      </w:pPr>
      <w:r>
        <w:rPr>
          <w:rFonts w:ascii="黑体" w:hAnsi="黑体" w:eastAsia="黑体"/>
          <w:sz w:val="32"/>
        </w:rPr>
        <w:t>二、收入决算情况说明</w:t>
      </w:r>
    </w:p>
    <w:p w14:paraId="5663117E">
      <w:pPr>
        <w:spacing w:line="580" w:lineRule="exact"/>
        <w:ind w:firstLine="640"/>
        <w:jc w:val="both"/>
      </w:pPr>
      <w:r>
        <w:rPr>
          <w:rFonts w:ascii="仿宋_GB2312" w:hAnsi="仿宋_GB2312" w:eastAsia="仿宋_GB2312"/>
          <w:b/>
          <w:sz w:val="32"/>
        </w:rPr>
        <w:t>本年收入86.42万元，</w:t>
      </w:r>
      <w:r>
        <w:rPr>
          <w:rFonts w:ascii="仿宋_GB2312" w:hAnsi="仿宋_GB2312" w:eastAsia="仿宋_GB2312"/>
          <w:b w:val="0"/>
          <w:sz w:val="32"/>
        </w:rPr>
        <w:t>其中：财政拨款收入86.42万元，占100.00%；上级补助收入0.00万元，占0.00%；事业收入0.00万元，占0.00%；经营收入0.00万元，占0.00%；附属单位上缴收入0.00万元，占0.00%；其他收入0.00万元，占0.00%。</w:t>
      </w:r>
    </w:p>
    <w:p w14:paraId="690301AC">
      <w:pPr>
        <w:spacing w:line="640" w:lineRule="exact"/>
        <w:ind w:firstLine="640"/>
        <w:jc w:val="both"/>
        <w:outlineLvl w:val="2"/>
      </w:pPr>
      <w:r>
        <w:rPr>
          <w:rFonts w:ascii="黑体" w:hAnsi="黑体" w:eastAsia="黑体"/>
          <w:sz w:val="32"/>
        </w:rPr>
        <w:t>三、支出决算情况说明</w:t>
      </w:r>
    </w:p>
    <w:p w14:paraId="2AAEAFF5">
      <w:pPr>
        <w:spacing w:line="580" w:lineRule="exact"/>
        <w:ind w:firstLine="640"/>
        <w:jc w:val="both"/>
      </w:pPr>
      <w:r>
        <w:rPr>
          <w:rFonts w:ascii="仿宋_GB2312" w:hAnsi="仿宋_GB2312" w:eastAsia="仿宋_GB2312"/>
          <w:b/>
          <w:sz w:val="32"/>
        </w:rPr>
        <w:t>本年支出86.42万元，</w:t>
      </w:r>
      <w:r>
        <w:rPr>
          <w:rFonts w:ascii="仿宋_GB2312" w:hAnsi="仿宋_GB2312" w:eastAsia="仿宋_GB2312"/>
          <w:b w:val="0"/>
          <w:sz w:val="32"/>
        </w:rPr>
        <w:t>其中：基本支出86.42万元，占100.00%；项目支出0.00万元，占0.00%；上缴上级支出0.00万元，占0.00%；经营支出0.00万元，占0.00%；对附属单位补助支出0.00万元，占0.00%。</w:t>
      </w:r>
    </w:p>
    <w:p w14:paraId="7D4DB0A6">
      <w:pPr>
        <w:spacing w:line="640" w:lineRule="exact"/>
        <w:ind w:firstLine="640"/>
        <w:jc w:val="both"/>
        <w:outlineLvl w:val="2"/>
      </w:pPr>
      <w:r>
        <w:rPr>
          <w:rFonts w:ascii="黑体" w:hAnsi="黑体" w:eastAsia="黑体"/>
          <w:sz w:val="32"/>
        </w:rPr>
        <w:t>四、财政拨款收入支出决算总体情况说明</w:t>
      </w:r>
    </w:p>
    <w:p w14:paraId="1C05F638">
      <w:pPr>
        <w:spacing w:line="580" w:lineRule="exact"/>
        <w:ind w:firstLine="640"/>
        <w:jc w:val="both"/>
      </w:pPr>
      <w:r>
        <w:rPr>
          <w:rFonts w:ascii="仿宋_GB2312" w:hAnsi="仿宋_GB2312" w:eastAsia="仿宋_GB2312"/>
          <w:b/>
          <w:sz w:val="32"/>
        </w:rPr>
        <w:t>2025年度财政拨款收入总计86.42万元，</w:t>
      </w:r>
      <w:r>
        <w:rPr>
          <w:rFonts w:ascii="仿宋_GB2312" w:hAnsi="仿宋_GB2312" w:eastAsia="仿宋_GB2312"/>
          <w:b w:val="0"/>
          <w:sz w:val="32"/>
        </w:rPr>
        <w:t>其中：年初财政拨款结转和结余0.00万元，本年财政拨款收入86.42万元。</w:t>
      </w:r>
      <w:r>
        <w:rPr>
          <w:rFonts w:ascii="仿宋_GB2312" w:hAnsi="仿宋_GB2312" w:eastAsia="仿宋_GB2312"/>
          <w:b/>
          <w:sz w:val="32"/>
        </w:rPr>
        <w:t>财政拨款支出总计86.42万元，</w:t>
      </w:r>
      <w:r>
        <w:rPr>
          <w:rFonts w:ascii="仿宋_GB2312" w:hAnsi="仿宋_GB2312" w:eastAsia="仿宋_GB2312"/>
          <w:b w:val="0"/>
          <w:sz w:val="32"/>
        </w:rPr>
        <w:t>其中：年末财政拨款结转和结余0.00万元，本年财政拨款支出86.42万元。</w:t>
      </w:r>
    </w:p>
    <w:p w14:paraId="1AC6657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增加86.42万元，增长100.00%，主要原因是：本单位为本年新增预算单位，无上年对比数据。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年初预算数0.00万元，决算数86.42万元，预决算差异率100.00%，主要原因是：本单位为本年新增单位，年初无预决算，年中人事调动划转部分预算及追加</w:t>
      </w:r>
      <w:r>
        <w:rPr>
          <w:rFonts w:hint="eastAsia" w:ascii="仿宋_GB2312" w:hAnsi="仿宋_GB2312" w:eastAsia="仿宋_GB2312"/>
          <w:b w:val="0"/>
          <w:sz w:val="32"/>
          <w:lang w:val="en-US" w:eastAsia="zh-CN"/>
        </w:rPr>
        <w:t>相应</w:t>
      </w:r>
      <w:r>
        <w:rPr>
          <w:rFonts w:ascii="仿宋_GB2312" w:hAnsi="仿宋_GB2312" w:eastAsia="仿宋_GB2312"/>
          <w:b w:val="0"/>
          <w:sz w:val="32"/>
        </w:rPr>
        <w:t>预算，导致差异率为100%。</w:t>
      </w:r>
    </w:p>
    <w:p w14:paraId="3C9BE190">
      <w:pPr>
        <w:spacing w:line="640" w:lineRule="exact"/>
        <w:ind w:firstLine="640"/>
        <w:jc w:val="both"/>
        <w:outlineLvl w:val="2"/>
      </w:pPr>
      <w:r>
        <w:rPr>
          <w:rFonts w:ascii="黑体" w:hAnsi="黑体" w:eastAsia="黑体"/>
          <w:sz w:val="32"/>
        </w:rPr>
        <w:t>五、一般公共预算财政拨款支出决算情况说明</w:t>
      </w:r>
    </w:p>
    <w:p w14:paraId="1365EE21">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流域水量调度信息化、水利工程调度运用、水利信息化发展及科技推广等重点支出，体现在有关支出科目中。</w:t>
      </w:r>
    </w:p>
    <w:p w14:paraId="0580EDA0">
      <w:pPr>
        <w:spacing w:line="580" w:lineRule="exact"/>
        <w:ind w:firstLine="640"/>
        <w:jc w:val="both"/>
      </w:pPr>
      <w:r>
        <w:rPr>
          <w:rFonts w:ascii="仿宋_GB2312" w:hAnsi="仿宋_GB2312" w:eastAsia="仿宋_GB2312"/>
          <w:b w:val="0"/>
          <w:sz w:val="32"/>
        </w:rPr>
        <w:t>按照支出功能分类，农林水支出（类）水利（款）水资源节约管理与保护（项）的支出占本年财政拨款支出总额的比重最高，2025年度决算数为42.22万元，占比48.85%，主要用于人员工资福利。</w:t>
      </w:r>
    </w:p>
    <w:p w14:paraId="3FC06B5A">
      <w:pPr>
        <w:spacing w:line="640" w:lineRule="exact"/>
        <w:ind w:firstLine="640"/>
        <w:jc w:val="both"/>
        <w:outlineLvl w:val="3"/>
      </w:pPr>
      <w:r>
        <w:rPr>
          <w:rFonts w:ascii="楷体_GB2312" w:hAnsi="楷体_GB2312" w:eastAsia="楷体_GB2312"/>
          <w:b/>
          <w:sz w:val="32"/>
        </w:rPr>
        <w:t>（一）一般公共预算财政拨款支出决算总体情况</w:t>
      </w:r>
    </w:p>
    <w:p w14:paraId="0B418A82">
      <w:pPr>
        <w:spacing w:line="580" w:lineRule="exact"/>
        <w:ind w:firstLine="640"/>
        <w:jc w:val="both"/>
      </w:pPr>
      <w:r>
        <w:rPr>
          <w:rFonts w:ascii="仿宋_GB2312" w:hAnsi="仿宋_GB2312" w:eastAsia="仿宋_GB2312"/>
          <w:b/>
          <w:sz w:val="32"/>
        </w:rPr>
        <w:t>2025年度一般公共预算财政拨款支出86.42万元，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增加86.42万元，增长100.00%，主要原因是：本单位为本年新增预算单位，无上年对比数据。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年初预算数0.00万元，决算数86.42万元，预决算差异率100.00%，主要原因是：本单位为本年新增单位，年初无预决算，年中人事调动划转部分预算及追加</w:t>
      </w:r>
      <w:r>
        <w:rPr>
          <w:rFonts w:hint="eastAsia" w:ascii="仿宋_GB2312" w:hAnsi="仿宋_GB2312" w:eastAsia="仿宋_GB2312"/>
          <w:b w:val="0"/>
          <w:sz w:val="32"/>
          <w:lang w:val="en-US" w:eastAsia="zh-CN"/>
        </w:rPr>
        <w:t>相应</w:t>
      </w:r>
      <w:r>
        <w:rPr>
          <w:rFonts w:ascii="仿宋_GB2312" w:hAnsi="仿宋_GB2312" w:eastAsia="仿宋_GB2312"/>
          <w:b w:val="0"/>
          <w:sz w:val="32"/>
        </w:rPr>
        <w:t>预算，导致差异率为100%。</w:t>
      </w:r>
    </w:p>
    <w:p w14:paraId="4DB3E433">
      <w:pPr>
        <w:spacing w:line="640" w:lineRule="exact"/>
        <w:ind w:firstLine="640"/>
        <w:jc w:val="both"/>
        <w:outlineLvl w:val="3"/>
      </w:pPr>
      <w:r>
        <w:rPr>
          <w:rFonts w:ascii="楷体_GB2312" w:hAnsi="楷体_GB2312" w:eastAsia="楷体_GB2312"/>
          <w:b/>
          <w:sz w:val="32"/>
        </w:rPr>
        <w:t>（二）一般公共预算财政拨款支出决算结构情况</w:t>
      </w:r>
    </w:p>
    <w:p w14:paraId="5A64BCD5">
      <w:pPr>
        <w:spacing w:line="580" w:lineRule="exact"/>
        <w:ind w:firstLine="640"/>
        <w:jc w:val="both"/>
      </w:pPr>
      <w:r>
        <w:rPr>
          <w:rFonts w:ascii="仿宋_GB2312" w:hAnsi="仿宋_GB2312" w:eastAsia="仿宋_GB2312"/>
          <w:b w:val="0"/>
          <w:sz w:val="32"/>
        </w:rPr>
        <w:t>1.社会保障和就业支出（类）13.71万元，占15.86%。</w:t>
      </w:r>
    </w:p>
    <w:p w14:paraId="4671558D">
      <w:pPr>
        <w:spacing w:line="580" w:lineRule="exact"/>
        <w:ind w:firstLine="640"/>
        <w:jc w:val="both"/>
      </w:pPr>
      <w:r>
        <w:rPr>
          <w:rFonts w:ascii="仿宋_GB2312" w:hAnsi="仿宋_GB2312" w:eastAsia="仿宋_GB2312"/>
          <w:b w:val="0"/>
          <w:sz w:val="32"/>
        </w:rPr>
        <w:t>2.卫生健康支出（类）6.81万元，占7.88%。</w:t>
      </w:r>
    </w:p>
    <w:p w14:paraId="2E0A1AC5">
      <w:pPr>
        <w:spacing w:line="580" w:lineRule="exact"/>
        <w:ind w:firstLine="640"/>
        <w:jc w:val="both"/>
      </w:pPr>
      <w:r>
        <w:rPr>
          <w:rFonts w:ascii="仿宋_GB2312" w:hAnsi="仿宋_GB2312" w:eastAsia="仿宋_GB2312"/>
          <w:b w:val="0"/>
          <w:sz w:val="32"/>
        </w:rPr>
        <w:t>3.农林水支出（类）57.72万元，占66.79%。</w:t>
      </w:r>
    </w:p>
    <w:p w14:paraId="3B826F19">
      <w:pPr>
        <w:spacing w:line="580" w:lineRule="exact"/>
        <w:ind w:firstLine="640"/>
        <w:jc w:val="both"/>
      </w:pPr>
      <w:r>
        <w:rPr>
          <w:rFonts w:ascii="仿宋_GB2312" w:hAnsi="仿宋_GB2312" w:eastAsia="仿宋_GB2312"/>
          <w:b w:val="0"/>
          <w:sz w:val="32"/>
        </w:rPr>
        <w:t>4.住房保障支出（类）8.18万元，占9.47%。</w:t>
      </w:r>
    </w:p>
    <w:p w14:paraId="13881941">
      <w:pPr>
        <w:spacing w:line="640" w:lineRule="exact"/>
        <w:ind w:firstLine="640"/>
        <w:jc w:val="both"/>
        <w:outlineLvl w:val="3"/>
      </w:pPr>
      <w:r>
        <w:rPr>
          <w:rFonts w:ascii="楷体_GB2312" w:hAnsi="楷体_GB2312" w:eastAsia="楷体_GB2312"/>
          <w:b/>
          <w:sz w:val="32"/>
        </w:rPr>
        <w:t>（三）一般公共预算财政拨款支出决算具体情况</w:t>
      </w:r>
    </w:p>
    <w:p w14:paraId="4BE9C04C">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9.62万元，比上年决算增加9.62万元，增长100.00%，主要原因是：本单位为本年新增预算单位，无上年对比数据。</w:t>
      </w:r>
    </w:p>
    <w:p w14:paraId="717A99F3">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4.10万元，比上年决算增加4.10万元，增长100.00%，主要原因是：本单位为本年新增预算单位，无上年对比数据。</w:t>
      </w:r>
    </w:p>
    <w:p w14:paraId="359AF8C0">
      <w:pPr>
        <w:spacing w:line="580" w:lineRule="exact"/>
        <w:ind w:firstLine="640"/>
        <w:jc w:val="both"/>
      </w:pPr>
      <w:r>
        <w:rPr>
          <w:rFonts w:ascii="仿宋_GB2312" w:hAnsi="仿宋_GB2312" w:eastAsia="仿宋_GB2312"/>
          <w:b w:val="0"/>
          <w:sz w:val="32"/>
        </w:rPr>
        <w:t>3.卫生健康支出（类）行政事业单位医疗（款）事业单位医疗（项）：支出决算数为4.52万元，比上年决算增加4.52万元，增长100.00%，主要原因是：本单位为本年新增预算单位，无上年对比数据。</w:t>
      </w:r>
    </w:p>
    <w:p w14:paraId="6E2A565C">
      <w:pPr>
        <w:spacing w:line="580" w:lineRule="exact"/>
        <w:ind w:firstLine="640"/>
        <w:jc w:val="both"/>
      </w:pPr>
      <w:r>
        <w:rPr>
          <w:rFonts w:ascii="仿宋_GB2312" w:hAnsi="仿宋_GB2312" w:eastAsia="仿宋_GB2312"/>
          <w:b w:val="0"/>
          <w:sz w:val="32"/>
        </w:rPr>
        <w:t>4.卫生健康支出（类）行政事业单位医疗（款）公务员医疗补助（项）：支出决算数为2.29万元，比上年决算增加2.29万元，增长100.00%，主要原因是：本单位为本年新增预算单位，无上年对比数据。</w:t>
      </w:r>
    </w:p>
    <w:p w14:paraId="5DF82B70">
      <w:pPr>
        <w:spacing w:line="580" w:lineRule="exact"/>
        <w:ind w:firstLine="640"/>
        <w:jc w:val="both"/>
      </w:pPr>
      <w:r>
        <w:rPr>
          <w:rFonts w:ascii="仿宋_GB2312" w:hAnsi="仿宋_GB2312" w:eastAsia="仿宋_GB2312"/>
          <w:b w:val="0"/>
          <w:sz w:val="32"/>
        </w:rPr>
        <w:t>5.农林水支出（类）水利（款）</w:t>
      </w:r>
      <w:bookmarkStart w:id="0" w:name="_GoBack"/>
      <w:r>
        <w:rPr>
          <w:rFonts w:ascii="仿宋_GB2312" w:hAnsi="仿宋_GB2312" w:eastAsia="仿宋_GB2312"/>
          <w:b w:val="0"/>
          <w:sz w:val="32"/>
        </w:rPr>
        <w:t>水利执法</w:t>
      </w:r>
      <w:bookmarkEnd w:id="0"/>
      <w:r>
        <w:rPr>
          <w:rFonts w:ascii="仿宋_GB2312" w:hAnsi="仿宋_GB2312" w:eastAsia="仿宋_GB2312"/>
          <w:b w:val="0"/>
          <w:sz w:val="32"/>
        </w:rPr>
        <w:t>监督（项）：支出决算数为15.50万元，比上年决算增加15.50万元，增长100.00%，主要原因是：本单位为本年新增预算单位，无上年对比数据。</w:t>
      </w:r>
    </w:p>
    <w:p w14:paraId="164DA6E4">
      <w:pPr>
        <w:spacing w:line="580" w:lineRule="exact"/>
        <w:ind w:firstLine="640"/>
        <w:jc w:val="both"/>
      </w:pPr>
      <w:r>
        <w:rPr>
          <w:rFonts w:ascii="仿宋_GB2312" w:hAnsi="仿宋_GB2312" w:eastAsia="仿宋_GB2312"/>
          <w:b w:val="0"/>
          <w:sz w:val="32"/>
        </w:rPr>
        <w:t>6.农林水支出（类）水利（款）水资源节约管理与保护（项）：支出决算数为42.22万元，比上年决算增加42.22万元，增长100.00%，主要原因是：本单位为本年新增预算单位，无上年对比数据。</w:t>
      </w:r>
    </w:p>
    <w:p w14:paraId="48075231">
      <w:pPr>
        <w:spacing w:line="580" w:lineRule="exact"/>
        <w:ind w:firstLine="640"/>
        <w:jc w:val="both"/>
      </w:pPr>
      <w:r>
        <w:rPr>
          <w:rFonts w:ascii="仿宋_GB2312" w:hAnsi="仿宋_GB2312" w:eastAsia="仿宋_GB2312"/>
          <w:b w:val="0"/>
          <w:sz w:val="32"/>
        </w:rPr>
        <w:t>7.住房保障支出（类）住房改革支出（款）住房公积金（项）：支出决算数为8.18万元，比上年决算增加8.18万元，增长100.00%，主要原因是：本单位为本年新增预算单位，无上年对比数据。</w:t>
      </w:r>
    </w:p>
    <w:p w14:paraId="43140D49">
      <w:pPr>
        <w:spacing w:line="640" w:lineRule="exact"/>
        <w:ind w:firstLine="640"/>
        <w:jc w:val="both"/>
        <w:outlineLvl w:val="2"/>
      </w:pPr>
      <w:r>
        <w:rPr>
          <w:rFonts w:ascii="黑体" w:hAnsi="黑体" w:eastAsia="黑体"/>
          <w:sz w:val="32"/>
        </w:rPr>
        <w:t>六、一般公共预算财政拨款基本支出决算情况说明</w:t>
      </w:r>
    </w:p>
    <w:p w14:paraId="3A4F11FB">
      <w:pPr>
        <w:spacing w:line="580" w:lineRule="exact"/>
        <w:ind w:firstLine="640"/>
        <w:jc w:val="both"/>
      </w:pPr>
      <w:r>
        <w:rPr>
          <w:rFonts w:ascii="仿宋_GB2312" w:hAnsi="仿宋_GB2312" w:eastAsia="仿宋_GB2312"/>
          <w:b w:val="0"/>
          <w:sz w:val="32"/>
        </w:rPr>
        <w:t>2025年度一般公共预算财政拨款基本支出86.42万元，其中：</w:t>
      </w:r>
      <w:r>
        <w:rPr>
          <w:rFonts w:ascii="仿宋_GB2312" w:hAnsi="仿宋_GB2312" w:eastAsia="仿宋_GB2312"/>
          <w:b/>
          <w:sz w:val="32"/>
        </w:rPr>
        <w:t>人员经费86.42万元，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w:t>
      </w:r>
    </w:p>
    <w:p w14:paraId="36A95777">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02F4FF2">
      <w:pPr>
        <w:spacing w:line="640" w:lineRule="exact"/>
        <w:ind w:firstLine="640"/>
        <w:jc w:val="both"/>
        <w:outlineLvl w:val="2"/>
      </w:pPr>
      <w:r>
        <w:rPr>
          <w:rFonts w:ascii="黑体" w:hAnsi="黑体" w:eastAsia="黑体"/>
          <w:sz w:val="32"/>
        </w:rPr>
        <w:t>七、政府性基金预算财政拨款收入支出决算情况说明</w:t>
      </w:r>
    </w:p>
    <w:p w14:paraId="7F588F7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5BA3157">
      <w:pPr>
        <w:spacing w:line="640" w:lineRule="exact"/>
        <w:ind w:firstLine="640"/>
        <w:jc w:val="both"/>
        <w:outlineLvl w:val="2"/>
      </w:pPr>
      <w:r>
        <w:rPr>
          <w:rFonts w:ascii="黑体" w:hAnsi="黑体" w:eastAsia="黑体"/>
          <w:sz w:val="32"/>
        </w:rPr>
        <w:t>八、国有资本经营预算财政拨款收入支出决算情况说明</w:t>
      </w:r>
    </w:p>
    <w:p w14:paraId="7D8CF79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972E819">
      <w:pPr>
        <w:spacing w:line="640" w:lineRule="exact"/>
        <w:ind w:firstLine="640"/>
        <w:jc w:val="both"/>
        <w:outlineLvl w:val="2"/>
      </w:pPr>
      <w:r>
        <w:rPr>
          <w:rFonts w:ascii="黑体" w:hAnsi="黑体" w:eastAsia="黑体"/>
          <w:sz w:val="32"/>
        </w:rPr>
        <w:t>九、财政拨款“三公”经费支出决算情况说明</w:t>
      </w:r>
    </w:p>
    <w:p w14:paraId="45829325">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2025年本单位无财政拨款“三公”经费支出。其中：因公出国（境）费用支出0.00万元，占0.00%，比上年增加0.00万元，增长0.00%，主要原因是：2025年本单位无因公出国（境）费用支出。公务用车购置及运行维护费支出0.00万元，占0.00%，比上年增加0.00万元，增长0.00%，主要原因是：2025年本单位无公务用车购置及运行维护费支出。公务接待费支出0.00万元，占0.00%，比上年增加0.00万元，增长0.00%，主要原因是：2025年本单位无公务接待费支出。</w:t>
      </w:r>
    </w:p>
    <w:p w14:paraId="16998DB8">
      <w:pPr>
        <w:spacing w:line="580" w:lineRule="exact"/>
        <w:ind w:firstLine="640"/>
        <w:jc w:val="both"/>
      </w:pPr>
      <w:r>
        <w:rPr>
          <w:rFonts w:ascii="仿宋_GB2312" w:hAnsi="仿宋_GB2312" w:eastAsia="仿宋_GB2312"/>
          <w:b/>
          <w:sz w:val="32"/>
        </w:rPr>
        <w:t>具体情况如下：</w:t>
      </w:r>
    </w:p>
    <w:p w14:paraId="146CED2D">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206F44E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14:paraId="0444DC1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CE659E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FF04BA1">
      <w:pPr>
        <w:spacing w:line="640" w:lineRule="exact"/>
        <w:ind w:firstLine="640"/>
        <w:jc w:val="both"/>
        <w:outlineLvl w:val="2"/>
      </w:pPr>
      <w:r>
        <w:rPr>
          <w:rFonts w:ascii="黑体" w:hAnsi="黑体" w:eastAsia="黑体"/>
          <w:sz w:val="32"/>
        </w:rPr>
        <w:t>十、其他重要事项的情况说明</w:t>
      </w:r>
    </w:p>
    <w:p w14:paraId="1AE73462">
      <w:pPr>
        <w:spacing w:line="640" w:lineRule="exact"/>
        <w:ind w:firstLine="640"/>
        <w:jc w:val="both"/>
        <w:outlineLvl w:val="3"/>
      </w:pPr>
      <w:r>
        <w:rPr>
          <w:rFonts w:ascii="楷体_GB2312" w:hAnsi="楷体_GB2312" w:eastAsia="楷体_GB2312"/>
          <w:b/>
          <w:sz w:val="32"/>
        </w:rPr>
        <w:t>（一）机关运行经费及公用经费支出情况</w:t>
      </w:r>
    </w:p>
    <w:p w14:paraId="4EBACB20">
      <w:pPr>
        <w:spacing w:line="580" w:lineRule="exact"/>
        <w:ind w:firstLine="640"/>
        <w:jc w:val="both"/>
      </w:pPr>
      <w:r>
        <w:rPr>
          <w:rFonts w:ascii="仿宋_GB2312" w:hAnsi="仿宋_GB2312" w:eastAsia="仿宋_GB2312"/>
          <w:b w:val="0"/>
          <w:sz w:val="32"/>
        </w:rPr>
        <w:t>2025年度新疆维吾尔自治区塔里木河流域水资源调度中心（事业单位）公用经费支出0.00万元，比上年增加0.00万元，增长0.00%，主要原因是：2025年本单位无公用经费支出。</w:t>
      </w:r>
    </w:p>
    <w:p w14:paraId="09697C7A">
      <w:pPr>
        <w:spacing w:line="640" w:lineRule="exact"/>
        <w:ind w:firstLine="640"/>
        <w:jc w:val="both"/>
        <w:outlineLvl w:val="3"/>
      </w:pPr>
      <w:r>
        <w:rPr>
          <w:rFonts w:ascii="楷体_GB2312" w:hAnsi="楷体_GB2312" w:eastAsia="楷体_GB2312"/>
          <w:b/>
          <w:sz w:val="32"/>
        </w:rPr>
        <w:t>（二）政府采购情况</w:t>
      </w:r>
    </w:p>
    <w:p w14:paraId="70F7A552">
      <w:pPr>
        <w:spacing w:line="580" w:lineRule="exact"/>
        <w:ind w:firstLine="640"/>
        <w:jc w:val="both"/>
      </w:pPr>
      <w:r>
        <w:rPr>
          <w:rFonts w:ascii="仿宋_GB2312" w:hAnsi="仿宋_GB2312" w:eastAsia="仿宋_GB2312"/>
          <w:b w:val="0"/>
          <w:sz w:val="32"/>
        </w:rPr>
        <w:t>2025年度政府采购支出总额0.00万元，其中：政府采购货物支出0.00万元、政府采购工程支出0.00万元、政府采购服务支出0.00万元。</w:t>
      </w:r>
    </w:p>
    <w:p w14:paraId="1E23975E">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65C3C83">
      <w:pPr>
        <w:spacing w:line="640" w:lineRule="exact"/>
        <w:ind w:firstLine="640"/>
        <w:jc w:val="both"/>
        <w:outlineLvl w:val="3"/>
      </w:pPr>
      <w:r>
        <w:rPr>
          <w:rFonts w:ascii="楷体_GB2312" w:hAnsi="楷体_GB2312" w:eastAsia="楷体_GB2312"/>
          <w:b/>
          <w:sz w:val="32"/>
        </w:rPr>
        <w:t>（三）国有资产占用情况说明</w:t>
      </w:r>
    </w:p>
    <w:p w14:paraId="0BAE9119">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42035F2">
      <w:pPr>
        <w:spacing w:line="640" w:lineRule="exact"/>
        <w:ind w:firstLine="640"/>
        <w:jc w:val="both"/>
        <w:outlineLvl w:val="2"/>
      </w:pPr>
      <w:r>
        <w:rPr>
          <w:rFonts w:ascii="黑体" w:hAnsi="黑体" w:eastAsia="黑体"/>
          <w:sz w:val="32"/>
        </w:rPr>
        <w:t>十一、预算绩效的情况说明</w:t>
      </w:r>
    </w:p>
    <w:p w14:paraId="0D61CEB1">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2025年无项目支出，未开展绩效管理的项目。发现的问题及原因：2025年无项目支出，无实施绩效管理的项目。下一步改进措施：2025年无项目支出，</w:t>
      </w:r>
      <w:r>
        <w:rPr>
          <w:rFonts w:hint="eastAsia" w:ascii="仿宋_GB2312" w:hAnsi="仿宋_GB2312" w:eastAsia="仿宋_GB2312"/>
          <w:b w:val="0"/>
          <w:sz w:val="32"/>
          <w:lang w:val="en-US" w:eastAsia="zh-CN"/>
        </w:rPr>
        <w:t>无</w:t>
      </w:r>
      <w:r>
        <w:rPr>
          <w:rFonts w:ascii="仿宋_GB2312" w:hAnsi="仿宋_GB2312" w:eastAsia="仿宋_GB2312"/>
          <w:b w:val="0"/>
          <w:sz w:val="32"/>
        </w:rPr>
        <w:t>进行绩效管理的项目。</w:t>
      </w:r>
    </w:p>
    <w:p w14:paraId="04BB4B8F">
      <w:r>
        <w:br w:type="page"/>
      </w:r>
    </w:p>
    <w:p w14:paraId="3A1E2B91">
      <w:pPr>
        <w:spacing w:line="640" w:lineRule="exact"/>
        <w:ind w:firstLine="640"/>
        <w:jc w:val="both"/>
        <w:outlineLvl w:val="2"/>
      </w:pPr>
      <w:r>
        <w:rPr>
          <w:rFonts w:ascii="黑体" w:hAnsi="黑体" w:eastAsia="黑体"/>
          <w:sz w:val="32"/>
        </w:rPr>
        <w:t>十二、其他需说明的事项</w:t>
      </w:r>
    </w:p>
    <w:p w14:paraId="6475B226">
      <w:pPr>
        <w:spacing w:line="580" w:lineRule="exact"/>
        <w:ind w:firstLine="640"/>
        <w:jc w:val="both"/>
      </w:pPr>
      <w:r>
        <w:rPr>
          <w:rFonts w:ascii="仿宋_GB2312" w:hAnsi="仿宋_GB2312" w:eastAsia="仿宋_GB2312"/>
          <w:b w:val="0"/>
          <w:sz w:val="32"/>
        </w:rPr>
        <w:t>本单位2025年度无政府采购支出，无授予中小企业合同金额。</w:t>
      </w:r>
    </w:p>
    <w:p w14:paraId="41458283">
      <w:r>
        <w:br w:type="page"/>
      </w:r>
    </w:p>
    <w:p w14:paraId="0E7859DB">
      <w:pPr>
        <w:spacing w:line="600" w:lineRule="exact"/>
        <w:jc w:val="center"/>
        <w:outlineLvl w:val="0"/>
      </w:pPr>
      <w:r>
        <w:rPr>
          <w:rFonts w:ascii="黑体" w:hAnsi="黑体" w:eastAsia="黑体"/>
          <w:sz w:val="32"/>
        </w:rPr>
        <w:t>第三部分 专业名词解释</w:t>
      </w:r>
    </w:p>
    <w:p w14:paraId="19EACF60">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19FC485C">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D7F120B">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3BB1F32D">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68E378E">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64BE2CC1">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779CB96C">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7ABFFA7A">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6E3F7676">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5E7BFB54">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59D6E2B0">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7A004737">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19C71F06">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7AC6E5C0">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06C1087E">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094CB652">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5C4B86C7">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53265FBB">
      <w:r>
        <w:br w:type="page"/>
      </w:r>
    </w:p>
    <w:p w14:paraId="5721B8C6">
      <w:pPr>
        <w:spacing w:line="240" w:lineRule="auto"/>
        <w:jc w:val="center"/>
        <w:outlineLvl w:val="1"/>
      </w:pPr>
      <w:r>
        <w:rPr>
          <w:rFonts w:ascii="黑体" w:hAnsi="黑体" w:eastAsia="黑体"/>
          <w:sz w:val="32"/>
        </w:rPr>
        <w:t>第四部分 部门决算报表（见附表）</w:t>
      </w:r>
    </w:p>
    <w:p w14:paraId="4A9C0A42">
      <w:pPr>
        <w:autoSpaceDE w:val="0"/>
        <w:autoSpaceDN w:val="0"/>
        <w:spacing w:line="600" w:lineRule="exact"/>
        <w:ind w:firstLine="640" w:firstLineChars="200"/>
      </w:pPr>
      <w:r>
        <w:rPr>
          <w:rFonts w:ascii="仿宋_GB2312" w:hAnsi="仿宋_GB2312" w:eastAsia="仿宋_GB2312"/>
          <w:b w:val="0"/>
          <w:sz w:val="32"/>
        </w:rPr>
        <w:t>一、《收入支出决算总表》</w:t>
      </w:r>
    </w:p>
    <w:p w14:paraId="491A9C60">
      <w:pPr>
        <w:autoSpaceDE w:val="0"/>
        <w:autoSpaceDN w:val="0"/>
        <w:spacing w:line="600" w:lineRule="exact"/>
        <w:ind w:firstLine="640" w:firstLineChars="200"/>
      </w:pPr>
      <w:r>
        <w:rPr>
          <w:rFonts w:ascii="仿宋_GB2312" w:hAnsi="仿宋_GB2312" w:eastAsia="仿宋_GB2312"/>
          <w:b w:val="0"/>
          <w:sz w:val="32"/>
        </w:rPr>
        <w:t>二、《收入决算表》</w:t>
      </w:r>
    </w:p>
    <w:p w14:paraId="569A17CE">
      <w:pPr>
        <w:autoSpaceDE w:val="0"/>
        <w:autoSpaceDN w:val="0"/>
        <w:spacing w:line="600" w:lineRule="exact"/>
        <w:ind w:firstLine="640" w:firstLineChars="200"/>
      </w:pPr>
      <w:r>
        <w:rPr>
          <w:rFonts w:ascii="仿宋_GB2312" w:hAnsi="仿宋_GB2312" w:eastAsia="仿宋_GB2312"/>
          <w:b w:val="0"/>
          <w:sz w:val="32"/>
        </w:rPr>
        <w:t>三、《支出决算表》</w:t>
      </w:r>
    </w:p>
    <w:p w14:paraId="77FCE6DF">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7789406A">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72B7F001">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74B4BB8E">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5664F24B">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73C34ED5">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4DEFEDFD">
      <w:pPr>
        <w:autoSpaceDE w:val="0"/>
        <w:autoSpaceDN w:val="0"/>
        <w:spacing w:line="600" w:lineRule="exact"/>
        <w:ind w:firstLine="640" w:firstLineChars="200"/>
      </w:pPr>
    </w:p>
    <w:p w14:paraId="494384D1">
      <w:pPr>
        <w:autoSpaceDE w:val="0"/>
        <w:autoSpaceDN w:val="0"/>
        <w:spacing w:line="600" w:lineRule="exact"/>
        <w:ind w:firstLine="640" w:firstLineChars="200"/>
      </w:pPr>
    </w:p>
    <w:p w14:paraId="42CDD2C6">
      <w:pPr>
        <w:autoSpaceDE w:val="0"/>
        <w:autoSpaceDN w:val="0"/>
        <w:spacing w:line="600" w:lineRule="exact"/>
        <w:ind w:firstLine="640" w:firstLineChars="200"/>
      </w:pPr>
    </w:p>
    <w:p w14:paraId="53504426">
      <w:pPr>
        <w:autoSpaceDE w:val="0"/>
        <w:autoSpaceDN w:val="0"/>
        <w:spacing w:line="600" w:lineRule="exact"/>
        <w:ind w:firstLine="640" w:firstLineChars="200"/>
      </w:pPr>
    </w:p>
    <w:p w14:paraId="618DD7A4">
      <w:pPr>
        <w:autoSpaceDE w:val="0"/>
        <w:autoSpaceDN w:val="0"/>
        <w:spacing w:line="600" w:lineRule="exact"/>
        <w:ind w:firstLine="640" w:firstLineChars="20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8721306-FB70-4914-83DE-3871E6823F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3BEFC51-ECE2-4533-9682-C8818CCDBA86}"/>
  </w:font>
  <w:font w:name="微软雅黑">
    <w:panose1 w:val="020B0503020204020204"/>
    <w:charset w:val="86"/>
    <w:family w:val="auto"/>
    <w:pitch w:val="default"/>
    <w:sig w:usb0="80000287" w:usb1="2ACF3C50" w:usb2="00000016" w:usb3="00000000" w:csb0="0004001F" w:csb1="00000000"/>
  </w:font>
  <w:font w:name="仿宋_GB2312">
    <w:altName w:val="微软雅黑"/>
    <w:panose1 w:val="02010609030101010101"/>
    <w:charset w:val="86"/>
    <w:family w:val="modern"/>
    <w:pitch w:val="default"/>
    <w:sig w:usb0="00000001" w:usb1="080E0000" w:usb2="00000000" w:usb3="00000000" w:csb0="00040000" w:csb1="00000000"/>
    <w:embedRegular r:id="rId3" w:fontKey="{C45BB26F-3579-4133-99B4-9BB7B6C9A6E4}"/>
  </w:font>
  <w:font w:name="楷体_GB2312">
    <w:altName w:val="楷体"/>
    <w:panose1 w:val="00000000000000000000"/>
    <w:charset w:val="00"/>
    <w:family w:val="auto"/>
    <w:pitch w:val="default"/>
    <w:sig w:usb0="00000000" w:usb1="00000000" w:usb2="00000000" w:usb3="00000000" w:csb0="00000000" w:csb1="00000000"/>
    <w:embedRegular r:id="rId4" w:fontKey="{FB162DFA-F511-4E8D-A47A-E808C4578E36}"/>
  </w:font>
  <w:font w:name="KSOF8080F95D">
    <w:panose1 w:val="020B0503020204020204"/>
    <w:charset w:val="86"/>
    <w:family w:val="auto"/>
    <w:pitch w:val="default"/>
    <w:sig w:usb0="00000001" w:usb1="00000000" w:usb2="00000000" w:usb3="00000000" w:csb0="00040001" w:csb1="00000000"/>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92FA7"/>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70B080D"/>
    <w:rsid w:val="181A30AD"/>
    <w:rsid w:val="1875698D"/>
    <w:rsid w:val="19071D6C"/>
    <w:rsid w:val="1C317E4F"/>
    <w:rsid w:val="1C472464"/>
    <w:rsid w:val="1DAF458D"/>
    <w:rsid w:val="1E086ACE"/>
    <w:rsid w:val="1EAA4A5F"/>
    <w:rsid w:val="1F040613"/>
    <w:rsid w:val="1F587A0B"/>
    <w:rsid w:val="1FE96E5D"/>
    <w:rsid w:val="1FF02946"/>
    <w:rsid w:val="2064678E"/>
    <w:rsid w:val="20DD6197"/>
    <w:rsid w:val="21F317F2"/>
    <w:rsid w:val="2241392C"/>
    <w:rsid w:val="23BC04D2"/>
    <w:rsid w:val="25275618"/>
    <w:rsid w:val="27315D1D"/>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A0B0650"/>
    <w:rsid w:val="3B1220C9"/>
    <w:rsid w:val="3D5275AC"/>
    <w:rsid w:val="3D55093B"/>
    <w:rsid w:val="3EA7725F"/>
    <w:rsid w:val="3F6525B0"/>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547b49a2-c42f-41b9-87f5-45ec4877d6ca</errorID>
      <errorWord>水利执法</errorWord>
      <group>L1_Other</group>
      <groupName>其他问题</groupName>
      <ability>L2_UserTypo</ability>
      <abilityName>自定义错误</abilityName>
      <candidateList>
        <item>水行政执法</item>
      </candidateList>
      <explain>来自自定义错词库。</explain>
      <paraID>5DF82B70</paraID>
      <start>15</start>
      <end>19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8824c891-06a8-4607-868b-8ba4dfb78e3e}">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1788</Words>
  <Characters>1977</Characters>
  <Lines>10</Lines>
  <Paragraphs>2</Paragraphs>
  <TotalTime>12</TotalTime>
  <ScaleCrop>false</ScaleCrop>
  <LinksUpToDate>false</LinksUpToDate>
  <CharactersWithSpaces>1985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admin</cp:lastModifiedBy>
  <cp:lastPrinted>2024-07-22T11:58:00Z</cp:lastPrinted>
  <dcterms:modified xsi:type="dcterms:W3CDTF">2026-08-28T07:53:55Z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eyJoZGlkIjoiZTliZGUwNWM5NjQxODUyZjhjYWVlMWZjZWZmNTI5MzgiLCJ1c2VySWQiOiIzNzI2MDMzNTYifQ==</vt:lpwstr>
  </property>
</Properties>
</file>