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84D1E2"/>
    <w:p w14:paraId="2B4E5B81">
      <w:pPr>
        <w:spacing w:line="540" w:lineRule="exact"/>
        <w:jc w:val="center"/>
        <w:rPr>
          <w:rFonts w:hint="default" w:ascii="Times New Roman" w:hAnsi="Times New Roman" w:eastAsia="华文中宋" w:cs="Times New Roman"/>
          <w:b/>
          <w:kern w:val="0"/>
          <w:sz w:val="52"/>
          <w:szCs w:val="52"/>
          <w:highlight w:val="none"/>
        </w:rPr>
      </w:pPr>
    </w:p>
    <w:p w14:paraId="2CB936C8">
      <w:pPr>
        <w:spacing w:line="540" w:lineRule="exact"/>
        <w:rPr>
          <w:rFonts w:hint="default" w:ascii="Times New Roman" w:hAnsi="Times New Roman" w:eastAsia="华文中宋" w:cs="Times New Roman"/>
          <w:b/>
          <w:kern w:val="0"/>
          <w:sz w:val="52"/>
          <w:szCs w:val="52"/>
          <w:highlight w:val="none"/>
        </w:rPr>
      </w:pPr>
    </w:p>
    <w:p w14:paraId="2A3FB6CB">
      <w:pPr>
        <w:spacing w:line="540" w:lineRule="exact"/>
        <w:jc w:val="center"/>
        <w:rPr>
          <w:rFonts w:hint="default" w:ascii="Times New Roman" w:hAnsi="Times New Roman" w:eastAsia="华文中宋" w:cs="Times New Roman"/>
          <w:b/>
          <w:kern w:val="0"/>
          <w:sz w:val="52"/>
          <w:szCs w:val="52"/>
          <w:highlight w:val="none"/>
        </w:rPr>
      </w:pPr>
    </w:p>
    <w:p w14:paraId="77709B45">
      <w:pPr>
        <w:spacing w:line="540" w:lineRule="exact"/>
        <w:jc w:val="center"/>
        <w:rPr>
          <w:rFonts w:hint="default" w:ascii="Times New Roman" w:hAnsi="Times New Roman" w:eastAsia="华文中宋" w:cs="Times New Roman"/>
          <w:b/>
          <w:kern w:val="0"/>
          <w:sz w:val="52"/>
          <w:szCs w:val="52"/>
          <w:highlight w:val="none"/>
        </w:rPr>
      </w:pPr>
    </w:p>
    <w:p w14:paraId="4C1B70A9">
      <w:pPr>
        <w:spacing w:line="540" w:lineRule="exact"/>
        <w:jc w:val="center"/>
        <w:rPr>
          <w:rFonts w:hint="default" w:ascii="Times New Roman" w:hAnsi="Times New Roman" w:eastAsia="方正小标宋_GBK" w:cs="Times New Roman"/>
          <w:kern w:val="0"/>
          <w:sz w:val="48"/>
          <w:szCs w:val="48"/>
          <w:highlight w:val="none"/>
        </w:rPr>
      </w:pPr>
      <w:r>
        <w:rPr>
          <w:rFonts w:hint="default" w:ascii="Times New Roman" w:hAnsi="Times New Roman" w:eastAsia="方正小标宋_GBK" w:cs="Times New Roman"/>
          <w:kern w:val="0"/>
          <w:sz w:val="48"/>
          <w:szCs w:val="48"/>
          <w:highlight w:val="none"/>
        </w:rPr>
        <w:t>克孜尔水库</w:t>
      </w:r>
      <w:r>
        <w:rPr>
          <w:rFonts w:hint="eastAsia" w:eastAsia="方正小标宋_GBK" w:cs="Times New Roman"/>
          <w:kern w:val="0"/>
          <w:sz w:val="48"/>
          <w:szCs w:val="48"/>
          <w:highlight w:val="none"/>
          <w:lang w:val="en-US" w:eastAsia="zh-CN"/>
        </w:rPr>
        <w:t>2025</w:t>
      </w:r>
      <w:r>
        <w:rPr>
          <w:rFonts w:hint="default" w:ascii="Times New Roman" w:hAnsi="Times New Roman" w:eastAsia="方正小标宋_GBK" w:cs="Times New Roman"/>
          <w:kern w:val="0"/>
          <w:sz w:val="48"/>
          <w:szCs w:val="48"/>
          <w:highlight w:val="none"/>
        </w:rPr>
        <w:t>年经营成本性项</w:t>
      </w:r>
      <w:r>
        <w:rPr>
          <w:rFonts w:hint="eastAsia" w:eastAsia="方正小标宋_GBK" w:cs="Times New Roman"/>
          <w:kern w:val="0"/>
          <w:sz w:val="48"/>
          <w:szCs w:val="48"/>
          <w:highlight w:val="none"/>
          <w:lang w:val="en-US" w:eastAsia="zh-CN"/>
        </w:rPr>
        <w:t>目</w:t>
      </w:r>
      <w:r>
        <w:rPr>
          <w:rFonts w:hint="default" w:ascii="Times New Roman" w:hAnsi="Times New Roman" w:eastAsia="方正小标宋_GBK" w:cs="Times New Roman"/>
          <w:kern w:val="0"/>
          <w:sz w:val="48"/>
          <w:szCs w:val="48"/>
          <w:highlight w:val="none"/>
        </w:rPr>
        <w:t>支出绩效评价报告</w:t>
      </w:r>
    </w:p>
    <w:p w14:paraId="4513352A">
      <w:pPr>
        <w:spacing w:line="540" w:lineRule="exact"/>
        <w:jc w:val="center"/>
        <w:rPr>
          <w:rFonts w:hint="default" w:ascii="Times New Roman" w:hAnsi="Times New Roman" w:eastAsia="华文中宋" w:cs="Times New Roman"/>
          <w:b/>
          <w:kern w:val="0"/>
          <w:sz w:val="52"/>
          <w:szCs w:val="52"/>
          <w:highlight w:val="none"/>
        </w:rPr>
      </w:pPr>
    </w:p>
    <w:p w14:paraId="52CAAB78">
      <w:pPr>
        <w:spacing w:line="540" w:lineRule="exact"/>
        <w:jc w:val="center"/>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（202</w:t>
      </w:r>
      <w:r>
        <w:rPr>
          <w:rFonts w:hint="eastAsia" w:eastAsia="仿宋_GB2312" w:cs="Times New Roman"/>
          <w:kern w:val="0"/>
          <w:sz w:val="36"/>
          <w:szCs w:val="36"/>
          <w:highlight w:val="none"/>
          <w:lang w:val="en-US" w:eastAsia="zh-CN"/>
        </w:rPr>
        <w:t>5</w:t>
      </w:r>
      <w:r>
        <w:rPr>
          <w:rFonts w:hint="default" w:ascii="Times New Roman" w:hAnsi="Times New Roman" w:eastAsia="仿宋_GB2312" w:cs="Times New Roman"/>
          <w:kern w:val="0"/>
          <w:sz w:val="36"/>
          <w:szCs w:val="36"/>
          <w:highlight w:val="none"/>
        </w:rPr>
        <w:t>年度）</w:t>
      </w:r>
    </w:p>
    <w:p w14:paraId="63702FE1">
      <w:pPr>
        <w:spacing w:line="540" w:lineRule="exact"/>
        <w:jc w:val="center"/>
        <w:rPr>
          <w:rFonts w:hint="default" w:ascii="Times New Roman" w:hAnsi="Times New Roman" w:eastAsia="仿宋_GB2312" w:cs="Times New Roman"/>
          <w:kern w:val="0"/>
          <w:sz w:val="30"/>
          <w:szCs w:val="30"/>
          <w:highlight w:val="none"/>
        </w:rPr>
      </w:pPr>
    </w:p>
    <w:p w14:paraId="3A47524E">
      <w:pPr>
        <w:spacing w:line="540" w:lineRule="exact"/>
        <w:jc w:val="center"/>
        <w:rPr>
          <w:rFonts w:hint="default" w:ascii="Times New Roman" w:hAnsi="Times New Roman" w:eastAsia="仿宋_GB2312" w:cs="Times New Roman"/>
          <w:kern w:val="0"/>
          <w:sz w:val="30"/>
          <w:szCs w:val="30"/>
          <w:highlight w:val="none"/>
        </w:rPr>
      </w:pPr>
    </w:p>
    <w:p w14:paraId="42B969BB">
      <w:pPr>
        <w:spacing w:line="540" w:lineRule="exact"/>
        <w:jc w:val="center"/>
        <w:rPr>
          <w:rFonts w:hint="default" w:ascii="Times New Roman" w:hAnsi="Times New Roman" w:eastAsia="仿宋_GB2312" w:cs="Times New Roman"/>
          <w:kern w:val="0"/>
          <w:sz w:val="30"/>
          <w:szCs w:val="30"/>
          <w:highlight w:val="none"/>
        </w:rPr>
      </w:pPr>
    </w:p>
    <w:p w14:paraId="1EE3C1A9">
      <w:pPr>
        <w:spacing w:line="540" w:lineRule="exact"/>
        <w:jc w:val="center"/>
        <w:rPr>
          <w:rFonts w:hint="default" w:ascii="Times New Roman" w:hAnsi="Times New Roman" w:eastAsia="仿宋_GB2312" w:cs="Times New Roman"/>
          <w:kern w:val="0"/>
          <w:sz w:val="30"/>
          <w:szCs w:val="30"/>
          <w:highlight w:val="none"/>
        </w:rPr>
      </w:pPr>
    </w:p>
    <w:p w14:paraId="575C264A">
      <w:pPr>
        <w:spacing w:line="540" w:lineRule="exact"/>
        <w:jc w:val="center"/>
        <w:rPr>
          <w:rFonts w:hint="default" w:ascii="Times New Roman" w:hAnsi="Times New Roman" w:eastAsia="仿宋_GB2312" w:cs="Times New Roman"/>
          <w:kern w:val="0"/>
          <w:sz w:val="30"/>
          <w:szCs w:val="30"/>
          <w:highlight w:val="none"/>
        </w:rPr>
      </w:pPr>
    </w:p>
    <w:p w14:paraId="2BC047CE">
      <w:pPr>
        <w:spacing w:line="540" w:lineRule="exact"/>
        <w:jc w:val="center"/>
        <w:rPr>
          <w:rFonts w:hint="default" w:ascii="Times New Roman" w:hAnsi="Times New Roman" w:eastAsia="仿宋_GB2312" w:cs="Times New Roman"/>
          <w:kern w:val="0"/>
          <w:sz w:val="30"/>
          <w:szCs w:val="30"/>
          <w:highlight w:val="none"/>
        </w:rPr>
      </w:pPr>
    </w:p>
    <w:p w14:paraId="52D643D8">
      <w:pPr>
        <w:spacing w:line="700" w:lineRule="exact"/>
        <w:jc w:val="left"/>
        <w:rPr>
          <w:rFonts w:hint="eastAsia" w:ascii="Times New Roman" w:hAnsi="Times New Roman" w:eastAsia="仿宋_GB2312" w:cs="Times New Roman"/>
          <w:kern w:val="0"/>
          <w:sz w:val="36"/>
          <w:szCs w:val="36"/>
          <w:highlight w:val="none"/>
          <w:lang w:eastAsia="zh-CN"/>
        </w:rPr>
      </w:pPr>
      <w:r>
        <w:rPr>
          <w:rFonts w:hint="default" w:ascii="Times New Roman" w:hAnsi="Times New Roman" w:eastAsia="仿宋_GB2312" w:cs="Times New Roman"/>
          <w:kern w:val="0"/>
          <w:sz w:val="36"/>
          <w:szCs w:val="36"/>
          <w:highlight w:val="none"/>
        </w:rPr>
        <w:t>项目名称：克孜尔水库2025年经营成本性项目</w:t>
      </w:r>
    </w:p>
    <w:p w14:paraId="6EDB5092">
      <w:pPr>
        <w:spacing w:line="700" w:lineRule="exact"/>
        <w:jc w:val="left"/>
        <w:rPr>
          <w:rFonts w:hint="eastAsia" w:ascii="Times New Roman" w:hAnsi="Times New Roman" w:eastAsia="仿宋_GB2312" w:cs="Times New Roman"/>
          <w:kern w:val="0"/>
          <w:sz w:val="36"/>
          <w:szCs w:val="36"/>
          <w:highlight w:val="none"/>
          <w:lang w:eastAsia="zh-CN"/>
        </w:rPr>
      </w:pPr>
      <w:r>
        <w:rPr>
          <w:rFonts w:hint="default" w:ascii="Times New Roman" w:hAnsi="Times New Roman" w:eastAsia="仿宋_GB2312" w:cs="Times New Roman"/>
          <w:kern w:val="0"/>
          <w:sz w:val="36"/>
          <w:szCs w:val="36"/>
          <w:highlight w:val="none"/>
        </w:rPr>
        <w:t>实施单位（公章）：新疆维吾尔自治区塔里木河流域克孜尔水库管理中心</w:t>
      </w:r>
    </w:p>
    <w:p w14:paraId="459BB1B6">
      <w:pPr>
        <w:spacing w:line="700" w:lineRule="exact"/>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主管部门（公章）：新疆维吾尔自治区塔里木河流域管理局</w:t>
      </w:r>
    </w:p>
    <w:p w14:paraId="554AB6F6">
      <w:pPr>
        <w:spacing w:line="700" w:lineRule="exact"/>
        <w:jc w:val="left"/>
        <w:rPr>
          <w:rFonts w:hint="default" w:ascii="Times New Roman" w:hAnsi="Times New Roman"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项目负责人（签章）：</w:t>
      </w:r>
      <w:r>
        <w:rPr>
          <w:rFonts w:hint="eastAsia" w:eastAsia="仿宋_GB2312" w:cs="Times New Roman"/>
          <w:kern w:val="0"/>
          <w:sz w:val="36"/>
          <w:szCs w:val="36"/>
          <w:highlight w:val="none"/>
          <w:lang w:val="en-US" w:eastAsia="zh-CN"/>
        </w:rPr>
        <w:t>陈喜</w:t>
      </w:r>
    </w:p>
    <w:p w14:paraId="018CC7B7">
      <w:pPr>
        <w:spacing w:line="700" w:lineRule="exact"/>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填报时间：</w:t>
      </w:r>
      <w:r>
        <w:rPr>
          <w:rFonts w:hint="eastAsia" w:eastAsia="仿宋_GB2312" w:cs="Times New Roman"/>
          <w:kern w:val="0"/>
          <w:sz w:val="36"/>
          <w:szCs w:val="36"/>
          <w:highlight w:val="none"/>
          <w:lang w:val="en-US" w:eastAsia="zh-CN"/>
        </w:rPr>
        <w:t>2026</w:t>
      </w:r>
      <w:r>
        <w:rPr>
          <w:rFonts w:hint="default" w:ascii="Times New Roman" w:hAnsi="Times New Roman" w:eastAsia="仿宋_GB2312" w:cs="Times New Roman"/>
          <w:kern w:val="0"/>
          <w:sz w:val="36"/>
          <w:szCs w:val="36"/>
          <w:highlight w:val="none"/>
        </w:rPr>
        <w:t>年</w:t>
      </w:r>
      <w:r>
        <w:rPr>
          <w:rFonts w:hint="eastAsia" w:eastAsia="仿宋_GB2312" w:cs="Times New Roman"/>
          <w:kern w:val="0"/>
          <w:sz w:val="36"/>
          <w:szCs w:val="36"/>
          <w:highlight w:val="none"/>
          <w:lang w:val="en-US" w:eastAsia="zh-CN"/>
        </w:rPr>
        <w:t>3</w:t>
      </w:r>
      <w:r>
        <w:rPr>
          <w:rFonts w:hint="default" w:ascii="Times New Roman" w:hAnsi="Times New Roman" w:eastAsia="仿宋_GB2312" w:cs="Times New Roman"/>
          <w:kern w:val="0"/>
          <w:sz w:val="36"/>
          <w:szCs w:val="36"/>
          <w:highlight w:val="none"/>
        </w:rPr>
        <w:t>月</w:t>
      </w:r>
      <w:r>
        <w:rPr>
          <w:rFonts w:hint="eastAsia" w:eastAsia="仿宋_GB2312" w:cs="Times New Roman"/>
          <w:kern w:val="0"/>
          <w:sz w:val="36"/>
          <w:szCs w:val="36"/>
          <w:highlight w:val="none"/>
          <w:lang w:val="en-US" w:eastAsia="zh-CN"/>
        </w:rPr>
        <w:t>25</w:t>
      </w:r>
      <w:r>
        <w:rPr>
          <w:rFonts w:hint="default" w:ascii="Times New Roman" w:hAnsi="Times New Roman" w:eastAsia="仿宋_GB2312" w:cs="Times New Roman"/>
          <w:kern w:val="0"/>
          <w:sz w:val="36"/>
          <w:szCs w:val="36"/>
          <w:highlight w:val="none"/>
        </w:rPr>
        <w:t>日</w:t>
      </w:r>
    </w:p>
    <w:p w14:paraId="7F6034B7">
      <w:pPr>
        <w:spacing w:line="540" w:lineRule="exact"/>
        <w:jc w:val="center"/>
        <w:rPr>
          <w:rFonts w:hint="default" w:ascii="Times New Roman" w:hAnsi="Times New Roman" w:eastAsia="仿宋_GB2312" w:cs="Times New Roman"/>
          <w:kern w:val="0"/>
          <w:sz w:val="30"/>
          <w:szCs w:val="30"/>
          <w:highlight w:val="none"/>
        </w:rPr>
      </w:pPr>
    </w:p>
    <w:p w14:paraId="2ABA883C">
      <w:pPr>
        <w:rPr>
          <w:rFonts w:hint="default" w:ascii="Times New Roman" w:hAnsi="Times New Roman" w:eastAsia="仿宋_GB2312" w:cs="Times New Roman"/>
          <w:kern w:val="0"/>
          <w:sz w:val="30"/>
          <w:szCs w:val="30"/>
          <w:highlight w:val="none"/>
        </w:rPr>
      </w:pPr>
      <w:r>
        <w:rPr>
          <w:rFonts w:hint="default" w:ascii="Times New Roman" w:hAnsi="Times New Roman" w:eastAsia="仿宋_GB2312" w:cs="Times New Roman"/>
          <w:kern w:val="0"/>
          <w:sz w:val="30"/>
          <w:szCs w:val="30"/>
          <w:highlight w:val="none"/>
        </w:rPr>
        <w:br w:type="page"/>
      </w:r>
    </w:p>
    <w:p w14:paraId="34CB5D18">
      <w:pPr>
        <w:spacing w:line="540" w:lineRule="exact"/>
        <w:jc w:val="center"/>
        <w:rPr>
          <w:rFonts w:hint="default" w:ascii="Times New Roman" w:hAnsi="Times New Roman" w:eastAsia="仿宋_GB2312" w:cs="Times New Roman"/>
          <w:kern w:val="0"/>
          <w:sz w:val="30"/>
          <w:szCs w:val="30"/>
          <w:highlight w:val="none"/>
        </w:rPr>
      </w:pPr>
    </w:p>
    <w:sdt>
      <w:sdtPr>
        <w:rPr>
          <w:rFonts w:ascii="宋体" w:hAnsi="宋体" w:eastAsia="宋体" w:cs="Times New Roman"/>
          <w:b/>
          <w:bCs/>
          <w:kern w:val="2"/>
          <w:sz w:val="44"/>
          <w:szCs w:val="44"/>
          <w:highlight w:val="none"/>
          <w:lang w:val="en-US" w:eastAsia="zh-CN" w:bidi="ar-SA"/>
        </w:rPr>
        <w:id w:val="147456767"/>
        <w15:color w:val="DBDBDB"/>
        <w:docPartObj>
          <w:docPartGallery w:val="Table of Contents"/>
          <w:docPartUnique/>
        </w:docPartObj>
      </w:sdtPr>
      <w:sdtEndPr>
        <w:rPr>
          <w:rFonts w:ascii="宋体" w:hAnsi="宋体" w:eastAsia="宋体" w:cs="Times New Roman"/>
          <w:b/>
          <w:bCs/>
          <w:kern w:val="2"/>
          <w:sz w:val="44"/>
          <w:szCs w:val="44"/>
          <w:highlight w:val="none"/>
          <w:lang w:val="en-US" w:eastAsia="zh-CN" w:bidi="ar-SA"/>
        </w:rPr>
      </w:sdtEndPr>
      <w:sdtContent>
        <w:p w14:paraId="0C60CB10">
          <w:pPr>
            <w:spacing w:before="0" w:beforeLines="0" w:after="0" w:afterLines="0" w:line="240" w:lineRule="auto"/>
            <w:ind w:left="0" w:leftChars="0" w:right="0" w:rightChars="0" w:firstLine="0" w:firstLineChars="0"/>
            <w:jc w:val="center"/>
            <w:rPr>
              <w:b/>
              <w:bCs/>
              <w:sz w:val="44"/>
              <w:szCs w:val="44"/>
              <w:highlight w:val="none"/>
            </w:rPr>
          </w:pPr>
          <w:r>
            <w:rPr>
              <w:rFonts w:ascii="宋体" w:hAnsi="宋体" w:eastAsia="宋体"/>
              <w:b/>
              <w:bCs/>
              <w:sz w:val="44"/>
              <w:szCs w:val="44"/>
              <w:highlight w:val="none"/>
            </w:rPr>
            <w:t>目录</w:t>
          </w:r>
        </w:p>
        <w:p w14:paraId="6C3E7E73">
          <w:pPr>
            <w:pStyle w:val="9"/>
            <w:tabs>
              <w:tab w:val="right" w:leader="middleDot" w:pos="8548"/>
              <w:tab w:val="clear" w:pos="7980"/>
              <w:tab w:val="clear" w:pos="8190"/>
            </w:tabs>
            <w:rPr>
              <w:rFonts w:hint="eastAsia" w:ascii="仿宋_GB2312" w:hAnsi="仿宋_GB2312" w:eastAsia="仿宋_GB2312" w:cs="仿宋_GB2312"/>
              <w:sz w:val="32"/>
              <w:szCs w:val="32"/>
              <w:highlight w:val="none"/>
            </w:rPr>
          </w:pPr>
          <w:r>
            <w:rPr>
              <w:rFonts w:hint="default"/>
              <w:highlight w:val="none"/>
            </w:rPr>
            <w:fldChar w:fldCharType="begin"/>
          </w:r>
          <w:r>
            <w:rPr>
              <w:rFonts w:hint="default"/>
              <w:highlight w:val="none"/>
            </w:rPr>
            <w:instrText xml:space="preserve">TOC \o "1-9" \h \u</w:instrText>
          </w:r>
          <w:r>
            <w:rPr>
              <w:rFonts w:hint="default"/>
              <w:highlight w:val="none"/>
            </w:rPr>
            <w:fldChar w:fldCharType="separate"/>
          </w:r>
          <w:r>
            <w:fldChar w:fldCharType="begin"/>
          </w:r>
          <w:r>
            <w:instrText xml:space="preserve"> HYPERLINK \l "_Toc3458" </w:instrText>
          </w:r>
          <w:r>
            <w:fldChar w:fldCharType="separate"/>
          </w:r>
          <w:r>
            <w:rPr>
              <w:rFonts w:hint="eastAsia" w:ascii="仿宋_GB2312" w:hAnsi="仿宋_GB2312" w:eastAsia="仿宋_GB2312" w:cs="仿宋_GB2312"/>
              <w:bCs/>
              <w:sz w:val="32"/>
              <w:szCs w:val="32"/>
              <w:highlight w:val="none"/>
            </w:rPr>
            <w:t>一、基本情况</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_Toc3458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7E2104AE">
          <w:pPr>
            <w:pStyle w:val="11"/>
            <w:tabs>
              <w:tab w:val="right" w:leader="middleDot" w:pos="8548"/>
            </w:tabs>
            <w:rPr>
              <w:rFonts w:hint="eastAsia" w:ascii="仿宋_GB2312" w:hAnsi="仿宋_GB2312" w:eastAsia="仿宋_GB2312" w:cs="仿宋_GB2312"/>
              <w:sz w:val="32"/>
              <w:szCs w:val="32"/>
              <w:highlight w:val="none"/>
            </w:rPr>
          </w:pPr>
          <w:r>
            <w:fldChar w:fldCharType="begin"/>
          </w:r>
          <w:r>
            <w:instrText xml:space="preserve"> HYPERLINK \l "_Toc16251" </w:instrText>
          </w:r>
          <w:r>
            <w:fldChar w:fldCharType="separate"/>
          </w:r>
          <w:r>
            <w:rPr>
              <w:rFonts w:hint="eastAsia" w:ascii="仿宋_GB2312" w:hAnsi="仿宋_GB2312" w:eastAsia="仿宋_GB2312" w:cs="仿宋_GB2312"/>
              <w:bCs/>
              <w:sz w:val="32"/>
              <w:szCs w:val="32"/>
              <w:highlight w:val="none"/>
            </w:rPr>
            <w:t>（一）项目概况</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_Toc16251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7AE39A3A">
          <w:pPr>
            <w:pStyle w:val="11"/>
            <w:tabs>
              <w:tab w:val="right" w:leader="middleDot" w:pos="8548"/>
            </w:tabs>
            <w:rPr>
              <w:rFonts w:hint="eastAsia" w:ascii="仿宋_GB2312" w:hAnsi="仿宋_GB2312" w:eastAsia="仿宋_GB2312" w:cs="仿宋_GB2312"/>
              <w:sz w:val="32"/>
              <w:szCs w:val="32"/>
              <w:highlight w:val="none"/>
            </w:rPr>
          </w:pPr>
          <w:r>
            <w:fldChar w:fldCharType="begin"/>
          </w:r>
          <w:r>
            <w:instrText xml:space="preserve"> HYPERLINK \l "_Toc11655" </w:instrText>
          </w:r>
          <w:r>
            <w:fldChar w:fldCharType="separate"/>
          </w:r>
          <w:r>
            <w:rPr>
              <w:rFonts w:hint="eastAsia" w:ascii="仿宋_GB2312" w:hAnsi="仿宋_GB2312" w:eastAsia="仿宋_GB2312" w:cs="仿宋_GB2312"/>
              <w:bCs/>
              <w:sz w:val="32"/>
              <w:szCs w:val="32"/>
              <w:highlight w:val="none"/>
            </w:rPr>
            <w:t>（二）项目绩效目标</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_Toc11655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3</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6A3A8233">
          <w:pPr>
            <w:pStyle w:val="9"/>
            <w:tabs>
              <w:tab w:val="right" w:leader="middleDot" w:pos="8548"/>
              <w:tab w:val="clear" w:pos="7980"/>
              <w:tab w:val="clear" w:pos="8190"/>
            </w:tabs>
            <w:rPr>
              <w:rFonts w:hint="eastAsia" w:ascii="仿宋_GB2312" w:hAnsi="仿宋_GB2312" w:eastAsia="仿宋_GB2312" w:cs="仿宋_GB2312"/>
              <w:sz w:val="32"/>
              <w:szCs w:val="32"/>
              <w:highlight w:val="none"/>
            </w:rPr>
          </w:pPr>
          <w:r>
            <w:fldChar w:fldCharType="begin"/>
          </w:r>
          <w:r>
            <w:instrText xml:space="preserve"> HYPERLINK \l "_Toc25712" </w:instrText>
          </w:r>
          <w:r>
            <w:fldChar w:fldCharType="separate"/>
          </w:r>
          <w:r>
            <w:rPr>
              <w:rFonts w:hint="eastAsia" w:ascii="仿宋_GB2312" w:hAnsi="仿宋_GB2312" w:eastAsia="仿宋_GB2312" w:cs="仿宋_GB2312"/>
              <w:sz w:val="32"/>
              <w:szCs w:val="32"/>
              <w:highlight w:val="none"/>
            </w:rPr>
            <w:t>二、绩效评价工作开展情况</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_Toc25712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3</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10B511EF">
          <w:pPr>
            <w:pStyle w:val="11"/>
            <w:tabs>
              <w:tab w:val="right" w:leader="middleDot" w:pos="8548"/>
            </w:tabs>
            <w:rPr>
              <w:rFonts w:hint="eastAsia" w:ascii="仿宋_GB2312" w:hAnsi="仿宋_GB2312" w:eastAsia="仿宋_GB2312" w:cs="仿宋_GB2312"/>
              <w:sz w:val="32"/>
              <w:szCs w:val="32"/>
              <w:highlight w:val="none"/>
            </w:rPr>
          </w:pPr>
          <w:r>
            <w:fldChar w:fldCharType="begin"/>
          </w:r>
          <w:r>
            <w:instrText xml:space="preserve"> HYPERLINK \l "_Toc20967" </w:instrText>
          </w:r>
          <w:r>
            <w:fldChar w:fldCharType="separate"/>
          </w:r>
          <w:r>
            <w:rPr>
              <w:rFonts w:hint="eastAsia" w:ascii="仿宋_GB2312" w:hAnsi="仿宋_GB2312" w:eastAsia="仿宋_GB2312" w:cs="仿宋_GB2312"/>
              <w:bCs/>
              <w:sz w:val="32"/>
              <w:szCs w:val="32"/>
              <w:highlight w:val="none"/>
            </w:rPr>
            <w:t>（一）绩效评价目的、对象和范围</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_Toc20967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3</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1773328C">
          <w:pPr>
            <w:pStyle w:val="11"/>
            <w:tabs>
              <w:tab w:val="right" w:leader="middleDot" w:pos="8548"/>
            </w:tabs>
            <w:rPr>
              <w:rFonts w:hint="eastAsia" w:ascii="仿宋_GB2312" w:hAnsi="仿宋_GB2312" w:eastAsia="仿宋_GB2312" w:cs="仿宋_GB2312"/>
              <w:sz w:val="32"/>
              <w:szCs w:val="32"/>
              <w:highlight w:val="none"/>
            </w:rPr>
          </w:pPr>
          <w:r>
            <w:fldChar w:fldCharType="begin"/>
          </w:r>
          <w:r>
            <w:instrText xml:space="preserve"> HYPERLINK \l "_Toc29785" </w:instrText>
          </w:r>
          <w:r>
            <w:fldChar w:fldCharType="separate"/>
          </w:r>
          <w:r>
            <w:rPr>
              <w:rFonts w:hint="eastAsia" w:ascii="仿宋_GB2312" w:hAnsi="仿宋_GB2312" w:eastAsia="仿宋_GB2312" w:cs="仿宋_GB2312"/>
              <w:bCs/>
              <w:sz w:val="32"/>
              <w:szCs w:val="32"/>
              <w:highlight w:val="none"/>
            </w:rPr>
            <w:t>（二）绩效评价原则、评价指标体系（详情见表1）、评价方法、评价标准</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_Toc29785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6</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3E590A13">
          <w:pPr>
            <w:pStyle w:val="11"/>
            <w:tabs>
              <w:tab w:val="right" w:leader="middleDot" w:pos="8548"/>
            </w:tabs>
            <w:rPr>
              <w:rFonts w:hint="eastAsia" w:ascii="仿宋_GB2312" w:hAnsi="仿宋_GB2312" w:eastAsia="仿宋_GB2312" w:cs="仿宋_GB2312"/>
              <w:sz w:val="32"/>
              <w:szCs w:val="32"/>
              <w:highlight w:val="none"/>
            </w:rPr>
          </w:pPr>
          <w:r>
            <w:fldChar w:fldCharType="begin"/>
          </w:r>
          <w:r>
            <w:instrText xml:space="preserve"> HYPERLINK \l "_Toc5544" </w:instrText>
          </w:r>
          <w:r>
            <w:fldChar w:fldCharType="separate"/>
          </w:r>
          <w:r>
            <w:rPr>
              <w:rFonts w:hint="eastAsia" w:ascii="仿宋_GB2312" w:hAnsi="仿宋_GB2312" w:eastAsia="仿宋_GB2312" w:cs="仿宋_GB2312"/>
              <w:spacing w:val="17"/>
              <w:sz w:val="32"/>
              <w:szCs w:val="32"/>
              <w:highlight w:val="none"/>
            </w:rPr>
            <w:t>（三）绩效评价工作过程</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_Toc5544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9</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6D9597D0">
          <w:pPr>
            <w:pStyle w:val="9"/>
            <w:tabs>
              <w:tab w:val="right" w:leader="middleDot" w:pos="8548"/>
              <w:tab w:val="clear" w:pos="7980"/>
              <w:tab w:val="clear" w:pos="8190"/>
            </w:tabs>
            <w:rPr>
              <w:rFonts w:hint="eastAsia" w:ascii="仿宋_GB2312" w:hAnsi="仿宋_GB2312" w:eastAsia="仿宋_GB2312" w:cs="仿宋_GB2312"/>
              <w:sz w:val="32"/>
              <w:szCs w:val="32"/>
              <w:highlight w:val="none"/>
            </w:rPr>
          </w:pPr>
          <w:r>
            <w:fldChar w:fldCharType="begin"/>
          </w:r>
          <w:r>
            <w:instrText xml:space="preserve"> HYPERLINK \l "_Toc29729" </w:instrText>
          </w:r>
          <w:r>
            <w:fldChar w:fldCharType="separate"/>
          </w:r>
          <w:r>
            <w:rPr>
              <w:rFonts w:hint="eastAsia" w:ascii="仿宋_GB2312" w:hAnsi="仿宋_GB2312" w:eastAsia="仿宋_GB2312" w:cs="仿宋_GB2312"/>
              <w:sz w:val="32"/>
              <w:szCs w:val="32"/>
              <w:highlight w:val="none"/>
            </w:rPr>
            <w:t>三、综合评价情况及评价结论（附相关评分表）</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_Toc29729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10</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263D2BAA">
          <w:pPr>
            <w:pStyle w:val="11"/>
            <w:tabs>
              <w:tab w:val="right" w:leader="middleDot" w:pos="8548"/>
            </w:tabs>
            <w:rPr>
              <w:rFonts w:hint="eastAsia" w:ascii="仿宋_GB2312" w:hAnsi="仿宋_GB2312" w:eastAsia="仿宋_GB2312" w:cs="仿宋_GB2312"/>
              <w:sz w:val="32"/>
              <w:szCs w:val="32"/>
              <w:highlight w:val="none"/>
            </w:rPr>
          </w:pPr>
          <w:r>
            <w:fldChar w:fldCharType="begin"/>
          </w:r>
          <w:r>
            <w:instrText xml:space="preserve"> HYPERLINK \l "_Toc2344" </w:instrText>
          </w:r>
          <w:r>
            <w:fldChar w:fldCharType="separate"/>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一</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评价情况</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_Toc2344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10</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72CD0BDB">
          <w:pPr>
            <w:pStyle w:val="11"/>
            <w:tabs>
              <w:tab w:val="right" w:leader="middleDot" w:pos="8548"/>
            </w:tabs>
            <w:rPr>
              <w:rFonts w:hint="eastAsia" w:ascii="仿宋_GB2312" w:hAnsi="仿宋_GB2312" w:eastAsia="仿宋_GB2312" w:cs="仿宋_GB2312"/>
              <w:sz w:val="32"/>
              <w:szCs w:val="32"/>
              <w:highlight w:val="none"/>
            </w:rPr>
          </w:pPr>
          <w:r>
            <w:fldChar w:fldCharType="begin"/>
          </w:r>
          <w:r>
            <w:instrText xml:space="preserve"> HYPERLINK \l "_Toc6653" </w:instrText>
          </w:r>
          <w:r>
            <w:fldChar w:fldCharType="separate"/>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二</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评价结论</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_Toc6653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11</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24048F19">
          <w:pPr>
            <w:pStyle w:val="9"/>
            <w:tabs>
              <w:tab w:val="right" w:leader="middleDot" w:pos="8548"/>
              <w:tab w:val="clear" w:pos="7980"/>
              <w:tab w:val="clear" w:pos="8190"/>
            </w:tabs>
            <w:rPr>
              <w:rFonts w:hint="eastAsia" w:ascii="仿宋_GB2312" w:hAnsi="仿宋_GB2312" w:eastAsia="仿宋_GB2312" w:cs="仿宋_GB2312"/>
              <w:sz w:val="32"/>
              <w:szCs w:val="32"/>
              <w:highlight w:val="none"/>
            </w:rPr>
          </w:pPr>
          <w:r>
            <w:fldChar w:fldCharType="begin"/>
          </w:r>
          <w:r>
            <w:instrText xml:space="preserve"> HYPERLINK \l "_Toc1453" </w:instrText>
          </w:r>
          <w:r>
            <w:fldChar w:fldCharType="separate"/>
          </w:r>
          <w:r>
            <w:rPr>
              <w:rFonts w:hint="eastAsia" w:ascii="仿宋_GB2312" w:hAnsi="仿宋_GB2312" w:eastAsia="仿宋_GB2312" w:cs="仿宋_GB2312"/>
              <w:sz w:val="32"/>
              <w:szCs w:val="32"/>
              <w:highlight w:val="none"/>
            </w:rPr>
            <w:t>四、绩效评价指标分析</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_Toc1453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12</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3FAA1B74">
          <w:pPr>
            <w:pStyle w:val="11"/>
            <w:tabs>
              <w:tab w:val="right" w:leader="middleDot" w:pos="8548"/>
            </w:tabs>
            <w:rPr>
              <w:rFonts w:hint="eastAsia" w:ascii="仿宋_GB2312" w:hAnsi="仿宋_GB2312" w:eastAsia="仿宋_GB2312" w:cs="仿宋_GB2312"/>
              <w:sz w:val="32"/>
              <w:szCs w:val="32"/>
              <w:highlight w:val="none"/>
            </w:rPr>
          </w:pPr>
          <w:r>
            <w:fldChar w:fldCharType="begin"/>
          </w:r>
          <w:r>
            <w:instrText xml:space="preserve"> HYPERLINK \l "_Toc32318" </w:instrText>
          </w:r>
          <w:r>
            <w:fldChar w:fldCharType="separate"/>
          </w:r>
          <w:r>
            <w:rPr>
              <w:rFonts w:hint="eastAsia" w:ascii="仿宋_GB2312" w:hAnsi="仿宋_GB2312" w:eastAsia="仿宋_GB2312" w:cs="仿宋_GB2312"/>
              <w:sz w:val="32"/>
              <w:szCs w:val="32"/>
              <w:highlight w:val="none"/>
            </w:rPr>
            <w:t>（一）项目决策情况</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_Toc32318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12</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20239470">
          <w:pPr>
            <w:pStyle w:val="11"/>
            <w:tabs>
              <w:tab w:val="right" w:leader="middleDot" w:pos="8548"/>
            </w:tabs>
            <w:rPr>
              <w:rFonts w:hint="eastAsia" w:ascii="仿宋_GB2312" w:hAnsi="仿宋_GB2312" w:eastAsia="仿宋_GB2312" w:cs="仿宋_GB2312"/>
              <w:sz w:val="32"/>
              <w:szCs w:val="32"/>
              <w:highlight w:val="none"/>
            </w:rPr>
          </w:pPr>
          <w:r>
            <w:fldChar w:fldCharType="begin"/>
          </w:r>
          <w:r>
            <w:instrText xml:space="preserve"> HYPERLINK \l "_Toc25505" </w:instrText>
          </w:r>
          <w:r>
            <w:fldChar w:fldCharType="separate"/>
          </w:r>
          <w:r>
            <w:rPr>
              <w:rFonts w:hint="eastAsia" w:ascii="仿宋_GB2312" w:hAnsi="仿宋_GB2312" w:eastAsia="仿宋_GB2312" w:cs="仿宋_GB2312"/>
              <w:sz w:val="32"/>
              <w:szCs w:val="32"/>
              <w:highlight w:val="none"/>
            </w:rPr>
            <w:t>（二）项目过程情况</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_Toc25505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15</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1CCBFD84">
          <w:pPr>
            <w:pStyle w:val="11"/>
            <w:tabs>
              <w:tab w:val="right" w:leader="middleDot" w:pos="8548"/>
            </w:tabs>
            <w:rPr>
              <w:rFonts w:hint="eastAsia" w:ascii="仿宋_GB2312" w:hAnsi="仿宋_GB2312" w:eastAsia="仿宋_GB2312" w:cs="仿宋_GB2312"/>
              <w:sz w:val="32"/>
              <w:szCs w:val="32"/>
              <w:highlight w:val="none"/>
            </w:rPr>
          </w:pPr>
          <w:r>
            <w:fldChar w:fldCharType="begin"/>
          </w:r>
          <w:r>
            <w:instrText xml:space="preserve"> HYPERLINK \l "_Toc8612" </w:instrText>
          </w:r>
          <w:r>
            <w:fldChar w:fldCharType="separate"/>
          </w:r>
          <w:r>
            <w:rPr>
              <w:rFonts w:hint="eastAsia" w:ascii="仿宋_GB2312" w:hAnsi="仿宋_GB2312" w:eastAsia="仿宋_GB2312" w:cs="仿宋_GB2312"/>
              <w:bCs/>
              <w:sz w:val="32"/>
              <w:szCs w:val="32"/>
              <w:highlight w:val="none"/>
            </w:rPr>
            <w:t>（三）项目产出</w:t>
          </w:r>
          <w:r>
            <w:rPr>
              <w:rFonts w:hint="eastAsia" w:ascii="仿宋_GB2312" w:hAnsi="仿宋_GB2312" w:eastAsia="仿宋_GB2312" w:cs="仿宋_GB2312"/>
              <w:bCs/>
              <w:sz w:val="32"/>
              <w:szCs w:val="32"/>
              <w:highlight w:val="none"/>
              <w:lang w:val="en-US" w:eastAsia="zh-CN"/>
            </w:rPr>
            <w:t>情况</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_Toc8612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17</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4CAF52E5">
          <w:pPr>
            <w:pStyle w:val="9"/>
            <w:tabs>
              <w:tab w:val="right" w:leader="middleDot" w:pos="8548"/>
              <w:tab w:val="clear" w:pos="7980"/>
              <w:tab w:val="clear" w:pos="8190"/>
            </w:tabs>
            <w:rPr>
              <w:rFonts w:hint="eastAsia" w:ascii="仿宋_GB2312" w:hAnsi="仿宋_GB2312" w:eastAsia="仿宋_GB2312" w:cs="仿宋_GB2312"/>
              <w:sz w:val="32"/>
              <w:szCs w:val="32"/>
              <w:highlight w:val="none"/>
            </w:rPr>
          </w:pPr>
          <w:r>
            <w:fldChar w:fldCharType="begin"/>
          </w:r>
          <w:r>
            <w:instrText xml:space="preserve"> HYPERLINK \l "_Toc21462" </w:instrText>
          </w:r>
          <w:r>
            <w:fldChar w:fldCharType="separate"/>
          </w:r>
          <w:r>
            <w:rPr>
              <w:rFonts w:hint="eastAsia" w:ascii="仿宋_GB2312" w:hAnsi="仿宋_GB2312" w:eastAsia="仿宋_GB2312" w:cs="仿宋_GB2312"/>
              <w:bCs w:val="0"/>
              <w:sz w:val="32"/>
              <w:szCs w:val="32"/>
              <w:highlight w:val="none"/>
              <w:lang w:val="en-US" w:eastAsia="zh-CN"/>
            </w:rPr>
            <w:t>五、</w:t>
          </w:r>
          <w:r>
            <w:rPr>
              <w:rFonts w:hint="eastAsia" w:ascii="仿宋_GB2312" w:hAnsi="仿宋_GB2312" w:eastAsia="仿宋_GB2312" w:cs="仿宋_GB2312"/>
              <w:bCs w:val="0"/>
              <w:sz w:val="32"/>
              <w:szCs w:val="32"/>
              <w:highlight w:val="none"/>
              <w:lang w:val="en-US"/>
            </w:rPr>
            <w:t>预算执行进度与绩效指标偏差</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_Toc21462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19</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14A32D36">
          <w:pPr>
            <w:pStyle w:val="9"/>
            <w:tabs>
              <w:tab w:val="right" w:leader="middleDot" w:pos="8548"/>
              <w:tab w:val="clear" w:pos="7980"/>
              <w:tab w:val="clear" w:pos="8190"/>
            </w:tabs>
            <w:rPr>
              <w:rFonts w:hint="eastAsia" w:ascii="仿宋_GB2312" w:hAnsi="仿宋_GB2312" w:eastAsia="仿宋_GB2312" w:cs="仿宋_GB2312"/>
              <w:sz w:val="32"/>
              <w:szCs w:val="32"/>
              <w:highlight w:val="none"/>
            </w:rPr>
          </w:pPr>
          <w:r>
            <w:fldChar w:fldCharType="begin"/>
          </w:r>
          <w:r>
            <w:instrText xml:space="preserve"> HYPERLINK \l "_Toc18363" </w:instrText>
          </w:r>
          <w:r>
            <w:fldChar w:fldCharType="separate"/>
          </w:r>
          <w:r>
            <w:rPr>
              <w:rFonts w:hint="eastAsia" w:ascii="仿宋_GB2312" w:hAnsi="仿宋_GB2312" w:eastAsia="仿宋_GB2312" w:cs="仿宋_GB2312"/>
              <w:sz w:val="32"/>
              <w:szCs w:val="32"/>
              <w:highlight w:val="none"/>
              <w:lang w:val="en-US" w:eastAsia="zh-CN"/>
            </w:rPr>
            <w:t>六</w:t>
          </w:r>
          <w:r>
            <w:rPr>
              <w:rFonts w:hint="eastAsia" w:ascii="仿宋_GB2312" w:hAnsi="仿宋_GB2312" w:cs="仿宋_GB2312"/>
              <w:bCs/>
              <w:sz w:val="32"/>
              <w:szCs w:val="32"/>
              <w:highlight w:val="none"/>
              <w:lang w:val="en-US" w:eastAsia="zh-CN"/>
            </w:rPr>
            <w:t>、</w:t>
          </w:r>
          <w:r>
            <w:rPr>
              <w:rFonts w:hint="eastAsia" w:ascii="仿宋_GB2312" w:hAnsi="仿宋_GB2312" w:eastAsia="仿宋_GB2312" w:cs="仿宋_GB2312"/>
              <w:sz w:val="32"/>
              <w:szCs w:val="32"/>
              <w:highlight w:val="none"/>
            </w:rPr>
            <w:t>主要经验及做法、存在的问题及原因分析</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_Toc18363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19</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71E238C7">
          <w:pPr>
            <w:pStyle w:val="11"/>
            <w:tabs>
              <w:tab w:val="right" w:leader="middleDot" w:pos="8548"/>
            </w:tabs>
            <w:rPr>
              <w:rFonts w:hint="eastAsia" w:ascii="仿宋_GB2312" w:hAnsi="仿宋_GB2312" w:eastAsia="仿宋_GB2312" w:cs="仿宋_GB2312"/>
              <w:sz w:val="32"/>
              <w:szCs w:val="32"/>
              <w:highlight w:val="none"/>
            </w:rPr>
          </w:pPr>
          <w:r>
            <w:fldChar w:fldCharType="begin"/>
          </w:r>
          <w:r>
            <w:instrText xml:space="preserve"> HYPERLINK \l "_Toc22741" </w:instrText>
          </w:r>
          <w:r>
            <w:fldChar w:fldCharType="separate"/>
          </w:r>
          <w:r>
            <w:rPr>
              <w:rFonts w:hint="eastAsia" w:ascii="仿宋_GB2312" w:hAnsi="仿宋_GB2312" w:eastAsia="仿宋_GB2312" w:cs="仿宋_GB2312"/>
              <w:spacing w:val="-4"/>
              <w:sz w:val="32"/>
              <w:szCs w:val="32"/>
              <w:highlight w:val="none"/>
            </w:rPr>
            <w:t>（一）主要经验及做法</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_Toc22741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19</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5A3329B3">
          <w:pPr>
            <w:pStyle w:val="11"/>
            <w:tabs>
              <w:tab w:val="right" w:leader="middleDot" w:pos="8548"/>
            </w:tabs>
            <w:rPr>
              <w:rFonts w:hint="eastAsia" w:ascii="仿宋_GB2312" w:hAnsi="仿宋_GB2312" w:eastAsia="仿宋_GB2312" w:cs="仿宋_GB2312"/>
              <w:sz w:val="32"/>
              <w:szCs w:val="32"/>
              <w:highlight w:val="none"/>
            </w:rPr>
          </w:pPr>
          <w:r>
            <w:fldChar w:fldCharType="begin"/>
          </w:r>
          <w:r>
            <w:instrText xml:space="preserve"> HYPERLINK \l "_Toc7835" </w:instrText>
          </w:r>
          <w:r>
            <w:fldChar w:fldCharType="separate"/>
          </w:r>
          <w:r>
            <w:rPr>
              <w:rFonts w:hint="eastAsia" w:ascii="仿宋_GB2312" w:hAnsi="仿宋_GB2312" w:eastAsia="仿宋_GB2312" w:cs="仿宋_GB2312"/>
              <w:bCs/>
              <w:sz w:val="32"/>
              <w:szCs w:val="32"/>
              <w:highlight w:val="none"/>
            </w:rPr>
            <w:t>（二）存在的问题及原因分析</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_Toc7835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20</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61DFE0B3">
          <w:pPr>
            <w:pStyle w:val="9"/>
            <w:tabs>
              <w:tab w:val="right" w:leader="middleDot" w:pos="8548"/>
              <w:tab w:val="clear" w:pos="7980"/>
              <w:tab w:val="clear" w:pos="8190"/>
            </w:tabs>
            <w:rPr>
              <w:rFonts w:hint="default" w:ascii="仿宋_GB2312" w:hAnsi="仿宋_GB2312" w:eastAsia="仿宋_GB2312" w:cs="仿宋_GB2312"/>
              <w:sz w:val="32"/>
              <w:szCs w:val="32"/>
              <w:highlight w:val="none"/>
              <w:lang w:val="en-US" w:eastAsia="zh-CN"/>
            </w:rPr>
          </w:pPr>
          <w:r>
            <w:fldChar w:fldCharType="begin"/>
          </w:r>
          <w:r>
            <w:instrText xml:space="preserve"> HYPERLINK \l "_Toc25529" </w:instrText>
          </w:r>
          <w:r>
            <w:fldChar w:fldCharType="separate"/>
          </w:r>
          <w:r>
            <w:rPr>
              <w:rFonts w:hint="eastAsia" w:ascii="仿宋_GB2312" w:hAnsi="仿宋_GB2312" w:eastAsia="仿宋_GB2312" w:cs="仿宋_GB2312"/>
              <w:sz w:val="32"/>
              <w:szCs w:val="32"/>
              <w:highlight w:val="none"/>
              <w:lang w:val="en-US" w:eastAsia="zh-CN"/>
            </w:rPr>
            <w:t>七.</w:t>
          </w:r>
          <w:r>
            <w:rPr>
              <w:rFonts w:hint="eastAsia" w:ascii="仿宋_GB2312" w:hAnsi="仿宋_GB2312" w:eastAsia="仿宋_GB2312" w:cs="仿宋_GB2312"/>
              <w:sz w:val="32"/>
              <w:szCs w:val="32"/>
              <w:highlight w:val="none"/>
            </w:rPr>
            <w:t>有关建议</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end"/>
          </w:r>
          <w:r>
            <w:rPr>
              <w:rFonts w:hint="eastAsia" w:ascii="仿宋_GB2312" w:hAnsi="仿宋_GB2312" w:cs="仿宋_GB2312"/>
              <w:sz w:val="32"/>
              <w:szCs w:val="32"/>
              <w:highlight w:val="none"/>
              <w:lang w:val="en-US" w:eastAsia="zh-CN"/>
            </w:rPr>
            <w:t>21</w:t>
          </w:r>
        </w:p>
        <w:p w14:paraId="75C91D39">
          <w:pPr>
            <w:pStyle w:val="9"/>
            <w:tabs>
              <w:tab w:val="right" w:leader="middleDot" w:pos="8548"/>
              <w:tab w:val="clear" w:pos="7980"/>
              <w:tab w:val="clear" w:pos="8190"/>
            </w:tabs>
            <w:rPr>
              <w:rFonts w:hint="eastAsia" w:ascii="仿宋_GB2312" w:hAnsi="仿宋_GB2312" w:eastAsia="仿宋_GB2312" w:cs="仿宋_GB2312"/>
              <w:sz w:val="32"/>
              <w:szCs w:val="32"/>
              <w:highlight w:val="none"/>
            </w:rPr>
          </w:pPr>
          <w:r>
            <w:fldChar w:fldCharType="begin"/>
          </w:r>
          <w:r>
            <w:instrText xml:space="preserve"> HYPERLINK \l "_Toc3065" </w:instrText>
          </w:r>
          <w:r>
            <w:fldChar w:fldCharType="separate"/>
          </w:r>
          <w:r>
            <w:rPr>
              <w:rFonts w:hint="eastAsia" w:ascii="仿宋_GB2312" w:hAnsi="仿宋_GB2312" w:eastAsia="仿宋_GB2312" w:cs="仿宋_GB2312"/>
              <w:sz w:val="32"/>
              <w:szCs w:val="32"/>
              <w:highlight w:val="none"/>
              <w:lang w:val="en-US" w:eastAsia="zh-CN"/>
            </w:rPr>
            <w:t>八</w:t>
          </w:r>
          <w:r>
            <w:rPr>
              <w:rFonts w:hint="eastAsia" w:ascii="仿宋_GB2312" w:hAnsi="仿宋_GB2312" w:eastAsia="仿宋_GB2312" w:cs="仿宋_GB2312"/>
              <w:bCs/>
              <w:sz w:val="32"/>
              <w:szCs w:val="32"/>
              <w:highlight w:val="none"/>
              <w:lang w:val="en-US" w:eastAsia="zh-CN"/>
            </w:rPr>
            <w:t>.</w:t>
          </w:r>
          <w:r>
            <w:rPr>
              <w:rFonts w:hint="eastAsia" w:ascii="仿宋_GB2312" w:hAnsi="仿宋_GB2312" w:eastAsia="仿宋_GB2312" w:cs="仿宋_GB2312"/>
              <w:sz w:val="32"/>
              <w:szCs w:val="32"/>
              <w:highlight w:val="none"/>
            </w:rPr>
            <w:t>其他需要说明的问题</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_Toc3065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21</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31B09F27">
          <w:pPr>
            <w:pStyle w:val="9"/>
            <w:tabs>
              <w:tab w:val="right" w:leader="middleDot" w:pos="8548"/>
              <w:tab w:val="clear" w:pos="7980"/>
              <w:tab w:val="clear" w:pos="8190"/>
            </w:tabs>
            <w:rPr>
              <w:rFonts w:hint="eastAsia" w:ascii="仿宋_GB2312" w:hAnsi="仿宋_GB2312" w:eastAsia="仿宋_GB2312" w:cs="仿宋_GB2312"/>
              <w:sz w:val="32"/>
              <w:szCs w:val="32"/>
              <w:highlight w:val="none"/>
            </w:rPr>
          </w:pPr>
          <w:r>
            <w:fldChar w:fldCharType="begin"/>
          </w:r>
          <w:r>
            <w:instrText xml:space="preserve"> HYPERLINK \l "_Toc15260" </w:instrText>
          </w:r>
          <w:r>
            <w:fldChar w:fldCharType="separate"/>
          </w:r>
          <w:r>
            <w:rPr>
              <w:rFonts w:hint="eastAsia" w:ascii="仿宋_GB2312" w:hAnsi="仿宋_GB2312" w:eastAsia="仿宋_GB2312" w:cs="仿宋_GB2312"/>
              <w:sz w:val="32"/>
              <w:szCs w:val="32"/>
              <w:highlight w:val="none"/>
              <w:lang w:val="en-US" w:eastAsia="zh-CN"/>
            </w:rPr>
            <w:t>附件1</w:t>
          </w:r>
          <w:r>
            <w:rPr>
              <w:rFonts w:hint="eastAsia" w:ascii="仿宋_GB2312" w:hAnsi="仿宋_GB2312" w:cs="仿宋_GB2312"/>
              <w:sz w:val="32"/>
              <w:szCs w:val="32"/>
              <w:highlight w:val="none"/>
              <w:lang w:val="en-US" w:eastAsia="zh-CN"/>
            </w:rPr>
            <w:t xml:space="preserve"> 评价指标体系</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_Toc15260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23</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711EE728">
          <w:pPr>
            <w:pStyle w:val="9"/>
            <w:tabs>
              <w:tab w:val="right" w:leader="middleDot" w:pos="8548"/>
              <w:tab w:val="clear" w:pos="7980"/>
              <w:tab w:val="clear" w:pos="8190"/>
            </w:tabs>
            <w:rPr>
              <w:highlight w:val="none"/>
            </w:rPr>
          </w:pPr>
          <w:r>
            <w:fldChar w:fldCharType="begin"/>
          </w:r>
          <w:r>
            <w:instrText xml:space="preserve"> HYPERLINK \l "_Toc17917" </w:instrText>
          </w:r>
          <w:r>
            <w:fldChar w:fldCharType="separate"/>
          </w:r>
          <w:r>
            <w:rPr>
              <w:rFonts w:hint="eastAsia" w:ascii="仿宋_GB2312" w:hAnsi="仿宋_GB2312" w:eastAsia="仿宋_GB2312" w:cs="仿宋_GB2312"/>
              <w:bCs/>
              <w:i w:val="0"/>
              <w:iCs w:val="0"/>
              <w:kern w:val="0"/>
              <w:sz w:val="32"/>
              <w:szCs w:val="32"/>
              <w:highlight w:val="none"/>
              <w:lang w:val="en-US" w:eastAsia="zh-CN"/>
            </w:rPr>
            <w:t>附件2</w:t>
          </w:r>
          <w:r>
            <w:rPr>
              <w:rFonts w:hint="eastAsia" w:ascii="仿宋_GB2312" w:hAnsi="仿宋_GB2312" w:cs="仿宋_GB2312"/>
              <w:bCs/>
              <w:i w:val="0"/>
              <w:iCs w:val="0"/>
              <w:kern w:val="0"/>
              <w:sz w:val="32"/>
              <w:szCs w:val="32"/>
              <w:highlight w:val="none"/>
              <w:lang w:val="en-US" w:eastAsia="zh-CN"/>
            </w:rPr>
            <w:t xml:space="preserve"> 项目支出绩效自评表</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_Toc17917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28</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14:paraId="1B1D6B28">
          <w:pPr>
            <w:spacing w:line="540" w:lineRule="exact"/>
            <w:rPr>
              <w:rStyle w:val="19"/>
              <w:rFonts w:hint="default" w:ascii="Times New Roman" w:hAnsi="Times New Roman" w:eastAsia="黑体" w:cs="Times New Roman"/>
              <w:b w:val="0"/>
              <w:spacing w:val="-4"/>
              <w:sz w:val="32"/>
              <w:szCs w:val="32"/>
              <w:highlight w:val="none"/>
            </w:rPr>
          </w:pPr>
          <w:r>
            <w:rPr>
              <w:rFonts w:hint="default"/>
              <w:highlight w:val="none"/>
            </w:rPr>
            <w:fldChar w:fldCharType="end"/>
          </w:r>
        </w:p>
      </w:sdtContent>
    </w:sdt>
    <w:p w14:paraId="5CB0A152">
      <w:pPr>
        <w:spacing w:line="560" w:lineRule="exact"/>
        <w:ind w:firstLine="640" w:firstLineChars="200"/>
        <w:rPr>
          <w:rFonts w:hint="default" w:ascii="Times New Roman" w:hAnsi="Times New Roman" w:eastAsia="黑体" w:cs="Times New Roman"/>
          <w:bCs/>
          <w:sz w:val="32"/>
          <w:szCs w:val="32"/>
          <w:highlight w:val="none"/>
        </w:rPr>
        <w:sectPr>
          <w:pgSz w:w="11906" w:h="16838"/>
          <w:pgMar w:top="1440" w:right="1558" w:bottom="1440" w:left="1800" w:header="851" w:footer="992" w:gutter="0"/>
          <w:cols w:space="425" w:num="1"/>
          <w:docGrid w:type="lines" w:linePitch="312" w:charSpace="0"/>
        </w:sectPr>
      </w:pPr>
    </w:p>
    <w:p w14:paraId="08F413BA">
      <w:pPr>
        <w:spacing w:line="560" w:lineRule="exact"/>
        <w:ind w:firstLine="640" w:firstLineChars="200"/>
        <w:rPr>
          <w:rFonts w:hint="default" w:ascii="Times New Roman" w:hAnsi="Times New Roman" w:eastAsia="黑体" w:cs="Times New Roman"/>
          <w:bCs/>
          <w:sz w:val="32"/>
          <w:szCs w:val="32"/>
          <w:highlight w:val="none"/>
        </w:rPr>
      </w:pPr>
      <w:bookmarkStart w:id="0" w:name="_Toc3458"/>
      <w:r>
        <w:rPr>
          <w:rFonts w:hint="default" w:ascii="Times New Roman" w:hAnsi="Times New Roman" w:eastAsia="黑体" w:cs="Times New Roman"/>
          <w:bCs/>
          <w:sz w:val="32"/>
          <w:szCs w:val="32"/>
          <w:highlight w:val="none"/>
        </w:rPr>
        <w:t>一、基本情况</w:t>
      </w:r>
      <w:bookmarkEnd w:id="0"/>
    </w:p>
    <w:p w14:paraId="304504CA">
      <w:pPr>
        <w:spacing w:line="560" w:lineRule="exact"/>
        <w:ind w:firstLine="643" w:firstLineChars="200"/>
        <w:outlineLvl w:val="1"/>
        <w:rPr>
          <w:rFonts w:hint="default" w:ascii="Times New Roman" w:hAnsi="Times New Roman" w:eastAsia="楷体_GB2312" w:cs="Times New Roman"/>
          <w:b/>
          <w:bCs/>
          <w:sz w:val="32"/>
          <w:szCs w:val="32"/>
          <w:highlight w:val="none"/>
        </w:rPr>
      </w:pPr>
      <w:bookmarkStart w:id="1" w:name="_Toc16251"/>
      <w:r>
        <w:rPr>
          <w:rFonts w:hint="default" w:ascii="Times New Roman" w:hAnsi="Times New Roman" w:eastAsia="楷体_GB2312" w:cs="Times New Roman"/>
          <w:b/>
          <w:bCs/>
          <w:sz w:val="32"/>
          <w:szCs w:val="32"/>
          <w:highlight w:val="none"/>
        </w:rPr>
        <w:t>（一）项目概况</w:t>
      </w:r>
      <w:bookmarkEnd w:id="1"/>
    </w:p>
    <w:p w14:paraId="4EDF329E">
      <w:pPr>
        <w:spacing w:line="560" w:lineRule="exact"/>
        <w:ind w:firstLine="643" w:firstLineChars="200"/>
        <w:outlineLvl w:val="2"/>
        <w:rPr>
          <w:rFonts w:hint="default" w:ascii="Times New Roman" w:hAnsi="Times New Roman" w:eastAsia="仿宋_GB2312" w:cs="Times New Roman"/>
          <w:b/>
          <w:bCs/>
          <w:sz w:val="32"/>
          <w:szCs w:val="32"/>
          <w:highlight w:val="none"/>
        </w:rPr>
      </w:pPr>
      <w:bookmarkStart w:id="2" w:name="_Toc14982"/>
      <w:r>
        <w:rPr>
          <w:rFonts w:hint="default" w:ascii="Times New Roman" w:hAnsi="Times New Roman" w:eastAsia="仿宋_GB2312" w:cs="Times New Roman"/>
          <w:b/>
          <w:bCs/>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项目背景</w:t>
      </w:r>
      <w:bookmarkEnd w:id="2"/>
    </w:p>
    <w:p w14:paraId="078FB310">
      <w:pPr>
        <w:pStyle w:val="2"/>
        <w:ind w:firstLine="640" w:firstLineChars="200"/>
        <w:rPr>
          <w:rFonts w:hint="default" w:eastAsia="仿宋_GB2312"/>
          <w:sz w:val="32"/>
          <w:szCs w:val="32"/>
          <w:highlight w:val="none"/>
        </w:rPr>
      </w:pPr>
      <w:r>
        <w:rPr>
          <w:rFonts w:hint="default" w:ascii="Times New Roman" w:hAnsi="Times New Roman" w:eastAsia="仿宋_GB2312" w:cs="Times New Roman"/>
          <w:b w:val="0"/>
          <w:bCs w:val="0"/>
          <w:spacing w:val="0"/>
          <w:sz w:val="32"/>
          <w:szCs w:val="32"/>
          <w:highlight w:val="none"/>
        </w:rPr>
        <w:t>克孜尔水库是渭干河流域的防洪调蓄骨干水利工程。该工程的建设对保证渭干河下游库车、</w:t>
      </w:r>
      <w:r>
        <w:rPr>
          <w:rFonts w:hint="default" w:ascii="Times New Roman" w:hAnsi="Times New Roman" w:eastAsia="仿宋_GB2312" w:cs="Times New Roman"/>
          <w:b w:val="0"/>
          <w:bCs w:val="0"/>
          <w:spacing w:val="0"/>
          <w:sz w:val="32"/>
          <w:szCs w:val="32"/>
          <w:highlight w:val="none"/>
          <w:lang w:val="en-US" w:eastAsia="zh-CN"/>
        </w:rPr>
        <w:t>新和、</w:t>
      </w:r>
      <w:r>
        <w:rPr>
          <w:rFonts w:hint="default" w:ascii="Times New Roman" w:hAnsi="Times New Roman" w:eastAsia="仿宋_GB2312" w:cs="Times New Roman"/>
          <w:b w:val="0"/>
          <w:bCs w:val="0"/>
          <w:spacing w:val="0"/>
          <w:sz w:val="32"/>
          <w:szCs w:val="32"/>
          <w:highlight w:val="none"/>
        </w:rPr>
        <w:t>沙雅</w:t>
      </w:r>
      <w:r>
        <w:rPr>
          <w:rFonts w:hint="default" w:ascii="Times New Roman" w:hAnsi="Times New Roman" w:eastAsia="仿宋_GB2312" w:cs="Times New Roman"/>
          <w:b w:val="0"/>
          <w:bCs w:val="0"/>
          <w:spacing w:val="0"/>
          <w:sz w:val="32"/>
          <w:szCs w:val="32"/>
          <w:highlight w:val="none"/>
          <w:lang w:val="en-US" w:eastAsia="zh-CN"/>
        </w:rPr>
        <w:t>一市两县</w:t>
      </w:r>
      <w:r>
        <w:rPr>
          <w:rFonts w:hint="default" w:ascii="Times New Roman" w:hAnsi="Times New Roman" w:eastAsia="仿宋_GB2312" w:cs="Times New Roman"/>
          <w:b w:val="0"/>
          <w:bCs w:val="0"/>
          <w:spacing w:val="0"/>
          <w:sz w:val="32"/>
          <w:szCs w:val="32"/>
          <w:highlight w:val="none"/>
        </w:rPr>
        <w:t>农田灌溉用水起到了重要作用。水库工程于1991年下闸蓄水运用，2011年完成除险加固工程。至今已运行32年，</w:t>
      </w:r>
      <w:r>
        <w:rPr>
          <w:rFonts w:hint="default" w:ascii="Times New Roman" w:hAnsi="Times New Roman" w:eastAsia="仿宋_GB2312" w:cs="Times New Roman"/>
          <w:b w:val="0"/>
          <w:bCs w:val="0"/>
          <w:spacing w:val="0"/>
          <w:sz w:val="32"/>
          <w:szCs w:val="32"/>
          <w:highlight w:val="none"/>
          <w:lang w:val="en-US" w:eastAsia="zh-CN"/>
        </w:rPr>
        <w:t>水库</w:t>
      </w:r>
      <w:r>
        <w:rPr>
          <w:rFonts w:hint="default" w:ascii="Times New Roman" w:hAnsi="Times New Roman" w:eastAsia="仿宋_GB2312" w:cs="Times New Roman"/>
          <w:b w:val="0"/>
          <w:bCs w:val="0"/>
          <w:spacing w:val="0"/>
          <w:sz w:val="32"/>
          <w:szCs w:val="32"/>
          <w:highlight w:val="none"/>
        </w:rPr>
        <w:t>工程存在不同程度的安全隐患</w:t>
      </w:r>
      <w:r>
        <w:rPr>
          <w:rFonts w:hint="default" w:ascii="Times New Roman" w:hAnsi="Times New Roman" w:eastAsia="仿宋_GB2312" w:cs="Times New Roman"/>
          <w:b w:val="0"/>
          <w:bCs w:val="0"/>
          <w:spacing w:val="0"/>
          <w:sz w:val="32"/>
          <w:szCs w:val="32"/>
          <w:highlight w:val="none"/>
          <w:lang w:eastAsia="zh-CN"/>
        </w:rPr>
        <w:t>。</w:t>
      </w:r>
    </w:p>
    <w:p w14:paraId="3C7AC4FA">
      <w:pPr>
        <w:pStyle w:val="13"/>
        <w:numPr>
          <w:ilvl w:val="0"/>
          <w:numId w:val="0"/>
        </w:numPr>
        <w:spacing w:before="0" w:after="0" w:line="560" w:lineRule="exact"/>
        <w:ind w:left="0" w:leftChars="0" w:firstLine="643" w:firstLineChars="200"/>
        <w:jc w:val="both"/>
        <w:outlineLvl w:val="2"/>
        <w:rPr>
          <w:rFonts w:hint="default" w:ascii="Times New Roman" w:hAnsi="Times New Roman" w:eastAsia="仿宋_GB2312" w:cs="Times New Roman"/>
          <w:kern w:val="2"/>
          <w:highlight w:val="none"/>
          <w:lang w:val="en-US" w:eastAsia="zh-CN"/>
        </w:rPr>
      </w:pPr>
      <w:bookmarkStart w:id="3" w:name="_Toc30961"/>
      <w:r>
        <w:rPr>
          <w:rFonts w:hint="default" w:ascii="Times New Roman" w:hAnsi="Times New Roman" w:eastAsia="仿宋_GB2312" w:cs="Times New Roman"/>
          <w:kern w:val="2"/>
          <w:highlight w:val="none"/>
          <w:lang w:val="en-US" w:eastAsia="zh-CN"/>
        </w:rPr>
        <w:t>2.</w:t>
      </w:r>
      <w:r>
        <w:rPr>
          <w:rFonts w:hint="default" w:ascii="Times New Roman" w:hAnsi="Times New Roman" w:eastAsia="仿宋_GB2312" w:cs="Times New Roman"/>
          <w:kern w:val="2"/>
          <w:highlight w:val="none"/>
        </w:rPr>
        <w:t>项目主要内容</w:t>
      </w:r>
      <w:r>
        <w:rPr>
          <w:rFonts w:hint="eastAsia" w:ascii="Times New Roman" w:hAnsi="Times New Roman" w:eastAsia="仿宋_GB2312" w:cs="Times New Roman"/>
          <w:kern w:val="2"/>
          <w:highlight w:val="none"/>
          <w:lang w:val="en-US" w:eastAsia="zh-CN"/>
        </w:rPr>
        <w:t>及实施情况</w:t>
      </w:r>
      <w:bookmarkEnd w:id="3"/>
    </w:p>
    <w:p w14:paraId="7A9F0883">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项目主要内容：克孜尔水库2025年经营成本性项目，资金实行统筹规划、专款专用，全部用于人员工资福利</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机构日常运转公用经费及水利工程维修养护</w:t>
      </w:r>
      <w:r>
        <w:rPr>
          <w:rFonts w:hint="eastAsia" w:eastAsia="仿宋_GB2312" w:cs="Times New Roman"/>
          <w:sz w:val="32"/>
          <w:szCs w:val="32"/>
          <w:highlight w:val="none"/>
          <w:lang w:val="en-US" w:eastAsia="zh-CN"/>
        </w:rPr>
        <w:t>两</w:t>
      </w:r>
      <w:r>
        <w:rPr>
          <w:rFonts w:hint="default" w:ascii="Times New Roman" w:hAnsi="Times New Roman" w:eastAsia="仿宋_GB2312" w:cs="Times New Roman"/>
          <w:sz w:val="32"/>
          <w:szCs w:val="32"/>
          <w:highlight w:val="none"/>
          <w:lang w:val="en-US" w:eastAsia="zh-CN"/>
        </w:rPr>
        <w:t>大核心支出领域，全方位覆盖单位内部运转与水利公益履职全流程费用需求，</w:t>
      </w:r>
      <w:r>
        <w:rPr>
          <w:rFonts w:hint="eastAsia" w:eastAsia="仿宋_GB2312" w:cs="Times New Roman"/>
          <w:sz w:val="32"/>
          <w:szCs w:val="32"/>
          <w:highlight w:val="none"/>
          <w:lang w:val="en-US" w:eastAsia="zh-CN"/>
        </w:rPr>
        <w:t>具体</w:t>
      </w:r>
      <w:r>
        <w:rPr>
          <w:rFonts w:hint="default" w:ascii="Times New Roman" w:hAnsi="Times New Roman" w:eastAsia="仿宋_GB2312" w:cs="Times New Roman"/>
          <w:sz w:val="32"/>
          <w:szCs w:val="32"/>
          <w:highlight w:val="none"/>
          <w:lang w:val="en-US" w:eastAsia="zh-CN"/>
        </w:rPr>
        <w:t>如下：</w:t>
      </w:r>
    </w:p>
    <w:p w14:paraId="0054DA0A">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人员工资福利保障支出</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保障单位</w:t>
      </w:r>
      <w:r>
        <w:rPr>
          <w:rFonts w:hint="eastAsia" w:eastAsia="仿宋_GB2312" w:cs="Times New Roman"/>
          <w:sz w:val="32"/>
          <w:szCs w:val="32"/>
          <w:highlight w:val="none"/>
          <w:lang w:val="en-US" w:eastAsia="zh-CN"/>
        </w:rPr>
        <w:t>85</w:t>
      </w:r>
      <w:r>
        <w:rPr>
          <w:rFonts w:hint="default" w:ascii="Times New Roman" w:hAnsi="Times New Roman" w:eastAsia="仿宋_GB2312" w:cs="Times New Roman"/>
          <w:sz w:val="32"/>
          <w:szCs w:val="32"/>
          <w:highlight w:val="none"/>
          <w:lang w:val="en-US" w:eastAsia="zh-CN"/>
        </w:rPr>
        <w:t>名在职干部职工、退休</w:t>
      </w:r>
      <w:r>
        <w:rPr>
          <w:rFonts w:hint="eastAsia" w:eastAsia="仿宋_GB2312" w:cs="Times New Roman"/>
          <w:sz w:val="32"/>
          <w:szCs w:val="32"/>
          <w:highlight w:val="none"/>
          <w:lang w:val="en-US" w:eastAsia="zh-CN"/>
        </w:rPr>
        <w:t>人员南疆工作补贴</w:t>
      </w:r>
      <w:r>
        <w:rPr>
          <w:rFonts w:hint="default" w:ascii="Times New Roman" w:hAnsi="Times New Roman" w:eastAsia="仿宋_GB2312" w:cs="Times New Roman"/>
          <w:sz w:val="32"/>
          <w:szCs w:val="32"/>
          <w:highlight w:val="none"/>
          <w:lang w:val="en-US" w:eastAsia="zh-CN"/>
        </w:rPr>
        <w:t>全年</w:t>
      </w:r>
      <w:r>
        <w:rPr>
          <w:rFonts w:hint="eastAsia" w:eastAsia="仿宋_GB2312" w:cs="Times New Roman"/>
          <w:sz w:val="32"/>
          <w:szCs w:val="32"/>
          <w:highlight w:val="none"/>
          <w:lang w:val="en-US" w:eastAsia="zh-CN"/>
        </w:rPr>
        <w:t>12次</w:t>
      </w:r>
      <w:r>
        <w:rPr>
          <w:rFonts w:hint="default" w:ascii="Times New Roman" w:hAnsi="Times New Roman" w:eastAsia="仿宋_GB2312" w:cs="Times New Roman"/>
          <w:sz w:val="32"/>
          <w:szCs w:val="32"/>
          <w:highlight w:val="none"/>
          <w:lang w:val="en-US" w:eastAsia="zh-CN"/>
        </w:rPr>
        <w:t>工资</w:t>
      </w:r>
      <w:r>
        <w:rPr>
          <w:rFonts w:hint="eastAsia" w:eastAsia="仿宋_GB2312" w:cs="Times New Roman"/>
          <w:sz w:val="32"/>
          <w:szCs w:val="32"/>
          <w:highlight w:val="none"/>
          <w:lang w:val="en-US" w:eastAsia="zh-CN"/>
        </w:rPr>
        <w:t>足额、准时</w:t>
      </w:r>
      <w:r>
        <w:rPr>
          <w:rFonts w:hint="default" w:ascii="Times New Roman" w:hAnsi="Times New Roman" w:eastAsia="仿宋_GB2312" w:cs="Times New Roman"/>
          <w:sz w:val="32"/>
          <w:szCs w:val="32"/>
          <w:highlight w:val="none"/>
          <w:lang w:val="en-US" w:eastAsia="zh-CN"/>
        </w:rPr>
        <w:t>发放，稳定水利管理人才队伍，激发干部职工工作积极性与责任心，为</w:t>
      </w:r>
      <w:r>
        <w:rPr>
          <w:rFonts w:hint="eastAsia" w:eastAsia="仿宋_GB2312" w:cs="Times New Roman"/>
          <w:sz w:val="32"/>
          <w:szCs w:val="32"/>
          <w:highlight w:val="none"/>
          <w:lang w:val="en-US" w:eastAsia="zh-CN"/>
        </w:rPr>
        <w:t>中心</w:t>
      </w:r>
      <w:r>
        <w:rPr>
          <w:rFonts w:hint="default" w:ascii="Times New Roman" w:hAnsi="Times New Roman" w:eastAsia="仿宋_GB2312" w:cs="Times New Roman"/>
          <w:sz w:val="32"/>
          <w:szCs w:val="32"/>
          <w:highlight w:val="none"/>
          <w:lang w:val="en-US" w:eastAsia="zh-CN"/>
        </w:rPr>
        <w:t>各项水利管理工作、日常公务工作的有序开展筑牢坚实的人力支撑，保障机构改革后人员队伍平稳过渡、工作力量持续稳固。</w:t>
      </w:r>
    </w:p>
    <w:p w14:paraId="6509C9B6">
      <w:pPr>
        <w:spacing w:line="560" w:lineRule="exact"/>
        <w:ind w:firstLine="640" w:firstLineChars="200"/>
        <w:rPr>
          <w:rFonts w:hint="default" w:ascii="Times New Roman" w:hAnsi="Times New Roman" w:eastAsia="黑体" w:cs="Times New Roman"/>
          <w:sz w:val="32"/>
          <w:szCs w:val="32"/>
          <w:highlight w:val="none"/>
          <w:lang w:eastAsia="zh-CN"/>
        </w:rPr>
      </w:pP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）机构运转公用经费支出</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立足机构改革后单位全新职能定位，保障单位日常运营规范化、常态化，资金专项用于单位日常运转各类公用经费列支。支出范围涵盖差旅费、公务用车运行维护费、办公费、</w:t>
      </w:r>
      <w:r>
        <w:rPr>
          <w:rFonts w:hint="eastAsia" w:eastAsia="仿宋_GB2312" w:cs="Times New Roman"/>
          <w:sz w:val="32"/>
          <w:szCs w:val="32"/>
          <w:highlight w:val="none"/>
          <w:lang w:val="en-US" w:eastAsia="zh-CN"/>
        </w:rPr>
        <w:t>委托业务费</w:t>
      </w:r>
      <w:r>
        <w:rPr>
          <w:rFonts w:hint="default" w:ascii="Times New Roman" w:hAnsi="Times New Roman" w:eastAsia="仿宋_GB2312" w:cs="Times New Roman"/>
          <w:sz w:val="32"/>
          <w:szCs w:val="32"/>
          <w:highlight w:val="none"/>
          <w:lang w:val="en-US" w:eastAsia="zh-CN"/>
        </w:rPr>
        <w:t>等各项目常公务基础开支</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跨部门业务对接、内部行政管理、流域水利工作协调等各项事务高效推</w:t>
      </w:r>
      <w:r>
        <w:rPr>
          <w:rFonts w:hint="default" w:ascii="Times New Roman" w:hAnsi="Times New Roman" w:eastAsia="仿宋_GB2312" w:cs="Times New Roman"/>
          <w:sz w:val="32"/>
          <w:szCs w:val="32"/>
          <w:highlight w:val="none"/>
        </w:rPr>
        <w:t>经费支出</w:t>
      </w:r>
      <w:r>
        <w:rPr>
          <w:rFonts w:hint="eastAsia" w:ascii="Times New Roman" w:hAnsi="Times New Roman" w:eastAsia="仿宋_GB2312" w:cs="Times New Roman"/>
          <w:sz w:val="32"/>
          <w:szCs w:val="32"/>
          <w:highlight w:val="none"/>
          <w:lang w:val="en-US" w:eastAsia="zh-CN"/>
        </w:rPr>
        <w:t>1085.83</w:t>
      </w:r>
      <w:r>
        <w:rPr>
          <w:rFonts w:hint="default" w:ascii="Times New Roman" w:hAnsi="Times New Roman" w:eastAsia="仿宋_GB2312" w:cs="Times New Roman"/>
          <w:sz w:val="32"/>
          <w:szCs w:val="32"/>
          <w:highlight w:val="none"/>
        </w:rPr>
        <w:t>万元</w:t>
      </w:r>
      <w:r>
        <w:rPr>
          <w:rFonts w:hint="eastAsia" w:ascii="Times New Roman" w:hAnsi="Times New Roman" w:eastAsia="仿宋_GB2312" w:cs="Times New Roman"/>
          <w:sz w:val="32"/>
          <w:szCs w:val="32"/>
          <w:highlight w:val="none"/>
          <w:lang w:val="en-US" w:eastAsia="zh-CN"/>
        </w:rPr>
        <w:t>。其中：保障人员经费199.21万元、日常运转经费886.62万元。</w:t>
      </w:r>
      <w:r>
        <w:rPr>
          <w:rFonts w:hint="default" w:ascii="Times New Roman" w:hAnsi="Times New Roman" w:eastAsia="仿宋_GB2312" w:cs="Times New Roman"/>
          <w:sz w:val="32"/>
          <w:szCs w:val="32"/>
          <w:highlight w:val="none"/>
        </w:rPr>
        <w:t>资金专款专用、核算规范</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无挤占、挪用情况。</w:t>
      </w:r>
    </w:p>
    <w:p w14:paraId="0C95950C">
      <w:pPr>
        <w:pageBreakBefore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）项目实施情况</w:t>
      </w:r>
      <w:r>
        <w:rPr>
          <w:rFonts w:hint="default" w:ascii="Times New Roman" w:hAnsi="Times New Roman" w:eastAsia="仿宋_GB2312" w:cs="Times New Roman"/>
          <w:sz w:val="32"/>
          <w:szCs w:val="32"/>
          <w:highlight w:val="none"/>
        </w:rPr>
        <w:t>：具体任务实施上，我单位经营成本性项目总体执行率为100%，各项保障任务均按序时进度足额、精准完成，有效确保了机构日常运转的高效与稳定。人员经费保障方面，全年累计发放职工工资12次，覆盖在职职工人员共计85人，做到了按时足额、无纰漏，切实保障了职工权益。公务用车管理方面：严格按规定保障公务用车7辆，通过规范化管理，确保了车辆运行安全及公务出行需求。物资及后勤保障方面，完成防汛、供电物资采购2批，物资储备充足且符合标准，同时，对2780.50平方米的办公场所进行了有效维护与管理。</w:t>
      </w:r>
    </w:p>
    <w:p w14:paraId="387378AE">
      <w:pPr>
        <w:pageBreakBefore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kern w:val="2"/>
          <w:sz w:val="32"/>
          <w:szCs w:val="32"/>
          <w:highlight w:val="none"/>
          <w:lang w:val="en-US" w:eastAsia="zh-CN" w:bidi="ar-SA"/>
        </w:rPr>
        <w:t>通过各项工作统筹落地，项目有效完善了流域供水保障体系，优化了水利工程公益服务功能，提升了单位内部运营管理规范化水平，充分释放水利防洪灌溉综合效益，切实保障了水库大坝和基础设施、闸门设备的安全正常运行，提高设备完好率，提升水库工程的抗风险能力。</w:t>
      </w:r>
    </w:p>
    <w:p w14:paraId="4AA1C785">
      <w:pPr>
        <w:spacing w:line="560" w:lineRule="exact"/>
        <w:ind w:firstLine="643" w:firstLineChars="200"/>
        <w:outlineLvl w:val="2"/>
        <w:rPr>
          <w:rFonts w:hint="eastAsia" w:ascii="Times New Roman" w:hAnsi="Times New Roman" w:eastAsia="仿宋_GB2312" w:cs="Times New Roman"/>
          <w:b/>
          <w:bCs/>
          <w:sz w:val="32"/>
          <w:szCs w:val="32"/>
          <w:highlight w:val="none"/>
          <w:lang w:val="en-US" w:eastAsia="zh-CN"/>
        </w:rPr>
      </w:pPr>
      <w:bookmarkStart w:id="4" w:name="_Toc18357"/>
      <w:r>
        <w:rPr>
          <w:rFonts w:hint="default" w:ascii="Times New Roman" w:hAnsi="Times New Roman" w:eastAsia="仿宋_GB2312" w:cs="Times New Roman"/>
          <w:b/>
          <w:bCs/>
          <w:sz w:val="32"/>
          <w:szCs w:val="32"/>
          <w:highlight w:val="none"/>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资金投入和使用情况</w:t>
      </w:r>
      <w:bookmarkEnd w:id="4"/>
    </w:p>
    <w:p w14:paraId="553A45DB">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5" w:name="_Toc13131"/>
      <w:r>
        <w:rPr>
          <w:rFonts w:hint="default" w:ascii="Times New Roman" w:hAnsi="Times New Roman" w:eastAsia="仿宋_GB2312" w:cs="Times New Roman"/>
          <w:sz w:val="32"/>
          <w:szCs w:val="32"/>
          <w:highlight w:val="none"/>
          <w:lang w:val="en-US" w:eastAsia="zh-CN"/>
        </w:rPr>
        <w:t>（1）资金投入情况</w:t>
      </w:r>
      <w:bookmarkEnd w:id="5"/>
    </w:p>
    <w:p w14:paraId="2FBB57BD">
      <w:pPr>
        <w:shd w:val="clear" w:color="auto" w:fill="auto"/>
        <w:spacing w:line="600" w:lineRule="exact"/>
        <w:ind w:firstLine="640" w:firstLineChars="200"/>
        <w:outlineLvl w:val="9"/>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_GB2312" w:cs="Times New Roman"/>
          <w:sz w:val="32"/>
          <w:szCs w:val="32"/>
          <w:highlight w:val="none"/>
          <w:lang w:val="en-US" w:eastAsia="zh-CN"/>
        </w:rPr>
        <w:t>1085.83</w:t>
      </w:r>
      <w:r>
        <w:rPr>
          <w:rFonts w:hint="default" w:ascii="Times New Roman" w:hAnsi="Times New Roman" w:eastAsia="仿宋_GB2312" w:cs="Times New Roman"/>
          <w:sz w:val="32"/>
          <w:szCs w:val="32"/>
          <w:highlight w:val="none"/>
          <w:lang w:val="en-US" w:eastAsia="zh-CN"/>
        </w:rPr>
        <w:t>万元，全年预算数</w:t>
      </w:r>
      <w:r>
        <w:rPr>
          <w:rFonts w:hint="eastAsia" w:ascii="Times New Roman" w:hAnsi="Times New Roman" w:eastAsia="仿宋_GB2312" w:cs="Times New Roman"/>
          <w:sz w:val="32"/>
          <w:szCs w:val="32"/>
          <w:highlight w:val="none"/>
          <w:lang w:val="en-US" w:eastAsia="zh-CN"/>
        </w:rPr>
        <w:t>1085.83</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ascii="Times New Roman" w:hAnsi="Times New Roman" w:eastAsia="仿宋_GB2312" w:cs="Times New Roman"/>
          <w:sz w:val="32"/>
          <w:szCs w:val="32"/>
          <w:highlight w:val="none"/>
          <w:lang w:val="en-US" w:eastAsia="zh-CN"/>
        </w:rPr>
        <w:t>其他资金</w:t>
      </w:r>
      <w:r>
        <w:rPr>
          <w:rFonts w:hint="default" w:ascii="Times New Roman" w:hAnsi="Times New Roman" w:eastAsia="仿宋_GB2312" w:cs="Times New Roman"/>
          <w:sz w:val="32"/>
          <w:szCs w:val="32"/>
          <w:highlight w:val="none"/>
          <w:lang w:val="en-US" w:eastAsia="zh-CN"/>
        </w:rPr>
        <w:t>。</w:t>
      </w:r>
    </w:p>
    <w:p w14:paraId="7B5B52AD">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6" w:name="_Toc18197"/>
      <w:r>
        <w:rPr>
          <w:rFonts w:hint="default" w:ascii="Times New Roman" w:hAnsi="Times New Roman" w:eastAsia="仿宋_GB2312" w:cs="Times New Roman"/>
          <w:sz w:val="32"/>
          <w:szCs w:val="32"/>
          <w:highlight w:val="none"/>
          <w:lang w:val="en-US" w:eastAsia="zh-CN"/>
        </w:rPr>
        <w:t>（2）资金使用情况</w:t>
      </w:r>
      <w:bookmarkEnd w:id="6"/>
    </w:p>
    <w:p w14:paraId="6645D323">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截至2025年12月31日</w:t>
      </w:r>
      <w:r>
        <w:rPr>
          <w:rFonts w:hint="default" w:ascii="Times New Roman" w:hAnsi="Times New Roman" w:eastAsia="仿宋_GB2312" w:cs="Times New Roman"/>
          <w:sz w:val="32"/>
          <w:szCs w:val="32"/>
          <w:highlight w:val="none"/>
          <w:lang w:val="en-US" w:eastAsia="zh-CN"/>
        </w:rPr>
        <w:t>，该项目全年执行数</w:t>
      </w:r>
      <w:r>
        <w:rPr>
          <w:rFonts w:hint="eastAsia" w:ascii="Times New Roman" w:hAnsi="Times New Roman" w:eastAsia="仿宋_GB2312" w:cs="Times New Roman"/>
          <w:sz w:val="32"/>
          <w:szCs w:val="32"/>
          <w:highlight w:val="none"/>
          <w:lang w:val="en-US" w:eastAsia="zh-CN"/>
        </w:rPr>
        <w:t>1085.83</w:t>
      </w:r>
      <w:r>
        <w:rPr>
          <w:rFonts w:hint="default" w:ascii="Times New Roman" w:hAnsi="Times New Roman" w:eastAsia="仿宋_GB2312" w:cs="Times New Roman"/>
          <w:sz w:val="32"/>
          <w:szCs w:val="32"/>
          <w:highlight w:val="none"/>
          <w:lang w:val="en-US" w:eastAsia="zh-CN"/>
        </w:rPr>
        <w:t>万元，预算执行率为</w:t>
      </w:r>
      <w:r>
        <w:rPr>
          <w:rFonts w:hint="eastAsia" w:ascii="Times New Roman" w:hAnsi="Times New Roman" w:eastAsia="仿宋_GB2312" w:cs="Times New Roman"/>
          <w:sz w:val="32"/>
          <w:szCs w:val="32"/>
          <w:highlight w:val="none"/>
          <w:lang w:val="en-US" w:eastAsia="zh-CN"/>
        </w:rPr>
        <w:t>100.8</w:t>
      </w:r>
      <w:r>
        <w:rPr>
          <w:rFonts w:hint="default" w:ascii="Times New Roman" w:hAnsi="Times New Roman" w:eastAsia="仿宋_GB2312" w:cs="Times New Roman"/>
          <w:sz w:val="32"/>
          <w:szCs w:val="32"/>
          <w:highlight w:val="none"/>
          <w:lang w:val="en-US" w:eastAsia="zh-CN"/>
        </w:rPr>
        <w:t>%，主要用于：人员工资福利</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机构日常运转公用经费及水利工程维修养护</w:t>
      </w:r>
      <w:r>
        <w:rPr>
          <w:rFonts w:hint="eastAsia" w:eastAsia="仿宋_GB2312" w:cs="Times New Roman"/>
          <w:sz w:val="32"/>
          <w:szCs w:val="32"/>
          <w:highlight w:val="none"/>
          <w:lang w:val="en-US" w:eastAsia="zh-CN"/>
        </w:rPr>
        <w:t>两</w:t>
      </w:r>
      <w:r>
        <w:rPr>
          <w:rFonts w:hint="default" w:ascii="Times New Roman" w:hAnsi="Times New Roman" w:eastAsia="仿宋_GB2312" w:cs="Times New Roman"/>
          <w:sz w:val="32"/>
          <w:szCs w:val="32"/>
          <w:highlight w:val="none"/>
          <w:lang w:val="en-US" w:eastAsia="zh-CN"/>
        </w:rPr>
        <w:t>大核心支出领域，全方位覆盖单位内部运转与水利公益履职全流程费用需求</w:t>
      </w:r>
      <w:r>
        <w:rPr>
          <w:rFonts w:hint="eastAsia" w:ascii="Times New Roman" w:hAnsi="Times New Roman" w:eastAsia="仿宋_GB2312" w:cs="Times New Roman"/>
          <w:sz w:val="32"/>
          <w:szCs w:val="32"/>
          <w:highlight w:val="none"/>
          <w:lang w:val="en-US" w:eastAsia="zh-CN"/>
        </w:rPr>
        <w:t>。</w:t>
      </w:r>
    </w:p>
    <w:p w14:paraId="65690BB8">
      <w:pPr>
        <w:spacing w:line="560" w:lineRule="exact"/>
        <w:ind w:firstLine="643" w:firstLineChars="200"/>
        <w:outlineLvl w:val="1"/>
        <w:rPr>
          <w:rFonts w:hint="default" w:ascii="Times New Roman" w:hAnsi="Times New Roman" w:eastAsia="楷体_GB2312" w:cs="Times New Roman"/>
          <w:b/>
          <w:bCs/>
          <w:sz w:val="32"/>
          <w:szCs w:val="32"/>
          <w:highlight w:val="none"/>
        </w:rPr>
      </w:pPr>
      <w:bookmarkStart w:id="7" w:name="_Toc11655"/>
      <w:r>
        <w:rPr>
          <w:rFonts w:hint="default" w:ascii="Times New Roman" w:hAnsi="Times New Roman" w:eastAsia="楷体_GB2312" w:cs="Times New Roman"/>
          <w:b/>
          <w:bCs/>
          <w:sz w:val="32"/>
          <w:szCs w:val="32"/>
          <w:highlight w:val="none"/>
        </w:rPr>
        <w:t>（二）项目绩效目标</w:t>
      </w:r>
      <w:bookmarkEnd w:id="7"/>
    </w:p>
    <w:p w14:paraId="4726773A">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总体目标</w:t>
      </w:r>
    </w:p>
    <w:p w14:paraId="59D69ECE">
      <w:pPr>
        <w:spacing w:line="560" w:lineRule="exact"/>
        <w:ind w:firstLine="640" w:firstLineChars="200"/>
        <w:rPr>
          <w:rFonts w:hint="default"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eastAsia="zh-CN"/>
        </w:rPr>
        <w:t>保障2025年职工薪酬的准时发放及日常运营的顺畅进行；加强对单位工作队的支持，确保群众工作的有效开展，充分发挥其积极作用。</w:t>
      </w:r>
    </w:p>
    <w:p w14:paraId="7619BDFA">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阶段性目标</w:t>
      </w:r>
    </w:p>
    <w:p w14:paraId="6EE8A37F">
      <w:pPr>
        <w:spacing w:line="560" w:lineRule="exact"/>
        <w:ind w:firstLine="640" w:firstLineChars="200"/>
        <w:rPr>
          <w:rFonts w:hint="default"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rPr>
        <w:t>阶段性目标围绕项目总体目标，按项目实施周期合理拆解，前期聚焦项目筹备与基础保障工作，完成方案细化、资源配置、前期调研等核心任务，确保项目具备实施条件；中期集中推进</w:t>
      </w:r>
      <w:r>
        <w:rPr>
          <w:rFonts w:hint="default" w:ascii="Times New Roman" w:hAnsi="Times New Roman" w:eastAsia="仿宋_GB2312" w:cs="Times New Roman"/>
          <w:sz w:val="32"/>
          <w:szCs w:val="32"/>
          <w:highlight w:val="none"/>
          <w:lang w:val="en-US" w:eastAsia="zh-CN"/>
        </w:rPr>
        <w:t>人员工资福利</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机构日常运转公用经费及水利工程维修养护</w:t>
      </w:r>
      <w:r>
        <w:rPr>
          <w:rFonts w:hint="eastAsia" w:ascii="Times New Roman" w:hAnsi="Times New Roman" w:eastAsia="仿宋_GB2312" w:cs="Times New Roman"/>
          <w:sz w:val="32"/>
          <w:szCs w:val="32"/>
          <w:highlight w:val="none"/>
        </w:rPr>
        <w:t>等关键工作，稳步达成阶段性产出数量与质量要求；后期重点完成成果整合、资料归档、验收收尾等工作，同步开展效果自评与反馈收集，各阶段均严格把控进度节点、质量标准与预算执行，确保有序衔接、逐步落地总体目标。</w:t>
      </w:r>
    </w:p>
    <w:p w14:paraId="38E5BC29">
      <w:pPr>
        <w:spacing w:line="560" w:lineRule="exact"/>
        <w:ind w:firstLine="640" w:firstLineChars="200"/>
        <w:outlineLvl w:val="0"/>
        <w:rPr>
          <w:rFonts w:hint="default" w:ascii="Times New Roman" w:hAnsi="Times New Roman" w:eastAsia="黑体" w:cs="Times New Roman"/>
          <w:sz w:val="32"/>
          <w:szCs w:val="32"/>
          <w:highlight w:val="none"/>
        </w:rPr>
      </w:pPr>
      <w:bookmarkStart w:id="8" w:name="_Toc25712"/>
      <w:r>
        <w:rPr>
          <w:rFonts w:hint="default" w:ascii="Times New Roman" w:hAnsi="Times New Roman" w:eastAsia="黑体" w:cs="Times New Roman"/>
          <w:sz w:val="32"/>
          <w:szCs w:val="32"/>
          <w:highlight w:val="none"/>
        </w:rPr>
        <w:t>二、绩效评价工作开展情况</w:t>
      </w:r>
      <w:bookmarkEnd w:id="8"/>
    </w:p>
    <w:p w14:paraId="60854B16">
      <w:pPr>
        <w:spacing w:line="560" w:lineRule="exact"/>
        <w:ind w:firstLine="643" w:firstLineChars="200"/>
        <w:outlineLvl w:val="1"/>
        <w:rPr>
          <w:rFonts w:hint="default" w:ascii="Times New Roman" w:hAnsi="Times New Roman" w:eastAsia="楷体_GB2312" w:cs="Times New Roman"/>
          <w:b/>
          <w:bCs/>
          <w:sz w:val="32"/>
          <w:szCs w:val="32"/>
          <w:highlight w:val="none"/>
        </w:rPr>
      </w:pPr>
      <w:bookmarkStart w:id="9" w:name="_Toc20967"/>
      <w:r>
        <w:rPr>
          <w:rFonts w:hint="default" w:ascii="Times New Roman" w:hAnsi="Times New Roman" w:eastAsia="楷体_GB2312" w:cs="Times New Roman"/>
          <w:b/>
          <w:bCs/>
          <w:sz w:val="32"/>
          <w:szCs w:val="32"/>
          <w:highlight w:val="none"/>
        </w:rPr>
        <w:t>（一）绩效评价目的、对象和范围</w:t>
      </w:r>
      <w:bookmarkEnd w:id="9"/>
    </w:p>
    <w:p w14:paraId="1A618396">
      <w:pPr>
        <w:spacing w:line="560" w:lineRule="exact"/>
        <w:ind w:firstLine="640" w:firstLineChars="200"/>
        <w:outlineLvl w:val="2"/>
        <w:rPr>
          <w:rFonts w:hint="default" w:ascii="Times New Roman" w:hAnsi="Times New Roman" w:eastAsia="仿宋_GB2312" w:cs="Times New Roman"/>
          <w:sz w:val="32"/>
          <w:szCs w:val="32"/>
          <w:highlight w:val="none"/>
        </w:rPr>
      </w:pPr>
      <w:bookmarkStart w:id="10" w:name="_Toc18967"/>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绩效评价的目的</w:t>
      </w:r>
      <w:bookmarkEnd w:id="10"/>
    </w:p>
    <w:p w14:paraId="5B0763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1" w:name="_Toc17665"/>
      <w:r>
        <w:rPr>
          <w:rFonts w:hint="default" w:ascii="Times New Roman" w:hAnsi="Times New Roman" w:eastAsia="仿宋_GB2312" w:cs="Times New Roman"/>
          <w:sz w:val="32"/>
          <w:szCs w:val="32"/>
          <w:highlight w:val="none"/>
        </w:rPr>
        <w:t>（1）评估项目实施效果</w:t>
      </w:r>
      <w:bookmarkEnd w:id="11"/>
    </w:p>
    <w:p w14:paraId="25568A5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通过对项目预算执行情况及各项绩效目标达成程度的系统性分析，全面、客观地评估项目在预定周期内的实施效果，为项目后续的改进与优化提供科学依据。</w:t>
      </w:r>
    </w:p>
    <w:p w14:paraId="58F19F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2" w:name="_Toc1456"/>
      <w:r>
        <w:rPr>
          <w:rFonts w:hint="default" w:ascii="Times New Roman" w:hAnsi="Times New Roman" w:eastAsia="仿宋_GB2312" w:cs="Times New Roman"/>
          <w:sz w:val="32"/>
          <w:szCs w:val="32"/>
          <w:highlight w:val="none"/>
        </w:rPr>
        <w:t>（2）提升资源利用效率</w:t>
      </w:r>
      <w:bookmarkEnd w:id="12"/>
    </w:p>
    <w:p w14:paraId="1FB1656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1760E31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3" w:name="_Toc7051"/>
      <w:r>
        <w:rPr>
          <w:rFonts w:hint="default" w:ascii="Times New Roman" w:hAnsi="Times New Roman" w:eastAsia="仿宋_GB2312" w:cs="Times New Roman"/>
          <w:sz w:val="32"/>
          <w:szCs w:val="32"/>
          <w:highlight w:val="none"/>
        </w:rPr>
        <w:t>（3）强化项目管理责任</w:t>
      </w:r>
      <w:bookmarkEnd w:id="13"/>
    </w:p>
    <w:p w14:paraId="0F39F0B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6A97494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4" w:name="_Toc19891"/>
      <w:r>
        <w:rPr>
          <w:rFonts w:hint="default" w:ascii="Times New Roman" w:hAnsi="Times New Roman" w:eastAsia="仿宋_GB2312" w:cs="Times New Roman"/>
          <w:sz w:val="32"/>
          <w:szCs w:val="32"/>
          <w:highlight w:val="none"/>
        </w:rPr>
        <w:t>（4）为决策提供支持</w:t>
      </w:r>
      <w:bookmarkEnd w:id="14"/>
    </w:p>
    <w:p w14:paraId="6831C26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139ED35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5" w:name="_Toc10690"/>
      <w:r>
        <w:rPr>
          <w:rFonts w:hint="default" w:ascii="Times New Roman" w:hAnsi="Times New Roman" w:eastAsia="仿宋_GB2312" w:cs="Times New Roman"/>
          <w:sz w:val="32"/>
          <w:szCs w:val="32"/>
          <w:highlight w:val="none"/>
        </w:rPr>
        <w:t>（5）促进项目持续改进</w:t>
      </w:r>
      <w:bookmarkEnd w:id="15"/>
    </w:p>
    <w:p w14:paraId="3B7E7D8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1297F7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06B2B81A">
      <w:pPr>
        <w:pStyle w:val="13"/>
        <w:widowControl w:val="0"/>
        <w:spacing w:before="0" w:after="0" w:line="560" w:lineRule="exact"/>
        <w:ind w:firstLine="640" w:firstLineChars="200"/>
        <w:jc w:val="both"/>
        <w:outlineLvl w:val="2"/>
        <w:rPr>
          <w:rFonts w:hint="default" w:ascii="Times New Roman" w:hAnsi="Times New Roman" w:eastAsia="仿宋_GB2312" w:cs="Times New Roman"/>
          <w:b w:val="0"/>
          <w:bCs w:val="0"/>
          <w:highlight w:val="none"/>
        </w:rPr>
      </w:pPr>
      <w:bookmarkStart w:id="16" w:name="_Toc5355"/>
      <w:r>
        <w:rPr>
          <w:rFonts w:hint="eastAsia" w:ascii="Times New Roman" w:hAnsi="Times New Roman" w:eastAsia="仿宋_GB2312" w:cs="Times New Roman"/>
          <w:b w:val="0"/>
          <w:bCs w:val="0"/>
          <w:highlight w:val="none"/>
          <w:lang w:val="en-US" w:eastAsia="zh-CN"/>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绩效评价的对象</w:t>
      </w:r>
      <w:bookmarkEnd w:id="16"/>
    </w:p>
    <w:p w14:paraId="1B9B73DE">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本项目预算绩效评价报告的评价对象是克孜尔水库2025年经营成本性项目及其预算执行情况。该项目由新疆维吾尔自治区塔里木河流域</w:t>
      </w:r>
      <w:r>
        <w:rPr>
          <w:rFonts w:hint="eastAsia" w:ascii="Times New Roman" w:hAnsi="Times New Roman" w:eastAsia="仿宋_GB2312" w:cs="Times New Roman"/>
          <w:b w:val="0"/>
          <w:bCs w:val="0"/>
          <w:highlight w:val="none"/>
          <w:lang w:val="en-US" w:eastAsia="zh-CN"/>
        </w:rPr>
        <w:t>克孜尔水库</w:t>
      </w:r>
      <w:r>
        <w:rPr>
          <w:rFonts w:hint="default" w:ascii="Times New Roman" w:hAnsi="Times New Roman" w:eastAsia="仿宋_GB2312" w:cs="Times New Roman"/>
          <w:b w:val="0"/>
          <w:bCs w:val="0"/>
          <w:highlight w:val="none"/>
        </w:rPr>
        <w:t>管理中心负责实施，旨在统筹保障机构改革后单位日常运转、人员工资福利发放及水利工程维修养护等核心工作，稳定水利管理队伍，保障流域灌溉供水持续稳定，消除水利工程安全隐患，提升水利防洪灌溉服务能力，实现水利公益效益与民生保障目标。项目预算涵盖从</w:t>
      </w:r>
      <w:r>
        <w:rPr>
          <w:rFonts w:hint="eastAsia" w:ascii="Times New Roman" w:hAnsi="Times New Roman" w:eastAsia="仿宋_GB2312" w:cs="Times New Roman"/>
          <w:b w:val="0"/>
          <w:bCs w:val="0"/>
          <w:highlight w:val="none"/>
          <w:lang w:val="en-US" w:eastAsia="zh-CN"/>
        </w:rPr>
        <w:t>2025年1月1日</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2025年12月31日</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1085.83</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14:paraId="5AEE3D08">
      <w:pPr>
        <w:pStyle w:val="13"/>
        <w:widowControl w:val="0"/>
        <w:spacing w:before="0" w:after="0" w:line="560" w:lineRule="exact"/>
        <w:ind w:firstLine="640" w:firstLineChars="200"/>
        <w:jc w:val="both"/>
        <w:outlineLvl w:val="2"/>
        <w:rPr>
          <w:rFonts w:hint="default" w:ascii="Times New Roman" w:hAnsi="Times New Roman" w:eastAsia="仿宋_GB2312" w:cs="Times New Roman"/>
          <w:b w:val="0"/>
          <w:bCs w:val="0"/>
          <w:highlight w:val="none"/>
        </w:rPr>
      </w:pPr>
      <w:bookmarkStart w:id="17" w:name="_Toc4258"/>
      <w:r>
        <w:rPr>
          <w:rFonts w:hint="eastAsia"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绩效评价的范围</w:t>
      </w:r>
      <w:bookmarkEnd w:id="17"/>
    </w:p>
    <w:p w14:paraId="5A69C4AF">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3B01B531">
      <w:pPr>
        <w:pStyle w:val="13"/>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14:paraId="112FBA1D">
      <w:pPr>
        <w:pStyle w:val="13"/>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14:paraId="6E23E444">
      <w:pPr>
        <w:pStyle w:val="13"/>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14:paraId="559C11A1">
      <w:pPr>
        <w:spacing w:line="560" w:lineRule="exact"/>
        <w:ind w:firstLine="643" w:firstLineChars="200"/>
        <w:outlineLvl w:val="1"/>
        <w:rPr>
          <w:rFonts w:hint="default" w:ascii="Times New Roman" w:hAnsi="Times New Roman" w:cs="Times New Roman"/>
          <w:highlight w:val="none"/>
        </w:rPr>
      </w:pPr>
      <w:bookmarkStart w:id="18" w:name="_Toc29785"/>
      <w:r>
        <w:rPr>
          <w:rFonts w:hint="default" w:ascii="Times New Roman" w:hAnsi="Times New Roman" w:eastAsia="楷体_GB2312" w:cs="Times New Roman"/>
          <w:b/>
          <w:bCs/>
          <w:sz w:val="32"/>
          <w:szCs w:val="32"/>
          <w:highlight w:val="none"/>
        </w:rPr>
        <w:t>（二）绩效评价原则、评价指标体系（详情见表1）、评价方法、评价标准。</w:t>
      </w:r>
      <w:bookmarkEnd w:id="18"/>
    </w:p>
    <w:p w14:paraId="0290B559">
      <w:pPr>
        <w:pStyle w:val="13"/>
        <w:widowControl w:val="0"/>
        <w:spacing w:before="0" w:after="0" w:line="560" w:lineRule="exact"/>
        <w:ind w:firstLine="640" w:firstLineChars="200"/>
        <w:jc w:val="both"/>
        <w:outlineLvl w:val="2"/>
        <w:rPr>
          <w:rFonts w:hint="default" w:ascii="Times New Roman" w:hAnsi="Times New Roman" w:eastAsia="仿宋_GB2312" w:cs="Times New Roman"/>
          <w:b w:val="0"/>
          <w:bCs w:val="0"/>
          <w:highlight w:val="none"/>
        </w:rPr>
      </w:pPr>
      <w:bookmarkStart w:id="19" w:name="_Toc22859"/>
      <w:r>
        <w:rPr>
          <w:rFonts w:hint="default" w:ascii="Times New Roman" w:hAnsi="Times New Roman" w:eastAsia="仿宋_GB2312" w:cs="Times New Roman"/>
          <w:b w:val="0"/>
          <w:bCs w:val="0"/>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绩效评价原则</w:t>
      </w:r>
      <w:bookmarkEnd w:id="19"/>
    </w:p>
    <w:p w14:paraId="4F4D8137">
      <w:pPr>
        <w:spacing w:line="560" w:lineRule="exact"/>
        <w:ind w:firstLine="640" w:firstLineChars="200"/>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本次项目绩效评价遵循以下基本原则：</w:t>
      </w:r>
    </w:p>
    <w:p w14:paraId="40A489AB">
      <w:pPr>
        <w:pStyle w:val="13"/>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（1）科学公正。绩效评价应当运用科学合理的方法，按照规范的程序，对项目绩效进行客观、公正的反映。</w:t>
      </w:r>
    </w:p>
    <w:p w14:paraId="28A90551">
      <w:pPr>
        <w:pStyle w:val="13"/>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（2）统筹兼顾。单位自评、部门评价和财政评价应职责明确，各有侧重，相互衔接。单位自评应由项目单位自主实施，即“谁支出、谁自评”。部门评价和财政评价应在单位自评的基础上开展。</w:t>
      </w:r>
    </w:p>
    <w:p w14:paraId="2D51ED81">
      <w:pPr>
        <w:pStyle w:val="13"/>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（3）激励约束。绩效评价结果应与预算安排、政策调整、改进管理实质性挂钩，体现奖优罚劣和激励相容导向，有效要安排、低效要压减、无效要问责。</w:t>
      </w:r>
    </w:p>
    <w:p w14:paraId="6CD2F06B">
      <w:pPr>
        <w:pStyle w:val="13"/>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（4）公开透明。绩效评价结果应依法依规公开，并自觉接受社会监督。</w:t>
      </w:r>
    </w:p>
    <w:p w14:paraId="234C0470">
      <w:pPr>
        <w:pStyle w:val="13"/>
        <w:widowControl w:val="0"/>
        <w:spacing w:before="0" w:after="0" w:line="560" w:lineRule="exact"/>
        <w:ind w:firstLine="640" w:firstLineChars="200"/>
        <w:jc w:val="both"/>
        <w:outlineLvl w:val="2"/>
        <w:rPr>
          <w:rFonts w:hint="default" w:ascii="Times New Roman" w:hAnsi="Times New Roman" w:eastAsia="仿宋_GB2312" w:cs="Times New Roman"/>
          <w:b w:val="0"/>
          <w:bCs w:val="0"/>
          <w:highlight w:val="none"/>
        </w:rPr>
      </w:pPr>
      <w:bookmarkStart w:id="20" w:name="_Toc31775"/>
      <w:r>
        <w:rPr>
          <w:rFonts w:hint="default" w:ascii="Times New Roman" w:hAnsi="Times New Roman" w:eastAsia="仿宋_GB2312" w:cs="Times New Roman"/>
          <w:b w:val="0"/>
          <w:bCs w:val="0"/>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评价指标体系</w:t>
      </w:r>
      <w:bookmarkEnd w:id="20"/>
    </w:p>
    <w:p w14:paraId="20D4813B">
      <w:pPr>
        <w:spacing w:line="560" w:lineRule="exact"/>
        <w:ind w:firstLine="708" w:firstLineChars="200"/>
        <w:rPr>
          <w:rFonts w:hint="default" w:ascii="Times New Roman" w:hAnsi="Times New Roman"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绩效评价框架是开展绩效评价的核心。绩效评价框架包括评价准则、关键评价问题、评价指标、数据来源、数据收集方法等。指标体系建立过程如下：</w:t>
      </w:r>
    </w:p>
    <w:p w14:paraId="2BB25D66">
      <w:pPr>
        <w:spacing w:line="560" w:lineRule="exact"/>
        <w:ind w:firstLine="708" w:firstLineChars="200"/>
        <w:outlineLvl w:val="3"/>
        <w:rPr>
          <w:rFonts w:hint="default" w:ascii="Times New Roman" w:hAnsi="Times New Roman" w:eastAsia="仿宋_GB2312" w:cs="Times New Roman"/>
          <w:color w:val="000000"/>
          <w:spacing w:val="17"/>
          <w:sz w:val="32"/>
          <w:szCs w:val="32"/>
          <w:highlight w:val="none"/>
        </w:rPr>
      </w:pPr>
      <w:bookmarkStart w:id="21" w:name="_Toc22746"/>
      <w:r>
        <w:rPr>
          <w:rFonts w:hint="default" w:ascii="Times New Roman" w:hAnsi="Times New Roman" w:eastAsia="仿宋_GB2312" w:cs="Times New Roman"/>
          <w:color w:val="000000"/>
          <w:spacing w:val="17"/>
          <w:sz w:val="32"/>
          <w:szCs w:val="32"/>
          <w:highlight w:val="none"/>
        </w:rPr>
        <w:t>（1）确定评价指标</w:t>
      </w:r>
      <w:bookmarkEnd w:id="21"/>
    </w:p>
    <w:p w14:paraId="051DA411">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0D25EB1C">
      <w:pPr>
        <w:spacing w:line="560" w:lineRule="exact"/>
        <w:ind w:firstLine="708" w:firstLineChars="200"/>
        <w:outlineLvl w:val="3"/>
        <w:rPr>
          <w:rFonts w:hint="default" w:ascii="Times New Roman" w:hAnsi="Times New Roman" w:eastAsia="仿宋_GB2312" w:cs="Times New Roman"/>
          <w:color w:val="000000"/>
          <w:spacing w:val="17"/>
          <w:sz w:val="32"/>
          <w:szCs w:val="32"/>
          <w:highlight w:val="none"/>
        </w:rPr>
      </w:pPr>
      <w:bookmarkStart w:id="22" w:name="_Toc1142"/>
      <w:r>
        <w:rPr>
          <w:rFonts w:hint="default" w:ascii="Times New Roman" w:hAnsi="Times New Roman" w:eastAsia="仿宋_GB2312" w:cs="Times New Roman"/>
          <w:color w:val="000000"/>
          <w:spacing w:val="17"/>
          <w:sz w:val="32"/>
          <w:szCs w:val="32"/>
          <w:highlight w:val="none"/>
        </w:rPr>
        <w:t>（2）确定权重</w:t>
      </w:r>
      <w:bookmarkEnd w:id="22"/>
    </w:p>
    <w:p w14:paraId="79B1BBC8">
      <w:pPr>
        <w:spacing w:line="560" w:lineRule="exact"/>
        <w:ind w:firstLine="708" w:firstLineChars="200"/>
        <w:rPr>
          <w:rFonts w:hint="default" w:ascii="Times New Roman" w:hAnsi="Times New Roman" w:eastAsia="仿宋_GB2312" w:cs="Times New Roman"/>
          <w:color w:val="FF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246A734D">
      <w:pPr>
        <w:spacing w:line="560" w:lineRule="exact"/>
        <w:ind w:firstLine="708" w:firstLineChars="200"/>
        <w:outlineLvl w:val="3"/>
        <w:rPr>
          <w:rFonts w:hint="default" w:ascii="Times New Roman" w:hAnsi="Times New Roman" w:eastAsia="仿宋_GB2312" w:cs="Times New Roman"/>
          <w:color w:val="000000"/>
          <w:spacing w:val="17"/>
          <w:sz w:val="32"/>
          <w:szCs w:val="32"/>
          <w:highlight w:val="none"/>
        </w:rPr>
      </w:pPr>
      <w:bookmarkStart w:id="23" w:name="_Toc18406"/>
      <w:r>
        <w:rPr>
          <w:rFonts w:hint="default" w:ascii="Times New Roman" w:hAnsi="Times New Roman" w:eastAsia="仿宋_GB2312" w:cs="Times New Roman"/>
          <w:color w:val="000000"/>
          <w:spacing w:val="17"/>
          <w:sz w:val="32"/>
          <w:szCs w:val="32"/>
          <w:highlight w:val="none"/>
        </w:rPr>
        <w:t>（3）确定指标标准值</w:t>
      </w:r>
      <w:bookmarkEnd w:id="23"/>
    </w:p>
    <w:p w14:paraId="3223E29D">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14:paraId="0C08DD2F">
      <w:pPr>
        <w:pStyle w:val="13"/>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kern w:val="2"/>
          <w:highlight w:val="none"/>
        </w:rPr>
      </w:pPr>
      <w:r>
        <w:rPr>
          <w:rFonts w:hint="default" w:ascii="Times New Roman" w:hAnsi="Times New Roman" w:eastAsia="仿宋_GB2312" w:cs="Times New Roman"/>
          <w:b w:val="0"/>
          <w:bCs w:val="0"/>
          <w:color w:val="000000"/>
          <w:spacing w:val="17"/>
          <w:kern w:val="2"/>
          <w:highlight w:val="none"/>
        </w:rPr>
        <w:t>绩效评价总分值100分，根据综合评分结果，90（含）-100分为优、80（含）-90分为良、60（含）-80分为中、60分以下为差。</w:t>
      </w:r>
    </w:p>
    <w:p w14:paraId="5FBFF998">
      <w:pPr>
        <w:pStyle w:val="13"/>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highlight w:val="none"/>
        </w:rPr>
      </w:pPr>
      <w:r>
        <w:rPr>
          <w:rFonts w:hint="default" w:ascii="Times New Roman" w:hAnsi="Times New Roman" w:eastAsia="仿宋_GB2312" w:cs="Times New Roman"/>
          <w:b w:val="0"/>
          <w:bCs w:val="0"/>
          <w:color w:val="000000"/>
          <w:spacing w:val="17"/>
          <w:highlight w:val="none"/>
        </w:rPr>
        <w:t>具体评价指标体系详情见附件1</w:t>
      </w:r>
    </w:p>
    <w:p w14:paraId="519882FA">
      <w:pPr>
        <w:pStyle w:val="13"/>
        <w:widowControl w:val="0"/>
        <w:spacing w:before="0" w:after="0" w:line="560" w:lineRule="exact"/>
        <w:ind w:firstLine="640" w:firstLineChars="200"/>
        <w:jc w:val="both"/>
        <w:outlineLvl w:val="2"/>
        <w:rPr>
          <w:rFonts w:hint="default" w:ascii="Times New Roman" w:hAnsi="Times New Roman" w:eastAsia="仿宋_GB2312" w:cs="Times New Roman"/>
          <w:b w:val="0"/>
          <w:bCs w:val="0"/>
          <w:highlight w:val="none"/>
        </w:rPr>
      </w:pPr>
      <w:bookmarkStart w:id="24" w:name="_Toc18365"/>
      <w:r>
        <w:rPr>
          <w:rFonts w:hint="default" w:ascii="Times New Roman" w:hAnsi="Times New Roman" w:eastAsia="仿宋_GB2312" w:cs="Times New Roman"/>
          <w:b w:val="0"/>
          <w:bCs w:val="0"/>
          <w:highlight w:val="none"/>
        </w:rPr>
        <w:t>3</w:t>
      </w:r>
      <w:r>
        <w:rPr>
          <w:rFonts w:hint="default"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绩效评价方法</w:t>
      </w:r>
      <w:bookmarkEnd w:id="24"/>
    </w:p>
    <w:p w14:paraId="2C39AF58">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绩效评价从项目决策、项目过程、项目产出、项目效益四个维度进行评价。评价对象为项目目标实施情况，评价核心为资金的支出完成情况和项目的产出效益。</w:t>
      </w:r>
    </w:p>
    <w:p w14:paraId="54F0A565">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147F970B">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rPr>
        <w:t>）成本效益分析法。是指将投入与产出、效益进行关联性分析的方法。</w:t>
      </w:r>
    </w:p>
    <w:p w14:paraId="7C519152">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rPr>
        <w:t>）比较法。是指将实施情况与绩效目标、历史情况、不同部门和地区同类支出情况进行比较的方法。</w:t>
      </w:r>
    </w:p>
    <w:p w14:paraId="5F6897A8">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3</w:t>
      </w:r>
      <w:r>
        <w:rPr>
          <w:rFonts w:hint="default" w:ascii="Times New Roman" w:hAnsi="Times New Roman" w:eastAsia="仿宋_GB2312" w:cs="Times New Roman"/>
          <w:color w:val="000000"/>
          <w:spacing w:val="17"/>
          <w:sz w:val="32"/>
          <w:szCs w:val="32"/>
          <w:highlight w:val="none"/>
        </w:rPr>
        <w:t>）因素分析法。是指综合分析影响绩效目标实现、实施效果的内外部因素的方法。</w:t>
      </w:r>
    </w:p>
    <w:p w14:paraId="3D4DB0D3">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4</w:t>
      </w:r>
      <w:r>
        <w:rPr>
          <w:rFonts w:hint="default" w:ascii="Times New Roman" w:hAnsi="Times New Roman" w:eastAsia="仿宋_GB2312" w:cs="Times New Roman"/>
          <w:color w:val="000000"/>
          <w:spacing w:val="17"/>
          <w:sz w:val="32"/>
          <w:szCs w:val="32"/>
          <w:highlight w:val="none"/>
        </w:rPr>
        <w:t>）最低成本法。是指在绩效目标确定的前提下，成本最小者为优的方法。</w:t>
      </w:r>
    </w:p>
    <w:p w14:paraId="2275B92B">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5</w:t>
      </w:r>
      <w:r>
        <w:rPr>
          <w:rFonts w:hint="default" w:ascii="Times New Roman" w:hAnsi="Times New Roman" w:eastAsia="仿宋_GB2312" w:cs="Times New Roman"/>
          <w:color w:val="000000"/>
          <w:spacing w:val="17"/>
          <w:sz w:val="32"/>
          <w:szCs w:val="32"/>
          <w:highlight w:val="none"/>
        </w:rPr>
        <w:t>）公众评判法。是指通过专家评估、公众问卷及抽样调查等方式进行评判的方法。</w:t>
      </w:r>
    </w:p>
    <w:p w14:paraId="60BF4F7B">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6</w:t>
      </w:r>
      <w:r>
        <w:rPr>
          <w:rFonts w:hint="default" w:ascii="Times New Roman" w:hAnsi="Times New Roman" w:eastAsia="仿宋_GB2312" w:cs="Times New Roman"/>
          <w:color w:val="000000"/>
          <w:spacing w:val="17"/>
          <w:sz w:val="32"/>
          <w:szCs w:val="32"/>
          <w:highlight w:val="none"/>
        </w:rPr>
        <w:t>）标杆管理法。是指以国内外同行业中较高的绩效水平为标杆进行评判的方法。</w:t>
      </w:r>
    </w:p>
    <w:p w14:paraId="4CD37486">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7</w:t>
      </w:r>
      <w:r>
        <w:rPr>
          <w:rFonts w:hint="default" w:ascii="Times New Roman" w:hAnsi="Times New Roman" w:eastAsia="仿宋_GB2312" w:cs="Times New Roman"/>
          <w:color w:val="000000"/>
          <w:spacing w:val="17"/>
          <w:sz w:val="32"/>
          <w:szCs w:val="32"/>
          <w:highlight w:val="none"/>
        </w:rPr>
        <w:t>）其他评价方法。</w:t>
      </w:r>
    </w:p>
    <w:p w14:paraId="3EEE6FAA">
      <w:pPr>
        <w:pStyle w:val="13"/>
        <w:widowControl w:val="0"/>
        <w:spacing w:before="0" w:after="0" w:line="560" w:lineRule="exact"/>
        <w:ind w:firstLine="640" w:firstLineChars="200"/>
        <w:jc w:val="both"/>
        <w:outlineLvl w:val="2"/>
        <w:rPr>
          <w:rFonts w:hint="default" w:ascii="Times New Roman" w:hAnsi="Times New Roman" w:eastAsia="仿宋_GB2312" w:cs="Times New Roman"/>
          <w:b w:val="0"/>
          <w:bCs w:val="0"/>
          <w:highlight w:val="none"/>
        </w:rPr>
      </w:pPr>
      <w:bookmarkStart w:id="25" w:name="_Toc21230"/>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bookmarkEnd w:id="25"/>
    </w:p>
    <w:p w14:paraId="1E2E0D92">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绩效评价标准通常包括计划标准、行业标准、历史标准等，用于对绩效指标完成情况进行比较、分析、评价。</w:t>
      </w:r>
      <w:r>
        <w:rPr>
          <w:rFonts w:hint="eastAsia" w:ascii="Times New Roman" w:hAnsi="Times New Roman" w:eastAsia="仿宋_GB2312" w:cs="Times New Roman"/>
          <w:b w:val="0"/>
          <w:bCs w:val="0"/>
          <w:highlight w:val="none"/>
          <w:lang w:eastAsia="zh-CN"/>
        </w:rPr>
        <w:t>具体绩效评价标准解释如下：</w:t>
      </w:r>
    </w:p>
    <w:p w14:paraId="0130A070">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1</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计划标准。指以预先制定的目标、计划、预算、定额等作为评价标准。</w:t>
      </w:r>
    </w:p>
    <w:p w14:paraId="3D4075F7">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2</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行业标准。指参照国家公布的行业指标数据制定的评价标准。</w:t>
      </w:r>
    </w:p>
    <w:p w14:paraId="5F811DBE">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历史标准。指参照历史数据制定的评价标准，为体现绩效改进的原则，在可实现的条件下应当确定相对较高的评价标准。</w:t>
      </w:r>
    </w:p>
    <w:p w14:paraId="30234D5E">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财政部门和预算部门确认或认可的其他标准。</w:t>
      </w:r>
    </w:p>
    <w:p w14:paraId="1017FAA4">
      <w:pPr>
        <w:pStyle w:val="13"/>
        <w:widowControl w:val="0"/>
        <w:spacing w:before="0" w:after="0" w:line="560" w:lineRule="exact"/>
        <w:ind w:firstLine="640" w:firstLineChars="200"/>
        <w:jc w:val="both"/>
        <w:outlineLvl w:val="9"/>
        <w:rPr>
          <w:rFonts w:hint="default"/>
          <w:highlight w:val="none"/>
        </w:rPr>
      </w:pPr>
      <w:r>
        <w:rPr>
          <w:rFonts w:hint="eastAsia" w:ascii="Times New Roman" w:hAnsi="Times New Roman" w:eastAsia="仿宋_GB2312" w:cs="Times New Roman"/>
          <w:b w:val="0"/>
          <w:bCs w:val="0"/>
          <w:highlight w:val="none"/>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07F86C1D">
      <w:pPr>
        <w:pStyle w:val="13"/>
        <w:numPr>
          <w:ilvl w:val="0"/>
          <w:numId w:val="2"/>
        </w:numPr>
        <w:spacing w:before="0" w:after="0" w:line="560" w:lineRule="exact"/>
        <w:ind w:firstLine="711" w:firstLineChars="200"/>
        <w:jc w:val="both"/>
        <w:outlineLvl w:val="1"/>
        <w:rPr>
          <w:rFonts w:hint="default" w:ascii="Times New Roman" w:hAnsi="Times New Roman" w:eastAsia="楷体" w:cs="Times New Roman"/>
          <w:color w:val="000000"/>
          <w:spacing w:val="17"/>
          <w:highlight w:val="none"/>
        </w:rPr>
      </w:pPr>
      <w:bookmarkStart w:id="26" w:name="_Toc5544"/>
      <w:r>
        <w:rPr>
          <w:rFonts w:hint="default" w:ascii="Times New Roman" w:hAnsi="Times New Roman" w:eastAsia="楷体" w:cs="Times New Roman"/>
          <w:color w:val="000000"/>
          <w:spacing w:val="17"/>
          <w:highlight w:val="none"/>
        </w:rPr>
        <w:t>绩效评价工作过程</w:t>
      </w:r>
      <w:bookmarkEnd w:id="26"/>
    </w:p>
    <w:p w14:paraId="37C40BD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rPr>
      </w:pPr>
      <w:bookmarkStart w:id="27" w:name="_Toc21316"/>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前期准备与规划</w:t>
      </w:r>
      <w:bookmarkEnd w:id="27"/>
    </w:p>
    <w:p w14:paraId="46D0B5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w:t>
      </w:r>
      <w:r>
        <w:rPr>
          <w:rFonts w:hint="eastAsia" w:eastAsia="仿宋_GB2312" w:cs="Times New Roman"/>
          <w:sz w:val="32"/>
          <w:szCs w:val="32"/>
          <w:highlight w:val="none"/>
          <w:lang w:val="en-US" w:eastAsia="zh-CN"/>
        </w:rPr>
        <w:t>成员</w:t>
      </w:r>
      <w:r>
        <w:rPr>
          <w:rFonts w:hint="default" w:ascii="Times New Roman" w:hAnsi="Times New Roman" w:eastAsia="仿宋_GB2312" w:cs="Times New Roman"/>
          <w:sz w:val="32"/>
          <w:szCs w:val="32"/>
          <w:highlight w:val="none"/>
        </w:rPr>
        <w:t>组成，确保从多角度、全方位对项目绩效进行评价。同时，明确了评价工作的目标、范围、重点及时间安排，制定了详细的工作计划，为评价工作的顺利开展奠定了坚实基础。</w:t>
      </w:r>
    </w:p>
    <w:p w14:paraId="209C783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28" w:name="_Toc12550"/>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bookmarkEnd w:id="28"/>
    </w:p>
    <w:p w14:paraId="72135C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0B00251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29" w:name="_Toc7217"/>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bookmarkEnd w:id="29"/>
    </w:p>
    <w:p w14:paraId="1DF71CE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0A55C60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30" w:name="_Toc13512"/>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bookmarkEnd w:id="30"/>
    </w:p>
    <w:p w14:paraId="7379843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5A4036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31" w:name="_Toc26222"/>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bookmarkEnd w:id="31"/>
    </w:p>
    <w:p w14:paraId="3B14C44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592DB3A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32" w:name="_Toc554"/>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bookmarkEnd w:id="32"/>
    </w:p>
    <w:p w14:paraId="2FE0D47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3BC869A5">
      <w:pPr>
        <w:numPr>
          <w:ilvl w:val="0"/>
          <w:numId w:val="3"/>
        </w:numPr>
        <w:spacing w:line="560" w:lineRule="exact"/>
        <w:ind w:firstLine="640" w:firstLineChars="200"/>
        <w:outlineLvl w:val="0"/>
        <w:rPr>
          <w:rFonts w:hint="default" w:ascii="Times New Roman" w:hAnsi="Times New Roman" w:eastAsia="黑体" w:cs="Times New Roman"/>
          <w:sz w:val="32"/>
          <w:szCs w:val="32"/>
          <w:highlight w:val="none"/>
        </w:rPr>
      </w:pPr>
      <w:bookmarkStart w:id="33" w:name="_Toc29729"/>
      <w:r>
        <w:rPr>
          <w:rFonts w:hint="default" w:ascii="Times New Roman" w:hAnsi="Times New Roman" w:eastAsia="黑体" w:cs="Times New Roman"/>
          <w:sz w:val="32"/>
          <w:szCs w:val="32"/>
          <w:highlight w:val="none"/>
        </w:rPr>
        <w:t>综合评价情况及评价结论（附相关评分表）</w:t>
      </w:r>
      <w:bookmarkEnd w:id="33"/>
    </w:p>
    <w:p w14:paraId="1BC6B641">
      <w:pPr>
        <w:pStyle w:val="13"/>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outlineLvl w:val="1"/>
        <w:rPr>
          <w:rFonts w:hint="default" w:ascii="Times New Roman" w:hAnsi="Times New Roman" w:eastAsia="楷体_GB2312" w:cs="Times New Roman"/>
          <w:highlight w:val="none"/>
          <w:lang w:val="en-US" w:eastAsia="zh-CN"/>
        </w:rPr>
      </w:pPr>
      <w:bookmarkStart w:id="34" w:name="_Toc2344"/>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一</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评价情况</w:t>
      </w:r>
      <w:bookmarkEnd w:id="34"/>
    </w:p>
    <w:p w14:paraId="260592BF">
      <w:pPr>
        <w:pStyle w:val="1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本项目围绕预设绩效目标稳步推进，整体实施成效良好。目标达成方面，核心任务均按计划落地。项目管理层面，通过规范的立项审批、科学的预算编制与严格的资金管控，保障了项目实施的合规性与高效性，管理制度健全且执行到位，未出现重大流程偏差或资金使用问题。产出成果上，项目产出数量满足计划要求，质量符合相关标准规范，产出时效与成本控制均达到预期目标，综合效益方面，项目在社会效益上发挥了积极作用，具体效益表现，如：</w:t>
      </w:r>
      <w:r>
        <w:rPr>
          <w:rFonts w:hint="eastAsia" w:eastAsia="仿宋_GB2312" w:cs="Times New Roman"/>
          <w:sz w:val="32"/>
          <w:szCs w:val="32"/>
          <w:highlight w:val="none"/>
          <w:lang w:val="en-US" w:eastAsia="zh-CN"/>
        </w:rPr>
        <w:t>保障管理中心水利工程设施设备正常运行，切实稳定了流域防洪灌溉供水秩序，有力支撑了辖区农业生产稳步开展，充分发挥了水利公益服务与民生保障作用，</w:t>
      </w:r>
      <w:r>
        <w:rPr>
          <w:rFonts w:hint="default" w:ascii="Times New Roman" w:hAnsi="Times New Roman" w:eastAsia="仿宋_GB2312" w:cs="Times New Roman"/>
          <w:sz w:val="32"/>
          <w:szCs w:val="32"/>
          <w:highlight w:val="none"/>
        </w:rPr>
        <w:t>整体实现了项目预期的实施价值。</w:t>
      </w:r>
    </w:p>
    <w:p w14:paraId="264DC310">
      <w:pPr>
        <w:pStyle w:val="13"/>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outlineLvl w:val="1"/>
        <w:rPr>
          <w:rFonts w:hint="default" w:ascii="Times New Roman" w:hAnsi="Times New Roman" w:eastAsia="楷体_GB2312" w:cs="Times New Roman"/>
          <w:highlight w:val="none"/>
          <w:lang w:val="en-US" w:eastAsia="zh-CN"/>
        </w:rPr>
      </w:pPr>
      <w:bookmarkStart w:id="35" w:name="_Toc6653"/>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二</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评价结论</w:t>
      </w:r>
      <w:bookmarkEnd w:id="35"/>
      <w:r>
        <w:rPr>
          <w:rFonts w:hint="eastAsia" w:ascii="Times New Roman" w:hAnsi="Times New Roman" w:eastAsia="楷体_GB2312" w:cs="Times New Roman"/>
          <w:highlight w:val="none"/>
          <w:lang w:val="en-US" w:eastAsia="zh-CN"/>
        </w:rPr>
        <w:t xml:space="preserve">  </w:t>
      </w:r>
    </w:p>
    <w:p w14:paraId="40B6EAE1">
      <w:pPr>
        <w:pStyle w:val="13"/>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分，属于“</w:t>
      </w:r>
      <w:r>
        <w:rPr>
          <w:rFonts w:hint="eastAsia" w:ascii="Times New Roman" w:hAnsi="Times New Roman" w:eastAsia="仿宋_GB2312" w:cs="Times New Roman"/>
          <w:b w:val="0"/>
          <w:bCs w:val="0"/>
          <w:highlight w:val="none"/>
          <w:lang w:val="en-US" w:eastAsia="zh-CN"/>
        </w:rPr>
        <w:t>优</w:t>
      </w:r>
      <w:r>
        <w:rPr>
          <w:rFonts w:hint="default" w:ascii="Times New Roman" w:hAnsi="Times New Roman" w:eastAsia="仿宋_GB2312" w:cs="Times New Roman"/>
          <w:b w:val="0"/>
          <w:bCs w:val="0"/>
          <w:highlight w:val="none"/>
        </w:rPr>
        <w:t>”。其中，项目决策类指标权重为20分，得分为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w:t>
      </w:r>
      <w:r>
        <w:rPr>
          <w:rFonts w:hint="eastAsia" w:ascii="Times New Roman" w:hAnsi="Times New Roman" w:eastAsia="仿宋_GB2312" w:cs="Times New Roman"/>
          <w:b w:val="0"/>
          <w:bCs w:val="0"/>
          <w:highlight w:val="none"/>
          <w:lang w:val="en-US" w:eastAsia="zh-CN"/>
        </w:rPr>
        <w:t>2</w:t>
      </w:r>
      <w:r>
        <w:rPr>
          <w:rFonts w:hint="default" w:ascii="Times New Roman" w:hAnsi="Times New Roman" w:eastAsia="仿宋_GB2312" w:cs="Times New Roman"/>
          <w:b w:val="0"/>
          <w:bCs w:val="0"/>
          <w:highlight w:val="none"/>
        </w:rPr>
        <w:t>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w:t>
      </w:r>
      <w:r>
        <w:rPr>
          <w:rFonts w:hint="eastAsia" w:ascii="Times New Roman" w:hAnsi="Times New Roman" w:eastAsia="仿宋_GB2312" w:cs="Times New Roman"/>
          <w:b w:val="0"/>
          <w:bCs w:val="0"/>
          <w:highlight w:val="none"/>
          <w:lang w:val="en-US" w:eastAsia="zh-CN"/>
        </w:rPr>
        <w:t>下</w:t>
      </w:r>
      <w:r>
        <w:rPr>
          <w:rFonts w:hint="default" w:ascii="Times New Roman" w:hAnsi="Times New Roman" w:eastAsia="仿宋_GB2312" w:cs="Times New Roman"/>
          <w:b w:val="0"/>
          <w:bCs w:val="0"/>
          <w:highlight w:val="none"/>
        </w:rPr>
        <w:t>表</w:t>
      </w:r>
      <w:r>
        <w:rPr>
          <w:rFonts w:hint="default" w:ascii="Times New Roman" w:hAnsi="Times New Roman" w:eastAsia="仿宋_GB2312" w:cs="Times New Roman"/>
          <w:b w:val="0"/>
          <w:bCs w:val="0"/>
          <w:highlight w:val="none"/>
          <w:lang w:eastAsia="zh-CN"/>
        </w:rPr>
        <w:t>。</w:t>
      </w:r>
    </w:p>
    <w:p w14:paraId="71A54396">
      <w:pPr>
        <w:pStyle w:val="13"/>
        <w:keepNext w:val="0"/>
        <w:keepLines w:val="0"/>
        <w:pageBreakBefore w:val="0"/>
        <w:widowControl/>
        <w:kinsoku/>
        <w:wordWrap/>
        <w:overflowPunct/>
        <w:topLinePunct w:val="0"/>
        <w:autoSpaceDE/>
        <w:autoSpaceDN/>
        <w:bidi w:val="0"/>
        <w:adjustRightInd/>
        <w:snapToGrid/>
        <w:spacing w:before="0" w:after="0"/>
        <w:textAlignment w:val="auto"/>
        <w:outlineLvl w:val="9"/>
        <w:rPr>
          <w:rFonts w:hint="default" w:ascii="Times New Roman" w:hAnsi="Times New Roman" w:eastAsia="仿宋_GB2312" w:cs="Times New Roman"/>
          <w:sz w:val="21"/>
          <w:szCs w:val="21"/>
          <w:highlight w:val="none"/>
        </w:rPr>
      </w:pPr>
    </w:p>
    <w:p w14:paraId="5163F86F">
      <w:pPr>
        <w:pStyle w:val="13"/>
        <w:keepNext w:val="0"/>
        <w:keepLines w:val="0"/>
        <w:pageBreakBefore w:val="0"/>
        <w:widowControl/>
        <w:kinsoku/>
        <w:wordWrap/>
        <w:overflowPunct/>
        <w:topLinePunct w:val="0"/>
        <w:autoSpaceDE/>
        <w:autoSpaceDN/>
        <w:bidi w:val="0"/>
        <w:adjustRightInd/>
        <w:snapToGrid/>
        <w:spacing w:before="0" w:after="0"/>
        <w:textAlignment w:val="auto"/>
        <w:outlineLvl w:val="9"/>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6"/>
        <w:tblW w:w="7583" w:type="dxa"/>
        <w:jc w:val="center"/>
        <w:tblLayout w:type="fixed"/>
        <w:tblCellMar>
          <w:top w:w="0" w:type="dxa"/>
          <w:left w:w="108" w:type="dxa"/>
          <w:bottom w:w="0" w:type="dxa"/>
          <w:right w:w="108" w:type="dxa"/>
        </w:tblCellMar>
      </w:tblPr>
      <w:tblGrid>
        <w:gridCol w:w="3137"/>
        <w:gridCol w:w="2168"/>
        <w:gridCol w:w="2278"/>
      </w:tblGrid>
      <w:tr w14:paraId="073311F0">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3C1D042B">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30F64114">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6D414536">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r>
      <w:tr w14:paraId="19521184">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A5F9DCD">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14:paraId="2ED83FF0">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28B43E89">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14:paraId="7631351C">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1F849582">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14:paraId="6760C3B5">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w:t>
            </w:r>
            <w:r>
              <w:rPr>
                <w:rFonts w:hint="default" w:ascii="Times New Roman" w:hAnsi="Times New Roman" w:eastAsia="仿宋_GB2312" w:cs="Times New Roman"/>
                <w:color w:val="000000"/>
                <w:sz w:val="21"/>
                <w:szCs w:val="21"/>
                <w:highlight w:val="none"/>
                <w:lang w:val="en-US" w:eastAsia="zh-CN"/>
              </w:rPr>
              <w:t>0</w:t>
            </w:r>
          </w:p>
        </w:tc>
        <w:tc>
          <w:tcPr>
            <w:tcW w:w="2278" w:type="dxa"/>
            <w:tcBorders>
              <w:top w:val="nil"/>
              <w:left w:val="nil"/>
              <w:bottom w:val="single" w:color="auto" w:sz="4" w:space="0"/>
              <w:right w:val="single" w:color="auto" w:sz="4" w:space="0"/>
            </w:tcBorders>
            <w:shd w:val="clear" w:color="auto" w:fill="auto"/>
            <w:vAlign w:val="center"/>
          </w:tcPr>
          <w:p w14:paraId="0429AD66">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14:paraId="65EEA8B8">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1550572">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14:paraId="50837F58">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4D5246AB">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40</w:t>
            </w:r>
          </w:p>
        </w:tc>
      </w:tr>
      <w:tr w14:paraId="0627BC7B">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E1B274D">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14:paraId="49248581">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00E4D8BC">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14:paraId="46F20B37">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058193F">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合计</w:t>
            </w:r>
          </w:p>
        </w:tc>
        <w:tc>
          <w:tcPr>
            <w:tcW w:w="2168" w:type="dxa"/>
            <w:tcBorders>
              <w:top w:val="nil"/>
              <w:left w:val="nil"/>
              <w:bottom w:val="single" w:color="auto" w:sz="4" w:space="0"/>
              <w:right w:val="single" w:color="auto" w:sz="4" w:space="0"/>
            </w:tcBorders>
            <w:shd w:val="clear" w:color="auto" w:fill="auto"/>
            <w:vAlign w:val="center"/>
          </w:tcPr>
          <w:p w14:paraId="17ED7C61">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10</w:t>
            </w:r>
            <w:r>
              <w:rPr>
                <w:rFonts w:hint="default" w:ascii="Times New Roman" w:hAnsi="Times New Roman" w:eastAsia="仿宋_GB2312" w:cs="Times New Roman"/>
                <w:b/>
                <w:bCs/>
                <w:color w:val="000000"/>
                <w:sz w:val="21"/>
                <w:szCs w:val="21"/>
                <w:highlight w:val="none"/>
                <w:lang w:val="en-US" w:eastAsia="zh-CN"/>
              </w:rPr>
              <w:t>0</w:t>
            </w:r>
          </w:p>
        </w:tc>
        <w:tc>
          <w:tcPr>
            <w:tcW w:w="2278" w:type="dxa"/>
            <w:tcBorders>
              <w:top w:val="nil"/>
              <w:left w:val="nil"/>
              <w:bottom w:val="single" w:color="auto" w:sz="4" w:space="0"/>
              <w:right w:val="single" w:color="auto" w:sz="4" w:space="0"/>
            </w:tcBorders>
            <w:shd w:val="clear" w:color="auto" w:fill="auto"/>
            <w:vAlign w:val="center"/>
          </w:tcPr>
          <w:p w14:paraId="6A45672B">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100</w:t>
            </w:r>
          </w:p>
        </w:tc>
      </w:tr>
    </w:tbl>
    <w:p w14:paraId="7EA16AE3">
      <w:pPr>
        <w:spacing w:line="560" w:lineRule="exact"/>
        <w:ind w:firstLine="640" w:firstLineChars="200"/>
        <w:outlineLvl w:val="0"/>
        <w:rPr>
          <w:rFonts w:hint="default" w:ascii="Times New Roman" w:hAnsi="Times New Roman" w:eastAsia="黑体" w:cs="Times New Roman"/>
          <w:sz w:val="32"/>
          <w:szCs w:val="32"/>
          <w:highlight w:val="none"/>
        </w:rPr>
      </w:pPr>
      <w:bookmarkStart w:id="36" w:name="_Toc1453"/>
      <w:r>
        <w:rPr>
          <w:rFonts w:hint="default" w:ascii="Times New Roman" w:hAnsi="Times New Roman" w:eastAsia="黑体" w:cs="Times New Roman"/>
          <w:sz w:val="32"/>
          <w:szCs w:val="32"/>
          <w:highlight w:val="none"/>
        </w:rPr>
        <w:t>四、绩效评价指标分析</w:t>
      </w:r>
      <w:bookmarkEnd w:id="36"/>
    </w:p>
    <w:p w14:paraId="0F7A925C">
      <w:pPr>
        <w:pStyle w:val="13"/>
        <w:spacing w:before="0" w:after="0" w:line="560" w:lineRule="exact"/>
        <w:ind w:firstLine="643" w:firstLineChars="200"/>
        <w:jc w:val="both"/>
        <w:outlineLvl w:val="1"/>
        <w:rPr>
          <w:rFonts w:hint="default" w:ascii="Times New Roman" w:hAnsi="Times New Roman" w:eastAsia="楷体_GB2312" w:cs="Times New Roman"/>
          <w:highlight w:val="none"/>
          <w:lang w:val="en-US" w:eastAsia="zh-CN"/>
        </w:rPr>
      </w:pPr>
      <w:bookmarkStart w:id="37" w:name="_Toc32318"/>
      <w:r>
        <w:rPr>
          <w:rFonts w:hint="default" w:ascii="Times New Roman" w:hAnsi="Times New Roman" w:eastAsia="楷体_GB2312" w:cs="Times New Roman"/>
          <w:highlight w:val="none"/>
        </w:rPr>
        <w:t>（一）项目决策情况</w:t>
      </w:r>
      <w:bookmarkEnd w:id="37"/>
    </w:p>
    <w:p w14:paraId="202FC80A">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6824C242">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b/>
          <w:bCs/>
          <w:sz w:val="32"/>
          <w:szCs w:val="32"/>
          <w:highlight w:val="none"/>
          <w:lang w:val="en-US" w:eastAsia="zh-CN"/>
        </w:rPr>
      </w:pPr>
      <w:bookmarkStart w:id="38" w:name="_Toc24345"/>
      <w:r>
        <w:rPr>
          <w:rFonts w:hint="default" w:ascii="Times New Roman" w:hAnsi="Times New Roman" w:eastAsia="仿宋_GB2312" w:cs="Times New Roman"/>
          <w:b/>
          <w:bCs/>
          <w:sz w:val="32"/>
          <w:szCs w:val="32"/>
          <w:highlight w:val="none"/>
          <w:lang w:val="en-US" w:eastAsia="zh-CN"/>
        </w:rPr>
        <w:t>1.项目立项</w:t>
      </w:r>
      <w:bookmarkEnd w:id="38"/>
    </w:p>
    <w:p w14:paraId="48B042A5">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39" w:name="_Toc9358"/>
      <w:r>
        <w:rPr>
          <w:rFonts w:hint="default" w:ascii="Times New Roman" w:hAnsi="Times New Roman" w:eastAsia="仿宋_GB2312" w:cs="Times New Roman"/>
          <w:sz w:val="32"/>
          <w:szCs w:val="32"/>
          <w:highlight w:val="none"/>
          <w:lang w:val="en-US" w:eastAsia="zh-CN"/>
        </w:rPr>
        <w:t>（1）立项依据充分性</w:t>
      </w:r>
      <w:bookmarkEnd w:id="39"/>
    </w:p>
    <w:p w14:paraId="3DF58B54">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立项符合国家相关法律法规及发展政策，符合行业规划要求，围绕本年度工作重点和工作计划制定经费预算，属于公共财政支持范围。项目实施前已梳理部门内部及跨部门同类项目，明确本项目的差异化定位，无重复立项情况；部门发展规划、职能文件、政策依据等资料齐全并规范归档，完全满足评分标准中“立项符合政策、与部门职责匹配、无重复立项”的全部评价要点，故得满分。</w:t>
      </w:r>
    </w:p>
    <w:p w14:paraId="5568EBBC">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40" w:name="_Toc1295"/>
      <w:r>
        <w:rPr>
          <w:rFonts w:hint="default" w:ascii="Times New Roman" w:hAnsi="Times New Roman" w:eastAsia="仿宋_GB2312" w:cs="Times New Roman"/>
          <w:sz w:val="32"/>
          <w:szCs w:val="32"/>
          <w:highlight w:val="none"/>
          <w:lang w:val="en-US" w:eastAsia="zh-CN"/>
        </w:rPr>
        <w:t>（2）立项程序规范性</w:t>
      </w:r>
      <w:bookmarkEnd w:id="40"/>
    </w:p>
    <w:p w14:paraId="1DFC81C9">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项目申请、设立过程符合相关要求，严格按照审批流程准备符合要求的文件、材料；</w:t>
      </w:r>
      <w:r>
        <w:rPr>
          <w:rFonts w:hint="default" w:ascii="Times New Roman" w:hAnsi="Times New Roman" w:eastAsia="仿宋_GB2312" w:cs="Times New Roman"/>
          <w:sz w:val="32"/>
          <w:szCs w:val="32"/>
          <w:highlight w:val="none"/>
          <w:lang w:val="en-US" w:eastAsia="zh-CN"/>
        </w:rPr>
        <w:t>编制工作计划和经费预算，经过与部门项目分管领导沟通、筛选确定经费预算计划，最终通过部门集体决策会议审议确定立项，全程形成完整的审批文件、专家论证意见、会议纪要等资料，符合评分标准中“程序合规、材料齐全、经过论证与集体决策”的要求，故得满分。</w:t>
      </w:r>
    </w:p>
    <w:p w14:paraId="6D5C51C4">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b/>
          <w:bCs/>
          <w:sz w:val="32"/>
          <w:szCs w:val="32"/>
          <w:highlight w:val="none"/>
          <w:lang w:val="en-US" w:eastAsia="zh-CN"/>
        </w:rPr>
      </w:pPr>
      <w:bookmarkStart w:id="41" w:name="_Toc22045"/>
      <w:r>
        <w:rPr>
          <w:rFonts w:hint="default" w:ascii="Times New Roman" w:hAnsi="Times New Roman" w:eastAsia="仿宋_GB2312" w:cs="Times New Roman"/>
          <w:b/>
          <w:bCs/>
          <w:sz w:val="32"/>
          <w:szCs w:val="32"/>
          <w:highlight w:val="none"/>
          <w:lang w:val="en-US" w:eastAsia="zh-CN"/>
        </w:rPr>
        <w:t>2.绩效目标</w:t>
      </w:r>
      <w:bookmarkEnd w:id="41"/>
    </w:p>
    <w:p w14:paraId="06225756">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42" w:name="_Toc15281"/>
      <w:r>
        <w:rPr>
          <w:rFonts w:hint="default" w:ascii="Times New Roman" w:hAnsi="Times New Roman" w:eastAsia="仿宋_GB2312" w:cs="Times New Roman"/>
          <w:sz w:val="32"/>
          <w:szCs w:val="32"/>
          <w:highlight w:val="none"/>
          <w:lang w:val="en-US" w:eastAsia="zh-CN"/>
        </w:rPr>
        <w:t>（1）绩效目标合理性</w:t>
      </w:r>
      <w:bookmarkEnd w:id="42"/>
    </w:p>
    <w:p w14:paraId="42CD8D42">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val="en-US"/>
        </w:rPr>
      </w:pPr>
      <w:r>
        <w:rPr>
          <w:rFonts w:hint="default" w:ascii="Times New Roman" w:hAnsi="Times New Roman" w:eastAsia="仿宋_GB2312" w:cs="Times New Roman"/>
          <w:sz w:val="32"/>
          <w:szCs w:val="32"/>
          <w:highlight w:val="none"/>
          <w:lang w:val="en-US"/>
        </w:rPr>
        <w:t>本项目结合流域水利运维与灌溉服务类实际，围绕“保障2025年职工薪酬的准时发放及日常运营的顺畅进行；加强对单位工作队的支持，确保群众工作的有效开展，充分发挥其积极作用”设定绩效目标，具体明确了“保障</w:t>
      </w:r>
      <w:r>
        <w:rPr>
          <w:rFonts w:hint="eastAsia" w:eastAsia="仿宋_GB2312" w:cs="Times New Roman"/>
          <w:sz w:val="32"/>
          <w:szCs w:val="32"/>
          <w:highlight w:val="none"/>
          <w:lang w:val="en-US" w:eastAsia="zh-CN"/>
        </w:rPr>
        <w:t>85</w:t>
      </w:r>
      <w:r>
        <w:rPr>
          <w:rFonts w:hint="default" w:ascii="Times New Roman" w:hAnsi="Times New Roman" w:eastAsia="仿宋_GB2312" w:cs="Times New Roman"/>
          <w:sz w:val="32"/>
          <w:szCs w:val="32"/>
          <w:highlight w:val="none"/>
          <w:lang w:val="en-US"/>
        </w:rPr>
        <w:t>名在职、</w:t>
      </w:r>
      <w:r>
        <w:rPr>
          <w:rFonts w:hint="default" w:ascii="Times New Roman" w:hAnsi="Times New Roman" w:eastAsia="仿宋_GB2312" w:cs="Times New Roman"/>
          <w:sz w:val="32"/>
          <w:szCs w:val="32"/>
          <w:highlight w:val="none"/>
          <w:lang w:val="en-US" w:eastAsia="zh-CN"/>
        </w:rPr>
        <w:t>退休</w:t>
      </w:r>
      <w:r>
        <w:rPr>
          <w:rFonts w:hint="eastAsia" w:eastAsia="仿宋_GB2312" w:cs="Times New Roman"/>
          <w:sz w:val="32"/>
          <w:szCs w:val="32"/>
          <w:highlight w:val="none"/>
          <w:lang w:val="en-US" w:eastAsia="zh-CN"/>
        </w:rPr>
        <w:t>人员南疆工作补贴</w:t>
      </w:r>
      <w:r>
        <w:rPr>
          <w:rFonts w:hint="default" w:ascii="Times New Roman" w:hAnsi="Times New Roman" w:eastAsia="仿宋_GB2312" w:cs="Times New Roman"/>
          <w:sz w:val="32"/>
          <w:szCs w:val="32"/>
          <w:highlight w:val="none"/>
          <w:lang w:val="en-US"/>
        </w:rPr>
        <w:t>工资福利支出、完成水利设施日常检修维护、保障人员队伍稳定与日常办公运转”的核心内容。目标设定依据充分，</w:t>
      </w:r>
      <w:r>
        <w:rPr>
          <w:rFonts w:hint="eastAsia" w:eastAsia="仿宋_GB2312" w:cs="Times New Roman"/>
          <w:sz w:val="32"/>
          <w:szCs w:val="32"/>
          <w:highlight w:val="none"/>
          <w:lang w:val="en-US" w:eastAsia="zh-CN"/>
        </w:rPr>
        <w:t>既参考了流域历年灌溉用水量数据、农田灌溉需求统计、水利设施运维现状、人员编制与公用经费使用规律，又匹配了管理中心年度重点工作任务，未超出项目实施的技术、资金、时间约束</w:t>
      </w:r>
      <w:r>
        <w:rPr>
          <w:rFonts w:hint="default" w:ascii="Times New Roman" w:hAnsi="Times New Roman" w:eastAsia="仿宋_GB2312" w:cs="Times New Roman"/>
          <w:sz w:val="32"/>
          <w:szCs w:val="32"/>
          <w:highlight w:val="none"/>
          <w:lang w:val="en-US"/>
        </w:rPr>
        <w:t>。绩效目标与项目实际工作内容高度相关（如“</w:t>
      </w:r>
      <w:r>
        <w:rPr>
          <w:rFonts w:hint="eastAsia" w:ascii="Times New Roman" w:hAnsi="Times New Roman" w:eastAsia="仿宋_GB2312" w:cs="Times New Roman"/>
          <w:sz w:val="32"/>
          <w:szCs w:val="32"/>
          <w:highlight w:val="none"/>
          <w:lang w:val="en-US" w:eastAsia="zh-CN"/>
        </w:rPr>
        <w:t>保障日常办公与公务出行</w:t>
      </w:r>
      <w:r>
        <w:rPr>
          <w:rFonts w:hint="default" w:ascii="Times New Roman" w:hAnsi="Times New Roman" w:eastAsia="仿宋_GB2312" w:cs="Times New Roman"/>
          <w:sz w:val="32"/>
          <w:szCs w:val="32"/>
          <w:highlight w:val="none"/>
          <w:lang w:val="en-US"/>
        </w:rPr>
        <w:t>”目标直接服务于“</w:t>
      </w:r>
      <w:r>
        <w:rPr>
          <w:rFonts w:hint="eastAsia" w:ascii="Times New Roman" w:hAnsi="Times New Roman" w:eastAsia="仿宋_GB2312" w:cs="Times New Roman"/>
          <w:sz w:val="32"/>
          <w:szCs w:val="32"/>
          <w:highlight w:val="none"/>
          <w:lang w:val="en-US" w:eastAsia="zh-CN"/>
        </w:rPr>
        <w:t>保障日常运转经费</w:t>
      </w:r>
      <w:r>
        <w:rPr>
          <w:rFonts w:hint="default" w:ascii="Times New Roman" w:hAnsi="Times New Roman" w:eastAsia="仿宋_GB2312" w:cs="Times New Roman"/>
          <w:sz w:val="32"/>
          <w:szCs w:val="32"/>
          <w:highlight w:val="none"/>
          <w:lang w:val="en-US"/>
        </w:rPr>
        <w:t>”的工作核心），且预算资金与目标投资额精准匹配（如“人员工资福利支出”对应预算</w:t>
      </w:r>
      <w:r>
        <w:rPr>
          <w:rFonts w:hint="eastAsia" w:ascii="Times New Roman" w:hAnsi="Times New Roman" w:eastAsia="仿宋_GB2312" w:cs="Times New Roman"/>
          <w:sz w:val="32"/>
          <w:szCs w:val="32"/>
          <w:highlight w:val="none"/>
          <w:lang w:val="en-US" w:eastAsia="zh-CN"/>
        </w:rPr>
        <w:t>1</w:t>
      </w:r>
      <w:r>
        <w:rPr>
          <w:rFonts w:hint="eastAsia" w:eastAsia="仿宋_GB2312" w:cs="Times New Roman"/>
          <w:sz w:val="32"/>
          <w:szCs w:val="32"/>
          <w:highlight w:val="none"/>
          <w:lang w:val="en-US" w:eastAsia="zh-CN"/>
        </w:rPr>
        <w:t>99.21</w:t>
      </w:r>
      <w:r>
        <w:rPr>
          <w:rFonts w:hint="default" w:ascii="Times New Roman" w:hAnsi="Times New Roman" w:eastAsia="仿宋_GB2312" w:cs="Times New Roman"/>
          <w:sz w:val="32"/>
          <w:szCs w:val="32"/>
          <w:highlight w:val="none"/>
          <w:lang w:val="en-US"/>
        </w:rPr>
        <w:t>万元，测算依据为人员编制与工资标准；“公用经费支出”对应预算</w:t>
      </w:r>
      <w:r>
        <w:rPr>
          <w:rFonts w:hint="eastAsia" w:eastAsia="仿宋_GB2312" w:cs="Times New Roman"/>
          <w:sz w:val="32"/>
          <w:szCs w:val="32"/>
          <w:highlight w:val="none"/>
          <w:lang w:val="en-US" w:eastAsia="zh-CN"/>
        </w:rPr>
        <w:t>886.62</w:t>
      </w:r>
      <w:r>
        <w:rPr>
          <w:rFonts w:hint="default" w:ascii="Times New Roman" w:hAnsi="Times New Roman" w:eastAsia="仿宋_GB2312" w:cs="Times New Roman"/>
          <w:sz w:val="32"/>
          <w:szCs w:val="32"/>
          <w:highlight w:val="none"/>
          <w:lang w:val="en-US"/>
        </w:rPr>
        <w:t>万元，测算依据为日常办公与公务出行需求），</w:t>
      </w:r>
      <w:r>
        <w:rPr>
          <w:rFonts w:hint="eastAsia" w:ascii="Times New Roman" w:hAnsi="Times New Roman" w:eastAsia="仿宋_GB2312" w:cs="Times New Roman"/>
          <w:sz w:val="32"/>
          <w:szCs w:val="32"/>
          <w:highlight w:val="none"/>
          <w:lang w:val="en-US" w:eastAsia="zh-CN"/>
        </w:rPr>
        <w:t>虽因本年度目标人数与业绩人数出现小幅执行偏差，</w:t>
      </w:r>
      <w:r>
        <w:rPr>
          <w:rFonts w:hint="default" w:ascii="Times New Roman" w:hAnsi="Times New Roman" w:eastAsia="仿宋_GB2312" w:cs="Times New Roman"/>
          <w:sz w:val="32"/>
          <w:szCs w:val="32"/>
          <w:highlight w:val="none"/>
          <w:lang w:val="en-US"/>
        </w:rPr>
        <w:t>但目标设置整体符合实际业务需求。</w:t>
      </w:r>
    </w:p>
    <w:p w14:paraId="1F276D9F">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rPr>
        <w:t>完全符合评分标准中“目标有依据、与实际相关、效益符合正常业绩水平、与预算匹配”的评价要点，故得满分</w:t>
      </w:r>
    </w:p>
    <w:p w14:paraId="0B94EF95">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43" w:name="_Toc12145"/>
      <w:r>
        <w:rPr>
          <w:rFonts w:hint="default" w:ascii="Times New Roman" w:hAnsi="Times New Roman" w:eastAsia="仿宋_GB2312" w:cs="Times New Roman"/>
          <w:sz w:val="32"/>
          <w:szCs w:val="32"/>
          <w:highlight w:val="none"/>
          <w:lang w:val="en-US" w:eastAsia="zh-CN"/>
        </w:rPr>
        <w:t>（2）绩效指标明确性</w:t>
      </w:r>
      <w:bookmarkEnd w:id="43"/>
    </w:p>
    <w:p w14:paraId="395AEEF0">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项目将总体绩效目标细化分解为</w:t>
      </w:r>
      <w:r>
        <w:rPr>
          <w:rFonts w:hint="eastAsia" w:eastAsia="仿宋_GB2312" w:cs="Times New Roman"/>
          <w:sz w:val="32"/>
          <w:szCs w:val="32"/>
          <w:highlight w:val="none"/>
          <w:lang w:val="en-US" w:eastAsia="zh-CN"/>
        </w:rPr>
        <w:t>数量、质量、时效、成本、等维度的三级指标，各项指标均明确了可量化、可衡量的具体目标值、且与项目目标任务一一对应。具体指标如：数量指标明确了“人员工资发放次数=12次，公务保障用车数量=7辆、工资发放人数≥78人、防洪物资采购≥2批、保障办公场所面积≥2779.92㎡“等具体任务量；质量与时效指标设定了“资金发放准确率=98%、防洪物资采购质量合格率=98%、防洪物资采购及时率≥98%”等可考核标准；成本指标划定了“保障人员经费≤199.21万元、保障日常运转经费≤886.62万元等预算控制额度。</w:t>
      </w:r>
      <w:r>
        <w:rPr>
          <w:rFonts w:hint="default" w:ascii="Times New Roman" w:hAnsi="Times New Roman" w:eastAsia="仿宋_GB2312" w:cs="Times New Roman"/>
          <w:sz w:val="32"/>
          <w:szCs w:val="32"/>
          <w:highlight w:val="none"/>
          <w:lang w:val="en-US" w:eastAsia="zh-CN"/>
        </w:rPr>
        <w:t>指标设定清晰无歧义，既涵盖了</w:t>
      </w:r>
      <w:r>
        <w:rPr>
          <w:rFonts w:hint="eastAsia" w:eastAsia="仿宋_GB2312" w:cs="Times New Roman"/>
          <w:sz w:val="32"/>
          <w:szCs w:val="32"/>
          <w:highlight w:val="none"/>
          <w:lang w:val="en-US" w:eastAsia="zh-CN"/>
        </w:rPr>
        <w:t>工程维护、服务供给、资金支付等产出内容，也体现了设施安全保障的综合效益，完全符合评分标准中“指标细化分解、可衡量、与任务数对应”的要求，</w:t>
      </w:r>
      <w:r>
        <w:rPr>
          <w:rFonts w:hint="default" w:ascii="Times New Roman" w:hAnsi="Times New Roman" w:eastAsia="仿宋_GB2312" w:cs="Times New Roman"/>
          <w:sz w:val="32"/>
          <w:szCs w:val="32"/>
          <w:highlight w:val="none"/>
          <w:lang w:val="en-US" w:eastAsia="zh-CN"/>
        </w:rPr>
        <w:t>故得满分。</w:t>
      </w:r>
    </w:p>
    <w:p w14:paraId="1761FFAF">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b/>
          <w:bCs/>
          <w:sz w:val="32"/>
          <w:szCs w:val="32"/>
          <w:highlight w:val="none"/>
          <w:lang w:val="en-US" w:eastAsia="zh-CN"/>
        </w:rPr>
      </w:pPr>
      <w:bookmarkStart w:id="44" w:name="_Toc6828"/>
      <w:r>
        <w:rPr>
          <w:rFonts w:hint="default" w:ascii="Times New Roman" w:hAnsi="Times New Roman" w:eastAsia="仿宋_GB2312" w:cs="Times New Roman"/>
          <w:b/>
          <w:bCs/>
          <w:sz w:val="32"/>
          <w:szCs w:val="32"/>
          <w:highlight w:val="none"/>
          <w:lang w:val="en-US" w:eastAsia="zh-CN"/>
        </w:rPr>
        <w:t>3.资金投入</w:t>
      </w:r>
      <w:bookmarkEnd w:id="44"/>
    </w:p>
    <w:p w14:paraId="38E17DC9">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45" w:name="_Toc10680"/>
      <w:r>
        <w:rPr>
          <w:rFonts w:hint="default" w:ascii="Times New Roman" w:hAnsi="Times New Roman" w:eastAsia="仿宋_GB2312" w:cs="Times New Roman"/>
          <w:sz w:val="32"/>
          <w:szCs w:val="32"/>
          <w:highlight w:val="none"/>
          <w:lang w:val="en-US" w:eastAsia="zh-CN"/>
        </w:rPr>
        <w:t>（1）预算编制科学性</w:t>
      </w:r>
      <w:bookmarkEnd w:id="45"/>
    </w:p>
    <w:p w14:paraId="760B4668">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本项目预算编制以“精准测算、按需配置”为原则，结合项目实施方案及具体任务清单开展，参考既往同类项目支出水平及当前物价水平，测算支出</w:t>
      </w:r>
      <w:r>
        <w:rPr>
          <w:rFonts w:hint="eastAsia" w:eastAsia="仿宋_GB2312" w:cs="Times New Roman"/>
          <w:sz w:val="32"/>
          <w:szCs w:val="32"/>
          <w:highlight w:val="none"/>
          <w:lang w:val="en-US" w:eastAsia="zh-CN"/>
        </w:rPr>
        <w:t>1085.83</w:t>
      </w:r>
      <w:r>
        <w:rPr>
          <w:rFonts w:hint="default" w:ascii="Times New Roman" w:hAnsi="Times New Roman" w:eastAsia="仿宋_GB2312" w:cs="Times New Roman"/>
          <w:sz w:val="32"/>
          <w:szCs w:val="32"/>
          <w:highlight w:val="none"/>
          <w:lang w:eastAsia="zh-CN"/>
        </w:rPr>
        <w:t>万元。预算编制过程经过业务科室、财务部门双重审核，无漏项、超项情况，预算内容与项目“</w:t>
      </w:r>
      <w:r>
        <w:rPr>
          <w:rFonts w:hint="eastAsia" w:eastAsia="仿宋_GB2312" w:cs="Times New Roman"/>
          <w:sz w:val="32"/>
          <w:szCs w:val="32"/>
          <w:highlight w:val="none"/>
          <w:lang w:val="en-US" w:eastAsia="zh-CN"/>
        </w:rPr>
        <w:t>保障人员经费、保障日常运转经费</w:t>
      </w:r>
      <w:r>
        <w:rPr>
          <w:rFonts w:hint="default" w:ascii="Times New Roman" w:hAnsi="Times New Roman" w:eastAsia="仿宋_GB2312" w:cs="Times New Roman"/>
          <w:sz w:val="32"/>
          <w:szCs w:val="32"/>
          <w:highlight w:val="none"/>
          <w:lang w:eastAsia="zh-CN"/>
        </w:rPr>
        <w:t>核心任务”</w:t>
      </w:r>
      <w:r>
        <w:rPr>
          <w:rFonts w:hint="eastAsia" w:eastAsia="仿宋_GB2312" w:cs="Times New Roman"/>
          <w:sz w:val="32"/>
          <w:szCs w:val="32"/>
          <w:highlight w:val="none"/>
          <w:lang w:val="en-US" w:eastAsia="zh-CN"/>
        </w:rPr>
        <w:t>以及</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val="en-US" w:eastAsia="zh-CN"/>
        </w:rPr>
        <w:t>人员工资发放次数、公务保障用车数量、工资发放人数、防洪物资采购、保障办公场所面积</w:t>
      </w:r>
      <w:r>
        <w:rPr>
          <w:rFonts w:hint="default" w:ascii="Times New Roman" w:hAnsi="Times New Roman" w:eastAsia="仿宋_GB2312" w:cs="Times New Roman"/>
          <w:sz w:val="32"/>
          <w:szCs w:val="32"/>
          <w:highlight w:val="none"/>
          <w:lang w:eastAsia="zh-CN"/>
        </w:rPr>
        <w:t>”完全匹配，资金额度与各阶段工作任务量精准适配，符合评分标准中“经过科学论证、内容与项目匹配、额度依据充分、与工作任务匹配”的全部评价要点</w:t>
      </w:r>
      <w:r>
        <w:rPr>
          <w:rFonts w:hint="default" w:ascii="Times New Roman" w:hAnsi="Times New Roman" w:eastAsia="仿宋_GB2312" w:cs="Times New Roman"/>
          <w:sz w:val="32"/>
          <w:szCs w:val="32"/>
          <w:highlight w:val="none"/>
          <w:lang w:val="en-US"/>
        </w:rPr>
        <w:t>，</w:t>
      </w:r>
      <w:r>
        <w:rPr>
          <w:rFonts w:hint="default" w:ascii="Times New Roman" w:hAnsi="Times New Roman" w:eastAsia="仿宋_GB2312" w:cs="Times New Roman"/>
          <w:sz w:val="32"/>
          <w:szCs w:val="32"/>
          <w:highlight w:val="none"/>
          <w:lang w:val="en-US" w:eastAsia="zh-CN"/>
        </w:rPr>
        <w:t>故得满分。</w:t>
      </w:r>
    </w:p>
    <w:p w14:paraId="6D088618">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46" w:name="_Toc24011"/>
      <w:r>
        <w:rPr>
          <w:rFonts w:hint="default" w:ascii="Times New Roman" w:hAnsi="Times New Roman" w:eastAsia="仿宋_GB2312" w:cs="Times New Roman"/>
          <w:sz w:val="32"/>
          <w:szCs w:val="32"/>
          <w:highlight w:val="none"/>
          <w:lang w:val="en-US" w:eastAsia="zh-CN"/>
        </w:rPr>
        <w:t>（2）资金分配合理性</w:t>
      </w:r>
      <w:bookmarkEnd w:id="46"/>
    </w:p>
    <w:p w14:paraId="6431915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本项目的资金分配遵循了公平、公正、透明的原则，确保了项目资源的合理配置与高效利用。在资金分配过程中，充分考虑了项目的实际需求与目标，对不同阶段、不同任务的资金进行了科学的规划与安排。</w:t>
      </w:r>
    </w:p>
    <w:p w14:paraId="5285D1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也注重资金的均衡分配，避免了资源浪费与资金闲置。此外，资金分配还充分考虑了风险因素，对可能出现的超支情况进行了预留与调整。</w:t>
      </w:r>
    </w:p>
    <w:p w14:paraId="49F45BCD">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r>
        <w:rPr>
          <w:rFonts w:hint="default" w:ascii="Times New Roman" w:hAnsi="Times New Roman" w:eastAsia="仿宋_GB2312" w:cs="Times New Roman"/>
          <w:sz w:val="32"/>
          <w:szCs w:val="32"/>
          <w:highlight w:val="none"/>
          <w:lang w:val="en-US"/>
        </w:rPr>
        <w:t>，</w:t>
      </w:r>
      <w:r>
        <w:rPr>
          <w:rFonts w:hint="default" w:ascii="Times New Roman" w:hAnsi="Times New Roman" w:eastAsia="仿宋_GB2312" w:cs="Times New Roman"/>
          <w:sz w:val="32"/>
          <w:szCs w:val="32"/>
          <w:highlight w:val="none"/>
          <w:lang w:val="en-US" w:eastAsia="zh-CN"/>
        </w:rPr>
        <w:t>故得满分。</w:t>
      </w:r>
    </w:p>
    <w:p w14:paraId="2D14BEAB">
      <w:pPr>
        <w:pStyle w:val="13"/>
        <w:numPr>
          <w:ilvl w:val="0"/>
          <w:numId w:val="4"/>
        </w:numPr>
        <w:spacing w:before="0" w:after="0" w:line="560" w:lineRule="exact"/>
        <w:ind w:firstLine="643" w:firstLineChars="200"/>
        <w:jc w:val="both"/>
        <w:outlineLvl w:val="1"/>
        <w:rPr>
          <w:rFonts w:hint="default" w:ascii="Times New Roman" w:hAnsi="Times New Roman" w:eastAsia="楷体" w:cs="Times New Roman"/>
          <w:highlight w:val="none"/>
        </w:rPr>
      </w:pPr>
      <w:bookmarkStart w:id="47" w:name="_Toc25505"/>
      <w:r>
        <w:rPr>
          <w:rFonts w:hint="default" w:ascii="Times New Roman" w:hAnsi="Times New Roman" w:eastAsia="楷体" w:cs="Times New Roman"/>
          <w:highlight w:val="none"/>
        </w:rPr>
        <w:t>项目过程情况</w:t>
      </w:r>
      <w:bookmarkEnd w:id="47"/>
    </w:p>
    <w:p w14:paraId="5B94A5EB">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156F312D">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b/>
          <w:bCs/>
          <w:sz w:val="32"/>
          <w:szCs w:val="32"/>
          <w:highlight w:val="none"/>
          <w:lang w:val="en-US" w:eastAsia="zh-CN"/>
        </w:rPr>
      </w:pPr>
      <w:bookmarkStart w:id="48" w:name="_Toc23265"/>
      <w:r>
        <w:rPr>
          <w:rFonts w:hint="default" w:ascii="Times New Roman" w:hAnsi="Times New Roman" w:eastAsia="仿宋_GB2312" w:cs="Times New Roman"/>
          <w:b/>
          <w:bCs/>
          <w:sz w:val="32"/>
          <w:szCs w:val="32"/>
          <w:highlight w:val="none"/>
          <w:lang w:val="en-US" w:eastAsia="zh-CN"/>
        </w:rPr>
        <w:t>1.资金管理</w:t>
      </w:r>
      <w:bookmarkEnd w:id="48"/>
    </w:p>
    <w:p w14:paraId="61D28365">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49" w:name="_Toc19976"/>
      <w:r>
        <w:rPr>
          <w:rFonts w:hint="default" w:ascii="Times New Roman" w:hAnsi="Times New Roman" w:eastAsia="仿宋_GB2312" w:cs="Times New Roman"/>
          <w:sz w:val="32"/>
          <w:szCs w:val="32"/>
          <w:highlight w:val="none"/>
          <w:lang w:val="en-US" w:eastAsia="zh-CN"/>
        </w:rPr>
        <w:t>（1）资金到位率</w:t>
      </w:r>
      <w:bookmarkEnd w:id="49"/>
    </w:p>
    <w:p w14:paraId="6A291590">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1085.83</w:t>
      </w:r>
      <w:r>
        <w:rPr>
          <w:rFonts w:hint="default" w:ascii="Times New Roman" w:hAnsi="Times New Roman" w:eastAsia="仿宋_GB2312" w:cs="Times New Roman"/>
          <w:sz w:val="32"/>
          <w:szCs w:val="32"/>
          <w:highlight w:val="none"/>
          <w:lang w:val="en-US" w:eastAsia="zh-CN"/>
        </w:rPr>
        <w:t>万元，实际到位资金</w:t>
      </w:r>
      <w:r>
        <w:rPr>
          <w:rFonts w:hint="eastAsia" w:eastAsia="仿宋_GB2312" w:cs="Times New Roman"/>
          <w:sz w:val="32"/>
          <w:szCs w:val="32"/>
          <w:highlight w:val="none"/>
          <w:lang w:val="en-US" w:eastAsia="zh-CN"/>
        </w:rPr>
        <w:t>1085.83万元，资金</w:t>
      </w:r>
      <w:r>
        <w:rPr>
          <w:rFonts w:hint="default" w:ascii="Times New Roman" w:hAnsi="Times New Roman" w:eastAsia="仿宋_GB2312" w:cs="Times New Roman"/>
          <w:sz w:val="32"/>
          <w:szCs w:val="32"/>
          <w:highlight w:val="none"/>
          <w:lang w:val="en-US" w:eastAsia="zh-CN"/>
        </w:rPr>
        <w:t>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，该指标满分为4分，根据评分标准得4分。</w:t>
      </w:r>
    </w:p>
    <w:p w14:paraId="244A0DD7">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50" w:name="_Toc20558"/>
      <w:r>
        <w:rPr>
          <w:rFonts w:hint="default" w:ascii="Times New Roman" w:hAnsi="Times New Roman" w:eastAsia="仿宋_GB2312" w:cs="Times New Roman"/>
          <w:sz w:val="32"/>
          <w:szCs w:val="32"/>
          <w:highlight w:val="none"/>
          <w:lang w:val="en-US" w:eastAsia="zh-CN"/>
        </w:rPr>
        <w:t>（2）预算执行率</w:t>
      </w:r>
      <w:bookmarkEnd w:id="50"/>
    </w:p>
    <w:p w14:paraId="0264BE82">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本项目全年预算1085.83万元，全年实际</w:t>
      </w:r>
      <w:r>
        <w:rPr>
          <w:rFonts w:hint="default" w:ascii="Times New Roman" w:hAnsi="Times New Roman" w:eastAsia="仿宋_GB2312" w:cs="Times New Roman"/>
          <w:sz w:val="32"/>
          <w:szCs w:val="32"/>
          <w:highlight w:val="none"/>
          <w:lang w:val="en-US" w:eastAsia="zh-CN"/>
        </w:rPr>
        <w:t>支出</w:t>
      </w:r>
      <w:r>
        <w:rPr>
          <w:rFonts w:hint="eastAsia" w:eastAsia="仿宋_GB2312" w:cs="Times New Roman"/>
          <w:sz w:val="32"/>
          <w:szCs w:val="32"/>
          <w:highlight w:val="none"/>
          <w:lang w:val="en-US" w:eastAsia="zh-CN"/>
        </w:rPr>
        <w:t>1085.83</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，该指标满分为4分，根据评分标准得4分。</w:t>
      </w:r>
    </w:p>
    <w:p w14:paraId="53A233A6">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51" w:name="_Toc17145"/>
      <w:r>
        <w:rPr>
          <w:rFonts w:hint="default" w:ascii="Times New Roman" w:hAnsi="Times New Roman" w:eastAsia="仿宋_GB2312" w:cs="Times New Roman"/>
          <w:sz w:val="32"/>
          <w:szCs w:val="32"/>
          <w:highlight w:val="none"/>
          <w:lang w:val="en-US" w:eastAsia="zh-CN"/>
        </w:rPr>
        <w:t>（3）资金使用合规性</w:t>
      </w:r>
      <w:bookmarkEnd w:id="51"/>
    </w:p>
    <w:p w14:paraId="263A9348">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sz w:val="32"/>
          <w:szCs w:val="32"/>
          <w:highlight w:val="none"/>
          <w:lang w:eastAsia="zh-CN"/>
        </w:rPr>
      </w:pPr>
      <w:bookmarkStart w:id="52" w:name="_Toc6256"/>
      <w:r>
        <w:rPr>
          <w:rFonts w:hint="default" w:ascii="Times New Roman" w:hAnsi="Times New Roman" w:eastAsia="仿宋_GB2312" w:cs="Times New Roman"/>
          <w:sz w:val="32"/>
          <w:szCs w:val="32"/>
          <w:highlight w:val="none"/>
          <w:lang w:eastAsia="zh-CN"/>
        </w:rPr>
        <w:t>项目资金使用严格遵守《中华人民共和国预算法》《</w:t>
      </w:r>
      <w:r>
        <w:rPr>
          <w:rFonts w:hint="default" w:eastAsia="仿宋_GB2312" w:cs="Times New Roman"/>
          <w:color w:val="auto"/>
          <w:sz w:val="32"/>
          <w:szCs w:val="32"/>
          <w:highlight w:val="none"/>
          <w:lang w:val="en-US" w:eastAsia="zh-CN"/>
        </w:rPr>
        <w:t>水利发展</w:t>
      </w:r>
      <w:r>
        <w:rPr>
          <w:rFonts w:hint="default" w:ascii="Times New Roman" w:hAnsi="Times New Roman" w:eastAsia="仿宋_GB2312" w:cs="Times New Roman"/>
          <w:sz w:val="32"/>
          <w:szCs w:val="32"/>
          <w:highlight w:val="none"/>
          <w:lang w:eastAsia="zh-CN"/>
        </w:rPr>
        <w:t>专项资金管理办法》《</w:t>
      </w:r>
      <w:r>
        <w:rPr>
          <w:rFonts w:hint="eastAsia" w:eastAsia="仿宋_GB2312" w:cs="Times New Roman"/>
          <w:sz w:val="32"/>
          <w:szCs w:val="32"/>
          <w:highlight w:val="none"/>
          <w:lang w:val="en-US" w:eastAsia="zh-CN"/>
        </w:rPr>
        <w:t>事业单位财务规则</w:t>
      </w:r>
      <w:r>
        <w:rPr>
          <w:rFonts w:hint="default" w:ascii="Times New Roman" w:hAnsi="Times New Roman" w:eastAsia="仿宋_GB2312" w:cs="Times New Roman"/>
          <w:sz w:val="32"/>
          <w:szCs w:val="32"/>
          <w:highlight w:val="none"/>
          <w:lang w:eastAsia="zh-CN"/>
        </w:rPr>
        <w:t>》等法律法规及财务制度，全程规范可控：①资金拨付均履行“申请-审核-审批”流程，附完整的合同、发票、验收单等佐证资料，</w:t>
      </w:r>
      <w:r>
        <w:rPr>
          <w:rFonts w:hint="eastAsia" w:eastAsia="仿宋_GB2312" w:cs="Times New Roman"/>
          <w:sz w:val="32"/>
          <w:szCs w:val="32"/>
          <w:highlight w:val="none"/>
          <w:lang w:val="en-US" w:eastAsia="zh-CN"/>
        </w:rPr>
        <w:t>不存在</w:t>
      </w:r>
      <w:r>
        <w:rPr>
          <w:rFonts w:hint="default" w:ascii="Times New Roman" w:hAnsi="Times New Roman" w:eastAsia="仿宋_GB2312" w:cs="Times New Roman"/>
          <w:sz w:val="32"/>
          <w:szCs w:val="32"/>
          <w:highlight w:val="none"/>
          <w:lang w:eastAsia="zh-CN"/>
        </w:rPr>
        <w:t>无依据拨付情况；②严格执行专款专用，所有支出均与项目预算批复用途一致，无截留、挤占、挪用或虚列支出等违规行为；③财务核算规范，按项目单独建账、单独核算，支出科目分类准确，凭证齐全完整。项目实施期间未发生财务审计问题，完全符合评分标准中“符合财经法规、审批手续完备、用途合规、无违规行为”的全部要求</w:t>
      </w:r>
      <w:r>
        <w:rPr>
          <w:rFonts w:hint="default" w:ascii="Times New Roman" w:hAnsi="Times New Roman" w:eastAsia="仿宋_GB2312" w:cs="Times New Roman"/>
          <w:sz w:val="32"/>
          <w:szCs w:val="32"/>
          <w:highlight w:val="none"/>
          <w:lang w:val="en-US"/>
        </w:rPr>
        <w:t>，</w:t>
      </w:r>
      <w:r>
        <w:rPr>
          <w:rFonts w:hint="default" w:ascii="Times New Roman" w:hAnsi="Times New Roman" w:eastAsia="仿宋_GB2312" w:cs="Times New Roman"/>
          <w:sz w:val="32"/>
          <w:szCs w:val="32"/>
          <w:highlight w:val="none"/>
          <w:lang w:val="en-US" w:eastAsia="zh-CN"/>
        </w:rPr>
        <w:t>故得满分。</w:t>
      </w:r>
    </w:p>
    <w:p w14:paraId="3E0D667A">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bookmarkEnd w:id="52"/>
    </w:p>
    <w:p w14:paraId="6089EE36">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53" w:name="_Toc470"/>
      <w:r>
        <w:rPr>
          <w:rFonts w:hint="default" w:ascii="Times New Roman" w:hAnsi="Times New Roman" w:eastAsia="仿宋_GB2312" w:cs="Times New Roman"/>
          <w:sz w:val="32"/>
          <w:szCs w:val="32"/>
          <w:highlight w:val="none"/>
          <w:lang w:val="en-US" w:eastAsia="zh-CN"/>
        </w:rPr>
        <w:t>（1）管理制度健全性</w:t>
      </w:r>
      <w:bookmarkEnd w:id="53"/>
    </w:p>
    <w:p w14:paraId="7E836098">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sz w:val="32"/>
          <w:szCs w:val="32"/>
          <w:highlight w:val="none"/>
          <w:lang w:eastAsia="zh-CN"/>
        </w:rPr>
      </w:pPr>
      <w:bookmarkStart w:id="54" w:name="_Toc29107"/>
      <w:r>
        <w:rPr>
          <w:rFonts w:hint="default" w:ascii="Times New Roman" w:hAnsi="Times New Roman" w:eastAsia="仿宋_GB2312" w:cs="Times New Roman"/>
          <w:sz w:val="32"/>
          <w:szCs w:val="32"/>
          <w:highlight w:val="none"/>
          <w:lang w:eastAsia="zh-CN"/>
        </w:rPr>
        <w:t>项目实施单位已制定《</w:t>
      </w:r>
      <w:r>
        <w:rPr>
          <w:rFonts w:hint="eastAsia" w:eastAsia="仿宋_GB2312" w:cs="Times New Roman"/>
          <w:sz w:val="32"/>
          <w:szCs w:val="32"/>
          <w:highlight w:val="none"/>
          <w:lang w:val="en-US" w:eastAsia="zh-CN"/>
        </w:rPr>
        <w:t>克孜尔水库管理中心水利工程项目建设管理</w:t>
      </w:r>
      <w:r>
        <w:rPr>
          <w:rFonts w:hint="default" w:ascii="Times New Roman" w:hAnsi="Times New Roman" w:eastAsia="仿宋_GB2312" w:cs="Times New Roman"/>
          <w:sz w:val="32"/>
          <w:szCs w:val="32"/>
          <w:highlight w:val="none"/>
          <w:lang w:eastAsia="zh-CN"/>
        </w:rPr>
        <w:t>办法》《</w:t>
      </w:r>
      <w:r>
        <w:rPr>
          <w:rFonts w:hint="eastAsia" w:eastAsia="仿宋_GB2312" w:cs="Times New Roman"/>
          <w:sz w:val="32"/>
          <w:szCs w:val="32"/>
          <w:highlight w:val="none"/>
          <w:lang w:val="en-US" w:eastAsia="zh-CN"/>
        </w:rPr>
        <w:t>克孜尔水库管理中心内部控制手册</w:t>
      </w:r>
      <w:r>
        <w:rPr>
          <w:rFonts w:hint="default" w:ascii="Times New Roman" w:hAnsi="Times New Roman" w:eastAsia="仿宋_GB2312" w:cs="Times New Roman"/>
          <w:sz w:val="32"/>
          <w:szCs w:val="32"/>
          <w:highlight w:val="none"/>
          <w:lang w:eastAsia="zh-CN"/>
        </w:rPr>
        <w:t>》等一系列专项制度，制度体系覆盖项目策划、实施、监控、收尾全流程</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业务管理制度明确了各部门职责分工（如：业务科室负责项目实施、财务科室负责资金管理）</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财务管理制度细化了资金拨付流程、报销标准、账务核算要求。所有制度均合法合规、内容完整，且与项目的实施特点高度适配，为项目顺利推进提供了坚实制度保障，符合评分标准中“有完善的财务和业务管理制度、制度合法合规完整”的要求</w:t>
      </w:r>
      <w:r>
        <w:rPr>
          <w:rFonts w:hint="default" w:ascii="Times New Roman" w:hAnsi="Times New Roman" w:eastAsia="仿宋_GB2312" w:cs="Times New Roman"/>
          <w:sz w:val="32"/>
          <w:szCs w:val="32"/>
          <w:highlight w:val="none"/>
          <w:lang w:val="en-US"/>
        </w:rPr>
        <w:t>，</w:t>
      </w:r>
      <w:r>
        <w:rPr>
          <w:rFonts w:hint="default" w:ascii="Times New Roman" w:hAnsi="Times New Roman" w:eastAsia="仿宋_GB2312" w:cs="Times New Roman"/>
          <w:sz w:val="32"/>
          <w:szCs w:val="32"/>
          <w:highlight w:val="none"/>
          <w:lang w:val="en-US" w:eastAsia="zh-CN"/>
        </w:rPr>
        <w:t>故得满分。</w:t>
      </w:r>
    </w:p>
    <w:p w14:paraId="6DCC7A18">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（2）制度执行有效性</w:t>
      </w:r>
      <w:bookmarkEnd w:id="54"/>
    </w:p>
    <w:p w14:paraId="63ACFDDE">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项目实施全过程严格执行各项管理制度，执行效果显著：①严格遵守法律法规及管理规定；②</w:t>
      </w:r>
      <w:r>
        <w:rPr>
          <w:rFonts w:hint="eastAsia" w:eastAsia="仿宋_GB2312" w:cs="Times New Roman"/>
          <w:sz w:val="32"/>
          <w:szCs w:val="32"/>
          <w:highlight w:val="none"/>
          <w:lang w:val="en-US" w:eastAsia="zh-CN"/>
        </w:rPr>
        <w:t>项目招投标文件、中标通知书、</w:t>
      </w:r>
      <w:r>
        <w:rPr>
          <w:rFonts w:hint="default" w:ascii="Times New Roman" w:hAnsi="Times New Roman" w:eastAsia="仿宋_GB2312" w:cs="Times New Roman"/>
          <w:sz w:val="32"/>
          <w:szCs w:val="32"/>
          <w:highlight w:val="none"/>
          <w:lang w:eastAsia="zh-CN"/>
        </w:rPr>
        <w:t>项目合同书</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工程建设资料</w:t>
      </w:r>
      <w:r>
        <w:rPr>
          <w:rFonts w:hint="default" w:ascii="Times New Roman" w:hAnsi="Times New Roman" w:eastAsia="仿宋_GB2312" w:cs="Times New Roman"/>
          <w:sz w:val="32"/>
          <w:szCs w:val="32"/>
          <w:highlight w:val="none"/>
          <w:lang w:eastAsia="zh-CN"/>
        </w:rPr>
        <w:t>、财务凭证等资料齐全，均按要求及时归档</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③人员、场地、设备等实施条件全部落实到位，满足项目实施需求。制度执行无偏差，有效保障了项目按计划推进，符合评分标准中“遵守相关规定、调整手续完备、资料齐全归档、实施条件落实”的要求</w:t>
      </w:r>
      <w:r>
        <w:rPr>
          <w:rFonts w:hint="default" w:ascii="Times New Roman" w:hAnsi="Times New Roman" w:eastAsia="仿宋_GB2312" w:cs="Times New Roman"/>
          <w:sz w:val="32"/>
          <w:szCs w:val="32"/>
          <w:highlight w:val="none"/>
          <w:lang w:val="en-US"/>
        </w:rPr>
        <w:t>，</w:t>
      </w:r>
      <w:r>
        <w:rPr>
          <w:rFonts w:hint="default" w:ascii="Times New Roman" w:hAnsi="Times New Roman" w:eastAsia="仿宋_GB2312" w:cs="Times New Roman"/>
          <w:sz w:val="32"/>
          <w:szCs w:val="32"/>
          <w:highlight w:val="none"/>
          <w:lang w:val="en-US" w:eastAsia="zh-CN"/>
        </w:rPr>
        <w:t>故得满分。</w:t>
      </w:r>
    </w:p>
    <w:p w14:paraId="4B6182BD">
      <w:pPr>
        <w:pStyle w:val="14"/>
        <w:numPr>
          <w:ilvl w:val="0"/>
          <w:numId w:val="0"/>
        </w:numPr>
        <w:spacing w:line="560" w:lineRule="exact"/>
        <w:ind w:firstLine="321" w:firstLineChars="100"/>
        <w:outlineLvl w:val="1"/>
        <w:rPr>
          <w:rFonts w:hint="default" w:ascii="Times New Roman" w:hAnsi="Times New Roman" w:eastAsia="楷体_GB2312" w:cs="Times New Roman"/>
          <w:b/>
          <w:bCs/>
          <w:sz w:val="32"/>
          <w:szCs w:val="32"/>
          <w:highlight w:val="none"/>
        </w:rPr>
      </w:pPr>
      <w:bookmarkStart w:id="55" w:name="_Toc8612"/>
      <w:r>
        <w:rPr>
          <w:rFonts w:hint="eastAsia" w:eastAsia="楷体_GB2312" w:cs="Times New Roman"/>
          <w:b/>
          <w:bCs/>
          <w:sz w:val="32"/>
          <w:szCs w:val="32"/>
          <w:highlight w:val="none"/>
          <w:lang w:eastAsia="zh-CN"/>
        </w:rPr>
        <w:t>（</w:t>
      </w:r>
      <w:r>
        <w:rPr>
          <w:rFonts w:hint="eastAsia" w:eastAsia="楷体_GB2312" w:cs="Times New Roman"/>
          <w:b/>
          <w:bCs/>
          <w:sz w:val="32"/>
          <w:szCs w:val="32"/>
          <w:highlight w:val="none"/>
          <w:lang w:val="en-US" w:eastAsia="zh-CN"/>
        </w:rPr>
        <w:t>三</w:t>
      </w:r>
      <w:r>
        <w:rPr>
          <w:rFonts w:hint="eastAsia" w:eastAsia="楷体_GB2312" w:cs="Times New Roman"/>
          <w:b/>
          <w:bCs/>
          <w:sz w:val="32"/>
          <w:szCs w:val="32"/>
          <w:highlight w:val="none"/>
          <w:lang w:eastAsia="zh-CN"/>
        </w:rPr>
        <w:t>）</w:t>
      </w:r>
      <w:r>
        <w:rPr>
          <w:rFonts w:hint="default" w:ascii="Times New Roman" w:hAnsi="Times New Roman" w:eastAsia="楷体_GB2312" w:cs="Times New Roman"/>
          <w:b/>
          <w:bCs/>
          <w:sz w:val="32"/>
          <w:szCs w:val="32"/>
          <w:highlight w:val="none"/>
        </w:rPr>
        <w:t>项目产出</w:t>
      </w:r>
      <w:r>
        <w:rPr>
          <w:rFonts w:hint="default" w:ascii="Times New Roman" w:hAnsi="Times New Roman" w:eastAsia="楷体_GB2312" w:cs="Times New Roman"/>
          <w:b/>
          <w:bCs/>
          <w:sz w:val="32"/>
          <w:szCs w:val="32"/>
          <w:highlight w:val="none"/>
          <w:lang w:val="en-US" w:eastAsia="zh-CN"/>
        </w:rPr>
        <w:t>情况</w:t>
      </w:r>
      <w:bookmarkEnd w:id="55"/>
    </w:p>
    <w:p w14:paraId="26B75906">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%。具体产出指标完成情况如下：</w:t>
      </w:r>
    </w:p>
    <w:p w14:paraId="30506F6C">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实际完成率</w:t>
      </w:r>
    </w:p>
    <w:p w14:paraId="6A23A4AB">
      <w:pPr>
        <w:shd w:val="clear" w:color="auto" w:fill="auto"/>
        <w:spacing w:line="600" w:lineRule="exact"/>
        <w:ind w:firstLine="640" w:firstLineChars="200"/>
        <w:outlineLvl w:val="9"/>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数量指标1：</w:t>
      </w:r>
      <w:r>
        <w:rPr>
          <w:rFonts w:hint="eastAsia" w:eastAsia="仿宋_GB2312" w:cs="Times New Roman"/>
          <w:sz w:val="32"/>
          <w:szCs w:val="32"/>
          <w:highlight w:val="none"/>
          <w:lang w:val="en-US" w:eastAsia="zh-CN"/>
        </w:rPr>
        <w:t>人员工资发放次数</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=12次</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12次</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14:paraId="47BFD396">
      <w:pPr>
        <w:shd w:val="clear" w:color="auto" w:fill="auto"/>
        <w:spacing w:line="600" w:lineRule="exact"/>
        <w:ind w:firstLine="640" w:firstLineChars="200"/>
        <w:outlineLvl w:val="9"/>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公务保障用车数量</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=7辆</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7辆</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14:paraId="129BD38D">
      <w:pPr>
        <w:shd w:val="clear" w:color="auto" w:fill="auto"/>
        <w:spacing w:line="600" w:lineRule="exact"/>
        <w:ind w:firstLine="640" w:firstLineChars="200"/>
        <w:outlineLvl w:val="9"/>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数量指标</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工资发放人数</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≥78人</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85人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108.97</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，偏差原因：目标人数78人，业绩人数85人，相差7人（新招录5人，调入2人）</w:t>
      </w:r>
      <w:r>
        <w:rPr>
          <w:rFonts w:hint="eastAsia" w:eastAsia="仿宋_GB2312" w:cs="Times New Roman"/>
          <w:sz w:val="32"/>
          <w:szCs w:val="32"/>
          <w:highlight w:val="none"/>
          <w:lang w:val="en-US" w:eastAsia="zh-CN"/>
        </w:rPr>
        <w:t>，改进措施：精准核定人员编制与岗位配置，结合单位业务实际与发展需求，科学制定用人计划。通过强化招聘与人员调动的统筹管理，从源头避免超编现象，确保目标人数与业绩人数保持一致。</w:t>
      </w:r>
    </w:p>
    <w:p w14:paraId="47C6EC01">
      <w:pPr>
        <w:shd w:val="clear" w:color="auto" w:fill="auto"/>
        <w:spacing w:line="600" w:lineRule="exact"/>
        <w:ind w:firstLine="640" w:firstLineChars="200"/>
        <w:outlineLvl w:val="9"/>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数量指标</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防洪物资采购</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≥2批</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2批</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w:t>
      </w:r>
    </w:p>
    <w:p w14:paraId="6DE08C59">
      <w:pPr>
        <w:shd w:val="clear" w:color="auto" w:fill="auto"/>
        <w:spacing w:line="600" w:lineRule="exact"/>
        <w:ind w:firstLine="640" w:firstLineChars="200"/>
        <w:outlineLvl w:val="9"/>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数量指标</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保障办公场所面积</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≥2779.92㎡</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2780.5㎡</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w:t>
      </w:r>
    </w:p>
    <w:p w14:paraId="23FF3AB7">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该指标满分为10分，根据评分标准得10分。</w:t>
      </w:r>
    </w:p>
    <w:p w14:paraId="2A6FC65A">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2</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质量达标率</w:t>
      </w:r>
      <w:r>
        <w:rPr>
          <w:rFonts w:hint="default" w:ascii="Times New Roman" w:hAnsi="Times New Roman" w:eastAsia="仿宋_GB2312" w:cs="Times New Roman"/>
          <w:sz w:val="32"/>
          <w:szCs w:val="32"/>
          <w:highlight w:val="none"/>
        </w:rPr>
        <w:t>：</w:t>
      </w:r>
    </w:p>
    <w:p w14:paraId="551098E4">
      <w:pPr>
        <w:shd w:val="clear" w:color="auto" w:fill="auto"/>
        <w:spacing w:line="600" w:lineRule="exact"/>
        <w:ind w:firstLine="640" w:firstLineChars="200"/>
        <w:outlineLvl w:val="9"/>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质量指标1：资金发放准确率（%），指标值：=98%，实际完成值98%，指标完成率100%。</w:t>
      </w:r>
    </w:p>
    <w:p w14:paraId="6394D4EC">
      <w:pPr>
        <w:shd w:val="clear" w:color="auto" w:fill="auto"/>
        <w:spacing w:line="600" w:lineRule="exact"/>
        <w:ind w:firstLine="640" w:firstLineChars="200"/>
        <w:outlineLvl w:val="9"/>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质量指标2：防洪物资采购质量合格率，指标值：=98%，实际完成值98%，指标完成率100%。</w:t>
      </w:r>
    </w:p>
    <w:p w14:paraId="2F080B4D">
      <w:pPr>
        <w:shd w:val="clear" w:color="auto" w:fill="auto"/>
        <w:spacing w:line="600" w:lineRule="exact"/>
        <w:ind w:firstLine="640" w:firstLineChars="200"/>
        <w:outlineLvl w:val="9"/>
        <w:rPr>
          <w:rFonts w:hint="default"/>
          <w:highlight w:val="none"/>
          <w:lang w:val="en-US" w:eastAsia="zh-CN"/>
        </w:rPr>
      </w:pPr>
      <w:r>
        <w:rPr>
          <w:rFonts w:hint="eastAsia" w:eastAsia="仿宋_GB2312" w:cs="Times New Roman"/>
          <w:sz w:val="32"/>
          <w:szCs w:val="32"/>
          <w:highlight w:val="none"/>
          <w:lang w:val="en-US" w:eastAsia="zh-CN"/>
        </w:rPr>
        <w:t>该指标满分为10分，根据评分标准得10分。</w:t>
      </w:r>
    </w:p>
    <w:p w14:paraId="77B61EAB">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3</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完成及时性</w:t>
      </w:r>
      <w:r>
        <w:rPr>
          <w:rFonts w:hint="default" w:ascii="Times New Roman" w:hAnsi="Times New Roman" w:eastAsia="仿宋_GB2312" w:cs="Times New Roman"/>
          <w:sz w:val="32"/>
          <w:szCs w:val="32"/>
          <w:highlight w:val="none"/>
        </w:rPr>
        <w:t>：</w:t>
      </w:r>
    </w:p>
    <w:p w14:paraId="40EF12DF">
      <w:pPr>
        <w:shd w:val="clear" w:color="auto" w:fill="auto"/>
        <w:spacing w:line="600" w:lineRule="exact"/>
        <w:ind w:firstLine="640" w:firstLineChars="200"/>
        <w:outlineLvl w:val="9"/>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时效指标1：防洪物资采购及时率，指标值：≥98%，实际完成值98%，指标完成率100%。</w:t>
      </w:r>
    </w:p>
    <w:p w14:paraId="40664D17">
      <w:pPr>
        <w:shd w:val="clear" w:color="auto" w:fill="auto"/>
        <w:spacing w:line="600" w:lineRule="exact"/>
        <w:ind w:firstLine="640" w:firstLineChars="200"/>
        <w:outlineLvl w:val="9"/>
        <w:rPr>
          <w:rFonts w:hint="default"/>
          <w:highlight w:val="none"/>
          <w:lang w:val="en-US" w:eastAsia="zh-CN"/>
        </w:rPr>
      </w:pPr>
      <w:r>
        <w:rPr>
          <w:rFonts w:hint="eastAsia" w:eastAsia="仿宋_GB2312" w:cs="Times New Roman"/>
          <w:sz w:val="32"/>
          <w:szCs w:val="32"/>
          <w:highlight w:val="none"/>
          <w:lang w:val="en-US" w:eastAsia="zh-CN"/>
        </w:rPr>
        <w:t>该指标满分为10分，根据评分标准得10分。</w:t>
      </w:r>
    </w:p>
    <w:p w14:paraId="5F4787CF">
      <w:pPr>
        <w:shd w:val="clear" w:color="auto" w:fill="auto"/>
        <w:spacing w:line="600" w:lineRule="exact"/>
        <w:ind w:firstLine="640" w:firstLineChars="200"/>
        <w:outlineLvl w:val="9"/>
        <w:rPr>
          <w:rFonts w:hint="default" w:eastAsia="仿宋_GB2312" w:cs="Times New Roman"/>
          <w:sz w:val="32"/>
          <w:szCs w:val="32"/>
          <w:highlight w:val="none"/>
          <w:lang w:val="en-US" w:eastAsia="zh-CN"/>
        </w:rPr>
      </w:pP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4</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成本节约率</w:t>
      </w:r>
      <w:r>
        <w:rPr>
          <w:rFonts w:hint="default" w:eastAsia="仿宋_GB2312" w:cs="Times New Roman"/>
          <w:sz w:val="32"/>
          <w:szCs w:val="32"/>
          <w:highlight w:val="none"/>
          <w:lang w:val="en-US" w:eastAsia="zh-CN"/>
        </w:rPr>
        <w:t>：</w:t>
      </w:r>
    </w:p>
    <w:p w14:paraId="673F701C">
      <w:pPr>
        <w:shd w:val="clear" w:color="auto" w:fill="auto"/>
        <w:spacing w:line="600" w:lineRule="exact"/>
        <w:ind w:firstLine="640" w:firstLineChars="200"/>
        <w:outlineLvl w:val="9"/>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经济成本指标1：保障人员经费，指标值：≤199.21万元，实际完成值199.21万元，指标完成率100%。</w:t>
      </w:r>
    </w:p>
    <w:p w14:paraId="7B654DDF">
      <w:pPr>
        <w:shd w:val="clear" w:color="auto" w:fill="auto"/>
        <w:spacing w:line="600" w:lineRule="exact"/>
        <w:ind w:firstLine="640" w:firstLineChars="200"/>
        <w:outlineLvl w:val="9"/>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经济成本指标2：保障日常运转经费，指标值：≤886.62万元，实际完成值886.62万元，指标完成率100%。</w:t>
      </w:r>
    </w:p>
    <w:p w14:paraId="0AAC0EE7">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sz w:val="32"/>
          <w:szCs w:val="32"/>
          <w:highlight w:val="none"/>
          <w:lang w:val="en-US" w:eastAsia="zh-CN"/>
        </w:rPr>
        <w:t>该指标满分为20分</w:t>
      </w:r>
      <w:r>
        <w:rPr>
          <w:rFonts w:hint="default" w:eastAsia="仿宋_GB2312" w:cs="Times New Roman"/>
          <w:sz w:val="32"/>
          <w:szCs w:val="32"/>
          <w:highlight w:val="none"/>
          <w:lang w:val="en-US" w:eastAsia="zh-CN"/>
        </w:rPr>
        <w:t>，本项目计划总成本为</w:t>
      </w:r>
      <w:r>
        <w:rPr>
          <w:rFonts w:hint="eastAsia" w:eastAsia="仿宋_GB2312" w:cs="Times New Roman"/>
          <w:sz w:val="32"/>
          <w:szCs w:val="32"/>
          <w:highlight w:val="none"/>
          <w:lang w:val="en-US" w:eastAsia="zh-CN"/>
        </w:rPr>
        <w:t>1085.83</w:t>
      </w:r>
      <w:r>
        <w:rPr>
          <w:rFonts w:hint="default" w:eastAsia="仿宋_GB2312" w:cs="Times New Roman"/>
          <w:sz w:val="32"/>
          <w:szCs w:val="32"/>
          <w:highlight w:val="none"/>
          <w:lang w:val="en-US" w:eastAsia="zh-CN"/>
        </w:rPr>
        <w:t>万元，实际发生总成本为</w:t>
      </w:r>
      <w:r>
        <w:rPr>
          <w:rFonts w:hint="eastAsia" w:eastAsia="仿宋_GB2312" w:cs="Times New Roman"/>
          <w:sz w:val="32"/>
          <w:szCs w:val="32"/>
          <w:highlight w:val="none"/>
          <w:lang w:val="en-US" w:eastAsia="zh-CN"/>
        </w:rPr>
        <w:t>1085.8</w:t>
      </w:r>
      <w:r>
        <w:rPr>
          <w:rFonts w:hint="default" w:eastAsia="仿宋_GB2312" w:cs="Times New Roman"/>
          <w:sz w:val="32"/>
          <w:szCs w:val="32"/>
          <w:highlight w:val="none"/>
          <w:lang w:val="en-US" w:eastAsia="zh-CN"/>
        </w:rPr>
        <w:t>万元，成本节约率为</w:t>
      </w:r>
      <w:r>
        <w:rPr>
          <w:rFonts w:hint="eastAsia" w:eastAsia="仿宋_GB2312" w:cs="Times New Roman"/>
          <w:sz w:val="32"/>
          <w:szCs w:val="32"/>
          <w:highlight w:val="none"/>
          <w:lang w:val="en-US" w:eastAsia="zh-CN"/>
        </w:rPr>
        <w:t>0</w:t>
      </w:r>
      <w:r>
        <w:rPr>
          <w:rFonts w:hint="default" w:eastAsia="仿宋_GB2312" w:cs="Times New Roman"/>
          <w:sz w:val="32"/>
          <w:szCs w:val="32"/>
          <w:highlight w:val="none"/>
          <w:lang w:val="en-US" w:eastAsia="zh-CN"/>
        </w:rPr>
        <w:t>%，未发生任何超支情况</w:t>
      </w:r>
      <w:r>
        <w:rPr>
          <w:rFonts w:hint="default" w:ascii="Times New Roman" w:hAnsi="Times New Roman" w:eastAsia="仿宋_GB2312" w:cs="Times New Roman"/>
          <w:sz w:val="32"/>
          <w:szCs w:val="32"/>
          <w:highlight w:val="none"/>
          <w:lang w:val="en-US"/>
        </w:rPr>
        <w:t>，</w:t>
      </w:r>
      <w:r>
        <w:rPr>
          <w:rFonts w:hint="default" w:ascii="Times New Roman" w:hAnsi="Times New Roman" w:eastAsia="仿宋_GB2312" w:cs="Times New Roman"/>
          <w:sz w:val="32"/>
          <w:szCs w:val="32"/>
          <w:highlight w:val="none"/>
          <w:lang w:val="en-US" w:eastAsia="zh-CN"/>
        </w:rPr>
        <w:t>故得满分</w:t>
      </w:r>
      <w:r>
        <w:rPr>
          <w:rFonts w:hint="default" w:ascii="Times New Roman" w:hAnsi="Times New Roman" w:eastAsia="仿宋_GB2312" w:cs="Times New Roman"/>
          <w:color w:val="auto"/>
          <w:sz w:val="32"/>
          <w:szCs w:val="32"/>
          <w:highlight w:val="none"/>
          <w:lang w:val="en-US" w:eastAsia="zh-CN"/>
        </w:rPr>
        <w:t>。</w:t>
      </w:r>
    </w:p>
    <w:p w14:paraId="6D802020">
      <w:pPr>
        <w:pStyle w:val="14"/>
        <w:numPr>
          <w:ilvl w:val="0"/>
          <w:numId w:val="0"/>
        </w:numPr>
        <w:spacing w:line="560" w:lineRule="exact"/>
        <w:ind w:firstLine="643" w:firstLineChars="200"/>
        <w:outlineLvl w:val="1"/>
        <w:rPr>
          <w:rFonts w:hint="default" w:ascii="Times New Roman" w:hAnsi="Times New Roman" w:eastAsia="楷体_GB2312" w:cs="Times New Roman"/>
          <w:b/>
          <w:bCs/>
          <w:sz w:val="32"/>
          <w:szCs w:val="32"/>
          <w:lang w:val="en-US" w:eastAsia="zh-CN"/>
        </w:rPr>
      </w:pPr>
      <w:bookmarkStart w:id="56" w:name="_Toc18470"/>
      <w:r>
        <w:rPr>
          <w:rFonts w:hint="eastAsia" w:eastAsia="楷体_GB2312" w:cs="Times New Roman"/>
          <w:b/>
          <w:bCs/>
          <w:sz w:val="32"/>
          <w:szCs w:val="32"/>
          <w:lang w:val="en-US" w:eastAsia="zh-CN"/>
        </w:rPr>
        <w:t>（四）</w:t>
      </w:r>
      <w:r>
        <w:rPr>
          <w:rFonts w:hint="default" w:ascii="Times New Roman" w:hAnsi="Times New Roman" w:eastAsia="楷体_GB2312" w:cs="Times New Roman"/>
          <w:b/>
          <w:bCs/>
          <w:sz w:val="32"/>
          <w:szCs w:val="32"/>
          <w:lang w:val="en-US" w:eastAsia="zh-CN"/>
        </w:rPr>
        <w:t>项目效益情况</w:t>
      </w:r>
      <w:bookmarkEnd w:id="56"/>
    </w:p>
    <w:p w14:paraId="69F64AFC">
      <w:pPr>
        <w:pStyle w:val="24"/>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eastAsia="仿宋_GB2312" w:cs="Times New Roman"/>
          <w:color w:val="auto"/>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default" w:eastAsia="仿宋_GB2312"/>
          <w:color w:val="auto"/>
          <w:sz w:val="32"/>
          <w:szCs w:val="32"/>
          <w:highlight w:val="none"/>
          <w:lang w:eastAsia="zh-CN"/>
        </w:rPr>
        <w:t>关于项目效益和满意度不涉及的原因：因本项目属于经营成本性项目，资金用途为保障单位基本运行与人员经费等内部运行支出，无面向社会公众或外部服务对象的公共服务产出，不具备开展满意度调查的服务主体基础，故未设置项目效益及服务对象满意度指标。项目执行效果已通过预算执行率</w:t>
      </w:r>
      <w:r>
        <w:rPr>
          <w:rFonts w:hint="default" w:eastAsia="仿宋_GB2312"/>
          <w:color w:val="auto"/>
          <w:sz w:val="32"/>
          <w:szCs w:val="32"/>
          <w:highlight w:val="none"/>
          <w:lang w:val="en-US" w:eastAsia="zh-CN"/>
        </w:rPr>
        <w:t>100%及绩效指标总体完成率</w:t>
      </w:r>
      <w:r>
        <w:rPr>
          <w:rFonts w:hint="eastAsia" w:ascii="仿宋_GB2312" w:hAnsi="仿宋_GB2312" w:eastAsia="仿宋_GB2312" w:cs="仿宋_GB2312"/>
          <w:b w:val="0"/>
          <w:bCs w:val="0"/>
          <w:sz w:val="32"/>
          <w:szCs w:val="32"/>
          <w:highlight w:val="none"/>
          <w:lang w:val="en-US" w:eastAsia="zh-CN"/>
        </w:rPr>
        <w:t>100.9</w:t>
      </w:r>
      <w:r>
        <w:rPr>
          <w:rFonts w:hint="eastAsia" w:ascii="仿宋_GB2312" w:hAnsi="仿宋_GB2312" w:eastAsia="仿宋_GB2312" w:cs="仿宋_GB2312"/>
          <w:b w:val="0"/>
          <w:bCs w:val="0"/>
          <w:sz w:val="32"/>
          <w:szCs w:val="32"/>
          <w:highlight w:val="none"/>
        </w:rPr>
        <w:t>%</w:t>
      </w:r>
      <w:r>
        <w:rPr>
          <w:rFonts w:hint="default" w:eastAsia="仿宋_GB2312"/>
          <w:color w:val="auto"/>
          <w:sz w:val="32"/>
          <w:szCs w:val="32"/>
          <w:highlight w:val="none"/>
          <w:lang w:val="en-US" w:eastAsia="zh-CN"/>
        </w:rPr>
        <w:t>等核心管理指标充分核定。</w:t>
      </w:r>
    </w:p>
    <w:p w14:paraId="7923FF3C">
      <w:pPr>
        <w:spacing w:line="560" w:lineRule="exact"/>
        <w:ind w:firstLine="640" w:firstLineChars="200"/>
        <w:outlineLvl w:val="0"/>
        <w:rPr>
          <w:rFonts w:hint="default" w:ascii="黑体" w:hAnsi="黑体" w:eastAsia="黑体" w:cs="黑体"/>
          <w:b w:val="0"/>
          <w:bCs w:val="0"/>
          <w:sz w:val="32"/>
          <w:szCs w:val="32"/>
          <w:highlight w:val="none"/>
          <w:lang w:val="en-US" w:eastAsia="zh-CN"/>
        </w:rPr>
      </w:pPr>
      <w:bookmarkStart w:id="57" w:name="_Toc21462"/>
      <w:r>
        <w:rPr>
          <w:rFonts w:hint="eastAsia" w:ascii="黑体" w:hAnsi="黑体" w:eastAsia="黑体" w:cs="黑体"/>
          <w:b w:val="0"/>
          <w:bCs w:val="0"/>
          <w:sz w:val="32"/>
          <w:szCs w:val="32"/>
          <w:highlight w:val="none"/>
          <w:lang w:val="en-US" w:eastAsia="zh-CN"/>
        </w:rPr>
        <w:t>五、</w:t>
      </w:r>
      <w:r>
        <w:rPr>
          <w:rFonts w:hint="eastAsia" w:ascii="黑体" w:hAnsi="黑体" w:eastAsia="黑体" w:cs="黑体"/>
          <w:b w:val="0"/>
          <w:bCs w:val="0"/>
          <w:sz w:val="32"/>
          <w:szCs w:val="32"/>
          <w:highlight w:val="none"/>
          <w:lang w:val="en-US"/>
        </w:rPr>
        <w:t>预算执行进度与</w:t>
      </w:r>
      <w:bookmarkEnd w:id="57"/>
      <w:r>
        <w:rPr>
          <w:rFonts w:hint="eastAsia" w:ascii="黑体" w:hAnsi="黑体" w:eastAsia="黑体" w:cs="黑体"/>
          <w:b w:val="0"/>
          <w:bCs w:val="0"/>
          <w:sz w:val="32"/>
          <w:szCs w:val="32"/>
          <w:highlight w:val="none"/>
          <w:lang w:val="en-US" w:eastAsia="zh-CN"/>
        </w:rPr>
        <w:t>绩效指标偏差</w:t>
      </w:r>
    </w:p>
    <w:p w14:paraId="73060CA2">
      <w:pPr>
        <w:pStyle w:val="24"/>
        <w:spacing w:line="560" w:lineRule="exact"/>
        <w:ind w:firstLine="640"/>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kern w:val="0"/>
          <w:sz w:val="32"/>
          <w:szCs w:val="32"/>
          <w:highlight w:val="none"/>
        </w:rPr>
        <w:t>克孜尔水库2025年经营成本性</w:t>
      </w:r>
      <w:r>
        <w:rPr>
          <w:rFonts w:hint="eastAsia" w:ascii="仿宋_GB2312" w:hAnsi="仿宋_GB2312" w:eastAsia="仿宋_GB2312" w:cs="仿宋_GB2312"/>
          <w:b w:val="0"/>
          <w:bCs w:val="0"/>
          <w:sz w:val="32"/>
          <w:szCs w:val="32"/>
          <w:highlight w:val="none"/>
        </w:rPr>
        <w:t>项目年初预算</w:t>
      </w:r>
      <w:r>
        <w:rPr>
          <w:rFonts w:hint="eastAsia" w:eastAsia="仿宋_GB2312" w:cs="Times New Roman"/>
          <w:sz w:val="32"/>
          <w:szCs w:val="32"/>
          <w:highlight w:val="none"/>
          <w:lang w:val="en-US" w:eastAsia="zh-CN"/>
        </w:rPr>
        <w:t>1085.83</w:t>
      </w:r>
      <w:r>
        <w:rPr>
          <w:rFonts w:hint="eastAsia" w:ascii="仿宋_GB2312" w:hAnsi="仿宋_GB2312" w:eastAsia="仿宋_GB2312" w:cs="仿宋_GB2312"/>
          <w:b w:val="0"/>
          <w:bCs w:val="0"/>
          <w:sz w:val="32"/>
          <w:szCs w:val="32"/>
          <w:highlight w:val="none"/>
        </w:rPr>
        <w:t>万元，全年预算</w:t>
      </w:r>
      <w:r>
        <w:rPr>
          <w:rFonts w:hint="eastAsia" w:eastAsia="仿宋_GB2312" w:cs="Times New Roman"/>
          <w:sz w:val="32"/>
          <w:szCs w:val="32"/>
          <w:highlight w:val="none"/>
          <w:lang w:val="en-US" w:eastAsia="zh-CN"/>
        </w:rPr>
        <w:t>1085.83</w:t>
      </w:r>
      <w:r>
        <w:rPr>
          <w:rFonts w:hint="eastAsia" w:ascii="仿宋_GB2312" w:hAnsi="仿宋_GB2312" w:eastAsia="仿宋_GB2312" w:cs="仿宋_GB2312"/>
          <w:b w:val="0"/>
          <w:bCs w:val="0"/>
          <w:sz w:val="32"/>
          <w:szCs w:val="32"/>
          <w:highlight w:val="none"/>
        </w:rPr>
        <w:t>万元，实际支出</w:t>
      </w:r>
      <w:r>
        <w:rPr>
          <w:rFonts w:hint="eastAsia" w:eastAsia="仿宋_GB2312" w:cs="Times New Roman"/>
          <w:sz w:val="32"/>
          <w:szCs w:val="32"/>
          <w:highlight w:val="none"/>
          <w:lang w:val="en-US" w:eastAsia="zh-CN"/>
        </w:rPr>
        <w:t>1085.83</w:t>
      </w:r>
      <w:r>
        <w:rPr>
          <w:rFonts w:hint="eastAsia" w:ascii="仿宋_GB2312" w:hAnsi="仿宋_GB2312" w:eastAsia="仿宋_GB2312" w:cs="仿宋_GB2312"/>
          <w:b w:val="0"/>
          <w:bCs w:val="0"/>
          <w:sz w:val="32"/>
          <w:szCs w:val="32"/>
          <w:highlight w:val="none"/>
        </w:rPr>
        <w:t>万元，预算执行率为</w:t>
      </w:r>
      <w:r>
        <w:rPr>
          <w:rFonts w:hint="eastAsia" w:eastAsia="仿宋_GB2312" w:cs="Times New Roman"/>
          <w:sz w:val="32"/>
          <w:szCs w:val="32"/>
          <w:highlight w:val="none"/>
          <w:lang w:val="en-US" w:eastAsia="zh-CN"/>
        </w:rPr>
        <w:t>100</w:t>
      </w:r>
      <w:r>
        <w:rPr>
          <w:rFonts w:hint="eastAsia" w:ascii="仿宋_GB2312" w:hAnsi="仿宋_GB2312" w:eastAsia="仿宋_GB2312" w:cs="仿宋_GB2312"/>
          <w:b w:val="0"/>
          <w:bCs w:val="0"/>
          <w:sz w:val="32"/>
          <w:szCs w:val="32"/>
          <w:highlight w:val="none"/>
        </w:rPr>
        <w:t>%，项目绩效指标总体完成率为</w:t>
      </w:r>
      <w:r>
        <w:rPr>
          <w:rFonts w:hint="eastAsia" w:ascii="仿宋_GB2312" w:hAnsi="仿宋_GB2312" w:eastAsia="仿宋_GB2312" w:cs="仿宋_GB2312"/>
          <w:b w:val="0"/>
          <w:bCs w:val="0"/>
          <w:sz w:val="32"/>
          <w:szCs w:val="32"/>
          <w:highlight w:val="none"/>
          <w:lang w:val="en-US" w:eastAsia="zh-CN"/>
        </w:rPr>
        <w:t>100.9</w:t>
      </w:r>
      <w:r>
        <w:rPr>
          <w:rFonts w:hint="eastAsia" w:ascii="仿宋_GB2312" w:hAnsi="仿宋_GB2312" w:eastAsia="仿宋_GB2312" w:cs="仿宋_GB2312"/>
          <w:b w:val="0"/>
          <w:bCs w:val="0"/>
          <w:sz w:val="32"/>
          <w:szCs w:val="32"/>
          <w:highlight w:val="none"/>
        </w:rPr>
        <w:t>%，总体偏差率为</w:t>
      </w:r>
      <w:r>
        <w:rPr>
          <w:rFonts w:hint="eastAsia" w:ascii="仿宋_GB2312" w:hAnsi="仿宋_GB2312" w:eastAsia="仿宋_GB2312" w:cs="仿宋_GB2312"/>
          <w:b w:val="0"/>
          <w:bCs w:val="0"/>
          <w:sz w:val="32"/>
          <w:szCs w:val="32"/>
          <w:highlight w:val="none"/>
          <w:lang w:val="en-US" w:eastAsia="zh-CN"/>
        </w:rPr>
        <w:t>0.9</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偏差原因</w:t>
      </w:r>
      <w:r>
        <w:rPr>
          <w:rFonts w:hint="default" w:ascii="Times New Roman" w:hAnsi="Times New Roman" w:eastAsia="仿宋_GB2312" w:cs="Times New Roman"/>
          <w:sz w:val="32"/>
          <w:szCs w:val="32"/>
          <w:highlight w:val="none"/>
          <w:lang w:eastAsia="zh-CN"/>
        </w:rPr>
        <w:t>目标人数78人，业绩人数85人，相差7人（新招录5人，调入2人）</w:t>
      </w:r>
      <w:r>
        <w:rPr>
          <w:rFonts w:hint="eastAsia" w:eastAsia="仿宋_GB2312" w:cs="Times New Roman"/>
          <w:sz w:val="32"/>
          <w:szCs w:val="32"/>
          <w:highlight w:val="none"/>
          <w:lang w:val="en-US" w:eastAsia="zh-CN"/>
        </w:rPr>
        <w:t>，</w:t>
      </w:r>
      <w:r>
        <w:rPr>
          <w:rFonts w:hint="eastAsia" w:ascii="仿宋_GB2312" w:hAnsi="仿宋_GB2312" w:eastAsia="仿宋_GB2312" w:cs="仿宋_GB2312"/>
          <w:b w:val="0"/>
          <w:bCs w:val="0"/>
          <w:sz w:val="32"/>
          <w:szCs w:val="32"/>
          <w:highlight w:val="none"/>
        </w:rPr>
        <w:t>改进措施</w:t>
      </w:r>
      <w:r>
        <w:rPr>
          <w:rFonts w:hint="eastAsia" w:eastAsia="仿宋_GB2312" w:cs="Times New Roman"/>
          <w:sz w:val="32"/>
          <w:szCs w:val="32"/>
          <w:highlight w:val="none"/>
          <w:lang w:val="en-US" w:eastAsia="zh-CN"/>
        </w:rPr>
        <w:t>精准核定人员编制与岗位配置，结合单位业务实际与发展需求，科学制定用人计划。通过强化招聘与人员调动的统筹管理，从源头避免超编现象，确保目标人数与业绩人数保持一致</w:t>
      </w:r>
      <w:r>
        <w:rPr>
          <w:rFonts w:hint="eastAsia" w:ascii="仿宋_GB2312" w:hAnsi="仿宋_GB2312" w:eastAsia="仿宋_GB2312" w:cs="仿宋_GB2312"/>
          <w:b w:val="0"/>
          <w:bCs w:val="0"/>
          <w:sz w:val="32"/>
          <w:szCs w:val="32"/>
          <w:highlight w:val="none"/>
        </w:rPr>
        <w:t>。</w:t>
      </w:r>
    </w:p>
    <w:p w14:paraId="10879CAF">
      <w:pPr>
        <w:spacing w:line="560" w:lineRule="exact"/>
        <w:ind w:firstLine="640" w:firstLineChars="200"/>
        <w:outlineLvl w:val="0"/>
        <w:rPr>
          <w:rStyle w:val="23"/>
          <w:rFonts w:hint="default" w:ascii="Times New Roman" w:hAnsi="Times New Roman" w:cs="Times New Roman"/>
          <w:color w:val="auto"/>
          <w:highlight w:val="none"/>
        </w:rPr>
      </w:pPr>
      <w:bookmarkStart w:id="58" w:name="_Toc18363"/>
      <w:r>
        <w:rPr>
          <w:rFonts w:hint="eastAsia" w:eastAsia="黑体" w:cs="Times New Roman"/>
          <w:sz w:val="32"/>
          <w:szCs w:val="32"/>
          <w:highlight w:val="none"/>
          <w:lang w:val="en-US" w:eastAsia="zh-CN"/>
        </w:rPr>
        <w:t>六</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主要经验及做法、存在的问题及原因分析</w:t>
      </w:r>
      <w:bookmarkEnd w:id="58"/>
    </w:p>
    <w:p w14:paraId="6A1D75A0">
      <w:pPr>
        <w:spacing w:line="560" w:lineRule="exact"/>
        <w:ind w:firstLine="627" w:firstLineChars="200"/>
        <w:outlineLvl w:val="1"/>
        <w:rPr>
          <w:highlight w:val="none"/>
        </w:rPr>
      </w:pPr>
      <w:bookmarkStart w:id="59" w:name="_Toc22741"/>
      <w:r>
        <w:rPr>
          <w:rFonts w:hint="default" w:ascii="Times New Roman" w:hAnsi="Times New Roman" w:eastAsia="楷体" w:cs="Times New Roman"/>
          <w:b/>
          <w:spacing w:val="-4"/>
          <w:sz w:val="32"/>
          <w:szCs w:val="32"/>
          <w:highlight w:val="none"/>
        </w:rPr>
        <w:t>（一）主要经验及做法</w:t>
      </w:r>
      <w:bookmarkEnd w:id="59"/>
    </w:p>
    <w:p w14:paraId="37DC1BFD">
      <w:pPr>
        <w:pStyle w:val="2"/>
        <w:ind w:firstLine="640" w:firstLineChars="200"/>
        <w:rPr>
          <w:rFonts w:hint="default" w:ascii="Times New Roman" w:hAnsi="Times New Roman" w:eastAsia="仿宋_GB2312" w:cs="Times New Roman"/>
          <w:b w:val="0"/>
          <w:bCs w:val="0"/>
          <w:sz w:val="32"/>
          <w:szCs w:val="32"/>
          <w:highlight w:val="none"/>
        </w:rPr>
      </w:pPr>
      <w:r>
        <w:rPr>
          <w:rFonts w:hint="default" w:ascii="Times New Roman" w:hAnsi="Times New Roman" w:eastAsia="仿宋_GB2312" w:cs="Times New Roman"/>
          <w:b w:val="0"/>
          <w:bCs w:val="0"/>
          <w:sz w:val="32"/>
          <w:szCs w:val="32"/>
          <w:highlight w:val="none"/>
        </w:rPr>
        <w:t>本项目在实施中注重精准施策与闭环管理。项目启动前，立足核心定位深入调研需求，明确总体目标与阶段性任务，科学编制实施方案和绩效指标体系，确保各环节任务分工、时间节点、责任主体清晰可控；资金管理上</w:t>
      </w:r>
      <w:r>
        <w:rPr>
          <w:rFonts w:hint="default" w:ascii="Times New Roman" w:hAnsi="Times New Roman" w:eastAsia="仿宋_GB2312" w:cs="Times New Roman"/>
          <w:b w:val="0"/>
          <w:bCs w:val="0"/>
          <w:kern w:val="28"/>
          <w:sz w:val="32"/>
          <w:szCs w:val="32"/>
          <w:highlight w:val="none"/>
          <w:lang w:val="en-US" w:eastAsia="zh-CN" w:bidi="ar-SA"/>
        </w:rPr>
        <w:t>坚持“无预算不支出”原则，对人员经费、公务用车、物资采购等实行全过程监控，预算执行率达100%，未发生超预算或违规支出情况。预算执行严格，资金管控有效。</w:t>
      </w:r>
    </w:p>
    <w:p w14:paraId="0800E2F7">
      <w:pPr>
        <w:pStyle w:val="13"/>
        <w:spacing w:before="0" w:after="0" w:line="560" w:lineRule="exact"/>
        <w:ind w:firstLine="640" w:firstLineChars="200"/>
        <w:jc w:val="left"/>
        <w:outlineLvl w:val="9"/>
        <w:rPr>
          <w:rFonts w:hint="default" w:ascii="Times New Roman" w:hAnsi="Times New Roman" w:eastAsia="仿宋_GB2312" w:cs="Times New Roman"/>
          <w:b w:val="0"/>
          <w:bCs w:val="0"/>
          <w:kern w:val="2"/>
          <w:highlight w:val="none"/>
        </w:rPr>
      </w:pPr>
      <w:r>
        <w:rPr>
          <w:rFonts w:hint="default" w:ascii="Times New Roman" w:hAnsi="Times New Roman" w:eastAsia="仿宋_GB2312" w:cs="Times New Roman"/>
          <w:b w:val="0"/>
          <w:bCs w:val="0"/>
          <w:sz w:val="32"/>
          <w:szCs w:val="32"/>
          <w:highlight w:val="none"/>
        </w:rPr>
        <w:t>同时，强化协同联动与过程管控，建立沟通协作机制，及时协调解决实施中的堵点问题；通过定期调度、实地核查等方式动态跟踪进度与质量，规范档案管理确保全程可追溯。此外，提前预判政策、进度等潜在风险并制定应对预案，聚焦成果转化与效益延伸，推动项目产出持续发挥综合价值，为同类项目实施提供了实用参考。</w:t>
      </w:r>
    </w:p>
    <w:p w14:paraId="648134D5">
      <w:pPr>
        <w:keepNext/>
        <w:keepLines/>
        <w:numPr>
          <w:ilvl w:val="0"/>
          <w:numId w:val="5"/>
        </w:numPr>
        <w:spacing w:line="560" w:lineRule="exact"/>
        <w:ind w:firstLine="643" w:firstLineChars="200"/>
        <w:outlineLvl w:val="1"/>
        <w:rPr>
          <w:rFonts w:hint="default" w:ascii="Times New Roman" w:hAnsi="Times New Roman" w:eastAsia="楷体_GB2312" w:cs="Times New Roman"/>
          <w:b/>
          <w:bCs/>
          <w:sz w:val="32"/>
          <w:szCs w:val="32"/>
          <w:highlight w:val="none"/>
        </w:rPr>
      </w:pPr>
      <w:bookmarkStart w:id="60" w:name="_Toc7835"/>
      <w:r>
        <w:rPr>
          <w:rFonts w:hint="default" w:ascii="Times New Roman" w:hAnsi="Times New Roman" w:eastAsia="楷体_GB2312" w:cs="Times New Roman"/>
          <w:b/>
          <w:bCs/>
          <w:sz w:val="32"/>
          <w:szCs w:val="32"/>
          <w:highlight w:val="none"/>
        </w:rPr>
        <w:t>存在的问题及原因分析</w:t>
      </w:r>
      <w:bookmarkEnd w:id="60"/>
    </w:p>
    <w:p w14:paraId="27032FD0">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相关人员对绩效管理专业知识的系统性学习不足，在指标设置的细化、量化方面仍需优化完善；绩效自评过程中，部分人员因专业知识储备不足，存在自我审定的局限性，一定程度上影响了评价结果的客观性与质量。</w:t>
      </w:r>
    </w:p>
    <w:p w14:paraId="3F459B3E">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受轮岗、人员调动等因素影响，绩效工作人员变动较为频繁，新老人员交接过程中存在业务衔接不到位的情况，导致部分工作推进滞后，影响了绩效管理工作的连续性与稳定性。</w:t>
      </w:r>
    </w:p>
    <w:p w14:paraId="5B49E10F">
      <w:pPr>
        <w:pageBreakBefore w:val="0"/>
        <w:kinsoku/>
        <w:wordWrap/>
        <w:overflowPunct/>
        <w:topLinePunct w:val="0"/>
        <w:autoSpaceDE/>
        <w:autoSpaceDN/>
        <w:bidi w:val="0"/>
        <w:adjustRightInd/>
        <w:snapToGrid/>
        <w:spacing w:line="560" w:lineRule="exact"/>
        <w:ind w:firstLine="640" w:firstLineChars="200"/>
        <w:textAlignment w:val="auto"/>
        <w:outlineLvl w:val="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预算及绩效目标编制阶段，与业务科室的沟通调研不够深入，对人员结构调整等实际业务因素研判不精准，导致部分指标目标值设置偏</w:t>
      </w:r>
      <w:r>
        <w:rPr>
          <w:rFonts w:hint="eastAsia" w:eastAsia="仿宋_GB2312" w:cs="Times New Roman"/>
          <w:sz w:val="32"/>
          <w:szCs w:val="32"/>
          <w:highlight w:val="none"/>
          <w:lang w:val="en-US" w:eastAsia="zh-CN"/>
        </w:rPr>
        <w:t>低</w:t>
      </w:r>
      <w:r>
        <w:rPr>
          <w:rFonts w:hint="default" w:ascii="Times New Roman" w:hAnsi="Times New Roman" w:eastAsia="仿宋_GB2312" w:cs="Times New Roman"/>
          <w:sz w:val="32"/>
          <w:szCs w:val="32"/>
          <w:highlight w:val="none"/>
          <w:lang w:val="en-US" w:eastAsia="zh-CN"/>
        </w:rPr>
        <w:t>，与实际执行情况存在小幅偏差</w:t>
      </w:r>
      <w:r>
        <w:rPr>
          <w:rFonts w:hint="eastAsia" w:eastAsia="仿宋_GB2312" w:cs="Times New Roman"/>
          <w:sz w:val="32"/>
          <w:szCs w:val="32"/>
          <w:highlight w:val="none"/>
          <w:lang w:val="en-US" w:eastAsia="zh-CN"/>
        </w:rPr>
        <w:t>。</w:t>
      </w:r>
    </w:p>
    <w:p w14:paraId="53A5F300">
      <w:pPr>
        <w:pageBreakBefore w:val="0"/>
        <w:kinsoku/>
        <w:wordWrap/>
        <w:overflowPunct/>
        <w:topLinePunct w:val="0"/>
        <w:autoSpaceDE/>
        <w:autoSpaceDN/>
        <w:bidi w:val="0"/>
        <w:adjustRightInd/>
        <w:snapToGrid/>
        <w:spacing w:line="560" w:lineRule="exact"/>
        <w:ind w:firstLine="640" w:firstLineChars="200"/>
        <w:textAlignment w:val="auto"/>
        <w:outlineLvl w:val="0"/>
        <w:rPr>
          <w:rFonts w:hint="eastAsia" w:eastAsia="黑体" w:cs="Times New Roman"/>
          <w:sz w:val="32"/>
          <w:szCs w:val="32"/>
          <w:highlight w:val="none"/>
          <w:lang w:val="en-US" w:eastAsia="zh-CN"/>
        </w:rPr>
      </w:pPr>
      <w:r>
        <w:rPr>
          <w:rFonts w:hint="eastAsia" w:eastAsia="黑体" w:cs="Times New Roman"/>
          <w:sz w:val="32"/>
          <w:szCs w:val="32"/>
          <w:highlight w:val="none"/>
          <w:lang w:val="en-US" w:eastAsia="zh-CN"/>
        </w:rPr>
        <w:t>七</w:t>
      </w:r>
      <w:r>
        <w:rPr>
          <w:rFonts w:hint="default" w:ascii="Times New Roman" w:hAnsi="Times New Roman" w:eastAsia="黑体" w:cs="Times New Roman"/>
          <w:sz w:val="32"/>
          <w:szCs w:val="32"/>
          <w:highlight w:val="none"/>
          <w:lang w:val="en-US" w:eastAsia="zh-CN"/>
        </w:rPr>
        <w:t>.</w:t>
      </w:r>
      <w:r>
        <w:rPr>
          <w:rFonts w:hint="default" w:ascii="Times New Roman" w:hAnsi="Times New Roman" w:eastAsia="黑体" w:cs="Times New Roman"/>
          <w:sz w:val="32"/>
          <w:szCs w:val="32"/>
          <w:highlight w:val="none"/>
        </w:rPr>
        <w:t>有关建议</w:t>
      </w:r>
      <w:r>
        <w:rPr>
          <w:rFonts w:hint="eastAsia" w:eastAsia="黑体" w:cs="Times New Roman"/>
          <w:sz w:val="32"/>
          <w:szCs w:val="32"/>
          <w:highlight w:val="none"/>
          <w:lang w:val="en-US" w:eastAsia="zh-CN"/>
        </w:rPr>
        <w:t xml:space="preserve"> </w:t>
      </w:r>
    </w:p>
    <w:p w14:paraId="73537144">
      <w:pPr>
        <w:pageBreakBefore w:val="0"/>
        <w:kinsoku/>
        <w:wordWrap/>
        <w:overflowPunct/>
        <w:topLinePunct w:val="0"/>
        <w:autoSpaceDE/>
        <w:autoSpaceDN/>
        <w:bidi w:val="0"/>
        <w:adjustRightInd/>
        <w:snapToGrid/>
        <w:spacing w:line="560" w:lineRule="exact"/>
        <w:ind w:firstLine="640" w:firstLineChars="200"/>
        <w:textAlignment w:val="auto"/>
        <w:outlineLvl w:val="0"/>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1.</w:t>
      </w:r>
      <w:r>
        <w:rPr>
          <w:rFonts w:hint="eastAsia" w:ascii="Times New Roman" w:hAnsi="Times New Roman" w:eastAsia="仿宋_GB2312" w:cs="Times New Roman"/>
          <w:sz w:val="32"/>
          <w:szCs w:val="32"/>
          <w:highlight w:val="none"/>
          <w:lang w:val="en-US" w:eastAsia="zh-CN"/>
        </w:rPr>
        <w:t>针对当前部分人员绩效管理专业知识不足、指标设置不够细化量化的问题，积极组织或邀请第三方开展绩效管理专项培训，重点覆盖绩效目标设置、自评方法、数据审核、水利行业绩效评价等内容，夯实业务基础，破除内部自评局限性，提升评价工作质量。</w:t>
      </w:r>
    </w:p>
    <w:p w14:paraId="50D8D4DA">
      <w:pPr>
        <w:pageBreakBefore w:val="0"/>
        <w:kinsoku/>
        <w:wordWrap/>
        <w:overflowPunct/>
        <w:topLinePunct w:val="0"/>
        <w:autoSpaceDE/>
        <w:autoSpaceDN/>
        <w:bidi w:val="0"/>
        <w:adjustRightInd/>
        <w:snapToGrid/>
        <w:spacing w:line="560" w:lineRule="exact"/>
        <w:ind w:firstLine="640" w:firstLineChars="200"/>
        <w:textAlignment w:val="auto"/>
        <w:outlineLvl w:val="0"/>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2.</w:t>
      </w:r>
      <w:r>
        <w:rPr>
          <w:rFonts w:hint="eastAsia" w:ascii="Times New Roman" w:hAnsi="Times New Roman" w:eastAsia="仿宋_GB2312" w:cs="Times New Roman"/>
          <w:sz w:val="32"/>
          <w:szCs w:val="32"/>
          <w:highlight w:val="none"/>
          <w:lang w:val="en-US" w:eastAsia="zh-CN"/>
        </w:rPr>
        <w:t>针对轮岗、人员调动导致绩效工作人员流动频繁、工作衔接不到位的问题，专门制定绩效工作人员定职、定岗、定责制度，明确岗位职责、工作标准及交接流程，建立完整的交接资料清单与时限要求，稳定绩效工作队伍，确保绩效管理工作连续稳定推进。</w:t>
      </w:r>
    </w:p>
    <w:p w14:paraId="1FA43275">
      <w:pPr>
        <w:pageBreakBefore w:val="0"/>
        <w:kinsoku/>
        <w:wordWrap/>
        <w:overflowPunct/>
        <w:topLinePunct w:val="0"/>
        <w:autoSpaceDE/>
        <w:autoSpaceDN/>
        <w:bidi w:val="0"/>
        <w:adjustRightInd/>
        <w:snapToGrid/>
        <w:spacing w:line="560" w:lineRule="exact"/>
        <w:ind w:firstLine="640" w:firstLineChars="200"/>
        <w:textAlignment w:val="auto"/>
        <w:outlineLvl w:val="0"/>
        <w:rPr>
          <w:rFonts w:hint="eastAsia"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3.</w:t>
      </w:r>
      <w:r>
        <w:rPr>
          <w:rFonts w:hint="eastAsia" w:eastAsia="仿宋_GB2312" w:cs="Times New Roman"/>
          <w:sz w:val="32"/>
          <w:szCs w:val="32"/>
          <w:highlight w:val="none"/>
          <w:lang w:val="en-US" w:eastAsia="zh-CN"/>
        </w:rPr>
        <w:t>针对前期与业务科室沟通不充分、导致部分指标目标值偏低的问题，在预算及绩效目标编制前，精准核定人员编制与岗位配置，结合单位业务实际与发展需求，科学制定用人计划。通过强化招聘与人员调动的统筹管理，从源头避免超编现象，确保目标人数与业绩人数保持一致</w:t>
      </w:r>
      <w:r>
        <w:rPr>
          <w:rFonts w:hint="eastAsia" w:ascii="仿宋_GB2312" w:hAnsi="仿宋_GB2312" w:eastAsia="仿宋_GB2312" w:cs="仿宋_GB2312"/>
          <w:b w:val="0"/>
          <w:bCs w:val="0"/>
          <w:sz w:val="32"/>
          <w:szCs w:val="32"/>
          <w:highlight w:val="none"/>
        </w:rPr>
        <w:t>。</w:t>
      </w:r>
    </w:p>
    <w:p w14:paraId="5B5525D9">
      <w:pPr>
        <w:pageBreakBefore w:val="0"/>
        <w:kinsoku/>
        <w:wordWrap/>
        <w:overflowPunct/>
        <w:topLinePunct w:val="0"/>
        <w:autoSpaceDE/>
        <w:autoSpaceDN/>
        <w:bidi w:val="0"/>
        <w:adjustRightInd/>
        <w:snapToGrid/>
        <w:spacing w:line="560" w:lineRule="exact"/>
        <w:ind w:firstLine="640" w:firstLineChars="200"/>
        <w:textAlignment w:val="auto"/>
        <w:outlineLvl w:val="0"/>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4.</w:t>
      </w:r>
      <w:r>
        <w:rPr>
          <w:rFonts w:hint="eastAsia" w:ascii="Times New Roman" w:hAnsi="Times New Roman" w:eastAsia="仿宋_GB2312" w:cs="Times New Roman"/>
          <w:sz w:val="32"/>
          <w:szCs w:val="32"/>
          <w:highlight w:val="none"/>
          <w:lang w:val="en-US" w:eastAsia="zh-CN"/>
        </w:rPr>
        <w:t>严格执行专项资金管理办法和财政资金管理制度，项目前期扎实做好可行性研究，细化实施方案，按照水利工程招投标、建设管理等规定稳步推进；同时规范项目档案管理，同步收集整理招投标资料、工程建设资料、合同、财务凭证等，确保项目实施全程可追溯。</w:t>
      </w:r>
    </w:p>
    <w:p w14:paraId="607F05E3">
      <w:pPr>
        <w:pageBreakBefore w:val="0"/>
        <w:kinsoku/>
        <w:wordWrap/>
        <w:overflowPunct/>
        <w:topLinePunct w:val="0"/>
        <w:autoSpaceDE/>
        <w:autoSpaceDN/>
        <w:bidi w:val="0"/>
        <w:adjustRightInd/>
        <w:snapToGrid/>
        <w:spacing w:line="560" w:lineRule="exact"/>
        <w:ind w:firstLine="640" w:firstLineChars="200"/>
        <w:textAlignment w:val="auto"/>
        <w:outlineLvl w:val="0"/>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5.</w:t>
      </w:r>
      <w:r>
        <w:rPr>
          <w:rFonts w:hint="eastAsia" w:ascii="Times New Roman" w:hAnsi="Times New Roman" w:eastAsia="仿宋_GB2312" w:cs="Times New Roman"/>
          <w:sz w:val="32"/>
          <w:szCs w:val="32"/>
          <w:highlight w:val="none"/>
          <w:lang w:val="en-US" w:eastAsia="zh-CN"/>
        </w:rPr>
        <w:t>进一步加强对绩效管理工作的组织领导，提高全员对预算绩效管理重要性的认识，结合水利行业考核建立绩效工作考核制度，将绩效管理成效纳入科室及个人考核，加大“花钱必问效、无效必问责”理念宣贯力度，推动绩效管理各项要求落到实处。</w:t>
      </w:r>
    </w:p>
    <w:p w14:paraId="49BE35B2">
      <w:pPr>
        <w:spacing w:line="560" w:lineRule="exact"/>
        <w:ind w:firstLine="640" w:firstLineChars="200"/>
        <w:outlineLvl w:val="0"/>
        <w:rPr>
          <w:rFonts w:hint="default" w:ascii="Times New Roman" w:hAnsi="Times New Roman" w:eastAsia="黑体" w:cs="Times New Roman"/>
          <w:sz w:val="32"/>
          <w:szCs w:val="32"/>
          <w:highlight w:val="none"/>
        </w:rPr>
      </w:pPr>
      <w:bookmarkStart w:id="61" w:name="_Toc3065"/>
      <w:r>
        <w:rPr>
          <w:rFonts w:hint="eastAsia" w:eastAsia="黑体" w:cs="Times New Roman"/>
          <w:sz w:val="32"/>
          <w:szCs w:val="32"/>
          <w:highlight w:val="none"/>
          <w:lang w:val="en-US" w:eastAsia="zh-CN"/>
        </w:rPr>
        <w:t>八</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其他需要说</w:t>
      </w:r>
      <w:bookmarkStart w:id="62" w:name="page8"/>
      <w:bookmarkEnd w:id="62"/>
      <w:r>
        <w:rPr>
          <w:rFonts w:hint="default" w:ascii="Times New Roman" w:hAnsi="Times New Roman" w:eastAsia="黑体" w:cs="Times New Roman"/>
          <w:sz w:val="32"/>
          <w:szCs w:val="32"/>
          <w:highlight w:val="none"/>
        </w:rPr>
        <w:t>明的问题</w:t>
      </w:r>
      <w:bookmarkEnd w:id="61"/>
    </w:p>
    <w:p w14:paraId="4BD74C79">
      <w:pPr>
        <w:pStyle w:val="15"/>
        <w:spacing w:after="0" w:line="560" w:lineRule="exact"/>
        <w:ind w:left="0" w:leftChars="0" w:firstLine="64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本项目无其他需说明的问题。</w:t>
      </w:r>
    </w:p>
    <w:p w14:paraId="6E97859A">
      <w:pPr>
        <w:pStyle w:val="15"/>
        <w:spacing w:after="0" w:line="560" w:lineRule="exact"/>
        <w:ind w:left="0" w:leftChars="0" w:firstLine="640"/>
        <w:rPr>
          <w:rFonts w:hint="default" w:ascii="Times New Roman" w:hAnsi="Times New Roman" w:eastAsia="仿宋_GB2312" w:cs="Times New Roman"/>
          <w:sz w:val="32"/>
          <w:szCs w:val="32"/>
          <w:highlight w:val="none"/>
        </w:rPr>
      </w:pPr>
    </w:p>
    <w:p w14:paraId="65C58C65">
      <w:pPr>
        <w:pStyle w:val="15"/>
        <w:spacing w:after="0" w:line="560" w:lineRule="exact"/>
        <w:ind w:left="0" w:leftChars="0" w:firstLine="640"/>
        <w:rPr>
          <w:rFonts w:hint="eastAsia" w:ascii="Times New Roman" w:hAnsi="Times New Roman" w:eastAsia="仿宋_GB2312" w:cs="Times New Roman"/>
          <w:sz w:val="32"/>
          <w:szCs w:val="32"/>
          <w:highlight w:val="none"/>
          <w:lang w:eastAsia="zh-CN"/>
        </w:rPr>
      </w:pPr>
    </w:p>
    <w:p w14:paraId="74FDBBF0">
      <w:pPr>
        <w:pStyle w:val="15"/>
        <w:spacing w:after="0" w:line="560" w:lineRule="exact"/>
        <w:ind w:left="0" w:leftChars="0" w:firstLine="0" w:firstLineChars="0"/>
        <w:rPr>
          <w:rFonts w:hint="default" w:ascii="Times New Roman" w:hAnsi="Times New Roman" w:eastAsia="仿宋_GB2312" w:cs="Times New Roman"/>
          <w:sz w:val="32"/>
          <w:szCs w:val="32"/>
          <w:highlight w:val="none"/>
        </w:rPr>
      </w:pPr>
    </w:p>
    <w:p w14:paraId="66727A6E">
      <w:pPr>
        <w:spacing w:line="600" w:lineRule="exact"/>
        <w:rPr>
          <w:rFonts w:hint="eastAsia" w:ascii="Times New Roman" w:hAnsi="Times New Roman" w:eastAsia="黑体" w:cs="Times New Roman"/>
          <w:sz w:val="32"/>
          <w:szCs w:val="32"/>
          <w:highlight w:val="none"/>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5BFCE6CA">
      <w:pPr>
        <w:spacing w:line="600" w:lineRule="exact"/>
        <w:outlineLvl w:val="0"/>
        <w:rPr>
          <w:rFonts w:hint="default" w:eastAsia="黑体" w:cs="Times New Roman"/>
          <w:sz w:val="32"/>
          <w:szCs w:val="32"/>
          <w:highlight w:val="none"/>
          <w:lang w:val="en-US" w:eastAsia="zh-CN"/>
        </w:rPr>
      </w:pPr>
      <w:bookmarkStart w:id="63" w:name="_Toc15260"/>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1</w:t>
      </w:r>
      <w:bookmarkEnd w:id="63"/>
      <w:r>
        <w:rPr>
          <w:rFonts w:hint="eastAsia" w:eastAsia="黑体" w:cs="Times New Roman"/>
          <w:sz w:val="32"/>
          <w:szCs w:val="32"/>
          <w:highlight w:val="none"/>
          <w:lang w:val="en-US" w:eastAsia="zh-CN"/>
        </w:rPr>
        <w:t>评价指标体系</w:t>
      </w:r>
    </w:p>
    <w:p w14:paraId="0997E940">
      <w:pPr>
        <w:pStyle w:val="24"/>
        <w:ind w:firstLine="562"/>
        <w:jc w:val="center"/>
        <w:rPr>
          <w:rFonts w:hint="eastAsia" w:ascii="仿宋_GB2312" w:hAnsi="仿宋_GB2312" w:eastAsia="仿宋_GB2312" w:cs="仿宋_GB2312"/>
          <w:sz w:val="28"/>
          <w:szCs w:val="40"/>
          <w:highlight w:val="none"/>
        </w:rPr>
      </w:pPr>
      <w:bookmarkStart w:id="64" w:name="_Toc26499_WPSOffice_Level2"/>
      <w:bookmarkStart w:id="65" w:name="_Toc30064_WPSOffice_Level1"/>
      <w:r>
        <w:rPr>
          <w:rFonts w:hint="eastAsia" w:ascii="仿宋_GB2312" w:hAnsi="仿宋_GB2312" w:eastAsia="仿宋_GB2312" w:cs="仿宋_GB2312"/>
          <w:b/>
          <w:bCs/>
          <w:sz w:val="28"/>
          <w:szCs w:val="40"/>
          <w:highlight w:val="none"/>
        </w:rPr>
        <w:t>克孜尔水库2025年经营成本性项目绩效评价指标体系</w:t>
      </w:r>
      <w:bookmarkEnd w:id="64"/>
      <w:bookmarkEnd w:id="65"/>
    </w:p>
    <w:tbl>
      <w:tblPr>
        <w:tblStyle w:val="16"/>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2"/>
        <w:gridCol w:w="997"/>
        <w:gridCol w:w="1071"/>
        <w:gridCol w:w="1726"/>
        <w:gridCol w:w="5222"/>
        <w:gridCol w:w="1299"/>
        <w:gridCol w:w="1366"/>
      </w:tblGrid>
      <w:tr w14:paraId="30A4CE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5" w:type="pct"/>
            <w:shd w:val="clear" w:color="auto" w:fill="FFFFFF"/>
            <w:vAlign w:val="center"/>
          </w:tcPr>
          <w:p w14:paraId="669BA00C">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一级指标</w:t>
            </w:r>
          </w:p>
        </w:tc>
        <w:tc>
          <w:tcPr>
            <w:tcW w:w="393" w:type="pct"/>
            <w:shd w:val="clear" w:color="auto" w:fill="FFFFFF"/>
            <w:vAlign w:val="center"/>
          </w:tcPr>
          <w:p w14:paraId="2FA8349B">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二级指标</w:t>
            </w:r>
          </w:p>
        </w:tc>
        <w:tc>
          <w:tcPr>
            <w:tcW w:w="422" w:type="pct"/>
            <w:shd w:val="clear" w:color="auto" w:fill="FFFFFF"/>
            <w:vAlign w:val="center"/>
          </w:tcPr>
          <w:p w14:paraId="51BF5850">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三级指标</w:t>
            </w:r>
          </w:p>
        </w:tc>
        <w:tc>
          <w:tcPr>
            <w:tcW w:w="680" w:type="pct"/>
            <w:shd w:val="clear" w:color="auto" w:fill="FFFFFF"/>
            <w:vAlign w:val="center"/>
          </w:tcPr>
          <w:p w14:paraId="65BF0D8D">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指标解释</w:t>
            </w:r>
          </w:p>
        </w:tc>
        <w:tc>
          <w:tcPr>
            <w:tcW w:w="2057" w:type="pct"/>
            <w:shd w:val="clear" w:color="auto" w:fill="FFFFFF"/>
            <w:vAlign w:val="center"/>
          </w:tcPr>
          <w:p w14:paraId="739A22BF">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指标说明</w:t>
            </w:r>
          </w:p>
        </w:tc>
        <w:tc>
          <w:tcPr>
            <w:tcW w:w="512" w:type="pct"/>
            <w:shd w:val="clear" w:color="auto" w:fill="FFFFFF"/>
            <w:vAlign w:val="center"/>
          </w:tcPr>
          <w:p w14:paraId="6D2CAAF9">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权重</w:t>
            </w:r>
          </w:p>
        </w:tc>
        <w:tc>
          <w:tcPr>
            <w:tcW w:w="538" w:type="pct"/>
            <w:shd w:val="clear" w:color="auto" w:fill="FFFFFF"/>
            <w:vAlign w:val="center"/>
          </w:tcPr>
          <w:p w14:paraId="503F4988">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得分</w:t>
            </w:r>
          </w:p>
        </w:tc>
      </w:tr>
      <w:tr w14:paraId="1FEF28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5" w:type="pct"/>
            <w:vMerge w:val="restart"/>
            <w:shd w:val="clear" w:color="auto" w:fill="FFFFFF"/>
            <w:vAlign w:val="center"/>
          </w:tcPr>
          <w:p w14:paraId="6A1E989F">
            <w:pPr>
              <w:widowControl/>
              <w:spacing w:line="0" w:lineRule="atLeast"/>
              <w:jc w:val="center"/>
              <w:rPr>
                <w:rFonts w:hint="default" w:ascii="Times New Roman" w:hAnsi="Times New Roman" w:eastAsia="仿宋_GB2312" w:cs="Times New Roman"/>
                <w:color w:val="000000"/>
                <w:kern w:val="0"/>
                <w:sz w:val="18"/>
                <w:szCs w:val="18"/>
                <w:highlight w:val="none"/>
              </w:rPr>
            </w:pPr>
          </w:p>
          <w:p w14:paraId="602AAF97">
            <w:pPr>
              <w:widowControl/>
              <w:spacing w:line="0" w:lineRule="atLeast"/>
              <w:jc w:val="center"/>
              <w:rPr>
                <w:rFonts w:hint="default" w:ascii="Times New Roman" w:hAnsi="Times New Roman" w:eastAsia="仿宋_GB2312" w:cs="Times New Roman"/>
                <w:color w:val="000000"/>
                <w:kern w:val="0"/>
                <w:sz w:val="18"/>
                <w:szCs w:val="18"/>
                <w:highlight w:val="none"/>
              </w:rPr>
            </w:pPr>
          </w:p>
          <w:p w14:paraId="0B6914DB">
            <w:pPr>
              <w:widowControl/>
              <w:spacing w:line="0" w:lineRule="atLeast"/>
              <w:jc w:val="center"/>
              <w:rPr>
                <w:rFonts w:hint="default" w:ascii="Times New Roman" w:hAnsi="Times New Roman" w:eastAsia="仿宋_GB2312" w:cs="Times New Roman"/>
                <w:color w:val="000000"/>
                <w:kern w:val="0"/>
                <w:sz w:val="18"/>
                <w:szCs w:val="18"/>
                <w:highlight w:val="none"/>
              </w:rPr>
            </w:pPr>
          </w:p>
          <w:p w14:paraId="26750099">
            <w:pPr>
              <w:widowControl/>
              <w:spacing w:line="0" w:lineRule="atLeast"/>
              <w:jc w:val="center"/>
              <w:rPr>
                <w:rFonts w:hint="default" w:ascii="Times New Roman" w:hAnsi="Times New Roman" w:eastAsia="仿宋_GB2312" w:cs="Times New Roman"/>
                <w:color w:val="000000"/>
                <w:kern w:val="0"/>
                <w:sz w:val="18"/>
                <w:szCs w:val="18"/>
                <w:highlight w:val="none"/>
              </w:rPr>
            </w:pPr>
          </w:p>
          <w:p w14:paraId="46677305">
            <w:pPr>
              <w:widowControl/>
              <w:spacing w:line="0" w:lineRule="atLeast"/>
              <w:jc w:val="center"/>
              <w:rPr>
                <w:rFonts w:hint="default" w:ascii="Times New Roman" w:hAnsi="Times New Roman" w:eastAsia="仿宋_GB2312" w:cs="Times New Roman"/>
                <w:color w:val="000000"/>
                <w:kern w:val="0"/>
                <w:sz w:val="18"/>
                <w:szCs w:val="18"/>
                <w:highlight w:val="none"/>
              </w:rPr>
            </w:pPr>
          </w:p>
          <w:p w14:paraId="0F7C09C5">
            <w:pPr>
              <w:widowControl/>
              <w:spacing w:line="0" w:lineRule="atLeast"/>
              <w:jc w:val="center"/>
              <w:rPr>
                <w:rFonts w:hint="default" w:ascii="Times New Roman" w:hAnsi="Times New Roman" w:eastAsia="仿宋_GB2312" w:cs="Times New Roman"/>
                <w:color w:val="000000"/>
                <w:kern w:val="0"/>
                <w:sz w:val="18"/>
                <w:szCs w:val="18"/>
                <w:highlight w:val="none"/>
              </w:rPr>
            </w:pPr>
          </w:p>
          <w:p w14:paraId="399E09C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w:t>
            </w:r>
          </w:p>
        </w:tc>
        <w:tc>
          <w:tcPr>
            <w:tcW w:w="393" w:type="pct"/>
            <w:vMerge w:val="restart"/>
            <w:shd w:val="clear" w:color="auto" w:fill="FFFFFF"/>
            <w:vAlign w:val="center"/>
          </w:tcPr>
          <w:p w14:paraId="66295B2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w:t>
            </w:r>
          </w:p>
        </w:tc>
        <w:tc>
          <w:tcPr>
            <w:tcW w:w="422" w:type="pct"/>
            <w:shd w:val="clear" w:color="auto" w:fill="FFFFFF"/>
            <w:vAlign w:val="center"/>
          </w:tcPr>
          <w:p w14:paraId="78AEADE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14:paraId="28C8641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680" w:type="pct"/>
            <w:shd w:val="clear" w:color="auto" w:fill="FFFFFF"/>
            <w:vAlign w:val="center"/>
          </w:tcPr>
          <w:p w14:paraId="5BBBD59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2057" w:type="pct"/>
            <w:shd w:val="clear" w:color="auto" w:fill="FFFFFF"/>
            <w:vAlign w:val="center"/>
          </w:tcPr>
          <w:p w14:paraId="08018B51">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512" w:type="pct"/>
            <w:shd w:val="clear" w:color="auto" w:fill="FFFFFF"/>
            <w:vAlign w:val="center"/>
          </w:tcPr>
          <w:p w14:paraId="54DF65DA">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auto" w:fill="FFFFFF"/>
            <w:vAlign w:val="center"/>
          </w:tcPr>
          <w:p w14:paraId="4550F4FD">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3EC365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5" w:type="pct"/>
            <w:vMerge w:val="continue"/>
            <w:shd w:val="clear" w:color="auto" w:fill="FFFFFF"/>
            <w:vAlign w:val="center"/>
          </w:tcPr>
          <w:p w14:paraId="3D7B5358">
            <w:pPr>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continue"/>
            <w:shd w:val="clear" w:color="auto" w:fill="FFFFFF"/>
            <w:vAlign w:val="center"/>
          </w:tcPr>
          <w:p w14:paraId="3C52DBCB">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69100CD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14:paraId="511C6E0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680" w:type="pct"/>
            <w:shd w:val="clear" w:color="auto" w:fill="FFFFFF"/>
            <w:vAlign w:val="center"/>
          </w:tcPr>
          <w:p w14:paraId="16756B19">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2057" w:type="pct"/>
            <w:shd w:val="clear" w:color="auto" w:fill="FFFFFF"/>
            <w:vAlign w:val="center"/>
          </w:tcPr>
          <w:p w14:paraId="13F5E202">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512" w:type="pct"/>
            <w:shd w:val="clear" w:color="auto" w:fill="FFFFFF"/>
            <w:vAlign w:val="center"/>
          </w:tcPr>
          <w:p w14:paraId="591D6DF7">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auto" w:fill="FFFFFF"/>
            <w:vAlign w:val="center"/>
          </w:tcPr>
          <w:p w14:paraId="3DA31C7A">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5A6771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5" w:type="pct"/>
            <w:vMerge w:val="continue"/>
            <w:shd w:val="clear" w:color="auto" w:fill="FFFFFF"/>
            <w:vAlign w:val="center"/>
          </w:tcPr>
          <w:p w14:paraId="49F016AD">
            <w:pPr>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restart"/>
            <w:shd w:val="clear" w:color="auto" w:fill="FFFFFF"/>
            <w:vAlign w:val="center"/>
          </w:tcPr>
          <w:p w14:paraId="7051138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tc>
        <w:tc>
          <w:tcPr>
            <w:tcW w:w="422" w:type="pct"/>
            <w:shd w:val="clear" w:color="auto" w:fill="FFFFFF"/>
            <w:vAlign w:val="center"/>
          </w:tcPr>
          <w:p w14:paraId="69F0E3C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14:paraId="4FB5872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680" w:type="pct"/>
            <w:shd w:val="clear" w:color="000000" w:fill="FFFFFF"/>
            <w:vAlign w:val="center"/>
          </w:tcPr>
          <w:p w14:paraId="53745C6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2057" w:type="pct"/>
            <w:shd w:val="clear" w:color="000000" w:fill="FFFFFF"/>
            <w:vAlign w:val="center"/>
          </w:tcPr>
          <w:p w14:paraId="4CB3BE54">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14:paraId="6E9017FE">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512" w:type="pct"/>
            <w:shd w:val="clear" w:color="000000" w:fill="FFFFFF"/>
            <w:vAlign w:val="center"/>
          </w:tcPr>
          <w:p w14:paraId="1A2CC587">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000000" w:fill="FFFFFF"/>
            <w:vAlign w:val="center"/>
          </w:tcPr>
          <w:p w14:paraId="722A18AF">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3BCE10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5" w:type="pct"/>
            <w:vMerge w:val="continue"/>
            <w:shd w:val="clear" w:color="auto" w:fill="FFFFFF"/>
            <w:vAlign w:val="center"/>
          </w:tcPr>
          <w:p w14:paraId="124667ED">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continue"/>
            <w:shd w:val="clear" w:color="auto" w:fill="FFFFFF"/>
            <w:vAlign w:val="center"/>
          </w:tcPr>
          <w:p w14:paraId="64D45814">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4EEFFDF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14:paraId="3CD6CEE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680" w:type="pct"/>
            <w:shd w:val="clear" w:color="000000" w:fill="FFFFFF"/>
            <w:vAlign w:val="center"/>
          </w:tcPr>
          <w:p w14:paraId="1EE133C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2057" w:type="pct"/>
            <w:shd w:val="clear" w:color="000000" w:fill="FFFFFF"/>
            <w:vAlign w:val="center"/>
          </w:tcPr>
          <w:p w14:paraId="20D953F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512" w:type="pct"/>
            <w:shd w:val="clear" w:color="000000" w:fill="FFFFFF"/>
            <w:vAlign w:val="center"/>
          </w:tcPr>
          <w:p w14:paraId="118AE697">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000000" w:fill="FFFFFF"/>
            <w:vAlign w:val="center"/>
          </w:tcPr>
          <w:p w14:paraId="1E8B6056">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2F1E4E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5" w:type="pct"/>
            <w:vMerge w:val="continue"/>
            <w:shd w:val="clear" w:color="auto" w:fill="FFFFFF"/>
            <w:vAlign w:val="center"/>
          </w:tcPr>
          <w:p w14:paraId="75683EEE">
            <w:pPr>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restart"/>
            <w:shd w:val="clear" w:color="auto" w:fill="FFFFFF"/>
            <w:vAlign w:val="center"/>
          </w:tcPr>
          <w:p w14:paraId="72D584B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14:paraId="3475403C">
            <w:pPr>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15B5EDF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14:paraId="720CF08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680" w:type="pct"/>
            <w:shd w:val="clear" w:color="auto" w:fill="FFFFFF"/>
            <w:vAlign w:val="center"/>
          </w:tcPr>
          <w:p w14:paraId="168FF87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2057" w:type="pct"/>
            <w:shd w:val="clear" w:color="auto" w:fill="FFFFFF"/>
            <w:vAlign w:val="center"/>
          </w:tcPr>
          <w:p w14:paraId="2523792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512" w:type="pct"/>
            <w:shd w:val="clear" w:color="auto" w:fill="FFFFFF"/>
            <w:vAlign w:val="center"/>
          </w:tcPr>
          <w:p w14:paraId="79ED6B37">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14:paraId="4E3F8316">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557830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5" w:type="pct"/>
            <w:vMerge w:val="continue"/>
            <w:shd w:val="clear" w:color="auto" w:fill="FFFFFF"/>
            <w:vAlign w:val="center"/>
          </w:tcPr>
          <w:p w14:paraId="2D5BEACC">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continue"/>
            <w:shd w:val="clear" w:color="auto" w:fill="FFFFFF"/>
            <w:vAlign w:val="center"/>
          </w:tcPr>
          <w:p w14:paraId="24815DD7">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5579E32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14:paraId="28C7A40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680" w:type="pct"/>
            <w:shd w:val="clear" w:color="auto" w:fill="FFFFFF"/>
            <w:vAlign w:val="center"/>
          </w:tcPr>
          <w:p w14:paraId="4160409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2057" w:type="pct"/>
            <w:shd w:val="clear" w:color="auto" w:fill="FFFFFF"/>
            <w:vAlign w:val="center"/>
          </w:tcPr>
          <w:p w14:paraId="7C4817E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512" w:type="pct"/>
            <w:shd w:val="clear" w:color="auto" w:fill="FFFFFF"/>
            <w:vAlign w:val="center"/>
          </w:tcPr>
          <w:p w14:paraId="135E8DC6">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14:paraId="7C19A5D5">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5F8F5B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5" w:type="pct"/>
            <w:vMerge w:val="restart"/>
            <w:shd w:val="clear" w:color="auto" w:fill="FFFFFF"/>
            <w:vAlign w:val="center"/>
          </w:tcPr>
          <w:p w14:paraId="6F85DEC3">
            <w:pPr>
              <w:spacing w:line="0" w:lineRule="atLeast"/>
              <w:jc w:val="center"/>
              <w:rPr>
                <w:rFonts w:hint="default" w:ascii="Times New Roman" w:hAnsi="Times New Roman" w:eastAsia="仿宋_GB2312" w:cs="Times New Roman"/>
                <w:color w:val="000000"/>
                <w:kern w:val="0"/>
                <w:sz w:val="18"/>
                <w:szCs w:val="18"/>
                <w:highlight w:val="none"/>
              </w:rPr>
            </w:pPr>
          </w:p>
          <w:p w14:paraId="46EC4ABB">
            <w:pPr>
              <w:spacing w:line="0" w:lineRule="atLeast"/>
              <w:jc w:val="center"/>
              <w:rPr>
                <w:rFonts w:hint="default" w:ascii="Times New Roman" w:hAnsi="Times New Roman" w:eastAsia="仿宋_GB2312" w:cs="Times New Roman"/>
                <w:color w:val="000000"/>
                <w:kern w:val="0"/>
                <w:sz w:val="18"/>
                <w:szCs w:val="18"/>
                <w:highlight w:val="none"/>
              </w:rPr>
            </w:pPr>
          </w:p>
          <w:p w14:paraId="0966B155">
            <w:pPr>
              <w:spacing w:line="0" w:lineRule="atLeast"/>
              <w:jc w:val="center"/>
              <w:rPr>
                <w:rFonts w:hint="default" w:ascii="Times New Roman" w:hAnsi="Times New Roman" w:eastAsia="仿宋_GB2312" w:cs="Times New Roman"/>
                <w:color w:val="000000"/>
                <w:kern w:val="0"/>
                <w:sz w:val="18"/>
                <w:szCs w:val="18"/>
                <w:highlight w:val="none"/>
              </w:rPr>
            </w:pPr>
          </w:p>
          <w:p w14:paraId="05F4870D">
            <w:pPr>
              <w:spacing w:line="0" w:lineRule="atLeast"/>
              <w:jc w:val="center"/>
              <w:rPr>
                <w:rFonts w:hint="default" w:ascii="Times New Roman" w:hAnsi="Times New Roman" w:eastAsia="仿宋_GB2312" w:cs="Times New Roman"/>
                <w:color w:val="000000"/>
                <w:kern w:val="0"/>
                <w:sz w:val="18"/>
                <w:szCs w:val="18"/>
                <w:highlight w:val="none"/>
              </w:rPr>
            </w:pPr>
          </w:p>
          <w:p w14:paraId="15866F21">
            <w:pPr>
              <w:spacing w:line="0" w:lineRule="atLeast"/>
              <w:jc w:val="center"/>
              <w:rPr>
                <w:rFonts w:hint="default" w:ascii="Times New Roman" w:hAnsi="Times New Roman" w:eastAsia="仿宋_GB2312" w:cs="Times New Roman"/>
                <w:color w:val="000000"/>
                <w:kern w:val="0"/>
                <w:sz w:val="18"/>
                <w:szCs w:val="18"/>
                <w:highlight w:val="none"/>
              </w:rPr>
            </w:pPr>
          </w:p>
          <w:p w14:paraId="7A9C26A6">
            <w:pPr>
              <w:spacing w:line="0" w:lineRule="atLeast"/>
              <w:jc w:val="center"/>
              <w:rPr>
                <w:rFonts w:hint="default" w:ascii="Times New Roman" w:hAnsi="Times New Roman" w:eastAsia="仿宋_GB2312" w:cs="Times New Roman"/>
                <w:color w:val="000000"/>
                <w:kern w:val="0"/>
                <w:sz w:val="18"/>
                <w:szCs w:val="18"/>
                <w:highlight w:val="none"/>
              </w:rPr>
            </w:pPr>
          </w:p>
          <w:p w14:paraId="2D048F7F">
            <w:pPr>
              <w:spacing w:line="0" w:lineRule="atLeast"/>
              <w:jc w:val="center"/>
              <w:rPr>
                <w:rFonts w:hint="default" w:ascii="Times New Roman" w:hAnsi="Times New Roman" w:eastAsia="仿宋_GB2312" w:cs="Times New Roman"/>
                <w:color w:val="000000"/>
                <w:kern w:val="0"/>
                <w:sz w:val="18"/>
                <w:szCs w:val="18"/>
                <w:highlight w:val="none"/>
              </w:rPr>
            </w:pPr>
          </w:p>
          <w:p w14:paraId="157B6D7F">
            <w:pPr>
              <w:spacing w:line="0" w:lineRule="atLeast"/>
              <w:jc w:val="center"/>
              <w:rPr>
                <w:rFonts w:hint="default" w:ascii="Times New Roman" w:hAnsi="Times New Roman" w:eastAsia="仿宋_GB2312" w:cs="Times New Roman"/>
                <w:color w:val="000000"/>
                <w:kern w:val="0"/>
                <w:sz w:val="18"/>
                <w:szCs w:val="18"/>
                <w:highlight w:val="none"/>
              </w:rPr>
            </w:pPr>
          </w:p>
          <w:p w14:paraId="57D74361">
            <w:pPr>
              <w:spacing w:line="0" w:lineRule="atLeast"/>
              <w:jc w:val="center"/>
              <w:rPr>
                <w:rFonts w:hint="default" w:ascii="Times New Roman" w:hAnsi="Times New Roman" w:eastAsia="仿宋_GB2312" w:cs="Times New Roman"/>
                <w:color w:val="000000"/>
                <w:kern w:val="0"/>
                <w:sz w:val="18"/>
                <w:szCs w:val="18"/>
                <w:highlight w:val="none"/>
              </w:rPr>
            </w:pPr>
          </w:p>
          <w:p w14:paraId="1DF55BE3">
            <w:pPr>
              <w:spacing w:line="0" w:lineRule="atLeast"/>
              <w:jc w:val="center"/>
              <w:rPr>
                <w:rFonts w:hint="default" w:ascii="Times New Roman" w:hAnsi="Times New Roman" w:eastAsia="仿宋_GB2312" w:cs="Times New Roman"/>
                <w:color w:val="000000"/>
                <w:kern w:val="0"/>
                <w:sz w:val="18"/>
                <w:szCs w:val="18"/>
                <w:highlight w:val="none"/>
              </w:rPr>
            </w:pPr>
          </w:p>
          <w:p w14:paraId="037F9D2D">
            <w:pPr>
              <w:spacing w:line="0" w:lineRule="atLeast"/>
              <w:jc w:val="center"/>
              <w:rPr>
                <w:rFonts w:hint="default" w:ascii="Times New Roman" w:hAnsi="Times New Roman" w:eastAsia="仿宋_GB2312" w:cs="Times New Roman"/>
                <w:color w:val="000000"/>
                <w:kern w:val="0"/>
                <w:sz w:val="18"/>
                <w:szCs w:val="18"/>
                <w:highlight w:val="none"/>
              </w:rPr>
            </w:pPr>
          </w:p>
          <w:p w14:paraId="00164DB1">
            <w:pPr>
              <w:spacing w:line="0" w:lineRule="atLeast"/>
              <w:jc w:val="center"/>
              <w:rPr>
                <w:rFonts w:hint="default" w:ascii="Times New Roman" w:hAnsi="Times New Roman" w:eastAsia="仿宋_GB2312" w:cs="Times New Roman"/>
                <w:color w:val="000000"/>
                <w:kern w:val="0"/>
                <w:sz w:val="18"/>
                <w:szCs w:val="18"/>
                <w:highlight w:val="none"/>
              </w:rPr>
            </w:pPr>
          </w:p>
          <w:p w14:paraId="7EC73969">
            <w:pPr>
              <w:spacing w:line="0" w:lineRule="atLeast"/>
              <w:jc w:val="center"/>
              <w:rPr>
                <w:rFonts w:hint="default" w:ascii="Times New Roman" w:hAnsi="Times New Roman" w:eastAsia="仿宋_GB2312" w:cs="Times New Roman"/>
                <w:color w:val="000000"/>
                <w:kern w:val="0"/>
                <w:sz w:val="18"/>
                <w:szCs w:val="18"/>
                <w:highlight w:val="none"/>
              </w:rPr>
            </w:pPr>
          </w:p>
          <w:p w14:paraId="315F1C4F">
            <w:pPr>
              <w:spacing w:line="0" w:lineRule="atLeast"/>
              <w:jc w:val="center"/>
              <w:rPr>
                <w:rFonts w:hint="default" w:ascii="Times New Roman" w:hAnsi="Times New Roman" w:eastAsia="仿宋_GB2312" w:cs="Times New Roman"/>
                <w:color w:val="000000"/>
                <w:kern w:val="0"/>
                <w:sz w:val="18"/>
                <w:szCs w:val="18"/>
                <w:highlight w:val="none"/>
              </w:rPr>
            </w:pPr>
          </w:p>
          <w:p w14:paraId="156B47C2">
            <w:pPr>
              <w:spacing w:line="0" w:lineRule="atLeast"/>
              <w:jc w:val="center"/>
              <w:rPr>
                <w:rFonts w:hint="default" w:ascii="Times New Roman" w:hAnsi="Times New Roman" w:eastAsia="仿宋_GB2312" w:cs="Times New Roman"/>
                <w:color w:val="000000"/>
                <w:kern w:val="0"/>
                <w:sz w:val="18"/>
                <w:szCs w:val="18"/>
                <w:highlight w:val="none"/>
              </w:rPr>
            </w:pPr>
          </w:p>
          <w:p w14:paraId="448B4AC2">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14:paraId="0D30AF32">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restart"/>
            <w:shd w:val="clear" w:color="auto" w:fill="FFFFFF"/>
            <w:vAlign w:val="center"/>
          </w:tcPr>
          <w:p w14:paraId="6645F1A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422" w:type="pct"/>
            <w:shd w:val="clear" w:color="auto" w:fill="FFFFFF"/>
            <w:vAlign w:val="center"/>
          </w:tcPr>
          <w:p w14:paraId="1BF1968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680" w:type="pct"/>
            <w:shd w:val="clear" w:color="000000" w:fill="FFFFFF"/>
            <w:vAlign w:val="center"/>
          </w:tcPr>
          <w:p w14:paraId="41A2122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2057" w:type="pct"/>
            <w:shd w:val="clear" w:color="000000" w:fill="FFFFFF"/>
            <w:vAlign w:val="center"/>
          </w:tcPr>
          <w:p w14:paraId="59F83019">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14:paraId="148C391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14:paraId="35677DC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512" w:type="pct"/>
            <w:shd w:val="clear" w:color="000000" w:fill="FFFFFF"/>
            <w:vAlign w:val="center"/>
          </w:tcPr>
          <w:p w14:paraId="34B77EC9">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14:paraId="47DFCE10">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4FE4D7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5" w:type="pct"/>
            <w:vMerge w:val="continue"/>
            <w:shd w:val="clear" w:color="auto" w:fill="FFFFFF"/>
            <w:vAlign w:val="center"/>
          </w:tcPr>
          <w:p w14:paraId="20481B42">
            <w:pPr>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continue"/>
            <w:shd w:val="clear" w:color="auto" w:fill="FFFFFF"/>
            <w:vAlign w:val="center"/>
          </w:tcPr>
          <w:p w14:paraId="26E94285">
            <w:pPr>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6BC58D2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680" w:type="pct"/>
            <w:shd w:val="clear" w:color="auto" w:fill="FFFFFF"/>
            <w:vAlign w:val="center"/>
          </w:tcPr>
          <w:p w14:paraId="37C82AF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2057" w:type="pct"/>
            <w:shd w:val="clear" w:color="auto" w:fill="FFFFFF"/>
            <w:vAlign w:val="center"/>
          </w:tcPr>
          <w:p w14:paraId="20A72FE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512" w:type="pct"/>
            <w:shd w:val="clear" w:color="auto" w:fill="FFFFFF"/>
            <w:vAlign w:val="center"/>
          </w:tcPr>
          <w:p w14:paraId="516E08C9">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14:paraId="04DF117A">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36D37A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5" w:type="pct"/>
            <w:vMerge w:val="continue"/>
            <w:shd w:val="clear" w:color="auto" w:fill="FFFFFF"/>
            <w:vAlign w:val="center"/>
          </w:tcPr>
          <w:p w14:paraId="4103657C">
            <w:pPr>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shd w:val="clear" w:color="auto" w:fill="FFFFFF"/>
            <w:vAlign w:val="center"/>
          </w:tcPr>
          <w:p w14:paraId="09ACC97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422" w:type="pct"/>
            <w:shd w:val="clear" w:color="auto" w:fill="FFFFFF"/>
            <w:vAlign w:val="center"/>
          </w:tcPr>
          <w:p w14:paraId="0CF1BCF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14:paraId="370E338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680" w:type="pct"/>
            <w:shd w:val="clear" w:color="000000" w:fill="FFFFFF"/>
            <w:vAlign w:val="center"/>
          </w:tcPr>
          <w:p w14:paraId="7C35D9B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2057" w:type="pct"/>
            <w:shd w:val="clear" w:color="000000" w:fill="FFFFFF"/>
            <w:vAlign w:val="center"/>
          </w:tcPr>
          <w:p w14:paraId="53A2DC8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512" w:type="pct"/>
            <w:shd w:val="clear" w:color="000000" w:fill="FFFFFF"/>
            <w:vAlign w:val="center"/>
          </w:tcPr>
          <w:p w14:paraId="6D59D8B2">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14:paraId="56CF3E45">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55F1CF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5" w:type="pct"/>
            <w:vMerge w:val="continue"/>
            <w:shd w:val="clear" w:color="auto" w:fill="FFFFFF"/>
            <w:vAlign w:val="center"/>
          </w:tcPr>
          <w:p w14:paraId="4462A172">
            <w:pPr>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restart"/>
            <w:shd w:val="clear" w:color="auto" w:fill="FFFFFF"/>
            <w:vAlign w:val="center"/>
          </w:tcPr>
          <w:p w14:paraId="5C836F5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14:paraId="28EA9970">
            <w:pPr>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4249E52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14:paraId="3F22368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680" w:type="pct"/>
            <w:shd w:val="clear" w:color="000000" w:fill="FFFFFF"/>
            <w:vAlign w:val="center"/>
          </w:tcPr>
          <w:p w14:paraId="1085083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2057" w:type="pct"/>
            <w:shd w:val="clear" w:color="000000" w:fill="FFFFFF"/>
            <w:vAlign w:val="center"/>
          </w:tcPr>
          <w:p w14:paraId="7EBFC55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512" w:type="pct"/>
            <w:shd w:val="clear" w:color="000000" w:fill="FFFFFF"/>
            <w:vAlign w:val="center"/>
          </w:tcPr>
          <w:p w14:paraId="0AE9F862">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14:paraId="61C6E470">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42C0A1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5" w:type="pct"/>
            <w:vMerge w:val="continue"/>
            <w:shd w:val="clear" w:color="auto" w:fill="FFFFFF"/>
            <w:vAlign w:val="center"/>
          </w:tcPr>
          <w:p w14:paraId="7DD69060">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continue"/>
            <w:shd w:val="clear" w:color="auto" w:fill="FFFFFF"/>
            <w:vAlign w:val="center"/>
          </w:tcPr>
          <w:p w14:paraId="54963340">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05F2038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14:paraId="282CDE6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680" w:type="pct"/>
            <w:shd w:val="clear" w:color="000000" w:fill="FFFFFF"/>
            <w:vAlign w:val="center"/>
          </w:tcPr>
          <w:p w14:paraId="08C6E38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2057" w:type="pct"/>
            <w:shd w:val="clear" w:color="000000" w:fill="FFFFFF"/>
            <w:vAlign w:val="center"/>
          </w:tcPr>
          <w:p w14:paraId="1FC723E8">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512" w:type="pct"/>
            <w:shd w:val="clear" w:color="000000" w:fill="FFFFFF"/>
            <w:vAlign w:val="center"/>
          </w:tcPr>
          <w:p w14:paraId="35AAF7DC">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14:paraId="3F15DA51">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2E8216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5" w:type="pct"/>
            <w:vMerge w:val="restart"/>
            <w:shd w:val="clear" w:color="auto" w:fill="FFFFFF"/>
            <w:vAlign w:val="center"/>
          </w:tcPr>
          <w:p w14:paraId="66B1300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393" w:type="pct"/>
            <w:shd w:val="clear" w:color="auto" w:fill="FFFFFF"/>
            <w:vAlign w:val="center"/>
          </w:tcPr>
          <w:p w14:paraId="40655CD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422" w:type="pct"/>
            <w:shd w:val="clear" w:color="auto" w:fill="FFFFFF"/>
            <w:vAlign w:val="center"/>
          </w:tcPr>
          <w:p w14:paraId="48D01BF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680" w:type="pct"/>
            <w:shd w:val="clear" w:color="000000" w:fill="FFFFFF"/>
            <w:vAlign w:val="center"/>
          </w:tcPr>
          <w:p w14:paraId="4DEE9A1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2057" w:type="pct"/>
            <w:shd w:val="clear" w:color="000000" w:fill="FFFFFF"/>
            <w:vAlign w:val="center"/>
          </w:tcPr>
          <w:p w14:paraId="032D958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512" w:type="pct"/>
            <w:shd w:val="clear" w:color="000000" w:fill="FFFFFF"/>
            <w:vAlign w:val="center"/>
          </w:tcPr>
          <w:p w14:paraId="4E6E7655">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14:paraId="30DEB2B2">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66453D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5" w:type="pct"/>
            <w:vMerge w:val="continue"/>
            <w:shd w:val="clear" w:color="auto" w:fill="FFFFFF"/>
            <w:vAlign w:val="center"/>
          </w:tcPr>
          <w:p w14:paraId="02249FB0">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shd w:val="clear" w:color="auto" w:fill="FFFFFF"/>
            <w:vAlign w:val="center"/>
          </w:tcPr>
          <w:p w14:paraId="319D968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422" w:type="pct"/>
            <w:shd w:val="clear" w:color="auto" w:fill="FFFFFF"/>
            <w:vAlign w:val="center"/>
          </w:tcPr>
          <w:p w14:paraId="5F16DBE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680" w:type="pct"/>
            <w:shd w:val="clear" w:color="000000" w:fill="FFFFFF"/>
            <w:vAlign w:val="center"/>
          </w:tcPr>
          <w:p w14:paraId="3F27AF8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2057" w:type="pct"/>
            <w:shd w:val="clear" w:color="000000" w:fill="FFFFFF"/>
            <w:vAlign w:val="center"/>
          </w:tcPr>
          <w:p w14:paraId="6482199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14:paraId="1DA4AE3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6AE7358E">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14:paraId="316636D2">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5548E0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5" w:type="pct"/>
            <w:vMerge w:val="continue"/>
            <w:shd w:val="clear" w:color="auto" w:fill="FFFFFF"/>
            <w:vAlign w:val="center"/>
          </w:tcPr>
          <w:p w14:paraId="33493BA1">
            <w:pPr>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shd w:val="clear" w:color="auto" w:fill="FFFFFF"/>
            <w:vAlign w:val="center"/>
          </w:tcPr>
          <w:p w14:paraId="25573673">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422" w:type="pct"/>
            <w:shd w:val="clear" w:color="auto" w:fill="FFFFFF"/>
            <w:vAlign w:val="center"/>
          </w:tcPr>
          <w:p w14:paraId="057D639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680" w:type="pct"/>
            <w:shd w:val="clear" w:color="000000" w:fill="FFFFFF"/>
            <w:vAlign w:val="center"/>
          </w:tcPr>
          <w:p w14:paraId="3891D90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2057" w:type="pct"/>
            <w:shd w:val="clear" w:color="000000" w:fill="FFFFFF"/>
            <w:vAlign w:val="center"/>
          </w:tcPr>
          <w:p w14:paraId="3228C4E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512" w:type="pct"/>
            <w:shd w:val="clear" w:color="000000" w:fill="FFFFFF"/>
            <w:vAlign w:val="center"/>
          </w:tcPr>
          <w:p w14:paraId="2A9B0014">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14:paraId="5F39F821">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11575E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5" w:type="pct"/>
            <w:vMerge w:val="continue"/>
            <w:shd w:val="clear" w:color="auto" w:fill="FFFFFF"/>
            <w:vAlign w:val="center"/>
          </w:tcPr>
          <w:p w14:paraId="4AB710E7">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shd w:val="clear" w:color="auto" w:fill="FFFFFF"/>
            <w:vAlign w:val="center"/>
          </w:tcPr>
          <w:p w14:paraId="7C970A5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422" w:type="pct"/>
            <w:shd w:val="clear" w:color="auto" w:fill="FFFFFF"/>
            <w:vAlign w:val="center"/>
          </w:tcPr>
          <w:p w14:paraId="4B5C61D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680" w:type="pct"/>
            <w:shd w:val="clear" w:color="000000" w:fill="FFFFFF"/>
            <w:vAlign w:val="center"/>
          </w:tcPr>
          <w:p w14:paraId="06C6627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2057" w:type="pct"/>
            <w:shd w:val="clear" w:color="000000" w:fill="FFFFFF"/>
            <w:vAlign w:val="center"/>
          </w:tcPr>
          <w:p w14:paraId="5F06BEE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512" w:type="pct"/>
            <w:shd w:val="clear" w:color="000000" w:fill="FFFFFF"/>
            <w:vAlign w:val="center"/>
          </w:tcPr>
          <w:p w14:paraId="1DF4B952">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14:paraId="28ADB7CC">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064D3F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5" w:type="pct"/>
            <w:vMerge w:val="restart"/>
            <w:shd w:val="clear" w:color="auto" w:fill="FFFFFF"/>
            <w:vAlign w:val="center"/>
          </w:tcPr>
          <w:p w14:paraId="6CD7182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w:t>
            </w:r>
          </w:p>
        </w:tc>
        <w:tc>
          <w:tcPr>
            <w:tcW w:w="393" w:type="pct"/>
            <w:vMerge w:val="restart"/>
            <w:shd w:val="clear" w:color="auto" w:fill="FFFFFF"/>
            <w:vAlign w:val="center"/>
          </w:tcPr>
          <w:p w14:paraId="01AD85D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w:t>
            </w:r>
          </w:p>
        </w:tc>
        <w:tc>
          <w:tcPr>
            <w:tcW w:w="422" w:type="pct"/>
            <w:shd w:val="clear" w:color="auto" w:fill="FFFFFF"/>
            <w:vAlign w:val="center"/>
          </w:tcPr>
          <w:p w14:paraId="653C5F5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680" w:type="pct"/>
            <w:shd w:val="clear" w:color="auto" w:fill="FFFFFF"/>
            <w:vAlign w:val="center"/>
          </w:tcPr>
          <w:p w14:paraId="01B5B443">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2057" w:type="pct"/>
            <w:shd w:val="clear" w:color="auto" w:fill="FFFFFF"/>
            <w:vAlign w:val="center"/>
          </w:tcPr>
          <w:p w14:paraId="3B7593A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512" w:type="pct"/>
            <w:shd w:val="clear" w:color="auto" w:fill="FFFFFF"/>
            <w:vAlign w:val="center"/>
          </w:tcPr>
          <w:p w14:paraId="4C7AD089">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auto" w:fill="FFFFFF"/>
            <w:vAlign w:val="center"/>
          </w:tcPr>
          <w:p w14:paraId="201362C8">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1E52ED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5" w:type="pct"/>
            <w:vMerge w:val="continue"/>
            <w:shd w:val="clear" w:color="auto" w:fill="FFFFFF"/>
            <w:vAlign w:val="center"/>
          </w:tcPr>
          <w:p w14:paraId="3CC16885">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continue"/>
            <w:shd w:val="clear" w:color="auto" w:fill="FFFFFF"/>
            <w:vAlign w:val="center"/>
          </w:tcPr>
          <w:p w14:paraId="35AB78F3">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1467B7F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680" w:type="pct"/>
            <w:shd w:val="clear" w:color="000000" w:fill="FFFFFF"/>
            <w:vAlign w:val="center"/>
          </w:tcPr>
          <w:p w14:paraId="2A29986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2057" w:type="pct"/>
            <w:shd w:val="clear" w:color="000000" w:fill="FFFFFF"/>
            <w:vAlign w:val="center"/>
          </w:tcPr>
          <w:p w14:paraId="1880F83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512" w:type="pct"/>
            <w:shd w:val="clear" w:color="000000" w:fill="FFFFFF"/>
            <w:vAlign w:val="center"/>
          </w:tcPr>
          <w:p w14:paraId="64A0907B">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14:paraId="6FF01F3D">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45A754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1" w:hRule="atLeast"/>
          <w:jc w:val="center"/>
        </w:trPr>
        <w:tc>
          <w:tcPr>
            <w:tcW w:w="3948" w:type="pct"/>
            <w:gridSpan w:val="5"/>
            <w:shd w:val="clear" w:color="auto" w:fill="FFFFFF"/>
            <w:vAlign w:val="center"/>
          </w:tcPr>
          <w:p w14:paraId="644B0B73">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合计</w:t>
            </w:r>
          </w:p>
        </w:tc>
        <w:tc>
          <w:tcPr>
            <w:tcW w:w="512" w:type="pct"/>
            <w:shd w:val="clear" w:color="000000" w:fill="FFFFFF"/>
            <w:vAlign w:val="center"/>
          </w:tcPr>
          <w:p w14:paraId="7EDED738">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100</w:t>
            </w:r>
          </w:p>
        </w:tc>
        <w:tc>
          <w:tcPr>
            <w:tcW w:w="538" w:type="pct"/>
            <w:shd w:val="clear" w:color="000000" w:fill="FFFFFF"/>
            <w:vAlign w:val="center"/>
          </w:tcPr>
          <w:p w14:paraId="12D0ABB0">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100</w:t>
            </w:r>
          </w:p>
        </w:tc>
      </w:tr>
    </w:tbl>
    <w:p w14:paraId="0C890C74">
      <w:pPr>
        <w:rPr>
          <w:rFonts w:hint="default" w:ascii="Times New Roman" w:hAnsi="Times New Roman" w:cs="Times New Roman"/>
          <w:highlight w:val="none"/>
        </w:rPr>
        <w:sectPr>
          <w:pgSz w:w="16838" w:h="11906" w:orient="landscape"/>
          <w:pgMar w:top="1800" w:right="1440" w:bottom="1558" w:left="1440" w:header="851" w:footer="992" w:gutter="0"/>
          <w:cols w:space="425" w:num="1"/>
          <w:docGrid w:type="lines" w:linePitch="312" w:charSpace="0"/>
        </w:sectPr>
      </w:pPr>
    </w:p>
    <w:p w14:paraId="3D8901FA">
      <w:pPr>
        <w:keepNext w:val="0"/>
        <w:keepLines w:val="0"/>
        <w:pageBreakBefore w:val="0"/>
        <w:widowControl w:val="0"/>
        <w:kinsoku/>
        <w:wordWrap/>
        <w:overflowPunct/>
        <w:topLinePunct w:val="0"/>
        <w:autoSpaceDE/>
        <w:autoSpaceDN/>
        <w:bidi w:val="0"/>
        <w:adjustRightInd/>
        <w:snapToGrid/>
        <w:spacing w:line="240" w:lineRule="atLeast"/>
        <w:jc w:val="left"/>
        <w:textAlignment w:val="auto"/>
        <w:outlineLvl w:val="0"/>
        <w:rPr>
          <w:rFonts w:hint="default" w:ascii="黑体" w:hAnsi="黑体" w:eastAsia="黑体" w:cs="黑体"/>
          <w:b/>
          <w:bCs/>
          <w:i w:val="0"/>
          <w:iCs w:val="0"/>
          <w:color w:val="000000"/>
          <w:kern w:val="0"/>
          <w:sz w:val="32"/>
          <w:szCs w:val="32"/>
          <w:highlight w:val="none"/>
          <w:u w:val="none"/>
          <w:lang w:val="en-US" w:eastAsia="zh-CN"/>
        </w:rPr>
      </w:pPr>
      <w:bookmarkStart w:id="66" w:name="_Toc17917"/>
      <w:r>
        <w:rPr>
          <w:rFonts w:hint="eastAsia" w:ascii="黑体" w:hAnsi="黑体" w:eastAsia="黑体" w:cs="黑体"/>
          <w:b/>
          <w:bCs/>
          <w:i w:val="0"/>
          <w:iCs w:val="0"/>
          <w:color w:val="000000"/>
          <w:kern w:val="0"/>
          <w:sz w:val="32"/>
          <w:szCs w:val="32"/>
          <w:highlight w:val="none"/>
          <w:u w:val="none"/>
          <w:lang w:val="en-US" w:eastAsia="zh-CN"/>
        </w:rPr>
        <w:t>附件2</w:t>
      </w:r>
      <w:bookmarkEnd w:id="66"/>
      <w:r>
        <w:rPr>
          <w:rFonts w:hint="eastAsia" w:ascii="黑体" w:hAnsi="黑体" w:eastAsia="黑体" w:cs="黑体"/>
          <w:b/>
          <w:bCs/>
          <w:i w:val="0"/>
          <w:iCs w:val="0"/>
          <w:color w:val="000000"/>
          <w:kern w:val="0"/>
          <w:sz w:val="32"/>
          <w:szCs w:val="32"/>
          <w:highlight w:val="none"/>
          <w:u w:val="none"/>
          <w:lang w:val="en-US" w:eastAsia="zh-CN"/>
        </w:rPr>
        <w:t>项目支出绩效自评表</w:t>
      </w:r>
    </w:p>
    <w:p w14:paraId="2B5CA33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highlight w:val="none"/>
          <w:u w:val="none"/>
          <w:lang w:val="en-US" w:eastAsia="zh-CN"/>
        </w:rPr>
      </w:pPr>
      <w:r>
        <w:rPr>
          <w:rFonts w:hint="eastAsia" w:ascii="仿宋_GB2312" w:hAnsi="仿宋_GB2312" w:eastAsia="仿宋_GB2312" w:cs="仿宋_GB2312"/>
          <w:b/>
          <w:bCs/>
          <w:i w:val="0"/>
          <w:iCs w:val="0"/>
          <w:color w:val="000000"/>
          <w:kern w:val="0"/>
          <w:sz w:val="28"/>
          <w:szCs w:val="28"/>
          <w:highlight w:val="none"/>
          <w:u w:val="none"/>
          <w:lang w:val="en-US" w:eastAsia="zh-CN"/>
        </w:rPr>
        <w:t>项目支出绩效自评表</w:t>
      </w:r>
    </w:p>
    <w:p w14:paraId="393174F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highlight w:val="none"/>
          <w:u w:val="none"/>
          <w:lang w:val="en-US" w:eastAsia="zh-CN"/>
        </w:rPr>
      </w:pPr>
      <w:r>
        <w:rPr>
          <w:rFonts w:hint="default" w:ascii="Times New Roman" w:hAnsi="Times New Roman" w:eastAsia="仿宋_GB2312" w:cs="Times New Roman"/>
          <w:b/>
          <w:bCs/>
          <w:i w:val="0"/>
          <w:iCs w:val="0"/>
          <w:color w:val="000000"/>
          <w:kern w:val="0"/>
          <w:sz w:val="22"/>
          <w:szCs w:val="22"/>
          <w:highlight w:val="none"/>
          <w:u w:val="none"/>
          <w:lang w:val="en-US" w:eastAsia="zh-CN"/>
        </w:rPr>
        <w:t>（202</w:t>
      </w:r>
      <w:r>
        <w:rPr>
          <w:rFonts w:hint="eastAsia" w:eastAsia="仿宋_GB2312" w:cs="Times New Roman"/>
          <w:b/>
          <w:bCs/>
          <w:i w:val="0"/>
          <w:iCs w:val="0"/>
          <w:color w:val="000000"/>
          <w:kern w:val="0"/>
          <w:sz w:val="22"/>
          <w:szCs w:val="22"/>
          <w:highlight w:val="none"/>
          <w:u w:val="none"/>
          <w:lang w:val="en-US" w:eastAsia="zh-CN"/>
        </w:rPr>
        <w:t>5</w:t>
      </w:r>
      <w:r>
        <w:rPr>
          <w:rFonts w:hint="default" w:ascii="Times New Roman" w:hAnsi="Times New Roman" w:eastAsia="仿宋_GB2312" w:cs="Times New Roman"/>
          <w:b/>
          <w:bCs/>
          <w:i w:val="0"/>
          <w:iCs w:val="0"/>
          <w:color w:val="000000"/>
          <w:kern w:val="0"/>
          <w:sz w:val="22"/>
          <w:szCs w:val="22"/>
          <w:highlight w:val="none"/>
          <w:u w:val="none"/>
          <w:lang w:val="en-US" w:eastAsia="zh-CN"/>
        </w:rPr>
        <w:t>年度）</w:t>
      </w:r>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7"/>
        <w:gridCol w:w="1160"/>
        <w:gridCol w:w="1384"/>
        <w:gridCol w:w="981"/>
        <w:gridCol w:w="1273"/>
        <w:gridCol w:w="901"/>
        <w:gridCol w:w="675"/>
        <w:gridCol w:w="819"/>
        <w:gridCol w:w="1091"/>
        <w:gridCol w:w="1004"/>
        <w:gridCol w:w="1128"/>
        <w:gridCol w:w="709"/>
        <w:gridCol w:w="692"/>
        <w:gridCol w:w="1440"/>
      </w:tblGrid>
      <w:tr w14:paraId="6C687F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64771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项目名称</w:t>
            </w:r>
          </w:p>
        </w:tc>
        <w:tc>
          <w:tcPr>
            <w:tcW w:w="4267"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1904B31C">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克孜尔水库</w:t>
            </w:r>
            <w:r>
              <w:rPr>
                <w:rFonts w:hint="eastAsia" w:ascii="仿宋_GB2312" w:hAnsi="仿宋_GB2312" w:eastAsia="仿宋_GB2312" w:cs="仿宋_GB2312"/>
                <w:i w:val="0"/>
                <w:iCs w:val="0"/>
                <w:color w:val="000000"/>
                <w:sz w:val="18"/>
                <w:szCs w:val="18"/>
                <w:highlight w:val="none"/>
                <w:u w:val="none"/>
                <w:lang w:val="en-US" w:eastAsia="zh-CN"/>
              </w:rPr>
              <w:t>2025</w:t>
            </w:r>
            <w:r>
              <w:rPr>
                <w:rFonts w:hint="eastAsia" w:ascii="仿宋_GB2312" w:hAnsi="仿宋_GB2312" w:eastAsia="仿宋_GB2312" w:cs="仿宋_GB2312"/>
                <w:i w:val="0"/>
                <w:iCs w:val="0"/>
                <w:color w:val="000000"/>
                <w:sz w:val="18"/>
                <w:szCs w:val="18"/>
                <w:highlight w:val="none"/>
                <w:u w:val="none"/>
              </w:rPr>
              <w:t>年经营成本性项</w:t>
            </w:r>
            <w:r>
              <w:rPr>
                <w:rFonts w:hint="eastAsia" w:ascii="仿宋_GB2312" w:hAnsi="仿宋_GB2312" w:eastAsia="仿宋_GB2312" w:cs="仿宋_GB2312"/>
                <w:i w:val="0"/>
                <w:iCs w:val="0"/>
                <w:color w:val="000000"/>
                <w:sz w:val="18"/>
                <w:szCs w:val="18"/>
                <w:highlight w:val="none"/>
                <w:u w:val="none"/>
                <w:lang w:val="en-US" w:eastAsia="zh-CN"/>
              </w:rPr>
              <w:t>目</w:t>
            </w:r>
          </w:p>
        </w:tc>
      </w:tr>
      <w:tr w14:paraId="6E23D3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7A836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主管部门</w:t>
            </w:r>
          </w:p>
        </w:tc>
        <w:tc>
          <w:tcPr>
            <w:tcW w:w="183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6A262A4">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新疆维吾尔自治区塔里木河流域管理局</w:t>
            </w:r>
          </w:p>
        </w:tc>
        <w:tc>
          <w:tcPr>
            <w:tcW w:w="6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04136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实施单位</w:t>
            </w:r>
          </w:p>
        </w:tc>
        <w:tc>
          <w:tcPr>
            <w:tcW w:w="175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DEFF7BA">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新疆维吾尔自治区塔里木河流域克孜尔水库管理中心</w:t>
            </w:r>
          </w:p>
        </w:tc>
      </w:tr>
      <w:tr w14:paraId="5E369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2"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4279D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项目资金</w:t>
            </w:r>
            <w:r>
              <w:rPr>
                <w:rFonts w:hint="eastAsia" w:ascii="仿宋_GB2312" w:hAnsi="仿宋_GB2312" w:eastAsia="仿宋_GB2312" w:cs="仿宋_GB2312"/>
                <w:i w:val="0"/>
                <w:iCs w:val="0"/>
                <w:color w:val="000000"/>
                <w:kern w:val="0"/>
                <w:sz w:val="18"/>
                <w:szCs w:val="18"/>
                <w:highlight w:val="none"/>
                <w:u w:val="none"/>
                <w:lang w:val="en-US" w:eastAsia="zh-CN"/>
              </w:rPr>
              <w:br w:type="textWrapping"/>
            </w:r>
            <w:r>
              <w:rPr>
                <w:rFonts w:hint="eastAsia" w:ascii="仿宋_GB2312" w:hAnsi="仿宋_GB2312" w:eastAsia="仿宋_GB2312" w:cs="仿宋_GB2312"/>
                <w:i w:val="0"/>
                <w:iCs w:val="0"/>
                <w:color w:val="000000"/>
                <w:kern w:val="0"/>
                <w:sz w:val="18"/>
                <w:szCs w:val="18"/>
                <w:highlight w:val="none"/>
                <w:u w:val="none"/>
                <w:lang w:val="en-US" w:eastAsia="zh-CN"/>
              </w:rPr>
              <w:t>（万元）</w:t>
            </w:r>
          </w:p>
        </w:tc>
        <w:tc>
          <w:tcPr>
            <w:tcW w:w="8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8454E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资金来源</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B44F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年初预算数</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A80B1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全年预算数</w:t>
            </w:r>
          </w:p>
        </w:tc>
        <w:tc>
          <w:tcPr>
            <w:tcW w:w="6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8B071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全年执行数</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90461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分值权重</w:t>
            </w:r>
          </w:p>
        </w:tc>
        <w:tc>
          <w:tcPr>
            <w:tcW w:w="4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CEB82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执行率</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F09F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得分</w:t>
            </w:r>
          </w:p>
        </w:tc>
      </w:tr>
      <w:tr w14:paraId="60484C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C6B845">
            <w:pPr>
              <w:jc w:val="center"/>
              <w:rPr>
                <w:rFonts w:hint="eastAsia" w:ascii="仿宋_GB2312" w:hAnsi="仿宋_GB2312" w:eastAsia="仿宋_GB2312" w:cs="仿宋_GB2312"/>
                <w:i w:val="0"/>
                <w:iCs w:val="0"/>
                <w:color w:val="000000"/>
                <w:sz w:val="18"/>
                <w:szCs w:val="18"/>
                <w:highlight w:val="none"/>
                <w:u w:val="none"/>
              </w:rPr>
            </w:pPr>
          </w:p>
        </w:tc>
        <w:tc>
          <w:tcPr>
            <w:tcW w:w="8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74B67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年度资金总额</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7F74C">
            <w:pPr>
              <w:jc w:val="center"/>
              <w:rPr>
                <w:rFonts w:hint="default"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1085.83</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0C32CF">
            <w:pPr>
              <w:jc w:val="center"/>
              <w:rPr>
                <w:rFonts w:hint="default"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1085.83</w:t>
            </w:r>
          </w:p>
        </w:tc>
        <w:tc>
          <w:tcPr>
            <w:tcW w:w="6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A20BC0">
            <w:pPr>
              <w:jc w:val="center"/>
              <w:rPr>
                <w:rFonts w:hint="default"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1085.83</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9FA506">
            <w:pPr>
              <w:jc w:val="center"/>
              <w:rPr>
                <w:rFonts w:hint="default"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10</w:t>
            </w:r>
          </w:p>
        </w:tc>
        <w:tc>
          <w:tcPr>
            <w:tcW w:w="4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96EF68">
            <w:pPr>
              <w:jc w:val="center"/>
              <w:rPr>
                <w:rFonts w:hint="default"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99E6B">
            <w:pPr>
              <w:jc w:val="center"/>
              <w:rPr>
                <w:rFonts w:hint="default"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10</w:t>
            </w:r>
          </w:p>
        </w:tc>
      </w:tr>
      <w:tr w14:paraId="6C19CC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AF25C1">
            <w:pPr>
              <w:jc w:val="center"/>
              <w:rPr>
                <w:rFonts w:hint="eastAsia" w:ascii="仿宋_GB2312" w:hAnsi="仿宋_GB2312" w:eastAsia="仿宋_GB2312" w:cs="仿宋_GB2312"/>
                <w:i w:val="0"/>
                <w:iCs w:val="0"/>
                <w:color w:val="000000"/>
                <w:sz w:val="18"/>
                <w:szCs w:val="18"/>
                <w:highlight w:val="none"/>
                <w:u w:val="none"/>
              </w:rPr>
            </w:pPr>
          </w:p>
        </w:tc>
        <w:tc>
          <w:tcPr>
            <w:tcW w:w="8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6A6E2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其中：当年财政拨款</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95E168">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0</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DD6711">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0</w:t>
            </w:r>
          </w:p>
        </w:tc>
        <w:tc>
          <w:tcPr>
            <w:tcW w:w="6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A33499">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0</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CFD12A">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w:t>
            </w:r>
          </w:p>
        </w:tc>
        <w:tc>
          <w:tcPr>
            <w:tcW w:w="4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A12BCD">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904F75">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w:t>
            </w:r>
          </w:p>
        </w:tc>
      </w:tr>
      <w:tr w14:paraId="7C7CD4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3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2D1CEF">
            <w:pPr>
              <w:jc w:val="center"/>
              <w:rPr>
                <w:rFonts w:hint="eastAsia" w:ascii="仿宋_GB2312" w:hAnsi="仿宋_GB2312" w:eastAsia="仿宋_GB2312" w:cs="仿宋_GB2312"/>
                <w:i w:val="0"/>
                <w:iCs w:val="0"/>
                <w:color w:val="000000"/>
                <w:sz w:val="18"/>
                <w:szCs w:val="18"/>
                <w:highlight w:val="none"/>
                <w:u w:val="none"/>
              </w:rPr>
            </w:pPr>
          </w:p>
        </w:tc>
        <w:tc>
          <w:tcPr>
            <w:tcW w:w="833" w:type="pct"/>
            <w:gridSpan w:val="2"/>
            <w:tcBorders>
              <w:top w:val="single" w:color="000000" w:sz="4" w:space="0"/>
              <w:left w:val="single" w:color="000000" w:sz="4" w:space="0"/>
              <w:bottom w:val="nil"/>
              <w:right w:val="single" w:color="000000" w:sz="4" w:space="0"/>
            </w:tcBorders>
            <w:shd w:val="clear" w:color="auto" w:fill="auto"/>
            <w:vAlign w:val="center"/>
          </w:tcPr>
          <w:p w14:paraId="2753B7A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其他资金</w:t>
            </w:r>
          </w:p>
        </w:tc>
        <w:tc>
          <w:tcPr>
            <w:tcW w:w="449" w:type="pct"/>
            <w:tcBorders>
              <w:top w:val="single" w:color="000000" w:sz="4" w:space="0"/>
              <w:left w:val="single" w:color="000000" w:sz="4" w:space="0"/>
              <w:bottom w:val="nil"/>
              <w:right w:val="single" w:color="000000" w:sz="4" w:space="0"/>
            </w:tcBorders>
            <w:shd w:val="clear" w:color="auto" w:fill="auto"/>
            <w:vAlign w:val="center"/>
          </w:tcPr>
          <w:p w14:paraId="22826701">
            <w:pPr>
              <w:jc w:val="center"/>
              <w:rPr>
                <w:rFonts w:hint="default"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1085.83</w:t>
            </w:r>
          </w:p>
        </w:tc>
        <w:tc>
          <w:tcPr>
            <w:tcW w:w="556" w:type="pct"/>
            <w:gridSpan w:val="2"/>
            <w:tcBorders>
              <w:top w:val="single" w:color="000000" w:sz="4" w:space="0"/>
              <w:left w:val="single" w:color="000000" w:sz="4" w:space="0"/>
              <w:bottom w:val="nil"/>
              <w:right w:val="single" w:color="000000" w:sz="4" w:space="0"/>
            </w:tcBorders>
            <w:shd w:val="clear" w:color="auto" w:fill="auto"/>
            <w:vAlign w:val="center"/>
          </w:tcPr>
          <w:p w14:paraId="774EA1DA">
            <w:pPr>
              <w:jc w:val="center"/>
              <w:rPr>
                <w:rFonts w:hint="default"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1085.83</w:t>
            </w:r>
          </w:p>
        </w:tc>
        <w:tc>
          <w:tcPr>
            <w:tcW w:w="674" w:type="pct"/>
            <w:gridSpan w:val="2"/>
            <w:tcBorders>
              <w:top w:val="single" w:color="000000" w:sz="4" w:space="0"/>
              <w:left w:val="single" w:color="000000" w:sz="4" w:space="0"/>
              <w:bottom w:val="nil"/>
              <w:right w:val="single" w:color="000000" w:sz="4" w:space="0"/>
            </w:tcBorders>
            <w:shd w:val="clear" w:color="auto" w:fill="auto"/>
            <w:vAlign w:val="center"/>
          </w:tcPr>
          <w:p w14:paraId="7DC3ADB5">
            <w:pPr>
              <w:jc w:val="center"/>
              <w:rPr>
                <w:rFonts w:hint="default"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1085.83</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58C3EA">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w:t>
            </w:r>
          </w:p>
        </w:tc>
        <w:tc>
          <w:tcPr>
            <w:tcW w:w="4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530EB5">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68C05">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w:t>
            </w:r>
          </w:p>
        </w:tc>
      </w:tr>
      <w:tr w14:paraId="61CB79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CDE3B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年度总体目标</w:t>
            </w:r>
          </w:p>
        </w:tc>
        <w:tc>
          <w:tcPr>
            <w:tcW w:w="2922"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A4ADBE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总体目标</w:t>
            </w:r>
          </w:p>
        </w:tc>
        <w:tc>
          <w:tcPr>
            <w:tcW w:w="175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DF1A7E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总体目标完成情况</w:t>
            </w:r>
          </w:p>
        </w:tc>
      </w:tr>
      <w:tr w14:paraId="0EDA2E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CAA54C">
            <w:pPr>
              <w:jc w:val="center"/>
              <w:rPr>
                <w:rFonts w:hint="eastAsia" w:ascii="仿宋_GB2312" w:hAnsi="仿宋_GB2312" w:eastAsia="仿宋_GB2312" w:cs="仿宋_GB2312"/>
                <w:i w:val="0"/>
                <w:iCs w:val="0"/>
                <w:color w:val="000000"/>
                <w:sz w:val="18"/>
                <w:szCs w:val="18"/>
                <w:highlight w:val="none"/>
                <w:u w:val="none"/>
              </w:rPr>
            </w:pPr>
          </w:p>
        </w:tc>
        <w:tc>
          <w:tcPr>
            <w:tcW w:w="2922" w:type="pct"/>
            <w:gridSpan w:val="8"/>
            <w:tcBorders>
              <w:top w:val="single" w:color="000000" w:sz="4" w:space="0"/>
              <w:left w:val="single" w:color="000000" w:sz="4" w:space="0"/>
              <w:bottom w:val="single" w:color="000000" w:sz="4" w:space="0"/>
              <w:right w:val="single" w:color="000000" w:sz="4" w:space="0"/>
            </w:tcBorders>
            <w:shd w:val="clear" w:color="auto" w:fill="auto"/>
            <w:vAlign w:val="top"/>
          </w:tcPr>
          <w:p w14:paraId="581588DA">
            <w:pPr>
              <w:jc w:val="left"/>
              <w:rPr>
                <w:rFonts w:hint="eastAsia" w:ascii="仿宋_GB2312" w:hAnsi="仿宋_GB2312" w:eastAsia="仿宋_GB2312" w:cs="仿宋_GB2312"/>
                <w:i w:val="0"/>
                <w:iCs w:val="0"/>
                <w:color w:val="000000"/>
                <w:sz w:val="18"/>
                <w:szCs w:val="18"/>
                <w:highlight w:val="none"/>
                <w:u w:val="none"/>
                <w:lang w:eastAsia="zh-CN"/>
              </w:rPr>
            </w:pPr>
            <w:r>
              <w:rPr>
                <w:rFonts w:hint="eastAsia" w:ascii="仿宋_GB2312" w:hAnsi="仿宋_GB2312" w:eastAsia="仿宋_GB2312" w:cs="仿宋_GB2312"/>
                <w:i w:val="0"/>
                <w:iCs w:val="0"/>
                <w:color w:val="000000"/>
                <w:sz w:val="18"/>
                <w:szCs w:val="18"/>
                <w:highlight w:val="none"/>
                <w:u w:val="none"/>
              </w:rPr>
              <w:t>1</w:t>
            </w:r>
            <w:r>
              <w:rPr>
                <w:rFonts w:hint="eastAsia" w:ascii="仿宋_GB2312" w:hAnsi="仿宋_GB2312" w:eastAsia="仿宋_GB2312" w:cs="仿宋_GB2312"/>
                <w:i w:val="0"/>
                <w:iCs w:val="0"/>
                <w:color w:val="000000"/>
                <w:sz w:val="18"/>
                <w:szCs w:val="18"/>
                <w:highlight w:val="none"/>
                <w:u w:val="none"/>
                <w:lang w:val="en-US" w:eastAsia="zh-CN"/>
              </w:rPr>
              <w:t>.</w:t>
            </w:r>
            <w:r>
              <w:rPr>
                <w:rFonts w:hint="eastAsia" w:ascii="仿宋_GB2312" w:hAnsi="仿宋_GB2312" w:eastAsia="仿宋_GB2312" w:cs="仿宋_GB2312"/>
                <w:i w:val="0"/>
                <w:iCs w:val="0"/>
                <w:color w:val="000000"/>
                <w:sz w:val="18"/>
                <w:szCs w:val="18"/>
                <w:highlight w:val="none"/>
                <w:u w:val="none"/>
              </w:rPr>
              <w:t>总体目标</w:t>
            </w:r>
            <w:r>
              <w:rPr>
                <w:rFonts w:hint="eastAsia" w:ascii="仿宋_GB2312" w:hAnsi="仿宋_GB2312" w:eastAsia="仿宋_GB2312" w:cs="仿宋_GB2312"/>
                <w:i w:val="0"/>
                <w:iCs w:val="0"/>
                <w:color w:val="000000"/>
                <w:sz w:val="18"/>
                <w:szCs w:val="18"/>
                <w:highlight w:val="none"/>
                <w:u w:val="none"/>
                <w:lang w:eastAsia="zh-CN"/>
              </w:rPr>
              <w:t>：保障2025年职工薪酬的准时发放及日常运营的顺畅进行；加强对单位工作队的支持，确保群众工作的有效开展，充分发挥其积极作用。</w:t>
            </w:r>
          </w:p>
          <w:p w14:paraId="39BF63EF">
            <w:pPr>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2</w:t>
            </w:r>
            <w:r>
              <w:rPr>
                <w:rFonts w:hint="eastAsia" w:ascii="仿宋_GB2312" w:hAnsi="仿宋_GB2312" w:eastAsia="仿宋_GB2312" w:cs="仿宋_GB2312"/>
                <w:i w:val="0"/>
                <w:iCs w:val="0"/>
                <w:color w:val="000000"/>
                <w:sz w:val="18"/>
                <w:szCs w:val="18"/>
                <w:highlight w:val="none"/>
                <w:u w:val="none"/>
                <w:lang w:val="en-US" w:eastAsia="zh-CN"/>
              </w:rPr>
              <w:t>.</w:t>
            </w:r>
            <w:r>
              <w:rPr>
                <w:rFonts w:hint="eastAsia" w:ascii="仿宋_GB2312" w:hAnsi="仿宋_GB2312" w:eastAsia="仿宋_GB2312" w:cs="仿宋_GB2312"/>
                <w:i w:val="0"/>
                <w:iCs w:val="0"/>
                <w:color w:val="000000"/>
                <w:sz w:val="18"/>
                <w:szCs w:val="18"/>
                <w:highlight w:val="none"/>
                <w:u w:val="none"/>
              </w:rPr>
              <w:t>阶段性目标</w:t>
            </w:r>
            <w:r>
              <w:rPr>
                <w:rFonts w:hint="eastAsia" w:ascii="仿宋_GB2312" w:hAnsi="仿宋_GB2312" w:eastAsia="仿宋_GB2312" w:cs="仿宋_GB2312"/>
                <w:i w:val="0"/>
                <w:iCs w:val="0"/>
                <w:color w:val="000000"/>
                <w:sz w:val="18"/>
                <w:szCs w:val="18"/>
                <w:highlight w:val="none"/>
                <w:u w:val="none"/>
                <w:lang w:eastAsia="zh-CN"/>
              </w:rPr>
              <w:t>：</w:t>
            </w:r>
            <w:r>
              <w:rPr>
                <w:rFonts w:hint="eastAsia" w:ascii="仿宋_GB2312" w:hAnsi="仿宋_GB2312" w:eastAsia="仿宋_GB2312" w:cs="仿宋_GB2312"/>
                <w:i w:val="0"/>
                <w:iCs w:val="0"/>
                <w:color w:val="000000"/>
                <w:sz w:val="18"/>
                <w:szCs w:val="18"/>
                <w:highlight w:val="none"/>
                <w:u w:val="none"/>
              </w:rPr>
              <w:t>围绕项目总体目标，按项目实施周期合理拆解，前期聚焦项目筹备与基础保障工作，完成方案细化、资源配置、前期调研等核心任务，确保项目具备实施条件；中期集中推进</w:t>
            </w:r>
            <w:r>
              <w:rPr>
                <w:rFonts w:hint="eastAsia" w:ascii="仿宋_GB2312" w:hAnsi="仿宋_GB2312" w:eastAsia="仿宋_GB2312" w:cs="仿宋_GB2312"/>
                <w:i w:val="0"/>
                <w:iCs w:val="0"/>
                <w:color w:val="000000"/>
                <w:sz w:val="18"/>
                <w:szCs w:val="18"/>
                <w:highlight w:val="none"/>
                <w:u w:val="none"/>
                <w:lang w:val="en-US" w:eastAsia="zh-CN"/>
              </w:rPr>
              <w:t>人员工资福利、机构日常运转公用经费及水利工程维修养护</w:t>
            </w:r>
            <w:r>
              <w:rPr>
                <w:rFonts w:hint="eastAsia" w:ascii="仿宋_GB2312" w:hAnsi="仿宋_GB2312" w:eastAsia="仿宋_GB2312" w:cs="仿宋_GB2312"/>
                <w:i w:val="0"/>
                <w:iCs w:val="0"/>
                <w:color w:val="000000"/>
                <w:sz w:val="18"/>
                <w:szCs w:val="18"/>
                <w:highlight w:val="none"/>
                <w:u w:val="none"/>
              </w:rPr>
              <w:t>等关键工作，稳步达成阶段性产出数量与质量要求；后期重点完成成果整合、资料归档、验收收尾等工作，同步开展效果自评与反馈收集，各阶段均严格把控进度节点、质量标准与预算执行，确保有序衔接、逐步落地总体目标。</w:t>
            </w:r>
          </w:p>
        </w:tc>
        <w:tc>
          <w:tcPr>
            <w:tcW w:w="175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742C790">
            <w:pPr>
              <w:ind w:firstLine="360" w:firstLineChars="200"/>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rPr>
              <w:t>我单位经营成本性项目总体执行率为100%，各项保障任务均按序时进度足额、精准完成，有效确保了机构日常运转的高效与稳定。人员经费保障方面，全年累计发放职工工资12次，覆盖在职职工人员共计85人，做到了按时足额、无纰漏，切实保障了职工权益。公务用车管理方面：严格按规定保障公务用车7辆，通过规范化管理，确保了车辆运行安全及公务出行需求。物资及后勤保障方面，完成防汛、供电物资采购2批，物资储备充足且符合标准，同时，对2780.50平方米的办公场所进行了有效维护与管理。</w:t>
            </w:r>
          </w:p>
          <w:p w14:paraId="16F76063">
            <w:pPr>
              <w:ind w:firstLine="360" w:firstLineChars="200"/>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通过各项工作统筹落地，项目有效完善了流域供水保障体系，优化了水利工程公益服务功能，提升了单位内部运营管理规范化水平，充分释放水利防洪灌溉综合效益，切实保障了水库大坝和基础设施、闸门设备的安全正常运行，提高设备完好率，提升水库工程的抗风险能力。</w:t>
            </w:r>
          </w:p>
        </w:tc>
      </w:tr>
      <w:tr w14:paraId="392DDA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843A3B">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绩效指标</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1576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一级指标</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22F3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二级指标</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81A1F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三级指标</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44A8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指标值</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3F3A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指标值设置依据</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D5A4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上年完成值</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8B0B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指标分值权重</w:t>
            </w: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32984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指标赋分规则</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5DCC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佐证资料</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D759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指标实际完成值</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37F7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完成率</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9216A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指标得分</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FD4EF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偏差原因分析及改进措施</w:t>
            </w:r>
          </w:p>
        </w:tc>
      </w:tr>
      <w:tr w14:paraId="4274EC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1"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AB1735">
            <w:pPr>
              <w:jc w:val="center"/>
              <w:rPr>
                <w:rFonts w:hint="eastAsia" w:ascii="仿宋_GB2312" w:hAnsi="仿宋_GB2312" w:eastAsia="仿宋_GB2312" w:cs="仿宋_GB2312"/>
                <w:i w:val="0"/>
                <w:iCs w:val="0"/>
                <w:color w:val="000000"/>
                <w:sz w:val="18"/>
                <w:szCs w:val="18"/>
                <w:highlight w:val="none"/>
                <w:u w:val="none"/>
              </w:rPr>
            </w:pPr>
          </w:p>
        </w:tc>
        <w:tc>
          <w:tcPr>
            <w:tcW w:w="40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9397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产出指标</w:t>
            </w:r>
          </w:p>
        </w:tc>
        <w:tc>
          <w:tcPr>
            <w:tcW w:w="488" w:type="pct"/>
            <w:vMerge w:val="restart"/>
            <w:tcBorders>
              <w:top w:val="single" w:color="000000" w:sz="4" w:space="0"/>
              <w:left w:val="single" w:color="000000" w:sz="4" w:space="0"/>
              <w:right w:val="single" w:color="000000" w:sz="4" w:space="0"/>
            </w:tcBorders>
            <w:shd w:val="clear" w:color="auto" w:fill="auto"/>
            <w:noWrap/>
            <w:vAlign w:val="center"/>
          </w:tcPr>
          <w:p w14:paraId="0E138EC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数量指标</w:t>
            </w:r>
          </w:p>
        </w:tc>
        <w:tc>
          <w:tcPr>
            <w:tcW w:w="345" w:type="pct"/>
            <w:tcBorders>
              <w:top w:val="single" w:color="000000" w:sz="4" w:space="0"/>
              <w:left w:val="nil"/>
              <w:bottom w:val="single" w:color="000000" w:sz="4" w:space="0"/>
              <w:right w:val="single" w:color="000000" w:sz="4" w:space="0"/>
            </w:tcBorders>
            <w:shd w:val="clear" w:color="auto" w:fill="auto"/>
            <w:vAlign w:val="center"/>
          </w:tcPr>
          <w:p w14:paraId="50609697">
            <w:pPr>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人员工资发放次数</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49776C">
            <w:pPr>
              <w:jc w:val="center"/>
              <w:rPr>
                <w:rFonts w:hint="default"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=12次</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97F470">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计划标准</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6C7E2D">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D1888B">
            <w:pPr>
              <w:jc w:val="center"/>
              <w:rPr>
                <w:rFonts w:hint="default"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w:t>
            </w: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E77D1">
            <w:pPr>
              <w:jc w:val="center"/>
              <w:rPr>
                <w:rFonts w:hint="default"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BE63D">
            <w:pPr>
              <w:jc w:val="center"/>
              <w:rPr>
                <w:rFonts w:hint="default"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工作资料</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B6A45">
            <w:pPr>
              <w:jc w:val="center"/>
              <w:rPr>
                <w:rFonts w:hint="default"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=12次</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2DA85">
            <w:pPr>
              <w:jc w:val="center"/>
              <w:rPr>
                <w:rFonts w:hint="default"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9363E">
            <w:pPr>
              <w:jc w:val="center"/>
              <w:rPr>
                <w:rFonts w:hint="default"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A84D09">
            <w:pPr>
              <w:jc w:val="center"/>
              <w:rPr>
                <w:rFonts w:hint="eastAsia" w:ascii="仿宋_GB2312" w:hAnsi="仿宋_GB2312" w:eastAsia="仿宋_GB2312" w:cs="仿宋_GB2312"/>
                <w:i w:val="0"/>
                <w:iCs w:val="0"/>
                <w:color w:val="000000"/>
                <w:sz w:val="18"/>
                <w:szCs w:val="18"/>
                <w:highlight w:val="none"/>
                <w:u w:val="none"/>
              </w:rPr>
            </w:pPr>
          </w:p>
        </w:tc>
      </w:tr>
      <w:tr w14:paraId="7BC5D6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DE68CF">
            <w:pPr>
              <w:jc w:val="center"/>
              <w:rPr>
                <w:rFonts w:hint="eastAsia" w:ascii="仿宋_GB2312" w:hAnsi="仿宋_GB2312" w:eastAsia="仿宋_GB2312" w:cs="仿宋_GB2312"/>
                <w:i w:val="0"/>
                <w:iCs w:val="0"/>
                <w:color w:val="000000"/>
                <w:sz w:val="18"/>
                <w:szCs w:val="18"/>
                <w:highlight w:val="none"/>
                <w:u w:val="none"/>
              </w:rPr>
            </w:pPr>
          </w:p>
        </w:tc>
        <w:tc>
          <w:tcPr>
            <w:tcW w:w="409" w:type="pct"/>
            <w:vMerge w:val="continue"/>
            <w:tcBorders>
              <w:left w:val="single" w:color="000000" w:sz="4" w:space="0"/>
              <w:right w:val="single" w:color="000000" w:sz="4" w:space="0"/>
            </w:tcBorders>
            <w:shd w:val="clear" w:color="auto" w:fill="auto"/>
            <w:noWrap/>
            <w:vAlign w:val="center"/>
          </w:tcPr>
          <w:p w14:paraId="6A6838D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rPr>
            </w:pPr>
          </w:p>
        </w:tc>
        <w:tc>
          <w:tcPr>
            <w:tcW w:w="488" w:type="pct"/>
            <w:vMerge w:val="continue"/>
            <w:tcBorders>
              <w:left w:val="single" w:color="000000" w:sz="4" w:space="0"/>
              <w:right w:val="single" w:color="000000" w:sz="4" w:space="0"/>
            </w:tcBorders>
            <w:shd w:val="clear" w:color="auto" w:fill="auto"/>
            <w:noWrap/>
            <w:vAlign w:val="center"/>
          </w:tcPr>
          <w:p w14:paraId="51CFF2A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rPr>
            </w:pPr>
          </w:p>
        </w:tc>
        <w:tc>
          <w:tcPr>
            <w:tcW w:w="345" w:type="pct"/>
            <w:tcBorders>
              <w:top w:val="single" w:color="000000" w:sz="4" w:space="0"/>
              <w:left w:val="nil"/>
              <w:bottom w:val="single" w:color="000000" w:sz="4" w:space="0"/>
              <w:right w:val="single" w:color="000000" w:sz="4" w:space="0"/>
            </w:tcBorders>
            <w:shd w:val="clear" w:color="auto" w:fill="auto"/>
            <w:vAlign w:val="center"/>
          </w:tcPr>
          <w:p w14:paraId="702B3130">
            <w:pPr>
              <w:jc w:val="left"/>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color w:val="000000"/>
                <w:sz w:val="18"/>
                <w:szCs w:val="18"/>
                <w:highlight w:val="none"/>
                <w:u w:val="none"/>
                <w:lang w:val="en-US" w:eastAsia="zh-CN"/>
              </w:rPr>
              <w:t>公务保障用车数量</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9D7124">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=7辆</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504A22">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计划标准</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C32B9E">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F8E35">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10</w:t>
            </w: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C8D695">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9914C8">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工作资料</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076EF6">
            <w:pPr>
              <w:jc w:val="center"/>
              <w:rPr>
                <w:rFonts w:hint="default"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=7辆</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5B4111">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100%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36E74">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10</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DDF23">
            <w:pPr>
              <w:jc w:val="center"/>
              <w:rPr>
                <w:rFonts w:hint="eastAsia" w:ascii="仿宋_GB2312" w:hAnsi="仿宋_GB2312" w:eastAsia="仿宋_GB2312" w:cs="仿宋_GB2312"/>
                <w:i w:val="0"/>
                <w:iCs w:val="0"/>
                <w:color w:val="000000"/>
                <w:sz w:val="18"/>
                <w:szCs w:val="18"/>
                <w:highlight w:val="none"/>
                <w:u w:val="none"/>
              </w:rPr>
            </w:pPr>
          </w:p>
        </w:tc>
      </w:tr>
      <w:tr w14:paraId="2D4D3E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E28E2B">
            <w:pPr>
              <w:jc w:val="center"/>
              <w:rPr>
                <w:rFonts w:hint="eastAsia" w:ascii="仿宋_GB2312" w:hAnsi="仿宋_GB2312" w:eastAsia="仿宋_GB2312" w:cs="仿宋_GB2312"/>
                <w:i w:val="0"/>
                <w:iCs w:val="0"/>
                <w:color w:val="000000"/>
                <w:sz w:val="18"/>
                <w:szCs w:val="18"/>
                <w:highlight w:val="none"/>
                <w:u w:val="none"/>
              </w:rPr>
            </w:pPr>
          </w:p>
        </w:tc>
        <w:tc>
          <w:tcPr>
            <w:tcW w:w="409" w:type="pct"/>
            <w:vMerge w:val="continue"/>
            <w:tcBorders>
              <w:left w:val="single" w:color="000000" w:sz="4" w:space="0"/>
              <w:right w:val="single" w:color="000000" w:sz="4" w:space="0"/>
            </w:tcBorders>
            <w:shd w:val="clear" w:color="auto" w:fill="auto"/>
            <w:noWrap/>
            <w:vAlign w:val="center"/>
          </w:tcPr>
          <w:p w14:paraId="0C5DF64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rPr>
            </w:pPr>
          </w:p>
        </w:tc>
        <w:tc>
          <w:tcPr>
            <w:tcW w:w="488" w:type="pct"/>
            <w:vMerge w:val="continue"/>
            <w:tcBorders>
              <w:left w:val="single" w:color="000000" w:sz="4" w:space="0"/>
              <w:right w:val="single" w:color="000000" w:sz="4" w:space="0"/>
            </w:tcBorders>
            <w:shd w:val="clear" w:color="auto" w:fill="auto"/>
            <w:noWrap/>
            <w:vAlign w:val="center"/>
          </w:tcPr>
          <w:p w14:paraId="38F6BE7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rPr>
            </w:pPr>
          </w:p>
        </w:tc>
        <w:tc>
          <w:tcPr>
            <w:tcW w:w="345" w:type="pct"/>
            <w:tcBorders>
              <w:top w:val="single" w:color="000000" w:sz="4" w:space="0"/>
              <w:left w:val="nil"/>
              <w:bottom w:val="single" w:color="000000" w:sz="4" w:space="0"/>
              <w:right w:val="single" w:color="000000" w:sz="4" w:space="0"/>
            </w:tcBorders>
            <w:shd w:val="clear" w:color="auto" w:fill="auto"/>
            <w:vAlign w:val="center"/>
          </w:tcPr>
          <w:p w14:paraId="77F88AAC">
            <w:pPr>
              <w:jc w:val="left"/>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工资发放人数</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C5705">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≥78人</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CF88CC">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u w:val="none"/>
                <w:lang w:val="en-US" w:eastAsia="zh-CN"/>
              </w:rPr>
              <w:t>计划标准</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B8FA2A">
            <w:pPr>
              <w:jc w:val="center"/>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D3F06">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10</w:t>
            </w: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19AD6">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5E65F9">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工作资料</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6073F">
            <w:pPr>
              <w:jc w:val="center"/>
              <w:rPr>
                <w:rFonts w:hint="default"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=85</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52255">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highlight w:val="none"/>
                <w:u w:val="none"/>
                <w:lang w:val="en-US" w:eastAsia="zh-CN"/>
              </w:rPr>
              <w:t>100%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E4A8F">
            <w:pPr>
              <w:jc w:val="center"/>
              <w:rPr>
                <w:rFonts w:hint="default"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9.2</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D08C92">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eastAsia="zh-CN"/>
              </w:rPr>
              <w:t>偏差原因：目标人数78人，业绩人数85人，相差7人（新招录5人，调入2人）</w:t>
            </w:r>
            <w:r>
              <w:rPr>
                <w:rFonts w:hint="eastAsia" w:ascii="仿宋_GB2312" w:hAnsi="仿宋_GB2312" w:eastAsia="仿宋_GB2312" w:cs="仿宋_GB2312"/>
                <w:i w:val="0"/>
                <w:iCs w:val="0"/>
                <w:color w:val="000000"/>
                <w:sz w:val="18"/>
                <w:szCs w:val="18"/>
                <w:highlight w:val="none"/>
                <w:u w:val="none"/>
                <w:lang w:val="en-US" w:eastAsia="zh-CN"/>
              </w:rPr>
              <w:t>，改进措施：精准核定人员编制与岗位配置，结合单位业务实际与发展需求，科学制定用人计划。通过强化招聘与人员调动的统筹管理，从源头避免超编现象，确保目标人数与业绩人数保持一致。</w:t>
            </w:r>
          </w:p>
        </w:tc>
      </w:tr>
      <w:tr w14:paraId="7C2BC3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974E3E">
            <w:pPr>
              <w:jc w:val="center"/>
              <w:rPr>
                <w:rFonts w:hint="eastAsia" w:ascii="仿宋_GB2312" w:hAnsi="仿宋_GB2312" w:eastAsia="仿宋_GB2312" w:cs="仿宋_GB2312"/>
                <w:i w:val="0"/>
                <w:iCs w:val="0"/>
                <w:color w:val="000000"/>
                <w:sz w:val="18"/>
                <w:szCs w:val="18"/>
                <w:highlight w:val="none"/>
                <w:u w:val="none"/>
              </w:rPr>
            </w:pPr>
          </w:p>
        </w:tc>
        <w:tc>
          <w:tcPr>
            <w:tcW w:w="409" w:type="pct"/>
            <w:vMerge w:val="continue"/>
            <w:tcBorders>
              <w:left w:val="single" w:color="000000" w:sz="4" w:space="0"/>
              <w:right w:val="single" w:color="000000" w:sz="4" w:space="0"/>
            </w:tcBorders>
            <w:shd w:val="clear" w:color="auto" w:fill="auto"/>
            <w:noWrap/>
            <w:vAlign w:val="center"/>
          </w:tcPr>
          <w:p w14:paraId="3FFF65E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rPr>
            </w:pPr>
          </w:p>
        </w:tc>
        <w:tc>
          <w:tcPr>
            <w:tcW w:w="488" w:type="pct"/>
            <w:vMerge w:val="continue"/>
            <w:tcBorders>
              <w:left w:val="single" w:color="000000" w:sz="4" w:space="0"/>
              <w:right w:val="single" w:color="000000" w:sz="4" w:space="0"/>
            </w:tcBorders>
            <w:shd w:val="clear" w:color="auto" w:fill="auto"/>
            <w:noWrap/>
            <w:vAlign w:val="center"/>
          </w:tcPr>
          <w:p w14:paraId="46EE5A4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rPr>
            </w:pPr>
          </w:p>
        </w:tc>
        <w:tc>
          <w:tcPr>
            <w:tcW w:w="345" w:type="pct"/>
            <w:tcBorders>
              <w:top w:val="single" w:color="000000" w:sz="4" w:space="0"/>
              <w:left w:val="nil"/>
              <w:bottom w:val="single" w:color="000000" w:sz="4" w:space="0"/>
              <w:right w:val="single" w:color="000000" w:sz="4" w:space="0"/>
            </w:tcBorders>
            <w:shd w:val="clear" w:color="auto" w:fill="auto"/>
            <w:vAlign w:val="center"/>
          </w:tcPr>
          <w:p w14:paraId="30591C12">
            <w:pPr>
              <w:jc w:val="left"/>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color w:val="000000"/>
                <w:kern w:val="0"/>
                <w:sz w:val="18"/>
                <w:szCs w:val="18"/>
                <w:highlight w:val="none"/>
                <w:u w:val="none"/>
                <w:lang w:val="en-US" w:eastAsia="zh-CN"/>
              </w:rPr>
              <w:t>防洪物资采购</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B5BCC">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≥2批</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387CC8">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计划标准</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897E17">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A5CF7">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5</w:t>
            </w: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0BC0D0">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1F294">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工作资料</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A1D69">
            <w:pPr>
              <w:jc w:val="center"/>
              <w:rPr>
                <w:rFonts w:hint="default"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=2批</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9F47F">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100%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CF0921">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5</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5DE0D">
            <w:pPr>
              <w:jc w:val="center"/>
              <w:rPr>
                <w:rFonts w:hint="eastAsia" w:ascii="仿宋_GB2312" w:hAnsi="仿宋_GB2312" w:eastAsia="仿宋_GB2312" w:cs="仿宋_GB2312"/>
                <w:i w:val="0"/>
                <w:iCs w:val="0"/>
                <w:color w:val="000000"/>
                <w:sz w:val="18"/>
                <w:szCs w:val="18"/>
                <w:highlight w:val="none"/>
                <w:u w:val="none"/>
              </w:rPr>
            </w:pPr>
          </w:p>
        </w:tc>
      </w:tr>
      <w:tr w14:paraId="2D7EE0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90183B">
            <w:pPr>
              <w:jc w:val="center"/>
              <w:rPr>
                <w:rFonts w:hint="eastAsia" w:ascii="仿宋_GB2312" w:hAnsi="仿宋_GB2312" w:eastAsia="仿宋_GB2312" w:cs="仿宋_GB2312"/>
                <w:i w:val="0"/>
                <w:iCs w:val="0"/>
                <w:color w:val="000000"/>
                <w:sz w:val="18"/>
                <w:szCs w:val="18"/>
                <w:highlight w:val="none"/>
                <w:u w:val="none"/>
              </w:rPr>
            </w:pPr>
          </w:p>
        </w:tc>
        <w:tc>
          <w:tcPr>
            <w:tcW w:w="409" w:type="pct"/>
            <w:vMerge w:val="continue"/>
            <w:tcBorders>
              <w:left w:val="single" w:color="000000" w:sz="4" w:space="0"/>
              <w:right w:val="single" w:color="000000" w:sz="4" w:space="0"/>
            </w:tcBorders>
            <w:shd w:val="clear" w:color="auto" w:fill="auto"/>
            <w:noWrap/>
            <w:vAlign w:val="center"/>
          </w:tcPr>
          <w:p w14:paraId="6A94F43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rPr>
            </w:pPr>
          </w:p>
        </w:tc>
        <w:tc>
          <w:tcPr>
            <w:tcW w:w="488" w:type="pct"/>
            <w:vMerge w:val="continue"/>
            <w:tcBorders>
              <w:left w:val="single" w:color="000000" w:sz="4" w:space="0"/>
              <w:bottom w:val="nil"/>
              <w:right w:val="single" w:color="000000" w:sz="4" w:space="0"/>
            </w:tcBorders>
            <w:shd w:val="clear" w:color="auto" w:fill="auto"/>
            <w:noWrap/>
            <w:vAlign w:val="center"/>
          </w:tcPr>
          <w:p w14:paraId="3F8524A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rPr>
            </w:pPr>
          </w:p>
        </w:tc>
        <w:tc>
          <w:tcPr>
            <w:tcW w:w="345" w:type="pct"/>
            <w:tcBorders>
              <w:top w:val="single" w:color="000000" w:sz="4" w:space="0"/>
              <w:left w:val="nil"/>
              <w:bottom w:val="single" w:color="000000" w:sz="4" w:space="0"/>
              <w:right w:val="single" w:color="000000" w:sz="4" w:space="0"/>
            </w:tcBorders>
            <w:shd w:val="clear" w:color="auto" w:fill="auto"/>
            <w:vAlign w:val="center"/>
          </w:tcPr>
          <w:p w14:paraId="06094108">
            <w:pPr>
              <w:jc w:val="left"/>
              <w:rPr>
                <w:rFonts w:hint="eastAsia"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保障办公场所面积</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B5B552">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≥2779.92㎡</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20AD6">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计划标准</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B93DB">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CB9674">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5</w:t>
            </w: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525D1">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A5094">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工作资料</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EEE1DF">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=2780.5㎡</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06BA2">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100%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21698">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5</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1DED6">
            <w:pPr>
              <w:jc w:val="center"/>
              <w:rPr>
                <w:rFonts w:hint="eastAsia" w:ascii="仿宋_GB2312" w:hAnsi="仿宋_GB2312" w:eastAsia="仿宋_GB2312" w:cs="仿宋_GB2312"/>
                <w:i w:val="0"/>
                <w:iCs w:val="0"/>
                <w:color w:val="000000"/>
                <w:sz w:val="18"/>
                <w:szCs w:val="18"/>
                <w:highlight w:val="none"/>
                <w:u w:val="none"/>
              </w:rPr>
            </w:pPr>
          </w:p>
        </w:tc>
      </w:tr>
      <w:tr w14:paraId="4C3BD5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95A764">
            <w:pPr>
              <w:jc w:val="center"/>
              <w:rPr>
                <w:rFonts w:hint="eastAsia" w:ascii="仿宋_GB2312" w:hAnsi="仿宋_GB2312" w:eastAsia="仿宋_GB2312" w:cs="仿宋_GB2312"/>
                <w:i w:val="0"/>
                <w:iCs w:val="0"/>
                <w:color w:val="000000"/>
                <w:sz w:val="18"/>
                <w:szCs w:val="18"/>
                <w:highlight w:val="none"/>
                <w:u w:val="none"/>
              </w:rPr>
            </w:pPr>
          </w:p>
        </w:tc>
        <w:tc>
          <w:tcPr>
            <w:tcW w:w="40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F6815">
            <w:pPr>
              <w:jc w:val="center"/>
              <w:rPr>
                <w:rFonts w:hint="eastAsia" w:ascii="仿宋_GB2312" w:hAnsi="仿宋_GB2312" w:eastAsia="仿宋_GB2312" w:cs="仿宋_GB2312"/>
                <w:i w:val="0"/>
                <w:iCs w:val="0"/>
                <w:color w:val="000000"/>
                <w:sz w:val="18"/>
                <w:szCs w:val="18"/>
                <w:highlight w:val="none"/>
                <w:u w:val="none"/>
              </w:rPr>
            </w:pPr>
          </w:p>
        </w:tc>
        <w:tc>
          <w:tcPr>
            <w:tcW w:w="488" w:type="pct"/>
            <w:vMerge w:val="restart"/>
            <w:tcBorders>
              <w:top w:val="single" w:color="000000" w:sz="4" w:space="0"/>
              <w:left w:val="single" w:color="000000" w:sz="4" w:space="0"/>
              <w:right w:val="single" w:color="000000" w:sz="4" w:space="0"/>
            </w:tcBorders>
            <w:shd w:val="clear" w:color="auto" w:fill="auto"/>
            <w:vAlign w:val="center"/>
          </w:tcPr>
          <w:p w14:paraId="6DFCE55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质量指标</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AFA20B">
            <w:pPr>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资金发放准确率（%）</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98CA53">
            <w:pPr>
              <w:jc w:val="center"/>
              <w:rPr>
                <w:rFonts w:hint="default"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=98%</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2069FA">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计划标准</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7B448">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45264">
            <w:pPr>
              <w:jc w:val="center"/>
              <w:rPr>
                <w:rFonts w:hint="default"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w:t>
            </w: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86604">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4D441">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工作资料</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15774">
            <w:pPr>
              <w:jc w:val="center"/>
              <w:rPr>
                <w:rFonts w:hint="default"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=98%</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C7CA1">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76F636">
            <w:pPr>
              <w:jc w:val="center"/>
              <w:rPr>
                <w:rFonts w:hint="default"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B976B">
            <w:pPr>
              <w:jc w:val="center"/>
              <w:rPr>
                <w:rFonts w:hint="eastAsia" w:ascii="仿宋_GB2312" w:hAnsi="仿宋_GB2312" w:eastAsia="仿宋_GB2312" w:cs="仿宋_GB2312"/>
                <w:i w:val="0"/>
                <w:iCs w:val="0"/>
                <w:color w:val="000000"/>
                <w:sz w:val="18"/>
                <w:szCs w:val="18"/>
                <w:highlight w:val="none"/>
                <w:u w:val="none"/>
              </w:rPr>
            </w:pPr>
          </w:p>
        </w:tc>
      </w:tr>
      <w:tr w14:paraId="1BC32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6035D0">
            <w:pPr>
              <w:jc w:val="center"/>
              <w:rPr>
                <w:rFonts w:hint="eastAsia" w:ascii="仿宋_GB2312" w:hAnsi="仿宋_GB2312" w:eastAsia="仿宋_GB2312" w:cs="仿宋_GB2312"/>
                <w:i w:val="0"/>
                <w:iCs w:val="0"/>
                <w:color w:val="000000"/>
                <w:sz w:val="18"/>
                <w:szCs w:val="18"/>
                <w:highlight w:val="none"/>
                <w:u w:val="none"/>
              </w:rPr>
            </w:pPr>
          </w:p>
        </w:tc>
        <w:tc>
          <w:tcPr>
            <w:tcW w:w="40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FF788">
            <w:pPr>
              <w:jc w:val="center"/>
              <w:rPr>
                <w:rFonts w:hint="eastAsia" w:ascii="仿宋_GB2312" w:hAnsi="仿宋_GB2312" w:eastAsia="仿宋_GB2312" w:cs="仿宋_GB2312"/>
                <w:i w:val="0"/>
                <w:iCs w:val="0"/>
                <w:color w:val="000000"/>
                <w:sz w:val="18"/>
                <w:szCs w:val="18"/>
                <w:highlight w:val="none"/>
                <w:u w:val="none"/>
              </w:rPr>
            </w:pPr>
          </w:p>
        </w:tc>
        <w:tc>
          <w:tcPr>
            <w:tcW w:w="488" w:type="pct"/>
            <w:vMerge w:val="continue"/>
            <w:tcBorders>
              <w:left w:val="single" w:color="000000" w:sz="4" w:space="0"/>
              <w:bottom w:val="single" w:color="000000" w:sz="4" w:space="0"/>
              <w:right w:val="single" w:color="000000" w:sz="4" w:space="0"/>
            </w:tcBorders>
            <w:shd w:val="clear" w:color="auto" w:fill="auto"/>
            <w:vAlign w:val="center"/>
          </w:tcPr>
          <w:p w14:paraId="0D28D30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F1FED">
            <w:pPr>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防洪物资采购质量合格率</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1DF5D">
            <w:pPr>
              <w:jc w:val="center"/>
              <w:rPr>
                <w:rFonts w:hint="default" w:ascii="仿宋_GB2312" w:hAnsi="仿宋_GB2312" w:eastAsia="仿宋_GB2312" w:cs="仿宋_GB2312"/>
                <w:i w:val="0"/>
                <w:iCs w:val="0"/>
                <w:color w:val="000000"/>
                <w:sz w:val="18"/>
                <w:szCs w:val="18"/>
                <w:highlight w:val="none"/>
                <w:u w:val="none"/>
                <w:lang w:val="en-US"/>
              </w:rPr>
            </w:pPr>
            <w:r>
              <w:rPr>
                <w:rFonts w:hint="eastAsia" w:ascii="仿宋_GB2312" w:hAnsi="仿宋_GB2312" w:eastAsia="仿宋_GB2312" w:cs="仿宋_GB2312"/>
                <w:i w:val="0"/>
                <w:iCs w:val="0"/>
                <w:color w:val="000000"/>
                <w:sz w:val="18"/>
                <w:szCs w:val="18"/>
                <w:highlight w:val="none"/>
                <w:u w:val="none"/>
                <w:lang w:val="en-US" w:eastAsia="zh-CN"/>
              </w:rPr>
              <w:t>=98%</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BAD63D">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计划标准</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31D92">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068688">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10</w:t>
            </w: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CEB07">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88326">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工作资料</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31065">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=98%</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EAFA0">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100%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57079A">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10</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F14474">
            <w:pPr>
              <w:jc w:val="center"/>
              <w:rPr>
                <w:rFonts w:hint="eastAsia" w:ascii="仿宋_GB2312" w:hAnsi="仿宋_GB2312" w:eastAsia="仿宋_GB2312" w:cs="仿宋_GB2312"/>
                <w:i w:val="0"/>
                <w:iCs w:val="0"/>
                <w:color w:val="000000"/>
                <w:sz w:val="18"/>
                <w:szCs w:val="18"/>
                <w:highlight w:val="none"/>
                <w:u w:val="none"/>
              </w:rPr>
            </w:pPr>
          </w:p>
        </w:tc>
      </w:tr>
      <w:tr w14:paraId="4D601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FD9E7">
            <w:pPr>
              <w:jc w:val="center"/>
              <w:rPr>
                <w:rFonts w:hint="eastAsia" w:ascii="仿宋_GB2312" w:hAnsi="仿宋_GB2312" w:eastAsia="仿宋_GB2312" w:cs="仿宋_GB2312"/>
                <w:i w:val="0"/>
                <w:iCs w:val="0"/>
                <w:color w:val="000000"/>
                <w:sz w:val="18"/>
                <w:szCs w:val="18"/>
                <w:highlight w:val="none"/>
                <w:u w:val="none"/>
              </w:rPr>
            </w:pPr>
          </w:p>
        </w:tc>
        <w:tc>
          <w:tcPr>
            <w:tcW w:w="40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0DCF7">
            <w:pPr>
              <w:jc w:val="center"/>
              <w:rPr>
                <w:rFonts w:hint="eastAsia" w:ascii="仿宋_GB2312" w:hAnsi="仿宋_GB2312" w:eastAsia="仿宋_GB2312" w:cs="仿宋_GB2312"/>
                <w:i w:val="0"/>
                <w:iCs w:val="0"/>
                <w:color w:val="000000"/>
                <w:sz w:val="18"/>
                <w:szCs w:val="18"/>
                <w:highlight w:val="none"/>
                <w:u w:val="none"/>
              </w:rPr>
            </w:pPr>
          </w:p>
        </w:tc>
        <w:tc>
          <w:tcPr>
            <w:tcW w:w="488" w:type="pct"/>
            <w:tcBorders>
              <w:top w:val="single" w:color="000000" w:sz="4" w:space="0"/>
              <w:left w:val="single" w:color="000000" w:sz="4" w:space="0"/>
              <w:bottom w:val="nil"/>
              <w:right w:val="single" w:color="000000" w:sz="4" w:space="0"/>
            </w:tcBorders>
            <w:shd w:val="clear" w:color="auto" w:fill="auto"/>
            <w:noWrap/>
            <w:vAlign w:val="center"/>
          </w:tcPr>
          <w:p w14:paraId="4307801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时效指标</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261AA">
            <w:pPr>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防洪物资采购及时率</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2130E">
            <w:pPr>
              <w:jc w:val="center"/>
              <w:rPr>
                <w:rFonts w:hint="default"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≥98%</w:t>
            </w: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7780E5">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计划标准</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0574A">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44EDF">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w:t>
            </w: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766C38">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E8FDC0">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工作资料</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5FEFCD">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=98%</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39B8B">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75D92">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40F7D">
            <w:pPr>
              <w:jc w:val="center"/>
              <w:rPr>
                <w:rFonts w:hint="eastAsia" w:ascii="仿宋_GB2312" w:hAnsi="仿宋_GB2312" w:eastAsia="仿宋_GB2312" w:cs="仿宋_GB2312"/>
                <w:b/>
                <w:bCs/>
                <w:i w:val="0"/>
                <w:iCs w:val="0"/>
                <w:color w:val="000000"/>
                <w:sz w:val="18"/>
                <w:szCs w:val="18"/>
                <w:highlight w:val="none"/>
                <w:u w:val="none"/>
              </w:rPr>
            </w:pPr>
          </w:p>
        </w:tc>
      </w:tr>
      <w:tr w14:paraId="4488DB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2"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39F7D">
            <w:pPr>
              <w:jc w:val="center"/>
              <w:rPr>
                <w:rFonts w:hint="eastAsia" w:ascii="仿宋_GB2312" w:hAnsi="仿宋_GB2312" w:eastAsia="仿宋_GB2312" w:cs="仿宋_GB2312"/>
                <w:i w:val="0"/>
                <w:iCs w:val="0"/>
                <w:color w:val="000000"/>
                <w:sz w:val="18"/>
                <w:szCs w:val="18"/>
                <w:highlight w:val="none"/>
                <w:u w:val="none"/>
              </w:rPr>
            </w:pPr>
          </w:p>
        </w:tc>
        <w:tc>
          <w:tcPr>
            <w:tcW w:w="409" w:type="pct"/>
            <w:vMerge w:val="restart"/>
            <w:tcBorders>
              <w:top w:val="single" w:color="000000" w:sz="4" w:space="0"/>
              <w:left w:val="single" w:color="000000" w:sz="4" w:space="0"/>
              <w:right w:val="single" w:color="000000" w:sz="4" w:space="0"/>
            </w:tcBorders>
            <w:shd w:val="clear" w:color="auto" w:fill="auto"/>
            <w:vAlign w:val="center"/>
          </w:tcPr>
          <w:p w14:paraId="4BF621E9">
            <w:pPr>
              <w:jc w:val="center"/>
              <w:rPr>
                <w:rFonts w:hint="default" w:ascii="仿宋_GB2312" w:hAnsi="仿宋_GB2312" w:eastAsia="仿宋_GB2312" w:cs="仿宋_GB2312"/>
                <w:i w:val="0"/>
                <w:iCs w:val="0"/>
                <w:color w:val="000000"/>
                <w:sz w:val="18"/>
                <w:szCs w:val="18"/>
                <w:highlight w:val="none"/>
                <w:u w:val="none"/>
                <w:lang w:val="en-US" w:eastAsia="zh-CN"/>
              </w:rPr>
            </w:pPr>
            <w:r>
              <w:rPr>
                <w:rFonts w:hint="eastAsia" w:ascii="仿宋_GB2312" w:hAnsi="仿宋_GB2312" w:eastAsia="仿宋_GB2312" w:cs="仿宋_GB2312"/>
                <w:i w:val="0"/>
                <w:iCs w:val="0"/>
                <w:color w:val="000000"/>
                <w:sz w:val="18"/>
                <w:szCs w:val="18"/>
                <w:highlight w:val="none"/>
                <w:u w:val="none"/>
                <w:lang w:val="en-US" w:eastAsia="zh-CN"/>
              </w:rPr>
              <w:t>成本指标</w:t>
            </w:r>
          </w:p>
        </w:tc>
        <w:tc>
          <w:tcPr>
            <w:tcW w:w="488" w:type="pct"/>
            <w:vMerge w:val="restart"/>
            <w:tcBorders>
              <w:top w:val="single" w:color="000000" w:sz="4" w:space="0"/>
              <w:left w:val="single" w:color="000000" w:sz="4" w:space="0"/>
              <w:right w:val="single" w:color="000000" w:sz="4" w:space="0"/>
            </w:tcBorders>
            <w:shd w:val="clear" w:color="auto" w:fill="auto"/>
            <w:noWrap/>
            <w:vAlign w:val="center"/>
          </w:tcPr>
          <w:p w14:paraId="0B2D086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rPr>
            </w:pPr>
            <w:r>
              <w:rPr>
                <w:rFonts w:hint="eastAsia" w:ascii="仿宋_GB2312" w:hAnsi="仿宋_GB2312" w:eastAsia="仿宋_GB2312" w:cs="仿宋_GB2312"/>
                <w:i w:val="0"/>
                <w:iCs w:val="0"/>
                <w:color w:val="000000"/>
                <w:kern w:val="0"/>
                <w:sz w:val="18"/>
                <w:szCs w:val="18"/>
                <w:highlight w:val="none"/>
                <w:u w:val="none"/>
                <w:lang w:val="en-US" w:eastAsia="zh-CN"/>
              </w:rPr>
              <w:t>经济成本指标</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C66D1">
            <w:pPr>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保障人员经费</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B406F">
            <w:pPr>
              <w:jc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≤199.21</w:t>
            </w:r>
            <w:r>
              <w:rPr>
                <w:rFonts w:hint="eastAsia" w:ascii="仿宋_GB2312" w:hAnsi="仿宋_GB2312" w:eastAsia="仿宋_GB2312" w:cs="仿宋_GB2312"/>
                <w:i w:val="0"/>
                <w:iCs w:val="0"/>
                <w:color w:val="000000"/>
                <w:sz w:val="18"/>
                <w:szCs w:val="18"/>
                <w:u w:val="none"/>
                <w:lang w:val="en-US" w:eastAsia="zh-CN"/>
              </w:rPr>
              <w:t>万元</w:t>
            </w:r>
          </w:p>
        </w:tc>
        <w:tc>
          <w:tcPr>
            <w:tcW w:w="318" w:type="pct"/>
            <w:tcBorders>
              <w:top w:val="single" w:color="000000" w:sz="4" w:space="0"/>
              <w:left w:val="single" w:color="000000" w:sz="4" w:space="0"/>
              <w:bottom w:val="nil"/>
              <w:right w:val="single" w:color="000000" w:sz="4" w:space="0"/>
            </w:tcBorders>
            <w:shd w:val="clear" w:color="auto" w:fill="auto"/>
            <w:vAlign w:val="center"/>
          </w:tcPr>
          <w:p w14:paraId="48E26322">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计划标准</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3B6A7">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AC17F">
            <w:pPr>
              <w:jc w:val="center"/>
              <w:rPr>
                <w:rFonts w:hint="default"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w:t>
            </w:r>
          </w:p>
        </w:tc>
        <w:tc>
          <w:tcPr>
            <w:tcW w:w="384" w:type="pct"/>
            <w:tcBorders>
              <w:top w:val="single" w:color="000000" w:sz="4" w:space="0"/>
              <w:left w:val="single" w:color="000000" w:sz="4" w:space="0"/>
              <w:bottom w:val="nil"/>
              <w:right w:val="single" w:color="000000" w:sz="4" w:space="0"/>
            </w:tcBorders>
            <w:shd w:val="clear" w:color="auto" w:fill="auto"/>
            <w:vAlign w:val="center"/>
          </w:tcPr>
          <w:p w14:paraId="54904A81">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06473">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原始凭证</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6E55A">
            <w:pPr>
              <w:jc w:val="center"/>
              <w:rPr>
                <w:rFonts w:hint="default"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=199.21万元</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E35B20">
            <w:pPr>
              <w:jc w:val="center"/>
              <w:rPr>
                <w:rFonts w:hint="default"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55872">
            <w:pPr>
              <w:jc w:val="center"/>
              <w:rPr>
                <w:rFonts w:hint="default"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7E22E">
            <w:pPr>
              <w:jc w:val="center"/>
              <w:rPr>
                <w:rFonts w:hint="eastAsia" w:ascii="仿宋_GB2312" w:hAnsi="仿宋_GB2312" w:eastAsia="仿宋_GB2312" w:cs="仿宋_GB2312"/>
                <w:i w:val="0"/>
                <w:iCs w:val="0"/>
                <w:color w:val="000000"/>
                <w:sz w:val="18"/>
                <w:szCs w:val="18"/>
                <w:highlight w:val="none"/>
                <w:u w:val="none"/>
              </w:rPr>
            </w:pPr>
          </w:p>
        </w:tc>
      </w:tr>
      <w:tr w14:paraId="46E255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0EB8B">
            <w:pPr>
              <w:jc w:val="center"/>
              <w:rPr>
                <w:rFonts w:hint="eastAsia" w:ascii="仿宋_GB2312" w:hAnsi="仿宋_GB2312" w:eastAsia="仿宋_GB2312" w:cs="仿宋_GB2312"/>
                <w:i w:val="0"/>
                <w:iCs w:val="0"/>
                <w:color w:val="000000"/>
                <w:sz w:val="18"/>
                <w:szCs w:val="18"/>
                <w:highlight w:val="none"/>
                <w:u w:val="none"/>
              </w:rPr>
            </w:pPr>
          </w:p>
        </w:tc>
        <w:tc>
          <w:tcPr>
            <w:tcW w:w="409" w:type="pct"/>
            <w:vMerge w:val="continue"/>
            <w:tcBorders>
              <w:left w:val="single" w:color="000000" w:sz="4" w:space="0"/>
              <w:bottom w:val="single" w:color="000000" w:sz="4" w:space="0"/>
              <w:right w:val="single" w:color="000000" w:sz="4" w:space="0"/>
            </w:tcBorders>
            <w:shd w:val="clear" w:color="auto" w:fill="auto"/>
            <w:vAlign w:val="center"/>
          </w:tcPr>
          <w:p w14:paraId="4D1672BF">
            <w:pPr>
              <w:jc w:val="center"/>
              <w:rPr>
                <w:rFonts w:hint="eastAsia" w:ascii="仿宋_GB2312" w:hAnsi="仿宋_GB2312" w:eastAsia="仿宋_GB2312" w:cs="仿宋_GB2312"/>
                <w:i w:val="0"/>
                <w:iCs w:val="0"/>
                <w:color w:val="000000"/>
                <w:sz w:val="18"/>
                <w:szCs w:val="18"/>
                <w:highlight w:val="none"/>
                <w:u w:val="none"/>
                <w:lang w:val="en-US" w:eastAsia="zh-CN"/>
              </w:rPr>
            </w:pPr>
          </w:p>
        </w:tc>
        <w:tc>
          <w:tcPr>
            <w:tcW w:w="488" w:type="pct"/>
            <w:vMerge w:val="continue"/>
            <w:tcBorders>
              <w:left w:val="single" w:color="000000" w:sz="4" w:space="0"/>
              <w:bottom w:val="nil"/>
              <w:right w:val="single" w:color="000000" w:sz="4" w:space="0"/>
            </w:tcBorders>
            <w:shd w:val="clear" w:color="auto" w:fill="auto"/>
            <w:noWrap/>
            <w:vAlign w:val="center"/>
          </w:tcPr>
          <w:p w14:paraId="38BA713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737A0">
            <w:pPr>
              <w:jc w:val="left"/>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保障日常运转经费</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66934">
            <w:pPr>
              <w:jc w:val="center"/>
              <w:rPr>
                <w:rFonts w:hint="default" w:ascii="仿宋_GB2312" w:hAnsi="仿宋_GB2312" w:eastAsia="仿宋_GB2312" w:cs="仿宋_GB2312"/>
                <w:i w:val="0"/>
                <w:iCs w:val="0"/>
                <w:color w:val="000000"/>
                <w:sz w:val="18"/>
                <w:szCs w:val="18"/>
                <w:highlight w:val="none"/>
                <w:u w:val="none"/>
                <w:lang w:val="en-US"/>
              </w:rPr>
            </w:pPr>
            <w:r>
              <w:rPr>
                <w:rFonts w:hint="eastAsia" w:ascii="仿宋_GB2312" w:hAnsi="仿宋_GB2312" w:eastAsia="仿宋_GB2312" w:cs="仿宋_GB2312"/>
                <w:i w:val="0"/>
                <w:iCs w:val="0"/>
                <w:color w:val="000000"/>
                <w:sz w:val="18"/>
                <w:szCs w:val="18"/>
                <w:highlight w:val="none"/>
                <w:u w:val="none"/>
                <w:lang w:val="en-US" w:eastAsia="zh-CN"/>
              </w:rPr>
              <w:t>≤886.62</w:t>
            </w:r>
            <w:r>
              <w:rPr>
                <w:rFonts w:hint="eastAsia" w:ascii="仿宋_GB2312" w:hAnsi="仿宋_GB2312" w:eastAsia="仿宋_GB2312" w:cs="仿宋_GB2312"/>
                <w:i w:val="0"/>
                <w:iCs w:val="0"/>
                <w:color w:val="000000"/>
                <w:sz w:val="18"/>
                <w:szCs w:val="18"/>
                <w:u w:val="none"/>
                <w:lang w:val="en-US" w:eastAsia="zh-CN"/>
              </w:rPr>
              <w:t>万元</w:t>
            </w:r>
            <w:bookmarkStart w:id="67" w:name="_GoBack"/>
            <w:bookmarkEnd w:id="67"/>
          </w:p>
        </w:tc>
        <w:tc>
          <w:tcPr>
            <w:tcW w:w="318" w:type="pct"/>
            <w:tcBorders>
              <w:top w:val="single" w:color="000000" w:sz="4" w:space="0"/>
              <w:left w:val="single" w:color="000000" w:sz="4" w:space="0"/>
              <w:bottom w:val="nil"/>
              <w:right w:val="single" w:color="000000" w:sz="4" w:space="0"/>
            </w:tcBorders>
            <w:shd w:val="clear" w:color="auto" w:fill="auto"/>
            <w:vAlign w:val="center"/>
          </w:tcPr>
          <w:p w14:paraId="6CC3CAA5">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计划标准</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23B38">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w:t>
            </w: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7EC100">
            <w:pPr>
              <w:jc w:val="center"/>
              <w:rPr>
                <w:rFonts w:hint="default"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10</w:t>
            </w:r>
          </w:p>
        </w:tc>
        <w:tc>
          <w:tcPr>
            <w:tcW w:w="384" w:type="pct"/>
            <w:tcBorders>
              <w:top w:val="single" w:color="000000" w:sz="4" w:space="0"/>
              <w:left w:val="single" w:color="000000" w:sz="4" w:space="0"/>
              <w:bottom w:val="nil"/>
              <w:right w:val="single" w:color="000000" w:sz="4" w:space="0"/>
            </w:tcBorders>
            <w:shd w:val="clear" w:color="auto" w:fill="auto"/>
            <w:vAlign w:val="center"/>
          </w:tcPr>
          <w:p w14:paraId="7C41935C">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58A36">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原始凭证</w:t>
            </w: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6013C9">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=886.62万元</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D2245">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100%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B9D51">
            <w:pPr>
              <w:jc w:val="center"/>
              <w:rPr>
                <w:rFonts w:hint="default"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10</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418A4">
            <w:pPr>
              <w:jc w:val="center"/>
              <w:rPr>
                <w:rFonts w:hint="eastAsia" w:ascii="仿宋_GB2312" w:hAnsi="仿宋_GB2312" w:eastAsia="仿宋_GB2312" w:cs="仿宋_GB2312"/>
                <w:i w:val="0"/>
                <w:iCs w:val="0"/>
                <w:color w:val="000000"/>
                <w:sz w:val="18"/>
                <w:szCs w:val="18"/>
                <w:highlight w:val="none"/>
                <w:u w:val="none"/>
              </w:rPr>
            </w:pPr>
          </w:p>
        </w:tc>
      </w:tr>
      <w:tr w14:paraId="294EF4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4"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0377E">
            <w:pPr>
              <w:jc w:val="center"/>
              <w:rPr>
                <w:rFonts w:hint="eastAsia" w:ascii="仿宋_GB2312" w:hAnsi="仿宋_GB2312" w:eastAsia="仿宋_GB2312" w:cs="仿宋_GB2312"/>
                <w:i w:val="0"/>
                <w:iCs w:val="0"/>
                <w:color w:val="000000"/>
                <w:sz w:val="18"/>
                <w:szCs w:val="18"/>
                <w:highlight w:val="none"/>
                <w:u w:val="none"/>
              </w:rPr>
            </w:pPr>
          </w:p>
        </w:tc>
        <w:tc>
          <w:tcPr>
            <w:tcW w:w="4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F896F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效益指标</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43C2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经济效益指标</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2FB6D6">
            <w:pPr>
              <w:jc w:val="center"/>
              <w:rPr>
                <w:rFonts w:hint="eastAsia" w:ascii="仿宋_GB2312" w:hAnsi="仿宋_GB2312" w:eastAsia="仿宋_GB2312" w:cs="仿宋_GB2312"/>
                <w:i w:val="0"/>
                <w:iCs w:val="0"/>
                <w:color w:val="000000"/>
                <w:sz w:val="18"/>
                <w:szCs w:val="18"/>
                <w:highlight w:val="none"/>
                <w:u w:val="none"/>
              </w:rPr>
            </w:pP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314C9">
            <w:pPr>
              <w:jc w:val="center"/>
              <w:rPr>
                <w:rFonts w:hint="eastAsia" w:ascii="仿宋_GB2312" w:hAnsi="仿宋_GB2312" w:eastAsia="仿宋_GB2312" w:cs="仿宋_GB2312"/>
                <w:i w:val="0"/>
                <w:iCs w:val="0"/>
                <w:color w:val="000000"/>
                <w:sz w:val="18"/>
                <w:szCs w:val="18"/>
                <w:highlight w:val="none"/>
                <w:u w:val="none"/>
              </w:rPr>
            </w:pP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3532B1">
            <w:pPr>
              <w:jc w:val="center"/>
              <w:rPr>
                <w:rFonts w:hint="eastAsia" w:ascii="仿宋_GB2312" w:hAnsi="仿宋_GB2312" w:eastAsia="仿宋_GB2312" w:cs="仿宋_GB2312"/>
                <w:i w:val="0"/>
                <w:iCs w:val="0"/>
                <w:color w:val="000000"/>
                <w:sz w:val="18"/>
                <w:szCs w:val="18"/>
                <w:highlight w:val="none"/>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9EE77">
            <w:pPr>
              <w:jc w:val="center"/>
              <w:rPr>
                <w:rFonts w:hint="eastAsia" w:ascii="仿宋_GB2312" w:hAnsi="仿宋_GB2312" w:eastAsia="仿宋_GB2312" w:cs="仿宋_GB2312"/>
                <w:i w:val="0"/>
                <w:iCs w:val="0"/>
                <w:color w:val="000000"/>
                <w:sz w:val="18"/>
                <w:szCs w:val="18"/>
                <w:highlight w:val="none"/>
                <w:u w:val="none"/>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A0A9D9">
            <w:pPr>
              <w:jc w:val="center"/>
              <w:rPr>
                <w:rFonts w:hint="eastAsia" w:ascii="仿宋_GB2312" w:hAnsi="仿宋_GB2312" w:eastAsia="仿宋_GB2312" w:cs="仿宋_GB2312"/>
                <w:i w:val="0"/>
                <w:iCs w:val="0"/>
                <w:color w:val="000000"/>
                <w:sz w:val="18"/>
                <w:szCs w:val="18"/>
                <w:highlight w:val="none"/>
                <w:u w:val="none"/>
              </w:rPr>
            </w:pP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0B8590">
            <w:pPr>
              <w:jc w:val="center"/>
              <w:rPr>
                <w:rFonts w:hint="eastAsia" w:ascii="仿宋_GB2312" w:hAnsi="仿宋_GB2312" w:eastAsia="仿宋_GB2312" w:cs="仿宋_GB2312"/>
                <w:i w:val="0"/>
                <w:iCs w:val="0"/>
                <w:color w:val="000000"/>
                <w:sz w:val="18"/>
                <w:szCs w:val="18"/>
                <w:highlight w:val="none"/>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E31AA1">
            <w:pPr>
              <w:jc w:val="center"/>
              <w:rPr>
                <w:rFonts w:hint="eastAsia" w:ascii="仿宋_GB2312" w:hAnsi="仿宋_GB2312" w:eastAsia="仿宋_GB2312" w:cs="仿宋_GB2312"/>
                <w:i w:val="0"/>
                <w:iCs w:val="0"/>
                <w:color w:val="000000"/>
                <w:sz w:val="18"/>
                <w:szCs w:val="18"/>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B8AB30">
            <w:pPr>
              <w:jc w:val="center"/>
              <w:rPr>
                <w:rFonts w:hint="eastAsia" w:ascii="仿宋_GB2312" w:hAnsi="仿宋_GB2312" w:eastAsia="仿宋_GB2312" w:cs="仿宋_GB2312"/>
                <w:i w:val="0"/>
                <w:iCs w:val="0"/>
                <w:color w:val="000000"/>
                <w:sz w:val="18"/>
                <w:szCs w:val="18"/>
                <w:highlight w:val="none"/>
                <w:u w:val="none"/>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B6F51">
            <w:pPr>
              <w:jc w:val="center"/>
              <w:rPr>
                <w:rFonts w:hint="eastAsia" w:ascii="仿宋_GB2312" w:hAnsi="仿宋_GB2312" w:eastAsia="仿宋_GB2312" w:cs="仿宋_GB2312"/>
                <w:i w:val="0"/>
                <w:iCs w:val="0"/>
                <w:color w:val="000000"/>
                <w:sz w:val="18"/>
                <w:szCs w:val="18"/>
                <w:highlight w:val="none"/>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E9CDAA">
            <w:pPr>
              <w:jc w:val="center"/>
              <w:rPr>
                <w:rFonts w:hint="eastAsia" w:ascii="仿宋_GB2312" w:hAnsi="仿宋_GB2312" w:eastAsia="仿宋_GB2312" w:cs="仿宋_GB2312"/>
                <w:i w:val="0"/>
                <w:iCs w:val="0"/>
                <w:color w:val="000000"/>
                <w:sz w:val="18"/>
                <w:szCs w:val="18"/>
                <w:highlight w:val="none"/>
                <w:u w:val="none"/>
              </w:rPr>
            </w:pP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47D4F">
            <w:pPr>
              <w:jc w:val="center"/>
              <w:rPr>
                <w:rFonts w:hint="eastAsia" w:ascii="仿宋_GB2312" w:hAnsi="仿宋_GB2312" w:eastAsia="仿宋_GB2312" w:cs="仿宋_GB2312"/>
                <w:i w:val="0"/>
                <w:iCs w:val="0"/>
                <w:color w:val="000000"/>
                <w:sz w:val="18"/>
                <w:szCs w:val="18"/>
                <w:highlight w:val="none"/>
                <w:u w:val="none"/>
              </w:rPr>
            </w:pPr>
          </w:p>
        </w:tc>
      </w:tr>
      <w:tr w14:paraId="3C645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BD263">
            <w:pPr>
              <w:jc w:val="center"/>
              <w:rPr>
                <w:rFonts w:hint="eastAsia" w:ascii="仿宋_GB2312" w:hAnsi="仿宋_GB2312" w:eastAsia="仿宋_GB2312" w:cs="仿宋_GB2312"/>
                <w:i w:val="0"/>
                <w:iCs w:val="0"/>
                <w:color w:val="000000"/>
                <w:sz w:val="18"/>
                <w:szCs w:val="18"/>
                <w:highlight w:val="none"/>
                <w:u w:val="none"/>
              </w:rPr>
            </w:pPr>
          </w:p>
        </w:tc>
        <w:tc>
          <w:tcPr>
            <w:tcW w:w="4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3F2A74">
            <w:pPr>
              <w:jc w:val="center"/>
              <w:rPr>
                <w:rFonts w:hint="eastAsia" w:ascii="仿宋_GB2312" w:hAnsi="仿宋_GB2312" w:eastAsia="仿宋_GB2312" w:cs="仿宋_GB2312"/>
                <w:i w:val="0"/>
                <w:iCs w:val="0"/>
                <w:color w:val="000000"/>
                <w:sz w:val="18"/>
                <w:szCs w:val="18"/>
                <w:highlight w:val="none"/>
                <w:u w:val="none"/>
              </w:rPr>
            </w:pP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C1EFF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社会效益指标</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A2CDD">
            <w:pPr>
              <w:jc w:val="center"/>
              <w:rPr>
                <w:rFonts w:hint="eastAsia" w:ascii="仿宋_GB2312" w:hAnsi="仿宋_GB2312" w:eastAsia="仿宋_GB2312" w:cs="仿宋_GB2312"/>
                <w:i w:val="0"/>
                <w:iCs w:val="0"/>
                <w:color w:val="000000"/>
                <w:sz w:val="18"/>
                <w:szCs w:val="18"/>
                <w:highlight w:val="none"/>
                <w:u w:val="none"/>
              </w:rPr>
            </w:pP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4AD80">
            <w:pPr>
              <w:jc w:val="center"/>
              <w:rPr>
                <w:rFonts w:hint="eastAsia" w:ascii="仿宋_GB2312" w:hAnsi="仿宋_GB2312" w:eastAsia="仿宋_GB2312" w:cs="仿宋_GB2312"/>
                <w:i w:val="0"/>
                <w:iCs w:val="0"/>
                <w:color w:val="000000"/>
                <w:sz w:val="18"/>
                <w:szCs w:val="18"/>
                <w:highlight w:val="none"/>
                <w:u w:val="none"/>
              </w:rPr>
            </w:pP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B8817">
            <w:pPr>
              <w:jc w:val="center"/>
              <w:rPr>
                <w:rFonts w:hint="eastAsia" w:ascii="仿宋_GB2312" w:hAnsi="仿宋_GB2312" w:eastAsia="仿宋_GB2312" w:cs="仿宋_GB2312"/>
                <w:i w:val="0"/>
                <w:iCs w:val="0"/>
                <w:color w:val="000000"/>
                <w:sz w:val="18"/>
                <w:szCs w:val="18"/>
                <w:highlight w:val="none"/>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0E22B">
            <w:pPr>
              <w:jc w:val="center"/>
              <w:rPr>
                <w:rFonts w:hint="eastAsia" w:ascii="仿宋_GB2312" w:hAnsi="仿宋_GB2312" w:eastAsia="仿宋_GB2312" w:cs="仿宋_GB2312"/>
                <w:i w:val="0"/>
                <w:iCs w:val="0"/>
                <w:color w:val="000000"/>
                <w:sz w:val="18"/>
                <w:szCs w:val="18"/>
                <w:highlight w:val="none"/>
                <w:u w:val="none"/>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53B38">
            <w:pPr>
              <w:jc w:val="center"/>
              <w:rPr>
                <w:rFonts w:hint="eastAsia" w:ascii="仿宋_GB2312" w:hAnsi="仿宋_GB2312" w:eastAsia="仿宋_GB2312" w:cs="仿宋_GB2312"/>
                <w:i w:val="0"/>
                <w:iCs w:val="0"/>
                <w:color w:val="000000"/>
                <w:sz w:val="18"/>
                <w:szCs w:val="18"/>
                <w:highlight w:val="none"/>
                <w:u w:val="none"/>
              </w:rPr>
            </w:pP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C5C9D">
            <w:pPr>
              <w:jc w:val="center"/>
              <w:rPr>
                <w:rFonts w:hint="eastAsia" w:ascii="仿宋_GB2312" w:hAnsi="仿宋_GB2312" w:eastAsia="仿宋_GB2312" w:cs="仿宋_GB2312"/>
                <w:i w:val="0"/>
                <w:iCs w:val="0"/>
                <w:color w:val="000000"/>
                <w:sz w:val="18"/>
                <w:szCs w:val="18"/>
                <w:highlight w:val="none"/>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A0804">
            <w:pPr>
              <w:jc w:val="center"/>
              <w:rPr>
                <w:rFonts w:hint="eastAsia" w:ascii="仿宋_GB2312" w:hAnsi="仿宋_GB2312" w:eastAsia="仿宋_GB2312" w:cs="仿宋_GB2312"/>
                <w:i w:val="0"/>
                <w:iCs w:val="0"/>
                <w:color w:val="000000"/>
                <w:sz w:val="18"/>
                <w:szCs w:val="18"/>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1D45FD">
            <w:pPr>
              <w:jc w:val="center"/>
              <w:rPr>
                <w:rFonts w:hint="eastAsia" w:ascii="仿宋_GB2312" w:hAnsi="仿宋_GB2312" w:eastAsia="仿宋_GB2312" w:cs="仿宋_GB2312"/>
                <w:i w:val="0"/>
                <w:iCs w:val="0"/>
                <w:color w:val="000000"/>
                <w:sz w:val="18"/>
                <w:szCs w:val="18"/>
                <w:highlight w:val="none"/>
                <w:u w:val="none"/>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98396">
            <w:pPr>
              <w:jc w:val="center"/>
              <w:rPr>
                <w:rFonts w:hint="eastAsia" w:ascii="仿宋_GB2312" w:hAnsi="仿宋_GB2312" w:eastAsia="仿宋_GB2312" w:cs="仿宋_GB2312"/>
                <w:i w:val="0"/>
                <w:iCs w:val="0"/>
                <w:color w:val="000000"/>
                <w:sz w:val="18"/>
                <w:szCs w:val="18"/>
                <w:highlight w:val="none"/>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23F98">
            <w:pPr>
              <w:jc w:val="center"/>
              <w:rPr>
                <w:rFonts w:hint="eastAsia" w:ascii="仿宋_GB2312" w:hAnsi="仿宋_GB2312" w:eastAsia="仿宋_GB2312" w:cs="仿宋_GB2312"/>
                <w:i w:val="0"/>
                <w:iCs w:val="0"/>
                <w:color w:val="000000"/>
                <w:sz w:val="18"/>
                <w:szCs w:val="18"/>
                <w:highlight w:val="none"/>
                <w:u w:val="none"/>
              </w:rPr>
            </w:pP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1C11D">
            <w:pPr>
              <w:jc w:val="center"/>
              <w:rPr>
                <w:rFonts w:hint="eastAsia" w:ascii="仿宋_GB2312" w:hAnsi="仿宋_GB2312" w:eastAsia="仿宋_GB2312" w:cs="仿宋_GB2312"/>
                <w:i w:val="0"/>
                <w:iCs w:val="0"/>
                <w:color w:val="000000"/>
                <w:sz w:val="18"/>
                <w:szCs w:val="18"/>
                <w:highlight w:val="none"/>
                <w:u w:val="none"/>
              </w:rPr>
            </w:pPr>
          </w:p>
        </w:tc>
      </w:tr>
      <w:tr w14:paraId="744105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DD4AF">
            <w:pPr>
              <w:jc w:val="center"/>
              <w:rPr>
                <w:rFonts w:hint="eastAsia" w:ascii="仿宋_GB2312" w:hAnsi="仿宋_GB2312" w:eastAsia="仿宋_GB2312" w:cs="仿宋_GB2312"/>
                <w:i w:val="0"/>
                <w:iCs w:val="0"/>
                <w:color w:val="000000"/>
                <w:sz w:val="18"/>
                <w:szCs w:val="18"/>
                <w:highlight w:val="none"/>
                <w:u w:val="none"/>
              </w:rPr>
            </w:pPr>
          </w:p>
        </w:tc>
        <w:tc>
          <w:tcPr>
            <w:tcW w:w="4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628E7F">
            <w:pPr>
              <w:jc w:val="center"/>
              <w:rPr>
                <w:rFonts w:hint="eastAsia" w:ascii="仿宋_GB2312" w:hAnsi="仿宋_GB2312" w:eastAsia="仿宋_GB2312" w:cs="仿宋_GB2312"/>
                <w:i w:val="0"/>
                <w:iCs w:val="0"/>
                <w:color w:val="000000"/>
                <w:sz w:val="18"/>
                <w:szCs w:val="18"/>
                <w:highlight w:val="none"/>
                <w:u w:val="none"/>
              </w:rPr>
            </w:pP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AEC9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生态效益指标</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750840">
            <w:pPr>
              <w:jc w:val="center"/>
              <w:rPr>
                <w:rFonts w:hint="eastAsia" w:ascii="仿宋_GB2312" w:hAnsi="仿宋_GB2312" w:eastAsia="仿宋_GB2312" w:cs="仿宋_GB2312"/>
                <w:i w:val="0"/>
                <w:iCs w:val="0"/>
                <w:color w:val="000000"/>
                <w:sz w:val="18"/>
                <w:szCs w:val="18"/>
                <w:highlight w:val="none"/>
                <w:u w:val="none"/>
              </w:rPr>
            </w:pP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0FF9E">
            <w:pPr>
              <w:jc w:val="center"/>
              <w:rPr>
                <w:rFonts w:hint="eastAsia" w:ascii="仿宋_GB2312" w:hAnsi="仿宋_GB2312" w:eastAsia="仿宋_GB2312" w:cs="仿宋_GB2312"/>
                <w:i w:val="0"/>
                <w:iCs w:val="0"/>
                <w:color w:val="000000"/>
                <w:sz w:val="18"/>
                <w:szCs w:val="18"/>
                <w:highlight w:val="none"/>
                <w:u w:val="none"/>
              </w:rPr>
            </w:pP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C6994">
            <w:pPr>
              <w:jc w:val="center"/>
              <w:rPr>
                <w:rFonts w:hint="eastAsia" w:ascii="仿宋_GB2312" w:hAnsi="仿宋_GB2312" w:eastAsia="仿宋_GB2312" w:cs="仿宋_GB2312"/>
                <w:i w:val="0"/>
                <w:iCs w:val="0"/>
                <w:color w:val="000000"/>
                <w:sz w:val="18"/>
                <w:szCs w:val="18"/>
                <w:highlight w:val="none"/>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3F7DB9">
            <w:pPr>
              <w:jc w:val="center"/>
              <w:rPr>
                <w:rFonts w:hint="eastAsia" w:ascii="仿宋_GB2312" w:hAnsi="仿宋_GB2312" w:eastAsia="仿宋_GB2312" w:cs="仿宋_GB2312"/>
                <w:i w:val="0"/>
                <w:iCs w:val="0"/>
                <w:color w:val="000000"/>
                <w:sz w:val="18"/>
                <w:szCs w:val="18"/>
                <w:highlight w:val="none"/>
                <w:u w:val="none"/>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CD750">
            <w:pPr>
              <w:jc w:val="center"/>
              <w:rPr>
                <w:rFonts w:hint="eastAsia" w:ascii="仿宋_GB2312" w:hAnsi="仿宋_GB2312" w:eastAsia="仿宋_GB2312" w:cs="仿宋_GB2312"/>
                <w:i w:val="0"/>
                <w:iCs w:val="0"/>
                <w:color w:val="000000"/>
                <w:sz w:val="18"/>
                <w:szCs w:val="18"/>
                <w:highlight w:val="none"/>
                <w:u w:val="none"/>
              </w:rPr>
            </w:pP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AC872">
            <w:pPr>
              <w:jc w:val="center"/>
              <w:rPr>
                <w:rFonts w:hint="eastAsia" w:ascii="仿宋_GB2312" w:hAnsi="仿宋_GB2312" w:eastAsia="仿宋_GB2312" w:cs="仿宋_GB2312"/>
                <w:i w:val="0"/>
                <w:iCs w:val="0"/>
                <w:color w:val="000000"/>
                <w:sz w:val="18"/>
                <w:szCs w:val="18"/>
                <w:highlight w:val="none"/>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9152C">
            <w:pPr>
              <w:jc w:val="center"/>
              <w:rPr>
                <w:rFonts w:hint="eastAsia" w:ascii="仿宋_GB2312" w:hAnsi="仿宋_GB2312" w:eastAsia="仿宋_GB2312" w:cs="仿宋_GB2312"/>
                <w:i w:val="0"/>
                <w:iCs w:val="0"/>
                <w:color w:val="000000"/>
                <w:sz w:val="18"/>
                <w:szCs w:val="18"/>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3A6B42">
            <w:pPr>
              <w:jc w:val="center"/>
              <w:rPr>
                <w:rFonts w:hint="eastAsia" w:ascii="仿宋_GB2312" w:hAnsi="仿宋_GB2312" w:eastAsia="仿宋_GB2312" w:cs="仿宋_GB2312"/>
                <w:i w:val="0"/>
                <w:iCs w:val="0"/>
                <w:color w:val="000000"/>
                <w:sz w:val="18"/>
                <w:szCs w:val="18"/>
                <w:highlight w:val="none"/>
                <w:u w:val="none"/>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D5EB4">
            <w:pPr>
              <w:jc w:val="center"/>
              <w:rPr>
                <w:rFonts w:hint="eastAsia" w:ascii="仿宋_GB2312" w:hAnsi="仿宋_GB2312" w:eastAsia="仿宋_GB2312" w:cs="仿宋_GB2312"/>
                <w:i w:val="0"/>
                <w:iCs w:val="0"/>
                <w:color w:val="000000"/>
                <w:sz w:val="18"/>
                <w:szCs w:val="18"/>
                <w:highlight w:val="none"/>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405C4">
            <w:pPr>
              <w:jc w:val="center"/>
              <w:rPr>
                <w:rFonts w:hint="eastAsia" w:ascii="仿宋_GB2312" w:hAnsi="仿宋_GB2312" w:eastAsia="仿宋_GB2312" w:cs="仿宋_GB2312"/>
                <w:i w:val="0"/>
                <w:iCs w:val="0"/>
                <w:color w:val="000000"/>
                <w:sz w:val="18"/>
                <w:szCs w:val="18"/>
                <w:highlight w:val="none"/>
                <w:u w:val="none"/>
              </w:rPr>
            </w:pP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7364F">
            <w:pPr>
              <w:jc w:val="center"/>
              <w:rPr>
                <w:rFonts w:hint="eastAsia" w:ascii="仿宋_GB2312" w:hAnsi="仿宋_GB2312" w:eastAsia="仿宋_GB2312" w:cs="仿宋_GB2312"/>
                <w:i w:val="0"/>
                <w:iCs w:val="0"/>
                <w:color w:val="000000"/>
                <w:sz w:val="18"/>
                <w:szCs w:val="18"/>
                <w:highlight w:val="none"/>
                <w:u w:val="none"/>
              </w:rPr>
            </w:pPr>
          </w:p>
        </w:tc>
      </w:tr>
      <w:tr w14:paraId="10290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27CF8">
            <w:pPr>
              <w:jc w:val="center"/>
              <w:rPr>
                <w:rFonts w:hint="eastAsia" w:ascii="仿宋_GB2312" w:hAnsi="仿宋_GB2312" w:eastAsia="仿宋_GB2312" w:cs="仿宋_GB2312"/>
                <w:i w:val="0"/>
                <w:iCs w:val="0"/>
                <w:color w:val="000000"/>
                <w:sz w:val="18"/>
                <w:szCs w:val="18"/>
                <w:highlight w:val="none"/>
                <w:u w:val="none"/>
              </w:rPr>
            </w:pP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3587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满意度指标</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3DB8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满意度指标</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B09EDC">
            <w:pPr>
              <w:jc w:val="left"/>
              <w:rPr>
                <w:rFonts w:hint="eastAsia" w:ascii="仿宋_GB2312" w:hAnsi="仿宋_GB2312" w:eastAsia="仿宋_GB2312" w:cs="仿宋_GB2312"/>
                <w:i w:val="0"/>
                <w:iCs w:val="0"/>
                <w:color w:val="000000"/>
                <w:sz w:val="18"/>
                <w:szCs w:val="18"/>
                <w:highlight w:val="none"/>
                <w:u w:val="none"/>
              </w:rPr>
            </w:pP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53AC7">
            <w:pPr>
              <w:jc w:val="center"/>
              <w:rPr>
                <w:rFonts w:hint="eastAsia" w:ascii="仿宋_GB2312" w:hAnsi="仿宋_GB2312" w:eastAsia="仿宋_GB2312" w:cs="仿宋_GB2312"/>
                <w:i w:val="0"/>
                <w:iCs w:val="0"/>
                <w:color w:val="000000"/>
                <w:sz w:val="18"/>
                <w:szCs w:val="18"/>
                <w:highlight w:val="none"/>
                <w:u w:val="none"/>
              </w:rPr>
            </w:pPr>
          </w:p>
        </w:tc>
        <w:tc>
          <w:tcPr>
            <w:tcW w:w="3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17D20">
            <w:pPr>
              <w:jc w:val="center"/>
              <w:rPr>
                <w:rFonts w:hint="eastAsia" w:ascii="仿宋_GB2312" w:hAnsi="仿宋_GB2312" w:eastAsia="仿宋_GB2312" w:cs="仿宋_GB2312"/>
                <w:i w:val="0"/>
                <w:iCs w:val="0"/>
                <w:color w:val="000000"/>
                <w:sz w:val="18"/>
                <w:szCs w:val="18"/>
                <w:highlight w:val="none"/>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5136D5">
            <w:pPr>
              <w:jc w:val="center"/>
              <w:rPr>
                <w:rFonts w:hint="eastAsia" w:ascii="仿宋_GB2312" w:hAnsi="仿宋_GB2312" w:eastAsia="仿宋_GB2312" w:cs="仿宋_GB2312"/>
                <w:i w:val="0"/>
                <w:iCs w:val="0"/>
                <w:color w:val="000000"/>
                <w:sz w:val="18"/>
                <w:szCs w:val="18"/>
                <w:highlight w:val="none"/>
                <w:u w:val="none"/>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3E36E">
            <w:pPr>
              <w:jc w:val="center"/>
              <w:rPr>
                <w:rFonts w:hint="eastAsia" w:ascii="仿宋_GB2312" w:hAnsi="仿宋_GB2312" w:eastAsia="仿宋_GB2312" w:cs="仿宋_GB2312"/>
                <w:i w:val="0"/>
                <w:iCs w:val="0"/>
                <w:color w:val="000000"/>
                <w:sz w:val="18"/>
                <w:szCs w:val="18"/>
                <w:highlight w:val="none"/>
                <w:u w:val="none"/>
              </w:rPr>
            </w:pP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A5ABAE">
            <w:pPr>
              <w:jc w:val="center"/>
              <w:rPr>
                <w:rFonts w:hint="eastAsia" w:ascii="仿宋_GB2312" w:hAnsi="仿宋_GB2312" w:eastAsia="仿宋_GB2312" w:cs="仿宋_GB2312"/>
                <w:i w:val="0"/>
                <w:iCs w:val="0"/>
                <w:color w:val="000000"/>
                <w:sz w:val="18"/>
                <w:szCs w:val="18"/>
                <w:highlight w:val="none"/>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4D55E2">
            <w:pPr>
              <w:jc w:val="center"/>
              <w:rPr>
                <w:rFonts w:hint="eastAsia" w:ascii="仿宋_GB2312" w:hAnsi="仿宋_GB2312" w:eastAsia="仿宋_GB2312" w:cs="仿宋_GB2312"/>
                <w:i w:val="0"/>
                <w:iCs w:val="0"/>
                <w:color w:val="000000"/>
                <w:sz w:val="18"/>
                <w:szCs w:val="18"/>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5FE35D">
            <w:pPr>
              <w:jc w:val="center"/>
              <w:rPr>
                <w:rFonts w:hint="eastAsia" w:ascii="仿宋_GB2312" w:hAnsi="仿宋_GB2312" w:eastAsia="仿宋_GB2312" w:cs="仿宋_GB2312"/>
                <w:i w:val="0"/>
                <w:iCs w:val="0"/>
                <w:color w:val="000000"/>
                <w:sz w:val="18"/>
                <w:szCs w:val="18"/>
                <w:highlight w:val="none"/>
                <w:u w:val="none"/>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EE910">
            <w:pPr>
              <w:jc w:val="center"/>
              <w:rPr>
                <w:rFonts w:hint="eastAsia" w:ascii="仿宋_GB2312" w:hAnsi="仿宋_GB2312" w:eastAsia="仿宋_GB2312" w:cs="仿宋_GB2312"/>
                <w:i w:val="0"/>
                <w:iCs w:val="0"/>
                <w:color w:val="000000"/>
                <w:sz w:val="18"/>
                <w:szCs w:val="18"/>
                <w:highlight w:val="none"/>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306CD">
            <w:pPr>
              <w:jc w:val="center"/>
              <w:rPr>
                <w:rFonts w:hint="eastAsia" w:ascii="仿宋_GB2312" w:hAnsi="仿宋_GB2312" w:eastAsia="仿宋_GB2312" w:cs="仿宋_GB2312"/>
                <w:i w:val="0"/>
                <w:iCs w:val="0"/>
                <w:color w:val="000000"/>
                <w:sz w:val="18"/>
                <w:szCs w:val="18"/>
                <w:highlight w:val="none"/>
                <w:u w:val="none"/>
              </w:rPr>
            </w:pP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EF43C">
            <w:pPr>
              <w:jc w:val="center"/>
              <w:rPr>
                <w:rFonts w:hint="eastAsia" w:ascii="仿宋_GB2312" w:hAnsi="仿宋_GB2312" w:eastAsia="仿宋_GB2312" w:cs="仿宋_GB2312"/>
                <w:i w:val="0"/>
                <w:iCs w:val="0"/>
                <w:color w:val="000000"/>
                <w:sz w:val="18"/>
                <w:szCs w:val="18"/>
                <w:highlight w:val="none"/>
                <w:u w:val="none"/>
              </w:rPr>
            </w:pPr>
          </w:p>
        </w:tc>
      </w:tr>
      <w:tr w14:paraId="036E7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566" w:type="pct"/>
            <w:gridSpan w:val="4"/>
            <w:tcBorders>
              <w:top w:val="single" w:color="000000" w:sz="4" w:space="0"/>
              <w:left w:val="single" w:color="000000" w:sz="4" w:space="0"/>
              <w:bottom w:val="single" w:color="000000" w:sz="4" w:space="0"/>
              <w:right w:val="nil"/>
            </w:tcBorders>
            <w:shd w:val="clear" w:color="auto" w:fill="auto"/>
            <w:vAlign w:val="center"/>
          </w:tcPr>
          <w:p w14:paraId="5E2CC5C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kern w:val="0"/>
                <w:sz w:val="18"/>
                <w:szCs w:val="18"/>
                <w:highlight w:val="none"/>
                <w:u w:val="none"/>
                <w:lang w:val="en-US" w:eastAsia="zh-CN"/>
              </w:rPr>
              <w:t>总分</w:t>
            </w:r>
          </w:p>
        </w:tc>
        <w:tc>
          <w:tcPr>
            <w:tcW w:w="4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4D867">
            <w:pPr>
              <w:jc w:val="center"/>
              <w:rPr>
                <w:rFonts w:hint="eastAsia" w:ascii="仿宋_GB2312" w:hAnsi="仿宋_GB2312" w:eastAsia="仿宋_GB2312" w:cs="仿宋_GB2312"/>
                <w:i w:val="0"/>
                <w:iCs w:val="0"/>
                <w:color w:val="000000"/>
                <w:sz w:val="18"/>
                <w:szCs w:val="18"/>
                <w:highlight w:val="none"/>
                <w:u w:val="none"/>
              </w:rPr>
            </w:pPr>
          </w:p>
        </w:tc>
        <w:tc>
          <w:tcPr>
            <w:tcW w:w="318" w:type="pct"/>
            <w:tcBorders>
              <w:top w:val="single" w:color="000000" w:sz="4" w:space="0"/>
              <w:left w:val="nil"/>
              <w:bottom w:val="single" w:color="000000" w:sz="4" w:space="0"/>
              <w:right w:val="single" w:color="000000" w:sz="4" w:space="0"/>
            </w:tcBorders>
            <w:shd w:val="clear" w:color="auto" w:fill="auto"/>
            <w:vAlign w:val="center"/>
          </w:tcPr>
          <w:p w14:paraId="546FBF0A">
            <w:pPr>
              <w:rPr>
                <w:rFonts w:hint="eastAsia" w:ascii="仿宋_GB2312" w:hAnsi="仿宋_GB2312" w:eastAsia="仿宋_GB2312" w:cs="仿宋_GB2312"/>
                <w:b/>
                <w:bCs/>
                <w:i w:val="0"/>
                <w:iCs w:val="0"/>
                <w:color w:val="000000"/>
                <w:sz w:val="18"/>
                <w:szCs w:val="18"/>
                <w:highlight w:val="none"/>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52EFC">
            <w:pPr>
              <w:jc w:val="center"/>
              <w:rPr>
                <w:rFonts w:hint="eastAsia" w:ascii="仿宋_GB2312" w:hAnsi="仿宋_GB2312" w:eastAsia="仿宋_GB2312" w:cs="仿宋_GB2312"/>
                <w:i w:val="0"/>
                <w:iCs w:val="0"/>
                <w:color w:val="000000"/>
                <w:sz w:val="18"/>
                <w:szCs w:val="18"/>
                <w:highlight w:val="none"/>
                <w:u w:val="none"/>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11B565">
            <w:pPr>
              <w:jc w:val="center"/>
              <w:rPr>
                <w:rFonts w:hint="default"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90</w:t>
            </w: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6DCCE">
            <w:pPr>
              <w:jc w:val="center"/>
              <w:rPr>
                <w:rFonts w:hint="eastAsia" w:ascii="仿宋_GB2312" w:hAnsi="仿宋_GB2312" w:eastAsia="仿宋_GB2312" w:cs="仿宋_GB2312"/>
                <w:i w:val="0"/>
                <w:iCs w:val="0"/>
                <w:color w:val="000000"/>
                <w:sz w:val="18"/>
                <w:szCs w:val="18"/>
                <w:highlight w:val="none"/>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9E40A">
            <w:pPr>
              <w:rPr>
                <w:rFonts w:hint="eastAsia" w:ascii="仿宋_GB2312" w:hAnsi="仿宋_GB2312" w:eastAsia="仿宋_GB2312" w:cs="仿宋_GB2312"/>
                <w:i w:val="0"/>
                <w:iCs w:val="0"/>
                <w:color w:val="000000"/>
                <w:sz w:val="18"/>
                <w:szCs w:val="18"/>
                <w:highlight w:val="none"/>
                <w:u w:val="none"/>
              </w:rPr>
            </w:pPr>
          </w:p>
        </w:tc>
        <w:tc>
          <w:tcPr>
            <w:tcW w:w="3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65EC3">
            <w:pPr>
              <w:rPr>
                <w:rFonts w:hint="eastAsia" w:ascii="仿宋_GB2312" w:hAnsi="仿宋_GB2312" w:eastAsia="仿宋_GB2312" w:cs="仿宋_GB2312"/>
                <w:i w:val="0"/>
                <w:iCs w:val="0"/>
                <w:color w:val="000000"/>
                <w:sz w:val="18"/>
                <w:szCs w:val="18"/>
                <w:highlight w:val="none"/>
                <w:u w:val="none"/>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5298F">
            <w:pPr>
              <w:rPr>
                <w:rFonts w:hint="eastAsia" w:ascii="仿宋_GB2312" w:hAnsi="仿宋_GB2312" w:eastAsia="仿宋_GB2312" w:cs="仿宋_GB2312"/>
                <w:i w:val="0"/>
                <w:iCs w:val="0"/>
                <w:color w:val="000000"/>
                <w:sz w:val="18"/>
                <w:szCs w:val="18"/>
                <w:highlight w:val="none"/>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FF71B">
            <w:pPr>
              <w:jc w:val="center"/>
              <w:rPr>
                <w:rFonts w:hint="default" w:ascii="仿宋_GB2312" w:hAnsi="仿宋_GB2312" w:eastAsia="仿宋_GB2312" w:cs="仿宋_GB2312"/>
                <w:i w:val="0"/>
                <w:iCs w:val="0"/>
                <w:color w:val="000000"/>
                <w:sz w:val="18"/>
                <w:szCs w:val="18"/>
                <w:highlight w:val="none"/>
                <w:u w:val="none"/>
              </w:rPr>
            </w:pPr>
            <w:r>
              <w:rPr>
                <w:rFonts w:hint="eastAsia" w:ascii="仿宋_GB2312" w:hAnsi="仿宋_GB2312" w:eastAsia="仿宋_GB2312" w:cs="仿宋_GB2312"/>
                <w:i w:val="0"/>
                <w:iCs w:val="0"/>
                <w:color w:val="000000"/>
                <w:sz w:val="18"/>
                <w:szCs w:val="18"/>
                <w:highlight w:val="none"/>
                <w:u w:val="none"/>
                <w:lang w:val="en-US" w:eastAsia="zh-CN"/>
              </w:rPr>
              <w:t>89.2</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F2257">
            <w:pPr>
              <w:rPr>
                <w:rFonts w:hint="eastAsia" w:ascii="仿宋_GB2312" w:hAnsi="仿宋_GB2312" w:eastAsia="仿宋_GB2312" w:cs="仿宋_GB2312"/>
                <w:i w:val="0"/>
                <w:iCs w:val="0"/>
                <w:color w:val="000000"/>
                <w:sz w:val="18"/>
                <w:szCs w:val="18"/>
                <w:highlight w:val="none"/>
                <w:u w:val="none"/>
              </w:rPr>
            </w:pPr>
          </w:p>
        </w:tc>
      </w:tr>
    </w:tbl>
    <w:p w14:paraId="45919B69">
      <w:pPr>
        <w:rPr>
          <w:rFonts w:hint="default" w:ascii="Times New Roman" w:hAnsi="Times New Roman" w:cs="Times New Roman"/>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9268C43-32A5-456E-9CE9-90EC5E9E421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317E5622-36E8-4B85-AF42-D6E55592AA51}"/>
  </w:font>
  <w:font w:name="华文中宋">
    <w:panose1 w:val="02010600040101010101"/>
    <w:charset w:val="86"/>
    <w:family w:val="auto"/>
    <w:pitch w:val="default"/>
    <w:sig w:usb0="00000287" w:usb1="080F0000" w:usb2="00000000" w:usb3="00000000" w:csb0="0004009F" w:csb1="DFD70000"/>
    <w:embedRegular r:id="rId3" w:fontKey="{C98092C7-9354-44B0-A338-B1A40884392E}"/>
  </w:font>
  <w:font w:name="方正小标宋_GBK">
    <w:panose1 w:val="03000509000000000000"/>
    <w:charset w:val="86"/>
    <w:family w:val="script"/>
    <w:pitch w:val="default"/>
    <w:sig w:usb0="00000001" w:usb1="080E0000" w:usb2="00000000" w:usb3="00000000" w:csb0="00040000" w:csb1="00000000"/>
    <w:embedRegular r:id="rId4" w:fontKey="{8B5961E5-4A38-4B3F-9CD6-32C922904365}"/>
  </w:font>
  <w:font w:name="楷体_GB2312">
    <w:panose1 w:val="02010609030101010101"/>
    <w:charset w:val="86"/>
    <w:family w:val="auto"/>
    <w:pitch w:val="default"/>
    <w:sig w:usb0="00000001" w:usb1="080E0000" w:usb2="00000000" w:usb3="00000000" w:csb0="00040000" w:csb1="00000000"/>
    <w:embedRegular r:id="rId5" w:fontKey="{9EDA168F-5F82-41CA-84FC-E940804CCFE5}"/>
  </w:font>
  <w:font w:name="方正仿宋_GBK">
    <w:altName w:val="微软雅黑"/>
    <w:panose1 w:val="03000509000000000000"/>
    <w:charset w:val="86"/>
    <w:family w:val="auto"/>
    <w:pitch w:val="default"/>
    <w:sig w:usb0="00000000" w:usb1="00000000" w:usb2="00000000" w:usb3="00000000" w:csb0="00040000" w:csb1="00000000"/>
    <w:embedRegular r:id="rId6" w:fontKey="{19FB707A-9469-4B5A-8200-5E115A4FD1F2}"/>
  </w:font>
  <w:font w:name="楷体">
    <w:panose1 w:val="02010609060101010101"/>
    <w:charset w:val="86"/>
    <w:family w:val="modern"/>
    <w:pitch w:val="default"/>
    <w:sig w:usb0="800002BF" w:usb1="38CF7CFA" w:usb2="00000016" w:usb3="00000000" w:csb0="00040001" w:csb1="00000000"/>
    <w:embedRegular r:id="rId7" w:fontKey="{EAD871CB-5605-4ACA-95C0-FDA6D91C2187}"/>
  </w:font>
  <w:font w:name="WPSEMBED1">
    <w:panose1 w:val="03000509000000000000"/>
    <w:charset w:val="86"/>
    <w:family w:val="auto"/>
    <w:pitch w:val="default"/>
    <w:sig w:usb0="00000001" w:usb1="080E0000" w:usb2="00000000" w:usb3="00000000" w:csb0="00040000" w:csb1="00000000"/>
  </w:font>
  <w:font w:name="WPSEMBED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497F42EE">
        <w:pPr>
          <w:pStyle w:val="7"/>
          <w:jc w:val="center"/>
        </w:pPr>
        <w:r>
          <w:fldChar w:fldCharType="begin"/>
        </w:r>
        <w:r>
          <w:instrText xml:space="preserve">PAGE   \* MERGEFORMAT</w:instrText>
        </w:r>
        <w:r>
          <w:fldChar w:fldCharType="separate"/>
        </w:r>
        <w:r>
          <w:rPr>
            <w:lang w:val="zh-CN"/>
          </w:rPr>
          <w:t>13</w:t>
        </w:r>
        <w:r>
          <w:fldChar w:fldCharType="end"/>
        </w:r>
      </w:p>
    </w:sdtContent>
  </w:sdt>
  <w:p w14:paraId="5C9F2632">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A7DD0"/>
    <w:rsid w:val="007B168A"/>
    <w:rsid w:val="008B2CFE"/>
    <w:rsid w:val="00D14946"/>
    <w:rsid w:val="00F26FF6"/>
    <w:rsid w:val="011E0236"/>
    <w:rsid w:val="01610122"/>
    <w:rsid w:val="01B80F22"/>
    <w:rsid w:val="02510197"/>
    <w:rsid w:val="02DC698D"/>
    <w:rsid w:val="030F6088"/>
    <w:rsid w:val="036D1000"/>
    <w:rsid w:val="03EC461B"/>
    <w:rsid w:val="04820ADC"/>
    <w:rsid w:val="04FC7963"/>
    <w:rsid w:val="057E12A3"/>
    <w:rsid w:val="064C13A1"/>
    <w:rsid w:val="06BD12E7"/>
    <w:rsid w:val="07397B77"/>
    <w:rsid w:val="07EB626D"/>
    <w:rsid w:val="084E1401"/>
    <w:rsid w:val="09064964"/>
    <w:rsid w:val="0AD007F3"/>
    <w:rsid w:val="0AFC15E8"/>
    <w:rsid w:val="0B0E7513"/>
    <w:rsid w:val="0B3F14D4"/>
    <w:rsid w:val="0BAB6B6A"/>
    <w:rsid w:val="0C061FF2"/>
    <w:rsid w:val="0CE42333"/>
    <w:rsid w:val="0DE46363"/>
    <w:rsid w:val="0E3C619F"/>
    <w:rsid w:val="0E6801EC"/>
    <w:rsid w:val="0EFE4AC2"/>
    <w:rsid w:val="0F6F3B45"/>
    <w:rsid w:val="0F754932"/>
    <w:rsid w:val="0FF01A9F"/>
    <w:rsid w:val="11170296"/>
    <w:rsid w:val="11B60016"/>
    <w:rsid w:val="13471461"/>
    <w:rsid w:val="13B90F01"/>
    <w:rsid w:val="141E2B33"/>
    <w:rsid w:val="155E4C4D"/>
    <w:rsid w:val="16290DB7"/>
    <w:rsid w:val="164D0F49"/>
    <w:rsid w:val="16D276A1"/>
    <w:rsid w:val="16E318AE"/>
    <w:rsid w:val="17462648"/>
    <w:rsid w:val="181066D2"/>
    <w:rsid w:val="181331C1"/>
    <w:rsid w:val="18177FE3"/>
    <w:rsid w:val="19036D91"/>
    <w:rsid w:val="199944A6"/>
    <w:rsid w:val="19AD23A6"/>
    <w:rsid w:val="1A2B4F63"/>
    <w:rsid w:val="1A4C4A62"/>
    <w:rsid w:val="1A564145"/>
    <w:rsid w:val="1AD938CB"/>
    <w:rsid w:val="1AE2543D"/>
    <w:rsid w:val="1C671E73"/>
    <w:rsid w:val="1D1125A5"/>
    <w:rsid w:val="1D322C47"/>
    <w:rsid w:val="1E6E5F01"/>
    <w:rsid w:val="1E934856"/>
    <w:rsid w:val="1F1840BF"/>
    <w:rsid w:val="2050745D"/>
    <w:rsid w:val="20C067BC"/>
    <w:rsid w:val="20FA09A2"/>
    <w:rsid w:val="21697B76"/>
    <w:rsid w:val="23111551"/>
    <w:rsid w:val="23616034"/>
    <w:rsid w:val="23D4607E"/>
    <w:rsid w:val="241E5A50"/>
    <w:rsid w:val="24264886"/>
    <w:rsid w:val="24480FA2"/>
    <w:rsid w:val="246663D3"/>
    <w:rsid w:val="25227A45"/>
    <w:rsid w:val="258A1202"/>
    <w:rsid w:val="2627607A"/>
    <w:rsid w:val="263056CD"/>
    <w:rsid w:val="26AC3A6A"/>
    <w:rsid w:val="26B26BA7"/>
    <w:rsid w:val="26DA4783"/>
    <w:rsid w:val="27C923FA"/>
    <w:rsid w:val="281178FD"/>
    <w:rsid w:val="294855A0"/>
    <w:rsid w:val="2ADA0E92"/>
    <w:rsid w:val="2AEA2DB3"/>
    <w:rsid w:val="2B9D7E25"/>
    <w:rsid w:val="2BE45A54"/>
    <w:rsid w:val="2C212804"/>
    <w:rsid w:val="2C7C7A3B"/>
    <w:rsid w:val="2C923702"/>
    <w:rsid w:val="2D400E3A"/>
    <w:rsid w:val="2E20089A"/>
    <w:rsid w:val="2E861EE7"/>
    <w:rsid w:val="2EFC0D68"/>
    <w:rsid w:val="2F364819"/>
    <w:rsid w:val="2FD63906"/>
    <w:rsid w:val="31570A76"/>
    <w:rsid w:val="316D029A"/>
    <w:rsid w:val="334166EB"/>
    <w:rsid w:val="346C4839"/>
    <w:rsid w:val="350154D6"/>
    <w:rsid w:val="35146474"/>
    <w:rsid w:val="36150089"/>
    <w:rsid w:val="364376AD"/>
    <w:rsid w:val="36DE12F2"/>
    <w:rsid w:val="37215DAE"/>
    <w:rsid w:val="37C913B1"/>
    <w:rsid w:val="37C940A0"/>
    <w:rsid w:val="37F87CF5"/>
    <w:rsid w:val="38CA40DD"/>
    <w:rsid w:val="395104A1"/>
    <w:rsid w:val="395F2B56"/>
    <w:rsid w:val="3969785C"/>
    <w:rsid w:val="3B006956"/>
    <w:rsid w:val="3B5D312D"/>
    <w:rsid w:val="3BBA0580"/>
    <w:rsid w:val="3BECE841"/>
    <w:rsid w:val="3C706E90"/>
    <w:rsid w:val="3CDE204C"/>
    <w:rsid w:val="3D363C36"/>
    <w:rsid w:val="3E636CAD"/>
    <w:rsid w:val="3E720C9E"/>
    <w:rsid w:val="3E9C3F6D"/>
    <w:rsid w:val="3EFC207A"/>
    <w:rsid w:val="3F5A3CA4"/>
    <w:rsid w:val="3FB11C9A"/>
    <w:rsid w:val="3FF7797D"/>
    <w:rsid w:val="3FFF479F"/>
    <w:rsid w:val="401D10DD"/>
    <w:rsid w:val="40DC2D46"/>
    <w:rsid w:val="41AF2209"/>
    <w:rsid w:val="424B1F31"/>
    <w:rsid w:val="42EF0114"/>
    <w:rsid w:val="431A7B56"/>
    <w:rsid w:val="43601655"/>
    <w:rsid w:val="440F375D"/>
    <w:rsid w:val="458B6AE9"/>
    <w:rsid w:val="45E15804"/>
    <w:rsid w:val="464B69A4"/>
    <w:rsid w:val="46690BD8"/>
    <w:rsid w:val="46953E87"/>
    <w:rsid w:val="47132FF3"/>
    <w:rsid w:val="47223AD0"/>
    <w:rsid w:val="47501D98"/>
    <w:rsid w:val="47BB35B6"/>
    <w:rsid w:val="47D26417"/>
    <w:rsid w:val="47DB5B06"/>
    <w:rsid w:val="47F5412C"/>
    <w:rsid w:val="48D013E2"/>
    <w:rsid w:val="49AA44B4"/>
    <w:rsid w:val="49C10D2B"/>
    <w:rsid w:val="49F70BF1"/>
    <w:rsid w:val="4A973062"/>
    <w:rsid w:val="4B4340EE"/>
    <w:rsid w:val="4BF06537"/>
    <w:rsid w:val="4C301926"/>
    <w:rsid w:val="4D9E1AAF"/>
    <w:rsid w:val="4F336227"/>
    <w:rsid w:val="503D507A"/>
    <w:rsid w:val="504B57F2"/>
    <w:rsid w:val="505E1082"/>
    <w:rsid w:val="50CE6111"/>
    <w:rsid w:val="51FA74D0"/>
    <w:rsid w:val="528A5B24"/>
    <w:rsid w:val="52AA4A52"/>
    <w:rsid w:val="52D34511"/>
    <w:rsid w:val="54823553"/>
    <w:rsid w:val="54E56216"/>
    <w:rsid w:val="550F5041"/>
    <w:rsid w:val="56277B56"/>
    <w:rsid w:val="574A40F1"/>
    <w:rsid w:val="57C211D6"/>
    <w:rsid w:val="57D91936"/>
    <w:rsid w:val="589C4E3D"/>
    <w:rsid w:val="59943D66"/>
    <w:rsid w:val="59E051FD"/>
    <w:rsid w:val="59E6355E"/>
    <w:rsid w:val="59F974AC"/>
    <w:rsid w:val="5A184997"/>
    <w:rsid w:val="5A3F7C21"/>
    <w:rsid w:val="5B821531"/>
    <w:rsid w:val="5BFF6039"/>
    <w:rsid w:val="5C476399"/>
    <w:rsid w:val="5C6B1626"/>
    <w:rsid w:val="5D76A616"/>
    <w:rsid w:val="5D7F20B9"/>
    <w:rsid w:val="5DAC7D0E"/>
    <w:rsid w:val="5DF254FF"/>
    <w:rsid w:val="5E214E39"/>
    <w:rsid w:val="5E4F2952"/>
    <w:rsid w:val="5F98B5AF"/>
    <w:rsid w:val="5FFE8511"/>
    <w:rsid w:val="5FFEACE2"/>
    <w:rsid w:val="609D5BF6"/>
    <w:rsid w:val="60E455D3"/>
    <w:rsid w:val="61073070"/>
    <w:rsid w:val="61113EEE"/>
    <w:rsid w:val="61B9080E"/>
    <w:rsid w:val="61DF3FED"/>
    <w:rsid w:val="624554AF"/>
    <w:rsid w:val="62A212A2"/>
    <w:rsid w:val="62AA63A9"/>
    <w:rsid w:val="62AD212E"/>
    <w:rsid w:val="62F948B6"/>
    <w:rsid w:val="63D95197"/>
    <w:rsid w:val="642B176B"/>
    <w:rsid w:val="643EE26D"/>
    <w:rsid w:val="650224CC"/>
    <w:rsid w:val="656019A0"/>
    <w:rsid w:val="65CD743D"/>
    <w:rsid w:val="65F242EE"/>
    <w:rsid w:val="666D7E19"/>
    <w:rsid w:val="66C51A03"/>
    <w:rsid w:val="68376930"/>
    <w:rsid w:val="683F3494"/>
    <w:rsid w:val="68F91E38"/>
    <w:rsid w:val="695772B1"/>
    <w:rsid w:val="69767E03"/>
    <w:rsid w:val="69A66B74"/>
    <w:rsid w:val="6A99742E"/>
    <w:rsid w:val="6ACC3AF1"/>
    <w:rsid w:val="6B3158B9"/>
    <w:rsid w:val="6BA02A3F"/>
    <w:rsid w:val="6BA5064D"/>
    <w:rsid w:val="6C1E5A53"/>
    <w:rsid w:val="6C7F76DF"/>
    <w:rsid w:val="6DD20F3C"/>
    <w:rsid w:val="6F5C41AC"/>
    <w:rsid w:val="6F8B16D6"/>
    <w:rsid w:val="6FA3382C"/>
    <w:rsid w:val="6FAF6C78"/>
    <w:rsid w:val="6FD66A2F"/>
    <w:rsid w:val="701B08E6"/>
    <w:rsid w:val="707A7747"/>
    <w:rsid w:val="708F57B4"/>
    <w:rsid w:val="70DF5DB7"/>
    <w:rsid w:val="716167CC"/>
    <w:rsid w:val="718A7AD1"/>
    <w:rsid w:val="72A44BC2"/>
    <w:rsid w:val="72F67375"/>
    <w:rsid w:val="7317C656"/>
    <w:rsid w:val="734ED73F"/>
    <w:rsid w:val="73C82B32"/>
    <w:rsid w:val="73F94DAE"/>
    <w:rsid w:val="74220495"/>
    <w:rsid w:val="74625927"/>
    <w:rsid w:val="747D1B6F"/>
    <w:rsid w:val="749E5641"/>
    <w:rsid w:val="756B19C7"/>
    <w:rsid w:val="758B206A"/>
    <w:rsid w:val="75E9215B"/>
    <w:rsid w:val="76271066"/>
    <w:rsid w:val="76CA1CAD"/>
    <w:rsid w:val="7755292F"/>
    <w:rsid w:val="77FD8BE9"/>
    <w:rsid w:val="78000AED"/>
    <w:rsid w:val="78DD2BDC"/>
    <w:rsid w:val="78FE2B52"/>
    <w:rsid w:val="79055C6B"/>
    <w:rsid w:val="79A9BD3F"/>
    <w:rsid w:val="7A5B6B93"/>
    <w:rsid w:val="7B346CFF"/>
    <w:rsid w:val="7B776F12"/>
    <w:rsid w:val="7BBD6CF5"/>
    <w:rsid w:val="7BC40083"/>
    <w:rsid w:val="7BCA43F4"/>
    <w:rsid w:val="7BFFFDD0"/>
    <w:rsid w:val="7C091F3A"/>
    <w:rsid w:val="7C336E5F"/>
    <w:rsid w:val="7C466CEA"/>
    <w:rsid w:val="7C8D4919"/>
    <w:rsid w:val="7CBE4AD3"/>
    <w:rsid w:val="7CD71AB3"/>
    <w:rsid w:val="7D3B6123"/>
    <w:rsid w:val="7D7A5F86"/>
    <w:rsid w:val="7DA71A0B"/>
    <w:rsid w:val="7E4B683A"/>
    <w:rsid w:val="7E5E656D"/>
    <w:rsid w:val="7E8F2BCB"/>
    <w:rsid w:val="7E955D07"/>
    <w:rsid w:val="7EA5419C"/>
    <w:rsid w:val="7EAF0B77"/>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4">
    <w:name w:val="Body Text Indent"/>
    <w:basedOn w:val="1"/>
    <w:qFormat/>
    <w:uiPriority w:val="0"/>
    <w:pPr>
      <w:spacing w:after="120"/>
      <w:ind w:left="420" w:leftChars="200"/>
    </w:pPr>
    <w:rPr>
      <w:rFonts w:ascii="Calibri" w:hAnsi="Calibri"/>
    </w:rPr>
  </w:style>
  <w:style w:type="paragraph" w:styleId="5">
    <w:name w:val="toc 3"/>
    <w:basedOn w:val="1"/>
    <w:next w:val="1"/>
    <w:qFormat/>
    <w:uiPriority w:val="0"/>
    <w:pPr>
      <w:ind w:left="840" w:leftChars="400"/>
    </w:pPr>
  </w:style>
  <w:style w:type="paragraph" w:styleId="6">
    <w:name w:val="Balloon Text"/>
    <w:basedOn w:val="1"/>
    <w:link w:val="25"/>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0"/>
    <w:pPr>
      <w:tabs>
        <w:tab w:val="right" w:leader="dot" w:pos="7980"/>
        <w:tab w:val="right" w:leader="dot" w:pos="8190"/>
      </w:tabs>
    </w:pPr>
    <w:rPr>
      <w:rFonts w:ascii="Calibri" w:hAnsi="Calibri" w:eastAsia="仿宋_GB2312" w:cs="Times New Roman"/>
      <w:sz w:val="32"/>
    </w:rPr>
  </w:style>
  <w:style w:type="paragraph" w:styleId="10">
    <w:name w:val="toc 4"/>
    <w:basedOn w:val="1"/>
    <w:next w:val="1"/>
    <w:qFormat/>
    <w:uiPriority w:val="0"/>
    <w:pPr>
      <w:ind w:left="1260" w:leftChars="600"/>
    </w:pPr>
  </w:style>
  <w:style w:type="paragraph" w:styleId="11">
    <w:name w:val="toc 2"/>
    <w:basedOn w:val="1"/>
    <w:next w:val="1"/>
    <w:qFormat/>
    <w:uiPriority w:val="0"/>
    <w:pPr>
      <w:ind w:left="420" w:leftChars="200"/>
    </w:pPr>
  </w:style>
  <w:style w:type="paragraph" w:styleId="12">
    <w:name w:val="Normal (Web)"/>
    <w:basedOn w:val="1"/>
    <w:qFormat/>
    <w:uiPriority w:val="0"/>
    <w:pPr>
      <w:spacing w:before="0" w:beforeAutospacing="1" w:after="0" w:afterAutospacing="1"/>
      <w:ind w:left="0" w:right="0"/>
      <w:jc w:val="left"/>
    </w:pPr>
    <w:rPr>
      <w:kern w:val="0"/>
      <w:sz w:val="24"/>
      <w:lang w:val="en-US" w:eastAsia="zh-CN"/>
    </w:rPr>
  </w:style>
  <w:style w:type="paragraph" w:styleId="13">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4">
    <w:name w:val="Body Text First Indent"/>
    <w:basedOn w:val="2"/>
    <w:qFormat/>
    <w:uiPriority w:val="0"/>
    <w:pPr>
      <w:spacing w:after="0"/>
      <w:ind w:firstLine="200" w:firstLineChars="200"/>
    </w:pPr>
  </w:style>
  <w:style w:type="paragraph" w:styleId="15">
    <w:name w:val="Body Text First Indent 2"/>
    <w:basedOn w:val="4"/>
    <w:qFormat/>
    <w:uiPriority w:val="0"/>
    <w:pPr>
      <w:ind w:firstLine="420" w:firstLineChars="200"/>
    </w:p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paragraph" w:customStyle="1" w:styleId="20">
    <w:name w:val="Comment Text"/>
    <w:basedOn w:val="1"/>
    <w:link w:val="27"/>
    <w:qFormat/>
    <w:uiPriority w:val="0"/>
    <w:pPr>
      <w:jc w:val="left"/>
    </w:pPr>
  </w:style>
  <w:style w:type="paragraph" w:customStyle="1" w:styleId="21">
    <w:name w:val="Comment Subject"/>
    <w:basedOn w:val="20"/>
    <w:next w:val="20"/>
    <w:link w:val="28"/>
    <w:qFormat/>
    <w:uiPriority w:val="0"/>
    <w:rPr>
      <w:b/>
      <w:bCs/>
    </w:rPr>
  </w:style>
  <w:style w:type="character" w:customStyle="1" w:styleId="22">
    <w:name w:val="Comment Reference"/>
    <w:basedOn w:val="18"/>
    <w:qFormat/>
    <w:uiPriority w:val="0"/>
    <w:rPr>
      <w:sz w:val="21"/>
      <w:szCs w:val="21"/>
    </w:rPr>
  </w:style>
  <w:style w:type="character" w:customStyle="1" w:styleId="23">
    <w:name w:val="fontstyle01"/>
    <w:qFormat/>
    <w:uiPriority w:val="0"/>
    <w:rPr>
      <w:rFonts w:ascii="仿宋_GB2312" w:hAnsi="仿宋_GB2312" w:eastAsia="仿宋_GB2312" w:cs="仿宋_GB2312"/>
      <w:color w:val="000000"/>
      <w:sz w:val="32"/>
      <w:szCs w:val="32"/>
    </w:rPr>
  </w:style>
  <w:style w:type="paragraph" w:customStyle="1" w:styleId="24">
    <w:name w:val="闻政-正文段落文字"/>
    <w:basedOn w:val="1"/>
    <w:qFormat/>
    <w:uiPriority w:val="3"/>
    <w:pPr>
      <w:spacing w:line="500" w:lineRule="exact"/>
      <w:ind w:firstLine="200"/>
    </w:pPr>
    <w:rPr>
      <w:kern w:val="0"/>
      <w:szCs w:val="28"/>
    </w:rPr>
  </w:style>
  <w:style w:type="character" w:customStyle="1" w:styleId="25">
    <w:name w:val="批注框文本 字符"/>
    <w:basedOn w:val="18"/>
    <w:link w:val="6"/>
    <w:qFormat/>
    <w:uiPriority w:val="0"/>
    <w:rPr>
      <w:rFonts w:ascii="Times New Roman" w:hAnsi="Times New Roman" w:eastAsia="宋体" w:cs="Times New Roman"/>
      <w:kern w:val="2"/>
      <w:sz w:val="18"/>
      <w:szCs w:val="18"/>
    </w:rPr>
  </w:style>
  <w:style w:type="character" w:customStyle="1" w:styleId="26">
    <w:name w:val="页眉 字符"/>
    <w:basedOn w:val="18"/>
    <w:link w:val="8"/>
    <w:qFormat/>
    <w:uiPriority w:val="0"/>
    <w:rPr>
      <w:rFonts w:ascii="Times New Roman" w:hAnsi="Times New Roman" w:eastAsia="宋体" w:cs="Times New Roman"/>
      <w:kern w:val="2"/>
      <w:sz w:val="18"/>
      <w:szCs w:val="18"/>
    </w:rPr>
  </w:style>
  <w:style w:type="character" w:customStyle="1" w:styleId="27">
    <w:name w:val="批注文字 字符"/>
    <w:basedOn w:val="18"/>
    <w:link w:val="20"/>
    <w:qFormat/>
    <w:uiPriority w:val="0"/>
    <w:rPr>
      <w:rFonts w:ascii="Times New Roman" w:hAnsi="Times New Roman" w:eastAsia="宋体" w:cs="Times New Roman"/>
      <w:kern w:val="2"/>
      <w:sz w:val="21"/>
      <w:szCs w:val="24"/>
    </w:rPr>
  </w:style>
  <w:style w:type="character" w:customStyle="1" w:styleId="28">
    <w:name w:val="批注主题 字符"/>
    <w:basedOn w:val="27"/>
    <w:link w:val="2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45e20d72-937f-4962-8472-4de0c102f286</errorID>
      <errorWord>。</errorWord>
      <group>L1_Format</group>
      <groupName>格式问题</groupName>
      <ability>L2_HalfPunc</ability>
      <abilityName>全半角检查</abilityName>
      <candidateList>
        <item>.</item>
      </candidateList>
      <explain>文本全半角错误。</explain>
      <paraID>3E9A9918</paraID>
      <start>8</start>
      <end>9</end>
      <status>unmodified</status>
      <modifiedWord/>
      <trackRevisions>false</trackRevisions>
    </reviewItem>
    <reviewItem>
      <errorID>1b9dd8c3-a43b-48a0-9cc1-f978e3708480</errorID>
      <errorWord>截止</errorWord>
      <group>L1_Word</group>
      <groupName>字词问题</groupName>
      <ability>L2_Typo</ability>
      <abilityName>字词错误</abilityName>
      <candidateList>
        <item>截至</item>
      </candidateList>
      <explain>存在发音相同字词的误用。</explain>
      <paraID> 457426D</paraID>
      <start>0</start>
      <end>2</end>
      <status>unmodified</status>
      <modifiedWord/>
      <trackRevisions>false</trackRevisions>
    </reviewItem>
    <reviewItem>
      <errorID>e8ba54ce-baa7-475d-99c6-233192aa3e54</errorID>
      <errorWord>。</errorWord>
      <group>L1_Format</group>
      <groupName>格式问题</groupName>
      <ability>L2_HalfPunc</ability>
      <abilityName>全半角检查</abilityName>
      <candidateList>
        <item>.</item>
      </candidateList>
      <explain>文本全半角错误。</explain>
      <paraID>30279065</paraID>
      <start>7</start>
      <end>8</end>
      <status>unmodified</status>
      <modifiedWord/>
      <trackRevisions>false</trackRevisions>
    </reviewItem>
    <reviewItem>
      <errorID>4306161c-cc73-4d5d-899b-3ad7778cbc8d</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3321091D</paraID>
      <start>44</start>
      <end>45</end>
      <status>unmodified</status>
      <modifiedWord/>
      <trackRevisions>false</trackRevisions>
    </reviewItem>
    <reviewItem>
      <errorID>1a4917e4-f86b-4557-91f3-ca5ca0cb3e8f</errorID>
      <errorWord>有效</errorWord>
      <group>L1_AI</group>
      <groupName>深度校对</groupName>
      <ability>L2_AI_Word</ability>
      <abilityName>字词纠错</abilityName>
      <candidateList>
        <item>高效</item>
      </candidateList>
      <explain/>
      <paraID>16346F89</paraID>
      <start>50</start>
      <end>52</end>
      <status>unmodified</status>
      <modifiedWord/>
      <trackRevisions>false</trackRevisions>
    </reviewItem>
    <reviewItem>
      <errorID>c85b7490-1c65-4ecf-938c-361167504336</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5A220F80</paraID>
      <start>73</start>
      <end>74</end>
      <status>unmodified</status>
      <modifiedWord/>
      <trackRevisions>false</trackRevisions>
    </reviewItem>
    <reviewItem>
      <errorID>d0b10219-06b7-4896-b8ef-b9804418d9ad</errorID>
      <errorWord>，</errorWord>
      <group>L1_Word</group>
      <groupName>字词问题</groupName>
      <ability>L2_Typo</ability>
      <abilityName>字词错误</abilityName>
      <candidateList>
        <item>，在</item>
      </candidateList>
      <explain/>
      <paraID>65871231</paraID>
      <start>167</start>
      <end>168</end>
      <status>unmodified</status>
      <modifiedWord/>
      <trackRevisions>false</trackRevisions>
    </reviewItem>
    <reviewItem>
      <errorID>8a165de5-83d3-4926-81f9-b6f81efde2f4</errorID>
      <errorWord>，]</errorWord>
      <group>L1_Punc</group>
      <groupName>标点问题</groupName>
      <ability>L2_Punc</ability>
      <abilityName>标点符号检查</abilityName>
      <candidateList>
        <item>]</item>
      </candidateList>
      <explain/>
      <paraID>65871231</paraID>
      <start>254</start>
      <end>256</end>
      <status>unmodified</status>
      <modifiedWord/>
      <trackRevisions>false</trackRevisions>
    </reviewItem>
    <reviewItem>
      <errorID>512c3262-c393-45c8-8d64-c2a71901a756</errorID>
      <errorWord>全</errorWord>
      <group>L1_Word</group>
      <groupName>字词问题</groupName>
      <ability>L2_Typo</ability>
      <abilityName>字词错误</abilityName>
      <candidateList>
        <item>全过</item>
      </candidateList>
      <explain/>
      <paraID>6F9EC0D6</paraID>
      <start>93</start>
      <end>94</end>
      <status>unmodified</status>
      <modifiedWord/>
      <trackRevisions>false</trackRevisions>
    </reviewItem>
    <reviewItem>
      <errorID>5106591d-84f4-4d63-9b9c-587b5ad5e130</errorID>
      <errorWord>预算法</errorWord>
      <group>L1_Knowledge</group>
      <groupName>知识性问题</groupName>
      <ability>L2_Knowledge</ability>
      <abilityName>其他知识</abilityName>
      <candidateList>
        <item>中华人民共和国预算法</item>
      </candidateList>
      <explain>当前法律法规名称使用简称，请注意是否应当使用全称。</explain>
      <paraID>5AAC8898</paraID>
      <start>11</start>
      <end>14</end>
      <status>unmodified</status>
      <modifiedWord/>
      <trackRevisions>false</trackRevisions>
    </reviewItem>
    <reviewItem>
      <errorID>2a2b42f8-295c-4512-b805-342bdf713b4d</errorID>
      <errorWord>全</errorWord>
      <group>L1_Word</group>
      <groupName>字词问题</groupName>
      <ability>L2_Typo</ability>
      <abilityName>字词错误</abilityName>
      <candidateList>
        <item>全过</item>
      </candidateList>
      <explain/>
      <paraID>5AAC8898</paraID>
      <start>52</start>
      <end>53</end>
      <status>unmodified</status>
      <modifiedWord/>
      <trackRevisions>false</trackRevisions>
    </reviewItem>
    <reviewItem>
      <errorID>bcf2854b-01f9-46a4-9fca-3eebda9ffc02</errorID>
      <errorWord>-</errorWord>
      <group>L1_Format</group>
      <groupName>格式问题</groupName>
      <ability>L2_HalfPunc</ability>
      <abilityName>全半角检查</abilityName>
      <candidateList>
        <item>－</item>
      </candidateList>
      <explain>文本全半角错误。</explain>
      <paraID>5AAC8898</paraID>
      <start>70</start>
      <end>71</end>
      <status>unmodified</status>
      <modifiedWord/>
      <trackRevisions>false</trackRevisions>
    </reviewItem>
    <reviewItem>
      <errorID>703f9911-f9f8-4187-b3bf-1ce8c553e755</errorID>
      <errorWord>-</errorWord>
      <group>L1_Format</group>
      <groupName>格式问题</groupName>
      <ability>L2_HalfPunc</ability>
      <abilityName>全半角检查</abilityName>
      <candidateList>
        <item>－</item>
      </candidateList>
      <explain>文本全半角错误。</explain>
      <paraID>5AAC8898</paraID>
      <start>73</start>
      <end>74</end>
      <status>unmodified</status>
      <modifiedWord/>
      <trackRevisions>false</trackRevisions>
    </reviewItem>
    <reviewItem>
      <errorID>55349a2b-6432-44f7-adbb-f8ff1519a86f</errorID>
      <errorWord>：，</errorWord>
      <group>L1_Punc</group>
      <groupName>标点问题</groupName>
      <ability>L2_Punc</ability>
      <abilityName>标点符号检查</abilityName>
      <candidateList>
        <item>：</item>
      </candidateList>
      <explain/>
      <paraID>38E5CE84</paraID>
      <start>12</start>
      <end>14</end>
      <status>unmodified</status>
      <modifiedWord/>
      <trackRevisions>false</trackRevisions>
    </reviewItem>
    <reviewItem>
      <errorID>3ad2527a-4be4-4184-813e-2fe945cbfedf</errorID>
      <errorWord>：，</errorWord>
      <group>L1_Punc</group>
      <groupName>标点问题</groupName>
      <ability>L2_Punc</ability>
      <abilityName>标点符号检查</abilityName>
      <candidateList>
        <item>：</item>
      </candidateList>
      <explain/>
      <paraID>38E5CE84</paraID>
      <start>19</start>
      <end>21</end>
      <status>unmodified</status>
      <modifiedWord/>
      <trackRevisions>false</trackRevisions>
    </reviewItem>
    <reviewItem>
      <errorID>d6f0377f-83ac-4598-a2be-86396db3c124</errorID>
      <errorWord>：，</errorWord>
      <group>L1_Punc</group>
      <groupName>标点问题</groupName>
      <ability>L2_Punc</ability>
      <abilityName>标点符号检查</abilityName>
      <candidateList>
        <item>：</item>
      </candidateList>
      <explain/>
      <paraID>2ED61372</paraID>
      <start>12</start>
      <end>14</end>
      <status>unmodified</status>
      <modifiedWord/>
      <trackRevisions>false</trackRevisions>
    </reviewItem>
    <reviewItem>
      <errorID>7f59fd71-1dc0-4fcd-9797-1deeb8024d07</errorID>
      <errorWord>：，</errorWord>
      <group>L1_Punc</group>
      <groupName>标点问题</groupName>
      <ability>L2_Punc</ability>
      <abilityName>标点符号检查</abilityName>
      <candidateList>
        <item>：</item>
      </candidateList>
      <explain/>
      <paraID>2ED61372</paraID>
      <start>19</start>
      <end>21</end>
      <status>unmodified</status>
      <modifiedWord/>
      <trackRevisions>false</trackRevisions>
    </reviewItem>
    <reviewItem>
      <errorID>72eec153-67b9-4cdc-8b85-102bda3291c8</errorID>
      <errorWord>：，</errorWord>
      <group>L1_Punc</group>
      <groupName>标点问题</groupName>
      <ability>L2_Punc</ability>
      <abilityName>标点符号检查</abilityName>
      <candidateList>
        <item>：</item>
      </candidateList>
      <explain/>
      <paraID>4CFBFDBB</paraID>
      <start>12</start>
      <end>14</end>
      <status>unmodified</status>
      <modifiedWord/>
      <trackRevisions>false</trackRevisions>
    </reviewItem>
    <reviewItem>
      <errorID>f8ebcd7f-be01-44ad-a3fc-14814c04d595</errorID>
      <errorWord>：，</errorWord>
      <group>L1_Punc</group>
      <groupName>标点问题</groupName>
      <ability>L2_Punc</ability>
      <abilityName>标点符号检查</abilityName>
      <candidateList>
        <item>：</item>
      </candidateList>
      <explain/>
      <paraID>4CFBFDBB</paraID>
      <start>19</start>
      <end>21</end>
      <status>unmodified</status>
      <modifiedWord/>
      <trackRevisions>false</trackRevisions>
    </reviewItem>
    <reviewItem>
      <errorID>7f5001ba-3d96-49a1-91ae-d78203439ab5</errorID>
      <errorWord>：，</errorWord>
      <group>L1_Punc</group>
      <groupName>标点问题</groupName>
      <ability>L2_Punc</ability>
      <abilityName>标点符号检查</abilityName>
      <candidateList>
        <item>：</item>
      </candidateList>
      <explain/>
      <paraID>10209780</paraID>
      <start>12</start>
      <end>14</end>
      <status>unmodified</status>
      <modifiedWord/>
      <trackRevisions>false</trackRevisions>
    </reviewItem>
    <reviewItem>
      <errorID>bbab4c98-490f-4c70-a6c1-2be9fa30d637</errorID>
      <errorWord>：，</errorWord>
      <group>L1_Punc</group>
      <groupName>标点问题</groupName>
      <ability>L2_Punc</ability>
      <abilityName>标点符号检查</abilityName>
      <candidateList>
        <item>：</item>
      </candidateList>
      <explain/>
      <paraID>10209780</paraID>
      <start>19</start>
      <end>21</end>
      <status>unmodified</status>
      <modifiedWord/>
      <trackRevisions>false</trackRevisions>
    </reviewItem>
    <reviewItem>
      <errorID>afdb7b20-ca68-4fd4-896b-a09588671cff</errorID>
      <errorWord>六.</errorWord>
      <group>L1_Format</group>
      <groupName>格式问题</groupName>
      <ability>L2_Ordinal</ability>
      <abilityName>序号格式</abilityName>
      <candidateList>
        <item>六、</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5DED8768</paraID>
      <start>0</start>
      <end>2</end>
      <status>unmodified</status>
      <modifiedWord/>
      <trackRevisions>false</trackRevisions>
    </reviewItem>
    <reviewItem>
      <errorID>b715000d-26c2-4fd1-96d5-7ba5b49311f7</errorID>
      <errorWord>；</errorWord>
      <group>L1_Word</group>
      <groupName>字词问题</groupName>
      <ability>L2_Typo</ability>
      <abilityName>字词错误</abilityName>
      <candidateList>
        <item>；在</item>
      </candidateList>
      <explain/>
      <paraID>33C5EBC0</paraID>
      <start>90</start>
      <end>91</end>
      <status>unmodified</status>
      <modifiedWord/>
      <trackRevisions>false</trackRevisions>
    </reviewItem>
    <reviewItem>
      <errorID>e4d8f088-dd4b-423c-b02f-2c3af50e4835</errorID>
      <errorWord>评价</errorWord>
      <group>L1_Word</group>
      <groupName>字词问题</groupName>
      <ability>L2_Typo</ability>
      <abilityName>字词错误</abilityName>
      <candidateList>
        <item>评</item>
      </candidateList>
      <explain/>
      <paraID>47643AFE</paraID>
      <start>83</start>
      <end>85</end>
      <status>unmodified</status>
      <modifiedWord/>
      <trackRevisions>false</trackRevisions>
    </reviewItem>
    <reviewItem>
      <errorID>304693bf-2643-47f6-bf50-3ab183a10772</errorID>
      <errorWord>七.</errorWord>
      <group>L1_Format</group>
      <groupName>格式问题</groupName>
      <ability>L2_Ordinal</ability>
      <abilityName>序号格式</abilityName>
      <candidateList>
        <item>七、</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581D1A14</paraID>
      <start>0</start>
      <end>2</end>
      <status>unmodified</status>
      <modifiedWord/>
      <trackRevisions>false</trackRevisions>
    </reviewItem>
    <reviewItem>
      <errorID>70b33c7f-3821-4ab4-9635-e406abb915eb</errorID>
      <errorWord>八.</errorWord>
      <group>L1_Format</group>
      <groupName>格式问题</groupName>
      <ability>L2_Ordinal</ability>
      <abilityName>序号格式</abilityName>
      <candidateList>
        <item>八、</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3AB05DC2</paraID>
      <start>0</start>
      <end>2</end>
      <status>unmodified</status>
      <modifiedWord/>
      <trackRevisions>false</trackRevisions>
    </reviewItem>
    <reviewItem>
      <errorID>ba137ec8-6bd5-41cd-8e96-8147271f926c</errorID>
      <errorWord>的明</errorWord>
      <group>L1_Word</group>
      <groupName>字词问题</groupName>
      <ability>L2_Typo</ability>
      <abilityName>字词错误</abilityName>
      <candidateList>
        <item>的</item>
      </candidateList>
      <explain>“的”常用于连接修饰语与名词性中心语，表示属性、所属或描述。</explain>
      <paraID>5E2A108D</paraID>
      <start>39</start>
      <end>41</end>
      <status>unmodified</status>
      <modifiedWord/>
      <trackRevisions>false</trackRevisions>
    </reviewItem>
    <reviewItem>
      <errorID>f57871fa-7967-47ef-bd89-2ff13260ef7d</errorID>
      <errorWord>数</errorWord>
      <group>L1_Word</group>
      <groupName>字词问题</groupName>
      <ability>L2_Typo</ability>
      <abilityName>字词错误</abilityName>
      <candidateList>
        <item>数量</item>
      </candidateList>
      <explain/>
      <paraID>4FDCCD34</paraID>
      <start>30</start>
      <end>31</end>
      <status>unmodified</status>
      <modifiedWord/>
      <trackRevisions>false</trackRevisions>
    </reviewItem>
    <reviewItem>
      <errorID>4fef7e59-228d-47c7-affd-4d9e70818096</errorID>
      <errorWord>位</errorWord>
      <group>L1_Word</group>
      <groupName>字词问题</groupName>
      <ability>L2_Typo</ability>
      <abilityName>字词错误</abilityName>
      <candidateList>
        <item>位在</item>
      </candidateList>
      <explain/>
      <paraID>14FE6675</paraID>
      <start>54</start>
      <end>55</end>
      <status>unmodified</status>
      <modifiedWord/>
      <trackRevisions>false</trackRevisions>
    </reviewItem>
  </reviewItems>
  <config/>
</contractReview>
</file>

<file path=customXml/itemProps1.xml><?xml version="1.0" encoding="utf-8"?>
<ds:datastoreItem xmlns:ds="http://schemas.openxmlformats.org/officeDocument/2006/customXml" ds:itemID="{098f5e91-fa11-413b-836c-246af5bba9a8}">
  <ds:schemaRefs/>
</ds:datastoreItem>
</file>

<file path=docProps/app.xml><?xml version="1.0" encoding="utf-8"?>
<Properties xmlns="http://schemas.openxmlformats.org/officeDocument/2006/extended-properties" xmlns:vt="http://schemas.openxmlformats.org/officeDocument/2006/docPropsVTypes">
  <Template>Normal</Template>
  <Pages>33</Pages>
  <Words>9345</Words>
  <Characters>9737</Characters>
  <Lines>58</Lines>
  <Paragraphs>16</Paragraphs>
  <TotalTime>0</TotalTime>
  <ScaleCrop>false</ScaleCrop>
  <LinksUpToDate>false</LinksUpToDate>
  <CharactersWithSpaces>9807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忆</cp:lastModifiedBy>
  <dcterms:modified xsi:type="dcterms:W3CDTF">2026-08-28T08:57:26Z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8B96FEDE051546A0B4E4A41CC7CAD341_13</vt:lpwstr>
  </property>
  <property fmtid="{D5CDD505-2E9C-101B-9397-08002B2CF9AE}" pid="4" name="KSOTemplateDocerSaveRecord">
    <vt:lpwstr>eyJoZGlkIjoiZWE5M2E4OTRkNmEwYTUyNjM2Mzg3NThiMTA5NmIzZWUiLCJ1c2VySWQiOiI0OTMxMTE3MjUifQ==</vt:lpwstr>
  </property>
</Properties>
</file>