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61C79D"/>
    <w:p w14:paraId="4434BA42">
      <w:pPr>
        <w:spacing w:line="540" w:lineRule="exact"/>
        <w:jc w:val="center"/>
        <w:rPr>
          <w:rFonts w:hint="eastAsia" w:ascii="Times New Roman" w:hAnsi="Times New Roman" w:eastAsia="华文中宋" w:cs="Times New Roman"/>
          <w:b/>
          <w:kern w:val="0"/>
          <w:sz w:val="52"/>
          <w:szCs w:val="52"/>
          <w:lang w:val="en-US" w:eastAsia="zh-CN"/>
        </w:rPr>
      </w:pPr>
      <w:r>
        <w:rPr>
          <w:rFonts w:hint="eastAsia" w:eastAsia="华文中宋" w:cs="Times New Roman"/>
          <w:b/>
          <w:kern w:val="0"/>
          <w:sz w:val="52"/>
          <w:szCs w:val="52"/>
          <w:lang w:val="en-US" w:eastAsia="zh-CN"/>
        </w:rPr>
        <w:t xml:space="preserve"> </w:t>
      </w:r>
    </w:p>
    <w:p w14:paraId="5473B667">
      <w:pPr>
        <w:spacing w:line="540" w:lineRule="exact"/>
        <w:rPr>
          <w:rFonts w:hint="default" w:ascii="Times New Roman" w:hAnsi="Times New Roman" w:eastAsia="华文中宋" w:cs="Times New Roman"/>
          <w:b/>
          <w:kern w:val="0"/>
          <w:sz w:val="52"/>
          <w:szCs w:val="52"/>
        </w:rPr>
      </w:pPr>
    </w:p>
    <w:p w14:paraId="1BFDC3C1">
      <w:pPr>
        <w:spacing w:line="540" w:lineRule="exact"/>
        <w:jc w:val="center"/>
        <w:rPr>
          <w:rFonts w:hint="default" w:ascii="Times New Roman" w:hAnsi="Times New Roman" w:eastAsia="华文中宋" w:cs="Times New Roman"/>
          <w:b/>
          <w:kern w:val="0"/>
          <w:sz w:val="52"/>
          <w:szCs w:val="52"/>
        </w:rPr>
      </w:pPr>
    </w:p>
    <w:p w14:paraId="79595C21">
      <w:pPr>
        <w:spacing w:line="540" w:lineRule="exact"/>
        <w:jc w:val="center"/>
        <w:rPr>
          <w:rFonts w:hint="default" w:ascii="Times New Roman" w:hAnsi="Times New Roman" w:eastAsia="华文中宋" w:cs="Times New Roman"/>
          <w:b/>
          <w:kern w:val="0"/>
          <w:sz w:val="52"/>
          <w:szCs w:val="52"/>
        </w:rPr>
      </w:pPr>
    </w:p>
    <w:p w14:paraId="700A7E04">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新疆库尔干水利枢纽工程</w:t>
      </w:r>
    </w:p>
    <w:p w14:paraId="46AC7694">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项目支出绩效评价报告</w:t>
      </w:r>
    </w:p>
    <w:p w14:paraId="0D1BF506">
      <w:pPr>
        <w:spacing w:line="540" w:lineRule="exact"/>
        <w:jc w:val="center"/>
        <w:rPr>
          <w:rFonts w:hint="default" w:ascii="Times New Roman" w:hAnsi="Times New Roman" w:eastAsia="华文中宋" w:cs="Times New Roman"/>
          <w:b/>
          <w:kern w:val="0"/>
          <w:sz w:val="52"/>
          <w:szCs w:val="52"/>
        </w:rPr>
      </w:pPr>
    </w:p>
    <w:p w14:paraId="38306533">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年度）</w:t>
      </w:r>
    </w:p>
    <w:p w14:paraId="46212A8B">
      <w:pPr>
        <w:spacing w:line="540" w:lineRule="exact"/>
        <w:jc w:val="center"/>
        <w:rPr>
          <w:rFonts w:hint="default" w:ascii="Times New Roman" w:hAnsi="Times New Roman" w:eastAsia="仿宋_GB2312" w:cs="Times New Roman"/>
          <w:kern w:val="0"/>
          <w:sz w:val="30"/>
          <w:szCs w:val="30"/>
        </w:rPr>
      </w:pPr>
    </w:p>
    <w:p w14:paraId="3BC3B48C">
      <w:pPr>
        <w:spacing w:line="540" w:lineRule="exact"/>
        <w:jc w:val="center"/>
        <w:rPr>
          <w:rFonts w:hint="default" w:ascii="Times New Roman" w:hAnsi="Times New Roman" w:eastAsia="仿宋_GB2312" w:cs="Times New Roman"/>
          <w:kern w:val="0"/>
          <w:sz w:val="30"/>
          <w:szCs w:val="30"/>
        </w:rPr>
      </w:pPr>
    </w:p>
    <w:p w14:paraId="67E26DE5">
      <w:pPr>
        <w:spacing w:line="540" w:lineRule="exact"/>
        <w:jc w:val="center"/>
        <w:rPr>
          <w:rFonts w:hint="default" w:ascii="Times New Roman" w:hAnsi="Times New Roman" w:eastAsia="仿宋_GB2312" w:cs="Times New Roman"/>
          <w:kern w:val="0"/>
          <w:sz w:val="30"/>
          <w:szCs w:val="30"/>
        </w:rPr>
      </w:pPr>
    </w:p>
    <w:p w14:paraId="18F3EB6B">
      <w:pPr>
        <w:spacing w:line="540" w:lineRule="exact"/>
        <w:jc w:val="center"/>
        <w:rPr>
          <w:rFonts w:hint="default" w:ascii="Times New Roman" w:hAnsi="Times New Roman" w:eastAsia="仿宋_GB2312" w:cs="Times New Roman"/>
          <w:kern w:val="0"/>
          <w:sz w:val="30"/>
          <w:szCs w:val="30"/>
        </w:rPr>
      </w:pPr>
    </w:p>
    <w:p w14:paraId="653D93B9">
      <w:pPr>
        <w:spacing w:line="540" w:lineRule="exact"/>
        <w:jc w:val="center"/>
        <w:rPr>
          <w:rFonts w:hint="default" w:ascii="Times New Roman" w:hAnsi="Times New Roman" w:eastAsia="仿宋_GB2312" w:cs="Times New Roman"/>
          <w:kern w:val="0"/>
          <w:sz w:val="30"/>
          <w:szCs w:val="30"/>
        </w:rPr>
      </w:pPr>
    </w:p>
    <w:p w14:paraId="7BEF4C89">
      <w:pPr>
        <w:spacing w:line="540" w:lineRule="exact"/>
        <w:jc w:val="center"/>
        <w:rPr>
          <w:rFonts w:hint="default" w:ascii="Times New Roman" w:hAnsi="Times New Roman" w:eastAsia="仿宋_GB2312" w:cs="Times New Roman"/>
          <w:kern w:val="0"/>
          <w:sz w:val="30"/>
          <w:szCs w:val="30"/>
        </w:rPr>
      </w:pPr>
    </w:p>
    <w:p w14:paraId="37C83741">
      <w:pPr>
        <w:spacing w:line="540" w:lineRule="exact"/>
        <w:jc w:val="center"/>
        <w:rPr>
          <w:rFonts w:hint="default" w:ascii="Times New Roman" w:hAnsi="Times New Roman" w:eastAsia="仿宋_GB2312" w:cs="Times New Roman"/>
          <w:kern w:val="0"/>
          <w:sz w:val="30"/>
          <w:szCs w:val="30"/>
        </w:rPr>
      </w:pPr>
    </w:p>
    <w:p w14:paraId="71DADA8B">
      <w:pPr>
        <w:spacing w:line="540" w:lineRule="exact"/>
        <w:jc w:val="center"/>
        <w:rPr>
          <w:rFonts w:hint="default" w:ascii="Times New Roman" w:hAnsi="Times New Roman" w:eastAsia="仿宋_GB2312" w:cs="Times New Roman"/>
          <w:kern w:val="0"/>
          <w:sz w:val="30"/>
          <w:szCs w:val="30"/>
        </w:rPr>
      </w:pPr>
    </w:p>
    <w:p w14:paraId="305747EC">
      <w:pPr>
        <w:spacing w:line="700" w:lineRule="exact"/>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项目名称：专项债券利息</w:t>
      </w:r>
    </w:p>
    <w:p w14:paraId="06D96966">
      <w:pPr>
        <w:spacing w:line="700" w:lineRule="exact"/>
        <w:ind w:left="2880" w:hanging="2880" w:hangingChars="9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实施单位（公章）：新疆维吾尔自治区塔里木河流域</w:t>
      </w:r>
    </w:p>
    <w:p w14:paraId="2933337E">
      <w:pPr>
        <w:spacing w:line="700" w:lineRule="exact"/>
        <w:ind w:left="3193" w:leftChars="1368" w:hanging="320" w:hangingChars="1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库尔干水利枢纽工程建设管理中心</w:t>
      </w:r>
    </w:p>
    <w:p w14:paraId="68C6C9E3">
      <w:pPr>
        <w:spacing w:line="700" w:lineRule="exact"/>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主管部门（公章）：新疆维吾尔自治区塔里木河流域管理局</w:t>
      </w:r>
    </w:p>
    <w:p w14:paraId="6FF3A9BF">
      <w:pPr>
        <w:spacing w:line="700" w:lineRule="exact"/>
        <w:jc w:val="left"/>
        <w:rPr>
          <w:rFonts w:hint="eastAsia" w:ascii="Times New Roman" w:hAnsi="Times New Roman" w:eastAsia="仿宋_GB2312" w:cs="Times New Roman"/>
          <w:kern w:val="0"/>
          <w:sz w:val="32"/>
          <w:szCs w:val="32"/>
          <w:lang w:eastAsia="zh-CN"/>
        </w:rPr>
      </w:pPr>
      <w:r>
        <w:rPr>
          <w:rFonts w:hint="default" w:ascii="Times New Roman" w:hAnsi="Times New Roman" w:eastAsia="仿宋_GB2312" w:cs="Times New Roman"/>
          <w:kern w:val="0"/>
          <w:sz w:val="32"/>
          <w:szCs w:val="32"/>
        </w:rPr>
        <w:t>项目负责人（签章）：</w:t>
      </w:r>
      <w:r>
        <w:rPr>
          <w:rFonts w:hint="eastAsia" w:eastAsia="仿宋_GB2312" w:cs="Times New Roman"/>
          <w:kern w:val="0"/>
          <w:sz w:val="32"/>
          <w:szCs w:val="32"/>
          <w:lang w:val="en-US" w:eastAsia="zh-CN"/>
        </w:rPr>
        <w:t>张弘</w:t>
      </w:r>
    </w:p>
    <w:p w14:paraId="0033282B">
      <w:pPr>
        <w:spacing w:line="700" w:lineRule="exact"/>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填报时间：</w:t>
      </w:r>
      <w:r>
        <w:rPr>
          <w:rFonts w:hint="eastAsia" w:eastAsia="仿宋_GB2312" w:cs="Times New Roman"/>
          <w:kern w:val="0"/>
          <w:sz w:val="32"/>
          <w:szCs w:val="32"/>
          <w:lang w:val="en-US" w:eastAsia="zh-CN"/>
        </w:rPr>
        <w:t>2026</w:t>
      </w:r>
      <w:r>
        <w:rPr>
          <w:rFonts w:hint="default" w:ascii="Times New Roman" w:hAnsi="Times New Roman" w:eastAsia="仿宋_GB2312" w:cs="Times New Roman"/>
          <w:kern w:val="0"/>
          <w:sz w:val="32"/>
          <w:szCs w:val="32"/>
        </w:rPr>
        <w:t>年</w:t>
      </w:r>
      <w:r>
        <w:rPr>
          <w:rFonts w:hint="eastAsia"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月</w:t>
      </w:r>
      <w:r>
        <w:rPr>
          <w:rFonts w:hint="eastAsia" w:eastAsia="仿宋_GB2312" w:cs="Times New Roman"/>
          <w:kern w:val="0"/>
          <w:sz w:val="32"/>
          <w:szCs w:val="32"/>
          <w:lang w:val="en-US" w:eastAsia="zh-CN"/>
        </w:rPr>
        <w:t>26</w:t>
      </w:r>
      <w:r>
        <w:rPr>
          <w:rFonts w:hint="default" w:ascii="Times New Roman" w:hAnsi="Times New Roman" w:eastAsia="仿宋_GB2312" w:cs="Times New Roman"/>
          <w:kern w:val="0"/>
          <w:sz w:val="32"/>
          <w:szCs w:val="32"/>
        </w:rPr>
        <w:t>日</w:t>
      </w:r>
    </w:p>
    <w:p w14:paraId="7E00A356">
      <w:pPr>
        <w:spacing w:line="540" w:lineRule="exact"/>
        <w:jc w:val="center"/>
        <w:rPr>
          <w:rFonts w:hint="default" w:ascii="Times New Roman" w:hAnsi="Times New Roman" w:eastAsia="仿宋_GB2312" w:cs="Times New Roman"/>
          <w:kern w:val="0"/>
          <w:sz w:val="30"/>
          <w:szCs w:val="30"/>
        </w:rPr>
      </w:pPr>
    </w:p>
    <w:p w14:paraId="1D0AE9FA">
      <w:pPr>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0"/>
          <w:szCs w:val="30"/>
        </w:rPr>
        <w:br w:type="page"/>
      </w:r>
    </w:p>
    <w:p w14:paraId="4CBBCAEE">
      <w:pPr>
        <w:spacing w:line="540" w:lineRule="exact"/>
        <w:jc w:val="center"/>
        <w:rPr>
          <w:rFonts w:hint="default" w:ascii="Times New Roman" w:hAnsi="Times New Roman" w:eastAsia="仿宋_GB2312" w:cs="Times New Roman"/>
          <w:kern w:val="0"/>
          <w:sz w:val="30"/>
          <w:szCs w:val="30"/>
        </w:rPr>
      </w:pPr>
    </w:p>
    <w:sdt>
      <w:sdtPr>
        <w:rPr>
          <w:rFonts w:ascii="宋体" w:hAnsi="宋体" w:eastAsia="宋体" w:cs="Times New Roman"/>
          <w:b/>
          <w:bCs/>
          <w:kern w:val="2"/>
          <w:sz w:val="44"/>
          <w:szCs w:val="44"/>
          <w:lang w:val="en-US" w:eastAsia="zh-CN" w:bidi="ar-SA"/>
        </w:rPr>
        <w:id w:val="147456767"/>
        <w15:color w:val="DBDBDB"/>
        <w:docPartObj>
          <w:docPartGallery w:val="Table of Contents"/>
          <w:docPartUnique/>
        </w:docPartObj>
      </w:sdtPr>
      <w:sdtEndPr>
        <w:rPr>
          <w:rFonts w:hint="default" w:ascii="Times New Roman" w:hAnsi="Times New Roman" w:eastAsia="宋体" w:cs="Times New Roman"/>
          <w:b/>
          <w:bCs/>
          <w:kern w:val="2"/>
          <w:sz w:val="21"/>
          <w:szCs w:val="24"/>
          <w:lang w:val="en-US" w:eastAsia="zh-CN" w:bidi="ar-SA"/>
        </w:rPr>
      </w:sdtEndPr>
      <w:sdtContent>
        <w:p w14:paraId="08F95F8B">
          <w:pPr>
            <w:spacing w:before="0" w:beforeLines="0" w:after="0" w:afterLines="0" w:line="240" w:lineRule="auto"/>
            <w:ind w:left="0" w:leftChars="0" w:right="0" w:rightChars="0" w:firstLine="0" w:firstLineChars="0"/>
            <w:jc w:val="center"/>
            <w:rPr>
              <w:b/>
              <w:bCs/>
              <w:sz w:val="44"/>
              <w:szCs w:val="44"/>
            </w:rPr>
          </w:pPr>
          <w:r>
            <w:rPr>
              <w:rFonts w:ascii="宋体" w:hAnsi="宋体" w:eastAsia="宋体"/>
              <w:b/>
              <w:bCs/>
              <w:sz w:val="44"/>
              <w:szCs w:val="44"/>
            </w:rPr>
            <w:t>目录</w:t>
          </w:r>
        </w:p>
        <w:p w14:paraId="43B1E705">
          <w:pPr>
            <w:pStyle w:val="10"/>
            <w:tabs>
              <w:tab w:val="right" w:leader="middleDot" w:pos="8548"/>
              <w:tab w:val="clear" w:pos="7980"/>
              <w:tab w:val="clear" w:pos="8190"/>
            </w:tabs>
            <w:rPr>
              <w:rFonts w:hint="eastAsia" w:ascii="仿宋_GB2312" w:hAnsi="仿宋_GB2312" w:eastAsia="仿宋_GB2312" w:cs="仿宋_GB2312"/>
              <w:sz w:val="32"/>
              <w:szCs w:val="32"/>
            </w:rPr>
          </w:pPr>
          <w:r>
            <w:rPr>
              <w:rFonts w:hint="default"/>
            </w:rPr>
            <w:fldChar w:fldCharType="begin"/>
          </w:r>
          <w:r>
            <w:rPr>
              <w:rFonts w:hint="default"/>
            </w:rPr>
            <w:instrText xml:space="preserve">TOC \o "1-9" \h \u</w:instrText>
          </w:r>
          <w:r>
            <w:rPr>
              <w:rFonts w:hint="default"/>
            </w:rPr>
            <w:fldChar w:fldCharType="separate"/>
          </w:r>
          <w:r>
            <w:fldChar w:fldCharType="begin"/>
          </w:r>
          <w:r>
            <w:instrText xml:space="preserve"> HYPERLINK \l "_Toc3458" </w:instrText>
          </w:r>
          <w:r>
            <w:fldChar w:fldCharType="separate"/>
          </w:r>
          <w:r>
            <w:rPr>
              <w:rFonts w:hint="eastAsia" w:ascii="仿宋_GB2312" w:hAnsi="仿宋_GB2312" w:eastAsia="仿宋_GB2312" w:cs="仿宋_GB2312"/>
              <w:bCs/>
              <w:sz w:val="32"/>
              <w:szCs w:val="32"/>
            </w:rPr>
            <w:t>一、基本情况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_Toc3458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B93C841">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"_Toc16251" </w:instrText>
          </w:r>
          <w:r>
            <w:fldChar w:fldCharType="separate"/>
          </w:r>
          <w:r>
            <w:rPr>
              <w:rFonts w:hint="eastAsia" w:ascii="仿宋_GB2312" w:hAnsi="仿宋_GB2312" w:eastAsia="仿宋_GB2312" w:cs="仿宋_GB2312"/>
              <w:bCs/>
              <w:sz w:val="32"/>
              <w:szCs w:val="32"/>
            </w:rPr>
            <w:t>（一）项目概况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_Toc16251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978852A">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"_Toc11655" </w:instrText>
          </w:r>
          <w:r>
            <w:fldChar w:fldCharType="separate"/>
          </w:r>
          <w:r>
            <w:rPr>
              <w:rFonts w:hint="eastAsia" w:ascii="仿宋_GB2312" w:hAnsi="仿宋_GB2312" w:eastAsia="仿宋_GB2312" w:cs="仿宋_GB2312"/>
              <w:bCs/>
              <w:sz w:val="32"/>
              <w:szCs w:val="32"/>
            </w:rPr>
            <w:t>（二）项目绩效目标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_Toc11655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91AB5F9">
          <w:pPr>
            <w:pStyle w:val="10"/>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"_Toc25712" </w:instrText>
          </w:r>
          <w:r>
            <w:fldChar w:fldCharType="separate"/>
          </w:r>
          <w:r>
            <w:rPr>
              <w:rFonts w:hint="eastAsia" w:ascii="仿宋_GB2312" w:hAnsi="仿宋_GB2312" w:eastAsia="仿宋_GB2312" w:cs="仿宋_GB2312"/>
              <w:sz w:val="32"/>
              <w:szCs w:val="32"/>
            </w:rPr>
            <w:t>二、绩效评价工作开展情况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_Toc25712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90F1310">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"_Toc20967" </w:instrText>
          </w:r>
          <w:r>
            <w:fldChar w:fldCharType="separate"/>
          </w:r>
          <w:r>
            <w:rPr>
              <w:rFonts w:hint="eastAsia" w:ascii="仿宋_GB2312" w:hAnsi="仿宋_GB2312" w:eastAsia="仿宋_GB2312" w:cs="仿宋_GB2312"/>
              <w:bCs/>
              <w:sz w:val="32"/>
              <w:szCs w:val="32"/>
            </w:rPr>
            <w:t>（一）绩效评价目的、对象和范围</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_Toc20967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AD0BA42">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"_Toc29785" </w:instrText>
          </w:r>
          <w:r>
            <w:fldChar w:fldCharType="separate"/>
          </w:r>
          <w:r>
            <w:rPr>
              <w:rFonts w:hint="eastAsia" w:ascii="仿宋_GB2312" w:hAnsi="仿宋_GB2312" w:eastAsia="仿宋_GB2312" w:cs="仿宋_GB2312"/>
              <w:bCs/>
              <w:sz w:val="32"/>
              <w:szCs w:val="32"/>
            </w:rPr>
            <w:t>（二）绩效评价原则、评价指标体系（详情见表1）、评价方法、评价标准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1972ABA">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"_Toc5544" </w:instrText>
          </w:r>
          <w:r>
            <w:fldChar w:fldCharType="separate"/>
          </w:r>
          <w:r>
            <w:rPr>
              <w:rFonts w:hint="eastAsia" w:ascii="仿宋_GB2312" w:hAnsi="仿宋_GB2312" w:eastAsia="仿宋_GB2312" w:cs="仿宋_GB2312"/>
              <w:spacing w:val="17"/>
              <w:sz w:val="32"/>
              <w:szCs w:val="32"/>
            </w:rPr>
            <w:t>（三）绩效评价工作过程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_Toc5544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38584B3">
          <w:pPr>
            <w:pStyle w:val="10"/>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"_Toc29729" </w:instrText>
          </w:r>
          <w:r>
            <w:fldChar w:fldCharType="separate"/>
          </w:r>
          <w:r>
            <w:rPr>
              <w:rFonts w:hint="eastAsia" w:ascii="仿宋_GB2312" w:hAnsi="仿宋_GB2312" w:eastAsia="仿宋_GB2312" w:cs="仿宋_GB2312"/>
              <w:sz w:val="32"/>
              <w:szCs w:val="32"/>
            </w:rPr>
            <w:t>三、综合评价情况及评价结论（附相关评分表）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669EA36">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"_Toc2344" </w:instrText>
          </w:r>
          <w: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1F15581">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"_Toc6653" </w:instrText>
          </w:r>
          <w: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评价结论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_Toc6653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F481315">
          <w:pPr>
            <w:pStyle w:val="10"/>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"_Toc1453" </w:instrText>
          </w:r>
          <w:r>
            <w:fldChar w:fldCharType="separate"/>
          </w:r>
          <w:r>
            <w:rPr>
              <w:rFonts w:hint="eastAsia" w:ascii="仿宋_GB2312" w:hAnsi="仿宋_GB2312" w:eastAsia="仿宋_GB2312" w:cs="仿宋_GB2312"/>
              <w:sz w:val="32"/>
              <w:szCs w:val="32"/>
            </w:rPr>
            <w:t>四、绩效评价指标分析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23699EB">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"_Toc32318" </w:instrText>
          </w:r>
          <w:r>
            <w:fldChar w:fldCharType="separate"/>
          </w:r>
          <w:r>
            <w:rPr>
              <w:rFonts w:hint="eastAsia" w:ascii="仿宋_GB2312" w:hAnsi="仿宋_GB2312" w:eastAsia="仿宋_GB2312" w:cs="仿宋_GB2312"/>
              <w:sz w:val="32"/>
              <w:szCs w:val="32"/>
            </w:rPr>
            <w:t>（一）项目决策情况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_Toc32318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9A037F0">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"_Toc25505" </w:instrText>
          </w:r>
          <w:r>
            <w:fldChar w:fldCharType="separate"/>
          </w:r>
          <w:r>
            <w:rPr>
              <w:rFonts w:hint="eastAsia" w:ascii="仿宋_GB2312" w:hAnsi="仿宋_GB2312" w:eastAsia="仿宋_GB2312" w:cs="仿宋_GB2312"/>
              <w:sz w:val="32"/>
              <w:szCs w:val="32"/>
            </w:rPr>
            <w:t>（二）项目过程情况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DCD955A">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"_Toc8612" </w:instrText>
          </w:r>
          <w:r>
            <w:fldChar w:fldCharType="separate"/>
          </w:r>
          <w:r>
            <w:rPr>
              <w:rFonts w:hint="eastAsia" w:ascii="仿宋_GB2312" w:hAnsi="仿宋_GB2312" w:eastAsia="仿宋_GB2312" w:cs="仿宋_GB2312"/>
              <w:bCs/>
              <w:sz w:val="32"/>
              <w:szCs w:val="32"/>
            </w:rPr>
            <w:t>（三）项目产出</w:t>
          </w:r>
          <w:r>
            <w:rPr>
              <w:rFonts w:hint="eastAsia" w:ascii="仿宋_GB2312" w:hAnsi="仿宋_GB2312" w:eastAsia="仿宋_GB2312" w:cs="仿宋_GB2312"/>
              <w:bCs/>
              <w:sz w:val="32"/>
              <w:szCs w:val="32"/>
              <w:lang w:val="en-US" w:eastAsia="zh-CN"/>
            </w:rPr>
            <w:t>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_Toc8612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700CD08">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"_Toc18470" </w:instrText>
          </w:r>
          <w:r>
            <w:fldChar w:fldCharType="separate"/>
          </w:r>
          <w:r>
            <w:rPr>
              <w:rFonts w:hint="eastAsia" w:ascii="仿宋_GB2312" w:hAnsi="仿宋_GB2312" w:eastAsia="仿宋_GB2312" w:cs="仿宋_GB2312"/>
              <w:bCs/>
              <w:sz w:val="32"/>
              <w:szCs w:val="32"/>
              <w:lang w:val="en-US" w:eastAsia="zh-CN"/>
            </w:rPr>
            <w:t>（四）项目效益情况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_Toc18470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44D13D6">
          <w:pPr>
            <w:pStyle w:val="10"/>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"_Toc21462" </w:instrText>
          </w:r>
          <w:r>
            <w:fldChar w:fldCharType="separate"/>
          </w:r>
          <w:r>
            <w:rPr>
              <w:rFonts w:hint="eastAsia" w:ascii="仿宋_GB2312" w:hAnsi="仿宋_GB2312" w:eastAsia="仿宋_GB2312" w:cs="仿宋_GB2312"/>
              <w:bCs w:val="0"/>
              <w:sz w:val="32"/>
              <w:szCs w:val="32"/>
              <w:lang w:val="en-US" w:eastAsia="zh-CN"/>
            </w:rPr>
            <w:t>五、</w:t>
          </w:r>
          <w:r>
            <w:rPr>
              <w:rFonts w:hint="eastAsia" w:ascii="仿宋_GB2312" w:hAnsi="仿宋_GB2312" w:eastAsia="仿宋_GB2312" w:cs="仿宋_GB2312"/>
              <w:bCs w:val="0"/>
              <w:sz w:val="32"/>
              <w:szCs w:val="32"/>
              <w:lang w:val="en-US"/>
            </w:rPr>
            <w:t>预算执行进度与绩效指标偏差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_Toc21462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7237B3C">
          <w:pPr>
            <w:pStyle w:val="10"/>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"_Toc18363" </w:instrText>
          </w:r>
          <w:r>
            <w:fldChar w:fldCharType="separate"/>
          </w:r>
          <w:r>
            <w:rPr>
              <w:rFonts w:hint="eastAsia" w:ascii="仿宋_GB2312" w:hAnsi="仿宋_GB2312" w:eastAsia="仿宋_GB2312" w:cs="仿宋_GB2312"/>
              <w:sz w:val="32"/>
              <w:szCs w:val="32"/>
              <w:lang w:val="en-US" w:eastAsia="zh-CN"/>
            </w:rPr>
            <w:t>六</w:t>
          </w:r>
          <w:r>
            <w:rPr>
              <w:rFonts w:hint="eastAsia" w:ascii="仿宋_GB2312" w:hAnsi="仿宋_GB2312" w:cs="仿宋_GB2312"/>
              <w:bCs/>
              <w:sz w:val="32"/>
              <w:szCs w:val="32"/>
              <w:lang w:val="en-US" w:eastAsia="zh-CN"/>
            </w:rPr>
            <w:t>、</w:t>
          </w:r>
          <w:r>
            <w:rPr>
              <w:rFonts w:hint="eastAsia" w:ascii="仿宋_GB2312" w:hAnsi="仿宋_GB2312" w:eastAsia="仿宋_GB2312" w:cs="仿宋_GB2312"/>
              <w:sz w:val="32"/>
              <w:szCs w:val="32"/>
            </w:rPr>
            <w:t>主要经验及做法、存在的问题及原因分析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_Toc18363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6E76DAA">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"_Toc22741" </w:instrText>
          </w:r>
          <w:r>
            <w:fldChar w:fldCharType="separate"/>
          </w:r>
          <w:r>
            <w:rPr>
              <w:rFonts w:hint="eastAsia" w:ascii="仿宋_GB2312" w:hAnsi="仿宋_GB2312" w:eastAsia="仿宋_GB2312" w:cs="仿宋_GB2312"/>
              <w:spacing w:val="-4"/>
              <w:sz w:val="32"/>
              <w:szCs w:val="32"/>
            </w:rPr>
            <w:t>（一）主要经验及做法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_Toc22741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E6959DE">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"_Toc7835" </w:instrText>
          </w:r>
          <w:r>
            <w:fldChar w:fldCharType="separate"/>
          </w:r>
          <w:r>
            <w:rPr>
              <w:rFonts w:hint="eastAsia" w:ascii="仿宋_GB2312" w:hAnsi="仿宋_GB2312" w:eastAsia="仿宋_GB2312" w:cs="仿宋_GB2312"/>
              <w:bCs/>
              <w:sz w:val="32"/>
              <w:szCs w:val="32"/>
            </w:rPr>
            <w:t>（二）存在的问题及原因分析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_Toc7835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9BACBBD">
          <w:pPr>
            <w:pStyle w:val="10"/>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"_Toc25529" </w:instrText>
          </w:r>
          <w:r>
            <w:fldChar w:fldCharType="separate"/>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有关建议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6B4DFD1">
          <w:pPr>
            <w:pStyle w:val="10"/>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"_Toc3065" </w:instrText>
          </w:r>
          <w:r>
            <w:fldChar w:fldCharType="separate"/>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sz w:val="32"/>
              <w:szCs w:val="32"/>
            </w:rPr>
            <w:t>其他需要说明的问题</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_Toc3065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F0244D3">
          <w:pPr>
            <w:pStyle w:val="10"/>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"_Toc15260" </w:instrText>
          </w:r>
          <w:r>
            <w:fldChar w:fldCharType="separate"/>
          </w:r>
          <w:r>
            <w:rPr>
              <w:rFonts w:hint="eastAsia" w:ascii="仿宋_GB2312" w:hAnsi="仿宋_GB2312" w:eastAsia="仿宋_GB2312" w:cs="仿宋_GB2312"/>
              <w:sz w:val="32"/>
              <w:szCs w:val="32"/>
              <w:lang w:val="en-US" w:eastAsia="zh-CN"/>
            </w:rPr>
            <w:t>附件1</w:t>
          </w:r>
          <w:r>
            <w:rPr>
              <w:rFonts w:hint="eastAsia" w:ascii="仿宋_GB2312" w:hAnsi="仿宋_GB2312" w:cs="仿宋_GB2312"/>
              <w:sz w:val="32"/>
              <w:szCs w:val="32"/>
              <w:lang w:val="en-US" w:eastAsia="zh-CN"/>
            </w:rPr>
            <w:t xml:space="preserve"> 评价指标体系</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_Toc15260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C489186">
          <w:pPr>
            <w:pStyle w:val="10"/>
            <w:tabs>
              <w:tab w:val="right" w:leader="middleDot" w:pos="8548"/>
              <w:tab w:val="clear" w:pos="7980"/>
              <w:tab w:val="clear" w:pos="8190"/>
            </w:tabs>
          </w:pPr>
          <w:r>
            <w:fldChar w:fldCharType="begin"/>
          </w:r>
          <w:r>
            <w:instrText xml:space="preserve"> HYPERLINK \l "_Toc17917" </w:instrText>
          </w:r>
          <w:r>
            <w:fldChar w:fldCharType="separate"/>
          </w:r>
          <w:r>
            <w:rPr>
              <w:rFonts w:hint="eastAsia" w:ascii="仿宋_GB2312" w:hAnsi="仿宋_GB2312" w:eastAsia="仿宋_GB2312" w:cs="仿宋_GB2312"/>
              <w:bCs/>
              <w:i w:val="0"/>
              <w:iCs w:val="0"/>
              <w:kern w:val="0"/>
              <w:sz w:val="32"/>
              <w:szCs w:val="32"/>
              <w:lang w:val="en-US" w:eastAsia="zh-CN"/>
            </w:rPr>
            <w:t>附件2</w:t>
          </w:r>
          <w:r>
            <w:rPr>
              <w:rFonts w:hint="eastAsia" w:ascii="仿宋_GB2312" w:hAnsi="仿宋_GB2312" w:cs="仿宋_GB2312"/>
              <w:bCs/>
              <w:i w:val="0"/>
              <w:iCs w:val="0"/>
              <w:kern w:val="0"/>
              <w:sz w:val="32"/>
              <w:szCs w:val="32"/>
              <w:lang w:val="en-US" w:eastAsia="zh-CN"/>
            </w:rPr>
            <w:t xml:space="preserve"> 项目支出绩效自评表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_Toc17917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9D8A842">
          <w:pPr>
            <w:spacing w:line="540" w:lineRule="exact"/>
            <w:rPr>
              <w:rStyle w:val="21"/>
              <w:rFonts w:hint="default" w:ascii="Times New Roman" w:hAnsi="Times New Roman" w:eastAsia="黑体" w:cs="Times New Roman"/>
              <w:b w:val="0"/>
              <w:spacing w:val="-4"/>
              <w:sz w:val="32"/>
              <w:szCs w:val="32"/>
            </w:rPr>
          </w:pPr>
          <w:r>
            <w:rPr>
              <w:rFonts w:hint="default"/>
            </w:rPr>
            <w:fldChar w:fldCharType="end"/>
          </w:r>
        </w:p>
      </w:sdtContent>
    </w:sdt>
    <w:p w14:paraId="283F54E4">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2CCA2CE0">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黑体" w:cs="Times New Roman"/>
          <w:bCs/>
          <w:sz w:val="32"/>
          <w:szCs w:val="32"/>
        </w:rPr>
      </w:pPr>
      <w:bookmarkStart w:id="0" w:name="_Toc3458"/>
      <w:r>
        <w:rPr>
          <w:rFonts w:hint="default" w:ascii="Times New Roman" w:hAnsi="Times New Roman" w:eastAsia="黑体" w:cs="Times New Roman"/>
          <w:bCs/>
          <w:sz w:val="32"/>
          <w:szCs w:val="32"/>
        </w:rPr>
        <w:t>一、基本情况</w:t>
      </w:r>
      <w:bookmarkEnd w:id="0"/>
    </w:p>
    <w:p w14:paraId="6D0F3C2A">
      <w:pPr>
        <w:keepNext w:val="0"/>
        <w:keepLines w:val="0"/>
        <w:pageBreakBefore w:val="0"/>
        <w:kinsoku/>
        <w:wordWrap w:val="0"/>
        <w:overflowPunct/>
        <w:topLinePunct/>
        <w:autoSpaceDE/>
        <w:autoSpaceDN/>
        <w:bidi w:val="0"/>
        <w:adjustRightInd/>
        <w:snapToGrid/>
        <w:spacing w:line="560" w:lineRule="exact"/>
        <w:ind w:firstLine="643" w:firstLineChars="200"/>
        <w:textAlignment w:val="auto"/>
        <w:outlineLvl w:val="1"/>
        <w:rPr>
          <w:rFonts w:hint="default" w:ascii="Times New Roman" w:hAnsi="Times New Roman" w:eastAsia="楷体_GB2312" w:cs="Times New Roman"/>
          <w:b/>
          <w:bCs/>
          <w:sz w:val="32"/>
          <w:szCs w:val="32"/>
        </w:rPr>
      </w:pPr>
      <w:bookmarkStart w:id="1" w:name="_Toc16251"/>
      <w:r>
        <w:rPr>
          <w:rFonts w:hint="default" w:ascii="Times New Roman" w:hAnsi="Times New Roman" w:eastAsia="楷体_GB2312" w:cs="Times New Roman"/>
          <w:b/>
          <w:bCs/>
          <w:sz w:val="32"/>
          <w:szCs w:val="32"/>
        </w:rPr>
        <w:t>（一）项目概况</w:t>
      </w:r>
      <w:bookmarkEnd w:id="1"/>
    </w:p>
    <w:p w14:paraId="5A359334">
      <w:pPr>
        <w:keepNext w:val="0"/>
        <w:keepLines w:val="0"/>
        <w:pageBreakBefore w:val="0"/>
        <w:kinsoku/>
        <w:wordWrap w:val="0"/>
        <w:overflowPunct/>
        <w:topLinePunct/>
        <w:autoSpaceDE/>
        <w:autoSpaceDN/>
        <w:bidi w:val="0"/>
        <w:adjustRightInd/>
        <w:snapToGrid/>
        <w:spacing w:line="560" w:lineRule="exact"/>
        <w:ind w:firstLine="643" w:firstLineChars="200"/>
        <w:textAlignment w:val="auto"/>
        <w:outlineLvl w:val="2"/>
        <w:rPr>
          <w:rFonts w:hint="default" w:ascii="Times New Roman" w:hAnsi="Times New Roman" w:eastAsia="仿宋_GB2312" w:cs="Times New Roman"/>
          <w:b/>
          <w:bCs/>
          <w:sz w:val="32"/>
          <w:szCs w:val="32"/>
        </w:rPr>
      </w:pPr>
      <w:bookmarkStart w:id="2" w:name="_Toc14982"/>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bookmarkEnd w:id="2"/>
    </w:p>
    <w:p w14:paraId="7F744ACF">
      <w:pPr>
        <w:pStyle w:val="14"/>
        <w:keepNext w:val="0"/>
        <w:keepLines w:val="0"/>
        <w:pageBreakBefore w:val="0"/>
        <w:numPr>
          <w:ilvl w:val="0"/>
          <w:numId w:val="0"/>
        </w:numPr>
        <w:kinsoku/>
        <w:wordWrap w:val="0"/>
        <w:overflowPunct/>
        <w:topLinePunct/>
        <w:autoSpaceDE/>
        <w:autoSpaceDN/>
        <w:bidi w:val="0"/>
        <w:adjustRightInd/>
        <w:snapToGrid/>
        <w:spacing w:before="0" w:after="0" w:line="560" w:lineRule="exact"/>
        <w:ind w:left="0" w:leftChars="0" w:firstLine="624" w:firstLineChars="200"/>
        <w:jc w:val="both"/>
        <w:textAlignment w:val="auto"/>
        <w:outlineLvl w:val="2"/>
        <w:rPr>
          <w:rStyle w:val="21"/>
          <w:rFonts w:hint="default" w:ascii="Times New Roman" w:hAnsi="Times New Roman" w:eastAsia="仿宋_GB2312" w:cs="Times New Roman"/>
          <w:b w:val="0"/>
          <w:bCs/>
          <w:spacing w:val="-4"/>
          <w:sz w:val="32"/>
          <w:szCs w:val="32"/>
          <w:highlight w:val="none"/>
          <w:lang w:eastAsia="zh-CN"/>
        </w:rPr>
      </w:pPr>
      <w:r>
        <w:rPr>
          <w:rStyle w:val="21"/>
          <w:rFonts w:hint="default" w:ascii="Times New Roman" w:hAnsi="Times New Roman" w:eastAsia="仿宋_GB2312" w:cs="Times New Roman"/>
          <w:b w:val="0"/>
          <w:bCs/>
          <w:spacing w:val="-4"/>
          <w:sz w:val="32"/>
          <w:szCs w:val="32"/>
          <w:highlight w:val="none"/>
          <w:lang w:eastAsia="zh-CN"/>
        </w:rPr>
        <w:t>库尔干水利枢纽工程是国务院“十四五”期间重点推进的150项水利工程之一。2020年11月3日国家发展和改革委员会下发《国家发展改革委关于新疆库尔干水利枢纽工程可行性研究报告的批复》（发改农经〔2020〕1669号）对本工程的可行性研究报告进行了批复。2021年7月15日水利部下发《新疆库尔干水利枢纽工程初步设计报告准予行政许可决定书》（水许可决〔2021〕37号）对本工程的初步设计报告进行了批复。</w:t>
      </w:r>
      <w:bookmarkStart w:id="3" w:name="_Toc30961"/>
      <w:r>
        <w:rPr>
          <w:rStyle w:val="21"/>
          <w:rFonts w:hint="default" w:ascii="Times New Roman" w:hAnsi="Times New Roman" w:eastAsia="仿宋_GB2312" w:cs="Times New Roman"/>
          <w:b w:val="0"/>
          <w:bCs/>
          <w:spacing w:val="-4"/>
          <w:sz w:val="32"/>
          <w:szCs w:val="32"/>
          <w:highlight w:val="none"/>
          <w:lang w:eastAsia="zh-CN"/>
        </w:rPr>
        <w:t>2021年10月，主体工程开工建设；2022年库尔干建管中心申请20000万元地方政府专项债券资金于2022年10月27日发行，还本付息从2022年10月28日起计算，利率为3.18%，半年付息一次。2023年库尔干建管中心申请20000万元地方政府专项债券资金于2023年6月19日发行，还本付息从2023年6月20日起计算，利率为3.03%，半年付息一次。</w:t>
      </w:r>
    </w:p>
    <w:p w14:paraId="0208D40B">
      <w:pPr>
        <w:pStyle w:val="14"/>
        <w:keepNext w:val="0"/>
        <w:keepLines w:val="0"/>
        <w:pageBreakBefore w:val="0"/>
        <w:numPr>
          <w:ilvl w:val="0"/>
          <w:numId w:val="0"/>
        </w:numPr>
        <w:kinsoku/>
        <w:wordWrap w:val="0"/>
        <w:overflowPunct/>
        <w:topLinePunct/>
        <w:autoSpaceDE/>
        <w:autoSpaceDN/>
        <w:bidi w:val="0"/>
        <w:adjustRightInd/>
        <w:snapToGrid/>
        <w:spacing w:before="0" w:after="0" w:line="560" w:lineRule="exact"/>
        <w:ind w:left="0" w:leftChars="0" w:firstLine="643" w:firstLineChars="200"/>
        <w:jc w:val="both"/>
        <w:textAlignment w:val="auto"/>
        <w:outlineLvl w:val="2"/>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bookmarkEnd w:id="3"/>
    </w:p>
    <w:p w14:paraId="19C6A2F5">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库尔干水利枢纽工程任务以灌溉为主、结合防洪、兼顾发电等综合利用。工程为Ⅱ等大（2）型工程，主要由水库大坝、溢洪道、泄洪冲沙兼导流洞、发电引水洞及坝后岸边式厂房组成，水库总库容1.24亿立方米，最大坝高82米。水库正常蓄水位2105米，死水位2065米。灌区多年平均农业灌溉供水量5.41亿立方米，其中水库多年平均增加供水量0.69亿立方米。电站装机容量为24兆瓦，多年平均年发电量0.855亿度。</w:t>
      </w:r>
    </w:p>
    <w:p w14:paraId="072A0A2B">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根据已发行专项债券进行测算，库尔干建管中心2025年需支付专项债券利息1242.06万元。</w:t>
      </w:r>
    </w:p>
    <w:p w14:paraId="1DCE41B0">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lang w:val="en-US" w:eastAsia="zh-CN"/>
        </w:rPr>
        <w:t>项目实施情况</w:t>
      </w:r>
      <w:r>
        <w:rPr>
          <w:rFonts w:hint="default" w:ascii="Times New Roman" w:hAnsi="Times New Roman" w:eastAsia="仿宋_GB2312" w:cs="Times New Roman"/>
          <w:sz w:val="32"/>
          <w:szCs w:val="32"/>
        </w:rPr>
        <w:t>：库尔干水利枢纽工程于2020年12月25日“四通一平”项目开工建设，2021年10月10日主体工程开工，2024年12月20日通过下闸蓄水阶段验收</w:t>
      </w:r>
      <w:r>
        <w:rPr>
          <w:rFonts w:hint="eastAsia" w:eastAsia="仿宋_GB2312" w:cs="Times New Roman"/>
          <w:sz w:val="32"/>
          <w:szCs w:val="32"/>
          <w:lang w:eastAsia="zh-CN"/>
        </w:rPr>
        <w:t>，2025年8月至11月，水电站4台发电机组先后进入试运行阶段，较初设批复工期提前3个月实现首台机组通过电力公司验收顺利并网发电。主体工程基本完工，已逐步进入运行管理期，工程全面发挥灌溉、防洪、发电三大任务全部提前实现</w:t>
      </w:r>
      <w:r>
        <w:rPr>
          <w:rFonts w:hint="default" w:ascii="Times New Roman" w:hAnsi="Times New Roman" w:eastAsia="仿宋_GB2312" w:cs="Times New Roman"/>
          <w:sz w:val="32"/>
          <w:szCs w:val="32"/>
        </w:rPr>
        <w:t>。</w:t>
      </w:r>
    </w:p>
    <w:p w14:paraId="5F3EA727">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w:t>
      </w:r>
      <w:r>
        <w:rPr>
          <w:rFonts w:hint="eastAsia" w:eastAsia="仿宋_GB2312" w:cs="Times New Roman"/>
          <w:sz w:val="32"/>
          <w:szCs w:val="32"/>
          <w:highlight w:val="none"/>
          <w:lang w:val="en-US" w:eastAsia="zh-CN"/>
        </w:rPr>
        <w:t>库尔干建管中心</w:t>
      </w:r>
      <w:r>
        <w:rPr>
          <w:rFonts w:hint="default" w:ascii="Times New Roman" w:hAnsi="Times New Roman" w:eastAsia="仿宋_GB2312" w:cs="Times New Roman"/>
          <w:sz w:val="32"/>
          <w:szCs w:val="32"/>
          <w:highlight w:val="none"/>
          <w:lang w:val="en-US" w:eastAsia="zh-CN"/>
        </w:rPr>
        <w:t>按时完成库尔干水利枢纽工程建设投资任务，</w:t>
      </w:r>
      <w:r>
        <w:rPr>
          <w:rFonts w:hint="eastAsia" w:eastAsia="仿宋_GB2312" w:cs="Times New Roman"/>
          <w:sz w:val="32"/>
          <w:szCs w:val="32"/>
          <w:highlight w:val="none"/>
          <w:lang w:val="en-US" w:eastAsia="zh-CN"/>
        </w:rPr>
        <w:t>根据</w:t>
      </w:r>
      <w:r>
        <w:rPr>
          <w:rFonts w:hint="default" w:ascii="Times New Roman" w:hAnsi="Times New Roman" w:eastAsia="仿宋_GB2312" w:cs="Times New Roman"/>
          <w:sz w:val="32"/>
          <w:szCs w:val="32"/>
          <w:highlight w:val="none"/>
          <w:lang w:val="en-US" w:eastAsia="zh-CN"/>
        </w:rPr>
        <w:t>《关于支付自治区本级其他自平衡类专项债券利息费用的通知》文件</w:t>
      </w:r>
      <w:r>
        <w:rPr>
          <w:rFonts w:hint="eastAsia" w:eastAsia="仿宋_GB2312" w:cs="Times New Roman"/>
          <w:sz w:val="32"/>
          <w:szCs w:val="32"/>
          <w:highlight w:val="none"/>
          <w:lang w:val="en-US" w:eastAsia="zh-CN"/>
        </w:rPr>
        <w:t>要求，</w:t>
      </w:r>
      <w:r>
        <w:rPr>
          <w:rFonts w:hint="default" w:ascii="Times New Roman" w:hAnsi="Times New Roman" w:eastAsia="仿宋_GB2312" w:cs="Times New Roman"/>
          <w:sz w:val="32"/>
          <w:szCs w:val="32"/>
          <w:highlight w:val="none"/>
          <w:lang w:val="en-US" w:eastAsia="zh-CN"/>
        </w:rPr>
        <w:t>及时</w:t>
      </w:r>
      <w:r>
        <w:rPr>
          <w:rFonts w:hint="eastAsia" w:eastAsia="仿宋_GB2312" w:cs="Times New Roman"/>
          <w:sz w:val="32"/>
          <w:szCs w:val="32"/>
          <w:highlight w:val="none"/>
          <w:lang w:val="en-US" w:eastAsia="zh-CN"/>
        </w:rPr>
        <w:t>足额</w:t>
      </w:r>
      <w:r>
        <w:rPr>
          <w:rFonts w:hint="default" w:ascii="Times New Roman" w:hAnsi="Times New Roman" w:eastAsia="仿宋_GB2312" w:cs="Times New Roman"/>
          <w:sz w:val="32"/>
          <w:szCs w:val="32"/>
          <w:highlight w:val="none"/>
          <w:lang w:val="en-US" w:eastAsia="zh-CN"/>
        </w:rPr>
        <w:t>支付专项债券利息</w:t>
      </w:r>
      <w:r>
        <w:rPr>
          <w:rFonts w:hint="eastAsia" w:eastAsia="仿宋_GB2312" w:cs="Times New Roman"/>
          <w:sz w:val="32"/>
          <w:szCs w:val="32"/>
          <w:highlight w:val="none"/>
          <w:lang w:val="en-US" w:eastAsia="zh-CN"/>
        </w:rPr>
        <w:t>1242.06万元</w:t>
      </w:r>
      <w:r>
        <w:rPr>
          <w:rFonts w:hint="default" w:ascii="Times New Roman" w:hAnsi="Times New Roman" w:eastAsia="仿宋_GB2312" w:cs="Times New Roman"/>
          <w:sz w:val="32"/>
          <w:szCs w:val="32"/>
          <w:highlight w:val="none"/>
          <w:lang w:val="en-US" w:eastAsia="zh-CN"/>
        </w:rPr>
        <w:t>。</w:t>
      </w:r>
    </w:p>
    <w:p w14:paraId="46B58FE0">
      <w:pPr>
        <w:keepNext w:val="0"/>
        <w:keepLines w:val="0"/>
        <w:pageBreakBefore w:val="0"/>
        <w:kinsoku/>
        <w:wordWrap w:val="0"/>
        <w:overflowPunct/>
        <w:topLinePunct/>
        <w:autoSpaceDE/>
        <w:autoSpaceDN/>
        <w:bidi w:val="0"/>
        <w:adjustRightInd/>
        <w:snapToGrid/>
        <w:spacing w:line="560" w:lineRule="exact"/>
        <w:ind w:firstLine="643" w:firstLineChars="200"/>
        <w:textAlignment w:val="auto"/>
        <w:outlineLvl w:val="2"/>
        <w:rPr>
          <w:rFonts w:hint="default" w:ascii="Times New Roman" w:hAnsi="Times New Roman" w:eastAsia="仿宋_GB2312" w:cs="Times New Roman"/>
          <w:b/>
          <w:bCs/>
          <w:sz w:val="32"/>
          <w:szCs w:val="32"/>
        </w:rPr>
      </w:pPr>
      <w:bookmarkStart w:id="4" w:name="_Toc18357"/>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bookmarkEnd w:id="4"/>
    </w:p>
    <w:p w14:paraId="1C68984D">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lang w:val="en-US" w:eastAsia="zh-CN"/>
        </w:rPr>
      </w:pPr>
      <w:bookmarkStart w:id="5" w:name="_Toc13131"/>
      <w:r>
        <w:rPr>
          <w:rFonts w:hint="default" w:ascii="Times New Roman" w:hAnsi="Times New Roman" w:eastAsia="仿宋_GB2312" w:cs="Times New Roman"/>
          <w:sz w:val="32"/>
          <w:szCs w:val="32"/>
          <w:highlight w:val="none"/>
          <w:lang w:val="en-US" w:eastAsia="zh-CN"/>
        </w:rPr>
        <w:t>（1）资金投入情况</w:t>
      </w:r>
      <w:bookmarkEnd w:id="5"/>
    </w:p>
    <w:p w14:paraId="5F95A7D4">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1242.06</w:t>
      </w:r>
      <w:r>
        <w:rPr>
          <w:rFonts w:hint="default" w:ascii="Times New Roman" w:hAnsi="Times New Roman" w:eastAsia="仿宋_GB2312" w:cs="Times New Roman"/>
          <w:sz w:val="32"/>
          <w:szCs w:val="32"/>
          <w:highlight w:val="none"/>
          <w:lang w:val="en-US" w:eastAsia="zh-CN"/>
        </w:rPr>
        <w:t>万元，全年预算数1242.06万元，该项目资金已全部落实到位，资金来源为其他收入。</w:t>
      </w:r>
    </w:p>
    <w:p w14:paraId="56C68A1F">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lang w:val="en-US" w:eastAsia="zh-CN"/>
        </w:rPr>
      </w:pPr>
      <w:bookmarkStart w:id="6" w:name="_Toc18197"/>
      <w:r>
        <w:rPr>
          <w:rFonts w:hint="default" w:ascii="Times New Roman" w:hAnsi="Times New Roman" w:eastAsia="仿宋_GB2312" w:cs="Times New Roman"/>
          <w:sz w:val="32"/>
          <w:szCs w:val="32"/>
          <w:highlight w:val="none"/>
          <w:lang w:val="en-US" w:eastAsia="zh-CN"/>
        </w:rPr>
        <w:t>（2）资金使用情况</w:t>
      </w:r>
      <w:bookmarkEnd w:id="6"/>
    </w:p>
    <w:p w14:paraId="06313FA1">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截至2025年12月31日</w:t>
      </w:r>
      <w:r>
        <w:rPr>
          <w:rFonts w:hint="default" w:ascii="Times New Roman" w:hAnsi="Times New Roman" w:eastAsia="仿宋_GB2312" w:cs="Times New Roman"/>
          <w:sz w:val="32"/>
          <w:szCs w:val="32"/>
          <w:highlight w:val="none"/>
          <w:lang w:val="en-US" w:eastAsia="zh-CN"/>
        </w:rPr>
        <w:t>，该项目全年执行数1242.06万元，预算执行率为</w:t>
      </w:r>
      <w:r>
        <w:rPr>
          <w:rFonts w:hint="eastAsia" w:eastAsia="仿宋_GB2312" w:cs="Times New Roman"/>
          <w:b w:val="0"/>
          <w:bCs w:val="0"/>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%，主要用于支付地方政府专项债券利息及付息服务费。</w:t>
      </w:r>
    </w:p>
    <w:p w14:paraId="6DCE002E">
      <w:pPr>
        <w:keepNext w:val="0"/>
        <w:keepLines w:val="0"/>
        <w:pageBreakBefore w:val="0"/>
        <w:kinsoku/>
        <w:wordWrap w:val="0"/>
        <w:overflowPunct/>
        <w:topLinePunct/>
        <w:autoSpaceDE/>
        <w:autoSpaceDN/>
        <w:bidi w:val="0"/>
        <w:adjustRightInd/>
        <w:snapToGrid/>
        <w:spacing w:line="560" w:lineRule="exact"/>
        <w:ind w:firstLine="643" w:firstLineChars="200"/>
        <w:textAlignment w:val="auto"/>
        <w:outlineLvl w:val="1"/>
        <w:rPr>
          <w:rFonts w:hint="default" w:ascii="Times New Roman" w:hAnsi="Times New Roman" w:eastAsia="楷体_GB2312" w:cs="Times New Roman"/>
          <w:b/>
          <w:bCs/>
          <w:sz w:val="32"/>
          <w:szCs w:val="32"/>
        </w:rPr>
      </w:pPr>
      <w:bookmarkStart w:id="7" w:name="_Toc11655"/>
      <w:r>
        <w:rPr>
          <w:rFonts w:hint="default" w:ascii="Times New Roman" w:hAnsi="Times New Roman" w:eastAsia="楷体_GB2312" w:cs="Times New Roman"/>
          <w:b/>
          <w:bCs/>
          <w:sz w:val="32"/>
          <w:szCs w:val="32"/>
        </w:rPr>
        <w:t>（二）项目绩效目标</w:t>
      </w:r>
      <w:bookmarkEnd w:id="7"/>
    </w:p>
    <w:p w14:paraId="6BF2A989">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0DD10008">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 w:val="32"/>
          <w:szCs w:val="32"/>
          <w:lang w:eastAsia="zh-CN"/>
        </w:rPr>
      </w:pPr>
      <w:r>
        <w:rPr>
          <w:rFonts w:hint="default" w:ascii="Times New Roman" w:hAnsi="Times New Roman" w:eastAsia="仿宋_GB2312" w:cs="Times New Roman"/>
          <w:sz w:val="32"/>
          <w:szCs w:val="32"/>
          <w:highlight w:val="none"/>
          <w:lang w:val="en-US" w:eastAsia="zh-CN"/>
        </w:rPr>
        <w:t>通过对2025年资金支出做出详细计划安排，落实资金保障，加强工程建设管理，实现2025年度工程建设投资任务，做到专项债券利息1242.06万元按规定及时支付</w:t>
      </w:r>
      <w:r>
        <w:rPr>
          <w:rStyle w:val="21"/>
          <w:rFonts w:hint="default" w:ascii="Times New Roman" w:hAnsi="Times New Roman" w:eastAsia="仿宋_GB2312" w:cs="Times New Roman"/>
          <w:b w:val="0"/>
          <w:bCs/>
          <w:spacing w:val="-4"/>
          <w:sz w:val="32"/>
          <w:szCs w:val="32"/>
          <w:highlight w:val="none"/>
          <w:lang w:eastAsia="zh-CN"/>
        </w:rPr>
        <w:t>。</w:t>
      </w:r>
    </w:p>
    <w:p w14:paraId="4B40DB7E">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0924B733">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rPr>
      </w:pPr>
      <w:bookmarkStart w:id="8" w:name="_Toc25712"/>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年支付专项债券利息</w:t>
      </w:r>
      <w:r>
        <w:rPr>
          <w:rFonts w:hint="default" w:ascii="Times New Roman" w:hAnsi="Times New Roman" w:eastAsia="仿宋_GB2312" w:cs="Times New Roman"/>
          <w:sz w:val="32"/>
          <w:szCs w:val="32"/>
          <w:lang w:val="en-US" w:eastAsia="zh-CN"/>
        </w:rPr>
        <w:t>金额为1242.06万元，</w:t>
      </w:r>
      <w:r>
        <w:rPr>
          <w:rFonts w:hint="default" w:ascii="Times New Roman" w:hAnsi="Times New Roman" w:eastAsia="仿宋_GB2312" w:cs="Times New Roman"/>
          <w:sz w:val="32"/>
          <w:szCs w:val="32"/>
          <w:lang w:eastAsia="zh-CN"/>
        </w:rPr>
        <w:t>支付</w:t>
      </w:r>
      <w:r>
        <w:rPr>
          <w:rFonts w:hint="default" w:ascii="Times New Roman" w:hAnsi="Times New Roman" w:eastAsia="仿宋_GB2312" w:cs="Times New Roman"/>
          <w:sz w:val="32"/>
          <w:szCs w:val="32"/>
        </w:rPr>
        <w:t>次数为4次，</w:t>
      </w:r>
      <w:r>
        <w:rPr>
          <w:rFonts w:hint="default" w:ascii="Times New Roman" w:hAnsi="Times New Roman" w:eastAsia="仿宋_GB2312" w:cs="Times New Roman"/>
          <w:sz w:val="32"/>
          <w:szCs w:val="32"/>
          <w:lang w:val="en-US" w:eastAsia="zh-CN"/>
        </w:rPr>
        <w:t>其中4月应支付利息&lt;=318.02万，6月应支付利息&lt;=303.01万元，10月应支付利息&lt;=318.02万，12月应支付利息&lt;=303.01万元，</w:t>
      </w:r>
      <w:r>
        <w:rPr>
          <w:rFonts w:hint="eastAsia" w:ascii="Times New Roman" w:hAnsi="Times New Roman" w:eastAsia="仿宋_GB2312" w:cs="Times New Roman"/>
          <w:sz w:val="32"/>
          <w:szCs w:val="32"/>
        </w:rPr>
        <w:t>后期重点完成成果整合、资料归档、验收收尾等工作，同步开展效果自评与反馈收集，各阶段均严格把控进度节点、质量标准与预算执行，确保有序衔接、逐步落地总体目标</w:t>
      </w:r>
      <w:r>
        <w:rPr>
          <w:rFonts w:hint="default" w:ascii="Times New Roman" w:hAnsi="Times New Roman" w:eastAsia="仿宋_GB2312" w:cs="Times New Roman"/>
          <w:sz w:val="32"/>
          <w:szCs w:val="32"/>
        </w:rPr>
        <w:t>。</w:t>
      </w:r>
    </w:p>
    <w:p w14:paraId="4703817C">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bookmarkEnd w:id="8"/>
    </w:p>
    <w:p w14:paraId="5F24B49B">
      <w:pPr>
        <w:keepNext w:val="0"/>
        <w:keepLines w:val="0"/>
        <w:pageBreakBefore w:val="0"/>
        <w:kinsoku/>
        <w:wordWrap w:val="0"/>
        <w:overflowPunct/>
        <w:topLinePunct/>
        <w:autoSpaceDE/>
        <w:autoSpaceDN/>
        <w:bidi w:val="0"/>
        <w:adjustRightInd/>
        <w:snapToGrid/>
        <w:spacing w:line="560" w:lineRule="exact"/>
        <w:ind w:firstLine="643" w:firstLineChars="200"/>
        <w:textAlignment w:val="auto"/>
        <w:outlineLvl w:val="1"/>
        <w:rPr>
          <w:rFonts w:hint="default" w:ascii="Times New Roman" w:hAnsi="Times New Roman" w:eastAsia="楷体_GB2312" w:cs="Times New Roman"/>
          <w:b/>
          <w:bCs/>
          <w:sz w:val="32"/>
          <w:szCs w:val="32"/>
        </w:rPr>
      </w:pPr>
      <w:bookmarkStart w:id="9" w:name="_Toc20967"/>
      <w:r>
        <w:rPr>
          <w:rFonts w:hint="default" w:ascii="Times New Roman" w:hAnsi="Times New Roman" w:eastAsia="楷体_GB2312" w:cs="Times New Roman"/>
          <w:b/>
          <w:bCs/>
          <w:sz w:val="32"/>
          <w:szCs w:val="32"/>
        </w:rPr>
        <w:t>（一）绩效评价目的、对象和范围</w:t>
      </w:r>
      <w:bookmarkEnd w:id="9"/>
    </w:p>
    <w:p w14:paraId="1312E368">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rPr>
      </w:pPr>
      <w:bookmarkStart w:id="10" w:name="_Toc18967"/>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绩效评价的目的</w:t>
      </w:r>
      <w:bookmarkEnd w:id="10"/>
    </w:p>
    <w:p w14:paraId="182E952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1" w:name="_Toc17665"/>
      <w:r>
        <w:rPr>
          <w:rFonts w:hint="default" w:ascii="Times New Roman" w:hAnsi="Times New Roman" w:eastAsia="仿宋_GB2312" w:cs="Times New Roman"/>
          <w:sz w:val="32"/>
          <w:szCs w:val="32"/>
          <w:highlight w:val="none"/>
        </w:rPr>
        <w:t>（1）评估项目实施效果</w:t>
      </w:r>
      <w:bookmarkEnd w:id="11"/>
    </w:p>
    <w:p w14:paraId="47ED360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w:t>
      </w:r>
      <w:r>
        <w:rPr>
          <w:rFonts w:hint="default" w:ascii="Times New Roman" w:hAnsi="Times New Roman" w:eastAsia="仿宋_GB2312" w:cs="Times New Roman"/>
          <w:sz w:val="32"/>
          <w:szCs w:val="32"/>
          <w:highlight w:val="none"/>
          <w:lang w:val="en-US" w:eastAsia="zh-CN"/>
        </w:rPr>
        <w:t>社会效益</w:t>
      </w:r>
      <w:r>
        <w:rPr>
          <w:rFonts w:hint="default" w:ascii="Times New Roman" w:hAnsi="Times New Roman" w:eastAsia="仿宋_GB2312" w:cs="Times New Roman"/>
          <w:sz w:val="32"/>
          <w:szCs w:val="32"/>
          <w:highlight w:val="none"/>
        </w:rPr>
        <w:t>多维度指标，为项目后续的改进与优化提供科学依据。</w:t>
      </w:r>
    </w:p>
    <w:p w14:paraId="109B95A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2" w:name="_Toc1456"/>
      <w:r>
        <w:rPr>
          <w:rFonts w:hint="default" w:ascii="Times New Roman" w:hAnsi="Times New Roman" w:eastAsia="仿宋_GB2312" w:cs="Times New Roman"/>
          <w:sz w:val="32"/>
          <w:szCs w:val="32"/>
          <w:highlight w:val="none"/>
        </w:rPr>
        <w:t>（2）提升资源利用效率</w:t>
      </w:r>
      <w:bookmarkEnd w:id="12"/>
    </w:p>
    <w:p w14:paraId="78BE0E3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4FEDD7B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3" w:name="_Toc7051"/>
      <w:r>
        <w:rPr>
          <w:rFonts w:hint="default" w:ascii="Times New Roman" w:hAnsi="Times New Roman" w:eastAsia="仿宋_GB2312" w:cs="Times New Roman"/>
          <w:sz w:val="32"/>
          <w:szCs w:val="32"/>
          <w:highlight w:val="none"/>
        </w:rPr>
        <w:t>（3）强化项目管理责任</w:t>
      </w:r>
      <w:bookmarkEnd w:id="13"/>
    </w:p>
    <w:p w14:paraId="4140B39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B6A523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4" w:name="_Toc19891"/>
      <w:r>
        <w:rPr>
          <w:rFonts w:hint="default" w:ascii="Times New Roman" w:hAnsi="Times New Roman" w:eastAsia="仿宋_GB2312" w:cs="Times New Roman"/>
          <w:sz w:val="32"/>
          <w:szCs w:val="32"/>
          <w:highlight w:val="none"/>
        </w:rPr>
        <w:t>（4）为决策提供支持</w:t>
      </w:r>
      <w:bookmarkEnd w:id="14"/>
    </w:p>
    <w:p w14:paraId="71F9D34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73767F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5" w:name="_Toc10690"/>
      <w:r>
        <w:rPr>
          <w:rFonts w:hint="default" w:ascii="Times New Roman" w:hAnsi="Times New Roman" w:eastAsia="仿宋_GB2312" w:cs="Times New Roman"/>
          <w:sz w:val="32"/>
          <w:szCs w:val="32"/>
          <w:highlight w:val="none"/>
        </w:rPr>
        <w:t>（5）促进项目持续改进</w:t>
      </w:r>
      <w:bookmarkEnd w:id="15"/>
    </w:p>
    <w:p w14:paraId="40DEDCF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6DC136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5264922">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rPr>
      </w:pPr>
      <w:bookmarkStart w:id="16" w:name="_Toc5355"/>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bookmarkEnd w:id="16"/>
    </w:p>
    <w:p w14:paraId="4FC08CC6">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lang w:val="en-US" w:eastAsia="zh-CN"/>
        </w:rPr>
      </w:pPr>
      <w:bookmarkStart w:id="17" w:name="_Toc4258"/>
      <w:r>
        <w:rPr>
          <w:rFonts w:hint="default" w:ascii="Times New Roman" w:hAnsi="Times New Roman" w:eastAsia="仿宋_GB2312" w:cs="Times New Roman"/>
          <w:b w:val="0"/>
          <w:bCs w:val="0"/>
          <w:lang w:val="en-US" w:eastAsia="zh-CN"/>
        </w:rPr>
        <w:t>本项目预算绩效评价报告的评价对象是新疆库尔干水利枢纽工程专项债券利息支出预算执行情况。该项目由新疆维吾尔自治区塔里木河流域库尔干水利枢纽工程建设管理中心负责实施，旨在完成新疆库尔干水利枢纽工程建设任务，使工程建成后，通过与灌区平原水库联合运用，充分合理地利用水资源，解决春旱缺水的问题，大幅提高农业生产水平；通过与下游防洪工程联合运用，将库山河整体防洪能力提高到20年一遇；同时利用下泄库山河灌区水量发电，为喀什和克州两地州提供清洁电量，加快库山河灌区三县脱贫步伐，有效维护边疆地区的民族团结和社会稳定。项目预算涵盖从2025年1月1日至2025年12月31日的全部专项债券利息支出，涉及资金总额为1242.06万元。</w:t>
      </w:r>
    </w:p>
    <w:p w14:paraId="43A39D98">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rPr>
        <w:t>绩效评价的范围</w:t>
      </w:r>
      <w:bookmarkEnd w:id="17"/>
    </w:p>
    <w:p w14:paraId="7450CF74">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1C8832C7">
      <w:pPr>
        <w:pStyle w:val="14"/>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项目预算编制与执行：2024年6月20日自治区党委编委《关于印发〈新疆维吾尔自治区塔里木河流域管理局及所属事业单位改革方案〉的通知》（新党编委〔2024〕106号）要求，</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新疆库尔干水利枢纽工程建设管理中心</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更名为“新疆维吾尔自治区塔里木河流域库尔干水利枢纽工程建设管理中心”，隶属关系由水利厅调整为自治区塔里木河流域管理局，机构规格由正科级调整为县（处）级公益二类事业单位。</w:t>
      </w:r>
      <w:r>
        <w:rPr>
          <w:rFonts w:hint="default" w:ascii="Times New Roman" w:hAnsi="Times New Roman" w:eastAsia="仿宋_GB2312" w:cs="Times New Roman"/>
          <w:b w:val="0"/>
          <w:bCs w:val="0"/>
          <w:highlight w:val="none"/>
          <w:lang w:val="en-US" w:eastAsia="zh-CN"/>
        </w:rPr>
        <w:t>建管中</w:t>
      </w:r>
      <w:r>
        <w:rPr>
          <w:rFonts w:hint="default" w:ascii="Times New Roman" w:hAnsi="Times New Roman" w:eastAsia="仿宋_GB2312" w:cs="Times New Roman"/>
          <w:b w:val="0"/>
          <w:bCs w:val="0"/>
          <w:highlight w:val="none"/>
        </w:rPr>
        <w:t>心严格按照《财政部关于印发〈地方政府债券发行管理办法〉的通知》（财库〔2020〕43号）《关于支付自治区本级其他自平衡类专项债券利息费用的通知》文件要求编制预算，科学设置绩效目标，做出详细的支出计划安排，切实落实资金保障</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2025年专项债券利息支付工作严格按照预算执行。</w:t>
      </w:r>
    </w:p>
    <w:p w14:paraId="08117448">
      <w:pPr>
        <w:pStyle w:val="14"/>
        <w:keepNext w:val="0"/>
        <w:keepLines w:val="0"/>
        <w:pageBreakBefore w:val="0"/>
        <w:widowControl w:val="0"/>
        <w:numPr>
          <w:ilvl w:val="0"/>
          <w:numId w:val="0"/>
        </w:numPr>
        <w:kinsoku w:val="0"/>
        <w:wordWrap/>
        <w:overflowPunct w:val="0"/>
        <w:topLinePunct w:val="0"/>
        <w:autoSpaceDE w:val="0"/>
        <w:autoSpaceDN w:val="0"/>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资金管理：2025年建管中心部门非财政预算-专项债券利息支出为1242.06万元；</w:t>
      </w:r>
      <w:r>
        <w:rPr>
          <w:rFonts w:hint="default" w:ascii="Times New Roman" w:hAnsi="Times New Roman" w:eastAsia="仿宋_GB2312" w:cs="Times New Roman"/>
          <w:b w:val="0"/>
          <w:bCs w:val="0"/>
          <w:highlight w:val="none"/>
          <w:lang w:val="en-US" w:eastAsia="zh-CN"/>
        </w:rPr>
        <w:t>专项债券利息的支付工作严格按照</w:t>
      </w:r>
      <w:r>
        <w:rPr>
          <w:rFonts w:hint="default" w:ascii="Times New Roman" w:hAnsi="Times New Roman" w:eastAsia="仿宋_GB2312" w:cs="Times New Roman"/>
          <w:b w:val="0"/>
          <w:bCs w:val="0"/>
          <w:highlight w:val="none"/>
        </w:rPr>
        <w:t>《关于支付自治区本级其他自平衡类专项债券利息费用的通知》</w:t>
      </w:r>
      <w:r>
        <w:rPr>
          <w:rFonts w:hint="default" w:ascii="Times New Roman" w:hAnsi="Times New Roman" w:eastAsia="仿宋_GB2312" w:cs="Times New Roman"/>
          <w:b w:val="0"/>
          <w:bCs w:val="0"/>
          <w:highlight w:val="none"/>
          <w:lang w:val="en-US" w:eastAsia="zh-CN"/>
        </w:rPr>
        <w:t>文件要求</w:t>
      </w:r>
      <w:r>
        <w:rPr>
          <w:rFonts w:hint="default" w:ascii="Times New Roman" w:hAnsi="Times New Roman" w:eastAsia="仿宋_GB2312" w:cs="Times New Roman"/>
          <w:b w:val="0"/>
          <w:bCs w:val="0"/>
          <w:sz w:val="32"/>
          <w:szCs w:val="32"/>
          <w:highlight w:val="none"/>
          <w:lang w:val="en-US" w:eastAsia="zh-CN"/>
        </w:rPr>
        <w:t>经财务负责人、分管领导、主要领导审批后，按时足额支付专项债券利息，未发生超预算、支出未经审核等现象，</w:t>
      </w:r>
      <w:r>
        <w:rPr>
          <w:rFonts w:hint="default" w:ascii="Times New Roman" w:hAnsi="Times New Roman" w:eastAsia="仿宋_GB2312" w:cs="Times New Roman"/>
          <w:b w:val="0"/>
          <w:bCs w:val="0"/>
          <w:highlight w:val="none"/>
        </w:rPr>
        <w:t>确保资金使用的合规性、高效性和透明度。</w:t>
      </w:r>
    </w:p>
    <w:p w14:paraId="6C45385D">
      <w:pPr>
        <w:pStyle w:val="14"/>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项目实施进度与产出：</w:t>
      </w:r>
      <w:r>
        <w:rPr>
          <w:rFonts w:hint="default" w:ascii="Times New Roman" w:hAnsi="Times New Roman" w:eastAsia="仿宋_GB2312" w:cs="Times New Roman"/>
          <w:b w:val="0"/>
          <w:bCs w:val="0"/>
          <w:highlight w:val="none"/>
          <w:lang w:val="en-US" w:eastAsia="zh-CN"/>
        </w:rPr>
        <w:t>债券利息支出项目</w:t>
      </w:r>
      <w:r>
        <w:rPr>
          <w:rFonts w:hint="default" w:ascii="Times New Roman" w:hAnsi="Times New Roman" w:eastAsia="仿宋_GB2312" w:cs="Times New Roman"/>
          <w:b w:val="0"/>
          <w:bCs w:val="0"/>
          <w:highlight w:val="none"/>
        </w:rPr>
        <w:t>按照</w:t>
      </w:r>
      <w:r>
        <w:rPr>
          <w:rFonts w:hint="default" w:ascii="Times New Roman" w:hAnsi="Times New Roman" w:eastAsia="仿宋_GB2312" w:cs="Times New Roman"/>
          <w:b w:val="0"/>
          <w:bCs w:val="0"/>
          <w:highlight w:val="none"/>
          <w:lang w:val="en-US" w:eastAsia="zh-CN"/>
        </w:rPr>
        <w:t>支付</w:t>
      </w:r>
      <w:r>
        <w:rPr>
          <w:rFonts w:hint="default" w:ascii="Times New Roman" w:hAnsi="Times New Roman" w:eastAsia="仿宋_GB2312" w:cs="Times New Roman"/>
          <w:b w:val="0"/>
          <w:bCs w:val="0"/>
          <w:highlight w:val="none"/>
        </w:rPr>
        <w:t>计划顺利推进，</w:t>
      </w:r>
      <w:r>
        <w:rPr>
          <w:rFonts w:hint="default" w:ascii="Times New Roman" w:hAnsi="Times New Roman" w:eastAsia="仿宋_GB2312" w:cs="Times New Roman"/>
          <w:b w:val="0"/>
          <w:bCs w:val="0"/>
          <w:highlight w:val="none"/>
          <w:lang w:val="en-US" w:eastAsia="zh-CN"/>
        </w:rPr>
        <w:t>支付工作按时完成</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highlight w:val="none"/>
          <w:lang w:val="en-US" w:eastAsia="zh-CN"/>
        </w:rPr>
        <w:t>项目支付金额</w:t>
      </w:r>
      <w:r>
        <w:rPr>
          <w:rFonts w:hint="default" w:ascii="Times New Roman" w:hAnsi="Times New Roman" w:eastAsia="仿宋_GB2312" w:cs="Times New Roman"/>
          <w:b w:val="0"/>
          <w:bCs w:val="0"/>
          <w:highlight w:val="none"/>
        </w:rPr>
        <w:t>、质量和时效性符合预期。</w:t>
      </w:r>
    </w:p>
    <w:p w14:paraId="61BAC619">
      <w:pPr>
        <w:pStyle w:val="14"/>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社会影响：</w:t>
      </w:r>
      <w:r>
        <w:rPr>
          <w:rFonts w:hint="default" w:ascii="Times New Roman" w:hAnsi="Times New Roman" w:eastAsia="仿宋_GB2312" w:cs="Times New Roman"/>
          <w:b w:val="0"/>
          <w:bCs w:val="0"/>
          <w:highlight w:val="none"/>
          <w:lang w:val="en-US" w:eastAsia="zh-CN"/>
        </w:rPr>
        <w:t>为</w:t>
      </w:r>
      <w:r>
        <w:rPr>
          <w:rFonts w:hint="default" w:ascii="Times New Roman" w:hAnsi="Times New Roman" w:eastAsia="仿宋_GB2312" w:cs="Times New Roman"/>
          <w:b w:val="0"/>
          <w:bCs w:val="0"/>
          <w:highlight w:val="none"/>
        </w:rPr>
        <w:t>防止专项债逾期付息导致</w:t>
      </w:r>
      <w:r>
        <w:rPr>
          <w:rFonts w:hint="default" w:ascii="Times New Roman" w:hAnsi="Times New Roman" w:eastAsia="仿宋_GB2312" w:cs="Times New Roman"/>
          <w:b w:val="0"/>
          <w:bCs w:val="0"/>
          <w:highlight w:val="none"/>
          <w:lang w:val="en-US" w:eastAsia="zh-CN"/>
        </w:rPr>
        <w:t>自治区财政厅通报及对单位与责任人追究问责，设立社会效益指标监督建管中心履行偿债责任</w:t>
      </w:r>
      <w:r>
        <w:rPr>
          <w:rFonts w:hint="default" w:ascii="Times New Roman" w:hAnsi="Times New Roman" w:eastAsia="仿宋_GB2312" w:cs="Times New Roman"/>
          <w:b w:val="0"/>
          <w:bCs w:val="0"/>
          <w:highlight w:val="none"/>
        </w:rPr>
        <w:t>。</w:t>
      </w:r>
    </w:p>
    <w:p w14:paraId="54137FCF">
      <w:pPr>
        <w:keepNext w:val="0"/>
        <w:keepLines w:val="0"/>
        <w:pageBreakBefore w:val="0"/>
        <w:kinsoku/>
        <w:wordWrap w:val="0"/>
        <w:overflowPunct/>
        <w:topLinePunct/>
        <w:autoSpaceDE/>
        <w:autoSpaceDN/>
        <w:bidi w:val="0"/>
        <w:adjustRightInd/>
        <w:snapToGrid/>
        <w:spacing w:line="560" w:lineRule="exact"/>
        <w:ind w:firstLine="643" w:firstLineChars="200"/>
        <w:textAlignment w:val="auto"/>
        <w:outlineLvl w:val="1"/>
        <w:rPr>
          <w:rFonts w:hint="default" w:ascii="Times New Roman" w:hAnsi="Times New Roman" w:cs="Times New Roman"/>
        </w:rPr>
      </w:pPr>
      <w:bookmarkStart w:id="18" w:name="_Toc29785"/>
      <w:r>
        <w:rPr>
          <w:rFonts w:hint="default" w:ascii="Times New Roman" w:hAnsi="Times New Roman" w:eastAsia="楷体_GB2312" w:cs="Times New Roman"/>
          <w:b/>
          <w:bCs/>
          <w:sz w:val="32"/>
          <w:szCs w:val="32"/>
        </w:rPr>
        <w:t>（二）绩效评价原则、评价指标体系（详情见表1）、评价方法、评价标准。</w:t>
      </w:r>
      <w:bookmarkEnd w:id="18"/>
    </w:p>
    <w:p w14:paraId="77F5B03D">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rPr>
      </w:pPr>
      <w:bookmarkStart w:id="19" w:name="_Toc22859"/>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bookmarkEnd w:id="19"/>
    </w:p>
    <w:p w14:paraId="0064435D">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36B78329">
      <w:pPr>
        <w:pStyle w:val="14"/>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7EF7D0C7">
      <w:pPr>
        <w:pStyle w:val="14"/>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35823B5C">
      <w:pPr>
        <w:pStyle w:val="14"/>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0A3249B6">
      <w:pPr>
        <w:pStyle w:val="14"/>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7C6C58F8">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rPr>
      </w:pPr>
      <w:bookmarkStart w:id="20" w:name="_Toc31775"/>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bookmarkEnd w:id="20"/>
    </w:p>
    <w:p w14:paraId="5E00513D">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28B4CE77">
      <w:pPr>
        <w:keepNext w:val="0"/>
        <w:keepLines w:val="0"/>
        <w:pageBreakBefore w:val="0"/>
        <w:kinsoku/>
        <w:wordWrap w:val="0"/>
        <w:overflowPunct/>
        <w:topLinePunct/>
        <w:autoSpaceDE/>
        <w:autoSpaceDN/>
        <w:bidi w:val="0"/>
        <w:adjustRightInd/>
        <w:snapToGrid/>
        <w:spacing w:line="560" w:lineRule="exact"/>
        <w:ind w:firstLine="708" w:firstLineChars="200"/>
        <w:textAlignment w:val="auto"/>
        <w:outlineLvl w:val="3"/>
        <w:rPr>
          <w:rFonts w:hint="default" w:ascii="Times New Roman" w:hAnsi="Times New Roman" w:eastAsia="仿宋_GB2312" w:cs="Times New Roman"/>
          <w:color w:val="000000"/>
          <w:spacing w:val="17"/>
          <w:sz w:val="32"/>
          <w:szCs w:val="32"/>
        </w:rPr>
      </w:pPr>
      <w:bookmarkStart w:id="21" w:name="_Toc22746"/>
      <w:r>
        <w:rPr>
          <w:rFonts w:hint="default" w:ascii="Times New Roman" w:hAnsi="Times New Roman" w:eastAsia="仿宋_GB2312" w:cs="Times New Roman"/>
          <w:color w:val="000000"/>
          <w:spacing w:val="17"/>
          <w:sz w:val="32"/>
          <w:szCs w:val="32"/>
        </w:rPr>
        <w:t>（1）确定评价指标</w:t>
      </w:r>
      <w:bookmarkEnd w:id="21"/>
    </w:p>
    <w:p w14:paraId="7AD1E88F">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2DAE116">
      <w:pPr>
        <w:keepNext w:val="0"/>
        <w:keepLines w:val="0"/>
        <w:pageBreakBefore w:val="0"/>
        <w:kinsoku/>
        <w:wordWrap w:val="0"/>
        <w:overflowPunct/>
        <w:topLinePunct/>
        <w:autoSpaceDE/>
        <w:autoSpaceDN/>
        <w:bidi w:val="0"/>
        <w:adjustRightInd/>
        <w:snapToGrid/>
        <w:spacing w:line="560" w:lineRule="exact"/>
        <w:ind w:firstLine="708" w:firstLineChars="200"/>
        <w:textAlignment w:val="auto"/>
        <w:outlineLvl w:val="3"/>
        <w:rPr>
          <w:rFonts w:hint="default" w:ascii="Times New Roman" w:hAnsi="Times New Roman" w:eastAsia="仿宋_GB2312" w:cs="Times New Roman"/>
          <w:color w:val="000000"/>
          <w:spacing w:val="17"/>
          <w:sz w:val="32"/>
          <w:szCs w:val="32"/>
        </w:rPr>
      </w:pPr>
      <w:bookmarkStart w:id="22" w:name="_Toc1142"/>
      <w:r>
        <w:rPr>
          <w:rFonts w:hint="default" w:ascii="Times New Roman" w:hAnsi="Times New Roman" w:eastAsia="仿宋_GB2312" w:cs="Times New Roman"/>
          <w:color w:val="000000"/>
          <w:spacing w:val="17"/>
          <w:sz w:val="32"/>
          <w:szCs w:val="32"/>
        </w:rPr>
        <w:t>（2）确定权重</w:t>
      </w:r>
      <w:bookmarkEnd w:id="22"/>
    </w:p>
    <w:p w14:paraId="4D179C6E">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73DF5415">
      <w:pPr>
        <w:keepNext w:val="0"/>
        <w:keepLines w:val="0"/>
        <w:pageBreakBefore w:val="0"/>
        <w:kinsoku/>
        <w:wordWrap w:val="0"/>
        <w:overflowPunct/>
        <w:topLinePunct/>
        <w:autoSpaceDE/>
        <w:autoSpaceDN/>
        <w:bidi w:val="0"/>
        <w:adjustRightInd/>
        <w:snapToGrid/>
        <w:spacing w:line="560" w:lineRule="exact"/>
        <w:ind w:firstLine="708" w:firstLineChars="200"/>
        <w:textAlignment w:val="auto"/>
        <w:outlineLvl w:val="3"/>
        <w:rPr>
          <w:rFonts w:hint="default" w:ascii="Times New Roman" w:hAnsi="Times New Roman" w:eastAsia="仿宋_GB2312" w:cs="Times New Roman"/>
          <w:color w:val="000000"/>
          <w:spacing w:val="17"/>
          <w:sz w:val="32"/>
          <w:szCs w:val="32"/>
        </w:rPr>
      </w:pPr>
      <w:bookmarkStart w:id="23" w:name="_Toc18406"/>
      <w:r>
        <w:rPr>
          <w:rFonts w:hint="default" w:ascii="Times New Roman" w:hAnsi="Times New Roman" w:eastAsia="仿宋_GB2312" w:cs="Times New Roman"/>
          <w:color w:val="000000"/>
          <w:spacing w:val="17"/>
          <w:sz w:val="32"/>
          <w:szCs w:val="32"/>
        </w:rPr>
        <w:t>（3）确定指标标准值</w:t>
      </w:r>
      <w:bookmarkEnd w:id="23"/>
    </w:p>
    <w:p w14:paraId="6F914BA2">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658EA08F">
      <w:pPr>
        <w:pStyle w:val="14"/>
        <w:keepNext w:val="0"/>
        <w:keepLines w:val="0"/>
        <w:pageBreakBefore w:val="0"/>
        <w:kinsoku/>
        <w:wordWrap w:val="0"/>
        <w:overflowPunct/>
        <w:topLinePunct/>
        <w:autoSpaceDE/>
        <w:autoSpaceDN/>
        <w:bidi w:val="0"/>
        <w:adjustRightInd/>
        <w:snapToGrid/>
        <w:spacing w:before="0" w:after="0" w:line="560" w:lineRule="exact"/>
        <w:ind w:firstLine="708" w:firstLineChars="200"/>
        <w:jc w:val="both"/>
        <w:textAlignment w:val="auto"/>
        <w:outlineLvl w:val="9"/>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67D60031">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708" w:firstLineChars="200"/>
        <w:jc w:val="both"/>
        <w:textAlignment w:val="auto"/>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169DF47C">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rPr>
      </w:pPr>
      <w:bookmarkStart w:id="24" w:name="_Toc18365"/>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bookmarkEnd w:id="24"/>
    </w:p>
    <w:p w14:paraId="21503335">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209F2729">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0D501374">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w:t>
      </w:r>
      <w:r>
        <w:rPr>
          <w:rFonts w:hint="eastAsia" w:eastAsia="仿宋_GB2312" w:cs="Times New Roman"/>
          <w:color w:val="000000"/>
          <w:spacing w:val="17"/>
          <w:sz w:val="32"/>
          <w:szCs w:val="32"/>
          <w:highlight w:val="none"/>
          <w:lang w:val="en-US" w:eastAsia="zh-CN"/>
        </w:rPr>
        <w:t>本项目根据专项债券利息支付情况，结合《关于支付自治区本级其他自平衡类专项债券利息费用的通知》文件要求，反映专项债券利息支付是否因逾期付息产生违约风险；同时通过项目实施，反映库尔干水利枢纽工程项目效益及工程库周受益居民满意度情况。</w:t>
      </w:r>
    </w:p>
    <w:p w14:paraId="275B835A">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）比较法。</w:t>
      </w:r>
      <w:r>
        <w:rPr>
          <w:rFonts w:hint="eastAsia" w:eastAsia="仿宋_GB2312" w:cs="Times New Roman"/>
          <w:color w:val="000000"/>
          <w:spacing w:val="17"/>
          <w:sz w:val="32"/>
          <w:szCs w:val="32"/>
          <w:highlight w:val="none"/>
          <w:lang w:val="en-US" w:eastAsia="zh-CN"/>
        </w:rPr>
        <w:t>本项目根据专项债券利息支付次数、支付金额、支付时间、准确率及合规率等实施情况，与项目绩效目标进行对比，通过评价绩效目标完成情况，反映项目总体完成情况。</w:t>
      </w:r>
    </w:p>
    <w:p w14:paraId="2CAF46F1">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highlight w:val="none"/>
        </w:rPr>
      </w:pPr>
      <w:bookmarkStart w:id="25" w:name="_Toc21230"/>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bookmarkEnd w:id="25"/>
    </w:p>
    <w:p w14:paraId="5EFF4821">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w:t>
      </w:r>
      <w:r>
        <w:rPr>
          <w:rFonts w:hint="eastAsia" w:ascii="Times New Roman" w:hAnsi="Times New Roman" w:eastAsia="仿宋_GB2312" w:cs="Times New Roman"/>
          <w:b w:val="0"/>
          <w:bCs w:val="0"/>
          <w:lang w:eastAsia="zh-CN"/>
        </w:rPr>
        <w:t>具体绩效评价标准解释如下：</w:t>
      </w:r>
    </w:p>
    <w:p w14:paraId="28EE02F4">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5D902365">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14:paraId="22DDFD77">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14:paraId="1B0E898B">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财政部门和预算部门确认或认可的其他标准。</w:t>
      </w:r>
    </w:p>
    <w:p w14:paraId="0B31AAAB">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rPr>
      </w:pPr>
      <w:r>
        <w:rPr>
          <w:rFonts w:hint="eastAsia" w:ascii="Times New Roman" w:hAnsi="Times New Roman" w:eastAsia="仿宋_GB2312" w:cs="Times New Roman"/>
          <w:b w:val="0"/>
          <w:bCs w:val="0"/>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5E4299C">
      <w:pPr>
        <w:pStyle w:val="14"/>
        <w:keepNext w:val="0"/>
        <w:keepLines w:val="0"/>
        <w:pageBreakBefore w:val="0"/>
        <w:numPr>
          <w:ilvl w:val="0"/>
          <w:numId w:val="0"/>
        </w:numPr>
        <w:kinsoku/>
        <w:wordWrap w:val="0"/>
        <w:overflowPunct/>
        <w:topLinePunct/>
        <w:autoSpaceDE/>
        <w:autoSpaceDN/>
        <w:bidi w:val="0"/>
        <w:adjustRightInd/>
        <w:snapToGrid/>
        <w:spacing w:before="0" w:after="0" w:line="560" w:lineRule="exact"/>
        <w:ind w:firstLine="711" w:firstLineChars="200"/>
        <w:jc w:val="both"/>
        <w:textAlignment w:val="auto"/>
        <w:outlineLvl w:val="1"/>
        <w:rPr>
          <w:rFonts w:hint="default" w:ascii="Times New Roman" w:hAnsi="Times New Roman" w:eastAsia="楷体" w:cs="Times New Roman"/>
          <w:color w:val="000000"/>
          <w:spacing w:val="17"/>
        </w:rPr>
      </w:pPr>
      <w:bookmarkStart w:id="26" w:name="_Toc5544"/>
      <w:r>
        <w:rPr>
          <w:rFonts w:hint="eastAsia" w:ascii="Times New Roman" w:hAnsi="Times New Roman" w:eastAsia="楷体" w:cs="Times New Roman"/>
          <w:color w:val="000000"/>
          <w:spacing w:val="17"/>
          <w:lang w:eastAsia="zh-CN"/>
        </w:rPr>
        <w:t>（</w:t>
      </w:r>
      <w:r>
        <w:rPr>
          <w:rFonts w:hint="eastAsia" w:ascii="Times New Roman" w:hAnsi="Times New Roman" w:eastAsia="楷体" w:cs="Times New Roman"/>
          <w:color w:val="000000"/>
          <w:spacing w:val="17"/>
          <w:lang w:val="en-US" w:eastAsia="zh-CN"/>
        </w:rPr>
        <w:t>三</w:t>
      </w:r>
      <w:r>
        <w:rPr>
          <w:rFonts w:hint="eastAsia" w:ascii="Times New Roman" w:hAnsi="Times New Roman" w:eastAsia="楷体" w:cs="Times New Roman"/>
          <w:color w:val="000000"/>
          <w:spacing w:val="17"/>
          <w:lang w:eastAsia="zh-CN"/>
        </w:rPr>
        <w:t>）</w:t>
      </w:r>
      <w:r>
        <w:rPr>
          <w:rFonts w:hint="default" w:ascii="Times New Roman" w:hAnsi="Times New Roman" w:eastAsia="楷体" w:cs="Times New Roman"/>
          <w:color w:val="000000"/>
          <w:spacing w:val="17"/>
        </w:rPr>
        <w:t>绩效评价工作过程</w:t>
      </w:r>
      <w:bookmarkEnd w:id="26"/>
    </w:p>
    <w:p w14:paraId="2E38F5A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rPr>
      </w:pPr>
      <w:bookmarkStart w:id="27" w:name="_Toc21316"/>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bookmarkEnd w:id="27"/>
    </w:p>
    <w:p w14:paraId="57751DE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在项目绩效评价工作启动之初，成立了评价工作小组，小组成员由财务</w:t>
      </w:r>
      <w:r>
        <w:rPr>
          <w:rFonts w:hint="eastAsia" w:eastAsia="仿宋_GB2312" w:cs="Times New Roman"/>
          <w:sz w:val="32"/>
          <w:szCs w:val="32"/>
          <w:highlight w:val="none"/>
          <w:lang w:eastAsia="zh-CN"/>
        </w:rPr>
        <w:t>人员</w:t>
      </w:r>
      <w:r>
        <w:rPr>
          <w:rFonts w:hint="default" w:ascii="Times New Roman" w:hAnsi="Times New Roman" w:eastAsia="仿宋_GB2312" w:cs="Times New Roman"/>
          <w:sz w:val="32"/>
          <w:szCs w:val="32"/>
          <w:highlight w:val="none"/>
        </w:rPr>
        <w:t>、项目管理专业人员及相关领域技术</w:t>
      </w:r>
      <w:r>
        <w:rPr>
          <w:rFonts w:hint="eastAsia" w:eastAsia="仿宋_GB2312" w:cs="Times New Roman"/>
          <w:sz w:val="32"/>
          <w:szCs w:val="32"/>
          <w:highlight w:val="none"/>
          <w:lang w:val="en-US" w:eastAsia="zh-CN"/>
        </w:rPr>
        <w:t>成员</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14:paraId="105A1AA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8" w:name="_Toc12550"/>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bookmarkEnd w:id="28"/>
    </w:p>
    <w:p w14:paraId="10A6991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2B1C595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9" w:name="_Toc7217"/>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bookmarkEnd w:id="29"/>
    </w:p>
    <w:p w14:paraId="683B415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w:t>
      </w:r>
      <w:r>
        <w:rPr>
          <w:rFonts w:hint="eastAsia" w:eastAsia="仿宋_GB2312" w:cs="Times New Roman"/>
          <w:sz w:val="32"/>
          <w:szCs w:val="32"/>
          <w:highlight w:val="none"/>
          <w:lang w:val="en-US" w:eastAsia="zh-CN"/>
        </w:rPr>
        <w:t xml:space="preserve"> </w:t>
      </w:r>
      <w:r>
        <w:rPr>
          <w:rFonts w:hint="default" w:ascii="Times New Roman" w:hAnsi="Times New Roman" w:eastAsia="仿宋_GB2312" w:cs="Times New Roman"/>
          <w:sz w:val="32"/>
          <w:szCs w:val="32"/>
          <w:highlight w:val="none"/>
          <w:lang w:eastAsia="zh-CN"/>
        </w:rPr>
        <w:t>、业务数据等。在数据收集过程中，注重数据的质量与完整性，对缺失或异常的数据进行了合理的处理和补充。随后，对收集到的数据进行了系统的整理与分类，为后续的数据分析提供了有力支持。</w:t>
      </w:r>
    </w:p>
    <w:p w14:paraId="5B50B00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0" w:name="_Toc13512"/>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bookmarkEnd w:id="30"/>
    </w:p>
    <w:p w14:paraId="0F51A9C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790B26B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1" w:name="_Toc26222"/>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bookmarkEnd w:id="31"/>
    </w:p>
    <w:p w14:paraId="129ACCB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5980A73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2" w:name="_Toc554"/>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bookmarkEnd w:id="32"/>
    </w:p>
    <w:p w14:paraId="21DAC8A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8985FE3">
      <w:pPr>
        <w:keepNext w:val="0"/>
        <w:keepLines w:val="0"/>
        <w:pageBreakBefore w:val="0"/>
        <w:numPr>
          <w:ilvl w:val="0"/>
          <w:numId w:val="0"/>
        </w:numPr>
        <w:kinsoku/>
        <w:wordWrap w:val="0"/>
        <w:overflowPunct/>
        <w:topLinePunct/>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sz w:val="32"/>
          <w:szCs w:val="32"/>
        </w:rPr>
      </w:pPr>
      <w:bookmarkStart w:id="33" w:name="_Toc29729"/>
      <w:r>
        <w:rPr>
          <w:rFonts w:hint="eastAsia" w:eastAsia="黑体" w:cs="Times New Roman"/>
          <w:sz w:val="32"/>
          <w:szCs w:val="32"/>
          <w:lang w:val="en-US" w:eastAsia="zh-CN"/>
        </w:rPr>
        <w:t>三、</w:t>
      </w:r>
      <w:r>
        <w:rPr>
          <w:rFonts w:hint="default" w:ascii="Times New Roman" w:hAnsi="Times New Roman" w:eastAsia="黑体" w:cs="Times New Roman"/>
          <w:sz w:val="32"/>
          <w:szCs w:val="32"/>
        </w:rPr>
        <w:t>综合评价情况及评价结论</w:t>
      </w:r>
      <w:bookmarkEnd w:id="33"/>
    </w:p>
    <w:p w14:paraId="61BE9AA6">
      <w:pPr>
        <w:pStyle w:val="14"/>
        <w:keepNext w:val="0"/>
        <w:keepLines w:val="0"/>
        <w:pageBreakBefore w:val="0"/>
        <w:widowControl/>
        <w:kinsoku/>
        <w:wordWrap w:val="0"/>
        <w:overflowPunct/>
        <w:topLinePunct/>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4" w:name="_Toc2344"/>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bookmarkEnd w:id="34"/>
    </w:p>
    <w:p w14:paraId="31CF3132">
      <w:pPr>
        <w:pStyle w:val="13"/>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firstLine="640" w:firstLineChars="200"/>
        <w:textAlignment w:val="auto"/>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w:t>
      </w:r>
    </w:p>
    <w:p w14:paraId="1AEC270D">
      <w:pPr>
        <w:pStyle w:val="13"/>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eastAsia" w:eastAsia="仿宋_GB2312" w:cs="Times New Roman"/>
          <w:sz w:val="32"/>
          <w:szCs w:val="32"/>
          <w:highlight w:val="none"/>
          <w:lang w:val="en-US" w:eastAsia="zh-CN"/>
        </w:rPr>
        <w:t>建管中心各科室按照职责分工，对各自负责的报告内容进行撰写绩效自评报告，填报相关表格。认真梳理了项目实施、资金投入使用、项目绩效等情况，严格按照财政厅的文件要求，深入详实的做好绩效评价报告的编写，客观公正的做好绩效自评表的填写，查找项目管理、资金使用方面存在的问题，总结经验，合理计划后续项目开展情况，扎实落实好绩效评价工作。</w:t>
      </w:r>
    </w:p>
    <w:p w14:paraId="3A5ABDAB">
      <w:pPr>
        <w:pStyle w:val="14"/>
        <w:keepNext w:val="0"/>
        <w:keepLines w:val="0"/>
        <w:pageBreakBefore w:val="0"/>
        <w:widowControl/>
        <w:kinsoku/>
        <w:wordWrap w:val="0"/>
        <w:overflowPunct/>
        <w:topLinePunct/>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5" w:name="_Toc6653"/>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bookmarkEnd w:id="35"/>
    </w:p>
    <w:p w14:paraId="739F0E9C">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w:t>
      </w:r>
      <w:r>
        <w:rPr>
          <w:rFonts w:hint="eastAsia" w:ascii="Times New Roman" w:hAnsi="Times New Roman" w:eastAsia="仿宋_GB2312" w:cs="Times New Roman"/>
          <w:b w:val="0"/>
          <w:bCs w:val="0"/>
          <w:highlight w:val="none"/>
          <w:lang w:val="en-US" w:eastAsia="zh-CN"/>
        </w:rPr>
        <w:t>下</w:t>
      </w:r>
      <w:r>
        <w:rPr>
          <w:rFonts w:hint="default" w:ascii="Times New Roman" w:hAnsi="Times New Roman" w:eastAsia="仿宋_GB2312" w:cs="Times New Roman"/>
          <w:b w:val="0"/>
          <w:bCs w:val="0"/>
          <w:highlight w:val="none"/>
        </w:rPr>
        <w:t>表</w:t>
      </w:r>
      <w:r>
        <w:rPr>
          <w:rFonts w:hint="default" w:ascii="Times New Roman" w:hAnsi="Times New Roman" w:eastAsia="仿宋_GB2312" w:cs="Times New Roman"/>
          <w:b w:val="0"/>
          <w:bCs w:val="0"/>
          <w:highlight w:val="none"/>
          <w:lang w:eastAsia="zh-CN"/>
        </w:rPr>
        <w:t>。</w:t>
      </w:r>
    </w:p>
    <w:p w14:paraId="41D02FD1">
      <w:pPr>
        <w:rPr>
          <w:rFonts w:hint="default" w:ascii="Times New Roman" w:hAnsi="Times New Roman" w:eastAsia="仿宋_GB2312" w:cs="Times New Roman"/>
          <w:b w:val="0"/>
          <w:bCs w:val="0"/>
          <w:highlight w:val="none"/>
          <w:lang w:eastAsia="zh-CN"/>
        </w:rPr>
      </w:pPr>
    </w:p>
    <w:p w14:paraId="674A9E54">
      <w:pPr>
        <w:pStyle w:val="2"/>
        <w:rPr>
          <w:rFonts w:hint="default"/>
          <w:lang w:eastAsia="zh-CN"/>
        </w:rPr>
      </w:pPr>
    </w:p>
    <w:p w14:paraId="2EEFF234">
      <w:pPr>
        <w:pStyle w:val="14"/>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p>
    <w:p w14:paraId="5E521E08">
      <w:pPr>
        <w:pStyle w:val="14"/>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7"/>
        <w:tblW w:w="7583" w:type="dxa"/>
        <w:jc w:val="center"/>
        <w:tblLayout w:type="fixed"/>
        <w:tblCellMar>
          <w:top w:w="0" w:type="dxa"/>
          <w:left w:w="108" w:type="dxa"/>
          <w:bottom w:w="0" w:type="dxa"/>
          <w:right w:w="108" w:type="dxa"/>
        </w:tblCellMar>
      </w:tblPr>
      <w:tblGrid>
        <w:gridCol w:w="3137"/>
        <w:gridCol w:w="2168"/>
        <w:gridCol w:w="2278"/>
      </w:tblGrid>
      <w:tr w14:paraId="68E5DEAD">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67D68807">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019AD6F">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BA3D338">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30EFD36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06734D3">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788A51B3">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0DBD44A">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1AE906C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9D14176">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33C4FC19">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0AE10E2">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0433B21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7145BBC">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464DC783">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77C8CB75">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14:paraId="107401B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2D0E96B">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7CC024F5">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0C69391">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6F04D71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70F0579">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387EDA6F">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4401913A">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71762AEC">
      <w:pPr>
        <w:pageBreakBefore w:val="0"/>
        <w:kinsoku/>
        <w:wordWrap w:val="0"/>
        <w:overflowPunct/>
        <w:topLinePunct/>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sz w:val="32"/>
          <w:szCs w:val="32"/>
        </w:rPr>
      </w:pPr>
      <w:bookmarkStart w:id="36" w:name="_Toc1453"/>
      <w:r>
        <w:rPr>
          <w:rFonts w:hint="default" w:ascii="Times New Roman" w:hAnsi="Times New Roman" w:eastAsia="黑体" w:cs="Times New Roman"/>
          <w:sz w:val="32"/>
          <w:szCs w:val="32"/>
        </w:rPr>
        <w:t>四、绩效评价指标分析</w:t>
      </w:r>
      <w:bookmarkEnd w:id="36"/>
    </w:p>
    <w:p w14:paraId="46A4134A">
      <w:pPr>
        <w:pStyle w:val="14"/>
        <w:pageBreakBefore w:val="0"/>
        <w:kinsoku/>
        <w:wordWrap w:val="0"/>
        <w:overflowPunct/>
        <w:topLinePunct/>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rPr>
      </w:pPr>
      <w:bookmarkStart w:id="37" w:name="_Toc32318"/>
      <w:r>
        <w:rPr>
          <w:rFonts w:hint="default" w:ascii="Times New Roman" w:hAnsi="Times New Roman" w:eastAsia="楷体_GB2312" w:cs="Times New Roman"/>
        </w:rPr>
        <w:t>（一）项目决策情况</w:t>
      </w:r>
      <w:bookmarkEnd w:id="37"/>
    </w:p>
    <w:p w14:paraId="59435211">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494D22D">
      <w:pPr>
        <w:pStyle w:val="26"/>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3" w:firstLineChars="200"/>
        <w:textAlignment w:val="auto"/>
        <w:outlineLvl w:val="2"/>
        <w:rPr>
          <w:rFonts w:hint="default" w:ascii="Times New Roman" w:hAnsi="Times New Roman" w:eastAsia="仿宋_GB2312" w:cs="Times New Roman"/>
          <w:b/>
          <w:bCs/>
          <w:sz w:val="32"/>
          <w:szCs w:val="32"/>
          <w:highlight w:val="none"/>
          <w:lang w:val="en-US" w:eastAsia="zh-CN"/>
        </w:rPr>
      </w:pPr>
      <w:bookmarkStart w:id="38" w:name="_Toc24345"/>
      <w:r>
        <w:rPr>
          <w:rFonts w:hint="default" w:ascii="Times New Roman" w:hAnsi="Times New Roman" w:eastAsia="仿宋_GB2312" w:cs="Times New Roman"/>
          <w:b/>
          <w:bCs/>
          <w:sz w:val="32"/>
          <w:szCs w:val="32"/>
          <w:highlight w:val="none"/>
          <w:lang w:val="en-US" w:eastAsia="zh-CN"/>
        </w:rPr>
        <w:t>1.项目立项</w:t>
      </w:r>
      <w:bookmarkEnd w:id="38"/>
    </w:p>
    <w:p w14:paraId="68635A3E">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bookmarkStart w:id="39" w:name="_Toc9358"/>
      <w:r>
        <w:rPr>
          <w:rFonts w:hint="default" w:ascii="Times New Roman" w:hAnsi="Times New Roman" w:eastAsia="仿宋_GB2312" w:cs="Times New Roman"/>
          <w:sz w:val="32"/>
          <w:szCs w:val="32"/>
          <w:lang w:val="en-US" w:eastAsia="zh-CN"/>
        </w:rPr>
        <w:t>（1）立项依据充分性</w:t>
      </w:r>
      <w:bookmarkEnd w:id="39"/>
    </w:p>
    <w:p w14:paraId="6DEBDA29">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bookmarkStart w:id="40" w:name="_Toc1295"/>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该项目立项符合国家相关法律法规及发展政策，符合行业规划要求，围绕本年度工作重点和工作计划制定经费预算。本项目与内部其他相关项目不重复，故得满分。</w:t>
      </w:r>
    </w:p>
    <w:p w14:paraId="486535C5">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bookmarkEnd w:id="40"/>
    </w:p>
    <w:p w14:paraId="7FD1D495">
      <w:pPr>
        <w:pStyle w:val="26"/>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0" w:firstLineChars="200"/>
        <w:textAlignment w:val="auto"/>
        <w:outlineLvl w:val="2"/>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项目申请、设立过程符合相关要求，严格按照审批流程准备符合要求的文件、材料；</w:t>
      </w:r>
      <w:r>
        <w:rPr>
          <w:rFonts w:hint="default" w:ascii="Times New Roman" w:hAnsi="Times New Roman" w:eastAsia="仿宋_GB2312" w:cs="Times New Roman"/>
          <w:sz w:val="32"/>
          <w:szCs w:val="32"/>
          <w:lang w:val="en-US" w:eastAsia="zh-CN"/>
        </w:rPr>
        <w:t>编制工作计划和经费预算，</w:t>
      </w:r>
      <w:bookmarkStart w:id="41" w:name="_Toc22045"/>
      <w:r>
        <w:rPr>
          <w:rFonts w:hint="default" w:ascii="Times New Roman" w:hAnsi="Times New Roman" w:eastAsia="仿宋_GB2312" w:cs="Times New Roman"/>
          <w:sz w:val="32"/>
          <w:szCs w:val="32"/>
          <w:lang w:val="en-US" w:eastAsia="zh-CN"/>
        </w:rPr>
        <w:t>经过与部门项目分管领导沟通、筛选确定经费预算计划，确定最终预算方案。项目的审批文件、材料符合相关要求，项目事前经过必要的可行性研究、专家论证、风险评估、绩效评估、集体决策，保障了程序的规范性，故得满分。</w:t>
      </w:r>
    </w:p>
    <w:p w14:paraId="29FD6146">
      <w:pPr>
        <w:pStyle w:val="26"/>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3" w:firstLineChars="200"/>
        <w:textAlignment w:val="auto"/>
        <w:outlineLvl w:val="2"/>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bookmarkEnd w:id="41"/>
    </w:p>
    <w:p w14:paraId="1EEFB399">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bookmarkStart w:id="42" w:name="_Toc15281"/>
      <w:r>
        <w:rPr>
          <w:rFonts w:hint="default" w:ascii="Times New Roman" w:hAnsi="Times New Roman" w:eastAsia="仿宋_GB2312" w:cs="Times New Roman"/>
          <w:sz w:val="32"/>
          <w:szCs w:val="32"/>
          <w:lang w:val="en-US" w:eastAsia="zh-CN"/>
        </w:rPr>
        <w:t>（1）绩效目标合理性</w:t>
      </w:r>
      <w:bookmarkEnd w:id="42"/>
    </w:p>
    <w:p w14:paraId="669F76D6">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年初结合《关于支付自治区本级其他自平衡类专项债券利息费用的通知》</w:t>
      </w:r>
      <w:r>
        <w:rPr>
          <w:rFonts w:hint="eastAsia" w:eastAsia="仿宋_GB2312" w:cs="Times New Roman"/>
          <w:sz w:val="32"/>
          <w:szCs w:val="32"/>
          <w:lang w:val="en-US" w:eastAsia="zh-CN"/>
        </w:rPr>
        <w:t>文件要求，围绕“专项债券利息支出”</w:t>
      </w:r>
      <w:r>
        <w:rPr>
          <w:rFonts w:hint="default" w:ascii="Times New Roman" w:hAnsi="Times New Roman" w:eastAsia="仿宋_GB2312" w:cs="Times New Roman"/>
          <w:sz w:val="32"/>
          <w:szCs w:val="32"/>
          <w:lang w:val="en-US" w:eastAsia="zh-CN"/>
        </w:rPr>
        <w:t>设定绩效目标，</w:t>
      </w:r>
      <w:r>
        <w:rPr>
          <w:rFonts w:hint="eastAsia" w:eastAsia="仿宋_GB2312" w:cs="Times New Roman"/>
          <w:sz w:val="32"/>
          <w:szCs w:val="32"/>
          <w:lang w:val="en-US" w:eastAsia="zh-CN"/>
        </w:rPr>
        <w:t>具体明确“编制资金支付计划，完成2025年度专项债券利息1242.06万元的支付工作”等核心内容。</w:t>
      </w:r>
      <w:r>
        <w:rPr>
          <w:rFonts w:hint="default" w:ascii="Times New Roman" w:hAnsi="Times New Roman" w:eastAsia="仿宋_GB2312" w:cs="Times New Roman"/>
          <w:sz w:val="32"/>
          <w:szCs w:val="32"/>
          <w:lang w:val="en-US" w:eastAsia="zh-CN"/>
        </w:rPr>
        <w:t>绩效目标依据充分，能反映和考核项目绩效目标与项目实施的相符情况，依据绩效目标设定的绩效指标清晰、细化、可衡量，能反映和考核项目绩效目标的明细化情况。绩效目标表经过审核，绩效目标与实际工作内容具有</w:t>
      </w:r>
      <w:r>
        <w:rPr>
          <w:rFonts w:hint="eastAsia" w:eastAsia="仿宋_GB2312" w:cs="Times New Roman"/>
          <w:sz w:val="32"/>
          <w:szCs w:val="32"/>
          <w:lang w:val="en-US" w:eastAsia="zh-CN"/>
        </w:rPr>
        <w:t>高度</w:t>
      </w:r>
      <w:r>
        <w:rPr>
          <w:rFonts w:hint="default" w:ascii="Times New Roman" w:hAnsi="Times New Roman" w:eastAsia="仿宋_GB2312" w:cs="Times New Roman"/>
          <w:sz w:val="32"/>
          <w:szCs w:val="32"/>
          <w:lang w:val="en-US" w:eastAsia="zh-CN"/>
        </w:rPr>
        <w:t>相关性，预算与确定的项目投资额相匹配，对项目任务进行了详细分解。项目预期产出效益及效果符合正常的业绩水平</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故得满分。</w:t>
      </w:r>
    </w:p>
    <w:p w14:paraId="2028D71F">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bookmarkStart w:id="43" w:name="_Toc12145"/>
      <w:r>
        <w:rPr>
          <w:rFonts w:hint="default" w:ascii="Times New Roman" w:hAnsi="Times New Roman" w:eastAsia="仿宋_GB2312" w:cs="Times New Roman"/>
          <w:sz w:val="32"/>
          <w:szCs w:val="32"/>
          <w:lang w:val="en-US" w:eastAsia="zh-CN"/>
        </w:rPr>
        <w:t>（2）绩效指标明确性</w:t>
      </w:r>
      <w:bookmarkEnd w:id="43"/>
    </w:p>
    <w:p w14:paraId="62FEAA9F">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项目将总体绩效目标细化分解为</w:t>
      </w:r>
      <w:r>
        <w:rPr>
          <w:rFonts w:hint="eastAsia" w:eastAsia="仿宋_GB2312" w:cs="Times New Roman"/>
          <w:sz w:val="32"/>
          <w:szCs w:val="32"/>
          <w:lang w:val="en-US" w:eastAsia="zh-CN"/>
        </w:rPr>
        <w:t>数量、质量、时效、经济成本指标，以上指标涵盖了《关于支付自治区本级其他自平衡类专项债券利息费用的通知》文件对专项债券利息支付工作的所有要求，设置绩效目标时利息金额通过数量指标与经济成本指标设定了明确指标值，利息支付时间通过数量指标与时效指标设定了明确指标值，具体呈现如下：2025年专项债券利息1242.06万元需支付4次，于4月、6月、10月、12月分别支付318.02万元、303.01万元、318.02万元、303.01万元，</w:t>
      </w:r>
      <w:r>
        <w:rPr>
          <w:rFonts w:hint="default" w:ascii="Times New Roman" w:hAnsi="Times New Roman" w:eastAsia="仿宋_GB2312" w:cs="Times New Roman"/>
          <w:sz w:val="32"/>
          <w:szCs w:val="32"/>
          <w:lang w:val="en-US" w:eastAsia="zh-CN"/>
        </w:rPr>
        <w:t>绩效目标与项目目标任务数相对应，绩效目标设定的绩效指标清晰、细化、可衡量</w:t>
      </w:r>
      <w:r>
        <w:rPr>
          <w:rFonts w:hint="eastAsia" w:eastAsia="仿宋_GB2312" w:cs="Times New Roman"/>
          <w:sz w:val="32"/>
          <w:szCs w:val="32"/>
          <w:lang w:val="en-US" w:eastAsia="zh-CN"/>
        </w:rPr>
        <w:t>，同时覆盖了效益指标与满意度指标</w:t>
      </w:r>
      <w:r>
        <w:rPr>
          <w:rFonts w:hint="default" w:ascii="Times New Roman" w:hAnsi="Times New Roman" w:eastAsia="仿宋_GB2312" w:cs="Times New Roman"/>
          <w:sz w:val="32"/>
          <w:szCs w:val="32"/>
          <w:lang w:val="en-US" w:eastAsia="zh-CN"/>
        </w:rPr>
        <w:t>，故得满分</w:t>
      </w:r>
      <w:r>
        <w:rPr>
          <w:rFonts w:hint="eastAsia" w:eastAsia="仿宋_GB2312" w:cs="Times New Roman"/>
          <w:sz w:val="32"/>
          <w:szCs w:val="32"/>
          <w:lang w:val="en-US" w:eastAsia="zh-CN"/>
        </w:rPr>
        <w:t>。</w:t>
      </w:r>
    </w:p>
    <w:p w14:paraId="738AF1AE">
      <w:pPr>
        <w:pStyle w:val="26"/>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3" w:firstLineChars="200"/>
        <w:textAlignment w:val="auto"/>
        <w:outlineLvl w:val="2"/>
        <w:rPr>
          <w:rFonts w:hint="default" w:ascii="Times New Roman" w:hAnsi="Times New Roman" w:eastAsia="仿宋_GB2312" w:cs="Times New Roman"/>
          <w:b/>
          <w:bCs/>
          <w:sz w:val="32"/>
          <w:szCs w:val="32"/>
          <w:lang w:val="en-US" w:eastAsia="zh-CN"/>
        </w:rPr>
      </w:pPr>
      <w:bookmarkStart w:id="44" w:name="_Toc6828"/>
      <w:r>
        <w:rPr>
          <w:rFonts w:hint="default" w:ascii="Times New Roman" w:hAnsi="Times New Roman" w:eastAsia="仿宋_GB2312" w:cs="Times New Roman"/>
          <w:b/>
          <w:bCs/>
          <w:sz w:val="32"/>
          <w:szCs w:val="32"/>
          <w:lang w:val="en-US" w:eastAsia="zh-CN"/>
        </w:rPr>
        <w:t>3.资金投入</w:t>
      </w:r>
      <w:bookmarkEnd w:id="44"/>
    </w:p>
    <w:p w14:paraId="7B81F4B5">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bookmarkStart w:id="45" w:name="_Toc10680"/>
      <w:r>
        <w:rPr>
          <w:rFonts w:hint="default" w:ascii="Times New Roman" w:hAnsi="Times New Roman" w:eastAsia="仿宋_GB2312" w:cs="Times New Roman"/>
          <w:sz w:val="32"/>
          <w:szCs w:val="32"/>
          <w:lang w:val="en-US" w:eastAsia="zh-CN"/>
        </w:rPr>
        <w:t>（1）预算编制科学性</w:t>
      </w:r>
      <w:bookmarkEnd w:id="45"/>
    </w:p>
    <w:p w14:paraId="01010DBC">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本项目经过2023-2024年专项债券利息支付工作经验测算得出2025年专项债券利息支出为1242.06万元，</w:t>
      </w:r>
      <w:r>
        <w:rPr>
          <w:rFonts w:hint="default" w:ascii="Times New Roman" w:hAnsi="Times New Roman" w:eastAsia="仿宋_GB2312" w:cs="Times New Roman"/>
          <w:sz w:val="32"/>
          <w:szCs w:val="32"/>
          <w:highlight w:val="none"/>
          <w:lang w:eastAsia="zh-CN"/>
        </w:rPr>
        <w:t>预算编制经过科学论证，提供充分的测算依据佐证资料，预算内容与项目内容相匹配</w:t>
      </w:r>
      <w:r>
        <w:rPr>
          <w:rFonts w:hint="default" w:ascii="Times New Roman" w:hAnsi="Times New Roman" w:eastAsia="仿宋_GB2312" w:cs="Times New Roman"/>
          <w:sz w:val="32"/>
          <w:szCs w:val="32"/>
          <w:lang w:val="en-US" w:eastAsia="zh-CN"/>
        </w:rPr>
        <w:t>，故得满分</w:t>
      </w:r>
      <w:r>
        <w:rPr>
          <w:rFonts w:hint="default" w:ascii="Times New Roman" w:hAnsi="Times New Roman" w:eastAsia="仿宋_GB2312" w:cs="Times New Roman"/>
          <w:sz w:val="32"/>
          <w:szCs w:val="32"/>
          <w:highlight w:val="none"/>
          <w:lang w:eastAsia="zh-CN"/>
        </w:rPr>
        <w:t>。</w:t>
      </w:r>
    </w:p>
    <w:p w14:paraId="3AC4822D">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lang w:val="en-US" w:eastAsia="zh-CN"/>
        </w:rPr>
      </w:pPr>
      <w:bookmarkStart w:id="46" w:name="_Toc24011"/>
      <w:r>
        <w:rPr>
          <w:rFonts w:hint="default" w:ascii="Times New Roman" w:hAnsi="Times New Roman" w:eastAsia="仿宋_GB2312" w:cs="Times New Roman"/>
          <w:sz w:val="32"/>
          <w:szCs w:val="32"/>
          <w:highlight w:val="none"/>
          <w:lang w:val="en-US" w:eastAsia="zh-CN"/>
        </w:rPr>
        <w:t>（2）资金分配合理性</w:t>
      </w:r>
      <w:bookmarkEnd w:id="46"/>
    </w:p>
    <w:p w14:paraId="0D903B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本项目的资金分配遵循了公平、公正、透明的原则，确保了项目资源的合理配置与高效利用。在资金分配过程中，充分考虑了项目的实际需求与目标，对不同阶段、不同任务的资金进行了科学的规划与安排。</w:t>
      </w:r>
    </w:p>
    <w:p w14:paraId="0608E3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14:paraId="2DE001B1">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3059BD19">
      <w:pPr>
        <w:pStyle w:val="14"/>
        <w:pageBreakBefore w:val="0"/>
        <w:numPr>
          <w:ilvl w:val="0"/>
          <w:numId w:val="0"/>
        </w:numPr>
        <w:kinsoku/>
        <w:wordWrap w:val="0"/>
        <w:overflowPunct/>
        <w:topLinePunct/>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 w:cs="Times New Roman"/>
        </w:rPr>
      </w:pPr>
      <w:bookmarkStart w:id="47" w:name="_Toc25505"/>
      <w:r>
        <w:rPr>
          <w:rFonts w:hint="eastAsia" w:ascii="Times New Roman" w:hAnsi="Times New Roman" w:eastAsia="楷体" w:cs="Times New Roman"/>
          <w:lang w:eastAsia="zh-CN"/>
        </w:rPr>
        <w:t>（</w:t>
      </w:r>
      <w:r>
        <w:rPr>
          <w:rFonts w:hint="eastAsia" w:ascii="Times New Roman" w:hAnsi="Times New Roman" w:eastAsia="楷体" w:cs="Times New Roman"/>
          <w:lang w:val="en-US" w:eastAsia="zh-CN"/>
        </w:rPr>
        <w:t>二</w:t>
      </w:r>
      <w:r>
        <w:rPr>
          <w:rFonts w:hint="eastAsia" w:ascii="Times New Roman" w:hAnsi="Times New Roman" w:eastAsia="楷体" w:cs="Times New Roman"/>
          <w:lang w:eastAsia="zh-CN"/>
        </w:rPr>
        <w:t>）</w:t>
      </w:r>
      <w:r>
        <w:rPr>
          <w:rFonts w:hint="default" w:ascii="Times New Roman" w:hAnsi="Times New Roman" w:eastAsia="楷体" w:cs="Times New Roman"/>
        </w:rPr>
        <w:t>项目过程情况</w:t>
      </w:r>
      <w:bookmarkEnd w:id="47"/>
    </w:p>
    <w:p w14:paraId="0BA5E11A">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w:t>
      </w:r>
      <w:r>
        <w:rPr>
          <w:rFonts w:hint="default" w:ascii="Times New Roman" w:hAnsi="Times New Roman" w:eastAsia="仿宋_GB2312" w:cs="Times New Roman"/>
          <w:sz w:val="32"/>
          <w:szCs w:val="32"/>
          <w:lang w:val="en-US" w:eastAsia="zh-CN"/>
        </w:rPr>
        <w:t>指标构成</w:t>
      </w:r>
      <w:r>
        <w:rPr>
          <w:rFonts w:hint="default" w:ascii="Times New Roman" w:hAnsi="Times New Roman" w:eastAsia="仿宋_GB2312" w:cs="Times New Roman"/>
          <w:sz w:val="32"/>
          <w:szCs w:val="32"/>
          <w:highlight w:val="none"/>
          <w:lang w:val="en-US" w:eastAsia="zh-CN"/>
        </w:rPr>
        <w:t>，权重分值为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72B0B535">
      <w:pPr>
        <w:pStyle w:val="26"/>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3" w:firstLineChars="200"/>
        <w:textAlignment w:val="auto"/>
        <w:outlineLvl w:val="2"/>
        <w:rPr>
          <w:rFonts w:hint="default" w:ascii="Times New Roman" w:hAnsi="Times New Roman" w:eastAsia="仿宋_GB2312" w:cs="Times New Roman"/>
          <w:b/>
          <w:bCs/>
          <w:sz w:val="32"/>
          <w:szCs w:val="32"/>
          <w:highlight w:val="none"/>
          <w:lang w:val="en-US" w:eastAsia="zh-CN"/>
        </w:rPr>
      </w:pPr>
      <w:bookmarkStart w:id="48" w:name="_Toc23265"/>
      <w:r>
        <w:rPr>
          <w:rFonts w:hint="default" w:ascii="Times New Roman" w:hAnsi="Times New Roman" w:eastAsia="仿宋_GB2312" w:cs="Times New Roman"/>
          <w:b/>
          <w:bCs/>
          <w:sz w:val="32"/>
          <w:szCs w:val="32"/>
          <w:highlight w:val="none"/>
          <w:lang w:val="en-US" w:eastAsia="zh-CN"/>
        </w:rPr>
        <w:t>1.资金管理</w:t>
      </w:r>
      <w:bookmarkEnd w:id="48"/>
    </w:p>
    <w:p w14:paraId="5F1E889F">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lang w:val="en-US" w:eastAsia="zh-CN"/>
        </w:rPr>
      </w:pPr>
      <w:bookmarkStart w:id="49" w:name="_Toc19976"/>
      <w:r>
        <w:rPr>
          <w:rFonts w:hint="default" w:ascii="Times New Roman" w:hAnsi="Times New Roman" w:eastAsia="仿宋_GB2312" w:cs="Times New Roman"/>
          <w:sz w:val="32"/>
          <w:szCs w:val="32"/>
          <w:highlight w:val="none"/>
          <w:lang w:val="en-US" w:eastAsia="zh-CN"/>
        </w:rPr>
        <w:t>（1）资金到位率</w:t>
      </w:r>
      <w:bookmarkEnd w:id="49"/>
    </w:p>
    <w:p w14:paraId="565E987D">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1242.06</w:t>
      </w:r>
      <w:r>
        <w:rPr>
          <w:rFonts w:hint="default" w:ascii="Times New Roman" w:hAnsi="Times New Roman" w:eastAsia="仿宋_GB2312" w:cs="Times New Roman"/>
          <w:sz w:val="32"/>
          <w:szCs w:val="32"/>
          <w:highlight w:val="none"/>
          <w:lang w:val="en-US" w:eastAsia="zh-CN"/>
        </w:rPr>
        <w:t>万元，资金来源为其他收入，实际到位资金</w:t>
      </w:r>
      <w:r>
        <w:rPr>
          <w:rFonts w:hint="eastAsia" w:eastAsia="仿宋_GB2312" w:cs="Times New Roman"/>
          <w:sz w:val="32"/>
          <w:szCs w:val="32"/>
          <w:highlight w:val="none"/>
          <w:lang w:val="en-US" w:eastAsia="zh-CN"/>
        </w:rPr>
        <w:t>1242.06</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，资金</w:t>
      </w:r>
      <w:r>
        <w:rPr>
          <w:rFonts w:hint="default" w:ascii="Times New Roman" w:hAnsi="Times New Roman" w:eastAsia="仿宋_GB2312" w:cs="Times New Roman"/>
          <w:sz w:val="32"/>
          <w:szCs w:val="32"/>
          <w:highlight w:val="none"/>
          <w:lang w:val="en-US" w:eastAsia="zh-CN"/>
        </w:rPr>
        <w:t>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，该指标满分为4分，根据评分标准得4分。</w:t>
      </w:r>
    </w:p>
    <w:p w14:paraId="21F4F2BF">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lang w:val="en-US" w:eastAsia="zh-CN"/>
        </w:rPr>
      </w:pPr>
      <w:bookmarkStart w:id="50" w:name="_Toc20558"/>
      <w:r>
        <w:rPr>
          <w:rFonts w:hint="default" w:ascii="Times New Roman" w:hAnsi="Times New Roman" w:eastAsia="仿宋_GB2312" w:cs="Times New Roman"/>
          <w:sz w:val="32"/>
          <w:szCs w:val="32"/>
          <w:highlight w:val="none"/>
          <w:lang w:val="en-US" w:eastAsia="zh-CN"/>
        </w:rPr>
        <w:t>（2）预算执行率</w:t>
      </w:r>
      <w:bookmarkEnd w:id="50"/>
    </w:p>
    <w:p w14:paraId="663068F6">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本项目全年预算1242.06万元，全年实际</w:t>
      </w:r>
      <w:r>
        <w:rPr>
          <w:rFonts w:hint="default" w:ascii="Times New Roman" w:hAnsi="Times New Roman" w:eastAsia="仿宋_GB2312" w:cs="Times New Roman"/>
          <w:sz w:val="32"/>
          <w:szCs w:val="32"/>
          <w:highlight w:val="none"/>
          <w:lang w:val="en-US" w:eastAsia="zh-CN"/>
        </w:rPr>
        <w:t>支出</w:t>
      </w:r>
      <w:r>
        <w:rPr>
          <w:rFonts w:hint="eastAsia" w:eastAsia="仿宋_GB2312" w:cs="Times New Roman"/>
          <w:sz w:val="32"/>
          <w:szCs w:val="32"/>
          <w:highlight w:val="none"/>
          <w:lang w:val="en-US" w:eastAsia="zh-CN"/>
        </w:rPr>
        <w:t>1242.06</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，该指标满分为4分，根据评分标准得4分。</w:t>
      </w:r>
    </w:p>
    <w:p w14:paraId="6605657B">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bookmarkStart w:id="51" w:name="_Toc17145"/>
      <w:r>
        <w:rPr>
          <w:rFonts w:hint="default" w:ascii="Times New Roman" w:hAnsi="Times New Roman" w:eastAsia="仿宋_GB2312" w:cs="Times New Roman"/>
          <w:sz w:val="32"/>
          <w:szCs w:val="32"/>
          <w:lang w:val="en-US" w:eastAsia="zh-CN"/>
        </w:rPr>
        <w:t>（3）资金使用合规性</w:t>
      </w:r>
      <w:bookmarkEnd w:id="51"/>
    </w:p>
    <w:p w14:paraId="31FEA09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bookmarkStart w:id="52" w:name="_Toc6256"/>
      <w:r>
        <w:rPr>
          <w:rFonts w:hint="default" w:ascii="Times New Roman" w:hAnsi="Times New Roman" w:eastAsia="仿宋_GB2312" w:cs="Times New Roman"/>
          <w:sz w:val="32"/>
          <w:szCs w:val="32"/>
          <w:highlight w:val="none"/>
          <w:lang w:eastAsia="zh-CN"/>
        </w:rPr>
        <w:t>项目严格按照预期绩效目标执行预算资金。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r>
        <w:rPr>
          <w:rFonts w:hint="default" w:ascii="Times New Roman" w:hAnsi="Times New Roman" w:eastAsia="仿宋_GB2312" w:cs="Times New Roman"/>
          <w:sz w:val="32"/>
          <w:szCs w:val="32"/>
          <w:highlight w:val="none"/>
          <w:lang w:eastAsia="zh-CN"/>
        </w:rPr>
        <w:t>。</w:t>
      </w:r>
    </w:p>
    <w:p w14:paraId="23E81BEA">
      <w:pPr>
        <w:pStyle w:val="26"/>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3" w:firstLineChars="200"/>
        <w:textAlignment w:val="auto"/>
        <w:outlineLvl w:val="2"/>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bookmarkEnd w:id="52"/>
    </w:p>
    <w:p w14:paraId="5A7CE128">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lang w:val="en-US" w:eastAsia="zh-CN"/>
        </w:rPr>
      </w:pPr>
      <w:bookmarkStart w:id="53" w:name="_Toc470"/>
      <w:r>
        <w:rPr>
          <w:rFonts w:hint="default" w:ascii="Times New Roman" w:hAnsi="Times New Roman" w:eastAsia="仿宋_GB2312" w:cs="Times New Roman"/>
          <w:sz w:val="32"/>
          <w:szCs w:val="32"/>
          <w:highlight w:val="none"/>
          <w:lang w:val="en-US" w:eastAsia="zh-CN"/>
        </w:rPr>
        <w:t>（1）管理制度健全性</w:t>
      </w:r>
      <w:bookmarkEnd w:id="53"/>
    </w:p>
    <w:p w14:paraId="4CB52FA8">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bookmarkStart w:id="54" w:name="_Toc29107"/>
      <w:r>
        <w:rPr>
          <w:rFonts w:hint="eastAsia" w:eastAsia="仿宋_GB2312" w:cs="Times New Roman"/>
          <w:sz w:val="32"/>
          <w:szCs w:val="32"/>
          <w:highlight w:val="none"/>
          <w:lang w:val="en-US" w:eastAsia="zh-CN"/>
        </w:rPr>
        <w:t>本项目按照《地方政府债券发行管理办法》的通知（财库〔2020〕43号），对偿还债券利息支出资金进行严格管理</w:t>
      </w:r>
      <w:r>
        <w:rPr>
          <w:rFonts w:hint="default" w:ascii="Times New Roman" w:hAnsi="Times New Roman" w:eastAsia="仿宋_GB2312" w:cs="Times New Roman"/>
          <w:sz w:val="32"/>
          <w:szCs w:val="32"/>
          <w:highlight w:val="none"/>
          <w:lang w:eastAsia="zh-CN"/>
        </w:rPr>
        <w:t>，做到专款专用，项目资金使用符合相关的财务管理制度规定，能够反映和考核项目资金的规范运行情况；项目实施单位的财务和业务管理制度健全，能够反映和考核财务和业务管理制度对项目顺利实施的保障情况</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r>
        <w:rPr>
          <w:rFonts w:hint="default" w:ascii="Times New Roman" w:hAnsi="Times New Roman" w:eastAsia="仿宋_GB2312" w:cs="Times New Roman"/>
          <w:sz w:val="32"/>
          <w:szCs w:val="32"/>
          <w:highlight w:val="none"/>
          <w:lang w:eastAsia="zh-CN"/>
        </w:rPr>
        <w:t>。</w:t>
      </w:r>
    </w:p>
    <w:p w14:paraId="5972552F">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bookmarkEnd w:id="54"/>
    </w:p>
    <w:p w14:paraId="363718DE">
      <w:pPr>
        <w:pStyle w:val="26"/>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0" w:firstLineChars="200"/>
        <w:textAlignment w:val="auto"/>
        <w:outlineLvl w:val="2"/>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本项目在执行过程中，管理制度得到了全面、有效的落实，对资金使用的合法合规性进行监督，年末对资金使用效果进行评价，为确保项目的顺利实施与目标实现提供了坚实的保障。</w:t>
      </w:r>
    </w:p>
    <w:p w14:paraId="4B1FD9F6">
      <w:pPr>
        <w:pStyle w:val="26"/>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0" w:firstLineChars="200"/>
        <w:textAlignment w:val="auto"/>
        <w:outlineLvl w:val="2"/>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eastAsia="zh-CN"/>
        </w:rPr>
        <w:t>项目单位重视制度执行的重要性，通过明确责任分工、制定详细执行计划、加强监督考核等措施，确保了各项管理制度能够得到有效执行。项目管理、实施人员落实到位，有效按照计划执行。项目执行情况等资料齐全，项目相关手续完备，及时进行归档</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r>
        <w:rPr>
          <w:rFonts w:hint="default" w:ascii="Times New Roman" w:hAnsi="Times New Roman" w:eastAsia="仿宋_GB2312" w:cs="Times New Roman"/>
          <w:sz w:val="32"/>
          <w:szCs w:val="32"/>
          <w:highlight w:val="none"/>
          <w:lang w:eastAsia="zh-CN"/>
        </w:rPr>
        <w:t>。</w:t>
      </w:r>
    </w:p>
    <w:p w14:paraId="0E0F1FB5">
      <w:pPr>
        <w:pStyle w:val="15"/>
        <w:pageBreakBefore w:val="0"/>
        <w:numPr>
          <w:ilvl w:val="0"/>
          <w:numId w:val="0"/>
        </w:numPr>
        <w:kinsoku/>
        <w:wordWrap w:val="0"/>
        <w:overflowPunct/>
        <w:topLinePunct/>
        <w:autoSpaceDE/>
        <w:autoSpaceDN/>
        <w:bidi w:val="0"/>
        <w:adjustRightInd/>
        <w:snapToGrid/>
        <w:spacing w:line="560" w:lineRule="exact"/>
        <w:ind w:firstLine="643" w:firstLineChars="200"/>
        <w:textAlignment w:val="auto"/>
        <w:outlineLvl w:val="1"/>
        <w:rPr>
          <w:rFonts w:hint="default" w:ascii="Times New Roman" w:hAnsi="Times New Roman" w:eastAsia="楷体_GB2312" w:cs="Times New Roman"/>
          <w:b/>
          <w:bCs/>
          <w:sz w:val="32"/>
          <w:szCs w:val="32"/>
        </w:rPr>
      </w:pPr>
      <w:bookmarkStart w:id="55" w:name="_Toc8612"/>
      <w:r>
        <w:rPr>
          <w:rFonts w:hint="eastAsia" w:eastAsia="楷体_GB2312" w:cs="Times New Roman"/>
          <w:b/>
          <w:bCs/>
          <w:sz w:val="32"/>
          <w:szCs w:val="32"/>
          <w:lang w:eastAsia="zh-CN"/>
        </w:rPr>
        <w:t>（</w:t>
      </w:r>
      <w:r>
        <w:rPr>
          <w:rFonts w:hint="eastAsia" w:eastAsia="楷体_GB2312" w:cs="Times New Roman"/>
          <w:b/>
          <w:bCs/>
          <w:sz w:val="32"/>
          <w:szCs w:val="32"/>
          <w:lang w:val="en-US" w:eastAsia="zh-CN"/>
        </w:rPr>
        <w:t>三</w:t>
      </w:r>
      <w:r>
        <w:rPr>
          <w:rFonts w:hint="eastAsia" w:eastAsia="楷体_GB2312" w:cs="Times New Roman"/>
          <w:b/>
          <w:bCs/>
          <w:sz w:val="32"/>
          <w:szCs w:val="32"/>
          <w:lang w:eastAsia="zh-CN"/>
        </w:rPr>
        <w:t>）</w:t>
      </w: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bookmarkEnd w:id="55"/>
    </w:p>
    <w:p w14:paraId="344FC32B">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07D3F2A5">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lang w:val="en-US" w:eastAsia="zh-CN"/>
        </w:rPr>
        <w:t>实际完成率</w:t>
      </w:r>
    </w:p>
    <w:p w14:paraId="11DE07F7">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数量指标1：资金支付金额，指标值：=1242.06万元，实际完成值：=1242.06万元，指标完成率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01037F1B">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全年支付专项债券利息次数</w:t>
      </w:r>
      <w:r>
        <w:rPr>
          <w:rFonts w:hint="default" w:ascii="Times New Roman" w:hAnsi="Times New Roman" w:eastAsia="仿宋_GB2312" w:cs="Times New Roman"/>
          <w:sz w:val="32"/>
          <w:szCs w:val="32"/>
          <w:highlight w:val="none"/>
        </w:rPr>
        <w:t>，指标值：=4次，实际完成值：=4次，指标完成率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0EFBF4FE">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该指标满分为10分，根据评分标准得10分。</w:t>
      </w:r>
    </w:p>
    <w:p w14:paraId="6D8E6515">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质量达标率</w:t>
      </w:r>
      <w:r>
        <w:rPr>
          <w:rFonts w:hint="default" w:ascii="Times New Roman" w:hAnsi="Times New Roman" w:eastAsia="仿宋_GB2312" w:cs="Times New Roman"/>
          <w:sz w:val="32"/>
          <w:szCs w:val="32"/>
          <w:highlight w:val="none"/>
        </w:rPr>
        <w:t>：</w:t>
      </w:r>
    </w:p>
    <w:p w14:paraId="5E23E38C">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质量指标1</w:t>
      </w:r>
      <w:r>
        <w:rPr>
          <w:rFonts w:hint="default" w:ascii="Times New Roman" w:hAnsi="Times New Roman" w:eastAsia="仿宋_GB2312" w:cs="Times New Roman"/>
          <w:sz w:val="32"/>
          <w:szCs w:val="32"/>
          <w:highlight w:val="none"/>
        </w:rPr>
        <w:t>：利息支付准确率，指标值：&gt;=90%，实际完成值：=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11A17A48">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质量指标2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利息支付合规率</w:t>
      </w:r>
      <w:r>
        <w:rPr>
          <w:rFonts w:hint="default" w:ascii="Times New Roman" w:hAnsi="Times New Roman" w:eastAsia="仿宋_GB2312" w:cs="Times New Roman"/>
          <w:sz w:val="32"/>
          <w:szCs w:val="32"/>
          <w:highlight w:val="none"/>
        </w:rPr>
        <w:t>，指标值：&gt;=90%，实际完成值：=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52F2B679">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该指标满分为10分，根据评分标准得10分。</w:t>
      </w:r>
    </w:p>
    <w:p w14:paraId="6234C643">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3</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完成及时性</w:t>
      </w:r>
      <w:r>
        <w:rPr>
          <w:rFonts w:hint="default" w:ascii="Times New Roman" w:hAnsi="Times New Roman" w:eastAsia="仿宋_GB2312" w:cs="Times New Roman"/>
          <w:sz w:val="32"/>
          <w:szCs w:val="32"/>
          <w:highlight w:val="none"/>
        </w:rPr>
        <w:t>：</w:t>
      </w:r>
    </w:p>
    <w:p w14:paraId="2979EF16">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时效指标1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第一次支付时间</w:t>
      </w:r>
      <w:r>
        <w:rPr>
          <w:rFonts w:hint="default" w:ascii="Times New Roman" w:hAnsi="Times New Roman" w:eastAsia="仿宋_GB2312" w:cs="Times New Roman"/>
          <w:sz w:val="32"/>
          <w:szCs w:val="32"/>
          <w:highlight w:val="none"/>
        </w:rPr>
        <w:t>，指标值：&lt;=2025年4月，实际完成值：=2025年4月，指标完成率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62D9DE55">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时效指标2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第二次支付时间</w:t>
      </w:r>
      <w:r>
        <w:rPr>
          <w:rFonts w:hint="default" w:ascii="Times New Roman" w:hAnsi="Times New Roman" w:eastAsia="仿宋_GB2312" w:cs="Times New Roman"/>
          <w:sz w:val="32"/>
          <w:szCs w:val="32"/>
          <w:highlight w:val="none"/>
        </w:rPr>
        <w:t>，指标值：&lt;=2025年</w:t>
      </w: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月，实际完成值：=2025年</w:t>
      </w: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月，指标完成率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731DA6D1">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时效指标3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第三次支付时间</w:t>
      </w:r>
      <w:r>
        <w:rPr>
          <w:rFonts w:hint="default" w:ascii="Times New Roman" w:hAnsi="Times New Roman" w:eastAsia="仿宋_GB2312" w:cs="Times New Roman"/>
          <w:sz w:val="32"/>
          <w:szCs w:val="32"/>
          <w:highlight w:val="none"/>
        </w:rPr>
        <w:t>，指标值：&lt;=2025年</w:t>
      </w: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rPr>
        <w:t>月，实际完成值：=2025年</w:t>
      </w:r>
      <w:r>
        <w:rPr>
          <w:rFonts w:hint="eastAsia" w:ascii="Times New Roman" w:hAnsi="Times New Roman"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rPr>
        <w:t>月，指标完成率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02CC21A2">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时效指标4</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第四次支付时间</w:t>
      </w:r>
      <w:r>
        <w:rPr>
          <w:rFonts w:hint="default" w:ascii="Times New Roman" w:hAnsi="Times New Roman" w:eastAsia="仿宋_GB2312" w:cs="Times New Roman"/>
          <w:sz w:val="32"/>
          <w:szCs w:val="32"/>
          <w:highlight w:val="none"/>
        </w:rPr>
        <w:t>，指标值：&lt;=2025年</w:t>
      </w:r>
      <w:r>
        <w:rPr>
          <w:rFonts w:hint="eastAsia" w:ascii="Times New Roman" w:hAnsi="Times New Roman" w:eastAsia="仿宋_GB2312" w:cs="Times New Roman"/>
          <w:sz w:val="32"/>
          <w:szCs w:val="32"/>
          <w:highlight w:val="none"/>
          <w:lang w:val="en-US" w:eastAsia="zh-CN"/>
        </w:rPr>
        <w:t>12</w:t>
      </w:r>
      <w:r>
        <w:rPr>
          <w:rFonts w:hint="default" w:ascii="Times New Roman" w:hAnsi="Times New Roman" w:eastAsia="仿宋_GB2312" w:cs="Times New Roman"/>
          <w:sz w:val="32"/>
          <w:szCs w:val="32"/>
          <w:highlight w:val="none"/>
        </w:rPr>
        <w:t>月，实际完成值：=2025年</w:t>
      </w:r>
      <w:r>
        <w:rPr>
          <w:rFonts w:hint="eastAsia" w:ascii="Times New Roman" w:hAnsi="Times New Roman" w:eastAsia="仿宋_GB2312" w:cs="Times New Roman"/>
          <w:sz w:val="32"/>
          <w:szCs w:val="32"/>
          <w:highlight w:val="none"/>
          <w:lang w:val="en-US" w:eastAsia="zh-CN"/>
        </w:rPr>
        <w:t>12</w:t>
      </w:r>
      <w:r>
        <w:rPr>
          <w:rFonts w:hint="default" w:ascii="Times New Roman" w:hAnsi="Times New Roman" w:eastAsia="仿宋_GB2312" w:cs="Times New Roman"/>
          <w:sz w:val="32"/>
          <w:szCs w:val="32"/>
          <w:highlight w:val="none"/>
        </w:rPr>
        <w:t>月，指标完成率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3EF273E9">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该指标满分为10分，根据评分标准得10分。</w:t>
      </w:r>
    </w:p>
    <w:p w14:paraId="75697BA0">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4</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成本节约率</w:t>
      </w:r>
      <w:r>
        <w:rPr>
          <w:rFonts w:hint="default" w:eastAsia="仿宋_GB2312" w:cs="Times New Roman"/>
          <w:sz w:val="32"/>
          <w:szCs w:val="32"/>
          <w:highlight w:val="none"/>
          <w:lang w:val="en-US" w:eastAsia="zh-CN"/>
        </w:rPr>
        <w:t>：</w:t>
      </w:r>
    </w:p>
    <w:p w14:paraId="18EF9182">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经济成本指标1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第一次支付金额</w:t>
      </w:r>
      <w:r>
        <w:rPr>
          <w:rFonts w:hint="default" w:ascii="Times New Roman" w:hAnsi="Times New Roman" w:eastAsia="仿宋_GB2312" w:cs="Times New Roman"/>
          <w:sz w:val="32"/>
          <w:szCs w:val="32"/>
          <w:highlight w:val="none"/>
        </w:rPr>
        <w:t>，指标值：&lt;=318.02万元，实际完成值：=318.02万元，指标完成率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16365406">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经济成本指标2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第二次支付金额</w:t>
      </w:r>
      <w:r>
        <w:rPr>
          <w:rFonts w:hint="default" w:ascii="Times New Roman" w:hAnsi="Times New Roman" w:eastAsia="仿宋_GB2312" w:cs="Times New Roman"/>
          <w:sz w:val="32"/>
          <w:szCs w:val="32"/>
          <w:highlight w:val="none"/>
        </w:rPr>
        <w:t>，指标值：&lt;=303.01万元，实际完成值：=303.01万元，指标完成率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568344CC">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经济成本指标3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第三次支付金额</w:t>
      </w:r>
      <w:r>
        <w:rPr>
          <w:rFonts w:hint="default" w:ascii="Times New Roman" w:hAnsi="Times New Roman" w:eastAsia="仿宋_GB2312" w:cs="Times New Roman"/>
          <w:sz w:val="32"/>
          <w:szCs w:val="32"/>
          <w:highlight w:val="none"/>
        </w:rPr>
        <w:t>，指标值：&lt;=318.02万元，实际完成值：=318.02万元，指标完成率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407FFACB">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经济成本指标4</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第四次支付金额</w:t>
      </w:r>
      <w:r>
        <w:rPr>
          <w:rFonts w:hint="default" w:ascii="Times New Roman" w:hAnsi="Times New Roman" w:eastAsia="仿宋_GB2312" w:cs="Times New Roman"/>
          <w:sz w:val="32"/>
          <w:szCs w:val="32"/>
          <w:highlight w:val="none"/>
        </w:rPr>
        <w:t>，指标值：&lt;=303.01万元，实际完成值：=303.01万元，指标完成率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4BAFDA62">
      <w:pPr>
        <w:pStyle w:val="15"/>
        <w:pageBreakBefore w:val="0"/>
        <w:numPr>
          <w:ilvl w:val="0"/>
          <w:numId w:val="0"/>
        </w:numPr>
        <w:kinsoku/>
        <w:wordWrap w:val="0"/>
        <w:overflowPunct/>
        <w:topLinePunct/>
        <w:autoSpaceDE/>
        <w:autoSpaceDN/>
        <w:bidi w:val="0"/>
        <w:adjustRightInd/>
        <w:snapToGrid/>
        <w:spacing w:line="560" w:lineRule="exact"/>
        <w:ind w:firstLine="640" w:firstLineChars="200"/>
        <w:textAlignment w:val="auto"/>
        <w:outlineLvl w:val="1"/>
        <w:rPr>
          <w:rFonts w:hint="eastAsia" w:eastAsia="楷体_GB2312" w:cs="Times New Roman"/>
          <w:b/>
          <w:bCs/>
          <w:color w:val="auto"/>
          <w:sz w:val="32"/>
          <w:szCs w:val="32"/>
          <w:highlight w:val="none"/>
          <w:lang w:val="en-US" w:eastAsia="zh-CN"/>
        </w:rPr>
      </w:pPr>
      <w:bookmarkStart w:id="56" w:name="_Toc18470"/>
      <w:r>
        <w:rPr>
          <w:rFonts w:hint="eastAsia" w:eastAsia="仿宋_GB2312" w:cs="Times New Roman"/>
          <w:color w:val="auto"/>
          <w:sz w:val="32"/>
          <w:szCs w:val="32"/>
          <w:highlight w:val="none"/>
          <w:lang w:val="en-US" w:eastAsia="zh-CN"/>
        </w:rPr>
        <w:t>该指标满分为10分</w:t>
      </w:r>
      <w:r>
        <w:rPr>
          <w:rFonts w:hint="default" w:eastAsia="仿宋_GB2312" w:cs="Times New Roman"/>
          <w:color w:val="auto"/>
          <w:sz w:val="32"/>
          <w:szCs w:val="32"/>
          <w:highlight w:val="none"/>
          <w:lang w:val="en-US" w:eastAsia="zh-CN"/>
        </w:rPr>
        <w:t>，本项目计划总成本为</w:t>
      </w:r>
      <w:r>
        <w:rPr>
          <w:rFonts w:hint="eastAsia" w:eastAsia="仿宋_GB2312" w:cs="Times New Roman"/>
          <w:color w:val="auto"/>
          <w:sz w:val="32"/>
          <w:szCs w:val="32"/>
          <w:highlight w:val="none"/>
          <w:lang w:val="en-US" w:eastAsia="zh-CN"/>
        </w:rPr>
        <w:t>1242.06</w:t>
      </w:r>
      <w:r>
        <w:rPr>
          <w:rFonts w:hint="default" w:eastAsia="仿宋_GB2312" w:cs="Times New Roman"/>
          <w:color w:val="auto"/>
          <w:sz w:val="32"/>
          <w:szCs w:val="32"/>
          <w:highlight w:val="none"/>
          <w:lang w:val="en-US" w:eastAsia="zh-CN"/>
        </w:rPr>
        <w:t>万元，实际发生总成本为</w:t>
      </w:r>
      <w:r>
        <w:rPr>
          <w:rFonts w:hint="eastAsia" w:eastAsia="仿宋_GB2312" w:cs="Times New Roman"/>
          <w:color w:val="auto"/>
          <w:sz w:val="32"/>
          <w:szCs w:val="32"/>
          <w:highlight w:val="none"/>
          <w:lang w:val="en-US" w:eastAsia="zh-CN"/>
        </w:rPr>
        <w:t>1242.06</w:t>
      </w:r>
      <w:r>
        <w:rPr>
          <w:rFonts w:hint="default" w:eastAsia="仿宋_GB2312" w:cs="Times New Roman"/>
          <w:color w:val="auto"/>
          <w:sz w:val="32"/>
          <w:szCs w:val="32"/>
          <w:highlight w:val="none"/>
          <w:lang w:val="en-US" w:eastAsia="zh-CN"/>
        </w:rPr>
        <w:t>万元，成本节约率为</w:t>
      </w:r>
      <w:r>
        <w:rPr>
          <w:rFonts w:hint="eastAsia" w:eastAsia="仿宋_GB2312" w:cs="Times New Roman"/>
          <w:color w:val="auto"/>
          <w:sz w:val="32"/>
          <w:szCs w:val="32"/>
          <w:highlight w:val="none"/>
          <w:lang w:val="en-US" w:eastAsia="zh-CN"/>
        </w:rPr>
        <w:t>0</w:t>
      </w:r>
      <w:r>
        <w:rPr>
          <w:rFonts w:hint="default" w:eastAsia="仿宋_GB2312" w:cs="Times New Roman"/>
          <w:color w:val="auto"/>
          <w:sz w:val="32"/>
          <w:szCs w:val="32"/>
          <w:highlight w:val="none"/>
          <w:lang w:val="en-US" w:eastAsia="zh-CN"/>
        </w:rPr>
        <w:t>%，未发生任何超支情况</w:t>
      </w:r>
      <w:r>
        <w:rPr>
          <w:rFonts w:hint="default" w:ascii="Times New Roman" w:hAnsi="Times New Roman" w:eastAsia="仿宋_GB2312" w:cs="Times New Roman"/>
          <w:color w:val="auto"/>
          <w:sz w:val="32"/>
          <w:szCs w:val="32"/>
          <w:highlight w:val="none"/>
          <w:lang w:val="en-US"/>
        </w:rPr>
        <w:t>，</w:t>
      </w:r>
      <w:r>
        <w:rPr>
          <w:rFonts w:hint="default" w:ascii="Times New Roman" w:hAnsi="Times New Roman" w:eastAsia="仿宋_GB2312" w:cs="Times New Roman"/>
          <w:color w:val="auto"/>
          <w:sz w:val="32"/>
          <w:szCs w:val="32"/>
          <w:highlight w:val="none"/>
          <w:lang w:val="en-US" w:eastAsia="zh-CN"/>
        </w:rPr>
        <w:t>故得满分</w:t>
      </w:r>
      <w:r>
        <w:rPr>
          <w:rFonts w:hint="eastAsia" w:eastAsia="仿宋_GB2312" w:cs="Times New Roman"/>
          <w:color w:val="auto"/>
          <w:sz w:val="32"/>
          <w:szCs w:val="32"/>
          <w:highlight w:val="none"/>
          <w:lang w:val="en-US" w:eastAsia="zh-CN"/>
        </w:rPr>
        <w:t>。</w:t>
      </w:r>
    </w:p>
    <w:p w14:paraId="6BC7946C">
      <w:pPr>
        <w:pStyle w:val="15"/>
        <w:pageBreakBefore w:val="0"/>
        <w:numPr>
          <w:ilvl w:val="0"/>
          <w:numId w:val="0"/>
        </w:numPr>
        <w:kinsoku/>
        <w:wordWrap w:val="0"/>
        <w:overflowPunct/>
        <w:topLinePunct/>
        <w:autoSpaceDE/>
        <w:autoSpaceDN/>
        <w:bidi w:val="0"/>
        <w:adjustRightInd/>
        <w:snapToGrid/>
        <w:spacing w:line="560" w:lineRule="exact"/>
        <w:ind w:firstLine="643" w:firstLineChars="200"/>
        <w:textAlignment w:val="auto"/>
        <w:outlineLvl w:val="1"/>
        <w:rPr>
          <w:rFonts w:hint="default" w:ascii="Times New Roman" w:hAnsi="Times New Roman" w:eastAsia="楷体_GB2312" w:cs="Times New Roman"/>
          <w:b/>
          <w:bCs/>
          <w:sz w:val="32"/>
          <w:szCs w:val="32"/>
          <w:lang w:val="en-US" w:eastAsia="zh-CN"/>
        </w:rPr>
      </w:pPr>
      <w:r>
        <w:rPr>
          <w:rFonts w:hint="eastAsia" w:eastAsia="楷体_GB2312" w:cs="Times New Roman"/>
          <w:b/>
          <w:bCs/>
          <w:sz w:val="32"/>
          <w:szCs w:val="32"/>
          <w:lang w:val="en-US" w:eastAsia="zh-CN"/>
        </w:rPr>
        <w:t>（四）</w:t>
      </w:r>
      <w:r>
        <w:rPr>
          <w:rFonts w:hint="default" w:ascii="Times New Roman" w:hAnsi="Times New Roman" w:eastAsia="楷体_GB2312" w:cs="Times New Roman"/>
          <w:b/>
          <w:bCs/>
          <w:sz w:val="32"/>
          <w:szCs w:val="32"/>
          <w:lang w:val="en-US" w:eastAsia="zh-CN"/>
        </w:rPr>
        <w:t>项目效益情况</w:t>
      </w:r>
      <w:bookmarkEnd w:id="56"/>
    </w:p>
    <w:p w14:paraId="43AE9F28">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229B4331">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color w:val="FF0000"/>
          <w:sz w:val="32"/>
          <w:szCs w:val="32"/>
          <w:highlight w:val="none"/>
          <w:lang w:val="en-US" w:eastAsia="zh-CN"/>
        </w:rPr>
      </w:pPr>
      <w:bookmarkStart w:id="57" w:name="_Toc21198"/>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bookmarkEnd w:id="57"/>
    </w:p>
    <w:p w14:paraId="2F8E2AD7">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02F8F01B">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lang w:val="en-US" w:eastAsia="zh-CN"/>
        </w:rPr>
      </w:pPr>
      <w:r>
        <w:rPr>
          <w:rFonts w:hint="eastAsia" w:eastAsia="仿宋_GB2312" w:cs="Times New Roman"/>
          <w:sz w:val="32"/>
          <w:szCs w:val="32"/>
          <w:highlight w:val="none"/>
          <w:lang w:val="en-US" w:eastAsia="zh-CN"/>
        </w:rPr>
        <w:t>防止专项债逾期付息导致违约风险率，指标值：≥90%，实际完成值：=100%，指标完成率100%。</w:t>
      </w:r>
    </w:p>
    <w:p w14:paraId="5CD2C525">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2"/>
        <w:rPr>
          <w:rFonts w:hint="eastAsia" w:eastAsia="仿宋_GB2312" w:cs="Times New Roman"/>
          <w:color w:val="auto"/>
          <w:sz w:val="32"/>
          <w:szCs w:val="32"/>
          <w:highlight w:val="none"/>
          <w:lang w:val="en-US" w:eastAsia="zh-CN"/>
        </w:rPr>
      </w:pPr>
      <w:bookmarkStart w:id="58" w:name="_Toc5313"/>
      <w:r>
        <w:rPr>
          <w:rFonts w:hint="eastAsia" w:eastAsia="仿宋_GB2312" w:cs="Times New Roman"/>
          <w:color w:val="auto"/>
          <w:sz w:val="32"/>
          <w:szCs w:val="32"/>
          <w:highlight w:val="none"/>
          <w:lang w:val="en-US" w:eastAsia="zh-CN"/>
        </w:rPr>
        <w:t>该指标满分为10分，根据评分标准得10分。</w:t>
      </w:r>
    </w:p>
    <w:p w14:paraId="67AC6BC6">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满意度</w:t>
      </w:r>
      <w:bookmarkEnd w:id="58"/>
    </w:p>
    <w:p w14:paraId="6845DB47">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lang w:val="en-US" w:eastAsia="zh-CN"/>
        </w:rPr>
      </w:pPr>
      <w:r>
        <w:rPr>
          <w:rFonts w:hint="eastAsia" w:eastAsia="仿宋_GB2312" w:cs="Times New Roman"/>
          <w:sz w:val="32"/>
          <w:szCs w:val="32"/>
          <w:highlight w:val="none"/>
          <w:lang w:val="en-US" w:eastAsia="zh-CN"/>
        </w:rPr>
        <w:t>工程库周受益居民满意度，指标值：≥90%，实际完成值：=100%，指标完成率100%。</w:t>
      </w:r>
    </w:p>
    <w:p w14:paraId="4A0F4B25">
      <w:pPr>
        <w:pageBreakBefore w:val="0"/>
        <w:kinsoku/>
        <w:wordWrap w:val="0"/>
        <w:overflowPunct/>
        <w:topLinePunct/>
        <w:autoSpaceDE/>
        <w:autoSpaceDN/>
        <w:bidi w:val="0"/>
        <w:adjustRightInd/>
        <w:snapToGrid/>
        <w:spacing w:line="560" w:lineRule="exact"/>
        <w:ind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59" w:name="_Toc21462"/>
      <w:r>
        <w:rPr>
          <w:rFonts w:hint="eastAsia" w:eastAsia="仿宋_GB2312" w:cs="Times New Roman"/>
          <w:color w:val="auto"/>
          <w:sz w:val="32"/>
          <w:szCs w:val="32"/>
          <w:highlight w:val="none"/>
          <w:lang w:val="en-US" w:eastAsia="zh-CN"/>
        </w:rPr>
        <w:t>该指标满分为10分，根据评分标准得10分。</w:t>
      </w:r>
    </w:p>
    <w:p w14:paraId="0762D4B0">
      <w:pPr>
        <w:pageBreakBefore w:val="0"/>
        <w:kinsoku/>
        <w:wordWrap w:val="0"/>
        <w:overflowPunct/>
        <w:topLinePunct/>
        <w:autoSpaceDE/>
        <w:autoSpaceDN/>
        <w:bidi w:val="0"/>
        <w:adjustRightInd/>
        <w:snapToGrid/>
        <w:spacing w:line="560" w:lineRule="exact"/>
        <w:ind w:firstLine="640" w:firstLineChars="200"/>
        <w:textAlignment w:val="auto"/>
        <w:outlineLvl w:val="0"/>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rPr>
        <w:t>预算执行进度与</w:t>
      </w:r>
      <w:bookmarkEnd w:id="59"/>
      <w:r>
        <w:rPr>
          <w:rFonts w:hint="eastAsia" w:ascii="黑体" w:hAnsi="黑体" w:eastAsia="黑体" w:cs="黑体"/>
          <w:b w:val="0"/>
          <w:bCs w:val="0"/>
          <w:sz w:val="32"/>
          <w:szCs w:val="32"/>
          <w:lang w:val="en-US" w:eastAsia="zh-CN"/>
        </w:rPr>
        <w:t>绩效指标偏差</w:t>
      </w:r>
    </w:p>
    <w:p w14:paraId="226F91DE">
      <w:pPr>
        <w:pStyle w:val="26"/>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rPr>
        <w:t>新疆库尔干水利枢纽工程项目年初预算</w:t>
      </w:r>
      <w:r>
        <w:rPr>
          <w:rFonts w:hint="default" w:ascii="Times New Roman" w:hAnsi="Times New Roman" w:eastAsia="仿宋_GB2312" w:cs="Times New Roman"/>
          <w:sz w:val="32"/>
          <w:szCs w:val="32"/>
          <w:highlight w:val="none"/>
          <w:lang w:val="en-US" w:eastAsia="zh-CN"/>
        </w:rPr>
        <w:t>1242.06</w:t>
      </w:r>
      <w:r>
        <w:rPr>
          <w:rFonts w:hint="default" w:ascii="Times New Roman" w:hAnsi="Times New Roman" w:eastAsia="仿宋_GB2312" w:cs="Times New Roman"/>
          <w:b w:val="0"/>
          <w:bCs w:val="0"/>
          <w:sz w:val="32"/>
          <w:szCs w:val="32"/>
          <w:highlight w:val="none"/>
        </w:rPr>
        <w:t>万元，全年预算</w:t>
      </w:r>
      <w:r>
        <w:rPr>
          <w:rFonts w:hint="default" w:ascii="Times New Roman" w:hAnsi="Times New Roman" w:eastAsia="仿宋_GB2312" w:cs="Times New Roman"/>
          <w:sz w:val="32"/>
          <w:szCs w:val="32"/>
          <w:highlight w:val="none"/>
          <w:lang w:val="en-US" w:eastAsia="zh-CN"/>
        </w:rPr>
        <w:t>1242.06</w:t>
      </w:r>
      <w:r>
        <w:rPr>
          <w:rFonts w:hint="default" w:ascii="Times New Roman" w:hAnsi="Times New Roman" w:eastAsia="仿宋_GB2312" w:cs="Times New Roman"/>
          <w:b w:val="0"/>
          <w:bCs w:val="0"/>
          <w:sz w:val="32"/>
          <w:szCs w:val="32"/>
          <w:highlight w:val="none"/>
        </w:rPr>
        <w:t>万元，实际支出</w:t>
      </w:r>
      <w:r>
        <w:rPr>
          <w:rFonts w:hint="default" w:ascii="Times New Roman" w:hAnsi="Times New Roman" w:eastAsia="仿宋_GB2312" w:cs="Times New Roman"/>
          <w:sz w:val="32"/>
          <w:szCs w:val="32"/>
          <w:highlight w:val="none"/>
          <w:lang w:val="en-US" w:eastAsia="zh-CN"/>
        </w:rPr>
        <w:t>1242.06</w:t>
      </w:r>
      <w:r>
        <w:rPr>
          <w:rFonts w:hint="default" w:ascii="Times New Roman" w:hAnsi="Times New Roman" w:eastAsia="仿宋_GB2312" w:cs="Times New Roman"/>
          <w:b w:val="0"/>
          <w:bCs w:val="0"/>
          <w:sz w:val="32"/>
          <w:szCs w:val="32"/>
          <w:highlight w:val="none"/>
        </w:rPr>
        <w:t>万元，预算执行率为</w:t>
      </w:r>
      <w:r>
        <w:rPr>
          <w:rFonts w:hint="default"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%，项目绩效指标总体完成率为</w:t>
      </w:r>
      <w:r>
        <w:rPr>
          <w:rFonts w:hint="default"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%，总体偏差率为</w:t>
      </w:r>
      <w:r>
        <w:rPr>
          <w:rFonts w:hint="default" w:ascii="Times New Roman" w:hAnsi="Times New Roman" w:eastAsia="仿宋_GB2312" w:cs="Times New Roman"/>
          <w:b w:val="0"/>
          <w:bCs w:val="0"/>
          <w:sz w:val="32"/>
          <w:szCs w:val="32"/>
          <w:highlight w:val="none"/>
          <w:lang w:val="en-US" w:eastAsia="zh-CN"/>
        </w:rPr>
        <w:t>0</w:t>
      </w:r>
      <w:r>
        <w:rPr>
          <w:rFonts w:hint="default" w:ascii="Times New Roman" w:hAnsi="Times New Roman" w:eastAsia="仿宋_GB2312" w:cs="Times New Roman"/>
          <w:b w:val="0"/>
          <w:bCs w:val="0"/>
          <w:sz w:val="32"/>
          <w:szCs w:val="32"/>
          <w:highlight w:val="none"/>
        </w:rPr>
        <w:t>%</w:t>
      </w:r>
      <w:r>
        <w:rPr>
          <w:rFonts w:hint="default" w:ascii="Times New Roman" w:hAnsi="Times New Roman" w:eastAsia="仿宋_GB2312" w:cs="Times New Roman"/>
          <w:b w:val="0"/>
          <w:bCs w:val="0"/>
          <w:sz w:val="32"/>
          <w:szCs w:val="32"/>
          <w:highlight w:val="none"/>
          <w:lang w:eastAsia="zh-CN"/>
        </w:rPr>
        <w:t>。</w:t>
      </w:r>
    </w:p>
    <w:p w14:paraId="142EF706">
      <w:pPr>
        <w:pageBreakBefore w:val="0"/>
        <w:kinsoku/>
        <w:wordWrap w:val="0"/>
        <w:overflowPunct/>
        <w:topLinePunct/>
        <w:autoSpaceDE/>
        <w:autoSpaceDN/>
        <w:bidi w:val="0"/>
        <w:adjustRightInd/>
        <w:snapToGrid/>
        <w:spacing w:line="560" w:lineRule="exact"/>
        <w:ind w:firstLine="640" w:firstLineChars="200"/>
        <w:textAlignment w:val="auto"/>
        <w:outlineLvl w:val="0"/>
        <w:rPr>
          <w:rStyle w:val="25"/>
          <w:rFonts w:hint="default" w:ascii="Times New Roman" w:hAnsi="Times New Roman" w:cs="Times New Roman"/>
          <w:color w:val="auto"/>
        </w:rPr>
      </w:pPr>
      <w:bookmarkStart w:id="60" w:name="_Toc18363"/>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bookmarkEnd w:id="60"/>
    </w:p>
    <w:p w14:paraId="1C4CA742">
      <w:pPr>
        <w:pageBreakBefore w:val="0"/>
        <w:kinsoku/>
        <w:wordWrap w:val="0"/>
        <w:overflowPunct/>
        <w:topLinePunct/>
        <w:autoSpaceDE/>
        <w:autoSpaceDN/>
        <w:bidi w:val="0"/>
        <w:adjustRightInd/>
        <w:snapToGrid/>
        <w:spacing w:line="560" w:lineRule="exact"/>
        <w:ind w:firstLine="627" w:firstLineChars="200"/>
        <w:textAlignment w:val="auto"/>
        <w:outlineLvl w:val="1"/>
        <w:rPr>
          <w:rFonts w:hint="default" w:ascii="Times New Roman" w:hAnsi="Times New Roman" w:eastAsia="楷体" w:cs="Times New Roman"/>
          <w:b/>
          <w:spacing w:val="-4"/>
          <w:sz w:val="32"/>
          <w:szCs w:val="32"/>
        </w:rPr>
      </w:pPr>
      <w:bookmarkStart w:id="61" w:name="_Toc22741"/>
      <w:r>
        <w:rPr>
          <w:rFonts w:hint="default" w:ascii="Times New Roman" w:hAnsi="Times New Roman" w:eastAsia="楷体" w:cs="Times New Roman"/>
          <w:b/>
          <w:spacing w:val="-4"/>
          <w:sz w:val="32"/>
          <w:szCs w:val="32"/>
        </w:rPr>
        <w:t>（一）主要经验及做法</w:t>
      </w:r>
      <w:bookmarkEnd w:id="61"/>
    </w:p>
    <w:p w14:paraId="7C21D04C">
      <w:pPr>
        <w:pStyle w:val="14"/>
        <w:pageBreakBefore w:val="0"/>
        <w:kinsoku/>
        <w:wordWrap w:val="0"/>
        <w:overflowPunct/>
        <w:topLinePunct/>
        <w:autoSpaceDE/>
        <w:autoSpaceDN/>
        <w:bidi w:val="0"/>
        <w:adjustRightInd/>
        <w:snapToGrid/>
        <w:spacing w:before="0" w:after="0" w:line="560" w:lineRule="exact"/>
        <w:ind w:firstLine="640" w:firstLineChars="200"/>
        <w:jc w:val="left"/>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本项目</w:t>
      </w:r>
      <w:r>
        <w:rPr>
          <w:rFonts w:hint="default" w:ascii="Times New Roman" w:hAnsi="Times New Roman" w:eastAsia="仿宋_GB2312" w:cs="Times New Roman"/>
          <w:b w:val="0"/>
          <w:bCs w:val="0"/>
          <w:sz w:val="32"/>
          <w:szCs w:val="32"/>
          <w:lang w:val="en-US" w:eastAsia="zh-CN"/>
        </w:rPr>
        <w:t>严格按照《关于支付自治区本级其他自平衡类专项债券利息费用的通知》文件要求</w:t>
      </w:r>
      <w:r>
        <w:rPr>
          <w:rFonts w:hint="default" w:ascii="Times New Roman" w:hAnsi="Times New Roman" w:eastAsia="仿宋_GB2312" w:cs="Times New Roman"/>
          <w:b w:val="0"/>
          <w:bCs w:val="0"/>
          <w:sz w:val="32"/>
          <w:szCs w:val="32"/>
          <w:highlight w:val="none"/>
          <w:lang w:val="en-US" w:eastAsia="zh-CN"/>
        </w:rPr>
        <w:t>编制预算及设置绩效目标，按计划落实资金保障工</w:t>
      </w:r>
      <w:r>
        <w:rPr>
          <w:rFonts w:hint="default" w:ascii="Times New Roman" w:hAnsi="Times New Roman" w:eastAsia="仿宋_GB2312" w:cs="Times New Roman"/>
          <w:b w:val="0"/>
          <w:bCs w:val="0"/>
          <w:sz w:val="32"/>
          <w:szCs w:val="32"/>
          <w:lang w:val="en-US" w:eastAsia="zh-CN"/>
        </w:rPr>
        <w:t>作，</w:t>
      </w:r>
      <w:r>
        <w:rPr>
          <w:rFonts w:hint="eastAsia" w:ascii="Times New Roman" w:hAnsi="Times New Roman" w:eastAsia="仿宋_GB2312" w:cs="Times New Roman"/>
          <w:b w:val="0"/>
          <w:bCs w:val="0"/>
          <w:sz w:val="32"/>
          <w:szCs w:val="32"/>
          <w:lang w:val="en-US" w:eastAsia="zh-CN"/>
        </w:rPr>
        <w:t>做好资金支付计划，无预算不支出，超预算不列支，实行进度管控，按月跟踪支出进度，同时规范资金支付流程，坚持分级审批，按通知文件要求，及时足额支付专项债券利息，防止专项债券逾期付息导致违约风险。</w:t>
      </w:r>
    </w:p>
    <w:p w14:paraId="668ED6DA">
      <w:pPr>
        <w:keepNext/>
        <w:keepLines/>
        <w:pageBreakBefore w:val="0"/>
        <w:numPr>
          <w:ilvl w:val="0"/>
          <w:numId w:val="0"/>
        </w:numPr>
        <w:kinsoku/>
        <w:wordWrap w:val="0"/>
        <w:overflowPunct/>
        <w:topLinePunct/>
        <w:autoSpaceDE/>
        <w:autoSpaceDN/>
        <w:bidi w:val="0"/>
        <w:adjustRightInd/>
        <w:snapToGrid/>
        <w:spacing w:line="560" w:lineRule="exact"/>
        <w:ind w:firstLine="643" w:firstLineChars="200"/>
        <w:textAlignment w:val="auto"/>
        <w:outlineLvl w:val="1"/>
        <w:rPr>
          <w:rFonts w:hint="default" w:ascii="Times New Roman" w:hAnsi="Times New Roman" w:eastAsia="楷体_GB2312" w:cs="Times New Roman"/>
          <w:b/>
          <w:bCs/>
          <w:sz w:val="32"/>
          <w:szCs w:val="32"/>
        </w:rPr>
      </w:pPr>
      <w:bookmarkStart w:id="62" w:name="_Toc7835"/>
      <w:r>
        <w:rPr>
          <w:rFonts w:hint="eastAsia" w:eastAsia="楷体_GB2312" w:cs="Times New Roman"/>
          <w:b/>
          <w:bCs/>
          <w:sz w:val="32"/>
          <w:szCs w:val="32"/>
          <w:lang w:eastAsia="zh-CN"/>
        </w:rPr>
        <w:t>（</w:t>
      </w:r>
      <w:r>
        <w:rPr>
          <w:rFonts w:hint="eastAsia" w:eastAsia="楷体_GB2312" w:cs="Times New Roman"/>
          <w:b/>
          <w:bCs/>
          <w:sz w:val="32"/>
          <w:szCs w:val="32"/>
          <w:lang w:val="en-US" w:eastAsia="zh-CN"/>
        </w:rPr>
        <w:t>二</w:t>
      </w:r>
      <w:r>
        <w:rPr>
          <w:rFonts w:hint="eastAsia" w:eastAsia="楷体_GB2312" w:cs="Times New Roman"/>
          <w:b/>
          <w:bCs/>
          <w:sz w:val="32"/>
          <w:szCs w:val="32"/>
          <w:lang w:eastAsia="zh-CN"/>
        </w:rPr>
        <w:t>）</w:t>
      </w:r>
      <w:r>
        <w:rPr>
          <w:rFonts w:hint="default" w:ascii="Times New Roman" w:hAnsi="Times New Roman" w:eastAsia="楷体_GB2312" w:cs="Times New Roman"/>
          <w:b/>
          <w:bCs/>
          <w:sz w:val="32"/>
          <w:szCs w:val="32"/>
        </w:rPr>
        <w:t>存在的问题及原因分析</w:t>
      </w:r>
      <w:bookmarkEnd w:id="62"/>
    </w:p>
    <w:p w14:paraId="44B5CEB6">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w:t>
      </w:r>
    </w:p>
    <w:p w14:paraId="094378D3">
      <w:pPr>
        <w:pageBreakBefore w:val="0"/>
        <w:kinsoku/>
        <w:wordWrap w:val="0"/>
        <w:overflowPunct/>
        <w:topLinePunct/>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sz w:val="32"/>
          <w:szCs w:val="32"/>
        </w:rPr>
      </w:pPr>
      <w:bookmarkStart w:id="63" w:name="_Toc25529"/>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bookmarkEnd w:id="63"/>
    </w:p>
    <w:p w14:paraId="67D486BA">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w:t>
      </w:r>
      <w:r>
        <w:rPr>
          <w:rFonts w:hint="eastAsia" w:eastAsia="仿宋_GB2312" w:cs="Times New Roman"/>
          <w:sz w:val="32"/>
          <w:szCs w:val="32"/>
          <w:highlight w:val="none"/>
          <w:lang w:val="en-US" w:eastAsia="zh-CN"/>
        </w:rPr>
        <w:t>积极组织项目</w:t>
      </w:r>
      <w:r>
        <w:rPr>
          <w:rFonts w:hint="default" w:ascii="Times New Roman" w:hAnsi="Times New Roman" w:eastAsia="仿宋_GB2312" w:cs="Times New Roman"/>
          <w:sz w:val="32"/>
          <w:szCs w:val="32"/>
          <w:highlight w:val="none"/>
          <w:lang w:val="en-US" w:eastAsia="zh-CN"/>
        </w:rPr>
        <w:t>绩效管理工作方面的培训</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进一步夯实业务基础，提高</w:t>
      </w:r>
      <w:r>
        <w:rPr>
          <w:rFonts w:hint="eastAsia" w:eastAsia="仿宋_GB2312" w:cs="Times New Roman"/>
          <w:sz w:val="32"/>
          <w:szCs w:val="32"/>
          <w:highlight w:val="none"/>
          <w:lang w:val="en-US" w:eastAsia="zh-CN"/>
        </w:rPr>
        <w:t>库尔干建管中心</w:t>
      </w:r>
      <w:r>
        <w:rPr>
          <w:rFonts w:hint="default" w:ascii="Times New Roman" w:hAnsi="Times New Roman" w:eastAsia="仿宋_GB2312" w:cs="Times New Roman"/>
          <w:sz w:val="32"/>
          <w:szCs w:val="32"/>
          <w:highlight w:val="none"/>
          <w:lang w:val="en-US" w:eastAsia="zh-CN"/>
        </w:rPr>
        <w:t>绩效</w:t>
      </w:r>
      <w:r>
        <w:rPr>
          <w:rFonts w:hint="eastAsia" w:eastAsia="仿宋_GB2312" w:cs="Times New Roman"/>
          <w:sz w:val="32"/>
          <w:szCs w:val="32"/>
          <w:highlight w:val="none"/>
          <w:lang w:val="en-US" w:eastAsia="zh-CN"/>
        </w:rPr>
        <w:t>管理</w:t>
      </w:r>
      <w:r>
        <w:rPr>
          <w:rFonts w:hint="default" w:ascii="Times New Roman" w:hAnsi="Times New Roman" w:eastAsia="仿宋_GB2312" w:cs="Times New Roman"/>
          <w:sz w:val="32"/>
          <w:szCs w:val="32"/>
          <w:highlight w:val="none"/>
          <w:lang w:val="en-US" w:eastAsia="zh-CN"/>
        </w:rPr>
        <w:t>人员水平。</w:t>
      </w:r>
    </w:p>
    <w:p w14:paraId="36BE0174">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2.进一步加强对绩效管理工作的组织领导，提高对预算绩效管理工作重要性的认识，总结经验查找问题，研究制定更全面更完善的绩效评价管理办法。</w:t>
      </w:r>
    </w:p>
    <w:p w14:paraId="017AE329">
      <w:pPr>
        <w:pageBreakBefore w:val="0"/>
        <w:kinsoku/>
        <w:wordWrap w:val="0"/>
        <w:overflowPunct/>
        <w:topLinePunct/>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sz w:val="32"/>
          <w:szCs w:val="32"/>
        </w:rPr>
      </w:pPr>
      <w:bookmarkStart w:id="64" w:name="_Toc3065"/>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65" w:name="page8"/>
      <w:bookmarkEnd w:id="65"/>
      <w:r>
        <w:rPr>
          <w:rFonts w:hint="default" w:ascii="Times New Roman" w:hAnsi="Times New Roman" w:eastAsia="黑体" w:cs="Times New Roman"/>
          <w:sz w:val="32"/>
          <w:szCs w:val="32"/>
        </w:rPr>
        <w:t>明的问题</w:t>
      </w:r>
      <w:bookmarkEnd w:id="64"/>
    </w:p>
    <w:p w14:paraId="54DF3625">
      <w:pPr>
        <w:pStyle w:val="16"/>
        <w:pageBreakBefore w:val="0"/>
        <w:kinsoku/>
        <w:wordWrap w:val="0"/>
        <w:overflowPunct/>
        <w:topLinePunct/>
        <w:autoSpaceDE/>
        <w:autoSpaceDN/>
        <w:bidi w:val="0"/>
        <w:adjustRightInd/>
        <w:snapToGrid/>
        <w:spacing w:after="0" w:line="560" w:lineRule="exact"/>
        <w:ind w:left="0" w:leftChars="0"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本项目无其他需说明的问题。</w:t>
      </w:r>
    </w:p>
    <w:p w14:paraId="3C6FAFA6">
      <w:pPr>
        <w:pStyle w:val="16"/>
        <w:spacing w:after="0" w:line="560" w:lineRule="exact"/>
        <w:ind w:left="0" w:leftChars="0" w:firstLine="0" w:firstLineChars="0"/>
        <w:rPr>
          <w:rFonts w:hint="eastAsia" w:ascii="Times New Roman" w:hAnsi="Times New Roman" w:eastAsia="黑体" w:cs="Times New Roman"/>
          <w:sz w:val="32"/>
          <w:szCs w:val="32"/>
          <w:lang w:val="en-US" w:eastAsia="zh-CN"/>
        </w:rPr>
        <w:sectPr>
          <w:footerReference r:id="rId3" w:type="default"/>
          <w:pgSz w:w="11906" w:h="16838"/>
          <w:pgMar w:top="2098" w:right="1531" w:bottom="1984" w:left="1531" w:header="851" w:footer="992" w:gutter="0"/>
          <w:pgNumType w:start="1"/>
          <w:cols w:space="425" w:num="1"/>
          <w:docGrid w:type="lines" w:linePitch="312" w:charSpace="0"/>
        </w:sectPr>
      </w:pPr>
    </w:p>
    <w:p w14:paraId="62C8D905">
      <w:pPr>
        <w:spacing w:line="600" w:lineRule="exact"/>
        <w:outlineLvl w:val="0"/>
        <w:rPr>
          <w:rFonts w:hint="default" w:eastAsia="黑体" w:cs="Times New Roman"/>
          <w:sz w:val="32"/>
          <w:szCs w:val="32"/>
          <w:lang w:val="en-US" w:eastAsia="zh-CN"/>
        </w:rPr>
      </w:pPr>
      <w:bookmarkStart w:id="66" w:name="_Toc15260"/>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bookmarkEnd w:id="66"/>
      <w:r>
        <w:rPr>
          <w:rFonts w:hint="eastAsia" w:eastAsia="黑体" w:cs="Times New Roman"/>
          <w:sz w:val="32"/>
          <w:szCs w:val="32"/>
          <w:lang w:val="en-US" w:eastAsia="zh-CN"/>
        </w:rPr>
        <w:t>：评价指标体系</w:t>
      </w:r>
    </w:p>
    <w:p w14:paraId="4ADD900A">
      <w:pPr>
        <w:pStyle w:val="26"/>
        <w:ind w:firstLine="562"/>
        <w:jc w:val="center"/>
        <w:rPr>
          <w:rFonts w:hint="eastAsia" w:ascii="仿宋_GB2312" w:hAnsi="仿宋_GB2312" w:eastAsia="仿宋_GB2312" w:cs="仿宋_GB2312"/>
          <w:sz w:val="28"/>
          <w:szCs w:val="40"/>
          <w:highlight w:val="none"/>
        </w:rPr>
      </w:pPr>
      <w:bookmarkStart w:id="67" w:name="_Toc26499_WPSOffice_Level2"/>
      <w:bookmarkStart w:id="68" w:name="_Toc30064_WPSOffice_Level1"/>
      <w:r>
        <w:rPr>
          <w:rFonts w:hint="eastAsia" w:ascii="仿宋_GB2312" w:hAnsi="仿宋_GB2312" w:eastAsia="仿宋_GB2312" w:cs="仿宋_GB2312"/>
          <w:b/>
          <w:bCs/>
          <w:sz w:val="28"/>
          <w:szCs w:val="40"/>
          <w:highlight w:val="none"/>
        </w:rPr>
        <w:t>专项债券利息项目绩效评价指标体系</w:t>
      </w:r>
      <w:bookmarkEnd w:id="67"/>
      <w:bookmarkEnd w:id="68"/>
    </w:p>
    <w:tbl>
      <w:tblPr>
        <w:tblStyle w:val="17"/>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2"/>
        <w:gridCol w:w="997"/>
        <w:gridCol w:w="1071"/>
        <w:gridCol w:w="1725"/>
        <w:gridCol w:w="5224"/>
        <w:gridCol w:w="1299"/>
        <w:gridCol w:w="1365"/>
      </w:tblGrid>
      <w:tr w14:paraId="6462C6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5" w:type="pct"/>
            <w:shd w:val="clear" w:color="auto" w:fill="FFFFFF"/>
            <w:vAlign w:val="center"/>
          </w:tcPr>
          <w:p w14:paraId="72254ED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3" w:type="pct"/>
            <w:shd w:val="clear" w:color="auto" w:fill="FFFFFF"/>
            <w:vAlign w:val="center"/>
          </w:tcPr>
          <w:p w14:paraId="20616AE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14:paraId="6DF7C55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14:paraId="77A8884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8" w:type="pct"/>
            <w:shd w:val="clear" w:color="auto" w:fill="FFFFFF"/>
            <w:vAlign w:val="center"/>
          </w:tcPr>
          <w:p w14:paraId="748C2CF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14:paraId="317F623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14:paraId="53E75A3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64B6CA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5" w:type="pct"/>
            <w:vMerge w:val="restart"/>
            <w:shd w:val="clear" w:color="auto" w:fill="FFFFFF"/>
            <w:vAlign w:val="center"/>
          </w:tcPr>
          <w:p w14:paraId="5BDFB1C3">
            <w:pPr>
              <w:widowControl/>
              <w:spacing w:line="0" w:lineRule="atLeast"/>
              <w:jc w:val="center"/>
              <w:rPr>
                <w:rFonts w:hint="default" w:ascii="Times New Roman" w:hAnsi="Times New Roman" w:eastAsia="仿宋_GB2312" w:cs="Times New Roman"/>
                <w:color w:val="000000"/>
                <w:kern w:val="0"/>
                <w:sz w:val="18"/>
                <w:szCs w:val="18"/>
                <w:highlight w:val="none"/>
              </w:rPr>
            </w:pPr>
          </w:p>
          <w:p w14:paraId="6E24BD65">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4C719EB">
            <w:pPr>
              <w:widowControl/>
              <w:spacing w:line="0" w:lineRule="atLeast"/>
              <w:jc w:val="center"/>
              <w:rPr>
                <w:rFonts w:hint="default" w:ascii="Times New Roman" w:hAnsi="Times New Roman" w:eastAsia="仿宋_GB2312" w:cs="Times New Roman"/>
                <w:color w:val="000000"/>
                <w:kern w:val="0"/>
                <w:sz w:val="18"/>
                <w:szCs w:val="18"/>
                <w:highlight w:val="none"/>
              </w:rPr>
            </w:pPr>
          </w:p>
          <w:p w14:paraId="20F8BCCF">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B282FC6">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6B39F90">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EFCE87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w:t>
            </w:r>
          </w:p>
        </w:tc>
        <w:tc>
          <w:tcPr>
            <w:tcW w:w="393" w:type="pct"/>
            <w:vMerge w:val="restart"/>
            <w:shd w:val="clear" w:color="auto" w:fill="FFFFFF"/>
            <w:vAlign w:val="center"/>
          </w:tcPr>
          <w:p w14:paraId="0EB749E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w:t>
            </w:r>
          </w:p>
        </w:tc>
        <w:tc>
          <w:tcPr>
            <w:tcW w:w="422" w:type="pct"/>
            <w:shd w:val="clear" w:color="auto" w:fill="FFFFFF"/>
            <w:vAlign w:val="center"/>
          </w:tcPr>
          <w:p w14:paraId="579EA2A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62B55A4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14:paraId="57D9937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8" w:type="pct"/>
            <w:shd w:val="clear" w:color="auto" w:fill="FFFFFF"/>
            <w:vAlign w:val="center"/>
          </w:tcPr>
          <w:p w14:paraId="73277471">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14:paraId="11F16E3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14:paraId="0A2A700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07720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14:paraId="0C624259">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16215AC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5814227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3A93383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14:paraId="6E40B6B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8" w:type="pct"/>
            <w:shd w:val="clear" w:color="auto" w:fill="FFFFFF"/>
            <w:vAlign w:val="center"/>
          </w:tcPr>
          <w:p w14:paraId="7148BE8E">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14:paraId="4B509ED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14:paraId="30B1C65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F1A33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14:paraId="18B587CF">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3B05C29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tc>
        <w:tc>
          <w:tcPr>
            <w:tcW w:w="422" w:type="pct"/>
            <w:shd w:val="clear" w:color="auto" w:fill="FFFFFF"/>
            <w:vAlign w:val="center"/>
          </w:tcPr>
          <w:p w14:paraId="7FF07A4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4ED4C5C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14:paraId="745B29A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8" w:type="pct"/>
            <w:shd w:val="clear" w:color="000000" w:fill="FFFFFF"/>
            <w:vAlign w:val="center"/>
          </w:tcPr>
          <w:p w14:paraId="2A91095C">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74277E3A">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14:paraId="7FF953D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14:paraId="0882D31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6D444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5" w:type="pct"/>
            <w:vMerge w:val="continue"/>
            <w:shd w:val="clear" w:color="auto" w:fill="FFFFFF"/>
            <w:vAlign w:val="center"/>
          </w:tcPr>
          <w:p w14:paraId="6DF73CBE">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48AC93F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44E4E4A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5243E67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14:paraId="0DC744A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8" w:type="pct"/>
            <w:shd w:val="clear" w:color="000000" w:fill="FFFFFF"/>
            <w:vAlign w:val="center"/>
          </w:tcPr>
          <w:p w14:paraId="5101F20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14:paraId="4B002DE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14:paraId="6110620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1CF27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5" w:type="pct"/>
            <w:vMerge w:val="continue"/>
            <w:shd w:val="clear" w:color="auto" w:fill="FFFFFF"/>
            <w:vAlign w:val="center"/>
          </w:tcPr>
          <w:p w14:paraId="0DEA53C1">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28B1193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54280AC7">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58A89E8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3209075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14:paraId="2D1777A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8" w:type="pct"/>
            <w:shd w:val="clear" w:color="auto" w:fill="FFFFFF"/>
            <w:vAlign w:val="center"/>
          </w:tcPr>
          <w:p w14:paraId="668FE3D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14:paraId="77F373D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1787A1A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1CC39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5" w:type="pct"/>
            <w:vMerge w:val="continue"/>
            <w:shd w:val="clear" w:color="auto" w:fill="FFFFFF"/>
            <w:vAlign w:val="center"/>
          </w:tcPr>
          <w:p w14:paraId="10F2250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0D1EEE5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4EE46BD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0D83100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14:paraId="72D3173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8" w:type="pct"/>
            <w:shd w:val="clear" w:color="auto" w:fill="FFFFFF"/>
            <w:vAlign w:val="center"/>
          </w:tcPr>
          <w:p w14:paraId="640C08C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14:paraId="45DA805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7B5602D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D36E7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5" w:type="pct"/>
            <w:vMerge w:val="restart"/>
            <w:shd w:val="clear" w:color="auto" w:fill="FFFFFF"/>
            <w:vAlign w:val="center"/>
          </w:tcPr>
          <w:p w14:paraId="612F7C82">
            <w:pPr>
              <w:spacing w:line="0" w:lineRule="atLeast"/>
              <w:jc w:val="center"/>
              <w:rPr>
                <w:rFonts w:hint="default" w:ascii="Times New Roman" w:hAnsi="Times New Roman" w:eastAsia="仿宋_GB2312" w:cs="Times New Roman"/>
                <w:color w:val="000000"/>
                <w:kern w:val="0"/>
                <w:sz w:val="18"/>
                <w:szCs w:val="18"/>
                <w:highlight w:val="none"/>
              </w:rPr>
            </w:pPr>
          </w:p>
          <w:p w14:paraId="7560424B">
            <w:pPr>
              <w:spacing w:line="0" w:lineRule="atLeast"/>
              <w:jc w:val="center"/>
              <w:rPr>
                <w:rFonts w:hint="default" w:ascii="Times New Roman" w:hAnsi="Times New Roman" w:eastAsia="仿宋_GB2312" w:cs="Times New Roman"/>
                <w:color w:val="000000"/>
                <w:kern w:val="0"/>
                <w:sz w:val="18"/>
                <w:szCs w:val="18"/>
                <w:highlight w:val="none"/>
              </w:rPr>
            </w:pPr>
          </w:p>
          <w:p w14:paraId="7D84E915">
            <w:pPr>
              <w:spacing w:line="0" w:lineRule="atLeast"/>
              <w:jc w:val="center"/>
              <w:rPr>
                <w:rFonts w:hint="default" w:ascii="Times New Roman" w:hAnsi="Times New Roman" w:eastAsia="仿宋_GB2312" w:cs="Times New Roman"/>
                <w:color w:val="000000"/>
                <w:kern w:val="0"/>
                <w:sz w:val="18"/>
                <w:szCs w:val="18"/>
                <w:highlight w:val="none"/>
              </w:rPr>
            </w:pPr>
          </w:p>
          <w:p w14:paraId="5CF9EB1D">
            <w:pPr>
              <w:spacing w:line="0" w:lineRule="atLeast"/>
              <w:jc w:val="center"/>
              <w:rPr>
                <w:rFonts w:hint="default" w:ascii="Times New Roman" w:hAnsi="Times New Roman" w:eastAsia="仿宋_GB2312" w:cs="Times New Roman"/>
                <w:color w:val="000000"/>
                <w:kern w:val="0"/>
                <w:sz w:val="18"/>
                <w:szCs w:val="18"/>
                <w:highlight w:val="none"/>
              </w:rPr>
            </w:pPr>
          </w:p>
          <w:p w14:paraId="6EC18EFF">
            <w:pPr>
              <w:spacing w:line="0" w:lineRule="atLeast"/>
              <w:jc w:val="center"/>
              <w:rPr>
                <w:rFonts w:hint="default" w:ascii="Times New Roman" w:hAnsi="Times New Roman" w:eastAsia="仿宋_GB2312" w:cs="Times New Roman"/>
                <w:color w:val="000000"/>
                <w:kern w:val="0"/>
                <w:sz w:val="18"/>
                <w:szCs w:val="18"/>
                <w:highlight w:val="none"/>
              </w:rPr>
            </w:pPr>
          </w:p>
          <w:p w14:paraId="3762D2E4">
            <w:pPr>
              <w:spacing w:line="0" w:lineRule="atLeast"/>
              <w:jc w:val="center"/>
              <w:rPr>
                <w:rFonts w:hint="default" w:ascii="Times New Roman" w:hAnsi="Times New Roman" w:eastAsia="仿宋_GB2312" w:cs="Times New Roman"/>
                <w:color w:val="000000"/>
                <w:kern w:val="0"/>
                <w:sz w:val="18"/>
                <w:szCs w:val="18"/>
                <w:highlight w:val="none"/>
              </w:rPr>
            </w:pPr>
          </w:p>
          <w:p w14:paraId="0985B2AE">
            <w:pPr>
              <w:spacing w:line="0" w:lineRule="atLeast"/>
              <w:jc w:val="center"/>
              <w:rPr>
                <w:rFonts w:hint="default" w:ascii="Times New Roman" w:hAnsi="Times New Roman" w:eastAsia="仿宋_GB2312" w:cs="Times New Roman"/>
                <w:color w:val="000000"/>
                <w:kern w:val="0"/>
                <w:sz w:val="18"/>
                <w:szCs w:val="18"/>
                <w:highlight w:val="none"/>
              </w:rPr>
            </w:pPr>
          </w:p>
          <w:p w14:paraId="319E25C6">
            <w:pPr>
              <w:spacing w:line="0" w:lineRule="atLeast"/>
              <w:jc w:val="center"/>
              <w:rPr>
                <w:rFonts w:hint="default" w:ascii="Times New Roman" w:hAnsi="Times New Roman" w:eastAsia="仿宋_GB2312" w:cs="Times New Roman"/>
                <w:color w:val="000000"/>
                <w:kern w:val="0"/>
                <w:sz w:val="18"/>
                <w:szCs w:val="18"/>
                <w:highlight w:val="none"/>
              </w:rPr>
            </w:pPr>
          </w:p>
          <w:p w14:paraId="7F1A61DA">
            <w:pPr>
              <w:spacing w:line="0" w:lineRule="atLeast"/>
              <w:jc w:val="center"/>
              <w:rPr>
                <w:rFonts w:hint="default" w:ascii="Times New Roman" w:hAnsi="Times New Roman" w:eastAsia="仿宋_GB2312" w:cs="Times New Roman"/>
                <w:color w:val="000000"/>
                <w:kern w:val="0"/>
                <w:sz w:val="18"/>
                <w:szCs w:val="18"/>
                <w:highlight w:val="none"/>
              </w:rPr>
            </w:pPr>
          </w:p>
          <w:p w14:paraId="7E3ADDE0">
            <w:pPr>
              <w:spacing w:line="0" w:lineRule="atLeast"/>
              <w:jc w:val="center"/>
              <w:rPr>
                <w:rFonts w:hint="default" w:ascii="Times New Roman" w:hAnsi="Times New Roman" w:eastAsia="仿宋_GB2312" w:cs="Times New Roman"/>
                <w:color w:val="000000"/>
                <w:kern w:val="0"/>
                <w:sz w:val="18"/>
                <w:szCs w:val="18"/>
                <w:highlight w:val="none"/>
              </w:rPr>
            </w:pPr>
          </w:p>
          <w:p w14:paraId="073977FD">
            <w:pPr>
              <w:spacing w:line="0" w:lineRule="atLeast"/>
              <w:jc w:val="center"/>
              <w:rPr>
                <w:rFonts w:hint="default" w:ascii="Times New Roman" w:hAnsi="Times New Roman" w:eastAsia="仿宋_GB2312" w:cs="Times New Roman"/>
                <w:color w:val="000000"/>
                <w:kern w:val="0"/>
                <w:sz w:val="18"/>
                <w:szCs w:val="18"/>
                <w:highlight w:val="none"/>
              </w:rPr>
            </w:pPr>
          </w:p>
          <w:p w14:paraId="766C7D3D">
            <w:pPr>
              <w:spacing w:line="0" w:lineRule="atLeast"/>
              <w:jc w:val="center"/>
              <w:rPr>
                <w:rFonts w:hint="default" w:ascii="Times New Roman" w:hAnsi="Times New Roman" w:eastAsia="仿宋_GB2312" w:cs="Times New Roman"/>
                <w:color w:val="000000"/>
                <w:kern w:val="0"/>
                <w:sz w:val="18"/>
                <w:szCs w:val="18"/>
                <w:highlight w:val="none"/>
              </w:rPr>
            </w:pPr>
          </w:p>
          <w:p w14:paraId="5E1AD773">
            <w:pPr>
              <w:spacing w:line="0" w:lineRule="atLeast"/>
              <w:jc w:val="center"/>
              <w:rPr>
                <w:rFonts w:hint="default" w:ascii="Times New Roman" w:hAnsi="Times New Roman" w:eastAsia="仿宋_GB2312" w:cs="Times New Roman"/>
                <w:color w:val="000000"/>
                <w:kern w:val="0"/>
                <w:sz w:val="18"/>
                <w:szCs w:val="18"/>
                <w:highlight w:val="none"/>
              </w:rPr>
            </w:pPr>
          </w:p>
          <w:p w14:paraId="035FA1FC">
            <w:pPr>
              <w:spacing w:line="0" w:lineRule="atLeast"/>
              <w:jc w:val="center"/>
              <w:rPr>
                <w:rFonts w:hint="default" w:ascii="Times New Roman" w:hAnsi="Times New Roman" w:eastAsia="仿宋_GB2312" w:cs="Times New Roman"/>
                <w:color w:val="000000"/>
                <w:kern w:val="0"/>
                <w:sz w:val="18"/>
                <w:szCs w:val="18"/>
                <w:highlight w:val="none"/>
              </w:rPr>
            </w:pPr>
          </w:p>
          <w:p w14:paraId="0BAF4C48">
            <w:pPr>
              <w:spacing w:line="0" w:lineRule="atLeast"/>
              <w:jc w:val="center"/>
              <w:rPr>
                <w:rFonts w:hint="default" w:ascii="Times New Roman" w:hAnsi="Times New Roman" w:eastAsia="仿宋_GB2312" w:cs="Times New Roman"/>
                <w:color w:val="000000"/>
                <w:kern w:val="0"/>
                <w:sz w:val="18"/>
                <w:szCs w:val="18"/>
                <w:highlight w:val="none"/>
              </w:rPr>
            </w:pPr>
          </w:p>
          <w:p w14:paraId="13615FE1">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6A651AD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47D9800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14:paraId="42A46A0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14:paraId="13EC801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8" w:type="pct"/>
            <w:shd w:val="clear" w:color="000000" w:fill="FFFFFF"/>
            <w:vAlign w:val="center"/>
          </w:tcPr>
          <w:p w14:paraId="592DDFA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1E72D1B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1D83305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14:paraId="3B6F848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48FF246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5E692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5" w:type="pct"/>
            <w:vMerge w:val="continue"/>
            <w:shd w:val="clear" w:color="auto" w:fill="FFFFFF"/>
            <w:vAlign w:val="center"/>
          </w:tcPr>
          <w:p w14:paraId="7A4C4A51">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23B37528">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3DEF00D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14:paraId="081183C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8" w:type="pct"/>
            <w:shd w:val="clear" w:color="auto" w:fill="FFFFFF"/>
            <w:vAlign w:val="center"/>
          </w:tcPr>
          <w:p w14:paraId="3EAC0F5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14:paraId="379B13A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4B00DAF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141FF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14:paraId="484DB8D6">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4FE6D58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14:paraId="7C77984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6976C17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14:paraId="721C70C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8" w:type="pct"/>
            <w:shd w:val="clear" w:color="000000" w:fill="FFFFFF"/>
            <w:vAlign w:val="center"/>
          </w:tcPr>
          <w:p w14:paraId="6C4EC8A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14:paraId="59539F3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135EF94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154D0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5" w:type="pct"/>
            <w:vMerge w:val="continue"/>
            <w:shd w:val="clear" w:color="auto" w:fill="FFFFFF"/>
            <w:vAlign w:val="center"/>
          </w:tcPr>
          <w:p w14:paraId="081EE975">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4AF0B80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40A3F851">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5FC0221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38C4BEB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14:paraId="046B636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8" w:type="pct"/>
            <w:shd w:val="clear" w:color="000000" w:fill="FFFFFF"/>
            <w:vAlign w:val="center"/>
          </w:tcPr>
          <w:p w14:paraId="5A7758A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14:paraId="0573848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4655B28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83BFA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5" w:type="pct"/>
            <w:vMerge w:val="continue"/>
            <w:shd w:val="clear" w:color="auto" w:fill="FFFFFF"/>
            <w:vAlign w:val="center"/>
          </w:tcPr>
          <w:p w14:paraId="00676F9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0F0DB58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6CB5539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3DFCAE6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14:paraId="47A7B22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8" w:type="pct"/>
            <w:shd w:val="clear" w:color="000000" w:fill="FFFFFF"/>
            <w:vAlign w:val="center"/>
          </w:tcPr>
          <w:p w14:paraId="5D30052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14:paraId="7B1EF22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4A13A51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4079B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5" w:type="pct"/>
            <w:vMerge w:val="restart"/>
            <w:shd w:val="clear" w:color="auto" w:fill="FFFFFF"/>
            <w:vAlign w:val="center"/>
          </w:tcPr>
          <w:p w14:paraId="5C2F129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3" w:type="pct"/>
            <w:shd w:val="clear" w:color="auto" w:fill="FFFFFF"/>
            <w:vAlign w:val="center"/>
          </w:tcPr>
          <w:p w14:paraId="5589A87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14:paraId="64B944C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14:paraId="1337BCB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8" w:type="pct"/>
            <w:shd w:val="clear" w:color="000000" w:fill="FFFFFF"/>
            <w:vAlign w:val="center"/>
          </w:tcPr>
          <w:p w14:paraId="5B9620E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14:paraId="17AAFBB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0307BD87">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425EE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5" w:type="pct"/>
            <w:vMerge w:val="continue"/>
            <w:shd w:val="clear" w:color="auto" w:fill="FFFFFF"/>
            <w:vAlign w:val="center"/>
          </w:tcPr>
          <w:p w14:paraId="663EB1C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42A4C15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14:paraId="35462B5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14:paraId="33C17B5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8" w:type="pct"/>
            <w:shd w:val="clear" w:color="000000" w:fill="FFFFFF"/>
            <w:vAlign w:val="center"/>
          </w:tcPr>
          <w:p w14:paraId="260F4CD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6935BDE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070CF38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3AA58D1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227C7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5" w:type="pct"/>
            <w:vMerge w:val="continue"/>
            <w:shd w:val="clear" w:color="auto" w:fill="FFFFFF"/>
            <w:vAlign w:val="center"/>
          </w:tcPr>
          <w:p w14:paraId="0C044789">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0FCA9AA7">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14:paraId="7D55626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14:paraId="090ABEA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8" w:type="pct"/>
            <w:shd w:val="clear" w:color="000000" w:fill="FFFFFF"/>
            <w:vAlign w:val="center"/>
          </w:tcPr>
          <w:p w14:paraId="6010E32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14:paraId="7185FBE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68079AA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E73B8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14:paraId="00E3D51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69A4475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14:paraId="55588E8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000000" w:fill="FFFFFF"/>
            <w:vAlign w:val="center"/>
          </w:tcPr>
          <w:p w14:paraId="0F1D6E3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8" w:type="pct"/>
            <w:shd w:val="clear" w:color="000000" w:fill="FFFFFF"/>
            <w:vAlign w:val="center"/>
          </w:tcPr>
          <w:p w14:paraId="1F579C0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000000" w:fill="FFFFFF"/>
            <w:vAlign w:val="center"/>
          </w:tcPr>
          <w:p w14:paraId="61B5357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04F1E064">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3532D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5" w:type="pct"/>
            <w:vMerge w:val="restart"/>
            <w:shd w:val="clear" w:color="auto" w:fill="FFFFFF"/>
            <w:vAlign w:val="center"/>
          </w:tcPr>
          <w:p w14:paraId="5CFBEAB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w:t>
            </w:r>
          </w:p>
        </w:tc>
        <w:tc>
          <w:tcPr>
            <w:tcW w:w="393" w:type="pct"/>
            <w:vMerge w:val="restart"/>
            <w:shd w:val="clear" w:color="auto" w:fill="FFFFFF"/>
            <w:vAlign w:val="center"/>
          </w:tcPr>
          <w:p w14:paraId="750FF79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w:t>
            </w:r>
          </w:p>
        </w:tc>
        <w:tc>
          <w:tcPr>
            <w:tcW w:w="422" w:type="pct"/>
            <w:shd w:val="clear" w:color="auto" w:fill="FFFFFF"/>
            <w:vAlign w:val="center"/>
          </w:tcPr>
          <w:p w14:paraId="4348D90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14:paraId="20D2C562">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8" w:type="pct"/>
            <w:shd w:val="clear" w:color="auto" w:fill="FFFFFF"/>
            <w:vAlign w:val="center"/>
          </w:tcPr>
          <w:p w14:paraId="7FC008B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14:paraId="3D5CAF8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FFFFFF"/>
            <w:vAlign w:val="center"/>
          </w:tcPr>
          <w:p w14:paraId="6D9A80A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B7DD0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5" w:type="pct"/>
            <w:vMerge w:val="continue"/>
            <w:shd w:val="clear" w:color="auto" w:fill="FFFFFF"/>
            <w:vAlign w:val="center"/>
          </w:tcPr>
          <w:p w14:paraId="001039E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39D1F49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6DA014D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680" w:type="pct"/>
            <w:shd w:val="clear" w:color="000000" w:fill="FFFFFF"/>
            <w:vAlign w:val="center"/>
          </w:tcPr>
          <w:p w14:paraId="08AA822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058" w:type="pct"/>
            <w:shd w:val="clear" w:color="000000" w:fill="FFFFFF"/>
            <w:vAlign w:val="center"/>
          </w:tcPr>
          <w:p w14:paraId="4F938D3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14:paraId="7595228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2849DBC0">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AA90F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1" w:hRule="atLeast"/>
          <w:jc w:val="center"/>
        </w:trPr>
        <w:tc>
          <w:tcPr>
            <w:tcW w:w="3949" w:type="pct"/>
            <w:gridSpan w:val="5"/>
            <w:shd w:val="clear" w:color="auto" w:fill="FFFFFF"/>
            <w:vAlign w:val="center"/>
          </w:tcPr>
          <w:p w14:paraId="6F7A664D">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512" w:type="pct"/>
            <w:shd w:val="clear" w:color="000000" w:fill="FFFFFF"/>
            <w:vAlign w:val="center"/>
          </w:tcPr>
          <w:p w14:paraId="615094B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c>
          <w:tcPr>
            <w:tcW w:w="538" w:type="pct"/>
            <w:shd w:val="clear" w:color="000000" w:fill="FFFFFF"/>
            <w:vAlign w:val="center"/>
          </w:tcPr>
          <w:p w14:paraId="438838C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14:paraId="3934E3EE">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14:paraId="1EE527C8">
      <w:pPr>
        <w:spacing w:line="600" w:lineRule="exact"/>
        <w:outlineLvl w:val="0"/>
        <w:rPr>
          <w:rFonts w:hint="default" w:ascii="Times New Roman" w:hAnsi="Times New Roman" w:eastAsia="黑体" w:cs="Times New Roman"/>
          <w:sz w:val="32"/>
          <w:szCs w:val="32"/>
          <w:lang w:val="en-US" w:eastAsia="zh-CN"/>
        </w:rPr>
      </w:pPr>
      <w:bookmarkStart w:id="69" w:name="_Toc17917"/>
      <w:r>
        <w:rPr>
          <w:rFonts w:hint="eastAsia" w:ascii="Times New Roman" w:hAnsi="Times New Roman" w:eastAsia="黑体" w:cs="Times New Roman"/>
          <w:sz w:val="32"/>
          <w:szCs w:val="32"/>
          <w:lang w:val="en-US" w:eastAsia="zh-CN"/>
        </w:rPr>
        <w:t>附件2</w:t>
      </w:r>
      <w:bookmarkEnd w:id="69"/>
      <w:r>
        <w:rPr>
          <w:rFonts w:hint="eastAsia" w:eastAsia="黑体" w:cs="Times New Roman"/>
          <w:sz w:val="32"/>
          <w:szCs w:val="32"/>
          <w:lang w:val="en-US" w:eastAsia="zh-CN"/>
        </w:rPr>
        <w:t>：</w:t>
      </w:r>
      <w:r>
        <w:rPr>
          <w:rFonts w:hint="eastAsia" w:ascii="Times New Roman" w:hAnsi="Times New Roman" w:eastAsia="黑体" w:cs="Times New Roman"/>
          <w:sz w:val="32"/>
          <w:szCs w:val="32"/>
          <w:lang w:val="en-US" w:eastAsia="zh-CN"/>
        </w:rPr>
        <w:t>项目支出绩效自评表</w:t>
      </w:r>
    </w:p>
    <w:p w14:paraId="725EC06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rPr>
      </w:pPr>
      <w:r>
        <w:rPr>
          <w:rFonts w:hint="eastAsia" w:ascii="仿宋_GB2312" w:hAnsi="仿宋_GB2312" w:eastAsia="仿宋_GB2312" w:cs="仿宋_GB2312"/>
          <w:b/>
          <w:bCs/>
          <w:i w:val="0"/>
          <w:iCs w:val="0"/>
          <w:color w:val="000000"/>
          <w:kern w:val="0"/>
          <w:sz w:val="28"/>
          <w:szCs w:val="28"/>
          <w:u w:val="none"/>
          <w:lang w:val="en-US" w:eastAsia="zh-CN"/>
        </w:rPr>
        <w:t>项目支出绩效自评表</w:t>
      </w:r>
    </w:p>
    <w:p w14:paraId="1749B24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rPr>
      </w:pPr>
      <w:r>
        <w:rPr>
          <w:rFonts w:hint="default" w:ascii="Times New Roman" w:hAnsi="Times New Roman" w:eastAsia="仿宋_GB2312" w:cs="Times New Roman"/>
          <w:b/>
          <w:bCs/>
          <w:i w:val="0"/>
          <w:iCs w:val="0"/>
          <w:color w:val="000000"/>
          <w:kern w:val="0"/>
          <w:sz w:val="22"/>
          <w:szCs w:val="22"/>
          <w:u w:val="none"/>
          <w:lang w:val="en-US" w:eastAsia="zh-CN"/>
        </w:rPr>
        <w:t>（202</w:t>
      </w:r>
      <w:r>
        <w:rPr>
          <w:rFonts w:hint="eastAsia" w:eastAsia="仿宋_GB2312" w:cs="Times New Roman"/>
          <w:b/>
          <w:bCs/>
          <w:i w:val="0"/>
          <w:iCs w:val="0"/>
          <w:color w:val="000000"/>
          <w:kern w:val="0"/>
          <w:sz w:val="22"/>
          <w:szCs w:val="22"/>
          <w:u w:val="none"/>
          <w:lang w:val="en-US" w:eastAsia="zh-CN"/>
        </w:rPr>
        <w:t>5</w:t>
      </w:r>
      <w:r>
        <w:rPr>
          <w:rFonts w:hint="default" w:ascii="Times New Roman" w:hAnsi="Times New Roman" w:eastAsia="仿宋_GB2312" w:cs="Times New Roman"/>
          <w:b/>
          <w:bCs/>
          <w:i w:val="0"/>
          <w:iCs w:val="0"/>
          <w:color w:val="000000"/>
          <w:kern w:val="0"/>
          <w:sz w:val="22"/>
          <w:szCs w:val="22"/>
          <w:u w:val="none"/>
          <w:lang w:val="en-US" w:eastAsia="zh-CN"/>
        </w:rPr>
        <w:t>年度）</w:t>
      </w:r>
    </w:p>
    <w:tbl>
      <w:tblPr>
        <w:tblStyle w:val="17"/>
        <w:tblW w:w="483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944"/>
        <w:gridCol w:w="1199"/>
        <w:gridCol w:w="1773"/>
        <w:gridCol w:w="858"/>
        <w:gridCol w:w="982"/>
        <w:gridCol w:w="963"/>
        <w:gridCol w:w="719"/>
        <w:gridCol w:w="1160"/>
        <w:gridCol w:w="987"/>
        <w:gridCol w:w="1157"/>
        <w:gridCol w:w="584"/>
        <w:gridCol w:w="644"/>
        <w:gridCol w:w="825"/>
      </w:tblGrid>
      <w:tr w14:paraId="00D9F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2837D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项目名称</w:t>
            </w:r>
          </w:p>
        </w:tc>
        <w:tc>
          <w:tcPr>
            <w:tcW w:w="4321"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37BD42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专项债券利息</w:t>
            </w:r>
          </w:p>
        </w:tc>
      </w:tr>
      <w:tr w14:paraId="73885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F3D42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主管部门</w:t>
            </w:r>
          </w:p>
        </w:tc>
        <w:tc>
          <w:tcPr>
            <w:tcW w:w="210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174347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新疆维吾尔自治区塔里木河流域管理局</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4E83A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实施单位</w:t>
            </w:r>
          </w:p>
        </w:tc>
        <w:tc>
          <w:tcPr>
            <w:tcW w:w="153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295D7F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新疆维吾尔自治区塔里木河流域库尔干水利枢纽工程建设管理中心</w:t>
            </w:r>
          </w:p>
        </w:tc>
      </w:tr>
      <w:tr w14:paraId="055C1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7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7F928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项目资金</w:t>
            </w:r>
            <w:r>
              <w:rPr>
                <w:rFonts w:hint="eastAsia" w:ascii="仿宋_GB2312" w:hAnsi="仿宋_GB2312" w:eastAsia="仿宋_GB2312" w:cs="仿宋_GB2312"/>
                <w:i w:val="0"/>
                <w:iCs w:val="0"/>
                <w:color w:val="000000"/>
                <w:kern w:val="0"/>
                <w:sz w:val="18"/>
                <w:szCs w:val="18"/>
                <w:u w:val="none"/>
                <w:lang w:val="en-US" w:eastAsia="zh-CN"/>
              </w:rPr>
              <w:br w:type="textWrapping"/>
            </w:r>
            <w:r>
              <w:rPr>
                <w:rFonts w:hint="eastAsia" w:ascii="仿宋_GB2312" w:hAnsi="仿宋_GB2312" w:eastAsia="仿宋_GB2312" w:cs="仿宋_GB2312"/>
                <w:i w:val="0"/>
                <w:iCs w:val="0"/>
                <w:color w:val="000000"/>
                <w:kern w:val="0"/>
                <w:sz w:val="18"/>
                <w:szCs w:val="18"/>
                <w:u w:val="none"/>
                <w:lang w:val="en-US" w:eastAsia="zh-CN"/>
              </w:rPr>
              <w:t>（万元）</w:t>
            </w:r>
          </w:p>
        </w:tc>
        <w:tc>
          <w:tcPr>
            <w:tcW w:w="10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7DCC1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资金来源</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AD42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年初预算数</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52386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全年预算数</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A3862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全年执行数</w:t>
            </w:r>
          </w:p>
        </w:tc>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2CD2F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分值权重</w:t>
            </w:r>
          </w:p>
        </w:tc>
        <w:tc>
          <w:tcPr>
            <w:tcW w:w="4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87D05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执行率</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1AF6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得分</w:t>
            </w:r>
          </w:p>
        </w:tc>
      </w:tr>
      <w:tr w14:paraId="1606D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7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77D6B">
            <w:pPr>
              <w:jc w:val="center"/>
              <w:rPr>
                <w:rFonts w:hint="eastAsia" w:ascii="仿宋_GB2312" w:hAnsi="仿宋_GB2312" w:eastAsia="仿宋_GB2312" w:cs="仿宋_GB2312"/>
                <w:i w:val="0"/>
                <w:iCs w:val="0"/>
                <w:color w:val="000000"/>
                <w:sz w:val="18"/>
                <w:szCs w:val="18"/>
                <w:u w:val="none"/>
              </w:rPr>
            </w:pPr>
          </w:p>
        </w:tc>
        <w:tc>
          <w:tcPr>
            <w:tcW w:w="10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9626B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年度资金总额</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CE53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1242.06</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3690E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1242.06</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8EC06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1242.06</w:t>
            </w:r>
          </w:p>
        </w:tc>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971BC2">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3DFBD9">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9CA0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r>
      <w:tr w14:paraId="21F9D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7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A62BC">
            <w:pPr>
              <w:jc w:val="center"/>
              <w:rPr>
                <w:rFonts w:hint="eastAsia" w:ascii="仿宋_GB2312" w:hAnsi="仿宋_GB2312" w:eastAsia="仿宋_GB2312" w:cs="仿宋_GB2312"/>
                <w:i w:val="0"/>
                <w:iCs w:val="0"/>
                <w:color w:val="000000"/>
                <w:sz w:val="18"/>
                <w:szCs w:val="18"/>
                <w:u w:val="none"/>
              </w:rPr>
            </w:pPr>
          </w:p>
        </w:tc>
        <w:tc>
          <w:tcPr>
            <w:tcW w:w="10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E7631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其中：当年财政拨款</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D6597">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48FF02">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DD9073">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B6EEFF">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4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5A6B32">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2ECFB">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14:paraId="7BBE4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7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524D9">
            <w:pPr>
              <w:jc w:val="center"/>
              <w:rPr>
                <w:rFonts w:hint="eastAsia" w:ascii="仿宋_GB2312" w:hAnsi="仿宋_GB2312" w:eastAsia="仿宋_GB2312" w:cs="仿宋_GB2312"/>
                <w:i w:val="0"/>
                <w:iCs w:val="0"/>
                <w:color w:val="000000"/>
                <w:sz w:val="18"/>
                <w:szCs w:val="18"/>
                <w:u w:val="none"/>
              </w:rPr>
            </w:pPr>
          </w:p>
        </w:tc>
        <w:tc>
          <w:tcPr>
            <w:tcW w:w="1082" w:type="pct"/>
            <w:gridSpan w:val="2"/>
            <w:tcBorders>
              <w:top w:val="single" w:color="000000" w:sz="4" w:space="0"/>
              <w:left w:val="single" w:color="000000" w:sz="4" w:space="0"/>
              <w:bottom w:val="nil"/>
              <w:right w:val="single" w:color="000000" w:sz="4" w:space="0"/>
            </w:tcBorders>
            <w:shd w:val="clear" w:color="auto" w:fill="auto"/>
            <w:vAlign w:val="center"/>
          </w:tcPr>
          <w:p w14:paraId="65DBBD2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其他资金</w:t>
            </w:r>
          </w:p>
        </w:tc>
        <w:tc>
          <w:tcPr>
            <w:tcW w:w="313" w:type="pct"/>
            <w:tcBorders>
              <w:top w:val="single" w:color="000000" w:sz="4" w:space="0"/>
              <w:left w:val="single" w:color="000000" w:sz="4" w:space="0"/>
              <w:bottom w:val="nil"/>
              <w:right w:val="single" w:color="000000" w:sz="4" w:space="0"/>
            </w:tcBorders>
            <w:shd w:val="clear" w:color="auto" w:fill="auto"/>
            <w:vAlign w:val="center"/>
          </w:tcPr>
          <w:p w14:paraId="1CBD0D4A">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1242.06</w:t>
            </w:r>
          </w:p>
        </w:tc>
        <w:tc>
          <w:tcPr>
            <w:tcW w:w="708" w:type="pct"/>
            <w:gridSpan w:val="2"/>
            <w:tcBorders>
              <w:top w:val="single" w:color="000000" w:sz="4" w:space="0"/>
              <w:left w:val="single" w:color="000000" w:sz="4" w:space="0"/>
              <w:bottom w:val="nil"/>
              <w:right w:val="single" w:color="000000" w:sz="4" w:space="0"/>
            </w:tcBorders>
            <w:shd w:val="clear" w:color="auto" w:fill="auto"/>
            <w:vAlign w:val="center"/>
          </w:tcPr>
          <w:p w14:paraId="19D729D6">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1242.06</w:t>
            </w:r>
          </w:p>
        </w:tc>
        <w:tc>
          <w:tcPr>
            <w:tcW w:w="683" w:type="pct"/>
            <w:gridSpan w:val="2"/>
            <w:tcBorders>
              <w:top w:val="single" w:color="000000" w:sz="4" w:space="0"/>
              <w:left w:val="single" w:color="000000" w:sz="4" w:space="0"/>
              <w:bottom w:val="nil"/>
              <w:right w:val="single" w:color="000000" w:sz="4" w:space="0"/>
            </w:tcBorders>
            <w:shd w:val="clear" w:color="auto" w:fill="auto"/>
            <w:vAlign w:val="center"/>
          </w:tcPr>
          <w:p w14:paraId="7CF475C7">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1242.06</w:t>
            </w:r>
          </w:p>
        </w:tc>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DA95FC">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4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084D6D">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73583">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14:paraId="671C6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5275C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年度总体目标</w:t>
            </w:r>
          </w:p>
        </w:tc>
        <w:tc>
          <w:tcPr>
            <w:tcW w:w="313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4C4D4D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总体目标</w:t>
            </w:r>
          </w:p>
        </w:tc>
        <w:tc>
          <w:tcPr>
            <w:tcW w:w="153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131114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总体目标完成情况</w:t>
            </w:r>
          </w:p>
        </w:tc>
      </w:tr>
      <w:tr w14:paraId="55C00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60C26">
            <w:pPr>
              <w:jc w:val="center"/>
              <w:rPr>
                <w:rFonts w:hint="eastAsia" w:ascii="仿宋_GB2312" w:hAnsi="仿宋_GB2312" w:eastAsia="仿宋_GB2312" w:cs="仿宋_GB2312"/>
                <w:i w:val="0"/>
                <w:iCs w:val="0"/>
                <w:color w:val="000000"/>
                <w:sz w:val="18"/>
                <w:szCs w:val="18"/>
                <w:u w:val="none"/>
              </w:rPr>
            </w:pPr>
          </w:p>
        </w:tc>
        <w:tc>
          <w:tcPr>
            <w:tcW w:w="3134"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59EF9BA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通过对2025年资金支出做出详细计划安排，落实资金保障，加强工程建设管理，实现2025年度工程建设投资任务，做到专项债券利息1242.06万元按规定及时支付。</w:t>
            </w:r>
          </w:p>
        </w:tc>
        <w:tc>
          <w:tcPr>
            <w:tcW w:w="153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05B4C2E">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2025年共支付专项债券利息4次，金额合计1242.06万元，按照《关于支付自治区本级其他自平衡类专项债券利息费用的通知》文件要求，及时足额完成专项债券利息支付。</w:t>
            </w:r>
          </w:p>
        </w:tc>
      </w:tr>
      <w:tr w14:paraId="6294B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D764DE">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4ADF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一级指标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F738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二级指标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0CAD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三级指标</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95E8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指标值</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224F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指标值设置依据</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93AE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上年完成值</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4EFF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指标分值权重</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647E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指标赋分规则</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DF25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佐证资料</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3FF2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指标实际完成值</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B5E8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完成率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A478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指标得分</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8034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偏差原因分析及改进措施</w:t>
            </w:r>
          </w:p>
        </w:tc>
      </w:tr>
      <w:tr w14:paraId="08E31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C552E">
            <w:pPr>
              <w:jc w:val="center"/>
              <w:rPr>
                <w:rFonts w:hint="eastAsia" w:ascii="仿宋_GB2312" w:hAnsi="仿宋_GB2312" w:eastAsia="仿宋_GB2312" w:cs="仿宋_GB2312"/>
                <w:i w:val="0"/>
                <w:iCs w:val="0"/>
                <w:color w:val="000000"/>
                <w:sz w:val="18"/>
                <w:szCs w:val="18"/>
                <w:u w:val="none"/>
              </w:rPr>
            </w:pP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9602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产出指标</w:t>
            </w:r>
          </w:p>
        </w:tc>
        <w:tc>
          <w:tcPr>
            <w:tcW w:w="437" w:type="pct"/>
            <w:tcBorders>
              <w:top w:val="single" w:color="000000" w:sz="4" w:space="0"/>
              <w:left w:val="single" w:color="000000" w:sz="4" w:space="0"/>
              <w:bottom w:val="nil"/>
              <w:right w:val="single" w:color="000000" w:sz="4" w:space="0"/>
            </w:tcBorders>
            <w:shd w:val="clear" w:color="auto" w:fill="auto"/>
            <w:noWrap/>
            <w:vAlign w:val="center"/>
          </w:tcPr>
          <w:p w14:paraId="3A0921A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数量指标</w:t>
            </w:r>
          </w:p>
        </w:tc>
        <w:tc>
          <w:tcPr>
            <w:tcW w:w="645" w:type="pct"/>
            <w:tcBorders>
              <w:top w:val="single" w:color="000000" w:sz="4" w:space="0"/>
              <w:left w:val="nil"/>
              <w:bottom w:val="single" w:color="000000" w:sz="4" w:space="0"/>
              <w:right w:val="single" w:color="000000" w:sz="4" w:space="0"/>
            </w:tcBorders>
            <w:shd w:val="clear" w:color="auto" w:fill="auto"/>
            <w:vAlign w:val="center"/>
          </w:tcPr>
          <w:p w14:paraId="1EC3381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资金支付金额</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E19A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=1242.06万元</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0308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历史标准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8310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1242.06万元</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1E46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5</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1860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7878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9C81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=1242.06万元</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AEC93">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ABA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1C4A1">
            <w:pPr>
              <w:jc w:val="center"/>
              <w:rPr>
                <w:rFonts w:hint="eastAsia" w:ascii="仿宋_GB2312" w:hAnsi="仿宋_GB2312" w:eastAsia="仿宋_GB2312" w:cs="仿宋_GB2312"/>
                <w:i w:val="0"/>
                <w:iCs w:val="0"/>
                <w:color w:val="000000"/>
                <w:sz w:val="18"/>
                <w:szCs w:val="18"/>
                <w:u w:val="none"/>
              </w:rPr>
            </w:pPr>
          </w:p>
        </w:tc>
      </w:tr>
      <w:tr w14:paraId="7BC30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22572">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8E3B2">
            <w:pPr>
              <w:jc w:val="center"/>
              <w:rPr>
                <w:rFonts w:hint="eastAsia" w:ascii="仿宋_GB2312" w:hAnsi="仿宋_GB2312" w:eastAsia="仿宋_GB2312" w:cs="仿宋_GB2312"/>
                <w:i w:val="0"/>
                <w:iCs w:val="0"/>
                <w:color w:val="000000"/>
                <w:sz w:val="18"/>
                <w:szCs w:val="18"/>
                <w:u w:val="none"/>
              </w:rPr>
            </w:pP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59CE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数量指标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A033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全年支付专项债券利息次数</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EEDD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=4次</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244F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历史标准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9EF9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4次</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609B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5</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93D1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6471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C397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=4次</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FE682">
            <w:pPr>
              <w:jc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E55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DBFB3">
            <w:pPr>
              <w:jc w:val="center"/>
              <w:rPr>
                <w:rFonts w:hint="eastAsia" w:ascii="仿宋_GB2312" w:hAnsi="仿宋_GB2312" w:eastAsia="仿宋_GB2312" w:cs="仿宋_GB2312"/>
                <w:i w:val="0"/>
                <w:iCs w:val="0"/>
                <w:color w:val="000000"/>
                <w:sz w:val="18"/>
                <w:szCs w:val="18"/>
                <w:u w:val="none"/>
              </w:rPr>
            </w:pPr>
          </w:p>
        </w:tc>
      </w:tr>
      <w:tr w14:paraId="280E8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102AE">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4FD3D">
            <w:pPr>
              <w:jc w:val="center"/>
              <w:rPr>
                <w:rFonts w:hint="eastAsia" w:ascii="仿宋_GB2312" w:hAnsi="仿宋_GB2312" w:eastAsia="仿宋_GB2312" w:cs="仿宋_GB2312"/>
                <w:i w:val="0"/>
                <w:iCs w:val="0"/>
                <w:color w:val="000000"/>
                <w:sz w:val="18"/>
                <w:szCs w:val="18"/>
                <w:u w:val="none"/>
              </w:rPr>
            </w:pP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3C53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质量指标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09CF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利息支付准确率</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0D95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&gt;=90%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0014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8E52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94FE7">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527E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E5BF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0DB7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=100%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D26BA">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73A61">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CE31F">
            <w:pPr>
              <w:jc w:val="center"/>
              <w:rPr>
                <w:rFonts w:hint="eastAsia" w:ascii="仿宋_GB2312" w:hAnsi="仿宋_GB2312" w:eastAsia="仿宋_GB2312" w:cs="仿宋_GB2312"/>
                <w:i w:val="0"/>
                <w:iCs w:val="0"/>
                <w:color w:val="000000"/>
                <w:sz w:val="18"/>
                <w:szCs w:val="18"/>
                <w:u w:val="none"/>
              </w:rPr>
            </w:pPr>
          </w:p>
        </w:tc>
      </w:tr>
      <w:tr w14:paraId="32711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09376">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1046D">
            <w:pPr>
              <w:jc w:val="center"/>
              <w:rPr>
                <w:rFonts w:hint="eastAsia" w:ascii="仿宋_GB2312" w:hAnsi="仿宋_GB2312" w:eastAsia="仿宋_GB2312" w:cs="仿宋_GB2312"/>
                <w:i w:val="0"/>
                <w:iCs w:val="0"/>
                <w:color w:val="000000"/>
                <w:sz w:val="18"/>
                <w:szCs w:val="18"/>
                <w:u w:val="none"/>
              </w:rPr>
            </w:pP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CAF3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质量指标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8D7D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利息支付合规率</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B4B5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&gt;=90%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263C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38FE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A5A3C">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FEB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045B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D7C5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=100%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ACE0E">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28AB9">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0FAD7">
            <w:pPr>
              <w:jc w:val="center"/>
              <w:rPr>
                <w:rFonts w:hint="eastAsia" w:ascii="仿宋_GB2312" w:hAnsi="仿宋_GB2312" w:eastAsia="仿宋_GB2312" w:cs="仿宋_GB2312"/>
                <w:i w:val="0"/>
                <w:iCs w:val="0"/>
                <w:color w:val="000000"/>
                <w:sz w:val="18"/>
                <w:szCs w:val="18"/>
                <w:u w:val="none"/>
              </w:rPr>
            </w:pPr>
          </w:p>
        </w:tc>
      </w:tr>
      <w:tr w14:paraId="45D52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69DB2">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46B4C">
            <w:pPr>
              <w:jc w:val="center"/>
              <w:rPr>
                <w:rFonts w:hint="eastAsia" w:ascii="仿宋_GB2312" w:hAnsi="仿宋_GB2312" w:eastAsia="仿宋_GB2312" w:cs="仿宋_GB2312"/>
                <w:i w:val="0"/>
                <w:iCs w:val="0"/>
                <w:color w:val="000000"/>
                <w:sz w:val="18"/>
                <w:szCs w:val="18"/>
                <w:u w:val="none"/>
              </w:rPr>
            </w:pPr>
          </w:p>
        </w:tc>
        <w:tc>
          <w:tcPr>
            <w:tcW w:w="437" w:type="pct"/>
            <w:tcBorders>
              <w:top w:val="single" w:color="000000" w:sz="4" w:space="0"/>
              <w:left w:val="single" w:color="000000" w:sz="4" w:space="0"/>
              <w:bottom w:val="nil"/>
              <w:right w:val="single" w:color="000000" w:sz="4" w:space="0"/>
            </w:tcBorders>
            <w:shd w:val="clear" w:color="auto" w:fill="auto"/>
            <w:noWrap/>
            <w:vAlign w:val="center"/>
          </w:tcPr>
          <w:p w14:paraId="0378C23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时效指标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9969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第一次支付时间</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5036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&lt;=2025年4月</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1E45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E2C3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E1D3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6EC9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9C4E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CA33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=2025年4月</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5872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8CE79">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94D79">
            <w:pPr>
              <w:jc w:val="center"/>
              <w:rPr>
                <w:rFonts w:hint="eastAsia" w:ascii="仿宋_GB2312" w:hAnsi="仿宋_GB2312" w:eastAsia="仿宋_GB2312" w:cs="仿宋_GB2312"/>
                <w:b/>
                <w:bCs/>
                <w:i w:val="0"/>
                <w:iCs w:val="0"/>
                <w:color w:val="000000"/>
                <w:sz w:val="18"/>
                <w:szCs w:val="18"/>
                <w:u w:val="none"/>
              </w:rPr>
            </w:pPr>
          </w:p>
        </w:tc>
      </w:tr>
      <w:tr w14:paraId="5E8AC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09D62">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A2D27">
            <w:pPr>
              <w:jc w:val="center"/>
              <w:rPr>
                <w:rFonts w:hint="eastAsia" w:ascii="仿宋_GB2312" w:hAnsi="仿宋_GB2312" w:eastAsia="仿宋_GB2312" w:cs="仿宋_GB2312"/>
                <w:i w:val="0"/>
                <w:iCs w:val="0"/>
                <w:color w:val="000000"/>
                <w:sz w:val="18"/>
                <w:szCs w:val="18"/>
                <w:u w:val="none"/>
              </w:rPr>
            </w:pPr>
          </w:p>
        </w:tc>
        <w:tc>
          <w:tcPr>
            <w:tcW w:w="437" w:type="pct"/>
            <w:tcBorders>
              <w:top w:val="single" w:color="000000" w:sz="4" w:space="0"/>
              <w:left w:val="single" w:color="000000" w:sz="4" w:space="0"/>
              <w:bottom w:val="nil"/>
              <w:right w:val="single" w:color="000000" w:sz="4" w:space="0"/>
            </w:tcBorders>
            <w:shd w:val="clear" w:color="auto" w:fill="auto"/>
            <w:noWrap/>
            <w:vAlign w:val="center"/>
          </w:tcPr>
          <w:p w14:paraId="5528F22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时效指标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B65E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第二次支付时间</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FD9B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&lt;=2025年6月</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7145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5885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179B8">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2CB5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AE8B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2FCA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=2025年6月</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A8AB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4E960">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4F199">
            <w:pPr>
              <w:jc w:val="center"/>
              <w:rPr>
                <w:rFonts w:hint="eastAsia" w:ascii="仿宋_GB2312" w:hAnsi="仿宋_GB2312" w:eastAsia="仿宋_GB2312" w:cs="仿宋_GB2312"/>
                <w:b/>
                <w:bCs/>
                <w:i w:val="0"/>
                <w:iCs w:val="0"/>
                <w:color w:val="000000"/>
                <w:sz w:val="18"/>
                <w:szCs w:val="18"/>
                <w:u w:val="none"/>
              </w:rPr>
            </w:pPr>
          </w:p>
        </w:tc>
      </w:tr>
      <w:tr w14:paraId="15898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5E09F">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09DFA">
            <w:pPr>
              <w:jc w:val="center"/>
              <w:rPr>
                <w:rFonts w:hint="eastAsia" w:ascii="仿宋_GB2312" w:hAnsi="仿宋_GB2312" w:eastAsia="仿宋_GB2312" w:cs="仿宋_GB2312"/>
                <w:i w:val="0"/>
                <w:iCs w:val="0"/>
                <w:color w:val="000000"/>
                <w:sz w:val="18"/>
                <w:szCs w:val="18"/>
                <w:u w:val="none"/>
              </w:rPr>
            </w:pPr>
          </w:p>
        </w:tc>
        <w:tc>
          <w:tcPr>
            <w:tcW w:w="437" w:type="pct"/>
            <w:tcBorders>
              <w:top w:val="single" w:color="000000" w:sz="4" w:space="0"/>
              <w:left w:val="single" w:color="000000" w:sz="4" w:space="0"/>
              <w:bottom w:val="nil"/>
              <w:right w:val="single" w:color="000000" w:sz="4" w:space="0"/>
            </w:tcBorders>
            <w:shd w:val="clear" w:color="auto" w:fill="auto"/>
            <w:noWrap/>
            <w:vAlign w:val="center"/>
          </w:tcPr>
          <w:p w14:paraId="7B44379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时效指标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4FDE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第三次支付时间</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3A30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&lt;=2025年10月</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F6BB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4AB9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3852D">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C6CA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9D64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326D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=2025年9月</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6A5D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2B220">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7F6ED">
            <w:pPr>
              <w:jc w:val="center"/>
              <w:rPr>
                <w:rFonts w:hint="eastAsia" w:ascii="仿宋_GB2312" w:hAnsi="仿宋_GB2312" w:eastAsia="仿宋_GB2312" w:cs="仿宋_GB2312"/>
                <w:b/>
                <w:bCs/>
                <w:i w:val="0"/>
                <w:iCs w:val="0"/>
                <w:color w:val="000000"/>
                <w:sz w:val="18"/>
                <w:szCs w:val="18"/>
                <w:u w:val="none"/>
              </w:rPr>
            </w:pPr>
          </w:p>
        </w:tc>
      </w:tr>
      <w:tr w14:paraId="31E73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2A87C">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A927F">
            <w:pPr>
              <w:jc w:val="center"/>
              <w:rPr>
                <w:rFonts w:hint="eastAsia" w:ascii="仿宋_GB2312" w:hAnsi="仿宋_GB2312" w:eastAsia="仿宋_GB2312" w:cs="仿宋_GB2312"/>
                <w:i w:val="0"/>
                <w:iCs w:val="0"/>
                <w:color w:val="000000"/>
                <w:sz w:val="18"/>
                <w:szCs w:val="18"/>
                <w:u w:val="none"/>
              </w:rPr>
            </w:pPr>
          </w:p>
        </w:tc>
        <w:tc>
          <w:tcPr>
            <w:tcW w:w="437" w:type="pct"/>
            <w:tcBorders>
              <w:top w:val="single" w:color="000000" w:sz="4" w:space="0"/>
              <w:left w:val="single" w:color="000000" w:sz="4" w:space="0"/>
              <w:bottom w:val="nil"/>
              <w:right w:val="single" w:color="000000" w:sz="4" w:space="0"/>
            </w:tcBorders>
            <w:shd w:val="clear" w:color="auto" w:fill="auto"/>
            <w:noWrap/>
            <w:vAlign w:val="center"/>
          </w:tcPr>
          <w:p w14:paraId="06E8C50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时效指标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7C17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第四次支付时间</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D952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&lt;=2025年12月</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9FF7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AAE7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616C2">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5249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5A50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9753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=2025年12月</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788B3">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19698">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78FC7">
            <w:pPr>
              <w:jc w:val="center"/>
              <w:rPr>
                <w:rFonts w:hint="eastAsia" w:ascii="仿宋_GB2312" w:hAnsi="仿宋_GB2312" w:eastAsia="仿宋_GB2312" w:cs="仿宋_GB2312"/>
                <w:b/>
                <w:bCs/>
                <w:i w:val="0"/>
                <w:iCs w:val="0"/>
                <w:color w:val="000000"/>
                <w:sz w:val="18"/>
                <w:szCs w:val="18"/>
                <w:u w:val="none"/>
              </w:rPr>
            </w:pPr>
          </w:p>
        </w:tc>
      </w:tr>
      <w:tr w14:paraId="74A5F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10FE3">
            <w:pPr>
              <w:jc w:val="center"/>
              <w:rPr>
                <w:rFonts w:hint="eastAsia" w:ascii="仿宋_GB2312" w:hAnsi="仿宋_GB2312" w:eastAsia="仿宋_GB2312" w:cs="仿宋_GB2312"/>
                <w:i w:val="0"/>
                <w:iCs w:val="0"/>
                <w:color w:val="000000"/>
                <w:sz w:val="18"/>
                <w:szCs w:val="18"/>
                <w:u w:val="none"/>
              </w:rPr>
            </w:pPr>
          </w:p>
        </w:tc>
        <w:tc>
          <w:tcPr>
            <w:tcW w:w="344" w:type="pct"/>
            <w:vMerge w:val="restart"/>
            <w:tcBorders>
              <w:top w:val="single" w:color="000000" w:sz="4" w:space="0"/>
              <w:left w:val="single" w:color="000000" w:sz="4" w:space="0"/>
              <w:right w:val="single" w:color="000000" w:sz="4" w:space="0"/>
            </w:tcBorders>
            <w:shd w:val="clear" w:color="auto" w:fill="auto"/>
            <w:vAlign w:val="center"/>
          </w:tcPr>
          <w:p w14:paraId="0A13D0FA">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437" w:type="pct"/>
            <w:tcBorders>
              <w:top w:val="single" w:color="000000" w:sz="4" w:space="0"/>
              <w:left w:val="single" w:color="000000" w:sz="4" w:space="0"/>
              <w:bottom w:val="nil"/>
              <w:right w:val="single" w:color="000000" w:sz="4" w:space="0"/>
            </w:tcBorders>
            <w:shd w:val="clear" w:color="auto" w:fill="auto"/>
            <w:noWrap/>
            <w:vAlign w:val="center"/>
          </w:tcPr>
          <w:p w14:paraId="3881699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经济成本指标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72E6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第一次支付金额</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3262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&lt;=318.02万元</w:t>
            </w:r>
          </w:p>
        </w:tc>
        <w:tc>
          <w:tcPr>
            <w:tcW w:w="358" w:type="pct"/>
            <w:tcBorders>
              <w:top w:val="single" w:color="000000" w:sz="4" w:space="0"/>
              <w:left w:val="single" w:color="000000" w:sz="4" w:space="0"/>
              <w:bottom w:val="nil"/>
              <w:right w:val="single" w:color="000000" w:sz="4" w:space="0"/>
            </w:tcBorders>
            <w:shd w:val="clear" w:color="auto" w:fill="auto"/>
            <w:vAlign w:val="center"/>
          </w:tcPr>
          <w:p w14:paraId="61F6667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83E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2443A">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nil"/>
              <w:right w:val="single" w:color="000000" w:sz="4" w:space="0"/>
            </w:tcBorders>
            <w:shd w:val="clear" w:color="auto" w:fill="auto"/>
            <w:vAlign w:val="center"/>
          </w:tcPr>
          <w:p w14:paraId="44A084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1DC9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9BCE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=318.02万元</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62E51">
            <w:pPr>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A478D">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82067">
            <w:pPr>
              <w:jc w:val="center"/>
              <w:rPr>
                <w:rFonts w:hint="eastAsia" w:ascii="仿宋_GB2312" w:hAnsi="仿宋_GB2312" w:eastAsia="仿宋_GB2312" w:cs="仿宋_GB2312"/>
                <w:i w:val="0"/>
                <w:iCs w:val="0"/>
                <w:color w:val="000000"/>
                <w:sz w:val="18"/>
                <w:szCs w:val="18"/>
                <w:u w:val="none"/>
              </w:rPr>
            </w:pPr>
          </w:p>
        </w:tc>
      </w:tr>
      <w:tr w14:paraId="17FD0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1481B">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left w:val="single" w:color="000000" w:sz="4" w:space="0"/>
              <w:right w:val="single" w:color="000000" w:sz="4" w:space="0"/>
            </w:tcBorders>
            <w:shd w:val="clear" w:color="auto" w:fill="auto"/>
            <w:vAlign w:val="center"/>
          </w:tcPr>
          <w:p w14:paraId="7F7CD0D9">
            <w:pPr>
              <w:jc w:val="center"/>
              <w:rPr>
                <w:rFonts w:hint="eastAsia" w:ascii="仿宋_GB2312" w:hAnsi="仿宋_GB2312" w:eastAsia="仿宋_GB2312" w:cs="仿宋_GB2312"/>
                <w:i w:val="0"/>
                <w:iCs w:val="0"/>
                <w:color w:val="000000"/>
                <w:sz w:val="18"/>
                <w:szCs w:val="18"/>
                <w:u w:val="none"/>
                <w:lang w:val="en-US" w:eastAsia="zh-CN"/>
              </w:rPr>
            </w:pPr>
          </w:p>
        </w:tc>
        <w:tc>
          <w:tcPr>
            <w:tcW w:w="437" w:type="pct"/>
            <w:tcBorders>
              <w:top w:val="single" w:color="000000" w:sz="4" w:space="0"/>
              <w:left w:val="single" w:color="000000" w:sz="4" w:space="0"/>
              <w:bottom w:val="nil"/>
              <w:right w:val="single" w:color="000000" w:sz="4" w:space="0"/>
            </w:tcBorders>
            <w:shd w:val="clear" w:color="auto" w:fill="auto"/>
            <w:noWrap/>
            <w:vAlign w:val="center"/>
          </w:tcPr>
          <w:p w14:paraId="245CD2F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经济成本指标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665D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第二次支付金额</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D7C9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&lt;=303.01万元</w:t>
            </w:r>
          </w:p>
        </w:tc>
        <w:tc>
          <w:tcPr>
            <w:tcW w:w="358" w:type="pct"/>
            <w:tcBorders>
              <w:top w:val="single" w:color="000000" w:sz="4" w:space="0"/>
              <w:left w:val="single" w:color="000000" w:sz="4" w:space="0"/>
              <w:bottom w:val="nil"/>
              <w:right w:val="single" w:color="000000" w:sz="4" w:space="0"/>
            </w:tcBorders>
            <w:shd w:val="clear" w:color="auto" w:fill="auto"/>
            <w:vAlign w:val="center"/>
          </w:tcPr>
          <w:p w14:paraId="54F0D78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558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C098D">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nil"/>
              <w:right w:val="single" w:color="000000" w:sz="4" w:space="0"/>
            </w:tcBorders>
            <w:shd w:val="clear" w:color="auto" w:fill="auto"/>
            <w:vAlign w:val="center"/>
          </w:tcPr>
          <w:p w14:paraId="33F771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E5F2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E73B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=303.01万元</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E50D1">
            <w:pPr>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1ECFE">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F8452">
            <w:pPr>
              <w:jc w:val="center"/>
              <w:rPr>
                <w:rFonts w:hint="eastAsia" w:ascii="仿宋_GB2312" w:hAnsi="仿宋_GB2312" w:eastAsia="仿宋_GB2312" w:cs="仿宋_GB2312"/>
                <w:i w:val="0"/>
                <w:iCs w:val="0"/>
                <w:color w:val="000000"/>
                <w:sz w:val="18"/>
                <w:szCs w:val="18"/>
                <w:u w:val="none"/>
              </w:rPr>
            </w:pPr>
          </w:p>
        </w:tc>
      </w:tr>
      <w:tr w14:paraId="7699A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99114">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left w:val="single" w:color="000000" w:sz="4" w:space="0"/>
              <w:right w:val="single" w:color="000000" w:sz="4" w:space="0"/>
            </w:tcBorders>
            <w:shd w:val="clear" w:color="auto" w:fill="auto"/>
            <w:vAlign w:val="center"/>
          </w:tcPr>
          <w:p w14:paraId="68CDFFDC">
            <w:pPr>
              <w:jc w:val="center"/>
              <w:rPr>
                <w:rFonts w:hint="eastAsia" w:ascii="仿宋_GB2312" w:hAnsi="仿宋_GB2312" w:eastAsia="仿宋_GB2312" w:cs="仿宋_GB2312"/>
                <w:i w:val="0"/>
                <w:iCs w:val="0"/>
                <w:color w:val="000000"/>
                <w:sz w:val="18"/>
                <w:szCs w:val="18"/>
                <w:u w:val="none"/>
                <w:lang w:val="en-US" w:eastAsia="zh-CN"/>
              </w:rPr>
            </w:pPr>
          </w:p>
        </w:tc>
        <w:tc>
          <w:tcPr>
            <w:tcW w:w="437" w:type="pct"/>
            <w:tcBorders>
              <w:top w:val="single" w:color="000000" w:sz="4" w:space="0"/>
              <w:left w:val="single" w:color="000000" w:sz="4" w:space="0"/>
              <w:bottom w:val="nil"/>
              <w:right w:val="single" w:color="000000" w:sz="4" w:space="0"/>
            </w:tcBorders>
            <w:shd w:val="clear" w:color="auto" w:fill="auto"/>
            <w:noWrap/>
            <w:vAlign w:val="center"/>
          </w:tcPr>
          <w:p w14:paraId="2344823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经济成本指标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2DCE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第三次支付金额</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9AFD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&lt;=318.02万元</w:t>
            </w:r>
          </w:p>
        </w:tc>
        <w:tc>
          <w:tcPr>
            <w:tcW w:w="358" w:type="pct"/>
            <w:tcBorders>
              <w:top w:val="single" w:color="000000" w:sz="4" w:space="0"/>
              <w:left w:val="single" w:color="000000" w:sz="4" w:space="0"/>
              <w:bottom w:val="nil"/>
              <w:right w:val="single" w:color="000000" w:sz="4" w:space="0"/>
            </w:tcBorders>
            <w:shd w:val="clear" w:color="auto" w:fill="auto"/>
            <w:vAlign w:val="center"/>
          </w:tcPr>
          <w:p w14:paraId="6BC1A7E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E6BA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49119">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nil"/>
              <w:right w:val="single" w:color="000000" w:sz="4" w:space="0"/>
            </w:tcBorders>
            <w:shd w:val="clear" w:color="auto" w:fill="auto"/>
            <w:vAlign w:val="center"/>
          </w:tcPr>
          <w:p w14:paraId="44FFEDC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357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0066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=318.02万元</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DF6A7">
            <w:pPr>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DCBB4">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B9E40">
            <w:pPr>
              <w:jc w:val="center"/>
              <w:rPr>
                <w:rFonts w:hint="eastAsia" w:ascii="仿宋_GB2312" w:hAnsi="仿宋_GB2312" w:eastAsia="仿宋_GB2312" w:cs="仿宋_GB2312"/>
                <w:i w:val="0"/>
                <w:iCs w:val="0"/>
                <w:color w:val="000000"/>
                <w:sz w:val="18"/>
                <w:szCs w:val="18"/>
                <w:u w:val="none"/>
              </w:rPr>
            </w:pPr>
          </w:p>
        </w:tc>
      </w:tr>
      <w:tr w14:paraId="5FA62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F3A0A">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left w:val="single" w:color="000000" w:sz="4" w:space="0"/>
              <w:bottom w:val="single" w:color="000000" w:sz="4" w:space="0"/>
              <w:right w:val="single" w:color="000000" w:sz="4" w:space="0"/>
            </w:tcBorders>
            <w:shd w:val="clear" w:color="auto" w:fill="auto"/>
            <w:vAlign w:val="center"/>
          </w:tcPr>
          <w:p w14:paraId="0F3D3DED">
            <w:pPr>
              <w:jc w:val="center"/>
              <w:rPr>
                <w:rFonts w:hint="default" w:ascii="仿宋_GB2312" w:hAnsi="仿宋_GB2312" w:eastAsia="仿宋_GB2312" w:cs="仿宋_GB2312"/>
                <w:i w:val="0"/>
                <w:iCs w:val="0"/>
                <w:color w:val="000000"/>
                <w:sz w:val="18"/>
                <w:szCs w:val="18"/>
                <w:u w:val="none"/>
                <w:lang w:val="en-US" w:eastAsia="zh-CN"/>
              </w:rPr>
            </w:pPr>
          </w:p>
        </w:tc>
        <w:tc>
          <w:tcPr>
            <w:tcW w:w="437" w:type="pct"/>
            <w:tcBorders>
              <w:top w:val="single" w:color="000000" w:sz="4" w:space="0"/>
              <w:left w:val="single" w:color="000000" w:sz="4" w:space="0"/>
              <w:bottom w:val="nil"/>
              <w:right w:val="single" w:color="000000" w:sz="4" w:space="0"/>
            </w:tcBorders>
            <w:shd w:val="clear" w:color="auto" w:fill="auto"/>
            <w:noWrap/>
            <w:vAlign w:val="center"/>
          </w:tcPr>
          <w:p w14:paraId="106669D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经济成本指标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740B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第四次支付金额</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3B1E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&lt;=303.01万元</w:t>
            </w:r>
          </w:p>
        </w:tc>
        <w:tc>
          <w:tcPr>
            <w:tcW w:w="358" w:type="pct"/>
            <w:tcBorders>
              <w:top w:val="single" w:color="000000" w:sz="4" w:space="0"/>
              <w:left w:val="single" w:color="000000" w:sz="4" w:space="0"/>
              <w:bottom w:val="nil"/>
              <w:right w:val="single" w:color="000000" w:sz="4" w:space="0"/>
            </w:tcBorders>
            <w:shd w:val="clear" w:color="auto" w:fill="auto"/>
            <w:vAlign w:val="center"/>
          </w:tcPr>
          <w:p w14:paraId="0A185D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DB32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FF74B">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nil"/>
              <w:right w:val="single" w:color="000000" w:sz="4" w:space="0"/>
            </w:tcBorders>
            <w:shd w:val="clear" w:color="auto" w:fill="auto"/>
            <w:vAlign w:val="center"/>
          </w:tcPr>
          <w:p w14:paraId="2533191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372A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3103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=303.01万元</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8F753">
            <w:pPr>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C053F">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E1CC2">
            <w:pPr>
              <w:jc w:val="center"/>
              <w:rPr>
                <w:rFonts w:hint="eastAsia" w:ascii="仿宋_GB2312" w:hAnsi="仿宋_GB2312" w:eastAsia="仿宋_GB2312" w:cs="仿宋_GB2312"/>
                <w:i w:val="0"/>
                <w:iCs w:val="0"/>
                <w:color w:val="000000"/>
                <w:sz w:val="18"/>
                <w:szCs w:val="18"/>
                <w:u w:val="none"/>
              </w:rPr>
            </w:pPr>
          </w:p>
        </w:tc>
      </w:tr>
      <w:tr w14:paraId="65148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9"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FE2C5">
            <w:pPr>
              <w:jc w:val="center"/>
              <w:rPr>
                <w:rFonts w:hint="eastAsia" w:ascii="仿宋_GB2312" w:hAnsi="仿宋_GB2312" w:eastAsia="仿宋_GB2312" w:cs="仿宋_GB2312"/>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0EF3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效益指标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5A8F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社会效益指标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9F8C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防止专项债逾期付息导致违约风险率</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CAD6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&gt;=90%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2A32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2A2A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CDE4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20</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E721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4D51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说明材料</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DB87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C811F">
            <w:pPr>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B34D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20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B6B17">
            <w:pPr>
              <w:jc w:val="center"/>
              <w:rPr>
                <w:rFonts w:hint="eastAsia" w:ascii="仿宋_GB2312" w:hAnsi="仿宋_GB2312" w:eastAsia="仿宋_GB2312" w:cs="仿宋_GB2312"/>
                <w:i w:val="0"/>
                <w:iCs w:val="0"/>
                <w:color w:val="000000"/>
                <w:sz w:val="18"/>
                <w:szCs w:val="18"/>
                <w:u w:val="none"/>
              </w:rPr>
            </w:pPr>
          </w:p>
        </w:tc>
      </w:tr>
      <w:tr w14:paraId="22BBF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E5E16">
            <w:pPr>
              <w:jc w:val="center"/>
              <w:rPr>
                <w:rFonts w:hint="eastAsia" w:ascii="仿宋_GB2312" w:hAnsi="仿宋_GB2312" w:eastAsia="仿宋_GB2312" w:cs="仿宋_GB2312"/>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653F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满意度指标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1717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满意度指标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F660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工程库周受益居民满意度</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97EFE">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&gt;=90%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30587">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BD6EE">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53A6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CB263">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满意度赋分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D0AEF">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说明材料</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8C3B1">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=100%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77C5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166F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B97E2">
            <w:pPr>
              <w:jc w:val="center"/>
              <w:rPr>
                <w:rFonts w:hint="eastAsia" w:ascii="仿宋_GB2312" w:hAnsi="仿宋_GB2312" w:eastAsia="仿宋_GB2312" w:cs="仿宋_GB2312"/>
                <w:i w:val="0"/>
                <w:iCs w:val="0"/>
                <w:color w:val="000000"/>
                <w:sz w:val="18"/>
                <w:szCs w:val="18"/>
                <w:u w:val="none"/>
              </w:rPr>
            </w:pPr>
          </w:p>
        </w:tc>
      </w:tr>
      <w:tr w14:paraId="1BF92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1761" w:type="pct"/>
            <w:gridSpan w:val="4"/>
            <w:tcBorders>
              <w:top w:val="single" w:color="000000" w:sz="4" w:space="0"/>
              <w:left w:val="single" w:color="000000" w:sz="4" w:space="0"/>
              <w:bottom w:val="single" w:color="000000" w:sz="4" w:space="0"/>
              <w:right w:val="nil"/>
            </w:tcBorders>
            <w:shd w:val="clear" w:color="auto" w:fill="auto"/>
            <w:vAlign w:val="center"/>
          </w:tcPr>
          <w:p w14:paraId="3E86211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总分</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EAD9D">
            <w:pPr>
              <w:jc w:val="center"/>
              <w:rPr>
                <w:rFonts w:hint="eastAsia" w:ascii="仿宋_GB2312" w:hAnsi="仿宋_GB2312" w:eastAsia="仿宋_GB2312" w:cs="仿宋_GB2312"/>
                <w:i w:val="0"/>
                <w:iCs w:val="0"/>
                <w:color w:val="000000"/>
                <w:sz w:val="18"/>
                <w:szCs w:val="18"/>
                <w:u w:val="none"/>
              </w:rPr>
            </w:pPr>
          </w:p>
        </w:tc>
        <w:tc>
          <w:tcPr>
            <w:tcW w:w="358" w:type="pct"/>
            <w:tcBorders>
              <w:top w:val="single" w:color="000000" w:sz="4" w:space="0"/>
              <w:left w:val="nil"/>
              <w:bottom w:val="single" w:color="000000" w:sz="4" w:space="0"/>
              <w:right w:val="single" w:color="000000" w:sz="4" w:space="0"/>
            </w:tcBorders>
            <w:shd w:val="clear" w:color="auto" w:fill="auto"/>
            <w:vAlign w:val="center"/>
          </w:tcPr>
          <w:p w14:paraId="3B1B596F">
            <w:pPr>
              <w:rPr>
                <w:rFonts w:hint="eastAsia" w:ascii="仿宋_GB2312" w:hAnsi="仿宋_GB2312" w:eastAsia="仿宋_GB2312" w:cs="仿宋_GB2312"/>
                <w:b/>
                <w:bCs/>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EEECD">
            <w:pPr>
              <w:jc w:val="center"/>
              <w:rPr>
                <w:rFonts w:hint="eastAsia" w:ascii="仿宋_GB2312" w:hAnsi="仿宋_GB2312" w:eastAsia="仿宋_GB2312" w:cs="仿宋_GB2312"/>
                <w:i w:val="0"/>
                <w:iCs w:val="0"/>
                <w:color w:val="000000"/>
                <w:sz w:val="18"/>
                <w:szCs w:val="18"/>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D45F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w:t>
            </w:r>
            <w:bookmarkStart w:id="70" w:name="_GoBack"/>
            <w:bookmarkEnd w:id="70"/>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03111">
            <w:pPr>
              <w:jc w:val="center"/>
              <w:rPr>
                <w:rFonts w:hint="eastAsia" w:ascii="仿宋_GB2312" w:hAnsi="仿宋_GB2312" w:eastAsia="仿宋_GB2312" w:cs="仿宋_GB2312"/>
                <w:i w:val="0"/>
                <w:iCs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55B32">
            <w:pPr>
              <w:rPr>
                <w:rFonts w:hint="eastAsia" w:ascii="仿宋_GB2312" w:hAnsi="仿宋_GB2312" w:eastAsia="仿宋_GB2312" w:cs="仿宋_GB2312"/>
                <w:i w:val="0"/>
                <w:iCs w:val="0"/>
                <w:color w:val="000000"/>
                <w:sz w:val="18"/>
                <w:szCs w:val="18"/>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8CCD5">
            <w:pPr>
              <w:rPr>
                <w:rFonts w:hint="eastAsia" w:ascii="仿宋_GB2312" w:hAnsi="仿宋_GB2312" w:eastAsia="仿宋_GB2312" w:cs="仿宋_GB2312"/>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2DAB7">
            <w:pPr>
              <w:rPr>
                <w:rFonts w:hint="eastAsia" w:ascii="仿宋_GB2312" w:hAnsi="仿宋_GB2312" w:eastAsia="仿宋_GB2312" w:cs="仿宋_GB2312"/>
                <w:i w:val="0"/>
                <w:iCs w:val="0"/>
                <w:color w:val="000000"/>
                <w:sz w:val="18"/>
                <w:szCs w:val="18"/>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1CA2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EE636">
            <w:pPr>
              <w:rPr>
                <w:rFonts w:hint="eastAsia" w:ascii="仿宋_GB2312" w:hAnsi="仿宋_GB2312" w:eastAsia="仿宋_GB2312" w:cs="仿宋_GB2312"/>
                <w:i w:val="0"/>
                <w:iCs w:val="0"/>
                <w:color w:val="000000"/>
                <w:sz w:val="18"/>
                <w:szCs w:val="18"/>
                <w:u w:val="none"/>
              </w:rPr>
            </w:pPr>
          </w:p>
        </w:tc>
      </w:tr>
    </w:tbl>
    <w:p w14:paraId="2619C98B">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211FB74-D360-4FDA-A368-1FB4D043FEE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DF24D6D-467C-49EF-BC8F-B0B121EE1D8F}"/>
  </w:font>
  <w:font w:name="华文中宋">
    <w:panose1 w:val="02010600040101010101"/>
    <w:charset w:val="86"/>
    <w:family w:val="auto"/>
    <w:pitch w:val="default"/>
    <w:sig w:usb0="00000287" w:usb1="080F0000" w:usb2="00000000" w:usb3="00000000" w:csb0="0004009F" w:csb1="DFD70000"/>
    <w:embedRegular r:id="rId3" w:fontKey="{450A34C0-8EE7-4614-932B-75B52DD1FAAA}"/>
  </w:font>
  <w:font w:name="方正小标宋_GBK">
    <w:panose1 w:val="03000509000000000000"/>
    <w:charset w:val="86"/>
    <w:family w:val="script"/>
    <w:pitch w:val="default"/>
    <w:sig w:usb0="00000001" w:usb1="080E0000" w:usb2="00000000" w:usb3="00000000" w:csb0="00040000" w:csb1="00000000"/>
    <w:embedRegular r:id="rId4" w:fontKey="{837A4729-8DA4-4AAB-BBBF-CD6BD8ABA240}"/>
  </w:font>
  <w:font w:name="楷体_GB2312">
    <w:panose1 w:val="02010609030101010101"/>
    <w:charset w:val="86"/>
    <w:family w:val="auto"/>
    <w:pitch w:val="default"/>
    <w:sig w:usb0="00000001" w:usb1="080E0000" w:usb2="00000000" w:usb3="00000000" w:csb0="00040000" w:csb1="00000000"/>
    <w:embedRegular r:id="rId5" w:fontKey="{E83D9EAD-BF34-41D7-9D5E-D3B49488891D}"/>
  </w:font>
  <w:font w:name="楷体">
    <w:panose1 w:val="02010609060101010101"/>
    <w:charset w:val="86"/>
    <w:family w:val="modern"/>
    <w:pitch w:val="default"/>
    <w:sig w:usb0="800002BF" w:usb1="38CF7CFA" w:usb2="00000016" w:usb3="00000000" w:csb0="00040001" w:csb1="00000000"/>
    <w:embedRegular r:id="rId6" w:fontKey="{5FD9815B-F026-4BEF-9466-395672DAE1F4}"/>
  </w:font>
  <w:font w:name="WPSEMBED1">
    <w:panose1 w:val="03000509000000000000"/>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30FCD5DA">
        <w:pPr>
          <w:pStyle w:val="8"/>
          <w:jc w:val="center"/>
        </w:pPr>
        <w:r>
          <w:fldChar w:fldCharType="begin"/>
        </w:r>
        <w:r>
          <w:instrText xml:space="preserve">PAGE   \* MERGEFORMAT</w:instrText>
        </w:r>
        <w:r>
          <w:fldChar w:fldCharType="separate"/>
        </w:r>
        <w:r>
          <w:rPr>
            <w:lang w:val="zh-CN"/>
          </w:rPr>
          <w:t>13</w:t>
        </w:r>
        <w:r>
          <w:fldChar w:fldCharType="end"/>
        </w:r>
      </w:p>
    </w:sdtContent>
  </w:sdt>
  <w:p w14:paraId="22FA9C67">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5948E6"/>
    <w:rsid w:val="006F7242"/>
    <w:rsid w:val="007B168A"/>
    <w:rsid w:val="008B2CFE"/>
    <w:rsid w:val="00D14946"/>
    <w:rsid w:val="00F26FF6"/>
    <w:rsid w:val="011E0236"/>
    <w:rsid w:val="01610122"/>
    <w:rsid w:val="01B80F22"/>
    <w:rsid w:val="02510197"/>
    <w:rsid w:val="02E358DE"/>
    <w:rsid w:val="030F6088"/>
    <w:rsid w:val="036D1000"/>
    <w:rsid w:val="03E07A24"/>
    <w:rsid w:val="03EB22D8"/>
    <w:rsid w:val="03EC461B"/>
    <w:rsid w:val="042F1AF1"/>
    <w:rsid w:val="04820ADC"/>
    <w:rsid w:val="04BD7D66"/>
    <w:rsid w:val="04FC7963"/>
    <w:rsid w:val="057E12A3"/>
    <w:rsid w:val="064C13A1"/>
    <w:rsid w:val="072E1CFC"/>
    <w:rsid w:val="07397B77"/>
    <w:rsid w:val="07EB626D"/>
    <w:rsid w:val="084E1401"/>
    <w:rsid w:val="0AD007F3"/>
    <w:rsid w:val="0AF344E1"/>
    <w:rsid w:val="0AFC15E8"/>
    <w:rsid w:val="0B0E7513"/>
    <w:rsid w:val="0B3F14D4"/>
    <w:rsid w:val="0BAB6B6A"/>
    <w:rsid w:val="0BB44948"/>
    <w:rsid w:val="0C061FF2"/>
    <w:rsid w:val="0CE42333"/>
    <w:rsid w:val="0DD979BE"/>
    <w:rsid w:val="0DE46363"/>
    <w:rsid w:val="0E3C619F"/>
    <w:rsid w:val="0E6801EC"/>
    <w:rsid w:val="0EFE4AC2"/>
    <w:rsid w:val="0F6F3B45"/>
    <w:rsid w:val="11170296"/>
    <w:rsid w:val="11B60016"/>
    <w:rsid w:val="13471461"/>
    <w:rsid w:val="13B90F01"/>
    <w:rsid w:val="141E2B33"/>
    <w:rsid w:val="155E4C4D"/>
    <w:rsid w:val="15F1786F"/>
    <w:rsid w:val="15F64E85"/>
    <w:rsid w:val="16290DB7"/>
    <w:rsid w:val="164D0F49"/>
    <w:rsid w:val="16BA5EB3"/>
    <w:rsid w:val="16D276A1"/>
    <w:rsid w:val="16E318AE"/>
    <w:rsid w:val="17462648"/>
    <w:rsid w:val="1777501E"/>
    <w:rsid w:val="181066D2"/>
    <w:rsid w:val="18177FE3"/>
    <w:rsid w:val="18C1177B"/>
    <w:rsid w:val="198A6011"/>
    <w:rsid w:val="199944A6"/>
    <w:rsid w:val="19AD23A6"/>
    <w:rsid w:val="1A2B4F63"/>
    <w:rsid w:val="1A564145"/>
    <w:rsid w:val="1AAE6F15"/>
    <w:rsid w:val="1AD938CB"/>
    <w:rsid w:val="1AE2543D"/>
    <w:rsid w:val="1B757BC5"/>
    <w:rsid w:val="1BA87137"/>
    <w:rsid w:val="1C671E73"/>
    <w:rsid w:val="1D1125A5"/>
    <w:rsid w:val="1D322C47"/>
    <w:rsid w:val="1DD65CC8"/>
    <w:rsid w:val="1E3261F8"/>
    <w:rsid w:val="1E6E5F01"/>
    <w:rsid w:val="1E934856"/>
    <w:rsid w:val="1F1840BF"/>
    <w:rsid w:val="1F332CA6"/>
    <w:rsid w:val="20C067BC"/>
    <w:rsid w:val="20DD736E"/>
    <w:rsid w:val="22E640C5"/>
    <w:rsid w:val="23111551"/>
    <w:rsid w:val="23616034"/>
    <w:rsid w:val="23D4607E"/>
    <w:rsid w:val="23FC4ABA"/>
    <w:rsid w:val="241E5A50"/>
    <w:rsid w:val="24264886"/>
    <w:rsid w:val="24480FA2"/>
    <w:rsid w:val="246663D3"/>
    <w:rsid w:val="25227A45"/>
    <w:rsid w:val="258A1202"/>
    <w:rsid w:val="26AC3A6A"/>
    <w:rsid w:val="26B26BA7"/>
    <w:rsid w:val="26D625F8"/>
    <w:rsid w:val="27C923FA"/>
    <w:rsid w:val="280D0295"/>
    <w:rsid w:val="281178FD"/>
    <w:rsid w:val="286914E7"/>
    <w:rsid w:val="294855A0"/>
    <w:rsid w:val="2A202079"/>
    <w:rsid w:val="2ADA0E92"/>
    <w:rsid w:val="2AEA2DB3"/>
    <w:rsid w:val="2B9D7E25"/>
    <w:rsid w:val="2BE45A54"/>
    <w:rsid w:val="2C097269"/>
    <w:rsid w:val="2C212804"/>
    <w:rsid w:val="2C7C7A3B"/>
    <w:rsid w:val="2C923702"/>
    <w:rsid w:val="2E20089A"/>
    <w:rsid w:val="2E861EE7"/>
    <w:rsid w:val="2EFC0D68"/>
    <w:rsid w:val="2F364819"/>
    <w:rsid w:val="2F6A2C19"/>
    <w:rsid w:val="2FD63906"/>
    <w:rsid w:val="30DF2C8E"/>
    <w:rsid w:val="31570A76"/>
    <w:rsid w:val="316D029A"/>
    <w:rsid w:val="33186085"/>
    <w:rsid w:val="346C4839"/>
    <w:rsid w:val="35146474"/>
    <w:rsid w:val="358B5193"/>
    <w:rsid w:val="36527DAB"/>
    <w:rsid w:val="36DE12F2"/>
    <w:rsid w:val="37215DAE"/>
    <w:rsid w:val="37F87CF5"/>
    <w:rsid w:val="38CA40DD"/>
    <w:rsid w:val="395104A1"/>
    <w:rsid w:val="395F2B56"/>
    <w:rsid w:val="3B5D312D"/>
    <w:rsid w:val="3BBA0580"/>
    <w:rsid w:val="3BECE841"/>
    <w:rsid w:val="3BEF60EC"/>
    <w:rsid w:val="3C706E90"/>
    <w:rsid w:val="3CDE204C"/>
    <w:rsid w:val="3D363C36"/>
    <w:rsid w:val="3E636CAD"/>
    <w:rsid w:val="3E720C9E"/>
    <w:rsid w:val="3E9C3F6D"/>
    <w:rsid w:val="3FB11C9A"/>
    <w:rsid w:val="3FF7797D"/>
    <w:rsid w:val="3FFF479F"/>
    <w:rsid w:val="401D10DD"/>
    <w:rsid w:val="40BE5E38"/>
    <w:rsid w:val="40DC2D46"/>
    <w:rsid w:val="41AF2209"/>
    <w:rsid w:val="424B1F31"/>
    <w:rsid w:val="431A7B56"/>
    <w:rsid w:val="43473938"/>
    <w:rsid w:val="43601655"/>
    <w:rsid w:val="43707776"/>
    <w:rsid w:val="43AD40E6"/>
    <w:rsid w:val="453A628D"/>
    <w:rsid w:val="458B6AE9"/>
    <w:rsid w:val="459C0CF6"/>
    <w:rsid w:val="45E15804"/>
    <w:rsid w:val="464A3F2C"/>
    <w:rsid w:val="464B69A4"/>
    <w:rsid w:val="46690BD8"/>
    <w:rsid w:val="46953E87"/>
    <w:rsid w:val="47132FF3"/>
    <w:rsid w:val="47372A84"/>
    <w:rsid w:val="47501D98"/>
    <w:rsid w:val="47BB35B6"/>
    <w:rsid w:val="47D26417"/>
    <w:rsid w:val="47DB5B06"/>
    <w:rsid w:val="483E25FA"/>
    <w:rsid w:val="487C7118"/>
    <w:rsid w:val="48D013E2"/>
    <w:rsid w:val="49C10D2B"/>
    <w:rsid w:val="49F70BF1"/>
    <w:rsid w:val="4B4340EE"/>
    <w:rsid w:val="4BF06537"/>
    <w:rsid w:val="4D9E1AAF"/>
    <w:rsid w:val="4F336227"/>
    <w:rsid w:val="503D507A"/>
    <w:rsid w:val="504B57F2"/>
    <w:rsid w:val="505E1082"/>
    <w:rsid w:val="516C5A20"/>
    <w:rsid w:val="51FA74D0"/>
    <w:rsid w:val="520C4113"/>
    <w:rsid w:val="528A5B24"/>
    <w:rsid w:val="52AA30BB"/>
    <w:rsid w:val="52AA4A52"/>
    <w:rsid w:val="53E61ABA"/>
    <w:rsid w:val="54D26F50"/>
    <w:rsid w:val="54E56216"/>
    <w:rsid w:val="550F5041"/>
    <w:rsid w:val="56277B56"/>
    <w:rsid w:val="57416F33"/>
    <w:rsid w:val="574A40F1"/>
    <w:rsid w:val="57D91936"/>
    <w:rsid w:val="589C4E3D"/>
    <w:rsid w:val="59505C28"/>
    <w:rsid w:val="59943D66"/>
    <w:rsid w:val="59E051FD"/>
    <w:rsid w:val="59E6355E"/>
    <w:rsid w:val="59F974AC"/>
    <w:rsid w:val="5A184997"/>
    <w:rsid w:val="5A3F7C21"/>
    <w:rsid w:val="5B821531"/>
    <w:rsid w:val="5BFF6039"/>
    <w:rsid w:val="5C052C99"/>
    <w:rsid w:val="5C476399"/>
    <w:rsid w:val="5C6519EA"/>
    <w:rsid w:val="5C71038F"/>
    <w:rsid w:val="5CCB25EF"/>
    <w:rsid w:val="5D76A616"/>
    <w:rsid w:val="5D7F20B9"/>
    <w:rsid w:val="5DAC7D0E"/>
    <w:rsid w:val="5DF254FF"/>
    <w:rsid w:val="5E4F2952"/>
    <w:rsid w:val="5F0674B4"/>
    <w:rsid w:val="5F98B5AF"/>
    <w:rsid w:val="5FFE8511"/>
    <w:rsid w:val="5FFEACE2"/>
    <w:rsid w:val="609D5BF6"/>
    <w:rsid w:val="60C26EAD"/>
    <w:rsid w:val="60E455D3"/>
    <w:rsid w:val="61073070"/>
    <w:rsid w:val="61113EEE"/>
    <w:rsid w:val="612841E0"/>
    <w:rsid w:val="61B9080E"/>
    <w:rsid w:val="61DF3FED"/>
    <w:rsid w:val="62A212A2"/>
    <w:rsid w:val="62AA63A9"/>
    <w:rsid w:val="62E55633"/>
    <w:rsid w:val="63414F5F"/>
    <w:rsid w:val="63D95197"/>
    <w:rsid w:val="642B176B"/>
    <w:rsid w:val="643EE26D"/>
    <w:rsid w:val="650224CC"/>
    <w:rsid w:val="65183804"/>
    <w:rsid w:val="656019A0"/>
    <w:rsid w:val="65C262B7"/>
    <w:rsid w:val="65F242EE"/>
    <w:rsid w:val="66291CDA"/>
    <w:rsid w:val="666D7E19"/>
    <w:rsid w:val="66C51A03"/>
    <w:rsid w:val="68376930"/>
    <w:rsid w:val="683F3494"/>
    <w:rsid w:val="68F71C1C"/>
    <w:rsid w:val="68F91E38"/>
    <w:rsid w:val="6957461C"/>
    <w:rsid w:val="69767E03"/>
    <w:rsid w:val="6A99742E"/>
    <w:rsid w:val="6AED32D6"/>
    <w:rsid w:val="6B3158B9"/>
    <w:rsid w:val="6BA02A3F"/>
    <w:rsid w:val="6C1E5A53"/>
    <w:rsid w:val="6C7F76DF"/>
    <w:rsid w:val="6D225A8F"/>
    <w:rsid w:val="6DBA35BC"/>
    <w:rsid w:val="6DD20F3C"/>
    <w:rsid w:val="6F5C41AC"/>
    <w:rsid w:val="6FAF6C78"/>
    <w:rsid w:val="6FD66A2F"/>
    <w:rsid w:val="701B08E6"/>
    <w:rsid w:val="707A7747"/>
    <w:rsid w:val="709D13E4"/>
    <w:rsid w:val="716167CC"/>
    <w:rsid w:val="71685DAD"/>
    <w:rsid w:val="718A7AD1"/>
    <w:rsid w:val="72A44BC2"/>
    <w:rsid w:val="72F67375"/>
    <w:rsid w:val="7317C656"/>
    <w:rsid w:val="734ED73F"/>
    <w:rsid w:val="73C82B32"/>
    <w:rsid w:val="73F94DAE"/>
    <w:rsid w:val="74220495"/>
    <w:rsid w:val="747D1B6F"/>
    <w:rsid w:val="749E5641"/>
    <w:rsid w:val="755467A3"/>
    <w:rsid w:val="756B19C7"/>
    <w:rsid w:val="756D573F"/>
    <w:rsid w:val="758B206A"/>
    <w:rsid w:val="758E2A16"/>
    <w:rsid w:val="76271066"/>
    <w:rsid w:val="770E2F52"/>
    <w:rsid w:val="7755292F"/>
    <w:rsid w:val="77FD8BE9"/>
    <w:rsid w:val="78000AED"/>
    <w:rsid w:val="78252301"/>
    <w:rsid w:val="78DD2BDC"/>
    <w:rsid w:val="78FE2B52"/>
    <w:rsid w:val="79055C6B"/>
    <w:rsid w:val="79A9BD3F"/>
    <w:rsid w:val="7AD24297"/>
    <w:rsid w:val="7B346CFF"/>
    <w:rsid w:val="7B776F12"/>
    <w:rsid w:val="7BBD6CF5"/>
    <w:rsid w:val="7BC40083"/>
    <w:rsid w:val="7BFFFDD0"/>
    <w:rsid w:val="7C091F3A"/>
    <w:rsid w:val="7C336E5F"/>
    <w:rsid w:val="7C466CEA"/>
    <w:rsid w:val="7C8D4919"/>
    <w:rsid w:val="7CBE4AD3"/>
    <w:rsid w:val="7D4253F2"/>
    <w:rsid w:val="7D7A5F86"/>
    <w:rsid w:val="7DA71A0B"/>
    <w:rsid w:val="7E4B683A"/>
    <w:rsid w:val="7E5E656D"/>
    <w:rsid w:val="7E8F2BCB"/>
    <w:rsid w:val="7E955D07"/>
    <w:rsid w:val="7EA5419C"/>
    <w:rsid w:val="7EAF0B77"/>
    <w:rsid w:val="7ED23322"/>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20">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toc 3"/>
    <w:basedOn w:val="1"/>
    <w:next w:val="1"/>
    <w:qFormat/>
    <w:uiPriority w:val="0"/>
    <w:pPr>
      <w:ind w:left="840" w:leftChars="400"/>
    </w:pPr>
  </w:style>
  <w:style w:type="paragraph" w:styleId="6">
    <w:name w:val="Body Text Indent 2"/>
    <w:basedOn w:val="1"/>
    <w:qFormat/>
    <w:uiPriority w:val="0"/>
    <w:pPr>
      <w:spacing w:line="480" w:lineRule="auto"/>
      <w:ind w:left="420" w:leftChars="200"/>
    </w:pPr>
    <w:rPr>
      <w:rFonts w:ascii="Times New Roman" w:hAnsi="Times New Roman" w:eastAsia="宋体" w:cs="Times New Roman"/>
    </w:rPr>
  </w:style>
  <w:style w:type="paragraph" w:styleId="7">
    <w:name w:val="Balloon Text"/>
    <w:basedOn w:val="1"/>
    <w:link w:val="27"/>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pPr>
      <w:tabs>
        <w:tab w:val="right" w:leader="dot" w:pos="7980"/>
        <w:tab w:val="right" w:leader="dot" w:pos="8190"/>
      </w:tabs>
    </w:pPr>
    <w:rPr>
      <w:rFonts w:ascii="Calibri" w:hAnsi="Calibri" w:eastAsia="仿宋_GB2312" w:cs="Times New Roman"/>
      <w:sz w:val="32"/>
    </w:rPr>
  </w:style>
  <w:style w:type="paragraph" w:styleId="11">
    <w:name w:val="toc 4"/>
    <w:basedOn w:val="1"/>
    <w:next w:val="1"/>
    <w:qFormat/>
    <w:uiPriority w:val="0"/>
    <w:pPr>
      <w:ind w:left="1260" w:leftChars="600"/>
    </w:pPr>
  </w:style>
  <w:style w:type="paragraph" w:styleId="12">
    <w:name w:val="toc 2"/>
    <w:basedOn w:val="1"/>
    <w:next w:val="1"/>
    <w:qFormat/>
    <w:uiPriority w:val="0"/>
    <w:pPr>
      <w:ind w:left="420" w:leftChars="200"/>
    </w:pPr>
  </w:style>
  <w:style w:type="paragraph" w:styleId="13">
    <w:name w:val="Normal (Web)"/>
    <w:basedOn w:val="1"/>
    <w:qFormat/>
    <w:uiPriority w:val="0"/>
    <w:pPr>
      <w:spacing w:before="0" w:beforeAutospacing="1" w:after="0" w:afterAutospacing="1"/>
      <w:ind w:left="0" w:right="0"/>
      <w:jc w:val="left"/>
    </w:pPr>
    <w:rPr>
      <w:kern w:val="0"/>
      <w:sz w:val="24"/>
      <w:lang w:val="en-US" w:eastAsia="zh-CN"/>
    </w:rPr>
  </w:style>
  <w:style w:type="paragraph" w:styleId="14">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5">
    <w:name w:val="Body Text First Indent"/>
    <w:basedOn w:val="2"/>
    <w:qFormat/>
    <w:uiPriority w:val="0"/>
    <w:pPr>
      <w:spacing w:after="0"/>
      <w:ind w:firstLine="200" w:firstLineChars="200"/>
    </w:pPr>
  </w:style>
  <w:style w:type="paragraph" w:styleId="16">
    <w:name w:val="Body Text First Indent 2"/>
    <w:basedOn w:val="4"/>
    <w:qFormat/>
    <w:uiPriority w:val="0"/>
    <w:pPr>
      <w:ind w:firstLine="420" w:firstLineChars="200"/>
    </w:pPr>
  </w:style>
  <w:style w:type="table" w:styleId="18">
    <w:name w:val="Table Grid"/>
    <w:basedOn w:val="1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9">
    <w:name w:val="Table Normal"/>
    <w:semiHidden/>
    <w:unhideWhenUsed/>
    <w:qFormat/>
    <w:uiPriority w:val="0"/>
    <w:tblPr>
      <w:tblCellMar>
        <w:top w:w="0" w:type="dxa"/>
        <w:left w:w="0" w:type="dxa"/>
        <w:bottom w:w="0" w:type="dxa"/>
        <w:right w:w="0" w:type="dxa"/>
      </w:tblCellMar>
    </w:tblPr>
  </w:style>
  <w:style w:type="character" w:styleId="21">
    <w:name w:val="Strong"/>
    <w:basedOn w:val="20"/>
    <w:qFormat/>
    <w:uiPriority w:val="0"/>
    <w:rPr>
      <w:b/>
      <w:bCs/>
    </w:rPr>
  </w:style>
  <w:style w:type="paragraph" w:customStyle="1" w:styleId="22">
    <w:name w:val="Comment Text"/>
    <w:basedOn w:val="1"/>
    <w:link w:val="29"/>
    <w:qFormat/>
    <w:uiPriority w:val="0"/>
    <w:pPr>
      <w:jc w:val="left"/>
    </w:pPr>
  </w:style>
  <w:style w:type="paragraph" w:customStyle="1" w:styleId="23">
    <w:name w:val="Comment Subject"/>
    <w:basedOn w:val="22"/>
    <w:next w:val="22"/>
    <w:link w:val="30"/>
    <w:qFormat/>
    <w:uiPriority w:val="0"/>
    <w:rPr>
      <w:b/>
      <w:bCs/>
    </w:rPr>
  </w:style>
  <w:style w:type="character" w:customStyle="1" w:styleId="24">
    <w:name w:val="Comment Reference"/>
    <w:basedOn w:val="20"/>
    <w:qFormat/>
    <w:uiPriority w:val="0"/>
    <w:rPr>
      <w:sz w:val="21"/>
      <w:szCs w:val="21"/>
    </w:rPr>
  </w:style>
  <w:style w:type="character" w:customStyle="1" w:styleId="25">
    <w:name w:val="fontstyle01"/>
    <w:qFormat/>
    <w:uiPriority w:val="0"/>
    <w:rPr>
      <w:rFonts w:ascii="仿宋_GB2312" w:hAnsi="仿宋_GB2312" w:eastAsia="仿宋_GB2312" w:cs="仿宋_GB2312"/>
      <w:color w:val="000000"/>
      <w:sz w:val="32"/>
      <w:szCs w:val="32"/>
    </w:rPr>
  </w:style>
  <w:style w:type="paragraph" w:customStyle="1" w:styleId="26">
    <w:name w:val="闻政-正文段落文字"/>
    <w:basedOn w:val="1"/>
    <w:qFormat/>
    <w:uiPriority w:val="3"/>
    <w:pPr>
      <w:spacing w:line="500" w:lineRule="exact"/>
      <w:ind w:firstLine="200"/>
    </w:pPr>
    <w:rPr>
      <w:kern w:val="0"/>
      <w:szCs w:val="28"/>
    </w:rPr>
  </w:style>
  <w:style w:type="character" w:customStyle="1" w:styleId="27">
    <w:name w:val="批注框文本 字符"/>
    <w:basedOn w:val="20"/>
    <w:link w:val="7"/>
    <w:qFormat/>
    <w:uiPriority w:val="0"/>
    <w:rPr>
      <w:rFonts w:ascii="Times New Roman" w:hAnsi="Times New Roman" w:eastAsia="宋体" w:cs="Times New Roman"/>
      <w:kern w:val="2"/>
      <w:sz w:val="18"/>
      <w:szCs w:val="18"/>
    </w:rPr>
  </w:style>
  <w:style w:type="character" w:customStyle="1" w:styleId="28">
    <w:name w:val="页眉 字符"/>
    <w:basedOn w:val="20"/>
    <w:link w:val="9"/>
    <w:qFormat/>
    <w:uiPriority w:val="0"/>
    <w:rPr>
      <w:rFonts w:ascii="Times New Roman" w:hAnsi="Times New Roman" w:eastAsia="宋体" w:cs="Times New Roman"/>
      <w:kern w:val="2"/>
      <w:sz w:val="18"/>
      <w:szCs w:val="18"/>
    </w:rPr>
  </w:style>
  <w:style w:type="character" w:customStyle="1" w:styleId="29">
    <w:name w:val="批注文字 字符"/>
    <w:basedOn w:val="20"/>
    <w:link w:val="22"/>
    <w:qFormat/>
    <w:uiPriority w:val="0"/>
    <w:rPr>
      <w:rFonts w:ascii="Times New Roman" w:hAnsi="Times New Roman" w:eastAsia="宋体" w:cs="Times New Roman"/>
      <w:kern w:val="2"/>
      <w:sz w:val="21"/>
      <w:szCs w:val="24"/>
    </w:rPr>
  </w:style>
  <w:style w:type="character" w:customStyle="1" w:styleId="30">
    <w:name w:val="批注主题 字符"/>
    <w:basedOn w:val="29"/>
    <w:link w:val="23"/>
    <w:qFormat/>
    <w:uiPriority w:val="0"/>
    <w:rPr>
      <w:rFonts w:ascii="Times New Roman" w:hAnsi="Times New Roman" w:eastAsia="宋体" w:cs="Times New Roman"/>
      <w:b/>
      <w:bCs/>
      <w:kern w:val="2"/>
      <w:sz w:val="21"/>
      <w:szCs w:val="24"/>
    </w:rPr>
  </w:style>
  <w:style w:type="paragraph" w:styleId="31">
    <w:name w:val="No Spacing"/>
    <w:qFormat/>
    <w:uiPriority w:val="1"/>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45e20d72-937f-4962-8472-4de0c102f286</errorID>
      <errorWord>。</errorWord>
      <group>L1_Format</group>
      <groupName>格式问题</groupName>
      <ability>L2_HalfPunc</ability>
      <abilityName>全半角检查</abilityName>
      <candidateList>
        <item>.</item>
      </candidateList>
      <explain>文本全半角错误。</explain>
      <paraID>3E9A9918</paraID>
      <start>8</start>
      <end>9</end>
      <status>unmodified</status>
      <modifiedWord/>
      <trackRevisions>false</trackRevisions>
    </reviewItem>
    <reviewItem>
      <errorID>1b9dd8c3-a43b-48a0-9cc1-f978e3708480</errorID>
      <errorWord>截止</errorWord>
      <group>L1_Word</group>
      <groupName>字词问题</groupName>
      <ability>L2_Typo</ability>
      <abilityName>字词错误</abilityName>
      <candidateList>
        <item>截至</item>
      </candidateList>
      <explain>存在发音相同字词的误用。</explain>
      <paraID> 457426D</paraID>
      <start>0</start>
      <end>2</end>
      <status>unmodified</status>
      <modifiedWord/>
      <trackRevisions>false</trackRevisions>
    </reviewItem>
    <reviewItem>
      <errorID>e8ba54ce-baa7-475d-99c6-233192aa3e54</errorID>
      <errorWord>。</errorWord>
      <group>L1_Format</group>
      <groupName>格式问题</groupName>
      <ability>L2_HalfPunc</ability>
      <abilityName>全半角检查</abilityName>
      <candidateList>
        <item>.</item>
      </candidateList>
      <explain>文本全半角错误。</explain>
      <paraID>30279065</paraID>
      <start>7</start>
      <end>8</end>
      <status>unmodified</status>
      <modifiedWord/>
      <trackRevisions>false</trackRevisions>
    </reviewItem>
    <reviewItem>
      <errorID>4306161c-cc73-4d5d-899b-3ad7778cbc8d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3321091D</paraID>
      <start>44</start>
      <end>45</end>
      <status>unmodified</status>
      <modifiedWord/>
      <trackRevisions>false</trackRevisions>
    </reviewItem>
    <reviewItem>
      <errorID>1a4917e4-f86b-4557-91f3-ca5ca0cb3e8f</errorID>
      <errorWord>有效</errorWord>
      <group>L1_AI</group>
      <groupName>深度校对</groupName>
      <ability>L2_AI_Word</ability>
      <abilityName>字词纠错</abilityName>
      <candidateList>
        <item>高效</item>
      </candidateList>
      <explain/>
      <paraID>16346F89</paraID>
      <start>50</start>
      <end>52</end>
      <status>unmodified</status>
      <modifiedWord/>
      <trackRevisions>false</trackRevisions>
    </reviewItem>
    <reviewItem>
      <errorID>c85b7490-1c65-4ecf-938c-361167504336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5A220F80</paraID>
      <start>73</start>
      <end>74</end>
      <status>unmodified</status>
      <modifiedWord/>
      <trackRevisions>false</trackRevisions>
    </reviewItem>
    <reviewItem>
      <errorID>d0b10219-06b7-4896-b8ef-b9804418d9ad</errorID>
      <errorWord>，</errorWord>
      <group>L1_Word</group>
      <groupName>字词问题</groupName>
      <ability>L2_Typo</ability>
      <abilityName>字词错误</abilityName>
      <candidateList>
        <item>，在</item>
      </candidateList>
      <explain/>
      <paraID>65871231</paraID>
      <start>167</start>
      <end>168</end>
      <status>unmodified</status>
      <modifiedWord/>
      <trackRevisions>false</trackRevisions>
    </reviewItem>
    <reviewItem>
      <errorID>8a165de5-83d3-4926-81f9-b6f81efde2f4</errorID>
      <errorWord>，]</errorWord>
      <group>L1_Punc</group>
      <groupName>标点问题</groupName>
      <ability>L2_Punc</ability>
      <abilityName>标点符号检查</abilityName>
      <candidateList>
        <item>]</item>
      </candidateList>
      <explain/>
      <paraID>65871231</paraID>
      <start>254</start>
      <end>256</end>
      <status>unmodified</status>
      <modifiedWord/>
      <trackRevisions>false</trackRevisions>
    </reviewItem>
    <reviewItem>
      <errorID>512c3262-c393-45c8-8d64-c2a71901a756</errorID>
      <errorWord>全</errorWord>
      <group>L1_Word</group>
      <groupName>字词问题</groupName>
      <ability>L2_Typo</ability>
      <abilityName>字词错误</abilityName>
      <candidateList>
        <item>全过</item>
      </candidateList>
      <explain/>
      <paraID>6F9EC0D6</paraID>
      <start>93</start>
      <end>94</end>
      <status>unmodified</status>
      <modifiedWord/>
      <trackRevisions>false</trackRevisions>
    </reviewItem>
    <reviewItem>
      <errorID>5106591d-84f4-4d63-9b9c-587b5ad5e130</errorID>
      <errorWord>预算法</errorWord>
      <group>L1_Knowledge</group>
      <groupName>知识性问题</groupName>
      <ability>L2_Knowledge</ability>
      <abilityName>其他知识</abilityName>
      <candidateList>
        <item>中华人民共和国预算法</item>
      </candidateList>
      <explain>当前法律法规名称使用简称，请注意是否应当使用全称。</explain>
      <paraID>5AAC8898</paraID>
      <start>11</start>
      <end>14</end>
      <status>unmodified</status>
      <modifiedWord/>
      <trackRevisions>false</trackRevisions>
    </reviewItem>
    <reviewItem>
      <errorID>2a2b42f8-295c-4512-b805-342bdf713b4d</errorID>
      <errorWord>全</errorWord>
      <group>L1_Word</group>
      <groupName>字词问题</groupName>
      <ability>L2_Typo</ability>
      <abilityName>字词错误</abilityName>
      <candidateList>
        <item>全过</item>
      </candidateList>
      <explain/>
      <paraID>5AAC8898</paraID>
      <start>52</start>
      <end>53</end>
      <status>unmodified</status>
      <modifiedWord/>
      <trackRevisions>false</trackRevisions>
    </reviewItem>
    <reviewItem>
      <errorID>bcf2854b-01f9-46a4-9fca-3eebda9ffc02</errorID>
      <errorWord>-</errorWord>
      <group>L1_Format</group>
      <groupName>格式问题</groupName>
      <ability>L2_HalfPunc</ability>
      <abilityName>全半角检查</abilityName>
      <candidateList>
        <item>－</item>
      </candidateList>
      <explain>文本全半角错误。</explain>
      <paraID>5AAC8898</paraID>
      <start>70</start>
      <end>71</end>
      <status>unmodified</status>
      <modifiedWord/>
      <trackRevisions>false</trackRevisions>
    </reviewItem>
    <reviewItem>
      <errorID>703f9911-f9f8-4187-b3bf-1ce8c553e755</errorID>
      <errorWord>-</errorWord>
      <group>L1_Format</group>
      <groupName>格式问题</groupName>
      <ability>L2_HalfPunc</ability>
      <abilityName>全半角检查</abilityName>
      <candidateList>
        <item>－</item>
      </candidateList>
      <explain>文本全半角错误。</explain>
      <paraID>5AAC8898</paraID>
      <start>73</start>
      <end>74</end>
      <status>unmodified</status>
      <modifiedWord/>
      <trackRevisions>false</trackRevisions>
    </reviewItem>
    <reviewItem>
      <errorID>55349a2b-6432-44f7-adbb-f8ff1519a86f</errorID>
      <errorWord>：，</errorWord>
      <group>L1_Punc</group>
      <groupName>标点问题</groupName>
      <ability>L2_Punc</ability>
      <abilityName>标点符号检查</abilityName>
      <candidateList>
        <item>：</item>
      </candidateList>
      <explain/>
      <paraID>38E5CE84</paraID>
      <start>12</start>
      <end>14</end>
      <status>unmodified</status>
      <modifiedWord/>
      <trackRevisions>false</trackRevisions>
    </reviewItem>
    <reviewItem>
      <errorID>3ad2527a-4be4-4184-813e-2fe945cbfedf</errorID>
      <errorWord>：，</errorWord>
      <group>L1_Punc</group>
      <groupName>标点问题</groupName>
      <ability>L2_Punc</ability>
      <abilityName>标点符号检查</abilityName>
      <candidateList>
        <item>：</item>
      </candidateList>
      <explain/>
      <paraID>38E5CE84</paraID>
      <start>19</start>
      <end>21</end>
      <status>unmodified</status>
      <modifiedWord/>
      <trackRevisions>false</trackRevisions>
    </reviewItem>
    <reviewItem>
      <errorID>d6f0377f-83ac-4598-a2be-86396db3c124</errorID>
      <errorWord>：，</errorWord>
      <group>L1_Punc</group>
      <groupName>标点问题</groupName>
      <ability>L2_Punc</ability>
      <abilityName>标点符号检查</abilityName>
      <candidateList>
        <item>：</item>
      </candidateList>
      <explain/>
      <paraID>2ED61372</paraID>
      <start>12</start>
      <end>14</end>
      <status>unmodified</status>
      <modifiedWord/>
      <trackRevisions>false</trackRevisions>
    </reviewItem>
    <reviewItem>
      <errorID>7f59fd71-1dc0-4fcd-9797-1deeb8024d07</errorID>
      <errorWord>：，</errorWord>
      <group>L1_Punc</group>
      <groupName>标点问题</groupName>
      <ability>L2_Punc</ability>
      <abilityName>标点符号检查</abilityName>
      <candidateList>
        <item>：</item>
      </candidateList>
      <explain/>
      <paraID>2ED61372</paraID>
      <start>19</start>
      <end>21</end>
      <status>unmodified</status>
      <modifiedWord/>
      <trackRevisions>false</trackRevisions>
    </reviewItem>
    <reviewItem>
      <errorID>72eec153-67b9-4cdc-8b85-102bda3291c8</errorID>
      <errorWord>：，</errorWord>
      <group>L1_Punc</group>
      <groupName>标点问题</groupName>
      <ability>L2_Punc</ability>
      <abilityName>标点符号检查</abilityName>
      <candidateList>
        <item>：</item>
      </candidateList>
      <explain/>
      <paraID>4CFBFDBB</paraID>
      <start>12</start>
      <end>14</end>
      <status>unmodified</status>
      <modifiedWord/>
      <trackRevisions>false</trackRevisions>
    </reviewItem>
    <reviewItem>
      <errorID>f8ebcd7f-be01-44ad-a3fc-14814c04d595</errorID>
      <errorWord>：，</errorWord>
      <group>L1_Punc</group>
      <groupName>标点问题</groupName>
      <ability>L2_Punc</ability>
      <abilityName>标点符号检查</abilityName>
      <candidateList>
        <item>：</item>
      </candidateList>
      <explain/>
      <paraID>4CFBFDBB</paraID>
      <start>19</start>
      <end>21</end>
      <status>unmodified</status>
      <modifiedWord/>
      <trackRevisions>false</trackRevisions>
    </reviewItem>
    <reviewItem>
      <errorID>7f5001ba-3d96-49a1-91ae-d78203439ab5</errorID>
      <errorWord>：，</errorWord>
      <group>L1_Punc</group>
      <groupName>标点问题</groupName>
      <ability>L2_Punc</ability>
      <abilityName>标点符号检查</abilityName>
      <candidateList>
        <item>：</item>
      </candidateList>
      <explain/>
      <paraID>10209780</paraID>
      <start>12</start>
      <end>14</end>
      <status>unmodified</status>
      <modifiedWord/>
      <trackRevisions>false</trackRevisions>
    </reviewItem>
    <reviewItem>
      <errorID>bbab4c98-490f-4c70-a6c1-2be9fa30d637</errorID>
      <errorWord>：，</errorWord>
      <group>L1_Punc</group>
      <groupName>标点问题</groupName>
      <ability>L2_Punc</ability>
      <abilityName>标点符号检查</abilityName>
      <candidateList>
        <item>：</item>
      </candidateList>
      <explain/>
      <paraID>10209780</paraID>
      <start>19</start>
      <end>21</end>
      <status>unmodified</status>
      <modifiedWord/>
      <trackRevisions>false</trackRevisions>
    </reviewItem>
    <reviewItem>
      <errorID>afdb7b20-ca68-4fd4-896b-a09588671cff</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5DED8768</paraID>
      <start>0</start>
      <end>2</end>
      <status>unmodified</status>
      <modifiedWord/>
      <trackRevisions>false</trackRevisions>
    </reviewItem>
    <reviewItem>
      <errorID>b715000d-26c2-4fd1-96d5-7ba5b49311f7</errorID>
      <errorWord>；</errorWord>
      <group>L1_Word</group>
      <groupName>字词问题</groupName>
      <ability>L2_Typo</ability>
      <abilityName>字词错误</abilityName>
      <candidateList>
        <item>；在</item>
      </candidateList>
      <explain/>
      <paraID>33C5EBC0</paraID>
      <start>90</start>
      <end>91</end>
      <status>unmodified</status>
      <modifiedWord/>
      <trackRevisions>false</trackRevisions>
    </reviewItem>
    <reviewItem>
      <errorID>e4d8f088-dd4b-423c-b02f-2c3af50e4835</errorID>
      <errorWord>评价</errorWord>
      <group>L1_Word</group>
      <groupName>字词问题</groupName>
      <ability>L2_Typo</ability>
      <abilityName>字词错误</abilityName>
      <candidateList>
        <item>评</item>
      </candidateList>
      <explain/>
      <paraID>47643AFE</paraID>
      <start>83</start>
      <end>85</end>
      <status>unmodified</status>
      <modifiedWord/>
      <trackRevisions>false</trackRevisions>
    </reviewItem>
    <reviewItem>
      <errorID>304693bf-2643-47f6-bf50-3ab183a10772</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581D1A14</paraID>
      <start>0</start>
      <end>2</end>
      <status>unmodified</status>
      <modifiedWord/>
      <trackRevisions>false</trackRevisions>
    </reviewItem>
    <reviewItem>
      <errorID>70b33c7f-3821-4ab4-9635-e406abb915eb</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3AB05DC2</paraID>
      <start>0</start>
      <end>2</end>
      <status>unmodified</status>
      <modifiedWord/>
      <trackRevisions>false</trackRevisions>
    </reviewItem>
    <reviewItem>
      <errorID>ba137ec8-6bd5-41cd-8e96-8147271f926c</errorID>
      <errorWord>的明</errorWord>
      <group>L1_Word</group>
      <groupName>字词问题</groupName>
      <ability>L2_Typo</ability>
      <abilityName>字词错误</abilityName>
      <candidateList>
        <item>的</item>
      </candidateList>
      <explain>“的”常用于连接修饰语与名词性中心语，表示属性、所属或描述。</explain>
      <paraID>5E2A108D</paraID>
      <start>39</start>
      <end>41</end>
      <status>unmodified</status>
      <modifiedWord/>
      <trackRevisions>false</trackRevisions>
    </reviewItem>
    <reviewItem>
      <errorID>f57871fa-7967-47ef-bd89-2ff13260ef7d</errorID>
      <errorWord>数</errorWord>
      <group>L1_Word</group>
      <groupName>字词问题</groupName>
      <ability>L2_Typo</ability>
      <abilityName>字词错误</abilityName>
      <candidateList>
        <item>数量</item>
      </candidateList>
      <explain/>
      <paraID>4FDCCD34</paraID>
      <start>30</start>
      <end>31</end>
      <status>unmodified</status>
      <modifiedWord/>
      <trackRevisions>false</trackRevisions>
    </reviewItem>
    <reviewItem>
      <errorID>4fef7e59-228d-47c7-affd-4d9e70818096</errorID>
      <errorWord>位</errorWord>
      <group>L1_Word</group>
      <groupName>字词问题</groupName>
      <ability>L2_Typo</ability>
      <abilityName>字词错误</abilityName>
      <candidateList>
        <item>位在</item>
      </candidateList>
      <explain/>
      <paraID>14FE6675</paraID>
      <start>54</start>
      <end>55</end>
      <status>unmodified</status>
      <modifiedWord/>
      <trackRevisions>false</trackRevisions>
    </reviewItem>
  </reviewItems>
  <config/>
</contractReview>
</file>

<file path=customXml/itemProps1.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Pages>30</Pages>
  <Words>7528</Words>
  <Characters>7949</Characters>
  <Lines>58</Lines>
  <Paragraphs>16</Paragraphs>
  <TotalTime>39</TotalTime>
  <ScaleCrop>false</ScaleCrop>
  <LinksUpToDate>false</LinksUpToDate>
  <CharactersWithSpaces>8022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忆</cp:lastModifiedBy>
  <cp:lastPrinted>2026-03-30T05:34:00Z</cp:lastPrinted>
  <dcterms:modified xsi:type="dcterms:W3CDTF">2026-08-28T09:00:07Z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241C8054C6104F82B50CC4E8C65D087C_13</vt:lpwstr>
  </property>
  <property fmtid="{D5CDD505-2E9C-101B-9397-08002B2CF9AE}" pid="4" name="KSOTemplateDocerSaveRecord">
    <vt:lpwstr>eyJoZGlkIjoiZWE5M2E4OTRkNmEwYTUyNjM2Mzg3NThiMTA5NmIzZWUiLCJ1c2VySWQiOiI0OTMxMTE3MjUifQ==</vt:lpwstr>
  </property>
</Properties>
</file>