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both"/>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方正小标宋_GBK" w:hAnsi="Times New Roman" w:cs="Times New Roman" w:hint="default"/>
          <w:b w:val="0"/>
          <w:bCs w:val="0"/>
          <w:color w:val="auto"/>
          <w:kern w:val="0"/>
          <w:sz w:val="48"/>
          <w:szCs w:val="48"/>
          <w:highlight w:val="none"/>
        </w:rPr>
      </w:pPr>
      <w:r>
        <w:rPr>
          <w:rFonts w:ascii="Times New Roman" w:eastAsia="方正小标宋_GBK" w:hAnsi="Times New Roman" w:cs="Times New Roman" w:hint="default"/>
          <w:color w:val="auto"/>
          <w:kern w:val="0"/>
          <w:sz w:val="48"/>
          <w:szCs w:val="48"/>
          <w:highlight w:val="none"/>
        </w:rPr>
        <w:br/>
      </w:r>
      <w:r>
        <w:rPr>
          <w:rFonts w:ascii="Times New Roman" w:eastAsia="方正小标宋_GBK" w:hAnsi="Times New Roman" w:cs="Times New Roman" w:hint="default"/>
          <w:b w:val="0"/>
          <w:bCs w:val="0"/>
          <w:color w:val="auto"/>
          <w:kern w:val="0"/>
          <w:sz w:val="48"/>
          <w:szCs w:val="48"/>
          <w:highlight w:val="none"/>
        </w:rPr>
        <w:t xml:space="preserve">新疆维吾尔自治区塔里木河流域渭干河水利管理中心项目支出绩效评价报告</w:t>
      </w: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（202</w:t>
      </w:r>
      <w:r>
        <w:rPr>
          <w:rFonts w:eastAsia="仿宋_GB2312" w:cs="Times New Roman" w:hint="eastAsia"/>
          <w:color w:val="auto"/>
          <w:kern w:val="0"/>
          <w:sz w:val="36"/>
          <w:szCs w:val="36"/>
          <w:highlight w:val="none"/>
          <w:lang w:val="en-US" w:eastAsia="zh-CN"/>
        </w:rPr>
        <w:t xml:space="preserve">5</w:t>
      </w:r>
      <w:r>
        <w:rPr>
          <w:rFonts w:ascii="Times New Roman" w:eastAsia="仿宋_GB2312" w:hAnsi="Times New Roman" w:cs="Times New Roman" w:hint="default"/>
          <w:color w:val="auto"/>
          <w:kern w:val="0"/>
          <w:sz w:val="36"/>
          <w:szCs w:val="36"/>
          <w:highlight w:val="none"/>
        </w:rPr>
        <w:t xml:space="preserve">年度）</w:t>
      </w:r>
    </w:p>
    <w:p>
      <w:pPr>
        <w:spacing w:line="540" w:lineRule="exact"/>
        <w:jc w:val="both"/>
        <w:rPr>
          <w:rFonts w:ascii="Times New Roman" w:eastAsia="仿宋_GB2312" w:hAnsi="Times New Roman" w:cs="Times New Roman" w:hint="default"/>
          <w:color w:val="auto"/>
          <w:kern w:val="0"/>
          <w:sz w:val="30"/>
          <w:szCs w:val="30"/>
          <w:highlight w:val="none"/>
        </w:rPr>
      </w:pPr>
    </w:p>
    <w:p>
      <w:pPr>
        <w:spacing w:line="540" w:lineRule="exact"/>
        <w:jc w:val="both"/>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700" w:lineRule="exact"/>
        <w:ind w:firstLine="1080" w:firstLineChars="300"/>
        <w:jc w:val="left"/>
        <w:rPr>
          <w:rFonts w:ascii="Times New Roman" w:eastAsia="仿宋_GB2312" w:hAnsi="Times New Roman" w:cs="Times New Roman" w:hint="eastAsia"/>
          <w:color w:val="auto"/>
          <w:kern w:val="0"/>
          <w:sz w:val="36"/>
          <w:szCs w:val="36"/>
          <w:highlight w:val="none"/>
          <w:lang w:eastAsia="zh-CN"/>
        </w:rPr>
      </w:pPr>
      <w:r>
        <w:rPr>
          <w:rFonts w:ascii="Times New Roman" w:eastAsia="仿宋_GB2312" w:hAnsi="Times New Roman" w:cs="Times New Roman" w:hint="default"/>
          <w:color w:val="auto"/>
          <w:kern w:val="0"/>
          <w:sz w:val="36"/>
          <w:szCs w:val="36"/>
          <w:highlight w:val="none"/>
        </w:rPr>
        <w:t xml:space="preserve">项目名称：2025年自治区水利发展资金专</w:t>
      </w:r>
      <w:r>
        <w:rPr>
          <w:rFonts w:eastAsia="仿宋_GB2312" w:cs="Times New Roman" w:hint="eastAsia"/>
          <w:color w:val="auto"/>
          <w:kern w:val="0"/>
          <w:sz w:val="36"/>
          <w:szCs w:val="36"/>
          <w:highlight w:val="none"/>
          <w:lang w:eastAsia="zh-CN"/>
        </w:rPr>
        <w:t xml:space="preserve">项</w:t>
      </w:r>
    </w:p>
    <w:p>
      <w:pPr>
        <w:spacing w:line="700" w:lineRule="exact"/>
        <w:ind w:firstLine="1080" w:firstLineChars="3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（经营成本性项目）</w:t>
      </w:r>
    </w:p>
    <w:p>
      <w:pPr>
        <w:spacing w:line="700" w:lineRule="exact"/>
        <w:ind w:left="1077" w:firstLine="0" w:leftChars="513" w:firstLineChars="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实施单位（公章）：新疆维吾尔自治区塔里木河</w:t>
      </w:r>
    </w:p>
    <w:p>
      <w:pPr>
        <w:spacing w:line="700" w:lineRule="exact"/>
        <w:ind w:left="1077" w:firstLine="0" w:leftChars="513" w:firstLineChars="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流域渭干河水利管理中心</w:t>
      </w:r>
    </w:p>
    <w:p>
      <w:pPr>
        <w:spacing w:line="700" w:lineRule="exact"/>
        <w:ind w:left="1077" w:firstLine="0" w:leftChars="513" w:firstLineChars="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主管部门（公章）</w:t>
      </w:r>
      <w:r>
        <w:rPr>
          <w:rFonts w:eastAsia="仿宋_GB2312" w:cs="Times New Roman" w:hint="eastAsia"/>
          <w:color w:val="auto"/>
          <w:kern w:val="0"/>
          <w:sz w:val="36"/>
          <w:szCs w:val="36"/>
          <w:highlight w:val="none"/>
          <w:lang w:eastAsia="zh-CN"/>
        </w:rPr>
        <w:t xml:space="preserve">：</w:t>
      </w:r>
      <w:r>
        <w:rPr>
          <w:rFonts w:ascii="Times New Roman" w:eastAsia="仿宋_GB2312" w:hAnsi="Times New Roman" w:cs="Times New Roman" w:hint="default"/>
          <w:color w:val="auto"/>
          <w:kern w:val="0"/>
          <w:sz w:val="36"/>
          <w:szCs w:val="36"/>
          <w:highlight w:val="none"/>
        </w:rPr>
        <w:t xml:space="preserve">新疆维吾尔自治区塔里木河</w:t>
      </w:r>
    </w:p>
    <w:p>
      <w:pPr>
        <w:spacing w:line="700" w:lineRule="exact"/>
        <w:ind w:left="1077" w:firstLine="0" w:leftChars="513" w:firstLineChars="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流域管理局</w:t>
      </w:r>
    </w:p>
    <w:p>
      <w:pPr>
        <w:spacing w:line="700" w:lineRule="exact"/>
        <w:ind w:firstLine="1080" w:firstLineChars="300"/>
        <w:jc w:val="left"/>
        <w:rPr>
          <w:rFonts w:ascii="Times New Roman" w:eastAsia="仿宋_GB2312" w:hAnsi="Times New Roman" w:cs="Times New Roman" w:hint="eastAsia"/>
          <w:color w:val="auto"/>
          <w:kern w:val="0"/>
          <w:sz w:val="36"/>
          <w:szCs w:val="36"/>
          <w:highlight w:val="none"/>
          <w:lang w:eastAsia="zh-CN"/>
        </w:rPr>
      </w:pPr>
      <w:r>
        <w:rPr>
          <w:rFonts w:ascii="Times New Roman" w:eastAsia="仿宋_GB2312" w:hAnsi="Times New Roman" w:cs="Times New Roman" w:hint="default"/>
          <w:color w:val="auto"/>
          <w:kern w:val="0"/>
          <w:sz w:val="36"/>
          <w:szCs w:val="36"/>
          <w:highlight w:val="none"/>
        </w:rPr>
        <w:t xml:space="preserve">项目负责人（签章）：</w:t>
      </w:r>
      <w:r>
        <w:rPr>
          <w:rFonts w:eastAsia="仿宋_GB2312" w:cs="Times New Roman" w:hint="eastAsia"/>
          <w:color w:val="auto"/>
          <w:kern w:val="0"/>
          <w:sz w:val="36"/>
          <w:szCs w:val="36"/>
          <w:highlight w:val="none"/>
          <w:lang w:eastAsia="zh-CN"/>
        </w:rPr>
        <w:t xml:space="preserve">单劲松</w:t>
      </w:r>
    </w:p>
    <w:p>
      <w:pPr>
        <w:spacing w:line="700" w:lineRule="exact"/>
        <w:ind w:firstLine="1080" w:firstLineChars="300"/>
        <w:jc w:val="left"/>
        <w:rPr>
          <w:rFonts w:ascii="Times New Roman" w:eastAsia="仿宋_GB2312" w:hAnsi="Times New Roman" w:cs="Times New Roman" w:hint="default"/>
          <w:color w:val="auto"/>
          <w:kern w:val="0"/>
          <w:sz w:val="30"/>
          <w:szCs w:val="30"/>
          <w:highlight w:val="none"/>
        </w:rPr>
      </w:pPr>
      <w:r>
        <w:rPr>
          <w:rFonts w:ascii="Times New Roman" w:eastAsia="仿宋_GB2312" w:hAnsi="Times New Roman" w:cs="Times New Roman" w:hint="default"/>
          <w:color w:val="auto"/>
          <w:kern w:val="0"/>
          <w:sz w:val="36"/>
          <w:szCs w:val="36"/>
          <w:highlight w:val="none"/>
        </w:rPr>
        <w:t xml:space="preserve">填报时间：</w:t>
      </w:r>
      <w:r>
        <w:rPr>
          <w:rFonts w:eastAsia="仿宋_GB2312" w:cs="Times New Roman" w:hint="eastAsia"/>
          <w:color w:val="auto"/>
          <w:kern w:val="0"/>
          <w:sz w:val="36"/>
          <w:szCs w:val="36"/>
          <w:highlight w:val="none"/>
          <w:lang w:val="en-US" w:eastAsia="zh-CN"/>
        </w:rPr>
        <w:t xml:space="preserve">2026</w:t>
      </w:r>
      <w:r>
        <w:rPr>
          <w:rFonts w:ascii="Times New Roman" w:eastAsia="仿宋_GB2312" w:hAnsi="Times New Roman" w:cs="Times New Roman" w:hint="default"/>
          <w:color w:val="auto"/>
          <w:kern w:val="0"/>
          <w:sz w:val="36"/>
          <w:szCs w:val="36"/>
          <w:highlight w:val="none"/>
        </w:rPr>
        <w:t xml:space="preserve">年</w:t>
      </w:r>
      <w:r>
        <w:rPr>
          <w:rFonts w:eastAsia="仿宋_GB2312" w:cs="Times New Roman" w:hint="eastAsia"/>
          <w:color w:val="auto"/>
          <w:kern w:val="0"/>
          <w:sz w:val="36"/>
          <w:szCs w:val="36"/>
          <w:highlight w:val="none"/>
          <w:lang w:val="en-US" w:eastAsia="zh-CN"/>
        </w:rPr>
        <w:t xml:space="preserve">3</w:t>
      </w:r>
      <w:r>
        <w:rPr>
          <w:rFonts w:ascii="Times New Roman" w:eastAsia="仿宋_GB2312" w:hAnsi="Times New Roman" w:cs="Times New Roman" w:hint="default"/>
          <w:color w:val="auto"/>
          <w:kern w:val="0"/>
          <w:sz w:val="36"/>
          <w:szCs w:val="36"/>
          <w:highlight w:val="none"/>
        </w:rPr>
        <w:t xml:space="preserve">月</w:t>
      </w:r>
      <w:r>
        <w:rPr>
          <w:rFonts w:eastAsia="仿宋_GB2312" w:cs="Times New Roman" w:hint="eastAsia"/>
          <w:color w:val="auto"/>
          <w:kern w:val="0"/>
          <w:sz w:val="36"/>
          <w:szCs w:val="36"/>
          <w:highlight w:val="none"/>
          <w:lang w:val="en-US" w:eastAsia="zh-CN"/>
        </w:rPr>
        <w:t xml:space="preserve">25</w:t>
      </w:r>
      <w:r>
        <w:rPr>
          <w:rFonts w:ascii="Times New Roman" w:eastAsia="仿宋_GB2312" w:hAnsi="Times New Roman" w:cs="Times New Roman" w:hint="default"/>
          <w:color w:val="auto"/>
          <w:kern w:val="0"/>
          <w:sz w:val="36"/>
          <w:szCs w:val="36"/>
          <w:highlight w:val="none"/>
        </w:rPr>
        <w:t xml:space="preserve">日</w:t>
      </w:r>
    </w:p>
    <w:sdt>
      <w:sdtPr>
        <w:rPr>
          <w:rFonts w:ascii="宋体" w:eastAsia="宋体" w:hAnsi="宋体" w:cs="Times New Roman"/>
          <w:b/>
          <w:bCs/>
          <w:color w:val="auto"/>
          <w:kern w:val="2"/>
          <w:sz w:val="44"/>
          <w:szCs w:val="44"/>
          <w:highlight w:val="none"/>
          <w:lang w:val="en-US" w:eastAsia="zh-CN" w:bidi="ar-SA"/>
        </w:rPr>
        <w:id w:val="147456767"/>
        <w:docPartObj>
          <w:docPartGallery w:val="Table of Contents"/>
          <w:docPartUnique/>
        </w:docPartObj>
        <w15:color w:val="DBDBDB"/>
      </w:sdtPr>
      <w:sdtEndPr>
        <w:rPr>
          <w:rFonts w:ascii="Times New Roman" w:eastAsia="宋体" w:hAnsi="Times New Roman" w:cs="Times New Roman" w:hint="default"/>
          <w:b/>
          <w:bCs/>
          <w:color w:val="auto"/>
          <w:kern w:val="2"/>
          <w:sz w:val="21"/>
          <w:szCs w:val="24"/>
          <w:highlight w:val="none"/>
          <w:lang w:val="en-US" w:eastAsia="zh-CN" w:bidi="ar-SA"/>
        </w:rPr>
      </w:sdtEndPr>
      <w:sdtContent>
        <w:p>
          <w:pPr>
            <w:spacing w:before="0" w:beforeLines="0" w:after="0" w:afterLines="0" w:line="240" w:lineRule="auto"/>
            <w:ind w:left="0" w:right="0" w:firstLine="0" w:leftChars="0" w:rightChars="0" w:firstLineChars="0"/>
            <w:jc w:val="center"/>
            <w:rPr>
              <w:b/>
              <w:bCs/>
              <w:color w:val="auto"/>
              <w:sz w:val="44"/>
              <w:szCs w:val="44"/>
              <w:highlight w:val="none"/>
            </w:rPr>
          </w:pPr>
          <w:r>
            <w:rPr>
              <w:rFonts w:ascii="宋体" w:eastAsia="宋体" w:hAnsi="宋体"/>
              <w:b/>
              <w:bCs/>
              <w:color w:val="auto"/>
              <w:sz w:val="44"/>
              <w:szCs w:val="44"/>
              <w:highlight w:val="none"/>
            </w:rPr>
            <w:t xml:space="preserve">目录</w:t>
          </w:r>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highlight w:val="none"/>
            </w:rPr>
            <w:fldChar w:fldCharType="begin"/>
          </w:r>
          <w:r>
            <w:rPr>
              <w:rFonts w:ascii="Times New Roman" w:eastAsia="仿宋_GB2312" w:hAnsi="Times New Roman" w:cs="Times New Roman" w:hint="default"/>
              <w:color w:val="auto"/>
              <w:highlight w:val="none"/>
            </w:rPr>
            <w:instrText xml:space="preserve">TOC \o "1-9" \h \u</w:instrText>
          </w:r>
          <w:r>
            <w:rPr>
              <w:rFonts w:ascii="Times New Roman" w:eastAsia="仿宋_GB2312" w:hAnsi="Times New Roman" w:cs="Times New Roman" w:hint="default"/>
              <w:color w:val="auto"/>
              <w:highlight w:val="none"/>
            </w:rPr>
            <w:fldChar w:fldCharType="separate"/>
          </w:r>
          <w:hyperlink w:anchor="_Toc3458" w:history="1">
            <w:r>
              <w:rPr>
                <w:rFonts w:ascii="Times New Roman" w:eastAsia="仿宋_GB2312" w:hAnsi="Times New Roman" w:cs="Times New Roman" w:hint="default"/>
                <w:bCs/>
                <w:color w:val="auto"/>
                <w:sz w:val="32"/>
                <w:szCs w:val="32"/>
                <w:highlight w:val="none"/>
              </w:rPr>
              <w:t xml:space="preserve">一、基本情况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_Toc3458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16251" w:history="1">
            <w:r>
              <w:rPr>
                <w:rFonts w:ascii="Times New Roman" w:eastAsia="仿宋_GB2312" w:hAnsi="Times New Roman" w:cs="Times New Roman" w:hint="default"/>
                <w:bCs/>
                <w:color w:val="auto"/>
                <w:sz w:val="32"/>
                <w:szCs w:val="32"/>
                <w:highlight w:val="none"/>
              </w:rPr>
              <w:t xml:space="preserve">（一）项目概况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_Toc16251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11655" w:history="1">
            <w:r>
              <w:rPr>
                <w:rFonts w:ascii="Times New Roman" w:eastAsia="仿宋_GB2312" w:hAnsi="Times New Roman" w:cs="Times New Roman" w:hint="default"/>
                <w:bCs/>
                <w:color w:val="auto"/>
                <w:sz w:val="32"/>
                <w:szCs w:val="32"/>
                <w:highlight w:val="none"/>
              </w:rPr>
              <w:t xml:space="preserve">（二）项目绩效目标</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_Toc11655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5</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25712" w:history="1">
            <w:r>
              <w:rPr>
                <w:rFonts w:ascii="Times New Roman" w:eastAsia="仿宋_GB2312" w:hAnsi="Times New Roman" w:cs="Times New Roman" w:hint="default"/>
                <w:color w:val="auto"/>
                <w:sz w:val="32"/>
                <w:szCs w:val="32"/>
                <w:highlight w:val="none"/>
              </w:rPr>
              <w:t xml:space="preserve">二、绩效评价工作开展情况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_Toc25712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6</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20967" w:history="1">
            <w:r>
              <w:rPr>
                <w:rFonts w:ascii="Times New Roman" w:eastAsia="仿宋_GB2312" w:hAnsi="Times New Roman" w:cs="Times New Roman" w:hint="default"/>
                <w:bCs/>
                <w:color w:val="auto"/>
                <w:sz w:val="32"/>
                <w:szCs w:val="32"/>
                <w:highlight w:val="none"/>
              </w:rPr>
              <w:t xml:space="preserve">（一）绩效评价目的、对象和范围</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_Toc20967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6</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29785" w:history="1">
            <w:r>
              <w:rPr>
                <w:rFonts w:ascii="Times New Roman" w:eastAsia="仿宋_GB2312" w:hAnsi="Times New Roman" w:cs="Times New Roman" w:hint="default"/>
                <w:bCs/>
                <w:color w:val="auto"/>
                <w:sz w:val="32"/>
                <w:szCs w:val="32"/>
                <w:highlight w:val="none"/>
              </w:rPr>
              <w:t xml:space="preserve">（二）绩效评价原则、评价指标体系（详情见表1）、评价方法、评价标准</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_Toc29785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9</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5544" w:history="1">
            <w:r>
              <w:rPr>
                <w:rFonts w:ascii="Times New Roman" w:eastAsia="仿宋_GB2312" w:hAnsi="Times New Roman" w:cs="Times New Roman" w:hint="default"/>
                <w:color w:val="auto"/>
                <w:spacing w:val="17"/>
                <w:sz w:val="32"/>
                <w:szCs w:val="32"/>
                <w:highlight w:val="none"/>
              </w:rPr>
              <w:t xml:space="preserve">（三）绩效评价工作过程</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_Toc5544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13</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29729" w:history="1">
            <w:r>
              <w:rPr>
                <w:rFonts w:ascii="Times New Roman" w:eastAsia="仿宋_GB2312" w:hAnsi="Times New Roman" w:cs="Times New Roman" w:hint="default"/>
                <w:color w:val="auto"/>
                <w:sz w:val="32"/>
                <w:szCs w:val="32"/>
                <w:highlight w:val="none"/>
              </w:rPr>
              <w:t xml:space="preserve">三、综合评价情况及评价结论（附相关评分表）</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_Toc29729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15</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2344" w:history="1">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一</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评价情况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_Toc2344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15</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6653" w:history="1">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二</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评价结论</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_Toc6653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16</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1453" w:history="1">
            <w:r>
              <w:rPr>
                <w:rFonts w:ascii="Times New Roman" w:eastAsia="仿宋_GB2312" w:hAnsi="Times New Roman" w:cs="Times New Roman" w:hint="default"/>
                <w:color w:val="auto"/>
                <w:sz w:val="32"/>
                <w:szCs w:val="32"/>
                <w:highlight w:val="none"/>
              </w:rPr>
              <w:t xml:space="preserve">四、绩效评价指标分析</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_Toc1453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17</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32318" w:history="1">
            <w:r>
              <w:rPr>
                <w:rFonts w:ascii="Times New Roman" w:eastAsia="仿宋_GB2312" w:hAnsi="Times New Roman" w:cs="Times New Roman" w:hint="default"/>
                <w:color w:val="auto"/>
                <w:sz w:val="32"/>
                <w:szCs w:val="32"/>
                <w:highlight w:val="none"/>
              </w:rPr>
              <w:t xml:space="preserve">（一）项目决策情况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_Toc32318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17</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25505" w:history="1">
            <w:r>
              <w:rPr>
                <w:rFonts w:ascii="Times New Roman" w:eastAsia="仿宋_GB2312" w:hAnsi="Times New Roman" w:cs="Times New Roman" w:hint="default"/>
                <w:color w:val="auto"/>
                <w:sz w:val="32"/>
                <w:szCs w:val="32"/>
                <w:highlight w:val="none"/>
              </w:rPr>
              <w:t xml:space="preserve">（二）项目过程情况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_Toc25505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20</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8612" w:history="1">
            <w:r>
              <w:rPr>
                <w:rFonts w:ascii="Times New Roman" w:eastAsia="仿宋_GB2312" w:hAnsi="Times New Roman" w:cs="Times New Roman" w:hint="default"/>
                <w:bCs/>
                <w:color w:val="auto"/>
                <w:sz w:val="32"/>
                <w:szCs w:val="32"/>
                <w:highlight w:val="none"/>
              </w:rPr>
              <w:t xml:space="preserve">（三）项目产出</w:t>
            </w:r>
            <w:r>
              <w:rPr>
                <w:rFonts w:ascii="Times New Roman" w:eastAsia="仿宋_GB2312" w:hAnsi="Times New Roman" w:cs="Times New Roman" w:hint="default"/>
                <w:bCs/>
                <w:color w:val="auto"/>
                <w:sz w:val="32"/>
                <w:szCs w:val="32"/>
                <w:highlight w:val="none"/>
                <w:lang w:val="en-US" w:eastAsia="zh-CN"/>
              </w:rPr>
              <w:t xml:space="preserve">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_Toc8612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22</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18470" w:history="1">
            <w:r>
              <w:rPr>
                <w:rFonts w:ascii="Times New Roman" w:eastAsia="仿宋_GB2312" w:hAnsi="Times New Roman" w:cs="Times New Roman" w:hint="default"/>
                <w:bCs/>
                <w:color w:val="auto"/>
                <w:sz w:val="32"/>
                <w:szCs w:val="32"/>
                <w:highlight w:val="none"/>
                <w:lang w:val="en-US" w:eastAsia="zh-CN"/>
              </w:rPr>
              <w:t xml:space="preserve">（四）项目效益情况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_Toc18470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25</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21462" w:history="1">
            <w:r>
              <w:rPr>
                <w:rFonts w:ascii="Times New Roman" w:eastAsia="仿宋_GB2312" w:hAnsi="Times New Roman" w:cs="Times New Roman" w:hint="default"/>
                <w:bCs w:val="0"/>
                <w:color w:val="auto"/>
                <w:sz w:val="32"/>
                <w:szCs w:val="32"/>
                <w:highlight w:val="none"/>
                <w:lang w:val="en-US" w:eastAsia="zh-CN"/>
              </w:rPr>
              <w:t xml:space="preserve">五、</w:t>
            </w:r>
            <w:r>
              <w:rPr>
                <w:rFonts w:ascii="Times New Roman" w:eastAsia="仿宋_GB2312" w:hAnsi="Times New Roman" w:cs="Times New Roman" w:hint="default"/>
                <w:bCs w:val="0"/>
                <w:color w:val="auto"/>
                <w:sz w:val="32"/>
                <w:szCs w:val="32"/>
                <w:highlight w:val="none"/>
                <w:lang w:val="en-US"/>
              </w:rPr>
              <w:t xml:space="preserve">预算执行进度与绩效指标偏差</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_Toc21462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25</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18363" w:history="1">
            <w:r>
              <w:rPr>
                <w:rFonts w:ascii="Times New Roman" w:eastAsia="仿宋_GB2312" w:hAnsi="Times New Roman" w:cs="Times New Roman" w:hint="default"/>
                <w:color w:val="auto"/>
                <w:sz w:val="32"/>
                <w:szCs w:val="32"/>
                <w:highlight w:val="none"/>
                <w:lang w:val="en-US" w:eastAsia="zh-CN"/>
              </w:rPr>
              <w:t xml:space="preserve">六</w:t>
            </w:r>
            <w:r>
              <w:rPr>
                <w:rFonts w:ascii="Times New Roman" w:eastAsia="仿宋_GB2312" w:hAnsi="Times New Roman" w:cs="Times New Roman" w:hint="default"/>
                <w:bCs/>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主要经验及做法、存在的问题及原因分析</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_Toc18363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26</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22741" w:history="1">
            <w:r>
              <w:rPr>
                <w:rFonts w:ascii="Times New Roman" w:eastAsia="仿宋_GB2312" w:hAnsi="Times New Roman" w:cs="Times New Roman" w:hint="default"/>
                <w:color w:val="auto"/>
                <w:spacing w:val="-4"/>
                <w:sz w:val="32"/>
                <w:szCs w:val="32"/>
                <w:highlight w:val="none"/>
              </w:rPr>
              <w:t xml:space="preserve">（一）主要经验及做法</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_Toc22741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26</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7835" w:history="1">
            <w:r>
              <w:rPr>
                <w:rFonts w:ascii="Times New Roman" w:eastAsia="仿宋_GB2312" w:hAnsi="Times New Roman" w:cs="Times New Roman" w:hint="default"/>
                <w:bCs/>
                <w:color w:val="auto"/>
                <w:sz w:val="32"/>
                <w:szCs w:val="32"/>
                <w:highlight w:val="none"/>
              </w:rPr>
              <w:t xml:space="preserve">（二）存在的问题及原因分析</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_Toc7835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27</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25529" w:history="1">
            <w:r>
              <w:rPr>
                <w:rFonts w:ascii="Times New Roman" w:eastAsia="仿宋_GB2312" w:hAnsi="Times New Roman" w:cs="Times New Roman" w:hint="default"/>
                <w:color w:val="auto"/>
                <w:sz w:val="32"/>
                <w:szCs w:val="32"/>
                <w:highlight w:val="none"/>
                <w:lang w:val="en-US" w:eastAsia="zh-CN"/>
              </w:rPr>
              <w:t xml:space="preserve">七.</w:t>
            </w:r>
            <w:r>
              <w:rPr>
                <w:rFonts w:ascii="Times New Roman" w:eastAsia="仿宋_GB2312" w:hAnsi="Times New Roman" w:cs="Times New Roman" w:hint="default"/>
                <w:color w:val="auto"/>
                <w:sz w:val="32"/>
                <w:szCs w:val="32"/>
                <w:highlight w:val="none"/>
              </w:rPr>
              <w:t xml:space="preserve">有关建议</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_Toc25529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27</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3065" w:history="1">
            <w:r>
              <w:rPr>
                <w:rFonts w:ascii="Times New Roman" w:eastAsia="仿宋_GB2312" w:hAnsi="Times New Roman" w:cs="Times New Roman" w:hint="default"/>
                <w:color w:val="auto"/>
                <w:sz w:val="32"/>
                <w:szCs w:val="32"/>
                <w:highlight w:val="none"/>
                <w:lang w:val="en-US" w:eastAsia="zh-CN"/>
              </w:rPr>
              <w:t xml:space="preserve">八</w:t>
            </w:r>
            <w:r>
              <w:rPr>
                <w:rFonts w:ascii="Times New Roman" w:eastAsia="仿宋_GB2312" w:hAnsi="Times New Roman" w:cs="Times New Roman" w:hint="default"/>
                <w:bCs/>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其他需要说明的问题</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_Toc3065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27</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15260" w:history="1">
            <w:r>
              <w:rPr>
                <w:rFonts w:ascii="Times New Roman" w:eastAsia="仿宋_GB2312" w:hAnsi="Times New Roman" w:cs="Times New Roman" w:hint="default"/>
                <w:color w:val="auto"/>
                <w:sz w:val="32"/>
                <w:szCs w:val="32"/>
                <w:highlight w:val="none"/>
                <w:lang w:val="en-US" w:eastAsia="zh-CN"/>
              </w:rPr>
              <w:t xml:space="preserve">附件1 评价指标体系</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_Toc15260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30</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highlight w:val="none"/>
            </w:rPr>
          </w:pPr>
          <w:hyperlink w:anchor="_Toc17917" w:history="1">
            <w:r>
              <w:rPr>
                <w:rFonts w:ascii="Times New Roman" w:eastAsia="仿宋_GB2312" w:hAnsi="Times New Roman" w:cs="Times New Roman" w:hint="default"/>
                <w:bCs/>
                <w:i w:val="0"/>
                <w:iCs w:val="0"/>
                <w:color w:val="auto"/>
                <w:kern w:val="0"/>
                <w:sz w:val="32"/>
                <w:szCs w:val="32"/>
                <w:highlight w:val="none"/>
                <w:lang w:val="en-US" w:eastAsia="zh-CN"/>
              </w:rPr>
              <w:t xml:space="preserve">附件2 项目支出绩效自评表</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_Toc17917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35</w:t>
            </w:r>
            <w:r>
              <w:rPr>
                <w:rFonts w:ascii="Times New Roman" w:eastAsia="仿宋_GB2312" w:hAnsi="Times New Roman" w:cs="Times New Roman" w:hint="default"/>
                <w:color w:val="auto"/>
                <w:sz w:val="32"/>
                <w:szCs w:val="32"/>
                <w:highlight w:val="none"/>
              </w:rPr>
              <w:fldChar w:fldCharType="end"/>
            </w:r>
          </w:hyperlink>
        </w:p>
        <w:p>
          <w:pPr>
            <w:rPr>
              <w:rFonts w:ascii="Times New Roman" w:eastAsia="宋体" w:hAnsi="Times New Roman" w:cs="Times New Roman" w:hint="default"/>
              <w:color w:val="auto"/>
              <w:kern w:val="2"/>
              <w:sz w:val="21"/>
              <w:szCs w:val="24"/>
              <w:highlight w:val="none"/>
              <w:lang w:val="en-US" w:eastAsia="zh-CN" w:bidi="ar-SA"/>
            </w:rPr>
          </w:pPr>
          <w:r>
            <w:rPr>
              <w:rFonts w:ascii="Times New Roman" w:eastAsia="仿宋_GB2312" w:hAnsi="Times New Roman" w:cs="Times New Roman" w:hint="default"/>
              <w:color w:val="auto"/>
              <w:highlight w:val="none"/>
            </w:rPr>
            <w:fldChar w:fldCharType="end"/>
          </w:r>
        </w:p>
      </w:sdtContent>
    </w:sdt>
    <w:p>
      <w:pPr>
        <w:rPr>
          <w:rFonts w:ascii="Times New Roman" w:eastAsia="宋体" w:hAnsi="Times New Roman" w:cs="Times New Roman" w:hint="default"/>
          <w:color w:val="auto"/>
          <w:kern w:val="2"/>
          <w:sz w:val="21"/>
          <w:szCs w:val="24"/>
          <w:highlight w:val="none"/>
          <w:lang w:val="en-US" w:eastAsia="zh-CN" w:bidi="ar-SA"/>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rPr>
          <w:rStyle w:val="Strong"/>
          <w:rFonts w:ascii="Times New Roman" w:eastAsia="黑体" w:hAnsi="Times New Roman" w:cs="Times New Roman" w:hint="default"/>
          <w:b w:val="0"/>
          <w:color w:val="auto"/>
          <w:spacing w:val="-4"/>
          <w:sz w:val="32"/>
          <w:szCs w:val="32"/>
          <w:highlight w:val="none"/>
        </w:rPr>
      </w:pPr>
    </w:p>
    <w:p>
      <w:pPr>
        <w:spacing w:line="540" w:lineRule="exact"/>
        <w:ind w:firstLine="640"/>
        <w:rPr>
          <w:rStyle w:val="Strong"/>
          <w:rFonts w:ascii="Times New Roman" w:eastAsia="黑体" w:hAnsi="Times New Roman" w:cs="Times New Roman" w:hint="default"/>
          <w:b w:val="0"/>
          <w:color w:val="auto"/>
          <w:spacing w:val="-4"/>
          <w:sz w:val="32"/>
          <w:szCs w:val="32"/>
          <w:highlight w:val="none"/>
        </w:rPr>
      </w:pPr>
    </w:p>
    <w:p>
      <w:pPr>
        <w:spacing w:line="540" w:lineRule="exact"/>
        <w:rPr>
          <w:rStyle w:val="Strong"/>
          <w:rFonts w:ascii="Times New Roman" w:eastAsia="黑体" w:hAnsi="Times New Roman" w:cs="Times New Roman" w:hint="default"/>
          <w:b w:val="0"/>
          <w:color w:val="auto"/>
          <w:spacing w:val="-4"/>
          <w:sz w:val="32"/>
          <w:szCs w:val="32"/>
          <w:highlight w:val="none"/>
        </w:rPr>
      </w:pPr>
    </w:p>
    <w:p>
      <w:pPr>
        <w:spacing w:line="560" w:lineRule="exact"/>
        <w:ind w:firstLine="640" w:firstLineChars="200"/>
        <w:rPr>
          <w:rFonts w:ascii="Times New Roman" w:eastAsia="黑体" w:hAnsi="Times New Roman" w:cs="Times New Roman" w:hint="default"/>
          <w:bCs/>
          <w:color w:val="auto"/>
          <w:sz w:val="32"/>
          <w:szCs w:val="32"/>
          <w:highlight w:val="none"/>
        </w:rPr>
        <w:sectPr>
          <w:pgSz w:w="11906" w:h="16838" w:orient="portrait"/>
          <w:pgMar w:top="2098" w:right="1474" w:bottom="1984" w:left="1587" w:header="851" w:footer="992" w:gutter="0"/>
          <w:cols w:num="1" w:space="0">
            <w:col w:w="8845"/>
          </w:cols>
          <w:rtlGutter w:val="0"/>
          <w:docGrid w:type="lines" w:linePitch="312" w:charSpace="0"/>
        </w:sectPr>
      </w:pP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黑体" w:hAnsi="Times New Roman" w:cs="Times New Roman" w:hint="default"/>
          <w:bCs/>
          <w:color w:val="auto"/>
          <w:sz w:val="32"/>
          <w:szCs w:val="32"/>
          <w:highlight w:val="none"/>
        </w:rPr>
      </w:pPr>
      <w:bookmarkStart w:id="0" w:name="_Toc3458"/>
      <w:r>
        <w:rPr>
          <w:rFonts w:ascii="Times New Roman" w:eastAsia="黑体" w:hAnsi="Times New Roman" w:cs="Times New Roman" w:hint="default"/>
          <w:bCs/>
          <w:color w:val="auto"/>
          <w:sz w:val="32"/>
          <w:szCs w:val="32"/>
          <w:highlight w:val="none"/>
        </w:rPr>
        <w:t xml:space="preserve">一、基本情况</w:t>
      </w:r>
      <w:bookmarkEnd w:id="0"/>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1"/>
        <w:rPr>
          <w:rFonts w:ascii="Times New Roman" w:eastAsia="楷体_GB2312" w:hAnsi="Times New Roman" w:cs="Times New Roman" w:hint="default"/>
          <w:b/>
          <w:bCs/>
          <w:color w:val="auto"/>
          <w:sz w:val="32"/>
          <w:szCs w:val="32"/>
          <w:highlight w:val="none"/>
        </w:rPr>
      </w:pPr>
      <w:bookmarkStart w:id="1" w:name="_Toc16251"/>
      <w:r>
        <w:rPr>
          <w:rFonts w:ascii="Times New Roman" w:eastAsia="楷体_GB2312" w:hAnsi="Times New Roman" w:cs="Times New Roman" w:hint="default"/>
          <w:b/>
          <w:bCs/>
          <w:color w:val="auto"/>
          <w:sz w:val="32"/>
          <w:szCs w:val="32"/>
          <w:highlight w:val="none"/>
        </w:rPr>
        <w:t xml:space="preserve">（一）项目概况</w:t>
      </w:r>
      <w:bookmarkEnd w:id="1"/>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b/>
          <w:bCs/>
          <w:color w:val="auto"/>
          <w:sz w:val="32"/>
          <w:szCs w:val="32"/>
          <w:highlight w:val="none"/>
        </w:rPr>
      </w:pPr>
      <w:bookmarkStart w:id="2" w:name="_Toc14982"/>
      <w:r>
        <w:rPr>
          <w:rFonts w:ascii="Times New Roman" w:eastAsia="仿宋_GB2312" w:hAnsi="Times New Roman" w:cs="Times New Roman" w:hint="default"/>
          <w:b/>
          <w:bCs/>
          <w:color w:val="auto"/>
          <w:sz w:val="32"/>
          <w:szCs w:val="32"/>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项目背景</w:t>
      </w:r>
      <w:bookmarkEnd w:id="2"/>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default"/>
          <w:b w:val="0"/>
          <w:bCs w:val="0"/>
          <w:color w:val="auto"/>
          <w:kern w:val="2"/>
          <w:highlight w:val="none"/>
          <w:lang w:val="en-US" w:eastAsia="zh-CN"/>
        </w:rPr>
      </w:pPr>
      <w:bookmarkStart w:id="3" w:name="_Toc30961"/>
      <w:r>
        <w:rPr>
          <w:rFonts w:ascii="Times New Roman" w:eastAsia="仿宋_GB2312" w:hAnsi="Times New Roman" w:cs="Times New Roman" w:hint="default"/>
          <w:b w:val="0"/>
          <w:bCs w:val="0"/>
          <w:color w:val="auto"/>
          <w:kern w:val="2"/>
          <w:highlight w:val="none"/>
          <w:lang w:val="en-US" w:eastAsia="zh-CN"/>
        </w:rPr>
        <w:t xml:space="preserve">2025年是机构改革后的开局元年，随着机构改革方案全面落地实施，我单位管理体制、职能架构完成全新优化，履职边界与工作任务也随之进一步明确。改革后，单位既要承担起流域水利管理、工程运维、供水保障等核心水利公益职能，也要保障自身机构常态化、规范化运转，两大核心任务相辅相成，缺一不可。</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default"/>
          <w:b w:val="0"/>
          <w:bCs w:val="0"/>
          <w:color w:val="auto"/>
          <w:kern w:val="2"/>
          <w:highlight w:val="none"/>
          <w:lang w:val="en-US" w:eastAsia="zh-CN"/>
        </w:rPr>
      </w:pPr>
      <w:r>
        <w:rPr>
          <w:rFonts w:ascii="Times New Roman" w:eastAsia="仿宋_GB2312" w:hAnsi="Times New Roman" w:cs="Times New Roman" w:hint="default"/>
          <w:b w:val="0"/>
          <w:bCs w:val="0"/>
          <w:color w:val="auto"/>
          <w:kern w:val="2"/>
          <w:highlight w:val="none"/>
          <w:lang w:val="en-US" w:eastAsia="zh-CN"/>
        </w:rPr>
        <w:t xml:space="preserve">塔里木河流域水利管理工作事关区域农业生产、民生福祉与生态安全，保障流域灌溉供水稳定、水利工程安全运行，是支撑地方经济社会发展的关键基础；而保障单位自身正常运转、落实人员待遇、保障日常公务开展，则是履行所有水利管理职责的根本前提。为全面贯彻落实机构改革各项部署，严格遵照2025年维修养护项目实施方案要求，切实解决机构改革后单位运行保障、人员待遇落实、上游水费缴纳、日常公务开展、水利工程运维等全方位资金需求，确保单位不因改革出现运转断档，水利管理与供水服务职能全面落地，特设立2025年自治区水利发展资金专项（经营成本性项目）。本项目作为综合性经营成本保障项目，核心是统筹兼顾单位自身运转与水利公益履职，筑牢机构运行根基，夯实水利服务保障能力，推动改革成效转化为水利事业发展实效，切实保障流域水利服务与单位内部管理双平稳、双提升。</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default"/>
          <w:color w:val="auto"/>
          <w:kern w:val="2"/>
          <w:highlight w:val="none"/>
          <w:lang w:val="en-US" w:eastAsia="zh-CN"/>
        </w:rPr>
      </w:pPr>
      <w:r>
        <w:rPr>
          <w:rFonts w:ascii="Times New Roman" w:eastAsia="仿宋_GB2312" w:hAnsi="Times New Roman" w:cs="Times New Roman" w:hint="default"/>
          <w:color w:val="auto"/>
          <w:kern w:val="2"/>
          <w:highlight w:val="none"/>
          <w:lang w:val="en-US" w:eastAsia="zh-CN"/>
        </w:rPr>
        <w:t xml:space="preserve">2.</w:t>
      </w:r>
      <w:r>
        <w:rPr>
          <w:rFonts w:ascii="Times New Roman" w:eastAsia="仿宋_GB2312" w:hAnsi="Times New Roman" w:cs="Times New Roman" w:hint="default"/>
          <w:color w:val="auto"/>
          <w:kern w:val="2"/>
          <w:highlight w:val="none"/>
        </w:rPr>
        <w:t xml:space="preserve">项目主要内容</w:t>
      </w:r>
      <w:r>
        <w:rPr>
          <w:rFonts w:ascii="Times New Roman" w:eastAsia="仿宋_GB2312" w:hAnsi="Times New Roman" w:cs="Times New Roman" w:hint="eastAsia"/>
          <w:color w:val="auto"/>
          <w:kern w:val="2"/>
          <w:highlight w:val="none"/>
          <w:lang w:val="en-US" w:eastAsia="zh-CN"/>
        </w:rPr>
        <w:t xml:space="preserve">及实施情况</w:t>
      </w:r>
      <w:bookmarkEnd w:id="3"/>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val="en-US" w:eastAsia="zh-CN"/>
        </w:rPr>
        <w:t xml:space="preserve">项目主要内容：本项目为综合性经营成本性保障项目，资金实行统筹规划、专款专用，全部用于人员工资福利</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流域灌溉供水保障</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机构日常运转公用经费及水利工程维修养护四大核心支出领域，全方位覆盖单位内部运转与水利公益履职全流程费用需求，</w:t>
      </w:r>
      <w:r>
        <w:rPr>
          <w:rFonts w:eastAsia="仿宋_GB2312" w:cs="Times New Roman" w:hint="eastAsia"/>
          <w:color w:val="auto"/>
          <w:sz w:val="32"/>
          <w:szCs w:val="32"/>
          <w:highlight w:val="none"/>
          <w:lang w:val="en-US" w:eastAsia="zh-CN"/>
        </w:rPr>
        <w:t xml:space="preserve">具体</w:t>
      </w:r>
      <w:r>
        <w:rPr>
          <w:rFonts w:ascii="Times New Roman" w:eastAsia="仿宋_GB2312" w:hAnsi="Times New Roman" w:cs="Times New Roman" w:hint="default"/>
          <w:color w:val="auto"/>
          <w:sz w:val="32"/>
          <w:szCs w:val="32"/>
          <w:highlight w:val="none"/>
          <w:lang w:val="en-US" w:eastAsia="zh-CN"/>
        </w:rPr>
        <w:t xml:space="preserve">如下：</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①</w:t>
      </w:r>
      <w:r>
        <w:rPr>
          <w:rFonts w:ascii="Times New Roman" w:eastAsia="仿宋_GB2312" w:hAnsi="Times New Roman" w:cs="Times New Roman" w:hint="default"/>
          <w:color w:val="auto"/>
          <w:sz w:val="32"/>
          <w:szCs w:val="32"/>
          <w:highlight w:val="none"/>
          <w:lang w:val="en-US" w:eastAsia="zh-CN"/>
        </w:rPr>
        <w:t xml:space="preserve">人员工资福利保障支出</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专项保障单位在职干部职工、退休人员及遗属人员全年</w:t>
      </w:r>
      <w:r>
        <w:rPr>
          <w:rFonts w:eastAsia="仿宋_GB2312" w:cs="Times New Roman" w:hint="eastAsia"/>
          <w:color w:val="auto"/>
          <w:sz w:val="32"/>
          <w:szCs w:val="32"/>
          <w:highlight w:val="none"/>
          <w:lang w:val="en-US" w:eastAsia="zh-CN"/>
        </w:rPr>
        <w:t xml:space="preserve">12次</w:t>
      </w:r>
      <w:r>
        <w:rPr>
          <w:rFonts w:ascii="Times New Roman" w:eastAsia="仿宋_GB2312" w:hAnsi="Times New Roman" w:cs="Times New Roman" w:hint="default"/>
          <w:color w:val="auto"/>
          <w:sz w:val="32"/>
          <w:szCs w:val="32"/>
          <w:highlight w:val="none"/>
          <w:lang w:val="en-US" w:eastAsia="zh-CN"/>
        </w:rPr>
        <w:t xml:space="preserve">工资福利</w:t>
      </w:r>
      <w:r>
        <w:rPr>
          <w:rFonts w:eastAsia="仿宋_GB2312" w:cs="Times New Roman" w:hint="eastAsia"/>
          <w:color w:val="auto"/>
          <w:sz w:val="32"/>
          <w:szCs w:val="32"/>
          <w:highlight w:val="none"/>
          <w:lang w:val="en-US" w:eastAsia="zh-CN"/>
        </w:rPr>
        <w:t xml:space="preserve">足额、准时</w:t>
      </w:r>
      <w:r>
        <w:rPr>
          <w:rFonts w:ascii="Times New Roman" w:eastAsia="仿宋_GB2312" w:hAnsi="Times New Roman" w:cs="Times New Roman" w:hint="default"/>
          <w:color w:val="auto"/>
          <w:sz w:val="32"/>
          <w:szCs w:val="32"/>
          <w:highlight w:val="none"/>
          <w:lang w:val="en-US" w:eastAsia="zh-CN"/>
        </w:rPr>
        <w:t xml:space="preserve">发放，稳定水利管理人才队伍，激发干部职工工作积极性与责任心，为单位各项水利管理工作、日常公务工作的有序开展筑牢坚实的人力支撑，保障机构改革后人员队伍平稳过渡、工作力量持续稳固。</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②</w:t>
      </w:r>
      <w:r>
        <w:rPr>
          <w:rFonts w:ascii="Times New Roman" w:eastAsia="仿宋_GB2312" w:hAnsi="Times New Roman" w:cs="Times New Roman" w:hint="default"/>
          <w:color w:val="auto"/>
          <w:sz w:val="32"/>
          <w:szCs w:val="32"/>
          <w:highlight w:val="none"/>
          <w:lang w:val="en-US" w:eastAsia="zh-CN"/>
        </w:rPr>
        <w:t xml:space="preserve">流域灌溉供水保障支出</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围绕塔里木河流域农业灌溉供水核心职责，聚焦上下游供水协同保障，专项用于向上游水利管理单位克孜尔水库管理中心缴纳农业灌溉水费。全年完成不少于3次水费缴纳工作，打通上下游供水联动关键链条，保障流域灌溉供水持续稳定，确保辖区农业灌溉用水精准调配、高效供给，维护流域灌溉供水秩序平稳有序</w:t>
      </w:r>
      <w:r>
        <w:rPr>
          <w:rFonts w:eastAsia="仿宋_GB2312" w:cs="Times New Roman" w:hint="eastAsia"/>
          <w:color w:val="auto"/>
          <w:sz w:val="32"/>
          <w:szCs w:val="32"/>
          <w:highlight w:val="none"/>
          <w:lang w:val="en-US" w:eastAsia="zh-CN"/>
        </w:rPr>
        <w:t xml:space="preserve">，助力农业生产与民生保障</w:t>
      </w:r>
      <w:r>
        <w:rPr>
          <w:rFonts w:ascii="Times New Roman" w:eastAsia="仿宋_GB2312" w:hAnsi="Times New Roman" w:cs="Times New Roman" w:hint="default"/>
          <w:color w:val="auto"/>
          <w:sz w:val="32"/>
          <w:szCs w:val="32"/>
          <w:highlight w:val="none"/>
          <w:lang w:val="en-US" w:eastAsia="zh-CN"/>
        </w:rPr>
        <w:t xml:space="preserve">。</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③</w:t>
      </w:r>
      <w:r>
        <w:rPr>
          <w:rFonts w:ascii="Times New Roman" w:eastAsia="仿宋_GB2312" w:hAnsi="Times New Roman" w:cs="Times New Roman" w:hint="default"/>
          <w:color w:val="auto"/>
          <w:sz w:val="32"/>
          <w:szCs w:val="32"/>
          <w:highlight w:val="none"/>
          <w:lang w:val="en-US" w:eastAsia="zh-CN"/>
        </w:rPr>
        <w:t xml:space="preserve">机构运转公用经费支出</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立足机构改革后单位全新职能定位，保障单位日常运营规范化、常态化，资金专项用于单位日常运转各类公用经费列支。支出范围涵盖差旅费、公务用车运行维护费、办公费、业务耗材费等各</w:t>
      </w:r>
      <w:r>
        <w:rPr>
          <w:rFonts w:ascii="Times New Roman" w:eastAsia="仿宋_GB2312" w:hAnsi="Times New Roman" w:cs="Times New Roman" w:hint="default"/>
          <w:color w:val="auto"/>
          <w:sz w:val="32"/>
          <w:szCs w:val="32"/>
          <w:highlight w:val="none"/>
          <w:lang w:val="en-US" w:eastAsia="zh-CN"/>
        </w:rPr>
        <w:t xml:space="preserve">项目</w:t>
      </w:r>
      <w:r>
        <w:rPr>
          <w:rFonts w:ascii="Times New Roman" w:eastAsia="仿宋_GB2312" w:hAnsi="Times New Roman" w:cs="Times New Roman" w:hint="default"/>
          <w:color w:val="auto"/>
          <w:sz w:val="32"/>
          <w:szCs w:val="32"/>
          <w:highlight w:val="none"/>
          <w:lang w:val="en-US" w:eastAsia="zh-CN"/>
        </w:rPr>
        <w:t xml:space="preserve">常公务基础开支，支撑单位公文办理、外勤工程巡查、水政执法、跨部门业务对接、内部行政管理、流域水利工作协调等各项事务高效推进、闭环落地。通过足额保障日常公用经费，确保机构改革后单位日常运转不脱节、不停摆，内部管理流程规范顺畅，各项行政事务与水利管理业务高效衔接，全面适配新的管理体制与职能要求。</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④</w:t>
      </w:r>
      <w:r>
        <w:rPr>
          <w:rFonts w:ascii="Times New Roman" w:eastAsia="仿宋_GB2312" w:hAnsi="Times New Roman" w:cs="Times New Roman" w:hint="default"/>
          <w:color w:val="auto"/>
          <w:sz w:val="32"/>
          <w:szCs w:val="32"/>
          <w:highlight w:val="none"/>
          <w:lang w:val="en-US" w:eastAsia="zh-CN"/>
        </w:rPr>
        <w:t xml:space="preserve">水利工程维修养护支出</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严格依据上级批复的水利工程维修养护实施方案，聚焦水利工程安全运行与效能提升，统筹资金开展流域水利工程维修养护工作。全年实施不少于5项水利工程维修养护项目，针对辖区内水利工程设施开展全面排查、隐患整治、设施修缮与日常养护，重点消除水利工程运行中的安全隐患，修复老化、破损的工程设施，维护水利工程整体完好性与运行稳定性。通过规范化、常态化的维修养护工作，进一步提升辖区水利工程防洪减灾、灌溉供水的核心服务能力，为流域防汛抗旱、农业灌溉提供坚实的硬件保障。</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此外，项目实施过程中，同步开展不少于5次委托业务服务，依托专业第三方力量辅助开展水利工程检测、灌溉供水测算、日常运维协助等相关工作，进一步提升水利管理与工程运维的专业化、规范化水平，推动项目各项实施内容高效落地，实现单位运转、供水保障、工程运维的协同增效。</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bookmarkStart w:id="4" w:name="_Toc18357"/>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2</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项目实施情况</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本项目严格依据本单位机构改革方案、2025年维修养护项目实施方案及工作要求，统筹推进人员经费保障、农业灌溉水费支付、公用经费补充、水利工程维修养护四大核心工作，全程规范实施、专款专用，圆满完成年度各项既定任务。</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资金使用方面，项目全年总支出6999.36万元，其中人员经费支出3038.29万元、农业灌溉水费支出3438.3万元、水利工程维修养护支出420万元、公用经费支出102.77万元，资金专款专用、核算规范，水利工程维修养护项目招投标资金落实率100%，无挤占、挪用情况。</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具体任务实施上，全年按时完成12次人员工资发放，足额保障在职、退休及遗属人员待遇，发放及时率100%，稳定了职工队伍，保障了水利日常管理与工程巡检工作有序开展；按约定向克孜尔水库管理中心支付农业灌溉水费3次，支付及时率100%，保障了上下游灌溉供水持续稳定，满足流域农业灌溉用水需求；按期完成5项水利工程维修养护任务、5次委托业务，有效消除工程安全隐患，提升水利设施防洪、灌溉服务能力；公用经费足额列支，保障了单位差旅费、公务用车运维等日常公务开展，确保机构运转规范高效。</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通过各项工作统筹落地，项目有效完善了流域供水保障体系，优化了水利工程公益服务功能，提升了单位内部运营管理规范化水平，充分释放水利防洪灌溉综合效益，切实保障了民生落地与水利设施安全运行。</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3</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资金投入和使用情况</w:t>
      </w:r>
      <w:bookmarkEnd w:id="4"/>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lang w:val="en-US" w:eastAsia="zh-CN"/>
        </w:rPr>
      </w:pPr>
      <w:bookmarkStart w:id="5" w:name="_Toc13131"/>
      <w:r>
        <w:rPr>
          <w:rFonts w:ascii="Times New Roman" w:eastAsia="仿宋_GB2312" w:hAnsi="Times New Roman" w:cs="Times New Roman" w:hint="default"/>
          <w:color w:val="auto"/>
          <w:sz w:val="32"/>
          <w:szCs w:val="32"/>
          <w:highlight w:val="none"/>
          <w:lang w:val="en-US" w:eastAsia="zh-CN"/>
        </w:rPr>
        <w:t xml:space="preserve">（1）资金投入情况</w:t>
      </w:r>
      <w:bookmarkEnd w:id="5"/>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jc w:val="both"/>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Times New Roman" w:eastAsia="仿宋_GB2312" w:hAnsi="Times New Roman" w:cs="Times New Roman" w:hint="eastAsia"/>
          <w:color w:val="auto"/>
          <w:sz w:val="32"/>
          <w:szCs w:val="32"/>
          <w:highlight w:val="none"/>
          <w:lang w:val="en-US" w:eastAsia="zh-CN"/>
        </w:rPr>
        <w:t xml:space="preserve">7048</w:t>
      </w:r>
      <w:r>
        <w:rPr>
          <w:rFonts w:ascii="Times New Roman" w:eastAsia="仿宋_GB2312" w:hAnsi="Times New Roman" w:cs="Times New Roman" w:hint="default"/>
          <w:color w:val="auto"/>
          <w:sz w:val="32"/>
          <w:szCs w:val="32"/>
          <w:highlight w:val="none"/>
          <w:lang w:val="en-US" w:eastAsia="zh-CN"/>
        </w:rPr>
        <w:t xml:space="preserve">万元，</w:t>
      </w:r>
      <w:r>
        <w:rPr>
          <w:rFonts w:eastAsia="仿宋_GB2312" w:cs="Times New Roman" w:hint="eastAsia"/>
          <w:color w:val="auto"/>
          <w:sz w:val="32"/>
          <w:szCs w:val="32"/>
          <w:highlight w:val="none"/>
          <w:lang w:val="en-US" w:eastAsia="zh-CN"/>
        </w:rPr>
        <w:t xml:space="preserve">全年预算数7048万元</w:t>
      </w:r>
      <w:r>
        <w:rPr>
          <w:rFonts w:ascii="Times New Roman" w:eastAsia="仿宋_GB2312" w:hAnsi="Times New Roman" w:cs="Times New Roman" w:hint="default"/>
          <w:color w:val="auto"/>
          <w:sz w:val="32"/>
          <w:szCs w:val="32"/>
          <w:highlight w:val="none"/>
          <w:lang w:val="en-US" w:eastAsia="zh-CN"/>
        </w:rPr>
        <w:t xml:space="preserve">，该项目资金已全部落实到位，资金来源为</w:t>
      </w:r>
      <w:r>
        <w:rPr>
          <w:rFonts w:ascii="Times New Roman" w:eastAsia="仿宋_GB2312" w:hAnsi="Times New Roman" w:cs="Times New Roman" w:hint="eastAsia"/>
          <w:color w:val="auto"/>
          <w:sz w:val="32"/>
          <w:szCs w:val="32"/>
          <w:highlight w:val="none"/>
          <w:lang w:val="en-US" w:eastAsia="zh-CN"/>
        </w:rPr>
        <w:t xml:space="preserve">其他资金</w:t>
      </w:r>
      <w:r>
        <w:rPr>
          <w:rFonts w:ascii="Times New Roman" w:eastAsia="仿宋_GB2312" w:hAnsi="Times New Roman" w:cs="Times New Roman" w:hint="default"/>
          <w:color w:val="auto"/>
          <w:sz w:val="32"/>
          <w:szCs w:val="32"/>
          <w:highlight w:val="none"/>
          <w:lang w:val="en-US" w:eastAsia="zh-CN"/>
        </w:rPr>
        <w:t xml:space="preserve">。</w:t>
      </w:r>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lang w:val="en-US" w:eastAsia="zh-CN"/>
        </w:rPr>
      </w:pPr>
      <w:bookmarkStart w:id="6" w:name="_Toc18197"/>
      <w:r>
        <w:rPr>
          <w:rFonts w:ascii="Times New Roman" w:eastAsia="仿宋_GB2312" w:hAnsi="Times New Roman" w:cs="Times New Roman" w:hint="default"/>
          <w:color w:val="auto"/>
          <w:sz w:val="32"/>
          <w:szCs w:val="32"/>
          <w:highlight w:val="none"/>
          <w:lang w:val="en-US" w:eastAsia="zh-CN"/>
        </w:rPr>
        <w:t xml:space="preserve">（2）资金使用情况</w:t>
      </w:r>
      <w:bookmarkEnd w:id="6"/>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截至</w:t>
      </w:r>
      <w:r>
        <w:rPr>
          <w:rFonts w:eastAsia="仿宋_GB2312" w:cs="Times New Roman" w:hint="eastAsia"/>
          <w:color w:val="auto"/>
          <w:sz w:val="32"/>
          <w:szCs w:val="32"/>
          <w:highlight w:val="none"/>
          <w:lang w:val="en-US" w:eastAsia="zh-CN"/>
        </w:rPr>
        <w:t xml:space="preserve">2025年12月31日</w:t>
      </w:r>
      <w:r>
        <w:rPr>
          <w:rFonts w:ascii="Times New Roman" w:eastAsia="仿宋_GB2312" w:hAnsi="Times New Roman" w:cs="Times New Roman" w:hint="default"/>
          <w:color w:val="auto"/>
          <w:sz w:val="32"/>
          <w:szCs w:val="32"/>
          <w:highlight w:val="none"/>
          <w:lang w:val="en-US" w:eastAsia="zh-CN"/>
        </w:rPr>
        <w:t xml:space="preserve">，该项目全年执行6999.36万元，预算执行率为</w:t>
      </w:r>
      <w:r>
        <w:rPr>
          <w:rFonts w:ascii="Times New Roman" w:eastAsia="仿宋_GB2312" w:hAnsi="Times New Roman" w:cs="Times New Roman" w:hint="eastAsia"/>
          <w:color w:val="auto"/>
          <w:sz w:val="32"/>
          <w:szCs w:val="32"/>
          <w:highlight w:val="none"/>
          <w:lang w:val="en-US" w:eastAsia="zh-CN"/>
        </w:rPr>
        <w:t xml:space="preserve">99.31</w:t>
      </w:r>
      <w:r>
        <w:rPr>
          <w:rFonts w:ascii="Times New Roman" w:eastAsia="仿宋_GB2312" w:hAnsi="Times New Roman" w:cs="Times New Roman" w:hint="default"/>
          <w:color w:val="auto"/>
          <w:sz w:val="32"/>
          <w:szCs w:val="32"/>
          <w:highlight w:val="none"/>
          <w:lang w:val="en-US" w:eastAsia="zh-CN"/>
        </w:rPr>
        <w:t xml:space="preserve">%，主要用于：机构日常运转公用经费、人员工资福利、流域灌溉供水保障及水利工程维修养护四大核心支出领域，全方位覆盖单位内部运转与水利公益履职全流程费用需求</w:t>
      </w:r>
      <w:r>
        <w:rPr>
          <w:rFonts w:eastAsia="仿宋_GB2312" w:cs="Times New Roman" w:hint="eastAsia"/>
          <w:color w:val="auto"/>
          <w:sz w:val="32"/>
          <w:szCs w:val="32"/>
          <w:highlight w:val="none"/>
          <w:lang w:val="en-US" w:eastAsia="zh-CN"/>
        </w:rPr>
        <w:t xml:space="preserve">。</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1"/>
        <w:rPr>
          <w:rFonts w:ascii="Times New Roman" w:eastAsia="楷体_GB2312" w:hAnsi="Times New Roman" w:cs="Times New Roman" w:hint="default"/>
          <w:b/>
          <w:bCs/>
          <w:color w:val="auto"/>
          <w:sz w:val="32"/>
          <w:szCs w:val="32"/>
          <w:highlight w:val="none"/>
        </w:rPr>
      </w:pPr>
      <w:bookmarkStart w:id="7" w:name="_Toc11655"/>
      <w:r>
        <w:rPr>
          <w:rFonts w:ascii="Times New Roman" w:eastAsia="楷体_GB2312" w:hAnsi="Times New Roman" w:cs="Times New Roman" w:hint="default"/>
          <w:b/>
          <w:bCs/>
          <w:color w:val="auto"/>
          <w:sz w:val="32"/>
          <w:szCs w:val="32"/>
          <w:highlight w:val="none"/>
        </w:rPr>
        <w:t xml:space="preserve">（二）项目绩效目标</w:t>
      </w:r>
      <w:bookmarkEnd w:id="7"/>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总体目标</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根据本单位机构改革方案和2025年维修养护项目实施方案及工作要求，本项目通过统筹推进人员经费保障、水费支付、公用经费补充以及水利工程维修养护等工作，达成以下具体绩效目标：</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1</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全</w:t>
      </w:r>
      <w:r>
        <w:rPr>
          <w:rFonts w:ascii="Times New Roman" w:eastAsia="仿宋_GB2312" w:hAnsi="Times New Roman" w:cs="Times New Roman" w:hint="default"/>
          <w:color w:val="auto"/>
          <w:sz w:val="32"/>
          <w:szCs w:val="32"/>
          <w:highlight w:val="none"/>
        </w:rPr>
        <w:t xml:space="preserve">年度完成12次人员工资福利发放，足额保障在职、退休及遗属人员工资福利发放，发放及时率不低于95%，以此激发岗位履职能力，确保水利日常管理与工程巡检等基础工作有序开展；</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2</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本年度完成不少于3次克孜尔水库管理中心农业灌溉水费支付，保障上游水利管理单位正常运转，水费支付及时率不低于95%，维护上下游灌溉供水持续稳定，助力流域农业灌溉供水需求得到有效保障；</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3</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完成不少于5项水利工程维修养护任务，委托业务数量不少于5次，水利工程维修养护项目招投标资金落实率不低于95%，借此消除工程运行安全隐患，提升水利设施防洪、灌溉服务能力；</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4</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合规列支差旅费、公务用车维护费等公用经费，支撑单位政务办公、业务对接工作高效推进，保障水利管理各项事务工作闭环落地。</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通过上述工作的系统实施，最终推动辖区水利工程公益服务功能持续优化、流域供水保障体系更加完善、单位内部运营管理规范化水平显著提升，实现水利防洪灌溉综合效益充分释放，民生保障工作落地见效。</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2</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阶段性目标</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eastAsia"/>
          <w:color w:val="auto"/>
          <w:sz w:val="32"/>
          <w:szCs w:val="32"/>
          <w:highlight w:val="none"/>
        </w:rPr>
        <w:t xml:space="preserve">阶段性目标围绕项目总体目标，按项目实施周期合理拆解，前期聚焦项目筹备与基础保障工作，完成方案细化、资源配置、前期调研等核心任务，确保项目具备实施条件；中期集中推进</w:t>
      </w:r>
      <w:r>
        <w:rPr>
          <w:rFonts w:eastAsia="仿宋_GB2312" w:cs="Times New Roman" w:hint="eastAsia"/>
          <w:color w:val="auto"/>
          <w:sz w:val="32"/>
          <w:szCs w:val="32"/>
          <w:highlight w:val="none"/>
          <w:lang w:val="en-US" w:eastAsia="zh-CN"/>
        </w:rPr>
        <w:t xml:space="preserve">人员待遇保障、农业水费缴纳、公用经费列支及水利工程维修养护</w:t>
      </w:r>
      <w:r>
        <w:rPr>
          <w:rFonts w:ascii="Times New Roman" w:eastAsia="仿宋_GB2312" w:hAnsi="Times New Roman" w:cs="Times New Roman" w:hint="eastAsia"/>
          <w:color w:val="auto"/>
          <w:sz w:val="32"/>
          <w:szCs w:val="32"/>
          <w:highlight w:val="none"/>
        </w:rPr>
        <w:t xml:space="preserve">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0"/>
        <w:rPr>
          <w:rFonts w:ascii="Times New Roman" w:eastAsia="黑体" w:hAnsi="Times New Roman" w:cs="Times New Roman" w:hint="default"/>
          <w:color w:val="auto"/>
          <w:sz w:val="32"/>
          <w:szCs w:val="32"/>
          <w:highlight w:val="none"/>
        </w:rPr>
      </w:pPr>
      <w:bookmarkStart w:id="8" w:name="_Toc25712"/>
      <w:r>
        <w:rPr>
          <w:rFonts w:ascii="Times New Roman" w:eastAsia="黑体" w:hAnsi="Times New Roman" w:cs="Times New Roman" w:hint="default"/>
          <w:color w:val="auto"/>
          <w:sz w:val="32"/>
          <w:szCs w:val="32"/>
          <w:highlight w:val="none"/>
        </w:rPr>
        <w:t xml:space="preserve">二、绩效评价工作开展情况</w:t>
      </w:r>
      <w:bookmarkEnd w:id="8"/>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1"/>
        <w:rPr>
          <w:rFonts w:ascii="Times New Roman" w:eastAsia="楷体_GB2312" w:hAnsi="Times New Roman" w:cs="Times New Roman" w:hint="default"/>
          <w:b/>
          <w:bCs/>
          <w:color w:val="auto"/>
          <w:sz w:val="32"/>
          <w:szCs w:val="32"/>
          <w:highlight w:val="none"/>
        </w:rPr>
      </w:pPr>
      <w:bookmarkStart w:id="9" w:name="_Toc20967"/>
      <w:r>
        <w:rPr>
          <w:rFonts w:ascii="Times New Roman" w:eastAsia="楷体_GB2312" w:hAnsi="Times New Roman" w:cs="Times New Roman" w:hint="default"/>
          <w:b/>
          <w:bCs/>
          <w:color w:val="auto"/>
          <w:sz w:val="32"/>
          <w:szCs w:val="32"/>
          <w:highlight w:val="none"/>
        </w:rPr>
        <w:t xml:space="preserve">（一）绩效评价目的、对象和范围</w:t>
      </w:r>
      <w:bookmarkEnd w:id="9"/>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bookmarkStart w:id="10" w:name="_Toc18967"/>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绩效评价的目的</w:t>
      </w:r>
      <w:bookmarkEnd w:id="10"/>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rPr>
      </w:pPr>
      <w:bookmarkStart w:id="11" w:name="_Toc17665"/>
      <w:r>
        <w:rPr>
          <w:rFonts w:ascii="Times New Roman" w:eastAsia="仿宋_GB2312" w:hAnsi="Times New Roman" w:cs="Times New Roman" w:hint="default"/>
          <w:color w:val="auto"/>
          <w:sz w:val="32"/>
          <w:szCs w:val="32"/>
          <w:highlight w:val="none"/>
        </w:rPr>
        <w:t xml:space="preserve">（1）评估项目实施效果</w:t>
      </w:r>
      <w:bookmarkEnd w:id="1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通过对项目预算执行情况及各项绩效目标达成程度的系统性分析，全面、客观地评估项目在预定周期内的实施效果，包括社会效益指标，为项目后续的改进与优化提供科学依据。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rPr>
      </w:pPr>
      <w:bookmarkStart w:id="12" w:name="_Toc1456"/>
      <w:r>
        <w:rPr>
          <w:rFonts w:ascii="Times New Roman" w:eastAsia="仿宋_GB2312" w:hAnsi="Times New Roman" w:cs="Times New Roman" w:hint="default"/>
          <w:color w:val="auto"/>
          <w:sz w:val="32"/>
          <w:szCs w:val="32"/>
          <w:highlight w:val="none"/>
        </w:rPr>
        <w:t xml:space="preserve">（2）提升资源利用效率</w:t>
      </w:r>
      <w:bookmarkEnd w:id="1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rPr>
      </w:pPr>
      <w:bookmarkStart w:id="13" w:name="_Toc7051"/>
      <w:r>
        <w:rPr>
          <w:rFonts w:ascii="Times New Roman" w:eastAsia="仿宋_GB2312" w:hAnsi="Times New Roman" w:cs="Times New Roman" w:hint="default"/>
          <w:color w:val="auto"/>
          <w:sz w:val="32"/>
          <w:szCs w:val="32"/>
          <w:highlight w:val="none"/>
        </w:rPr>
        <w:t xml:space="preserve">（3）强化项目管理责任</w:t>
      </w:r>
      <w:bookmarkEnd w:id="13"/>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rPr>
      </w:pPr>
      <w:bookmarkStart w:id="14" w:name="_Toc19891"/>
      <w:r>
        <w:rPr>
          <w:rFonts w:ascii="Times New Roman" w:eastAsia="仿宋_GB2312" w:hAnsi="Times New Roman" w:cs="Times New Roman" w:hint="default"/>
          <w:color w:val="auto"/>
          <w:sz w:val="32"/>
          <w:szCs w:val="32"/>
          <w:highlight w:val="none"/>
        </w:rPr>
        <w:t xml:space="preserve">（4）为决策提供支持</w:t>
      </w:r>
      <w:bookmarkEnd w:id="14"/>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rPr>
      </w:pPr>
      <w:bookmarkStart w:id="15" w:name="_Toc10690"/>
      <w:r>
        <w:rPr>
          <w:rFonts w:ascii="Times New Roman" w:eastAsia="仿宋_GB2312" w:hAnsi="Times New Roman" w:cs="Times New Roman" w:hint="default"/>
          <w:color w:val="auto"/>
          <w:sz w:val="32"/>
          <w:szCs w:val="32"/>
          <w:highlight w:val="none"/>
        </w:rPr>
        <w:t xml:space="preserve">（5）促进项目持续改进</w:t>
      </w:r>
      <w:bookmarkEnd w:id="15"/>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方正仿宋_GBK"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16" w:name="_Toc5355"/>
      <w:r>
        <w:rPr>
          <w:rFonts w:ascii="Times New Roman" w:eastAsia="仿宋_GB2312" w:hAnsi="Times New Roman" w:cs="Times New Roman" w:hint="eastAsia"/>
          <w:b w:val="0"/>
          <w:bCs w:val="0"/>
          <w:color w:val="auto"/>
          <w:highlight w:val="none"/>
          <w:lang w:val="en-US" w:eastAsia="zh-CN"/>
        </w:rPr>
        <w:t xml:space="preserve">2</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绩效评价的对象</w:t>
      </w:r>
      <w:bookmarkEnd w:id="16"/>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本项目预算绩效评价报告的评价对象是2025年自治区水利发展资金专</w:t>
      </w:r>
      <w:r>
        <w:rPr>
          <w:rFonts w:ascii="Times New Roman" w:eastAsia="仿宋_GB2312" w:hAnsi="Times New Roman" w:cs="Times New Roman" w:hint="default"/>
          <w:b w:val="0"/>
          <w:bCs w:val="0"/>
          <w:color w:val="auto"/>
          <w:highlight w:val="none"/>
          <w:lang w:eastAsia="zh-CN"/>
        </w:rPr>
        <w:t xml:space="preserve">项</w:t>
      </w:r>
      <w:r>
        <w:rPr>
          <w:rFonts w:ascii="Times New Roman" w:eastAsia="仿宋_GB2312" w:hAnsi="Times New Roman" w:cs="Times New Roman" w:hint="default"/>
          <w:b w:val="0"/>
          <w:bCs w:val="0"/>
          <w:color w:val="auto"/>
          <w:highlight w:val="none"/>
        </w:rPr>
        <w:t xml:space="preserve">（经营成本性项目）及其预算执行情况。该项目由新疆维吾尔自治区塔里木河流域渭干河水利管理中心负责实施，旨在统筹保障机构改革后单位日常运转、人员工资福利发放、上游农业灌溉水费缴纳及水利工程维修养护等核心工作，稳定水利管理队伍，保障流域灌溉供水持续稳定，消除水利工程安全隐患，提升水利防洪灌溉服务能力，实现水利公益效益与民生保障目标。项目预算涵盖从</w:t>
      </w:r>
      <w:r>
        <w:rPr>
          <w:rFonts w:ascii="Times New Roman" w:eastAsia="仿宋_GB2312" w:hAnsi="Times New Roman" w:cs="Times New Roman" w:hint="eastAsia"/>
          <w:b w:val="0"/>
          <w:bCs w:val="0"/>
          <w:color w:val="auto"/>
          <w:highlight w:val="none"/>
          <w:lang w:val="en-US" w:eastAsia="zh-CN"/>
        </w:rPr>
        <w:t xml:space="preserve">2025年1月1日</w:t>
      </w:r>
      <w:r>
        <w:rPr>
          <w:rFonts w:ascii="Times New Roman" w:eastAsia="仿宋_GB2312" w:hAnsi="Times New Roman" w:cs="Times New Roman" w:hint="default"/>
          <w:b w:val="0"/>
          <w:bCs w:val="0"/>
          <w:color w:val="auto"/>
          <w:highlight w:val="none"/>
        </w:rPr>
        <w:t xml:space="preserve">至</w:t>
      </w:r>
      <w:r>
        <w:rPr>
          <w:rFonts w:ascii="Times New Roman" w:eastAsia="仿宋_GB2312" w:hAnsi="Times New Roman" w:cs="Times New Roman" w:hint="eastAsia"/>
          <w:b w:val="0"/>
          <w:bCs w:val="0"/>
          <w:color w:val="auto"/>
          <w:highlight w:val="none"/>
          <w:lang w:val="en-US" w:eastAsia="zh-CN"/>
        </w:rPr>
        <w:t xml:space="preserve">2025年12月31日</w:t>
      </w:r>
      <w:r>
        <w:rPr>
          <w:rFonts w:ascii="Times New Roman" w:eastAsia="仿宋_GB2312" w:hAnsi="Times New Roman" w:cs="Times New Roman" w:hint="default"/>
          <w:b w:val="0"/>
          <w:bCs w:val="0"/>
          <w:color w:val="auto"/>
          <w:highlight w:val="none"/>
        </w:rPr>
        <w:t xml:space="preserve">的全部资金投入与支出，涉及资金总额为</w:t>
      </w:r>
      <w:r>
        <w:rPr>
          <w:rFonts w:ascii="Times New Roman" w:eastAsia="仿宋_GB2312" w:hAnsi="Times New Roman" w:cs="Times New Roman" w:hint="eastAsia"/>
          <w:b w:val="0"/>
          <w:bCs w:val="0"/>
          <w:color w:val="auto"/>
          <w:highlight w:val="none"/>
          <w:lang w:val="en-US" w:eastAsia="zh-CN"/>
        </w:rPr>
        <w:t xml:space="preserve">7048</w:t>
      </w:r>
      <w:r>
        <w:rPr>
          <w:rFonts w:ascii="Times New Roman" w:eastAsia="仿宋_GB2312" w:hAnsi="Times New Roman" w:cs="Times New Roman" w:hint="default"/>
          <w:b w:val="0"/>
          <w:bCs w:val="0"/>
          <w:color w:val="auto"/>
          <w:highlight w:val="none"/>
          <w:lang w:val="en-US" w:eastAsia="zh-CN"/>
        </w:rPr>
        <w:t xml:space="preserve">万</w:t>
      </w:r>
      <w:r>
        <w:rPr>
          <w:rFonts w:ascii="Times New Roman" w:eastAsia="仿宋_GB2312" w:hAnsi="Times New Roman" w:cs="Times New Roman" w:hint="default"/>
          <w:b w:val="0"/>
          <w:bCs w:val="0"/>
          <w:color w:val="auto"/>
          <w:highlight w:val="none"/>
        </w:rPr>
        <w:t xml:space="preserve">元。</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17" w:name="_Toc4258"/>
      <w:r>
        <w:rPr>
          <w:rFonts w:ascii="Times New Roman" w:eastAsia="仿宋_GB2312" w:hAnsi="Times New Roman" w:cs="Times New Roman" w:hint="eastAsia"/>
          <w:b w:val="0"/>
          <w:bCs w:val="0"/>
          <w:color w:val="auto"/>
          <w:highlight w:val="none"/>
          <w:lang w:val="en-US" w:eastAsia="zh-CN"/>
        </w:rPr>
        <w:t xml:space="preserve">3</w:t>
      </w:r>
      <w:r>
        <w:rPr>
          <w:rFonts w:ascii="Times New Roman" w:eastAsia="仿宋_GB2312" w:hAnsi="Times New Roman" w:cs="Times New Roman" w:hint="default"/>
          <w:b w:val="0"/>
          <w:bCs w:val="0"/>
          <w:color w:val="auto"/>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绩效评价的范围</w:t>
      </w:r>
      <w:bookmarkEnd w:id="17"/>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eastAsia"/>
          <w:b w:val="0"/>
          <w:bCs w:val="0"/>
          <w:color w:val="auto"/>
          <w:highlight w:val="none"/>
          <w:lang w:val="en-US" w:eastAsia="zh-CN"/>
        </w:rPr>
        <w:t xml:space="preserve">（1）</w:t>
      </w: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2</w:t>
      </w: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3</w:t>
      </w: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4</w:t>
      </w: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社会影响：考察项目对社会的综合影响。</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1"/>
        <w:rPr>
          <w:rFonts w:ascii="Times New Roman" w:hAnsi="Times New Roman" w:cs="Times New Roman" w:hint="default"/>
          <w:color w:val="auto"/>
          <w:highlight w:val="none"/>
        </w:rPr>
      </w:pPr>
      <w:bookmarkStart w:id="18" w:name="_Toc29785"/>
      <w:r>
        <w:rPr>
          <w:rFonts w:ascii="Times New Roman" w:eastAsia="楷体_GB2312" w:hAnsi="Times New Roman" w:cs="Times New Roman" w:hint="default"/>
          <w:b/>
          <w:bCs/>
          <w:color w:val="auto"/>
          <w:sz w:val="32"/>
          <w:szCs w:val="32"/>
          <w:highlight w:val="none"/>
        </w:rPr>
        <w:t xml:space="preserve">（二）绩效评价原则、评价指标体系（详情见表1）、评价方法、评价标准。</w:t>
      </w:r>
      <w:bookmarkEnd w:id="18"/>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19" w:name="_Toc22859"/>
      <w:r>
        <w:rPr>
          <w:rFonts w:ascii="Times New Roman" w:eastAsia="仿宋_GB2312" w:hAnsi="Times New Roman" w:cs="Times New Roman" w:hint="default"/>
          <w:b w:val="0"/>
          <w:bCs w:val="0"/>
          <w:color w:val="auto"/>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绩效评价原则</w:t>
      </w:r>
      <w:bookmarkEnd w:id="19"/>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本次项目绩效评价遵循以下基本原则：</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20" w:name="_Toc31775"/>
      <w:r>
        <w:rPr>
          <w:rFonts w:ascii="Times New Roman" w:eastAsia="仿宋_GB2312" w:hAnsi="Times New Roman" w:cs="Times New Roman" w:hint="default"/>
          <w:b w:val="0"/>
          <w:bCs w:val="0"/>
          <w:color w:val="auto"/>
          <w:highlight w:val="none"/>
        </w:rPr>
        <w:t xml:space="preserve">2</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评价指标体系</w:t>
      </w:r>
      <w:bookmarkEnd w:id="20"/>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pacing w:val="17"/>
          <w:sz w:val="32"/>
          <w:szCs w:val="32"/>
          <w:highlight w:val="none"/>
        </w:rPr>
      </w:pPr>
      <w:bookmarkStart w:id="21" w:name="_Toc22746"/>
      <w:r>
        <w:rPr>
          <w:rFonts w:ascii="Times New Roman" w:eastAsia="仿宋_GB2312" w:hAnsi="Times New Roman" w:cs="Times New Roman" w:hint="default"/>
          <w:color w:val="auto"/>
          <w:spacing w:val="17"/>
          <w:sz w:val="32"/>
          <w:szCs w:val="32"/>
          <w:highlight w:val="none"/>
        </w:rPr>
        <w:t xml:space="preserve">（1）确定评价指标</w:t>
      </w:r>
      <w:bookmarkEnd w:id="21"/>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pacing w:val="17"/>
          <w:sz w:val="32"/>
          <w:szCs w:val="32"/>
          <w:highlight w:val="none"/>
        </w:rPr>
      </w:pPr>
      <w:bookmarkStart w:id="22" w:name="_Toc1142"/>
      <w:r>
        <w:rPr>
          <w:rFonts w:ascii="Times New Roman" w:eastAsia="仿宋_GB2312" w:hAnsi="Times New Roman" w:cs="Times New Roman" w:hint="default"/>
          <w:color w:val="auto"/>
          <w:spacing w:val="17"/>
          <w:sz w:val="32"/>
          <w:szCs w:val="32"/>
          <w:highlight w:val="none"/>
        </w:rPr>
        <w:t xml:space="preserve">（2）确定权重</w:t>
      </w:r>
      <w:bookmarkEnd w:id="22"/>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pacing w:val="17"/>
          <w:sz w:val="32"/>
          <w:szCs w:val="32"/>
          <w:highlight w:val="none"/>
          <w:lang w:eastAsia="zh-CN"/>
        </w:rPr>
      </w:pPr>
      <w:r>
        <w:rPr>
          <w:rFonts w:ascii="Times New Roman" w:eastAsia="仿宋_GB2312" w:hAnsi="Times New Roman" w:cs="Times New Roman" w:hint="default"/>
          <w:color w:val="auto"/>
          <w:spacing w:val="17"/>
          <w:sz w:val="32"/>
          <w:szCs w:val="32"/>
          <w:highlight w:val="none"/>
        </w:rPr>
        <w:t xml:space="preserve">确定各个指标相对于项目总体绩效的权重分值。在绩效评价指标体系中，项目决策权重为20分，项目过程权重为20分，项目产出权重为40分，项目效益权重为20分。</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pacing w:val="17"/>
          <w:sz w:val="32"/>
          <w:szCs w:val="32"/>
          <w:highlight w:val="none"/>
        </w:rPr>
      </w:pPr>
      <w:bookmarkStart w:id="23" w:name="_Toc18406"/>
      <w:r>
        <w:rPr>
          <w:rFonts w:ascii="Times New Roman" w:eastAsia="仿宋_GB2312" w:hAnsi="Times New Roman" w:cs="Times New Roman" w:hint="default"/>
          <w:color w:val="auto"/>
          <w:spacing w:val="17"/>
          <w:sz w:val="32"/>
          <w:szCs w:val="32"/>
          <w:highlight w:val="none"/>
        </w:rPr>
        <w:t xml:space="preserve">（3）确定指标标准值</w:t>
      </w:r>
      <w:bookmarkEnd w:id="23"/>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spacing w:val="17"/>
          <w:highlight w:val="none"/>
        </w:rPr>
      </w:pPr>
      <w:r>
        <w:rPr>
          <w:rFonts w:ascii="Times New Roman" w:eastAsia="仿宋_GB2312" w:hAnsi="Times New Roman" w:cs="Times New Roman" w:hint="default"/>
          <w:b w:val="0"/>
          <w:bCs w:val="0"/>
          <w:color w:val="auto"/>
          <w:spacing w:val="17"/>
          <w:highlight w:val="none"/>
        </w:rPr>
        <w:t xml:space="preserve">具体评价指标体系详情见附件1</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24" w:name="_Toc18365"/>
      <w:r>
        <w:rPr>
          <w:rFonts w:ascii="Times New Roman" w:eastAsia="仿宋_GB2312" w:hAnsi="Times New Roman" w:cs="Times New Roman" w:hint="default"/>
          <w:b w:val="0"/>
          <w:bCs w:val="0"/>
          <w:color w:val="auto"/>
          <w:highlight w:val="none"/>
        </w:rPr>
        <w:t xml:space="preserve">3</w:t>
      </w:r>
      <w:r>
        <w:rPr>
          <w:rFonts w:ascii="Times New Roman" w:eastAsia="仿宋_GB2312" w:hAnsi="Times New Roman" w:cs="Times New Roman" w:hint="default"/>
          <w:b w:val="0"/>
          <w:bCs w:val="0"/>
          <w:color w:val="auto"/>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绩效评价方法</w:t>
      </w:r>
      <w:bookmarkEnd w:id="24"/>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spacing w:val="17"/>
          <w:kern w:val="2"/>
          <w:sz w:val="32"/>
          <w:szCs w:val="32"/>
          <w:highlight w:val="none"/>
          <w:lang w:val="en-US" w:eastAsia="zh-CN" w:bidi="ar-SA"/>
        </w:rPr>
      </w:pPr>
      <w:r>
        <w:rPr>
          <w:rFonts w:ascii="Times New Roman" w:eastAsia="仿宋_GB2312" w:hAnsi="Times New Roman" w:cs="Times New Roman" w:hint="default"/>
          <w:b w:val="0"/>
          <w:bCs w:val="0"/>
          <w:color w:val="auto"/>
          <w:highlight w:val="none"/>
        </w:rPr>
        <w:t xml:space="preserve">本次绩效评价围绕2025年自治区水利发展资金专项（经营成本性项目）的实施特点</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以预</w:t>
      </w:r>
      <w:r>
        <w:rPr>
          <w:rFonts w:ascii="Times New Roman" w:eastAsia="仿宋_GB2312" w:hAnsi="Times New Roman" w:cs="Times New Roman" w:hint="default"/>
          <w:b w:val="0"/>
          <w:bCs w:val="0"/>
          <w:color w:val="auto"/>
          <w:spacing w:val="17"/>
          <w:kern w:val="2"/>
          <w:sz w:val="32"/>
          <w:szCs w:val="32"/>
          <w:highlight w:val="none"/>
          <w:lang w:val="en-US" w:eastAsia="zh-CN" w:bidi="ar-SA"/>
        </w:rPr>
        <w:t xml:space="preserve">算执行、资金安全、任务落地、民生保障、水利公益效益为核心导向，既有定性指标又有定量指标，各类指标因考核内容不同和客观标准不同存在较大差异，因此核定具体指标时采用了不同方法，科学选用了成本效益分析法、比较法</w:t>
      </w:r>
      <w:r>
        <w:rPr>
          <w:rFonts w:ascii="Times New Roman" w:eastAsia="仿宋_GB2312" w:hAnsi="Times New Roman" w:cs="Times New Roman" w:hint="eastAsia"/>
          <w:b w:val="0"/>
          <w:bCs w:val="0"/>
          <w:color w:val="auto"/>
          <w:spacing w:val="17"/>
          <w:kern w:val="2"/>
          <w:sz w:val="32"/>
          <w:szCs w:val="32"/>
          <w:highlight w:val="none"/>
          <w:lang w:val="en-US" w:eastAsia="zh-CN" w:bidi="ar-SA"/>
        </w:rPr>
        <w:t xml:space="preserve">两</w:t>
      </w:r>
      <w:r>
        <w:rPr>
          <w:rFonts w:ascii="Times New Roman" w:eastAsia="仿宋_GB2312" w:hAnsi="Times New Roman" w:cs="Times New Roman" w:hint="default"/>
          <w:b w:val="0"/>
          <w:bCs w:val="0"/>
          <w:color w:val="auto"/>
          <w:spacing w:val="17"/>
          <w:kern w:val="2"/>
          <w:sz w:val="32"/>
          <w:szCs w:val="32"/>
          <w:highlight w:val="none"/>
          <w:lang w:val="en-US" w:eastAsia="zh-CN" w:bidi="ar-SA"/>
        </w:rPr>
        <w:t xml:space="preserve">种最贴合本项目实际的评价方法，确保评价客观、精准、可落地。各类方法的具体运用及选用理由如下：</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color w:val="auto"/>
          <w:spacing w:val="17"/>
          <w:sz w:val="32"/>
          <w:szCs w:val="32"/>
          <w:highlight w:val="none"/>
        </w:rPr>
        <w:t xml:space="preserve">（</w:t>
      </w:r>
      <w:r>
        <w:rPr>
          <w:rFonts w:ascii="Times New Roman" w:eastAsia="仿宋_GB2312" w:hAnsi="Times New Roman" w:cs="Times New Roman" w:hint="default"/>
          <w:color w:val="auto"/>
          <w:spacing w:val="17"/>
          <w:sz w:val="32"/>
          <w:szCs w:val="32"/>
          <w:highlight w:val="none"/>
          <w:lang w:val="en-US" w:eastAsia="zh-CN"/>
        </w:rPr>
        <w:t xml:space="preserve">1</w:t>
      </w:r>
      <w:r>
        <w:rPr>
          <w:rFonts w:ascii="Times New Roman" w:eastAsia="仿宋_GB2312" w:hAnsi="Times New Roman" w:cs="Times New Roman" w:hint="default"/>
          <w:color w:val="auto"/>
          <w:spacing w:val="17"/>
          <w:sz w:val="32"/>
          <w:szCs w:val="32"/>
          <w:highlight w:val="none"/>
        </w:rPr>
        <w:t xml:space="preserve">）成本效益分析法。</w:t>
      </w:r>
      <w:r>
        <w:rPr>
          <w:rFonts w:ascii="Times New Roman" w:eastAsia="仿宋_GB2312" w:hAnsi="Times New Roman" w:cs="Times New Roman" w:hint="default"/>
          <w:b w:val="0"/>
          <w:bCs w:val="0"/>
          <w:color w:val="auto"/>
          <w:highlight w:val="none"/>
        </w:rPr>
        <w:t xml:space="preserve">将项目全年资金投入7048万元与人员经费保障、灌溉水费缴纳、水利工程维修养护、机构日常运转四大产出进行投入产出对比分析，重点核算预算执行率、成本节约率、资金使用合规性，全面衡量财政资金使用效率与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bCs/>
          <w:color w:val="auto"/>
          <w:highlight w:val="none"/>
        </w:rPr>
        <w:t xml:space="preserve">选用理由：</w:t>
      </w:r>
      <w:r>
        <w:rPr>
          <w:rFonts w:ascii="Times New Roman" w:eastAsia="仿宋_GB2312" w:hAnsi="Times New Roman" w:cs="Times New Roman" w:hint="default"/>
          <w:b w:val="0"/>
          <w:bCs w:val="0"/>
          <w:color w:val="auto"/>
          <w:highlight w:val="none"/>
        </w:rPr>
        <w:t xml:space="preserve">本项目为经营成本性保障项目，资金全部用于刚性支出与公益履职，核心目标是“保运转、保供水、保安全、保稳定”，必须通过投入与效益的关联分析，客观反映资金使用效率，符合水利行业专项资金“专款专用、注重实效”的管理要求。</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color w:val="auto"/>
          <w:spacing w:val="17"/>
          <w:sz w:val="32"/>
          <w:szCs w:val="32"/>
          <w:highlight w:val="none"/>
        </w:rPr>
        <w:t xml:space="preserve">（</w:t>
      </w:r>
      <w:r>
        <w:rPr>
          <w:rFonts w:ascii="Times New Roman" w:eastAsia="仿宋_GB2312" w:hAnsi="Times New Roman" w:cs="Times New Roman" w:hint="default"/>
          <w:color w:val="auto"/>
          <w:spacing w:val="17"/>
          <w:sz w:val="32"/>
          <w:szCs w:val="32"/>
          <w:highlight w:val="none"/>
          <w:lang w:val="en-US" w:eastAsia="zh-CN"/>
        </w:rPr>
        <w:t xml:space="preserve">2</w:t>
      </w:r>
      <w:r>
        <w:rPr>
          <w:rFonts w:ascii="Times New Roman" w:eastAsia="仿宋_GB2312" w:hAnsi="Times New Roman" w:cs="Times New Roman" w:hint="default"/>
          <w:color w:val="auto"/>
          <w:spacing w:val="17"/>
          <w:sz w:val="32"/>
          <w:szCs w:val="32"/>
          <w:highlight w:val="none"/>
        </w:rPr>
        <w:t xml:space="preserve">）比较法。</w:t>
      </w:r>
      <w:r>
        <w:rPr>
          <w:rFonts w:ascii="Times New Roman" w:eastAsia="仿宋_GB2312" w:hAnsi="Times New Roman" w:cs="Times New Roman" w:hint="default"/>
          <w:b w:val="0"/>
          <w:bCs w:val="0"/>
          <w:color w:val="auto"/>
          <w:highlight w:val="none"/>
        </w:rPr>
        <w:t xml:space="preserve">将工资发放次数、水费支付次数、工程维修养护数量、委托业务次数等实际完成情况，与年初设定的绩效目标值、计划任务数、预算控制数进行逐项对比，量化计算指标完成率，判断目标达成程度。</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bCs/>
          <w:color w:val="auto"/>
          <w:highlight w:val="none"/>
        </w:rPr>
        <w:t xml:space="preserve">选用理由：</w:t>
      </w:r>
      <w:r>
        <w:rPr>
          <w:rFonts w:ascii="Times New Roman" w:eastAsia="仿宋_GB2312" w:hAnsi="Times New Roman" w:cs="Times New Roman" w:hint="default"/>
          <w:b w:val="0"/>
          <w:bCs w:val="0"/>
          <w:color w:val="auto"/>
          <w:highlight w:val="none"/>
        </w:rPr>
        <w:t xml:space="preserve">本项目绩效目标全部量化、指标清晰、可考核性强，通过“目标值—实际值”对比能够直观、准确反映各项任务是否按时保质完成，契合水利运维类项目“结果导向、目标刚性、过程可控”的评价逻辑。</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25" w:name="_Toc21230"/>
      <w:r>
        <w:rPr>
          <w:rFonts w:ascii="Times New Roman" w:eastAsia="仿宋_GB2312" w:hAnsi="Times New Roman" w:cs="Times New Roman" w:hint="default"/>
          <w:b w:val="0"/>
          <w:bCs w:val="0"/>
          <w:color w:val="auto"/>
          <w:highlight w:val="none"/>
        </w:rPr>
        <w:t xml:space="preserve">4</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评价标准</w:t>
      </w:r>
      <w:bookmarkEnd w:id="25"/>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绩效评价标准通常包括计划标准、行业标准、历史标准等，用于对绩效指标完成情况进行比较、分析、评价。</w:t>
      </w:r>
      <w:r>
        <w:rPr>
          <w:rFonts w:ascii="Times New Roman" w:eastAsia="仿宋_GB2312" w:hAnsi="Times New Roman" w:cs="Times New Roman" w:hint="eastAsia"/>
          <w:b w:val="0"/>
          <w:bCs w:val="0"/>
          <w:color w:val="auto"/>
          <w:highlight w:val="none"/>
          <w:lang w:eastAsia="zh-CN"/>
        </w:rPr>
        <w:t xml:space="preserve">具体绩效评价标准解释如下：</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1</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计划标准。指以预先制定的目标、计划、预算、定额等作为评价标准。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2</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行业标准。指参照国家公布的行业指标数据制定的评价标准。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3</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历史标准。指参照历史数据制定的评价标准，为体现绩效改进的原则，在可实现的条件下应当确定相对较高的评价标准。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4</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财政部门和预算部门确认或认可的其他标准。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color w:val="auto"/>
          <w:highlight w:val="none"/>
        </w:rPr>
      </w:pPr>
      <w:r>
        <w:rPr>
          <w:rFonts w:ascii="Times New Roman" w:eastAsia="仿宋_GB2312" w:hAnsi="Times New Roman" w:cs="Times New Roman" w:hint="eastAsia"/>
          <w:b w:val="0"/>
          <w:bCs w:val="0"/>
          <w:color w:val="auto"/>
          <w:highlight w:val="none"/>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default"/>
          <w:color w:val="auto"/>
          <w:spacing w:val="17"/>
          <w:highlight w:val="none"/>
        </w:rPr>
      </w:pPr>
      <w:bookmarkStart w:id="26" w:name="_Toc5544"/>
      <w:r>
        <w:rPr>
          <w:rFonts w:ascii="Times New Roman" w:eastAsia="楷体" w:hAnsi="Times New Roman" w:cs="Times New Roman" w:hint="eastAsia"/>
          <w:color w:val="auto"/>
          <w:spacing w:val="17"/>
          <w:highlight w:val="none"/>
          <w:lang w:eastAsia="zh-CN"/>
        </w:rPr>
        <w:t xml:space="preserve">（</w:t>
      </w:r>
      <w:r>
        <w:rPr>
          <w:rFonts w:ascii="Times New Roman" w:eastAsia="楷体" w:hAnsi="Times New Roman" w:cs="Times New Roman" w:hint="eastAsia"/>
          <w:color w:val="auto"/>
          <w:spacing w:val="17"/>
          <w:highlight w:val="none"/>
          <w:lang w:val="en-US" w:eastAsia="zh-CN"/>
        </w:rPr>
        <w:t xml:space="preserve">三</w:t>
      </w:r>
      <w:r>
        <w:rPr>
          <w:rFonts w:ascii="Times New Roman" w:eastAsia="楷体" w:hAnsi="Times New Roman" w:cs="Times New Roman" w:hint="eastAsia"/>
          <w:color w:val="auto"/>
          <w:spacing w:val="17"/>
          <w:highlight w:val="none"/>
          <w:lang w:eastAsia="zh-CN"/>
        </w:rPr>
        <w:t xml:space="preserve">）</w:t>
      </w:r>
      <w:r>
        <w:rPr>
          <w:rFonts w:ascii="Times New Roman" w:eastAsia="楷体" w:hAnsi="Times New Roman" w:cs="Times New Roman" w:hint="default"/>
          <w:color w:val="auto"/>
          <w:spacing w:val="17"/>
          <w:highlight w:val="none"/>
        </w:rPr>
        <w:t xml:space="preserve">绩效评价工作过程</w:t>
      </w:r>
      <w:bookmarkEnd w:id="26"/>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bookmarkStart w:id="27" w:name="_Toc21316"/>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rPr>
        <w:t xml:space="preserve">前期准备与规划</w:t>
      </w:r>
      <w:bookmarkEnd w:id="27"/>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w:t>
      </w:r>
      <w:r>
        <w:rPr>
          <w:rFonts w:eastAsia="仿宋_GB2312" w:cs="Times New Roman" w:hint="eastAsia"/>
          <w:color w:val="auto"/>
          <w:sz w:val="32"/>
          <w:szCs w:val="32"/>
          <w:highlight w:val="none"/>
          <w:lang w:val="en-US" w:eastAsia="zh-CN"/>
        </w:rPr>
        <w:t xml:space="preserve">成员</w:t>
      </w:r>
      <w:r>
        <w:rPr>
          <w:rFonts w:ascii="Times New Roman" w:eastAsia="仿宋_GB2312" w:hAnsi="Times New Roman" w:cs="Times New Roman" w:hint="default"/>
          <w:color w:val="auto"/>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lang w:eastAsia="zh-CN"/>
        </w:rPr>
      </w:pPr>
      <w:bookmarkStart w:id="28" w:name="_Toc12550"/>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bookmarkEnd w:id="28"/>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lang w:eastAsia="zh-CN"/>
        </w:rPr>
      </w:pPr>
      <w:bookmarkStart w:id="29" w:name="_Toc7217"/>
      <w:r>
        <w:rPr>
          <w:rFonts w:eastAsia="仿宋_GB2312" w:cs="Times New Roman" w:hint="eastAsia"/>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bookmarkEnd w:id="29"/>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lang w:eastAsia="zh-CN"/>
        </w:rPr>
      </w:pPr>
      <w:bookmarkStart w:id="30" w:name="_Toc13512"/>
      <w:r>
        <w:rPr>
          <w:rFonts w:eastAsia="仿宋_GB2312" w:cs="Times New Roman" w:hint="eastAsia"/>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bookmarkEnd w:id="30"/>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lang w:eastAsia="zh-CN"/>
        </w:rPr>
      </w:pPr>
      <w:bookmarkStart w:id="31" w:name="_Toc26222"/>
      <w:r>
        <w:rPr>
          <w:rFonts w:eastAsia="仿宋_GB2312" w:cs="Times New Roman" w:hint="eastAsia"/>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bookmarkEnd w:id="3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lang w:eastAsia="zh-CN"/>
        </w:rPr>
      </w:pPr>
      <w:bookmarkStart w:id="32" w:name="_Toc554"/>
      <w:r>
        <w:rPr>
          <w:rFonts w:eastAsia="仿宋_GB2312" w:cs="Times New Roman" w:hint="eastAsia"/>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bookmarkEnd w:id="3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outlineLvl w:val="0"/>
        <w:rPr>
          <w:rFonts w:ascii="Times New Roman" w:eastAsia="黑体" w:hAnsi="Times New Roman" w:cs="Times New Roman" w:hint="default"/>
          <w:color w:val="auto"/>
          <w:sz w:val="32"/>
          <w:szCs w:val="32"/>
          <w:highlight w:val="none"/>
        </w:rPr>
      </w:pPr>
      <w:bookmarkStart w:id="33" w:name="_Toc29729"/>
      <w:r>
        <w:rPr>
          <w:rFonts w:eastAsia="黑体" w:cs="Times New Roman" w:hint="eastAsia"/>
          <w:color w:val="auto"/>
          <w:sz w:val="32"/>
          <w:szCs w:val="32"/>
          <w:highlight w:val="none"/>
          <w:lang w:val="en-US" w:eastAsia="zh-CN"/>
        </w:rPr>
        <w:t xml:space="preserve">三、</w:t>
      </w:r>
      <w:r>
        <w:rPr>
          <w:rFonts w:ascii="Times New Roman" w:eastAsia="黑体" w:hAnsi="Times New Roman" w:cs="Times New Roman" w:hint="default"/>
          <w:color w:val="auto"/>
          <w:sz w:val="32"/>
          <w:szCs w:val="32"/>
          <w:highlight w:val="none"/>
        </w:rPr>
        <w:t xml:space="preserve">综合评价情况及评价结论（附相关评分表）</w:t>
      </w:r>
      <w:bookmarkEnd w:id="33"/>
    </w:p>
    <w:p>
      <w:pPr>
        <w:pStyle w:val="Title"/>
        <w:keepNext w:val="0"/>
        <w:keepLines w:val="0"/>
        <w:pageBreakBefore w:val="0"/>
        <w:widowControl/>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color w:val="auto"/>
          <w:highlight w:val="none"/>
          <w:lang w:val="en-US" w:eastAsia="zh-CN"/>
        </w:rPr>
      </w:pPr>
      <w:bookmarkStart w:id="34" w:name="_Toc2344"/>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一</w:t>
      </w: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评价情况</w:t>
      </w:r>
      <w:bookmarkEnd w:id="34"/>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jc w:val="both"/>
        <w:textAlignment w:val="auto"/>
        <w:rPr>
          <w:rFonts w:ascii="Times New Roman" w:hAnsi="Times New Roman" w:cs="Times New Roman" w:hint="default"/>
          <w:color w:val="auto"/>
          <w:highlight w:val="none"/>
        </w:rPr>
      </w:pPr>
      <w:r>
        <w:rPr>
          <w:rFonts w:ascii="Times New Roman" w:eastAsia="仿宋_GB2312" w:hAnsi="Times New Roman" w:cs="Times New Roman" w:hint="default"/>
          <w:color w:val="auto"/>
          <w:sz w:val="32"/>
          <w:szCs w:val="32"/>
          <w:highlight w:val="none"/>
        </w:rPr>
        <w:t xml:space="preserve">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如：</w:t>
      </w:r>
      <w:r>
        <w:rPr>
          <w:rFonts w:eastAsia="仿宋_GB2312" w:cs="Times New Roman" w:hint="eastAsia"/>
          <w:color w:val="auto"/>
          <w:sz w:val="32"/>
          <w:szCs w:val="32"/>
          <w:highlight w:val="none"/>
          <w:lang w:val="en-US" w:eastAsia="zh-CN"/>
        </w:rPr>
        <w:t xml:space="preserve">保障管理中心水利工程设施设备正常运行，切实稳定了流域灌溉供水秩序，有力支撑了辖区农业生产稳步开展，充分发挥了水利公益服务与民生保障作用，</w:t>
      </w:r>
      <w:r>
        <w:rPr>
          <w:rFonts w:ascii="Times New Roman" w:eastAsia="仿宋_GB2312" w:hAnsi="Times New Roman" w:cs="Times New Roman" w:hint="default"/>
          <w:color w:val="auto"/>
          <w:sz w:val="32"/>
          <w:szCs w:val="32"/>
          <w:highlight w:val="none"/>
        </w:rPr>
        <w:t xml:space="preserve">整体实现了项目预期的实施价值。</w:t>
      </w:r>
    </w:p>
    <w:p>
      <w:pPr>
        <w:pStyle w:val="Title"/>
        <w:keepNext w:val="0"/>
        <w:keepLines w:val="0"/>
        <w:pageBreakBefore w:val="0"/>
        <w:widowControl/>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color w:val="auto"/>
          <w:highlight w:val="none"/>
          <w:lang w:val="en-US" w:eastAsia="zh-CN"/>
        </w:rPr>
      </w:pPr>
      <w:bookmarkStart w:id="35" w:name="_Toc6653"/>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二</w:t>
      </w: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评价结论</w:t>
      </w:r>
      <w:bookmarkEnd w:id="35"/>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color w:val="auto"/>
          <w:highlight w:val="none"/>
          <w:lang w:val="en-US" w:eastAsia="zh-CN"/>
        </w:rPr>
        <w:t xml:space="preserve">99.97</w:t>
      </w:r>
      <w:r>
        <w:rPr>
          <w:rFonts w:ascii="Times New Roman" w:eastAsia="仿宋_GB2312" w:hAnsi="Times New Roman" w:cs="Times New Roman" w:hint="default"/>
          <w:b w:val="0"/>
          <w:bCs w:val="0"/>
          <w:color w:val="auto"/>
          <w:highlight w:val="none"/>
        </w:rPr>
        <w:t xml:space="preserve">分，属于“优”。其中，项目决策类指标权重为20分，得分为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%。项目过程类指标权重为20分，得分为</w:t>
      </w:r>
      <w:r>
        <w:rPr>
          <w:rFonts w:ascii="Times New Roman" w:eastAsia="仿宋_GB2312" w:hAnsi="Times New Roman" w:cs="Times New Roman" w:hint="eastAsia"/>
          <w:b w:val="0"/>
          <w:bCs w:val="0"/>
          <w:color w:val="auto"/>
          <w:highlight w:val="none"/>
          <w:lang w:val="en-US" w:eastAsia="zh-CN"/>
        </w:rPr>
        <w:t xml:space="preserve">19.97</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99.85</w:t>
      </w:r>
      <w:r>
        <w:rPr>
          <w:rFonts w:ascii="Times New Roman" w:eastAsia="仿宋_GB2312" w:hAnsi="Times New Roman" w:cs="Times New Roman" w:hint="default"/>
          <w:b w:val="0"/>
          <w:bCs w:val="0"/>
          <w:color w:val="auto"/>
          <w:highlight w:val="none"/>
        </w:rPr>
        <w:t xml:space="preserve">%。项目产出类指标权重为40分，得分为</w:t>
      </w:r>
      <w:r>
        <w:rPr>
          <w:rFonts w:ascii="Times New Roman" w:eastAsia="仿宋_GB2312" w:hAnsi="Times New Roman" w:cs="Times New Roman" w:hint="eastAsia"/>
          <w:b w:val="0"/>
          <w:bCs w:val="0"/>
          <w:color w:val="auto"/>
          <w:highlight w:val="none"/>
          <w:lang w:val="en-US" w:eastAsia="zh-CN"/>
        </w:rPr>
        <w:t xml:space="preserve">40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%。项目效益类指标权重为20分，得分为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%。具体打分情况详见</w:t>
      </w:r>
      <w:r>
        <w:rPr>
          <w:rFonts w:ascii="Times New Roman" w:eastAsia="仿宋_GB2312" w:hAnsi="Times New Roman" w:cs="Times New Roman" w:hint="eastAsia"/>
          <w:b w:val="0"/>
          <w:bCs w:val="0"/>
          <w:color w:val="auto"/>
          <w:highlight w:val="none"/>
          <w:lang w:val="en-US" w:eastAsia="zh-CN"/>
        </w:rPr>
        <w:t xml:space="preserve">下</w:t>
      </w:r>
      <w:r>
        <w:rPr>
          <w:rFonts w:ascii="Times New Roman" w:eastAsia="仿宋_GB2312" w:hAnsi="Times New Roman" w:cs="Times New Roman" w:hint="default"/>
          <w:b w:val="0"/>
          <w:bCs w:val="0"/>
          <w:color w:val="auto"/>
          <w:highlight w:val="none"/>
        </w:rPr>
        <w:t xml:space="preserve">表</w:t>
      </w:r>
      <w:r>
        <w:rPr>
          <w:rFonts w:ascii="Times New Roman" w:eastAsia="仿宋_GB2312" w:hAnsi="Times New Roman" w:cs="Times New Roman" w:hint="default"/>
          <w:b w:val="0"/>
          <w:bCs w:val="0"/>
          <w:color w:val="auto"/>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line="560" w:lineRule="exact"/>
        <w:textAlignment w:val="auto"/>
        <w:outlineLvl w:val="9"/>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表1综合评分表</w:t>
      </w:r>
    </w:p>
    <w:tbl>
      <w:tblPr>
        <w:tblStyle w:val="NormalTable"/>
        <w:tblW w:w="4999" w:type="pct"/>
        <w:jc w:val="center"/>
        <w:tblCellMar>
          <w:top w:w="0" w:type="dxa"/>
          <w:left w:w="108" w:type="dxa"/>
          <w:bottom w:w="0" w:type="dxa"/>
          <w:right w:w="108" w:type="dxa"/>
        </w:tblCellMar>
      </w:tblPr>
      <w:tblGrid>
        <w:gridCol w:w="3748"/>
        <w:gridCol w:w="2590"/>
        <w:gridCol w:w="2720"/>
      </w:tblGrid>
      <w:tr w14:paraId="2260DFA5">
        <w:tblPrEx>
          <w:tblW w:w="4999" w:type="pct"/>
          <w:jc w:val="center"/>
          <w:tblCellMar>
            <w:top w:w="0" w:type="dxa"/>
            <w:left w:w="108" w:type="dxa"/>
            <w:bottom w:w="0" w:type="dxa"/>
            <w:right w:w="108" w:type="dxa"/>
          </w:tblCellMar>
        </w:tblPrEx>
        <w:trPr>
          <w:trHeight w:val="90"/>
          <w:tblHeader/>
          <w:jc w:val="center"/>
        </w:trPr>
        <w:tc>
          <w:tcPr>
            <w:tcW w:w="2068" w:type="pct"/>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rPr>
            </w:pPr>
            <w:r>
              <w:rPr>
                <w:rFonts w:ascii="Times New Roman" w:eastAsia="仿宋_GB2312" w:hAnsi="Times New Roman" w:cs="Times New Roman" w:hint="default"/>
                <w:b/>
                <w:bCs/>
                <w:color w:val="auto"/>
                <w:sz w:val="24"/>
                <w:szCs w:val="24"/>
                <w:highlight w:val="none"/>
              </w:rPr>
              <w:t xml:space="preserve">一级指标</w:t>
            </w:r>
          </w:p>
        </w:tc>
        <w:tc>
          <w:tcPr>
            <w:tcW w:w="1429" w:type="pct"/>
            <w:tcBorders>
              <w:top w:val="single" w:sz="4" w:space="0" w:color="auto"/>
              <w:left w:val="nil"/>
              <w:bottom w:val="single" w:sz="4" w:space="0" w:color="auto"/>
              <w:right w:val="single" w:sz="4" w:space="0" w:color="auto"/>
            </w:tcBorders>
            <w:shd w:val="clear" w:color="000000" w:fill="BFBFBF" w:themeFill="background1" w:themeFillShade="BF"/>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rPr>
            </w:pPr>
            <w:r>
              <w:rPr>
                <w:rFonts w:ascii="Times New Roman" w:eastAsia="仿宋_GB2312" w:hAnsi="Times New Roman" w:cs="Times New Roman" w:hint="default"/>
                <w:b/>
                <w:bCs/>
                <w:color w:val="auto"/>
                <w:sz w:val="24"/>
                <w:szCs w:val="24"/>
                <w:highlight w:val="none"/>
              </w:rPr>
              <w:t xml:space="preserve">权重分</w:t>
            </w:r>
          </w:p>
        </w:tc>
        <w:tc>
          <w:tcPr>
            <w:tcW w:w="1501" w:type="pct"/>
            <w:tcBorders>
              <w:top w:val="single" w:sz="4" w:space="0" w:color="auto"/>
              <w:left w:val="nil"/>
              <w:bottom w:val="single" w:sz="4" w:space="0" w:color="auto"/>
              <w:right w:val="single" w:sz="4" w:space="0" w:color="auto"/>
            </w:tcBorders>
            <w:shd w:val="clear" w:color="000000" w:fill="BFBFBF" w:themeFill="background1" w:themeFillShade="BF"/>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rPr>
            </w:pPr>
            <w:r>
              <w:rPr>
                <w:rFonts w:ascii="Times New Roman" w:eastAsia="仿宋_GB2312" w:hAnsi="Times New Roman" w:cs="Times New Roman" w:hint="default"/>
                <w:b/>
                <w:bCs/>
                <w:color w:val="auto"/>
                <w:sz w:val="24"/>
                <w:szCs w:val="24"/>
                <w:highlight w:val="none"/>
              </w:rPr>
              <w:t xml:space="preserve">得分</w:t>
            </w:r>
          </w:p>
        </w:tc>
      </w:tr>
      <w:tr w14:paraId="03F80D9D">
        <w:tblPrEx>
          <w:tblW w:w="4999" w:type="pct"/>
          <w:jc w:val="center"/>
          <w:tblCellMar>
            <w:top w:w="0" w:type="dxa"/>
            <w:left w:w="108" w:type="dxa"/>
            <w:bottom w:w="0" w:type="dxa"/>
            <w:right w:w="108" w:type="dxa"/>
          </w:tblCellMar>
        </w:tblPrEx>
        <w:trPr>
          <w:trHeight w:val="340"/>
          <w:jc w:val="center"/>
        </w:trPr>
        <w:tc>
          <w:tcPr>
            <w:tcW w:w="2068" w:type="pct"/>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rPr>
            </w:pPr>
            <w:r>
              <w:rPr>
                <w:rFonts w:ascii="Times New Roman" w:eastAsia="仿宋_GB2312" w:hAnsi="Times New Roman" w:cs="Times New Roman" w:hint="default"/>
                <w:color w:val="auto"/>
                <w:sz w:val="24"/>
                <w:szCs w:val="24"/>
                <w:highlight w:val="none"/>
              </w:rPr>
              <w:t xml:space="preserve">项目决策</w:t>
            </w:r>
          </w:p>
        </w:tc>
        <w:tc>
          <w:tcPr>
            <w:tcW w:w="1429"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ascii="Times New Roman" w:eastAsia="仿宋_GB2312" w:hAnsi="Times New Roman" w:cs="Times New Roman" w:hint="default"/>
                <w:color w:val="auto"/>
                <w:sz w:val="24"/>
                <w:szCs w:val="24"/>
                <w:highlight w:val="none"/>
                <w:lang w:val="en-US" w:eastAsia="zh-CN"/>
              </w:rPr>
              <w:t xml:space="preserve">20</w:t>
            </w:r>
          </w:p>
        </w:tc>
        <w:tc>
          <w:tcPr>
            <w:tcW w:w="1501"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eastAsia="仿宋_GB2312" w:cs="Times New Roman" w:hint="eastAsia"/>
                <w:color w:val="auto"/>
                <w:sz w:val="24"/>
                <w:szCs w:val="24"/>
                <w:highlight w:val="none"/>
                <w:lang w:val="en-US" w:eastAsia="zh-CN"/>
              </w:rPr>
              <w:t xml:space="preserve">20</w:t>
            </w:r>
          </w:p>
        </w:tc>
      </w:tr>
      <w:tr w14:paraId="22C5B8E5">
        <w:tblPrEx>
          <w:tblW w:w="4999" w:type="pct"/>
          <w:jc w:val="center"/>
          <w:tblCellMar>
            <w:top w:w="0" w:type="dxa"/>
            <w:left w:w="108" w:type="dxa"/>
            <w:bottom w:w="0" w:type="dxa"/>
            <w:right w:w="108" w:type="dxa"/>
          </w:tblCellMar>
        </w:tblPrEx>
        <w:trPr>
          <w:trHeight w:val="340"/>
          <w:jc w:val="center"/>
        </w:trPr>
        <w:tc>
          <w:tcPr>
            <w:tcW w:w="2068" w:type="pct"/>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rPr>
            </w:pPr>
            <w:r>
              <w:rPr>
                <w:rFonts w:ascii="Times New Roman" w:eastAsia="仿宋_GB2312" w:hAnsi="Times New Roman" w:cs="Times New Roman" w:hint="default"/>
                <w:color w:val="auto"/>
                <w:sz w:val="24"/>
                <w:szCs w:val="24"/>
                <w:highlight w:val="none"/>
              </w:rPr>
              <w:t xml:space="preserve">项目过程</w:t>
            </w:r>
          </w:p>
        </w:tc>
        <w:tc>
          <w:tcPr>
            <w:tcW w:w="1429"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ascii="Times New Roman" w:eastAsia="仿宋_GB2312" w:hAnsi="Times New Roman" w:cs="Times New Roman" w:hint="default"/>
                <w:color w:val="auto"/>
                <w:sz w:val="24"/>
                <w:szCs w:val="24"/>
                <w:highlight w:val="none"/>
                <w:lang w:val="en-US" w:eastAsia="zh-CN"/>
              </w:rPr>
              <w:t xml:space="preserve">20</w:t>
            </w:r>
          </w:p>
        </w:tc>
        <w:tc>
          <w:tcPr>
            <w:tcW w:w="1501"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eastAsia="仿宋_GB2312" w:cs="Times New Roman" w:hint="eastAsia"/>
                <w:color w:val="auto"/>
                <w:sz w:val="24"/>
                <w:szCs w:val="24"/>
                <w:highlight w:val="none"/>
                <w:lang w:val="en-US" w:eastAsia="zh-CN"/>
              </w:rPr>
              <w:t xml:space="preserve">19.97</w:t>
            </w:r>
          </w:p>
        </w:tc>
      </w:tr>
      <w:tr w14:paraId="13E6ACFB">
        <w:tblPrEx>
          <w:tblW w:w="4999" w:type="pct"/>
          <w:jc w:val="center"/>
          <w:tblCellMar>
            <w:top w:w="0" w:type="dxa"/>
            <w:left w:w="108" w:type="dxa"/>
            <w:bottom w:w="0" w:type="dxa"/>
            <w:right w:w="108" w:type="dxa"/>
          </w:tblCellMar>
        </w:tblPrEx>
        <w:trPr>
          <w:trHeight w:val="340"/>
          <w:jc w:val="center"/>
        </w:trPr>
        <w:tc>
          <w:tcPr>
            <w:tcW w:w="2068" w:type="pct"/>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rPr>
            </w:pPr>
            <w:r>
              <w:rPr>
                <w:rFonts w:ascii="Times New Roman" w:eastAsia="仿宋_GB2312" w:hAnsi="Times New Roman" w:cs="Times New Roman" w:hint="default"/>
                <w:color w:val="auto"/>
                <w:sz w:val="24"/>
                <w:szCs w:val="24"/>
                <w:highlight w:val="none"/>
              </w:rPr>
              <w:t xml:space="preserve">项目产出</w:t>
            </w:r>
          </w:p>
        </w:tc>
        <w:tc>
          <w:tcPr>
            <w:tcW w:w="1429"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ascii="Times New Roman" w:eastAsia="仿宋_GB2312" w:hAnsi="Times New Roman" w:cs="Times New Roman" w:hint="default"/>
                <w:color w:val="auto"/>
                <w:sz w:val="24"/>
                <w:szCs w:val="24"/>
                <w:highlight w:val="none"/>
                <w:lang w:val="en-US" w:eastAsia="zh-CN"/>
              </w:rPr>
              <w:t xml:space="preserve">40</w:t>
            </w:r>
          </w:p>
        </w:tc>
        <w:tc>
          <w:tcPr>
            <w:tcW w:w="1501"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eastAsia="仿宋_GB2312" w:cs="Times New Roman" w:hint="eastAsia"/>
                <w:color w:val="auto"/>
                <w:sz w:val="24"/>
                <w:szCs w:val="24"/>
                <w:highlight w:val="none"/>
                <w:lang w:val="en-US" w:eastAsia="zh-CN"/>
              </w:rPr>
              <w:t xml:space="preserve">40</w:t>
            </w:r>
          </w:p>
        </w:tc>
      </w:tr>
      <w:tr w14:paraId="7FB4C167">
        <w:tblPrEx>
          <w:tblW w:w="4999" w:type="pct"/>
          <w:jc w:val="center"/>
          <w:tblCellMar>
            <w:top w:w="0" w:type="dxa"/>
            <w:left w:w="108" w:type="dxa"/>
            <w:bottom w:w="0" w:type="dxa"/>
            <w:right w:w="108" w:type="dxa"/>
          </w:tblCellMar>
        </w:tblPrEx>
        <w:trPr>
          <w:trHeight w:val="340"/>
          <w:jc w:val="center"/>
        </w:trPr>
        <w:tc>
          <w:tcPr>
            <w:tcW w:w="2068" w:type="pct"/>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rPr>
            </w:pPr>
            <w:r>
              <w:rPr>
                <w:rFonts w:ascii="Times New Roman" w:eastAsia="仿宋_GB2312" w:hAnsi="Times New Roman" w:cs="Times New Roman" w:hint="default"/>
                <w:color w:val="auto"/>
                <w:sz w:val="24"/>
                <w:szCs w:val="24"/>
                <w:highlight w:val="none"/>
              </w:rPr>
              <w:t xml:space="preserve">项目效益</w:t>
            </w:r>
          </w:p>
        </w:tc>
        <w:tc>
          <w:tcPr>
            <w:tcW w:w="1429"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ascii="Times New Roman" w:eastAsia="仿宋_GB2312" w:hAnsi="Times New Roman" w:cs="Times New Roman" w:hint="default"/>
                <w:color w:val="auto"/>
                <w:sz w:val="24"/>
                <w:szCs w:val="24"/>
                <w:highlight w:val="none"/>
                <w:lang w:val="en-US" w:eastAsia="zh-CN"/>
              </w:rPr>
              <w:t xml:space="preserve">20</w:t>
            </w:r>
          </w:p>
        </w:tc>
        <w:tc>
          <w:tcPr>
            <w:tcW w:w="1501"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eastAsia="仿宋_GB2312" w:cs="Times New Roman" w:hint="eastAsia"/>
                <w:color w:val="auto"/>
                <w:sz w:val="24"/>
                <w:szCs w:val="24"/>
                <w:highlight w:val="none"/>
                <w:lang w:val="en-US" w:eastAsia="zh-CN"/>
              </w:rPr>
              <w:t xml:space="preserve">20</w:t>
            </w:r>
          </w:p>
        </w:tc>
      </w:tr>
      <w:tr w14:paraId="70B12573">
        <w:tblPrEx>
          <w:tblW w:w="4999" w:type="pct"/>
          <w:jc w:val="center"/>
          <w:tblCellMar>
            <w:top w:w="0" w:type="dxa"/>
            <w:left w:w="108" w:type="dxa"/>
            <w:bottom w:w="0" w:type="dxa"/>
            <w:right w:w="108" w:type="dxa"/>
          </w:tblCellMar>
        </w:tblPrEx>
        <w:trPr>
          <w:trHeight w:val="340"/>
          <w:jc w:val="center"/>
        </w:trPr>
        <w:tc>
          <w:tcPr>
            <w:tcW w:w="2068" w:type="pct"/>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rPr>
            </w:pPr>
            <w:r>
              <w:rPr>
                <w:rFonts w:ascii="Times New Roman" w:eastAsia="仿宋_GB2312" w:hAnsi="Times New Roman" w:cs="Times New Roman" w:hint="default"/>
                <w:b/>
                <w:bCs/>
                <w:color w:val="auto"/>
                <w:sz w:val="24"/>
                <w:szCs w:val="24"/>
                <w:highlight w:val="none"/>
              </w:rPr>
              <w:t xml:space="preserve">合计</w:t>
            </w:r>
          </w:p>
        </w:tc>
        <w:tc>
          <w:tcPr>
            <w:tcW w:w="1429"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lang w:val="en-US" w:eastAsia="zh-CN"/>
              </w:rPr>
            </w:pPr>
            <w:r>
              <w:rPr>
                <w:rFonts w:ascii="Times New Roman" w:eastAsia="仿宋_GB2312" w:hAnsi="Times New Roman" w:cs="Times New Roman" w:hint="default"/>
                <w:b/>
                <w:bCs/>
                <w:color w:val="auto"/>
                <w:sz w:val="24"/>
                <w:szCs w:val="24"/>
                <w:highlight w:val="none"/>
                <w:lang w:val="en-US" w:eastAsia="zh-CN"/>
              </w:rPr>
              <w:t xml:space="preserve">100</w:t>
            </w:r>
          </w:p>
        </w:tc>
        <w:tc>
          <w:tcPr>
            <w:tcW w:w="1501"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lang w:val="en-US" w:eastAsia="zh-CN"/>
              </w:rPr>
            </w:pPr>
            <w:r>
              <w:rPr>
                <w:rFonts w:eastAsia="仿宋_GB2312" w:cs="Times New Roman" w:hint="eastAsia"/>
                <w:b/>
                <w:bCs/>
                <w:color w:val="auto"/>
                <w:sz w:val="24"/>
                <w:szCs w:val="24"/>
                <w:highlight w:val="none"/>
                <w:lang w:val="en-US" w:eastAsia="zh-CN"/>
              </w:rPr>
              <w:t xml:space="preserve">99.97</w:t>
            </w:r>
          </w:p>
        </w:tc>
      </w:tr>
    </w:tbl>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color w:val="auto"/>
          <w:sz w:val="32"/>
          <w:szCs w:val="32"/>
          <w:highlight w:val="none"/>
        </w:rPr>
      </w:pPr>
      <w:bookmarkStart w:id="36" w:name="_Toc1453"/>
      <w:r>
        <w:rPr>
          <w:rFonts w:ascii="Times New Roman" w:eastAsia="黑体" w:hAnsi="Times New Roman" w:cs="Times New Roman" w:hint="default"/>
          <w:color w:val="auto"/>
          <w:sz w:val="32"/>
          <w:szCs w:val="32"/>
          <w:highlight w:val="none"/>
        </w:rPr>
        <w:t xml:space="preserve">四、绩效评价指标分析</w:t>
      </w:r>
      <w:bookmarkEnd w:id="36"/>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color w:val="auto"/>
          <w:highlight w:val="none"/>
        </w:rPr>
      </w:pPr>
      <w:bookmarkStart w:id="37" w:name="_Toc32318"/>
      <w:r>
        <w:rPr>
          <w:rFonts w:ascii="Times New Roman" w:eastAsia="楷体_GB2312" w:hAnsi="Times New Roman" w:cs="Times New Roman" w:hint="default"/>
          <w:color w:val="auto"/>
          <w:highlight w:val="none"/>
        </w:rPr>
        <w:t xml:space="preserve">（一）项目决策情况</w:t>
      </w:r>
      <w:bookmarkEnd w:id="37"/>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项目决策类指标包括项目立项、绩效目标和资金投入三方面的内容，由6个三级指标构成，权重分值为20分，实际得分</w:t>
      </w:r>
      <w:r>
        <w:rPr>
          <w:rFonts w:ascii="Times New Roman" w:eastAsia="仿宋_GB2312" w:hAnsi="Times New Roman"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ascii="Times New Roman" w:eastAsia="仿宋_GB2312" w:hAnsi="Times New Roman"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color w:val="auto"/>
          <w:sz w:val="32"/>
          <w:szCs w:val="32"/>
          <w:highlight w:val="none"/>
          <w:lang w:val="en-US" w:eastAsia="zh-CN"/>
        </w:rPr>
      </w:pPr>
      <w:bookmarkStart w:id="38" w:name="_Toc24345"/>
      <w:r>
        <w:rPr>
          <w:rFonts w:ascii="Times New Roman" w:eastAsia="仿宋_GB2312" w:hAnsi="Times New Roman" w:cs="Times New Roman" w:hint="default"/>
          <w:b/>
          <w:bCs/>
          <w:color w:val="auto"/>
          <w:sz w:val="32"/>
          <w:szCs w:val="32"/>
          <w:highlight w:val="none"/>
          <w:lang w:val="en-US" w:eastAsia="zh-CN"/>
        </w:rPr>
        <w:t xml:space="preserve">1.项目立项</w:t>
      </w:r>
      <w:bookmarkEnd w:id="38"/>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39" w:name="_Toc9358"/>
      <w:r>
        <w:rPr>
          <w:rFonts w:ascii="Times New Roman" w:eastAsia="仿宋_GB2312" w:hAnsi="Times New Roman" w:cs="Times New Roman" w:hint="default"/>
          <w:color w:val="auto"/>
          <w:sz w:val="32"/>
          <w:szCs w:val="32"/>
          <w:highlight w:val="none"/>
          <w:lang w:val="en-US" w:eastAsia="zh-CN"/>
        </w:rPr>
        <w:t xml:space="preserve">（1）立项依据充分性</w:t>
      </w:r>
      <w:bookmarkEnd w:id="39"/>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40" w:name="_Toc1295"/>
      <w:r>
        <w:rPr>
          <w:rFonts w:ascii="Times New Roman" w:eastAsia="仿宋_GB2312" w:hAnsi="Times New Roman" w:cs="Times New Roman" w:hint="default"/>
          <w:color w:val="auto"/>
          <w:sz w:val="32"/>
          <w:szCs w:val="32"/>
          <w:highlight w:val="none"/>
          <w:lang w:val="en-US" w:eastAsia="zh-CN"/>
        </w:rPr>
        <w:t xml:space="preserve">（2）立项程序规范性</w:t>
      </w:r>
      <w:bookmarkEnd w:id="40"/>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color w:val="auto"/>
          <w:sz w:val="32"/>
          <w:szCs w:val="32"/>
          <w:highlight w:val="none"/>
          <w:lang w:val="en-US" w:eastAsia="zh-CN"/>
        </w:rPr>
      </w:pPr>
      <w:bookmarkStart w:id="41" w:name="_Toc22045"/>
      <w:r>
        <w:rPr>
          <w:rFonts w:ascii="Times New Roman" w:eastAsia="仿宋_GB2312" w:hAnsi="Times New Roman" w:cs="Times New Roman" w:hint="default"/>
          <w:b/>
          <w:bCs/>
          <w:color w:val="auto"/>
          <w:sz w:val="32"/>
          <w:szCs w:val="32"/>
          <w:highlight w:val="none"/>
          <w:lang w:val="en-US" w:eastAsia="zh-CN"/>
        </w:rPr>
        <w:t xml:space="preserve">2.绩效目标</w:t>
      </w:r>
      <w:bookmarkEnd w:id="41"/>
      <w:bookmarkStart w:id="42" w:name="_Toc15281"/>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（1）绩效目标合理性</w:t>
      </w:r>
      <w:bookmarkEnd w:id="42"/>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rPr>
        <w:t xml:space="preserve">本项目结合</w:t>
      </w:r>
      <w:r>
        <w:rPr>
          <w:rFonts w:eastAsia="仿宋_GB2312" w:cs="Times New Roman" w:hint="eastAsia"/>
          <w:color w:val="auto"/>
          <w:sz w:val="32"/>
          <w:szCs w:val="32"/>
          <w:highlight w:val="none"/>
          <w:lang w:val="en-US" w:eastAsia="zh-CN"/>
        </w:rPr>
        <w:t xml:space="preserve">流域水利运维与灌溉服务类</w:t>
      </w:r>
      <w:r>
        <w:rPr>
          <w:rFonts w:ascii="Times New Roman" w:eastAsia="仿宋_GB2312" w:hAnsi="Times New Roman" w:cs="Times New Roman" w:hint="default"/>
          <w:color w:val="auto"/>
          <w:sz w:val="32"/>
          <w:szCs w:val="32"/>
          <w:highlight w:val="none"/>
          <w:lang w:val="en-US"/>
        </w:rPr>
        <w:t xml:space="preserve">实际，围绕“</w:t>
      </w:r>
      <w:r>
        <w:rPr>
          <w:rFonts w:eastAsia="仿宋_GB2312" w:cs="Times New Roman" w:hint="eastAsia"/>
          <w:color w:val="auto"/>
          <w:sz w:val="32"/>
          <w:szCs w:val="32"/>
          <w:highlight w:val="none"/>
          <w:lang w:val="en-US" w:eastAsia="zh-CN"/>
        </w:rPr>
        <w:t xml:space="preserve">保障流域灌溉供水稳定，提升水利设施运维效能，完成年度水费上缴与人员保障任务</w:t>
      </w:r>
      <w:r>
        <w:rPr>
          <w:rFonts w:ascii="Times New Roman" w:eastAsia="仿宋_GB2312" w:hAnsi="Times New Roman" w:cs="Times New Roman" w:hint="default"/>
          <w:color w:val="auto"/>
          <w:sz w:val="32"/>
          <w:szCs w:val="32"/>
          <w:highlight w:val="none"/>
          <w:lang w:val="en-US"/>
        </w:rPr>
        <w:t xml:space="preserve">”</w:t>
      </w:r>
      <w:r>
        <w:rPr>
          <w:rFonts w:eastAsia="仿宋_GB2312" w:cs="Times New Roman" w:hint="eastAsia"/>
          <w:color w:val="auto"/>
          <w:sz w:val="32"/>
          <w:szCs w:val="32"/>
          <w:highlight w:val="none"/>
          <w:lang w:val="en-US" w:eastAsia="zh-CN"/>
        </w:rPr>
        <w:t xml:space="preserve">的总体目标</w:t>
      </w:r>
      <w:r>
        <w:rPr>
          <w:rFonts w:ascii="Times New Roman" w:eastAsia="仿宋_GB2312" w:hAnsi="Times New Roman" w:cs="Times New Roman" w:hint="default"/>
          <w:color w:val="auto"/>
          <w:sz w:val="32"/>
          <w:szCs w:val="32"/>
          <w:highlight w:val="none"/>
          <w:lang w:val="en-US"/>
        </w:rPr>
        <w:t xml:space="preserve">设定绩效目标，具体明确了“年度完成</w:t>
      </w:r>
      <w:r>
        <w:rPr>
          <w:rFonts w:eastAsia="仿宋_GB2312" w:cs="Times New Roman" w:hint="eastAsia"/>
          <w:color w:val="auto"/>
          <w:sz w:val="32"/>
          <w:szCs w:val="32"/>
          <w:highlight w:val="none"/>
          <w:lang w:val="en-US" w:eastAsia="zh-CN"/>
        </w:rPr>
        <w:t xml:space="preserve">流域灌溉水费上缴3439万元、保障在职、退休及遗属人员工资福利支出、完成水利设施日常检修维护、保障人员队伍稳定与日常办公运转”的核心内容。</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rPr>
      </w:pPr>
      <w:r>
        <w:rPr>
          <w:rFonts w:eastAsia="仿宋_GB2312" w:cs="Times New Roman" w:hint="eastAsia"/>
          <w:color w:val="auto"/>
          <w:sz w:val="32"/>
          <w:szCs w:val="32"/>
          <w:highlight w:val="none"/>
          <w:lang w:val="en-US" w:eastAsia="zh-CN"/>
        </w:rPr>
        <w:t xml:space="preserve">目标设定依据充分，既参考了流域历年灌溉用水量数据、农田灌溉需求统计、水利设施运维现状、人员编制与公用经费使用规律，又匹配了管理中心年度重点工作任务，未超出项目实施的技术、资金、时间约束</w:t>
      </w:r>
      <w:r>
        <w:rPr>
          <w:rFonts w:ascii="Times New Roman" w:eastAsia="仿宋_GB2312" w:hAnsi="Times New Roman" w:cs="Times New Roman" w:hint="default"/>
          <w:color w:val="auto"/>
          <w:sz w:val="32"/>
          <w:szCs w:val="32"/>
          <w:highlight w:val="none"/>
          <w:lang w:val="en-US"/>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rPr>
      </w:pPr>
      <w:r>
        <w:rPr>
          <w:rFonts w:ascii="Times New Roman" w:eastAsia="仿宋_GB2312" w:hAnsi="Times New Roman" w:cs="Times New Roman" w:hint="default"/>
          <w:color w:val="auto"/>
          <w:sz w:val="32"/>
          <w:szCs w:val="32"/>
          <w:highlight w:val="none"/>
          <w:lang w:val="en-US"/>
        </w:rPr>
        <w:t xml:space="preserve">绩效目标与项目实际工作内容高度相关（如“灌溉水费支出”目标直接服务于“保障灌区供水稳定”的工作核心），且预算资金与目标投资额精准匹配（如“人员工资福利支出”对应预算</w:t>
      </w:r>
      <w:r>
        <w:rPr>
          <w:rFonts w:eastAsia="仿宋_GB2312" w:cs="Times New Roman" w:hint="eastAsia"/>
          <w:color w:val="auto"/>
          <w:sz w:val="32"/>
          <w:szCs w:val="32"/>
          <w:highlight w:val="none"/>
          <w:lang w:val="en-US" w:eastAsia="zh-CN"/>
        </w:rPr>
        <w:t xml:space="preserve">3084</w:t>
      </w:r>
      <w:r>
        <w:rPr>
          <w:rFonts w:ascii="Times New Roman" w:eastAsia="仿宋_GB2312" w:hAnsi="Times New Roman" w:cs="Times New Roman" w:hint="default"/>
          <w:color w:val="auto"/>
          <w:sz w:val="32"/>
          <w:szCs w:val="32"/>
          <w:highlight w:val="none"/>
          <w:lang w:val="en-US"/>
        </w:rPr>
        <w:t xml:space="preserve">万元，测算依据为人员编制与工资标准；“公用经费支出”对应预算</w:t>
      </w:r>
      <w:r>
        <w:rPr>
          <w:rFonts w:eastAsia="仿宋_GB2312" w:cs="Times New Roman" w:hint="eastAsia"/>
          <w:color w:val="auto"/>
          <w:sz w:val="32"/>
          <w:szCs w:val="32"/>
          <w:highlight w:val="none"/>
          <w:lang w:val="en-US" w:eastAsia="zh-CN"/>
        </w:rPr>
        <w:t xml:space="preserve">105</w:t>
      </w:r>
      <w:r>
        <w:rPr>
          <w:rFonts w:ascii="Times New Roman" w:eastAsia="仿宋_GB2312" w:hAnsi="Times New Roman" w:cs="Times New Roman" w:hint="default"/>
          <w:color w:val="auto"/>
          <w:sz w:val="32"/>
          <w:szCs w:val="32"/>
          <w:highlight w:val="none"/>
          <w:lang w:val="en-US"/>
        </w:rPr>
        <w:t xml:space="preserve">万元，测算依据为日常办公与公务出行需求），虽因本年度灌溉用水量减少、人员变动及经费精细化管理出现小幅执行偏差，但目标设置整体符合实际业务需求。</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rPr>
        <w:t xml:space="preserve">完全符合评分标准中“目标有依据、与实际相关、效益符合正常业绩水平、与预算匹配”的评价要点，故得满分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43" w:name="_Toc12145"/>
      <w:r>
        <w:rPr>
          <w:rFonts w:ascii="Times New Roman" w:eastAsia="仿宋_GB2312" w:hAnsi="Times New Roman" w:cs="Times New Roman" w:hint="default"/>
          <w:color w:val="auto"/>
          <w:sz w:val="32"/>
          <w:szCs w:val="32"/>
          <w:highlight w:val="none"/>
          <w:lang w:val="en-US" w:eastAsia="zh-CN"/>
        </w:rPr>
        <w:t xml:space="preserve">（2）绩效指标明确性</w:t>
      </w:r>
      <w:bookmarkEnd w:id="43"/>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项目将总体绩效目标细化分解为</w:t>
      </w:r>
      <w:r>
        <w:rPr>
          <w:rFonts w:eastAsia="仿宋_GB2312" w:cs="Times New Roman" w:hint="eastAsia"/>
          <w:color w:val="auto"/>
          <w:sz w:val="32"/>
          <w:szCs w:val="32"/>
          <w:highlight w:val="none"/>
          <w:lang w:val="en-US" w:eastAsia="zh-CN"/>
        </w:rPr>
        <w:t xml:space="preserve">数量、质量、时效、成本、效益等维度的三级指标，各项指标均明确了可量化、可衡量的具体目标值、且与项目目标任务一一对应。具体指标如：数量指标明确了“人员工资发放次数=12次，水利工程维修养护项目≥5项、支付克孜尔水库管理中心水费≥3次、委托业务服务项目数量≥5次、工资发放人数=231人“等具体任务量；质量与时效指标设定了“水利工程维修养护项目招投标资金到位率≥95%、灌溉水费支付及时率≥95%、工资发放及时率≥95%”等可考核标准；成本指标划定了“人员工资福利支出≤3084万元、2025年度灌溉水费支出≤3439万元、水利工程维修养护支出≤420万元、公用经费支出≤105万元”等预算控制额度；效益指标明确了“保障管理中心水利工程设施设备安全有效运行”的社会效益指标。</w:t>
      </w:r>
      <w:r>
        <w:rPr>
          <w:rFonts w:ascii="Times New Roman" w:eastAsia="仿宋_GB2312" w:hAnsi="Times New Roman" w:cs="Times New Roman" w:hint="default"/>
          <w:color w:val="auto"/>
          <w:sz w:val="32"/>
          <w:szCs w:val="32"/>
          <w:highlight w:val="none"/>
          <w:lang w:val="en-US" w:eastAsia="zh-CN"/>
        </w:rPr>
        <w:t xml:space="preserve">指标设定清晰无歧义，既涵盖了</w:t>
      </w:r>
      <w:r>
        <w:rPr>
          <w:rFonts w:eastAsia="仿宋_GB2312" w:cs="Times New Roman" w:hint="eastAsia"/>
          <w:color w:val="auto"/>
          <w:sz w:val="32"/>
          <w:szCs w:val="32"/>
          <w:highlight w:val="none"/>
          <w:lang w:val="en-US" w:eastAsia="zh-CN"/>
        </w:rPr>
        <w:t xml:space="preserve">工程维护、服务供给、资金支付等产出内容，也体现了设施安全保障的综合效益，完全符合评分标准中“指标细化分解、可衡量、与任务数对应”的要求，</w:t>
      </w:r>
      <w:r>
        <w:rPr>
          <w:rFonts w:ascii="Times New Roman" w:eastAsia="仿宋_GB2312" w:hAnsi="Times New Roman" w:cs="Times New Roman" w:hint="default"/>
          <w:color w:val="auto"/>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color w:val="auto"/>
          <w:sz w:val="32"/>
          <w:szCs w:val="32"/>
          <w:highlight w:val="none"/>
          <w:lang w:val="en-US" w:eastAsia="zh-CN"/>
        </w:rPr>
      </w:pPr>
      <w:bookmarkStart w:id="44" w:name="_Toc6828"/>
      <w:r>
        <w:rPr>
          <w:rFonts w:ascii="Times New Roman" w:eastAsia="仿宋_GB2312" w:hAnsi="Times New Roman" w:cs="Times New Roman" w:hint="default"/>
          <w:b/>
          <w:bCs/>
          <w:color w:val="auto"/>
          <w:sz w:val="32"/>
          <w:szCs w:val="32"/>
          <w:highlight w:val="none"/>
          <w:lang w:val="en-US" w:eastAsia="zh-CN"/>
        </w:rPr>
        <w:t xml:space="preserve">3.资金投入</w:t>
      </w:r>
      <w:bookmarkEnd w:id="44"/>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45" w:name="_Toc10680"/>
      <w:r>
        <w:rPr>
          <w:rFonts w:ascii="Times New Roman" w:eastAsia="仿宋_GB2312" w:hAnsi="Times New Roman" w:cs="Times New Roman" w:hint="default"/>
          <w:color w:val="auto"/>
          <w:sz w:val="32"/>
          <w:szCs w:val="32"/>
          <w:highlight w:val="none"/>
          <w:lang w:val="en-US" w:eastAsia="zh-CN"/>
        </w:rPr>
        <w:t xml:space="preserve">（1）预算编制科学性</w:t>
      </w:r>
      <w:bookmarkEnd w:id="45"/>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本项目预算编制以“精准测算、按需配置”为原则，结合项目实施方案及具体任务清单开展，参考既往同类项目支出水平及当前物价水平，测算支出</w:t>
      </w:r>
      <w:r>
        <w:rPr>
          <w:rFonts w:eastAsia="仿宋_GB2312" w:cs="Times New Roman" w:hint="eastAsia"/>
          <w:color w:val="auto"/>
          <w:sz w:val="32"/>
          <w:szCs w:val="32"/>
          <w:highlight w:val="none"/>
          <w:lang w:val="en-US" w:eastAsia="zh-CN"/>
        </w:rPr>
        <w:t xml:space="preserve">7048</w:t>
      </w:r>
      <w:r>
        <w:rPr>
          <w:rFonts w:ascii="Times New Roman" w:eastAsia="仿宋_GB2312" w:hAnsi="Times New Roman" w:cs="Times New Roman" w:hint="default"/>
          <w:color w:val="auto"/>
          <w:sz w:val="32"/>
          <w:szCs w:val="32"/>
          <w:highlight w:val="none"/>
          <w:lang w:eastAsia="zh-CN"/>
        </w:rPr>
        <w:t xml:space="preserve">万元。预算编制过程经过业务科室、财务部门双重审核，无漏项、超项情况，预算内容与项目“</w:t>
      </w:r>
      <w:r>
        <w:rPr>
          <w:rFonts w:eastAsia="仿宋_GB2312" w:cs="Times New Roman" w:hint="eastAsia"/>
          <w:color w:val="auto"/>
          <w:sz w:val="32"/>
          <w:szCs w:val="32"/>
          <w:highlight w:val="none"/>
          <w:lang w:val="en-US" w:eastAsia="zh-CN"/>
        </w:rPr>
        <w:t xml:space="preserve">人员工资福利支出、灌溉水费管理、水利工程维修养护及保障运转经费四项</w:t>
      </w:r>
      <w:r>
        <w:rPr>
          <w:rFonts w:ascii="Times New Roman" w:eastAsia="仿宋_GB2312" w:hAnsi="Times New Roman" w:cs="Times New Roman" w:hint="default"/>
          <w:color w:val="auto"/>
          <w:sz w:val="32"/>
          <w:szCs w:val="32"/>
          <w:highlight w:val="none"/>
          <w:lang w:eastAsia="zh-CN"/>
        </w:rPr>
        <w:t xml:space="preserve">核心任务”</w:t>
      </w:r>
      <w:r>
        <w:rPr>
          <w:rFonts w:eastAsia="仿宋_GB2312" w:cs="Times New Roman" w:hint="eastAsia"/>
          <w:color w:val="auto"/>
          <w:sz w:val="32"/>
          <w:szCs w:val="32"/>
          <w:highlight w:val="none"/>
          <w:lang w:val="en-US" w:eastAsia="zh-CN"/>
        </w:rPr>
        <w:t xml:space="preserve">以及</w:t>
      </w:r>
      <w:r>
        <w:rPr>
          <w:rFonts w:ascii="Times New Roman" w:eastAsia="仿宋_GB2312" w:hAnsi="Times New Roman" w:cs="Times New Roman" w:hint="default"/>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全年按时将人员工资足额发放12次、完成5项以上水利工程维修养护、将灌溉水费以95%的及时率分3次以上支付给克孜尔水库管理中心</w:t>
      </w:r>
      <w:r>
        <w:rPr>
          <w:rFonts w:ascii="Times New Roman" w:eastAsia="仿宋_GB2312" w:hAnsi="Times New Roman" w:cs="Times New Roman" w:hint="default"/>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等</w:t>
      </w:r>
      <w:r>
        <w:rPr>
          <w:rFonts w:ascii="Times New Roman" w:eastAsia="仿宋_GB2312" w:hAnsi="Times New Roman" w:cs="Times New Roman" w:hint="default"/>
          <w:color w:val="auto"/>
          <w:sz w:val="32"/>
          <w:szCs w:val="32"/>
          <w:highlight w:val="none"/>
          <w:lang w:eastAsia="zh-CN"/>
        </w:rPr>
        <w:t xml:space="preserve">产出目标完全匹配，资金额度与各阶段工作任务量精准适配，符合评分标准中“经过科学论证、内容与项目匹配、额度依据充分、与工作任务匹配”的全部评价要点</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46" w:name="_Toc24011"/>
      <w:r>
        <w:rPr>
          <w:rFonts w:ascii="Times New Roman" w:eastAsia="仿宋_GB2312" w:hAnsi="Times New Roman" w:cs="Times New Roman" w:hint="default"/>
          <w:color w:val="auto"/>
          <w:sz w:val="32"/>
          <w:szCs w:val="32"/>
          <w:highlight w:val="none"/>
          <w:lang w:val="en-US" w:eastAsia="zh-CN"/>
        </w:rPr>
        <w:t xml:space="preserve">（2）资金分配合理性</w:t>
      </w:r>
      <w:bookmarkEnd w:id="46"/>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本项目的资金分配遵循了公平、公正、透明的原则，确保了项目资源的合理配置与高效利用。在资金分配过程中，充分考虑了项目的实际需求与目标，对不同阶段、不同任务的资金进行了科学的规划与安排。</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default"/>
          <w:color w:val="auto"/>
          <w:highlight w:val="none"/>
        </w:rPr>
      </w:pPr>
      <w:bookmarkStart w:id="47" w:name="_Toc25505"/>
      <w:r>
        <w:rPr>
          <w:rFonts w:ascii="Times New Roman" w:eastAsia="楷体" w:hAnsi="Times New Roman" w:cs="Times New Roman" w:hint="eastAsia"/>
          <w:color w:val="auto"/>
          <w:highlight w:val="none"/>
          <w:lang w:eastAsia="zh-CN"/>
        </w:rPr>
        <w:t xml:space="preserve">（</w:t>
      </w:r>
      <w:r>
        <w:rPr>
          <w:rFonts w:ascii="Times New Roman" w:eastAsia="楷体" w:hAnsi="Times New Roman" w:cs="Times New Roman" w:hint="eastAsia"/>
          <w:color w:val="auto"/>
          <w:highlight w:val="none"/>
          <w:lang w:val="en-US" w:eastAsia="zh-CN"/>
        </w:rPr>
        <w:t xml:space="preserve">二</w:t>
      </w:r>
      <w:r>
        <w:rPr>
          <w:rFonts w:ascii="Times New Roman" w:eastAsia="楷体" w:hAnsi="Times New Roman" w:cs="Times New Roman" w:hint="eastAsia"/>
          <w:color w:val="auto"/>
          <w:highlight w:val="none"/>
          <w:lang w:eastAsia="zh-CN"/>
        </w:rPr>
        <w:t xml:space="preserve">）</w:t>
      </w:r>
      <w:r>
        <w:rPr>
          <w:rFonts w:ascii="Times New Roman" w:eastAsia="楷体" w:hAnsi="Times New Roman" w:cs="Times New Roman" w:hint="default"/>
          <w:color w:val="auto"/>
          <w:highlight w:val="none"/>
        </w:rPr>
        <w:t xml:space="preserve">项目过程情况</w:t>
      </w:r>
      <w:bookmarkEnd w:id="47"/>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项目过程类指标包括资金管理和组织实施两方面的内容，由5个三级指标构成，权重分值为20分，实际得分</w:t>
      </w:r>
      <w:r>
        <w:rPr>
          <w:rFonts w:eastAsia="仿宋_GB2312" w:cs="Times New Roman" w:hint="eastAsia"/>
          <w:color w:val="auto"/>
          <w:sz w:val="32"/>
          <w:szCs w:val="32"/>
          <w:highlight w:val="none"/>
          <w:lang w:val="en-US" w:eastAsia="zh-CN"/>
        </w:rPr>
        <w:t xml:space="preserve">19.97</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99.85</w:t>
      </w:r>
      <w:r>
        <w:rPr>
          <w:rFonts w:ascii="Times New Roman" w:eastAsia="仿宋_GB2312" w:hAnsi="Times New Roman" w:cs="Times New Roman" w:hint="default"/>
          <w:color w:val="auto"/>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color w:val="auto"/>
          <w:sz w:val="32"/>
          <w:szCs w:val="32"/>
          <w:highlight w:val="none"/>
          <w:lang w:val="en-US" w:eastAsia="zh-CN"/>
        </w:rPr>
      </w:pPr>
      <w:bookmarkStart w:id="48" w:name="_Toc23265"/>
      <w:r>
        <w:rPr>
          <w:rFonts w:ascii="Times New Roman" w:eastAsia="仿宋_GB2312" w:hAnsi="Times New Roman" w:cs="Times New Roman" w:hint="default"/>
          <w:b/>
          <w:bCs/>
          <w:color w:val="auto"/>
          <w:sz w:val="32"/>
          <w:szCs w:val="32"/>
          <w:highlight w:val="none"/>
          <w:lang w:val="en-US" w:eastAsia="zh-CN"/>
        </w:rPr>
        <w:t xml:space="preserve">1.资金管理</w:t>
      </w:r>
      <w:bookmarkEnd w:id="48"/>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49" w:name="_Toc19976"/>
      <w:r>
        <w:rPr>
          <w:rFonts w:ascii="Times New Roman" w:eastAsia="仿宋_GB2312" w:hAnsi="Times New Roman" w:cs="Times New Roman" w:hint="default"/>
          <w:color w:val="auto"/>
          <w:sz w:val="32"/>
          <w:szCs w:val="32"/>
          <w:highlight w:val="none"/>
          <w:lang w:val="en-US" w:eastAsia="zh-CN"/>
        </w:rPr>
        <w:t xml:space="preserve">（1）资金到位率</w:t>
      </w:r>
      <w:bookmarkEnd w:id="49"/>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本项目总投资</w:t>
      </w:r>
      <w:r>
        <w:rPr>
          <w:rFonts w:eastAsia="仿宋_GB2312" w:cs="Times New Roman" w:hint="eastAsia"/>
          <w:color w:val="auto"/>
          <w:sz w:val="32"/>
          <w:szCs w:val="32"/>
          <w:highlight w:val="none"/>
          <w:lang w:val="en-US" w:eastAsia="zh-CN"/>
        </w:rPr>
        <w:t xml:space="preserve">7048</w:t>
      </w:r>
      <w:r>
        <w:rPr>
          <w:rFonts w:ascii="Times New Roman" w:eastAsia="仿宋_GB2312" w:hAnsi="Times New Roman" w:cs="Times New Roman" w:hint="default"/>
          <w:color w:val="auto"/>
          <w:sz w:val="32"/>
          <w:szCs w:val="32"/>
          <w:highlight w:val="none"/>
          <w:lang w:val="en-US" w:eastAsia="zh-CN"/>
        </w:rPr>
        <w:t xml:space="preserve">万元，实际到位资金</w:t>
      </w:r>
      <w:r>
        <w:rPr>
          <w:rFonts w:eastAsia="仿宋_GB2312" w:cs="Times New Roman" w:hint="eastAsia"/>
          <w:color w:val="auto"/>
          <w:sz w:val="32"/>
          <w:szCs w:val="32"/>
          <w:highlight w:val="none"/>
          <w:lang w:val="en-US" w:eastAsia="zh-CN"/>
        </w:rPr>
        <w:t xml:space="preserve">7048万元，资金</w:t>
      </w:r>
      <w:r>
        <w:rPr>
          <w:rFonts w:ascii="Times New Roman" w:eastAsia="仿宋_GB2312" w:hAnsi="Times New Roman" w:cs="Times New Roman" w:hint="default"/>
          <w:color w:val="auto"/>
          <w:sz w:val="32"/>
          <w:szCs w:val="32"/>
          <w:highlight w:val="none"/>
          <w:lang w:val="en-US" w:eastAsia="zh-CN"/>
        </w:rPr>
        <w:t xml:space="preserve">到位率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eastAsia="仿宋_GB2312" w:cs="Times New Roman" w:hint="eastAsia"/>
          <w:color w:val="auto"/>
          <w:sz w:val="32"/>
          <w:szCs w:val="32"/>
          <w:highlight w:val="none"/>
          <w:lang w:val="en-US" w:eastAsia="zh-CN"/>
        </w:rPr>
        <w:t xml:space="preserve">，该指标满分为4分，根据评分标准得4分。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50" w:name="_Toc20558"/>
      <w:r>
        <w:rPr>
          <w:rFonts w:ascii="Times New Roman" w:eastAsia="仿宋_GB2312" w:hAnsi="Times New Roman" w:cs="Times New Roman" w:hint="default"/>
          <w:color w:val="auto"/>
          <w:sz w:val="32"/>
          <w:szCs w:val="32"/>
          <w:highlight w:val="none"/>
          <w:lang w:val="en-US" w:eastAsia="zh-CN"/>
        </w:rPr>
        <w:t xml:space="preserve">（2）预算执行率</w:t>
      </w:r>
      <w:bookmarkEnd w:id="50"/>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本项目全年预算7048万元，全年实际</w:t>
      </w:r>
      <w:r>
        <w:rPr>
          <w:rFonts w:ascii="Times New Roman" w:eastAsia="仿宋_GB2312" w:hAnsi="Times New Roman" w:cs="Times New Roman" w:hint="default"/>
          <w:color w:val="auto"/>
          <w:sz w:val="32"/>
          <w:szCs w:val="32"/>
          <w:highlight w:val="none"/>
          <w:lang w:val="en-US" w:eastAsia="zh-CN"/>
        </w:rPr>
        <w:t xml:space="preserve">支出</w:t>
      </w:r>
      <w:r>
        <w:rPr>
          <w:rFonts w:eastAsia="仿宋_GB2312" w:cs="Times New Roman" w:hint="eastAsia"/>
          <w:color w:val="auto"/>
          <w:sz w:val="32"/>
          <w:szCs w:val="32"/>
          <w:highlight w:val="none"/>
          <w:lang w:val="en-US" w:eastAsia="zh-CN"/>
        </w:rPr>
        <w:t xml:space="preserve">6999.36</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eastAsia="仿宋_GB2312" w:cs="Times New Roman" w:hint="eastAsia"/>
          <w:color w:val="auto"/>
          <w:sz w:val="32"/>
          <w:szCs w:val="32"/>
          <w:highlight w:val="none"/>
          <w:lang w:val="en-US" w:eastAsia="zh-CN"/>
        </w:rPr>
        <w:t xml:space="preserve">99.31</w:t>
      </w:r>
      <w:r>
        <w:rPr>
          <w:rFonts w:ascii="Times New Roman" w:eastAsia="仿宋_GB2312" w:hAnsi="Times New Roman" w:cs="Times New Roman" w:hint="default"/>
          <w:color w:val="auto"/>
          <w:sz w:val="32"/>
          <w:szCs w:val="32"/>
          <w:highlight w:val="none"/>
          <w:lang w:val="en-US" w:eastAsia="zh-CN"/>
        </w:rPr>
        <w:t xml:space="preserve">%</w:t>
      </w:r>
      <w:r>
        <w:rPr>
          <w:rFonts w:eastAsia="仿宋_GB2312" w:cs="Times New Roman" w:hint="eastAsia"/>
          <w:color w:val="auto"/>
          <w:sz w:val="32"/>
          <w:szCs w:val="32"/>
          <w:highlight w:val="none"/>
          <w:lang w:val="en-US" w:eastAsia="zh-CN"/>
        </w:rPr>
        <w:t xml:space="preserve">，该指标满分为4分，根据评分标准得3.97分。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51" w:name="_Toc17145"/>
      <w:r>
        <w:rPr>
          <w:rFonts w:ascii="Times New Roman" w:eastAsia="仿宋_GB2312" w:hAnsi="Times New Roman" w:cs="Times New Roman" w:hint="default"/>
          <w:color w:val="auto"/>
          <w:sz w:val="32"/>
          <w:szCs w:val="32"/>
          <w:highlight w:val="none"/>
          <w:lang w:val="en-US" w:eastAsia="zh-CN"/>
        </w:rPr>
        <w:t xml:space="preserve">（3）资金使用合规性</w:t>
      </w:r>
      <w:bookmarkEnd w:id="51"/>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color w:val="auto"/>
          <w:sz w:val="32"/>
          <w:szCs w:val="32"/>
          <w:highlight w:val="none"/>
          <w:lang w:eastAsia="zh-CN"/>
        </w:rPr>
      </w:pPr>
      <w:bookmarkStart w:id="52" w:name="_Toc6256"/>
      <w:r>
        <w:rPr>
          <w:rFonts w:ascii="Times New Roman" w:eastAsia="仿宋_GB2312" w:hAnsi="Times New Roman" w:cs="Times New Roman" w:hint="default"/>
          <w:color w:val="auto"/>
          <w:sz w:val="32"/>
          <w:szCs w:val="32"/>
          <w:highlight w:val="none"/>
          <w:lang w:eastAsia="zh-CN"/>
        </w:rPr>
        <w:t xml:space="preserve">项目资金使用严格遵守</w:t>
      </w:r>
      <w:r>
        <w:rPr>
          <w:rFonts w:ascii="Times New Roman" w:eastAsia="仿宋_GB2312" w:hAnsi="Times New Roman" w:cs="Times New Roman" w:hint="default"/>
          <w:color w:val="auto"/>
          <w:sz w:val="32"/>
          <w:szCs w:val="32"/>
          <w:highlight w:val="none"/>
          <w:lang w:eastAsia="zh-CN"/>
        </w:rPr>
        <w:t xml:space="preserve">《中华人民共和国预算法》</w:t>
      </w:r>
      <w:r>
        <w:rPr>
          <w:rFonts w:ascii="Times New Roman" w:eastAsia="仿宋_GB2312" w:hAnsi="Times New Roman" w:cs="Times New Roman" w:hint="default"/>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水利发展</w:t>
      </w:r>
      <w:r>
        <w:rPr>
          <w:rFonts w:ascii="Times New Roman" w:eastAsia="仿宋_GB2312" w:hAnsi="Times New Roman" w:cs="Times New Roman" w:hint="default"/>
          <w:color w:val="auto"/>
          <w:sz w:val="32"/>
          <w:szCs w:val="32"/>
          <w:highlight w:val="none"/>
          <w:lang w:eastAsia="zh-CN"/>
        </w:rPr>
        <w:t xml:space="preserve">资金管理办法》《</w:t>
      </w:r>
      <w:r>
        <w:rPr>
          <w:rFonts w:eastAsia="仿宋_GB2312" w:cs="Times New Roman" w:hint="eastAsia"/>
          <w:color w:val="auto"/>
          <w:sz w:val="32"/>
          <w:szCs w:val="32"/>
          <w:highlight w:val="none"/>
          <w:lang w:val="en-US" w:eastAsia="zh-CN"/>
        </w:rPr>
        <w:t xml:space="preserve">事业单位财务规则</w:t>
      </w:r>
      <w:r>
        <w:rPr>
          <w:rFonts w:ascii="Times New Roman" w:eastAsia="仿宋_GB2312" w:hAnsi="Times New Roman" w:cs="Times New Roman" w:hint="default"/>
          <w:color w:val="auto"/>
          <w:sz w:val="32"/>
          <w:szCs w:val="32"/>
          <w:highlight w:val="none"/>
          <w:lang w:eastAsia="zh-CN"/>
        </w:rPr>
        <w:t xml:space="preserve">》等法律法规及财务制度，全程规范可控：①资金拨付均履行“申请-审核-审批”流程，附完整的合同、发票、验收单等佐证资料，</w:t>
      </w:r>
      <w:r>
        <w:rPr>
          <w:rFonts w:eastAsia="仿宋_GB2312" w:cs="Times New Roman" w:hint="eastAsia"/>
          <w:color w:val="auto"/>
          <w:sz w:val="32"/>
          <w:szCs w:val="32"/>
          <w:highlight w:val="none"/>
          <w:lang w:val="en-US" w:eastAsia="zh-CN"/>
        </w:rPr>
        <w:t xml:space="preserve">不存在</w:t>
      </w:r>
      <w:r>
        <w:rPr>
          <w:rFonts w:ascii="Times New Roman" w:eastAsia="仿宋_GB2312" w:hAnsi="Times New Roman" w:cs="Times New Roman" w:hint="default"/>
          <w:color w:val="auto"/>
          <w:sz w:val="32"/>
          <w:szCs w:val="32"/>
          <w:highlight w:val="none"/>
          <w:lang w:eastAsia="zh-CN"/>
        </w:rPr>
        <w:t xml:space="preserve">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2.组织实施</w:t>
      </w:r>
      <w:bookmarkEnd w:id="52"/>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53" w:name="_Toc470"/>
      <w:r>
        <w:rPr>
          <w:rFonts w:ascii="Times New Roman" w:eastAsia="仿宋_GB2312" w:hAnsi="Times New Roman" w:cs="Times New Roman" w:hint="default"/>
          <w:color w:val="auto"/>
          <w:sz w:val="32"/>
          <w:szCs w:val="32"/>
          <w:highlight w:val="none"/>
          <w:lang w:val="en-US" w:eastAsia="zh-CN"/>
        </w:rPr>
        <w:t xml:space="preserve">（1）管理制度健全性</w:t>
      </w:r>
      <w:bookmarkEnd w:id="53"/>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color w:val="auto"/>
          <w:sz w:val="32"/>
          <w:szCs w:val="32"/>
          <w:highlight w:val="none"/>
          <w:lang w:eastAsia="zh-CN"/>
        </w:rPr>
      </w:pPr>
      <w:bookmarkStart w:id="54" w:name="_Toc29107"/>
      <w:r>
        <w:rPr>
          <w:rFonts w:ascii="Times New Roman" w:eastAsia="仿宋_GB2312" w:hAnsi="Times New Roman" w:cs="Times New Roman" w:hint="default"/>
          <w:color w:val="auto"/>
          <w:sz w:val="32"/>
          <w:szCs w:val="32"/>
          <w:highlight w:val="none"/>
          <w:lang w:eastAsia="zh-CN"/>
        </w:rPr>
        <w:t xml:space="preserve">项目实施单位已制定《</w:t>
      </w:r>
      <w:r>
        <w:rPr>
          <w:rFonts w:eastAsia="仿宋_GB2312" w:cs="Times New Roman" w:hint="eastAsia"/>
          <w:color w:val="auto"/>
          <w:sz w:val="32"/>
          <w:szCs w:val="32"/>
          <w:highlight w:val="none"/>
          <w:lang w:val="en-US" w:eastAsia="zh-CN"/>
        </w:rPr>
        <w:t xml:space="preserve">渭干河水利管理中心财务管理9项制度（办法）</w:t>
      </w:r>
      <w:r>
        <w:rPr>
          <w:rFonts w:ascii="Times New Roman" w:eastAsia="仿宋_GB2312" w:hAnsi="Times New Roman" w:cs="Times New Roman" w:hint="default"/>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渭干河水利管理中心内部控制规范工作实施方案</w:t>
      </w:r>
      <w:r>
        <w:rPr>
          <w:rFonts w:ascii="Times New Roman" w:eastAsia="仿宋_GB2312" w:hAnsi="Times New Roman" w:cs="Times New Roman" w:hint="default"/>
          <w:color w:val="auto"/>
          <w:sz w:val="32"/>
          <w:szCs w:val="32"/>
          <w:highlight w:val="none"/>
          <w:lang w:eastAsia="zh-CN"/>
        </w:rPr>
        <w:t xml:space="preserve">》等一系列专项制度，制度体系覆盖项目策划、实施、监控、收尾全流程</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eastAsia="zh-CN"/>
        </w:rPr>
        <w:t xml:space="preserve">业务管理制度明确了各部门职责分工（如：业务科室负责项目实施、财务科室负责资金管理）</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eastAsia="zh-CN"/>
        </w:rPr>
        <w:t xml:space="preserve">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（2）制度执行有效性</w:t>
      </w:r>
      <w:bookmarkEnd w:id="54"/>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项目实施全过程严格执行各项管理制度，执行效果显著：①严格遵守法律法规及管理规定；②</w:t>
      </w:r>
      <w:r>
        <w:rPr>
          <w:rFonts w:eastAsia="仿宋_GB2312" w:cs="Times New Roman" w:hint="eastAsia"/>
          <w:color w:val="auto"/>
          <w:sz w:val="32"/>
          <w:szCs w:val="32"/>
          <w:highlight w:val="none"/>
          <w:lang w:val="en-US" w:eastAsia="zh-CN"/>
        </w:rPr>
        <w:t xml:space="preserve">项目招投标文件、中标通知书、</w:t>
      </w:r>
      <w:r>
        <w:rPr>
          <w:rFonts w:ascii="Times New Roman" w:eastAsia="仿宋_GB2312" w:hAnsi="Times New Roman" w:cs="Times New Roman" w:hint="default"/>
          <w:color w:val="auto"/>
          <w:sz w:val="32"/>
          <w:szCs w:val="32"/>
          <w:highlight w:val="none"/>
          <w:lang w:eastAsia="zh-CN"/>
        </w:rPr>
        <w:t xml:space="preserve">项目合同书</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工程建设资料</w:t>
      </w:r>
      <w:r>
        <w:rPr>
          <w:rFonts w:ascii="Times New Roman" w:eastAsia="仿宋_GB2312" w:hAnsi="Times New Roman" w:cs="Times New Roman" w:hint="default"/>
          <w:color w:val="auto"/>
          <w:sz w:val="32"/>
          <w:szCs w:val="32"/>
          <w:highlight w:val="none"/>
          <w:lang w:eastAsia="zh-CN"/>
        </w:rPr>
        <w:t xml:space="preserve">、财务凭证等资料齐全，均按要求及时归档</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eastAsia="zh-CN"/>
        </w:rPr>
        <w:t xml:space="preserve">③人员、场地、设备等实施条件全部落实到位，满足项目实施需求。制度执行无偏差，有效保障了项目按计划推进，符合评分标准中“遵守相关规定、调整手续完备、资料齐全归档、实施条件落实”的要求</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pStyle w:val="BodyTextFirstIndent"/>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color w:val="auto"/>
          <w:sz w:val="32"/>
          <w:szCs w:val="32"/>
          <w:highlight w:val="none"/>
        </w:rPr>
      </w:pPr>
      <w:bookmarkStart w:id="55" w:name="_Toc8612"/>
      <w:r>
        <w:rPr>
          <w:rFonts w:eastAsia="楷体_GB2312" w:cs="Times New Roman" w:hint="eastAsia"/>
          <w:b/>
          <w:bCs/>
          <w:color w:val="auto"/>
          <w:sz w:val="32"/>
          <w:szCs w:val="32"/>
          <w:highlight w:val="none"/>
          <w:lang w:eastAsia="zh-CN"/>
        </w:rPr>
        <w:t xml:space="preserve">（</w:t>
      </w:r>
      <w:r>
        <w:rPr>
          <w:rFonts w:eastAsia="楷体_GB2312" w:cs="Times New Roman" w:hint="eastAsia"/>
          <w:b/>
          <w:bCs/>
          <w:color w:val="auto"/>
          <w:sz w:val="32"/>
          <w:szCs w:val="32"/>
          <w:highlight w:val="none"/>
          <w:lang w:val="en-US" w:eastAsia="zh-CN"/>
        </w:rPr>
        <w:t xml:space="preserve">三</w:t>
      </w:r>
      <w:r>
        <w:rPr>
          <w:rFonts w:eastAsia="楷体_GB2312" w:cs="Times New Roman" w:hint="eastAsia"/>
          <w:b/>
          <w:bCs/>
          <w:color w:val="auto"/>
          <w:sz w:val="32"/>
          <w:szCs w:val="32"/>
          <w:highlight w:val="none"/>
          <w:lang w:eastAsia="zh-CN"/>
        </w:rPr>
        <w:t xml:space="preserve">）</w:t>
      </w:r>
      <w:r>
        <w:rPr>
          <w:rFonts w:ascii="Times New Roman" w:eastAsia="楷体_GB2312" w:hAnsi="Times New Roman" w:cs="Times New Roman" w:hint="default"/>
          <w:b/>
          <w:bCs/>
          <w:color w:val="auto"/>
          <w:sz w:val="32"/>
          <w:szCs w:val="32"/>
          <w:highlight w:val="none"/>
        </w:rPr>
        <w:t xml:space="preserve">项目产出</w:t>
      </w:r>
      <w:r>
        <w:rPr>
          <w:rFonts w:ascii="Times New Roman" w:eastAsia="楷体_GB2312" w:hAnsi="Times New Roman" w:cs="Times New Roman" w:hint="default"/>
          <w:b/>
          <w:bCs/>
          <w:color w:val="auto"/>
          <w:sz w:val="32"/>
          <w:szCs w:val="32"/>
          <w:highlight w:val="none"/>
          <w:lang w:val="en-US" w:eastAsia="zh-CN"/>
        </w:rPr>
        <w:t xml:space="preserve">情况</w:t>
      </w:r>
      <w:bookmarkEnd w:id="55"/>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项目产出类指标包括产出数量、产出质量、产出时效、产出成本四方面的内容，由</w:t>
      </w:r>
      <w:r>
        <w:rPr>
          <w:rFonts w:eastAsia="仿宋_GB2312" w:cs="Times New Roman" w:hint="eastAsia"/>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eastAsia="仿宋_GB2312"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1</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实际完成率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数量指标1：</w:t>
      </w:r>
      <w:r>
        <w:rPr>
          <w:rFonts w:eastAsia="仿宋_GB2312" w:cs="Times New Roman" w:hint="eastAsia"/>
          <w:color w:val="auto"/>
          <w:sz w:val="32"/>
          <w:szCs w:val="32"/>
          <w:highlight w:val="none"/>
          <w:lang w:val="en-US" w:eastAsia="zh-CN"/>
        </w:rPr>
        <w:t xml:space="preserve">人员工资发放次数</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=12次</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=12次</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数量指标</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水利工程维修养护项目</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≥5项</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=5项</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数量指标</w:t>
      </w:r>
      <w:r>
        <w:rPr>
          <w:rFonts w:eastAsia="仿宋_GB2312" w:cs="Times New Roman" w:hint="eastAsia"/>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支付克孜尔水库管理中心水费次数</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≥3次</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=3次</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数量指标</w:t>
      </w:r>
      <w:r>
        <w:rPr>
          <w:rFonts w:eastAsia="仿宋_GB2312" w:cs="Times New Roman" w:hint="eastAsia"/>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委托业务服务项目数量</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≥5次</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=5次</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数量指标</w:t>
      </w:r>
      <w:r>
        <w:rPr>
          <w:rFonts w:eastAsia="仿宋_GB2312" w:cs="Times New Roman" w:hint="eastAsia"/>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工资发放人数</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=231人</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=231人</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2</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质量达标率</w:t>
      </w:r>
      <w:r>
        <w:rPr>
          <w:rFonts w:ascii="Times New Roman" w:eastAsia="仿宋_GB2312" w:hAnsi="Times New Roman" w:cs="Times New Roman" w:hint="default"/>
          <w:color w:val="auto"/>
          <w:sz w:val="32"/>
          <w:szCs w:val="32"/>
          <w:highlight w:val="none"/>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质量</w:t>
      </w: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水利工程维修养护项目招投标资金落实率</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≥95%</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color w:val="auto"/>
          <w:highlight w:val="none"/>
          <w:lang w:val="en-US" w:eastAsia="zh-CN"/>
        </w:rPr>
      </w:pPr>
      <w:r>
        <w:rPr>
          <w:rFonts w:eastAsia="仿宋_GB2312" w:cs="Times New Roman" w:hint="eastAsia"/>
          <w:color w:val="auto"/>
          <w:sz w:val="32"/>
          <w:szCs w:val="32"/>
          <w:highlight w:val="none"/>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3</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完成及时性</w:t>
      </w:r>
      <w:r>
        <w:rPr>
          <w:rFonts w:ascii="Times New Roman" w:eastAsia="仿宋_GB2312" w:hAnsi="Times New Roman" w:cs="Times New Roman" w:hint="default"/>
          <w:color w:val="auto"/>
          <w:sz w:val="32"/>
          <w:szCs w:val="32"/>
          <w:highlight w:val="none"/>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时效</w:t>
      </w: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灌溉水费支付及时率</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≥95%</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时效</w:t>
      </w: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工资发放及时率</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≥95%</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color w:val="auto"/>
          <w:highlight w:val="none"/>
          <w:lang w:val="en-US" w:eastAsia="zh-CN"/>
        </w:rPr>
      </w:pPr>
      <w:r>
        <w:rPr>
          <w:rFonts w:eastAsia="仿宋_GB2312" w:cs="Times New Roman" w:hint="eastAsia"/>
          <w:color w:val="auto"/>
          <w:sz w:val="32"/>
          <w:szCs w:val="32"/>
          <w:highlight w:val="none"/>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default"/>
          <w:color w:val="auto"/>
          <w:sz w:val="32"/>
          <w:szCs w:val="32"/>
          <w:highlight w:val="none"/>
          <w:lang w:val="en-US" w:eastAsia="zh-CN"/>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4</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成本节约率</w:t>
      </w:r>
      <w:r>
        <w:rPr>
          <w:rFonts w:eastAsia="仿宋_GB2312" w:cs="Times New Roman" w:hint="default"/>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经济成本指标1</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人员工资福利支出</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≤3084万元</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=3038.29万元</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98.52</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r>
        <w:rPr>
          <w:rFonts w:eastAsia="仿宋_GB2312" w:cs="Times New Roman" w:hint="default"/>
          <w:color w:val="auto"/>
          <w:sz w:val="32"/>
          <w:szCs w:val="32"/>
          <w:highlight w:val="none"/>
          <w:lang w:val="en-US" w:eastAsia="zh-CN"/>
        </w:rPr>
        <w:t xml:space="preserve">偏差原因：</w:t>
      </w:r>
      <w:r>
        <w:rPr>
          <w:rFonts w:eastAsia="仿宋_GB2312" w:cs="Times New Roman" w:hint="default"/>
          <w:b/>
          <w:bCs/>
          <w:color w:val="auto"/>
          <w:sz w:val="32"/>
          <w:szCs w:val="32"/>
          <w:highlight w:val="none"/>
          <w:lang w:val="en-US" w:eastAsia="zh-CN"/>
        </w:rPr>
        <w:t xml:space="preserve">一是</w:t>
      </w:r>
      <w:r>
        <w:rPr>
          <w:rFonts w:eastAsia="仿宋_GB2312" w:cs="Times New Roman" w:hint="default"/>
          <w:color w:val="auto"/>
          <w:sz w:val="32"/>
          <w:szCs w:val="32"/>
          <w:highlight w:val="none"/>
          <w:lang w:val="en-US" w:eastAsia="zh-CN"/>
        </w:rPr>
        <w:t xml:space="preserve">部分人员到龄退休，人员编制缩减，工资福利支出相应减少；</w:t>
      </w:r>
      <w:r>
        <w:rPr>
          <w:rFonts w:eastAsia="仿宋_GB2312" w:cs="Times New Roman" w:hint="default"/>
          <w:b/>
          <w:bCs/>
          <w:color w:val="auto"/>
          <w:sz w:val="32"/>
          <w:szCs w:val="32"/>
          <w:highlight w:val="none"/>
          <w:lang w:val="en-US" w:eastAsia="zh-CN"/>
        </w:rPr>
        <w:t xml:space="preserve">二是</w:t>
      </w:r>
      <w:r>
        <w:rPr>
          <w:rFonts w:eastAsia="仿宋_GB2312" w:cs="Times New Roman" w:hint="default"/>
          <w:color w:val="auto"/>
          <w:sz w:val="32"/>
          <w:szCs w:val="32"/>
          <w:highlight w:val="none"/>
          <w:lang w:val="en-US" w:eastAsia="zh-CN"/>
        </w:rPr>
        <w:t xml:space="preserve">有人员调出，在职人员数量减少，经费支出随之降低；</w:t>
      </w:r>
      <w:r>
        <w:rPr>
          <w:rFonts w:eastAsia="仿宋_GB2312" w:cs="Times New Roman" w:hint="default"/>
          <w:b/>
          <w:bCs/>
          <w:color w:val="auto"/>
          <w:sz w:val="32"/>
          <w:szCs w:val="32"/>
          <w:highlight w:val="none"/>
          <w:lang w:val="en-US" w:eastAsia="zh-CN"/>
        </w:rPr>
        <w:t xml:space="preserve">三是</w:t>
      </w:r>
      <w:r>
        <w:rPr>
          <w:rFonts w:eastAsia="仿宋_GB2312" w:cs="Times New Roman" w:hint="default"/>
          <w:color w:val="auto"/>
          <w:sz w:val="32"/>
          <w:szCs w:val="32"/>
          <w:highlight w:val="none"/>
          <w:lang w:val="en-US" w:eastAsia="zh-CN"/>
        </w:rPr>
        <w:t xml:space="preserve">社保缴费基数调整幅度小于预期，相关配套支出未达预算测算值。</w:t>
      </w:r>
      <w:r>
        <w:rPr>
          <w:rFonts w:eastAsia="仿宋_GB2312" w:cs="Times New Roman" w:hint="eastAsia"/>
          <w:color w:val="auto"/>
          <w:sz w:val="32"/>
          <w:szCs w:val="32"/>
          <w:highlight w:val="none"/>
          <w:lang w:val="en-US" w:eastAsia="zh-CN"/>
        </w:rPr>
        <w:t xml:space="preserve">改进措施：</w:t>
      </w:r>
      <w:r>
        <w:rPr>
          <w:rFonts w:eastAsia="仿宋_GB2312" w:cs="Times New Roman" w:hint="default"/>
          <w:color w:val="auto"/>
          <w:sz w:val="32"/>
          <w:szCs w:val="32"/>
          <w:highlight w:val="none"/>
          <w:lang w:val="en-US" w:eastAsia="zh-CN"/>
        </w:rPr>
        <w:t xml:space="preserve">精准统计在职、退休、调出人员变动情况，提前摸排社保政策调整细节，下一年度预算编制时细化人员经费测算，提审预算精准度，确保经费预算贴合实际支出情况。</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eastAsia="仿宋_GB2312" w:cs="Times New Roman" w:hint="eastAsia"/>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经济成本指标2</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2025年度灌溉水费支出</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≤3439万元</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=3438.3万元</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99.98</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r>
        <w:rPr>
          <w:rFonts w:eastAsia="仿宋_GB2312" w:cs="Times New Roman" w:hint="default"/>
          <w:color w:val="auto"/>
          <w:sz w:val="32"/>
          <w:szCs w:val="32"/>
          <w:highlight w:val="none"/>
          <w:lang w:val="en-US" w:eastAsia="zh-CN"/>
        </w:rPr>
        <w:t xml:space="preserve">偏差原因：本年度灌溉水费预算是根据上一年度用水量测算编制，因本年度实际灌溉用水量略有减少，导致实际支付水费较预算略有降低，形成小幅偏差。</w:t>
      </w:r>
      <w:r>
        <w:rPr>
          <w:rFonts w:eastAsia="仿宋_GB2312" w:cs="Times New Roman" w:hint="eastAsia"/>
          <w:color w:val="auto"/>
          <w:sz w:val="32"/>
          <w:szCs w:val="32"/>
          <w:highlight w:val="none"/>
          <w:lang w:val="en-US" w:eastAsia="zh-CN"/>
        </w:rPr>
        <w:t xml:space="preserve">改进措施：今后将结合近年平均用水量、当年气候及灌溉需求等因素，更加精准测算水费预算，强化用水动态管理，进一步提高预算执行准确率。</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eastAsia="仿宋_GB2312" w:cs="Times New Roman" w:hint="eastAsia"/>
          <w:color w:val="auto"/>
          <w:sz w:val="32"/>
          <w:szCs w:val="32"/>
          <w:highlight w:val="none"/>
          <w:lang w:eastAsia="zh-CN"/>
        </w:rPr>
      </w:pPr>
      <w:r>
        <w:rPr>
          <w:rFonts w:eastAsia="仿宋_GB2312" w:cs="Times New Roman" w:hint="eastAsia"/>
          <w:color w:val="auto"/>
          <w:sz w:val="32"/>
          <w:szCs w:val="32"/>
          <w:highlight w:val="none"/>
          <w:lang w:val="en-US" w:eastAsia="zh-CN"/>
        </w:rPr>
        <w:t xml:space="preserve">经济成本指标3</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水利工程维修养护支出</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≤420万元</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=420万元</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eastAsia="仿宋_GB2312" w:cs="Times New Roman" w:hint="eastAsia"/>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经济成本指标4</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公用经费支出</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≤105万元</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=102.77万元</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97.88</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eastAsia"/>
          <w:color w:val="auto"/>
          <w:kern w:val="2"/>
          <w:sz w:val="32"/>
          <w:szCs w:val="32"/>
          <w:highlight w:val="none"/>
          <w:lang w:val="en-US" w:eastAsia="zh-CN" w:bidi="ar-SA"/>
        </w:rPr>
        <w:t xml:space="preserve">偏差原因：年度实际运行中，受部分会议培训精简、公务出行按需压缩及日常办公耗材精细化管理等因素影响，各类支出较预算有所节约。改进措施：今后将持续优化公用经费预算执行管控，进一步细化年度支出计划，动态跟踪各项费用进度，在确保正常运行的前提下，从严从紧控制支出，提高资金使用效益，力争实现预算执行的精准匹配。</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eastAsia="仿宋_GB2312"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该指标满分为</w:t>
      </w:r>
      <w:r>
        <w:rPr>
          <w:rFonts w:eastAsia="仿宋_GB2312" w:cs="Times New Roman" w:hint="eastAsia"/>
          <w:color w:val="auto"/>
          <w:kern w:val="2"/>
          <w:sz w:val="32"/>
          <w:szCs w:val="32"/>
          <w:highlight w:val="none"/>
          <w:lang w:val="en-US" w:eastAsia="zh-CN" w:bidi="ar-SA"/>
        </w:rPr>
        <w:t xml:space="preserve">10</w:t>
      </w:r>
      <w:r>
        <w:rPr>
          <w:rFonts w:eastAsia="仿宋_GB2312" w:cs="Times New Roman" w:hint="eastAsia"/>
          <w:color w:val="auto"/>
          <w:sz w:val="32"/>
          <w:szCs w:val="32"/>
          <w:highlight w:val="none"/>
          <w:lang w:val="en-US" w:eastAsia="zh-CN"/>
        </w:rPr>
        <w:t xml:space="preserve">分</w:t>
      </w:r>
      <w:r>
        <w:rPr>
          <w:rFonts w:eastAsia="仿宋_GB2312" w:cs="Times New Roman" w:hint="default"/>
          <w:color w:val="auto"/>
          <w:sz w:val="32"/>
          <w:szCs w:val="32"/>
          <w:highlight w:val="none"/>
          <w:lang w:val="en-US" w:eastAsia="zh-CN"/>
        </w:rPr>
        <w:t xml:space="preserve">，本项目计划总成本为</w:t>
      </w:r>
      <w:r>
        <w:rPr>
          <w:rFonts w:eastAsia="仿宋_GB2312" w:cs="Times New Roman" w:hint="eastAsia"/>
          <w:color w:val="auto"/>
          <w:sz w:val="32"/>
          <w:szCs w:val="32"/>
          <w:highlight w:val="none"/>
          <w:lang w:val="en-US" w:eastAsia="zh-CN"/>
        </w:rPr>
        <w:t xml:space="preserve">7048</w:t>
      </w:r>
      <w:r>
        <w:rPr>
          <w:rFonts w:eastAsia="仿宋_GB2312" w:cs="Times New Roman" w:hint="default"/>
          <w:color w:val="auto"/>
          <w:sz w:val="32"/>
          <w:szCs w:val="32"/>
          <w:highlight w:val="none"/>
          <w:lang w:val="en-US" w:eastAsia="zh-CN"/>
        </w:rPr>
        <w:t xml:space="preserve">万元，实际发生总成本为</w:t>
      </w:r>
      <w:r>
        <w:rPr>
          <w:rFonts w:eastAsia="仿宋_GB2312" w:cs="Times New Roman" w:hint="eastAsia"/>
          <w:color w:val="auto"/>
          <w:sz w:val="32"/>
          <w:szCs w:val="32"/>
          <w:highlight w:val="none"/>
          <w:lang w:val="en-US" w:eastAsia="zh-CN"/>
        </w:rPr>
        <w:t xml:space="preserve">6999.36</w:t>
      </w:r>
      <w:r>
        <w:rPr>
          <w:rFonts w:eastAsia="仿宋_GB2312" w:cs="Times New Roman" w:hint="default"/>
          <w:color w:val="auto"/>
          <w:sz w:val="32"/>
          <w:szCs w:val="32"/>
          <w:highlight w:val="none"/>
          <w:lang w:val="en-US" w:eastAsia="zh-CN"/>
        </w:rPr>
        <w:t xml:space="preserve">万元，成本节约率为</w:t>
      </w:r>
      <w:r>
        <w:rPr>
          <w:rFonts w:eastAsia="仿宋_GB2312" w:cs="Times New Roman" w:hint="eastAsia"/>
          <w:color w:val="auto"/>
          <w:sz w:val="32"/>
          <w:szCs w:val="32"/>
          <w:highlight w:val="none"/>
          <w:lang w:val="en-US" w:eastAsia="zh-CN"/>
        </w:rPr>
        <w:t xml:space="preserve">1</w:t>
      </w:r>
      <w:r>
        <w:rPr>
          <w:rFonts w:eastAsia="仿宋_GB2312" w:cs="Times New Roman" w:hint="default"/>
          <w:color w:val="auto"/>
          <w:sz w:val="32"/>
          <w:szCs w:val="32"/>
          <w:highlight w:val="none"/>
          <w:lang w:val="en-US" w:eastAsia="zh-CN"/>
        </w:rPr>
        <w:t xml:space="preserve">%，未发生任何超支情况</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pStyle w:val="BodyTextFirstIndent"/>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color w:val="auto"/>
          <w:sz w:val="32"/>
          <w:szCs w:val="32"/>
          <w:highlight w:val="none"/>
          <w:lang w:val="en-US" w:eastAsia="zh-CN"/>
        </w:rPr>
      </w:pPr>
      <w:bookmarkStart w:id="56" w:name="_Toc18470"/>
      <w:r>
        <w:rPr>
          <w:rFonts w:eastAsia="楷体_GB2312" w:cs="Times New Roman" w:hint="eastAsia"/>
          <w:b/>
          <w:bCs/>
          <w:color w:val="auto"/>
          <w:sz w:val="32"/>
          <w:szCs w:val="32"/>
          <w:highlight w:val="none"/>
          <w:lang w:val="en-US" w:eastAsia="zh-CN"/>
        </w:rPr>
        <w:t xml:space="preserve">（四）</w:t>
      </w:r>
      <w:r>
        <w:rPr>
          <w:rFonts w:ascii="Times New Roman" w:eastAsia="楷体_GB2312" w:hAnsi="Times New Roman" w:cs="Times New Roman" w:hint="default"/>
          <w:b/>
          <w:bCs/>
          <w:color w:val="auto"/>
          <w:sz w:val="32"/>
          <w:szCs w:val="32"/>
          <w:highlight w:val="none"/>
          <w:lang w:val="en-US" w:eastAsia="zh-CN"/>
        </w:rPr>
        <w:t xml:space="preserve">项目效益情况</w:t>
      </w:r>
      <w:bookmarkEnd w:id="56"/>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项目效益类指标包括项目实施效益和满意度两方面的内容，由</w:t>
      </w:r>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val="en-US" w:eastAsia="zh-CN"/>
        </w:rPr>
        <w:t xml:space="preserve">个三级指标构成，权重分为20分，实际得分</w:t>
      </w:r>
      <w:r>
        <w:rPr>
          <w:rFonts w:eastAsia="仿宋_GB2312"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%。具体效益指标及满意度指标完成情况如下：</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color w:val="auto"/>
          <w:sz w:val="32"/>
          <w:szCs w:val="32"/>
          <w:highlight w:val="none"/>
          <w:lang w:val="en-US" w:eastAsia="zh-CN"/>
        </w:rPr>
      </w:pPr>
      <w:bookmarkStart w:id="57" w:name="_Toc21198"/>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val="en-US" w:eastAsia="zh-CN"/>
        </w:rPr>
        <w:t xml:space="preserve">实施效益</w:t>
      </w:r>
      <w:bookmarkEnd w:id="57"/>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eastAsia="仿宋_GB2312" w:cs="Times New Roman" w:hint="eastAsia"/>
          <w:color w:val="auto"/>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color w:val="auto"/>
          <w:sz w:val="32"/>
          <w:szCs w:val="32"/>
          <w:highlight w:val="none"/>
        </w:rPr>
        <w:t xml:space="preserve">社会效益指标：</w:t>
      </w:r>
      <w:r>
        <w:rPr>
          <w:rFonts w:eastAsia="仿宋_GB2312" w:cs="Times New Roman" w:hint="eastAsia"/>
          <w:color w:val="auto"/>
          <w:sz w:val="32"/>
          <w:szCs w:val="32"/>
          <w:highlight w:val="none"/>
          <w:lang w:val="en-US" w:eastAsia="zh-CN"/>
        </w:rPr>
        <w:t xml:space="preserve">保障管理中心水利工程设施设备安全运行</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有效保障</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color w:val="auto"/>
          <w:highlight w:val="none"/>
          <w:lang w:val="en-US" w:eastAsia="zh-CN"/>
        </w:rPr>
      </w:pPr>
      <w:r>
        <w:rPr>
          <w:rFonts w:eastAsia="仿宋_GB2312" w:cs="Times New Roman" w:hint="eastAsia"/>
          <w:color w:val="auto"/>
          <w:sz w:val="32"/>
          <w:szCs w:val="32"/>
          <w:highlight w:val="none"/>
          <w:lang w:val="en-US" w:eastAsia="zh-CN"/>
        </w:rPr>
        <w:t xml:space="preserve">该指标满分为20分，根据评分标准得20分。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黑体" w:eastAsia="黑体" w:hAnsi="黑体" w:cs="黑体" w:hint="default"/>
          <w:b w:val="0"/>
          <w:bCs w:val="0"/>
          <w:color w:val="auto"/>
          <w:sz w:val="32"/>
          <w:szCs w:val="32"/>
          <w:highlight w:val="none"/>
          <w:lang w:val="en-US" w:eastAsia="zh-CN"/>
        </w:rPr>
      </w:pPr>
      <w:bookmarkStart w:id="58" w:name="_Toc21462"/>
      <w:r>
        <w:rPr>
          <w:rFonts w:ascii="黑体" w:eastAsia="黑体" w:hAnsi="黑体" w:cs="黑体" w:hint="eastAsia"/>
          <w:b w:val="0"/>
          <w:bCs w:val="0"/>
          <w:color w:val="auto"/>
          <w:sz w:val="32"/>
          <w:szCs w:val="32"/>
          <w:highlight w:val="none"/>
          <w:lang w:val="en-US" w:eastAsia="zh-CN"/>
        </w:rPr>
        <w:t xml:space="preserve">五、</w:t>
      </w:r>
      <w:r>
        <w:rPr>
          <w:rFonts w:ascii="黑体" w:eastAsia="黑体" w:hAnsi="黑体" w:cs="黑体" w:hint="eastAsia"/>
          <w:b w:val="0"/>
          <w:bCs w:val="0"/>
          <w:color w:val="auto"/>
          <w:sz w:val="32"/>
          <w:szCs w:val="32"/>
          <w:highlight w:val="none"/>
          <w:lang w:val="en-US"/>
        </w:rPr>
        <w:t xml:space="preserve">预算执行进度与</w:t>
      </w:r>
      <w:bookmarkEnd w:id="58"/>
      <w:r>
        <w:rPr>
          <w:rFonts w:ascii="黑体" w:eastAsia="黑体" w:hAnsi="黑体" w:cs="黑体" w:hint="eastAsia"/>
          <w:b w:val="0"/>
          <w:bCs w:val="0"/>
          <w:color w:val="auto"/>
          <w:sz w:val="32"/>
          <w:szCs w:val="32"/>
          <w:highlight w:val="none"/>
          <w:lang w:val="en-US" w:eastAsia="zh-CN"/>
        </w:rPr>
        <w:t xml:space="preserve">绩效指标偏差</w:t>
      </w:r>
    </w:p>
    <w:p>
      <w:pPr>
        <w:pStyle w:val="闻政-正文段落文字"/>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2025年自治区水利发展资金专项（经营成本性项目）项目</w:t>
      </w:r>
      <w:r>
        <w:rPr>
          <w:rFonts w:ascii="Times New Roman" w:eastAsia="仿宋_GB2312" w:hAnsi="Times New Roman" w:cs="Times New Roman" w:hint="default"/>
          <w:b w:val="0"/>
          <w:bCs w:val="0"/>
          <w:color w:val="auto"/>
          <w:sz w:val="32"/>
          <w:szCs w:val="32"/>
          <w:highlight w:val="none"/>
        </w:rPr>
        <w:t xml:space="preserve">年初预算</w:t>
      </w:r>
      <w:r>
        <w:rPr>
          <w:rFonts w:ascii="Times New Roman" w:eastAsia="仿宋_GB2312" w:hAnsi="Times New Roman" w:cs="Times New Roman" w:hint="default"/>
          <w:color w:val="auto"/>
          <w:sz w:val="32"/>
          <w:szCs w:val="32"/>
          <w:highlight w:val="none"/>
          <w:lang w:val="en-US" w:eastAsia="zh-CN"/>
        </w:rPr>
        <w:t xml:space="preserve">7048</w:t>
      </w:r>
      <w:r>
        <w:rPr>
          <w:rFonts w:ascii="Times New Roman" w:eastAsia="仿宋_GB2312" w:hAnsi="Times New Roman" w:cs="Times New Roman" w:hint="default"/>
          <w:b w:val="0"/>
          <w:bCs w:val="0"/>
          <w:color w:val="auto"/>
          <w:sz w:val="32"/>
          <w:szCs w:val="32"/>
          <w:highlight w:val="none"/>
        </w:rPr>
        <w:t xml:space="preserve">万元，全年预算</w:t>
      </w:r>
      <w:r>
        <w:rPr>
          <w:rFonts w:ascii="Times New Roman" w:eastAsia="仿宋_GB2312" w:hAnsi="Times New Roman" w:cs="Times New Roman" w:hint="default"/>
          <w:color w:val="auto"/>
          <w:sz w:val="32"/>
          <w:szCs w:val="32"/>
          <w:highlight w:val="none"/>
          <w:lang w:val="en-US" w:eastAsia="zh-CN"/>
        </w:rPr>
        <w:t xml:space="preserve">7048</w:t>
      </w:r>
      <w:r>
        <w:rPr>
          <w:rFonts w:ascii="Times New Roman" w:eastAsia="仿宋_GB2312" w:hAnsi="Times New Roman" w:cs="Times New Roman" w:hint="default"/>
          <w:b w:val="0"/>
          <w:bCs w:val="0"/>
          <w:color w:val="auto"/>
          <w:sz w:val="32"/>
          <w:szCs w:val="32"/>
          <w:highlight w:val="none"/>
        </w:rPr>
        <w:t xml:space="preserve">万元，实际支出</w:t>
      </w:r>
      <w:r>
        <w:rPr>
          <w:rFonts w:ascii="Times New Roman" w:eastAsia="仿宋_GB2312" w:hAnsi="Times New Roman" w:cs="Times New Roman" w:hint="default"/>
          <w:color w:val="auto"/>
          <w:sz w:val="32"/>
          <w:szCs w:val="32"/>
          <w:highlight w:val="none"/>
          <w:lang w:val="en-US" w:eastAsia="zh-CN"/>
        </w:rPr>
        <w:t xml:space="preserve">6999.36</w:t>
      </w:r>
      <w:r>
        <w:rPr>
          <w:rFonts w:ascii="Times New Roman" w:eastAsia="仿宋_GB2312" w:hAnsi="Times New Roman" w:cs="Times New Roman" w:hint="default"/>
          <w:b w:val="0"/>
          <w:bCs w:val="0"/>
          <w:color w:val="auto"/>
          <w:sz w:val="32"/>
          <w:szCs w:val="32"/>
          <w:highlight w:val="none"/>
        </w:rPr>
        <w:t xml:space="preserve">万元，预算执行率为</w:t>
      </w:r>
      <w:r>
        <w:rPr>
          <w:rFonts w:ascii="Times New Roman" w:eastAsia="仿宋_GB2312" w:hAnsi="Times New Roman" w:cs="Times New Roman" w:hint="default"/>
          <w:color w:val="auto"/>
          <w:sz w:val="32"/>
          <w:szCs w:val="32"/>
          <w:highlight w:val="none"/>
          <w:lang w:val="en-US" w:eastAsia="zh-CN"/>
        </w:rPr>
        <w:t xml:space="preserve">99.31</w:t>
      </w:r>
      <w:r>
        <w:rPr>
          <w:rFonts w:ascii="Times New Roman" w:eastAsia="仿宋_GB2312" w:hAnsi="Times New Roman" w:cs="Times New Roman" w:hint="default"/>
          <w:b w:val="0"/>
          <w:bCs w:val="0"/>
          <w:color w:val="auto"/>
          <w:sz w:val="32"/>
          <w:szCs w:val="32"/>
          <w:highlight w:val="none"/>
        </w:rPr>
        <w:t xml:space="preserve">%，项目绩效指标总体完成率为</w:t>
      </w:r>
      <w:r>
        <w:rPr>
          <w:rFonts w:ascii="Times New Roman" w:eastAsia="仿宋_GB2312" w:hAnsi="Times New Roman" w:cs="Times New Roman" w:hint="default"/>
          <w:b w:val="0"/>
          <w:bCs w:val="0"/>
          <w:color w:val="auto"/>
          <w:sz w:val="32"/>
          <w:szCs w:val="32"/>
          <w:highlight w:val="none"/>
          <w:lang w:val="en-US" w:eastAsia="zh-CN"/>
        </w:rPr>
        <w:t xml:space="preserve">99.72</w:t>
      </w:r>
      <w:r>
        <w:rPr>
          <w:rFonts w:ascii="Times New Roman" w:eastAsia="仿宋_GB2312" w:hAnsi="Times New Roman" w:cs="Times New Roman" w:hint="default"/>
          <w:b w:val="0"/>
          <w:bCs w:val="0"/>
          <w:color w:val="auto"/>
          <w:sz w:val="32"/>
          <w:szCs w:val="32"/>
          <w:highlight w:val="none"/>
        </w:rPr>
        <w:t xml:space="preserve">%，</w:t>
      </w:r>
      <w:r>
        <w:rPr>
          <w:rFonts w:ascii="Times New Roman" w:eastAsia="仿宋_GB2312" w:hAnsi="Times New Roman" w:cs="Times New Roman" w:hint="default"/>
          <w:b w:val="0"/>
          <w:bCs w:val="0"/>
          <w:color w:val="auto"/>
          <w:sz w:val="32"/>
          <w:szCs w:val="32"/>
          <w:highlight w:val="none"/>
        </w:rPr>
        <w:t xml:space="preserve">总体</w:t>
      </w:r>
      <w:r>
        <w:rPr>
          <w:rFonts w:ascii="Times New Roman" w:eastAsia="仿宋_GB2312" w:hAnsi="Times New Roman" w:cs="Times New Roman" w:hint="default"/>
          <w:b w:val="0"/>
          <w:bCs w:val="0"/>
          <w:color w:val="auto"/>
          <w:sz w:val="32"/>
          <w:szCs w:val="32"/>
          <w:highlight w:val="none"/>
        </w:rPr>
        <w:t xml:space="preserve">偏差率为</w:t>
      </w:r>
      <w:r>
        <w:rPr>
          <w:rFonts w:ascii="Times New Roman" w:eastAsia="仿宋_GB2312" w:hAnsi="Times New Roman" w:cs="Times New Roman" w:hint="default"/>
          <w:b w:val="0"/>
          <w:bCs w:val="0"/>
          <w:color w:val="auto"/>
          <w:sz w:val="32"/>
          <w:szCs w:val="32"/>
          <w:highlight w:val="none"/>
          <w:lang w:val="en-US" w:eastAsia="zh-CN"/>
        </w:rPr>
        <w:t xml:space="preserve">0.41</w:t>
      </w:r>
      <w:r>
        <w:rPr>
          <w:rFonts w:ascii="Times New Roman" w:eastAsia="仿宋_GB2312" w:hAnsi="Times New Roman" w:cs="Times New Roman" w:hint="default"/>
          <w:b w:val="0"/>
          <w:bCs w:val="0"/>
          <w:color w:val="auto"/>
          <w:sz w:val="32"/>
          <w:szCs w:val="32"/>
          <w:highlight w:val="none"/>
        </w:rPr>
        <w:t xml:space="preserve">%</w:t>
      </w:r>
      <w:r>
        <w:rPr>
          <w:rFonts w:ascii="Times New Roman" w:eastAsia="仿宋_GB2312" w:hAnsi="Times New Roman" w:cs="Times New Roman" w:hint="default"/>
          <w:b w:val="0"/>
          <w:bCs w:val="0"/>
          <w:color w:val="auto"/>
          <w:sz w:val="32"/>
          <w:szCs w:val="32"/>
          <w:highlight w:val="none"/>
          <w:lang w:eastAsia="zh-CN"/>
        </w:rPr>
        <w:t xml:space="preserve">，</w:t>
      </w:r>
      <w:r>
        <w:rPr>
          <w:rFonts w:ascii="Times New Roman" w:eastAsia="仿宋_GB2312" w:hAnsi="Times New Roman" w:cs="Times New Roman" w:hint="default"/>
          <w:b w:val="0"/>
          <w:bCs w:val="0"/>
          <w:color w:val="auto"/>
          <w:sz w:val="32"/>
          <w:szCs w:val="32"/>
          <w:highlight w:val="none"/>
        </w:rPr>
        <w:t xml:space="preserve">偏差</w:t>
      </w:r>
      <w:r>
        <w:rPr>
          <w:rFonts w:ascii="Times New Roman" w:eastAsia="仿宋_GB2312" w:hAnsi="Times New Roman" w:cs="Times New Roman" w:hint="default"/>
          <w:b w:val="0"/>
          <w:bCs w:val="0"/>
          <w:color w:val="auto"/>
          <w:sz w:val="32"/>
          <w:szCs w:val="32"/>
          <w:highlight w:val="none"/>
        </w:rPr>
        <w:t xml:space="preserve">原因</w:t>
      </w:r>
      <w:r>
        <w:rPr>
          <w:rFonts w:ascii="Times New Roman" w:eastAsia="仿宋_GB2312" w:hAnsi="Times New Roman" w:cs="Times New Roman" w:hint="default"/>
          <w:b w:val="0"/>
          <w:bCs w:val="0"/>
          <w:color w:val="auto"/>
          <w:sz w:val="32"/>
          <w:szCs w:val="32"/>
          <w:highlight w:val="none"/>
          <w:lang w:val="en-US" w:eastAsia="zh-CN"/>
        </w:rPr>
        <w:t xml:space="preserve">是与科室沟通不够充分，</w:t>
      </w:r>
      <w:r>
        <w:rPr>
          <w:rFonts w:ascii="Times New Roman" w:eastAsia="仿宋_GB2312" w:hAnsi="Times New Roman" w:cs="Times New Roman" w:hint="default"/>
          <w:color w:val="auto"/>
          <w:sz w:val="32"/>
          <w:szCs w:val="32"/>
          <w:highlight w:val="none"/>
          <w:lang w:val="en-US" w:eastAsia="zh-CN"/>
        </w:rPr>
        <w:t xml:space="preserve">年初经济成本指标设置上不够精准，导致出现偏差</w:t>
      </w:r>
      <w:r>
        <w:rPr>
          <w:rFonts w:ascii="Times New Roman" w:eastAsia="仿宋_GB2312" w:hAnsi="Times New Roman" w:cs="Times New Roman" w:hint="default"/>
          <w:b w:val="0"/>
          <w:bCs w:val="0"/>
          <w:color w:val="auto"/>
          <w:sz w:val="32"/>
          <w:szCs w:val="32"/>
          <w:highlight w:val="none"/>
        </w:rPr>
        <w:t xml:space="preserve">，</w:t>
      </w:r>
      <w:r>
        <w:rPr>
          <w:rFonts w:ascii="Times New Roman" w:eastAsia="仿宋_GB2312" w:hAnsi="Times New Roman" w:cs="Times New Roman" w:hint="default"/>
          <w:b w:val="0"/>
          <w:bCs w:val="0"/>
          <w:color w:val="auto"/>
          <w:sz w:val="32"/>
          <w:szCs w:val="32"/>
          <w:highlight w:val="none"/>
        </w:rPr>
        <w:t xml:space="preserve">改进</w:t>
      </w:r>
      <w:r>
        <w:rPr>
          <w:rFonts w:ascii="Times New Roman" w:eastAsia="仿宋_GB2312" w:hAnsi="Times New Roman" w:cs="Times New Roman" w:hint="default"/>
          <w:b w:val="0"/>
          <w:bCs w:val="0"/>
          <w:color w:val="auto"/>
          <w:sz w:val="32"/>
          <w:szCs w:val="32"/>
          <w:highlight w:val="none"/>
        </w:rPr>
        <w:t xml:space="preserve">措施</w:t>
      </w:r>
      <w:r>
        <w:rPr>
          <w:rFonts w:ascii="Times New Roman" w:eastAsia="仿宋_GB2312" w:hAnsi="Times New Roman" w:cs="Times New Roman" w:hint="default"/>
          <w:b w:val="0"/>
          <w:bCs w:val="0"/>
          <w:color w:val="auto"/>
          <w:sz w:val="32"/>
          <w:szCs w:val="32"/>
          <w:highlight w:val="none"/>
          <w:lang w:val="en-US" w:eastAsia="zh-CN"/>
        </w:rPr>
        <w:t xml:space="preserve">为加强与业务科室充分沟通，全面考虑项目资金预算编制，提升预算执行效率</w:t>
      </w:r>
      <w:r>
        <w:rPr>
          <w:rFonts w:ascii="Times New Roman" w:eastAsia="仿宋_GB2312" w:hAnsi="Times New Roman" w:cs="Times New Roman" w:hint="default"/>
          <w:b w:val="0"/>
          <w:bCs w:val="0"/>
          <w:color w:val="auto"/>
          <w:sz w:val="32"/>
          <w:szCs w:val="32"/>
          <w:highlight w:val="none"/>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Style w:val="fontstyle01"/>
          <w:rFonts w:ascii="Times New Roman" w:hAnsi="Times New Roman" w:cs="Times New Roman" w:hint="default"/>
          <w:color w:val="auto"/>
          <w:highlight w:val="none"/>
        </w:rPr>
      </w:pPr>
      <w:bookmarkStart w:id="59" w:name="_Toc18363"/>
      <w:r>
        <w:rPr>
          <w:rFonts w:eastAsia="黑体" w:cs="Times New Roman" w:hint="eastAsia"/>
          <w:color w:val="auto"/>
          <w:sz w:val="32"/>
          <w:szCs w:val="32"/>
          <w:highlight w:val="none"/>
          <w:lang w:val="en-US" w:eastAsia="zh-CN"/>
        </w:rPr>
        <w:t xml:space="preserve">六、</w:t>
      </w:r>
      <w:r>
        <w:rPr>
          <w:rFonts w:ascii="Times New Roman" w:eastAsia="黑体" w:hAnsi="Times New Roman" w:cs="Times New Roman" w:hint="default"/>
          <w:color w:val="auto"/>
          <w:sz w:val="32"/>
          <w:szCs w:val="32"/>
          <w:highlight w:val="none"/>
        </w:rPr>
        <w:t xml:space="preserve">主要经验及做法、存在的问题及原因分析</w:t>
      </w:r>
      <w:bookmarkEnd w:id="59"/>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1"/>
        <w:rPr>
          <w:rFonts w:hint="default"/>
          <w:color w:val="auto"/>
          <w:highlight w:val="none"/>
        </w:rPr>
      </w:pPr>
      <w:bookmarkStart w:id="60" w:name="_Toc22741"/>
      <w:r>
        <w:rPr>
          <w:rFonts w:ascii="Times New Roman" w:eastAsia="楷体" w:hAnsi="Times New Roman" w:cs="Times New Roman" w:hint="default"/>
          <w:b/>
          <w:color w:val="auto"/>
          <w:spacing w:val="-4"/>
          <w:sz w:val="32"/>
          <w:szCs w:val="32"/>
          <w:highlight w:val="none"/>
        </w:rPr>
        <w:t xml:space="preserve">（一）主要经验及做法</w:t>
      </w:r>
      <w:bookmarkEnd w:id="60"/>
      <w:r>
        <w:rPr>
          <w:rFonts w:hint="default"/>
          <w:color w:val="auto"/>
          <w:highlight w:val="none"/>
        </w:rPr>
        <w:t xml:space="preserve"> </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0"/>
          <w:sz w:val="32"/>
          <w:szCs w:val="32"/>
          <w:highlight w:val="none"/>
          <w:lang w:val="en-US" w:eastAsia="zh-CN" w:bidi="ar-SA"/>
        </w:rPr>
      </w:pPr>
      <w:r>
        <w:rPr>
          <w:rFonts w:ascii="Times New Roman" w:eastAsia="仿宋_GB2312" w:hAnsi="Times New Roman" w:cs="Times New Roman" w:hint="default"/>
          <w:color w:val="auto"/>
          <w:kern w:val="0"/>
          <w:sz w:val="32"/>
          <w:szCs w:val="32"/>
          <w:highlight w:val="none"/>
          <w:lang w:val="en-US" w:eastAsia="zh-CN" w:bidi="ar-SA"/>
        </w:rPr>
        <w:t xml:space="preserve">本项目在实施过程中，立足水利行业特点与灌区运维实际，形成了一套“精准谋划、合规管控、协同推进、效益导向”的工作模式，主要经验如下：</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1.精准谋划，锚定目标</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kern w:val="0"/>
          <w:sz w:val="32"/>
          <w:szCs w:val="32"/>
          <w:highlight w:val="none"/>
          <w:lang w:val="en-US" w:eastAsia="zh-CN" w:bidi="ar-SA"/>
        </w:rPr>
      </w:pPr>
      <w:r>
        <w:rPr>
          <w:rFonts w:ascii="Times New Roman" w:eastAsia="仿宋_GB2312" w:hAnsi="Times New Roman" w:cs="Times New Roman" w:hint="default"/>
          <w:color w:val="auto"/>
          <w:kern w:val="0"/>
          <w:sz w:val="32"/>
          <w:szCs w:val="32"/>
          <w:highlight w:val="none"/>
          <w:lang w:val="en-US" w:eastAsia="zh-CN" w:bidi="ar-SA"/>
        </w:rPr>
        <w:t xml:space="preserve">项目启动前，结合流域灌溉需求、水利设施运维现状及年度工作重点，深入开展需求调研，科学编制项目实施方案与绩效指标体系，将灌溉服务、人员保障、日常运行等核心任务细化分解，明确责任主体与时间节点，为项目有序推进奠定基础。</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2.合规管控，保障资金安全高效</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0"/>
          <w:sz w:val="32"/>
          <w:szCs w:val="32"/>
          <w:highlight w:val="none"/>
          <w:lang w:val="en-US" w:eastAsia="zh-CN" w:bidi="ar-SA"/>
        </w:rPr>
      </w:pPr>
      <w:r>
        <w:rPr>
          <w:rFonts w:ascii="Times New Roman" w:eastAsia="仿宋_GB2312" w:hAnsi="Times New Roman" w:cs="Times New Roman" w:hint="default"/>
          <w:color w:val="auto"/>
          <w:kern w:val="0"/>
          <w:sz w:val="32"/>
          <w:szCs w:val="32"/>
          <w:highlight w:val="none"/>
          <w:lang w:val="en-US" w:eastAsia="zh-CN" w:bidi="ar-SA"/>
        </w:rPr>
        <w:t xml:space="preserve">严格遵循“预算引领、专款专用”原则，全流程规范资金管理。预算编制阶段，充分参考历史数据并结合年度实际研判，提升预算科学性；资金使用阶段，严格执行“申请-审核-审批”流程，依托项目单独建账、单独核算，确保资金专款专用；动态监控阶段，及时跟踪支出进度，主动应对人员变动、用水需求变化等因素，在保障合规的前提下实现资金节约高效使用。</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3.协同联动，强化过程管理</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0"/>
          <w:sz w:val="32"/>
          <w:szCs w:val="32"/>
          <w:highlight w:val="none"/>
          <w:lang w:val="en-US" w:eastAsia="zh-CN" w:bidi="ar-SA"/>
        </w:rPr>
      </w:pPr>
      <w:r>
        <w:rPr>
          <w:rFonts w:ascii="Times New Roman" w:eastAsia="仿宋_GB2312" w:hAnsi="Times New Roman" w:cs="Times New Roman" w:hint="default"/>
          <w:color w:val="auto"/>
          <w:kern w:val="0"/>
          <w:sz w:val="32"/>
          <w:szCs w:val="32"/>
          <w:highlight w:val="none"/>
          <w:lang w:val="en-US" w:eastAsia="zh-CN" w:bidi="ar-SA"/>
        </w:rPr>
        <w:t xml:space="preserve">建立财务、业务、人事等多部门协同机制，定期沟通项目进展，及时协调解决人员调整、公务压减等实际问题；通过定期调度、实地核查等方式，动态跟踪项目执行情况，规范招投标、合同、财务凭证等档案管理，确保项目实施全程可追溯。</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4.动态优化，提升绩效质量</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0"/>
          <w:sz w:val="32"/>
          <w:szCs w:val="32"/>
          <w:highlight w:val="none"/>
          <w:lang w:val="en-US" w:eastAsia="zh-CN" w:bidi="ar-SA"/>
        </w:rPr>
      </w:pPr>
      <w:r>
        <w:rPr>
          <w:rFonts w:ascii="Times New Roman" w:eastAsia="仿宋_GB2312" w:hAnsi="Times New Roman" w:cs="Times New Roman" w:hint="default"/>
          <w:color w:val="auto"/>
          <w:kern w:val="0"/>
          <w:sz w:val="32"/>
          <w:szCs w:val="32"/>
          <w:highlight w:val="none"/>
          <w:lang w:val="en-US" w:eastAsia="zh-CN" w:bidi="ar-SA"/>
        </w:rPr>
        <w:t xml:space="preserve">针对灌溉用水、人员结构等实际变化，主动调整执行策略，在不突破合规底线的前提下优化支出结构；同时总结预算偏差经验，完善绩效目标设置方法，为后续项目精准编制预算、提升绩效水平提供实践参考，推动项目产出持续发挥水利服务效益。</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color w:val="auto"/>
          <w:sz w:val="32"/>
          <w:szCs w:val="32"/>
          <w:highlight w:val="none"/>
        </w:rPr>
      </w:pPr>
      <w:bookmarkStart w:id="61" w:name="_Toc7835"/>
      <w:r>
        <w:rPr>
          <w:rFonts w:eastAsia="楷体_GB2312" w:cs="Times New Roman" w:hint="eastAsia"/>
          <w:b/>
          <w:bCs/>
          <w:color w:val="auto"/>
          <w:sz w:val="32"/>
          <w:szCs w:val="32"/>
          <w:highlight w:val="none"/>
          <w:lang w:eastAsia="zh-CN"/>
        </w:rPr>
        <w:t xml:space="preserve">（</w:t>
      </w:r>
      <w:r>
        <w:rPr>
          <w:rFonts w:eastAsia="楷体_GB2312" w:cs="Times New Roman" w:hint="eastAsia"/>
          <w:b/>
          <w:bCs/>
          <w:color w:val="auto"/>
          <w:sz w:val="32"/>
          <w:szCs w:val="32"/>
          <w:highlight w:val="none"/>
          <w:lang w:val="en-US" w:eastAsia="zh-CN"/>
        </w:rPr>
        <w:t xml:space="preserve">二</w:t>
      </w:r>
      <w:r>
        <w:rPr>
          <w:rFonts w:eastAsia="楷体_GB2312" w:cs="Times New Roman" w:hint="eastAsia"/>
          <w:b/>
          <w:bCs/>
          <w:color w:val="auto"/>
          <w:sz w:val="32"/>
          <w:szCs w:val="32"/>
          <w:highlight w:val="none"/>
          <w:lang w:eastAsia="zh-CN"/>
        </w:rPr>
        <w:t xml:space="preserve">）</w:t>
      </w:r>
      <w:r>
        <w:rPr>
          <w:rFonts w:ascii="Times New Roman" w:eastAsia="楷体_GB2312" w:hAnsi="Times New Roman" w:cs="Times New Roman" w:hint="default"/>
          <w:b/>
          <w:bCs/>
          <w:color w:val="auto"/>
          <w:sz w:val="32"/>
          <w:szCs w:val="32"/>
          <w:highlight w:val="none"/>
        </w:rPr>
        <w:t xml:space="preserve">存在的问题及原因分析</w:t>
      </w:r>
      <w:bookmarkEnd w:id="6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bookmarkStart w:id="62" w:name="_Toc25529"/>
      <w:r>
        <w:rPr>
          <w:rFonts w:ascii="Times New Roman" w:eastAsia="仿宋_GB2312" w:hAnsi="Times New Roman" w:cs="Times New Roman" w:hint="default"/>
          <w:b/>
          <w:bCs/>
          <w:color w:val="auto"/>
          <w:sz w:val="32"/>
          <w:szCs w:val="32"/>
          <w:highlight w:val="none"/>
          <w:lang w:val="en-US" w:eastAsia="zh-CN"/>
        </w:rPr>
        <w:t xml:space="preserve">1.绩效管理专业能力有待提升</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相关人员对绩效管理专业知识的系统性学习不足，在指标设置的细化、量化方面仍需优化完善；绩效自评过程中，部分人员因专业知识储备不足，存在自我审定的局限性，一定程度上影响了评价结果的客观性与质量。</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2.绩效岗位人员流动频繁，工作衔接不畅</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受轮岗、人员调动等因素影响，绩效工作人员变动较为频繁，新老人员交接过程中存在业务衔接不到位的情况，导致部分工作推进滞后，影响了绩效管理工作的连续性与稳定性。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3.前期研判与业务沟通不够充分</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预算及绩效目标编制阶段，与业务科室的沟通调研不够深入，对灌溉用水变化、人员结构调整、经费压减等实际业务因素研判不精准，导致部分指标目标值设置偏高，与实际执行情况存在小幅偏差，影响了绩效目标的达成度。</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eastAsia="黑体" w:cs="Times New Roman" w:hint="eastAsia"/>
          <w:color w:val="auto"/>
          <w:sz w:val="32"/>
          <w:szCs w:val="32"/>
          <w:highlight w:val="none"/>
          <w:lang w:val="en-US" w:eastAsia="zh-CN"/>
        </w:rPr>
      </w:pPr>
      <w:r>
        <w:rPr>
          <w:rFonts w:eastAsia="黑体" w:cs="Times New Roman" w:hint="eastAsia"/>
          <w:color w:val="auto"/>
          <w:sz w:val="32"/>
          <w:szCs w:val="32"/>
          <w:highlight w:val="none"/>
          <w:lang w:val="en-US" w:eastAsia="zh-CN"/>
        </w:rPr>
        <w:t xml:space="preserve">七、</w:t>
      </w:r>
      <w:r>
        <w:rPr>
          <w:rFonts w:ascii="Times New Roman" w:eastAsia="黑体" w:hAnsi="Times New Roman" w:cs="Times New Roman" w:hint="default"/>
          <w:color w:val="auto"/>
          <w:sz w:val="32"/>
          <w:szCs w:val="32"/>
          <w:highlight w:val="none"/>
        </w:rPr>
        <w:t xml:space="preserve">有关建议</w:t>
      </w:r>
      <w:bookmarkEnd w:id="62"/>
      <w:bookmarkStart w:id="63" w:name="_Toc3065"/>
      <w:r>
        <w:rPr>
          <w:rFonts w:eastAsia="黑体" w:cs="Times New Roman" w:hint="eastAsia"/>
          <w:color w:val="auto"/>
          <w:sz w:val="32"/>
          <w:szCs w:val="32"/>
          <w:highlight w:val="non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楷体" w:eastAsia="楷体" w:hAnsi="楷体" w:cs="楷体" w:hint="eastAsia"/>
          <w:b/>
          <w:bCs/>
          <w:color w:val="auto"/>
          <w:sz w:val="32"/>
          <w:szCs w:val="32"/>
          <w:highlight w:val="none"/>
          <w:lang w:val="en-US" w:eastAsia="zh-CN"/>
        </w:rPr>
      </w:pPr>
      <w:r>
        <w:rPr>
          <w:rFonts w:ascii="楷体" w:eastAsia="楷体" w:hAnsi="楷体" w:cs="楷体" w:hint="eastAsia"/>
          <w:b/>
          <w:bCs/>
          <w:color w:val="auto"/>
          <w:sz w:val="32"/>
          <w:szCs w:val="32"/>
          <w:highlight w:val="none"/>
          <w:lang w:val="en-US" w:eastAsia="zh-CN"/>
        </w:rPr>
        <w:t xml:space="preserve">（一）强化绩效管理专业培训，提升业务能力</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针对当前部分人员绩效管理专业知识不足、指标设置不够细化量化的问题，积极组织或邀请第三方开展绩效管理专项培训，重点覆盖绩效目标设置、自评方法、数据审核、水利行业绩效评价等内容，夯实业务基础，破除内部自评局限性，提升评价工作质量。</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楷体" w:eastAsia="楷体" w:hAnsi="楷体" w:cs="楷体" w:hint="default"/>
          <w:b/>
          <w:bCs/>
          <w:color w:val="auto"/>
          <w:sz w:val="32"/>
          <w:szCs w:val="32"/>
          <w:highlight w:val="none"/>
          <w:lang w:val="en-US" w:eastAsia="zh-CN"/>
        </w:rPr>
      </w:pPr>
      <w:r>
        <w:rPr>
          <w:rFonts w:ascii="楷体" w:eastAsia="楷体" w:hAnsi="楷体" w:cs="楷体" w:hint="eastAsia"/>
          <w:b/>
          <w:bCs/>
          <w:color w:val="auto"/>
          <w:sz w:val="32"/>
          <w:szCs w:val="32"/>
          <w:highlight w:val="none"/>
          <w:lang w:val="en-US" w:eastAsia="zh-CN"/>
        </w:rPr>
        <w:t xml:space="preserve">（二）</w:t>
      </w:r>
      <w:r>
        <w:rPr>
          <w:rFonts w:ascii="楷体" w:eastAsia="楷体" w:hAnsi="楷体" w:cs="楷体" w:hint="default"/>
          <w:b/>
          <w:bCs/>
          <w:color w:val="auto"/>
          <w:sz w:val="32"/>
          <w:szCs w:val="32"/>
          <w:highlight w:val="none"/>
          <w:lang w:val="en-US" w:eastAsia="zh-CN"/>
        </w:rPr>
        <w:t xml:space="preserve">健全绩效岗位管理机制，保障工作衔接</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针对轮岗、人员调动导致绩效工作人员流动频繁、工作衔接不到位的问题，专门制定绩效工作人员定职、定岗、定责制度，明确岗位职责、工作标准及交接流程，建立完整的交接资料清单与时限要求，稳定绩效工作队伍，确保绩效管理工作连续稳定推进。</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楷体" w:eastAsia="楷体" w:hAnsi="楷体" w:cs="楷体" w:hint="default"/>
          <w:b/>
          <w:bCs/>
          <w:color w:val="auto"/>
          <w:sz w:val="32"/>
          <w:szCs w:val="32"/>
          <w:highlight w:val="none"/>
          <w:lang w:val="en-US" w:eastAsia="zh-CN"/>
        </w:rPr>
      </w:pPr>
      <w:r>
        <w:rPr>
          <w:rFonts w:ascii="楷体" w:eastAsia="楷体" w:hAnsi="楷体" w:cs="楷体" w:hint="eastAsia"/>
          <w:b/>
          <w:bCs/>
          <w:color w:val="auto"/>
          <w:sz w:val="32"/>
          <w:szCs w:val="32"/>
          <w:highlight w:val="none"/>
          <w:lang w:val="en-US" w:eastAsia="zh-CN"/>
        </w:rPr>
        <w:t xml:space="preserve">（三）</w:t>
      </w:r>
      <w:r>
        <w:rPr>
          <w:rFonts w:ascii="楷体" w:eastAsia="楷体" w:hAnsi="楷体" w:cs="楷体" w:hint="default"/>
          <w:b/>
          <w:bCs/>
          <w:color w:val="auto"/>
          <w:sz w:val="32"/>
          <w:szCs w:val="32"/>
          <w:highlight w:val="none"/>
          <w:lang w:val="en-US" w:eastAsia="zh-CN"/>
        </w:rPr>
        <w:t xml:space="preserve">完善前期研判与沟通机制，提升目标精准性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针对前期与业务科室沟通不充分、项目研判不精准导致部分指标目标值偏高的问题，建立常态化业务沟通机制，在预算及绩效目标编制前，全面调研灌溉用水变化、人员结构调整、经费压减等实际情况，细化数据支撑，提升目标设置与实际执行的匹配度，减少偏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楷体" w:eastAsia="楷体" w:hAnsi="楷体" w:cs="楷体" w:hint="default"/>
          <w:b/>
          <w:bCs/>
          <w:color w:val="auto"/>
          <w:sz w:val="32"/>
          <w:szCs w:val="32"/>
          <w:highlight w:val="none"/>
          <w:lang w:val="en-US" w:eastAsia="zh-CN"/>
        </w:rPr>
      </w:pPr>
      <w:r>
        <w:rPr>
          <w:rFonts w:ascii="楷体" w:eastAsia="楷体" w:hAnsi="楷体" w:cs="楷体" w:hint="eastAsia"/>
          <w:b/>
          <w:bCs/>
          <w:color w:val="auto"/>
          <w:sz w:val="32"/>
          <w:szCs w:val="32"/>
          <w:highlight w:val="none"/>
          <w:lang w:val="en-US" w:eastAsia="zh-CN"/>
        </w:rPr>
        <w:t xml:space="preserve">（四）</w:t>
      </w:r>
      <w:r>
        <w:rPr>
          <w:rFonts w:ascii="楷体" w:eastAsia="楷体" w:hAnsi="楷体" w:cs="楷体" w:hint="default"/>
          <w:b/>
          <w:bCs/>
          <w:color w:val="auto"/>
          <w:sz w:val="32"/>
          <w:szCs w:val="32"/>
          <w:highlight w:val="none"/>
          <w:lang w:val="en-US" w:eastAsia="zh-CN"/>
        </w:rPr>
        <w:t xml:space="preserve">规范项目建设与资金管理程序，强化过程管控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严格执行专项资金管理办法和财政资金管理制度，项目前期扎实做好可行性研究，细化实施方案，按照水利工程招投标、建设管理等规定稳步推进；同时规范项目档案管理，同步收集整理招投标资料、工程建设资料、合同、财务凭证等，确保项目实施全程可追溯。</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楷体" w:eastAsia="楷体" w:hAnsi="楷体" w:cs="楷体" w:hint="default"/>
          <w:b/>
          <w:bCs/>
          <w:color w:val="auto"/>
          <w:sz w:val="32"/>
          <w:szCs w:val="32"/>
          <w:highlight w:val="none"/>
          <w:lang w:val="en-US" w:eastAsia="zh-CN"/>
        </w:rPr>
      </w:pPr>
      <w:r>
        <w:rPr>
          <w:rFonts w:ascii="楷体" w:eastAsia="楷体" w:hAnsi="楷体" w:cs="楷体" w:hint="eastAsia"/>
          <w:b/>
          <w:bCs/>
          <w:color w:val="auto"/>
          <w:sz w:val="32"/>
          <w:szCs w:val="32"/>
          <w:highlight w:val="none"/>
          <w:lang w:val="en-US" w:eastAsia="zh-CN"/>
        </w:rPr>
        <w:t xml:space="preserve">（五）</w:t>
      </w:r>
      <w:r>
        <w:rPr>
          <w:rFonts w:ascii="楷体" w:eastAsia="楷体" w:hAnsi="楷体" w:cs="楷体" w:hint="default"/>
          <w:b/>
          <w:bCs/>
          <w:color w:val="auto"/>
          <w:sz w:val="32"/>
          <w:szCs w:val="32"/>
          <w:highlight w:val="none"/>
          <w:lang w:val="en-US" w:eastAsia="zh-CN"/>
        </w:rPr>
        <w:t xml:space="preserve">加强组织领导与考核约束，压实绩效责任</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进一步加强对绩效管理工作的组织领导，提高全员对预算绩效管理重要性的认识，结合水利行业考核建立绩效工作考核制度，将绩效管理成效纳入科室及个人考核，加大“花钱必问效、无效必问责”理念宣贯力度，推动绩效管理各项要求落到实处。</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color w:val="auto"/>
          <w:sz w:val="32"/>
          <w:szCs w:val="32"/>
          <w:highlight w:val="none"/>
        </w:rPr>
      </w:pPr>
      <w:r>
        <w:rPr>
          <w:rFonts w:eastAsia="黑体" w:cs="Times New Roman" w:hint="eastAsia"/>
          <w:color w:val="auto"/>
          <w:sz w:val="32"/>
          <w:szCs w:val="32"/>
          <w:highlight w:val="none"/>
          <w:lang w:val="en-US" w:eastAsia="zh-CN"/>
        </w:rPr>
        <w:t xml:space="preserve">八、</w:t>
      </w:r>
      <w:r>
        <w:rPr>
          <w:rFonts w:ascii="Times New Roman" w:eastAsia="黑体" w:hAnsi="Times New Roman" w:cs="Times New Roman" w:hint="default"/>
          <w:color w:val="auto"/>
          <w:sz w:val="32"/>
          <w:szCs w:val="32"/>
          <w:highlight w:val="none"/>
        </w:rPr>
        <w:t xml:space="preserve">其他需要说</w:t>
      </w:r>
      <w:bookmarkStart w:id="64" w:name="page8"/>
      <w:bookmarkEnd w:id="64"/>
      <w:r>
        <w:rPr>
          <w:rFonts w:ascii="Times New Roman" w:eastAsia="黑体" w:hAnsi="Times New Roman" w:cs="Times New Roman" w:hint="default"/>
          <w:color w:val="auto"/>
          <w:sz w:val="32"/>
          <w:szCs w:val="32"/>
          <w:highlight w:val="none"/>
        </w:rPr>
        <w:t xml:space="preserve">明的问题</w:t>
      </w:r>
      <w:bookmarkEnd w:id="63"/>
    </w:p>
    <w:p>
      <w:pPr>
        <w:pStyle w:val="BodyTextFirstIndent2"/>
        <w:keepNext w:val="0"/>
        <w:keepLines w:val="0"/>
        <w:pageBreakBefore w:val="0"/>
        <w:widowControl w:val="0"/>
        <w:kinsoku/>
        <w:wordWrap w:val="0"/>
        <w:overflowPunct/>
        <w:topLinePunct/>
        <w:autoSpaceDE/>
        <w:autoSpaceDN/>
        <w:bidi w:val="0"/>
        <w:adjustRightInd/>
        <w:snapToGrid/>
        <w:spacing w:after="0" w:line="560" w:lineRule="exact"/>
        <w:ind w:left="0" w:firstLine="640" w:leftChars="0" w:firstLineChars="200"/>
        <w:textAlignment w:val="auto"/>
        <w:rPr>
          <w:rFonts w:ascii="Times New Roman" w:eastAsia="仿宋_GB2312" w:hAnsi="Times New Roman" w:cs="Times New Roman"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rPr>
        <w:t xml:space="preserve">本项目无其他需说明的问题。</w:t>
      </w:r>
    </w:p>
    <w:p>
      <w:pPr>
        <w:pStyle w:val="BodyTextFirstIndent2"/>
        <w:spacing w:after="0" w:line="560" w:lineRule="exact"/>
        <w:ind w:left="0" w:firstLine="640" w:leftChars="0" w:firstLineChars="200"/>
        <w:rPr>
          <w:rFonts w:ascii="Times New Roman" w:eastAsia="仿宋_GB2312" w:hAnsi="Times New Roman" w:cs="Times New Roman" w:hint="eastAsia"/>
          <w:b/>
          <w:bCs/>
          <w:color w:val="auto"/>
          <w:sz w:val="32"/>
          <w:szCs w:val="32"/>
          <w:highlight w:val="none"/>
          <w:lang w:eastAsia="zh-CN"/>
        </w:rPr>
      </w:pPr>
    </w:p>
    <w:p>
      <w:pPr>
        <w:pStyle w:val="BodyTextFirstIndent2"/>
        <w:spacing w:after="0" w:line="560" w:lineRule="exact"/>
        <w:ind w:left="0" w:firstLine="640" w:leftChars="0" w:firstLineChars="200"/>
        <w:rPr>
          <w:rFonts w:ascii="Times New Roman" w:eastAsia="仿宋_GB2312" w:hAnsi="Times New Roman" w:cs="Times New Roman" w:hint="eastAsia"/>
          <w:b/>
          <w:bCs/>
          <w:color w:val="auto"/>
          <w:sz w:val="32"/>
          <w:szCs w:val="32"/>
          <w:highlight w:val="none"/>
          <w:lang w:eastAsia="zh-CN"/>
        </w:rPr>
      </w:pPr>
    </w:p>
    <w:p>
      <w:pPr>
        <w:pStyle w:val="BodyTextFirstIndent2"/>
        <w:spacing w:after="0" w:line="560" w:lineRule="exact"/>
        <w:ind w:left="0" w:firstLine="0" w:leftChars="0" w:firstLineChars="0"/>
        <w:rPr>
          <w:rFonts w:ascii="Times New Roman" w:eastAsia="仿宋_GB2312" w:hAnsi="Times New Roman" w:cs="Times New Roman" w:hint="eastAsia"/>
          <w:b/>
          <w:bCs/>
          <w:color w:val="auto"/>
          <w:sz w:val="32"/>
          <w:szCs w:val="32"/>
          <w:highlight w:val="none"/>
          <w:lang w:eastAsia="zh-CN"/>
        </w:rPr>
      </w:pPr>
    </w:p>
    <w:p>
      <w:pPr>
        <w:pStyle w:val="BodyTextFirstIndent2"/>
        <w:spacing w:after="0" w:line="560" w:lineRule="exact"/>
        <w:ind w:left="0" w:firstLine="0" w:leftChars="0" w:firstLineChars="0"/>
        <w:rPr>
          <w:rFonts w:ascii="Times New Roman" w:eastAsia="仿宋_GB2312" w:hAnsi="Times New Roman" w:cs="Times New Roman" w:hint="default"/>
          <w:color w:val="auto"/>
          <w:sz w:val="32"/>
          <w:szCs w:val="32"/>
          <w:highlight w:val="none"/>
        </w:rPr>
      </w:pPr>
    </w:p>
    <w:p>
      <w:pPr>
        <w:spacing w:line="600" w:lineRule="exact"/>
        <w:rPr>
          <w:rFonts w:ascii="Times New Roman" w:eastAsia="黑体" w:hAnsi="Times New Roman" w:cs="Times New Roman" w:hint="eastAsia"/>
          <w:color w:val="auto"/>
          <w:sz w:val="32"/>
          <w:szCs w:val="32"/>
          <w:highlight w:val="none"/>
          <w:lang w:val="en-US" w:eastAsia="zh-CN"/>
        </w:rPr>
        <w:sectPr>
          <w:footerReference w:type="default" r:id="rId4"/>
          <w:pgSz w:w="11906" w:h="16838" w:orient="portrait"/>
          <w:pgMar w:top="2098" w:right="1531" w:bottom="1984" w:left="1531" w:header="851" w:footer="992" w:gutter="0"/>
          <w:pgNumType w:start="1"/>
          <w:cols w:num="1" w:space="425">
            <w:col w:w="8844" w:space="425"/>
          </w:cols>
          <w:docGrid w:type="lines" w:linePitch="312" w:charSpace="0"/>
        </w:sectPr>
      </w:pPr>
    </w:p>
    <w:p>
      <w:pPr>
        <w:spacing w:line="600" w:lineRule="exact"/>
        <w:outlineLvl w:val="0"/>
        <w:rPr>
          <w:rFonts w:eastAsia="黑体" w:cs="Times New Roman" w:hint="default"/>
          <w:color w:val="auto"/>
          <w:sz w:val="32"/>
          <w:szCs w:val="32"/>
          <w:highlight w:val="none"/>
          <w:lang w:val="en-US" w:eastAsia="zh-CN"/>
        </w:rPr>
      </w:pPr>
      <w:bookmarkStart w:id="65" w:name="_Toc15260"/>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bookmarkEnd w:id="65"/>
      <w:r>
        <w:rPr>
          <w:rFonts w:eastAsia="黑体" w:cs="Times New Roman" w:hint="eastAsia"/>
          <w:color w:val="auto"/>
          <w:sz w:val="32"/>
          <w:szCs w:val="32"/>
          <w:highlight w:val="none"/>
          <w:lang w:val="en-US" w:eastAsia="zh-CN"/>
        </w:rPr>
        <w:t xml:space="preserve">评价指标体系</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66" w:name="_Toc26499_WPSOffice_Level2"/>
      <w:bookmarkStart w:id="67" w:name="_Toc30064_WPSOffice_Level1"/>
      <w:r>
        <w:rPr>
          <w:rFonts w:ascii="仿宋_GB2312" w:eastAsia="仿宋_GB2312" w:hAnsi="仿宋_GB2312" w:cs="仿宋_GB2312" w:hint="eastAsia"/>
          <w:b/>
          <w:bCs/>
          <w:color w:val="auto"/>
          <w:sz w:val="28"/>
          <w:szCs w:val="40"/>
          <w:highlight w:val="none"/>
          <w:lang w:val="en-US" w:eastAsia="zh-CN"/>
        </w:rPr>
        <w:t xml:space="preserve">2025年自治区水利发展资金专项（经营成本性项目）</w:t>
      </w:r>
      <w:r>
        <w:rPr>
          <w:rFonts w:ascii="仿宋_GB2312" w:eastAsia="仿宋_GB2312" w:hAnsi="仿宋_GB2312" w:cs="仿宋_GB2312" w:hint="eastAsia"/>
          <w:b/>
          <w:bCs/>
          <w:color w:val="auto"/>
          <w:sz w:val="28"/>
          <w:szCs w:val="40"/>
          <w:highlight w:val="none"/>
        </w:rPr>
        <w:t xml:space="preserve">项目绩效评价指标体系</w:t>
      </w:r>
      <w:bookmarkEnd w:id="66"/>
      <w:bookmarkEnd w:id="67"/>
    </w:p>
    <w:tbl>
      <w:tblPr>
        <w:tblStyle w:val="NormalTable"/>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Grid>
        <w:gridCol w:w="1002"/>
        <w:gridCol w:w="997"/>
        <w:gridCol w:w="1071"/>
        <w:gridCol w:w="1725"/>
        <w:gridCol w:w="5224"/>
        <w:gridCol w:w="1299"/>
        <w:gridCol w:w="1365"/>
      </w:tblGrid>
      <w:tr w14:paraId="70FCA0DA">
        <w:tblPrEx>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Ex>
        <w:trPr>
          <w:trHeight w:val="552"/>
          <w:tblHeader/>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14:paraId="5D21E4E1">
        <w:tblPrEx>
          <w:tblW w:w="4474" w:type="pct"/>
          <w:jc w:val="center"/>
          <w:tblCellMar>
            <w:top w:w="0" w:type="dxa"/>
            <w:left w:w="108" w:type="dxa"/>
            <w:bottom w:w="0" w:type="dxa"/>
            <w:right w:w="108" w:type="dxa"/>
          </w:tblCellMar>
        </w:tblPrEx>
        <w:trPr>
          <w:trHeight w:val="291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w:t>
            </w: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8"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w:t>
            </w:r>
            <w:r>
              <w:rPr>
                <w:rFonts w:ascii="Times New Roman" w:eastAsia="仿宋_GB2312" w:hAnsi="Times New Roman" w:cs="Times New Roman" w:hint="default"/>
                <w:color w:val="auto"/>
                <w:kern w:val="0"/>
                <w:sz w:val="18"/>
                <w:szCs w:val="18"/>
                <w:highlight w:val="none"/>
              </w:rPr>
              <w:t xml:space="preserve">属于部门</w:t>
            </w:r>
            <w:r>
              <w:rPr>
                <w:rFonts w:ascii="Times New Roman" w:eastAsia="仿宋_GB2312" w:hAnsi="Times New Roman" w:cs="Times New Roman" w:hint="default"/>
                <w:color w:val="auto"/>
                <w:kern w:val="0"/>
                <w:sz w:val="18"/>
                <w:szCs w:val="18"/>
                <w:highlight w:val="none"/>
              </w:rPr>
              <w:t xml:space="preserve">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14:paraId="79306891">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8"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3</w:t>
            </w:r>
          </w:p>
        </w:tc>
      </w:tr>
      <w:tr w14:paraId="4C8208C1">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8"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14:paraId="0D1ECDF7">
        <w:tblPrEx>
          <w:tblW w:w="4474" w:type="pct"/>
          <w:jc w:val="center"/>
          <w:tblCellMar>
            <w:top w:w="0" w:type="dxa"/>
            <w:left w:w="108" w:type="dxa"/>
            <w:bottom w:w="0" w:type="dxa"/>
            <w:right w:w="108" w:type="dxa"/>
          </w:tblCellMar>
        </w:tblPrEx>
        <w:trPr>
          <w:trHeight w:val="1464"/>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14:paraId="2FFC941E">
        <w:tblPrEx>
          <w:tblW w:w="4474" w:type="pct"/>
          <w:jc w:val="center"/>
          <w:tblCellMar>
            <w:top w:w="0" w:type="dxa"/>
            <w:left w:w="108" w:type="dxa"/>
            <w:bottom w:w="0" w:type="dxa"/>
            <w:right w:w="108" w:type="dxa"/>
          </w:tblCellMar>
        </w:tblPrEx>
        <w:trPr>
          <w:trHeight w:val="1942"/>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75F422FD">
        <w:tblPrEx>
          <w:tblW w:w="4474" w:type="pct"/>
          <w:jc w:val="center"/>
          <w:tblCellMar>
            <w:top w:w="0" w:type="dxa"/>
            <w:left w:w="108" w:type="dxa"/>
            <w:bottom w:w="0" w:type="dxa"/>
            <w:right w:w="108" w:type="dxa"/>
          </w:tblCellMar>
        </w:tblPrEx>
        <w:trPr>
          <w:trHeight w:val="170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5EB31534">
        <w:tblPrEx>
          <w:tblW w:w="4474" w:type="pct"/>
          <w:jc w:val="center"/>
          <w:tblCellMar>
            <w:top w:w="0" w:type="dxa"/>
            <w:left w:w="108" w:type="dxa"/>
            <w:bottom w:w="0" w:type="dxa"/>
            <w:right w:w="108" w:type="dxa"/>
          </w:tblCellMar>
        </w:tblPrEx>
        <w:trPr>
          <w:trHeight w:val="1415"/>
          <w:jc w:val="center"/>
        </w:trPr>
        <w:tc>
          <w:tcPr>
            <w:tcW w:w="395"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64D81031">
        <w:tblPrEx>
          <w:tblW w:w="4474" w:type="pct"/>
          <w:jc w:val="center"/>
          <w:tblCellMar>
            <w:top w:w="0" w:type="dxa"/>
            <w:left w:w="108" w:type="dxa"/>
            <w:bottom w:w="0" w:type="dxa"/>
            <w:right w:w="108" w:type="dxa"/>
          </w:tblCellMar>
        </w:tblPrEx>
        <w:trPr>
          <w:trHeight w:val="132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3.97</w:t>
            </w:r>
          </w:p>
        </w:tc>
      </w:tr>
      <w:tr w14:paraId="7A3F86E1">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6A9F9E8E">
        <w:tblPrEx>
          <w:tblW w:w="4474" w:type="pct"/>
          <w:jc w:val="center"/>
          <w:tblCellMar>
            <w:top w:w="0" w:type="dxa"/>
            <w:left w:w="108" w:type="dxa"/>
            <w:bottom w:w="0" w:type="dxa"/>
            <w:right w:w="108" w:type="dxa"/>
          </w:tblCellMar>
        </w:tblPrEx>
        <w:trPr>
          <w:trHeight w:val="1797"/>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68FF782A">
        <w:tblPrEx>
          <w:tblW w:w="4474" w:type="pct"/>
          <w:jc w:val="center"/>
          <w:tblCellMar>
            <w:top w:w="0" w:type="dxa"/>
            <w:left w:w="108" w:type="dxa"/>
            <w:bottom w:w="0" w:type="dxa"/>
            <w:right w:w="108" w:type="dxa"/>
          </w:tblCellMar>
        </w:tblPrEx>
        <w:trPr>
          <w:trHeight w:val="1769"/>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w:t>
            </w:r>
            <w:bookmarkStart w:id="68" w:name="_GoBack"/>
            <w:bookmarkEnd w:id="68"/>
            <w:r>
              <w:rPr>
                <w:rFonts w:ascii="Times New Roman" w:eastAsia="仿宋_GB2312" w:hAnsi="Times New Roman" w:cs="Times New Roman" w:hint="default"/>
                <w:color w:val="auto"/>
                <w:kern w:val="0"/>
                <w:sz w:val="18"/>
                <w:szCs w:val="18"/>
                <w:highlight w:val="none"/>
              </w:rPr>
              <w:t xml:space="preserve">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4A3BBB23">
        <w:tblPrEx>
          <w:tblW w:w="4474" w:type="pct"/>
          <w:jc w:val="center"/>
          <w:tblCellMar>
            <w:top w:w="0" w:type="dxa"/>
            <w:left w:w="108" w:type="dxa"/>
            <w:bottom w:w="0" w:type="dxa"/>
            <w:right w:w="108" w:type="dxa"/>
          </w:tblCellMar>
        </w:tblPrEx>
        <w:trPr>
          <w:trHeight w:val="1917"/>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14:paraId="41E7140C">
        <w:tblPrEx>
          <w:tblW w:w="4474" w:type="pct"/>
          <w:jc w:val="center"/>
          <w:tblCellMar>
            <w:top w:w="0" w:type="dxa"/>
            <w:left w:w="108" w:type="dxa"/>
            <w:bottom w:w="0" w:type="dxa"/>
            <w:right w:w="108" w:type="dxa"/>
          </w:tblCellMar>
        </w:tblPrEx>
        <w:trPr>
          <w:trHeight w:val="1718"/>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14:paraId="5927ACDB">
        <w:tblPrEx>
          <w:tblW w:w="4474" w:type="pct"/>
          <w:jc w:val="center"/>
          <w:tblCellMar>
            <w:top w:w="0" w:type="dxa"/>
            <w:left w:w="108" w:type="dxa"/>
            <w:bottom w:w="0" w:type="dxa"/>
            <w:right w:w="108" w:type="dxa"/>
          </w:tblCellMar>
        </w:tblPrEx>
        <w:trPr>
          <w:trHeight w:val="150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14:paraId="5F513A6B">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14:paraId="004AF418">
        <w:tblPrEx>
          <w:tblW w:w="4474" w:type="pct"/>
          <w:jc w:val="center"/>
          <w:tblCellMar>
            <w:top w:w="0" w:type="dxa"/>
            <w:left w:w="108" w:type="dxa"/>
            <w:bottom w:w="0" w:type="dxa"/>
            <w:right w:w="108" w:type="dxa"/>
          </w:tblCellMar>
        </w:tblPrEx>
        <w:trPr>
          <w:trHeight w:val="889"/>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20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20</w:t>
            </w:r>
          </w:p>
        </w:tc>
      </w:tr>
      <w:tr w14:paraId="573BE8FF">
        <w:tblPrEx>
          <w:tblW w:w="4474" w:type="pct"/>
          <w:jc w:val="center"/>
          <w:tblCellMar>
            <w:top w:w="0" w:type="dxa"/>
            <w:left w:w="108" w:type="dxa"/>
            <w:bottom w:w="0" w:type="dxa"/>
            <w:right w:w="108" w:type="dxa"/>
          </w:tblCellMar>
        </w:tblPrEx>
        <w:trPr>
          <w:trHeight w:val="591"/>
          <w:jc w:val="center"/>
        </w:trPr>
        <w:tc>
          <w:tcPr>
            <w:tcW w:w="3949" w:type="pct"/>
            <w:gridSpan w:val="5"/>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合计</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99.97</w:t>
            </w:r>
          </w:p>
        </w:tc>
      </w:tr>
    </w:tbl>
    <w:p>
      <w:pPr>
        <w:rPr>
          <w:rFonts w:ascii="Times New Roman" w:hAnsi="Times New Roman" w:cs="Times New Roman" w:hint="default"/>
          <w:color w:val="auto"/>
          <w:highlight w:val="none"/>
        </w:rPr>
        <w:sectPr>
          <w:pgSz w:w="16838" w:h="11906" w:orient="landscape"/>
          <w:pgMar w:top="1800" w:right="1440" w:bottom="1558" w:left="1440" w:header="851" w:footer="992" w:gutter="0"/>
          <w:cols w:num="1" w:space="425">
            <w:col w:w="13958" w:space="425"/>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ascii="黑体" w:eastAsia="黑体" w:hAnsi="黑体" w:cs="黑体" w:hint="default"/>
          <w:b/>
          <w:bCs/>
          <w:i w:val="0"/>
          <w:iCs w:val="0"/>
          <w:color w:val="auto"/>
          <w:kern w:val="0"/>
          <w:sz w:val="32"/>
          <w:szCs w:val="32"/>
          <w:highlight w:val="none"/>
          <w:u w:val="none"/>
          <w:lang w:val="en-US" w:eastAsia="zh-CN"/>
        </w:rPr>
      </w:pPr>
      <w:bookmarkStart w:id="69" w:name="_Toc17917"/>
      <w:r>
        <w:rPr>
          <w:rFonts w:ascii="黑体" w:eastAsia="黑体" w:hAnsi="黑体" w:cs="黑体" w:hint="eastAsia"/>
          <w:b/>
          <w:bCs/>
          <w:i w:val="0"/>
          <w:iCs w:val="0"/>
          <w:color w:val="auto"/>
          <w:kern w:val="0"/>
          <w:sz w:val="32"/>
          <w:szCs w:val="32"/>
          <w:highlight w:val="none"/>
          <w:u w:val="none"/>
          <w:lang w:val="en-US" w:eastAsia="zh-CN"/>
        </w:rPr>
        <w:t xml:space="preserve">附件2</w:t>
      </w:r>
      <w:bookmarkEnd w:id="69"/>
      <w:r>
        <w:rPr>
          <w:rFonts w:ascii="黑体" w:eastAsia="黑体" w:hAnsi="黑体" w:cs="黑体" w:hint="eastAsia"/>
          <w:b/>
          <w:bCs/>
          <w:i w:val="0"/>
          <w:iCs w:val="0"/>
          <w:color w:val="auto"/>
          <w:kern w:val="0"/>
          <w:sz w:val="32"/>
          <w:szCs w:val="32"/>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auto"/>
          <w:kern w:val="0"/>
          <w:sz w:val="28"/>
          <w:szCs w:val="28"/>
          <w:highlight w:val="none"/>
          <w:u w:val="none"/>
          <w:lang w:val="en-US" w:eastAsia="zh-CN"/>
        </w:rPr>
      </w:pPr>
      <w:r>
        <w:rPr>
          <w:rFonts w:ascii="仿宋_GB2312" w:eastAsia="仿宋_GB2312" w:hAnsi="仿宋_GB2312" w:cs="仿宋_GB2312" w:hint="eastAsia"/>
          <w:b/>
          <w:bCs/>
          <w:i w:val="0"/>
          <w:iCs w:val="0"/>
          <w:color w:val="auto"/>
          <w:kern w:val="0"/>
          <w:sz w:val="28"/>
          <w:szCs w:val="28"/>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auto"/>
          <w:kern w:val="0"/>
          <w:sz w:val="22"/>
          <w:szCs w:val="22"/>
          <w:highlight w:val="none"/>
          <w:u w:val="none"/>
          <w:lang w:val="en-US" w:eastAsia="zh-CN"/>
        </w:rPr>
      </w:pPr>
      <w:r>
        <w:rPr>
          <w:rFonts w:ascii="Times New Roman" w:eastAsia="仿宋_GB2312" w:hAnsi="Times New Roman" w:cs="Times New Roman" w:hint="default"/>
          <w:b/>
          <w:bCs/>
          <w:i w:val="0"/>
          <w:iCs w:val="0"/>
          <w:color w:val="auto"/>
          <w:kern w:val="0"/>
          <w:sz w:val="22"/>
          <w:szCs w:val="22"/>
          <w:highlight w:val="none"/>
          <w:u w:val="none"/>
          <w:lang w:val="en-US" w:eastAsia="zh-CN"/>
        </w:rPr>
        <w:t xml:space="preserve">（202</w:t>
      </w:r>
      <w:r>
        <w:rPr>
          <w:rFonts w:eastAsia="仿宋_GB2312" w:cs="Times New Roman" w:hint="eastAsia"/>
          <w:b/>
          <w:bCs/>
          <w:i w:val="0"/>
          <w:iCs w:val="0"/>
          <w:color w:val="auto"/>
          <w:kern w:val="0"/>
          <w:sz w:val="22"/>
          <w:szCs w:val="22"/>
          <w:highlight w:val="none"/>
          <w:u w:val="none"/>
          <w:lang w:val="en-US" w:eastAsia="zh-CN"/>
        </w:rPr>
        <w:t xml:space="preserve">5</w:t>
      </w:r>
      <w:r>
        <w:rPr>
          <w:rFonts w:ascii="Times New Roman" w:eastAsia="仿宋_GB2312" w:hAnsi="Times New Roman" w:cs="Times New Roman" w:hint="default"/>
          <w:b/>
          <w:bCs/>
          <w:i w:val="0"/>
          <w:iCs w:val="0"/>
          <w:color w:val="auto"/>
          <w:kern w:val="0"/>
          <w:sz w:val="22"/>
          <w:szCs w:val="22"/>
          <w:highlight w:val="none"/>
          <w:u w:val="none"/>
          <w:lang w:val="en-US" w:eastAsia="zh-CN"/>
        </w:rPr>
        <w:t xml:space="preserve">年度）</w:t>
      </w:r>
    </w:p>
    <w:tbl>
      <w:tblPr>
        <w:tblStyle w:val="NormalTabl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917"/>
        <w:gridCol w:w="1293"/>
        <w:gridCol w:w="1310"/>
        <w:gridCol w:w="1035"/>
        <w:gridCol w:w="1140"/>
        <w:gridCol w:w="967"/>
        <w:gridCol w:w="805"/>
        <w:gridCol w:w="748"/>
        <w:gridCol w:w="1015"/>
        <w:gridCol w:w="1046"/>
        <w:gridCol w:w="1032"/>
        <w:gridCol w:w="828"/>
        <w:gridCol w:w="748"/>
        <w:gridCol w:w="1290"/>
      </w:tblGrid>
      <w:tr w14:paraId="5362BD51">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项目名称</w:t>
            </w:r>
          </w:p>
        </w:tc>
        <w:tc>
          <w:tcPr>
            <w:tcW w:w="422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2025年自治区水利发展资金专</w:t>
            </w:r>
            <w:r>
              <w:rPr>
                <w:rFonts w:ascii="仿宋_GB2312" w:eastAsia="仿宋_GB2312" w:hAnsi="仿宋_GB2312" w:cs="仿宋_GB2312" w:hint="eastAsia"/>
                <w:i w:val="0"/>
                <w:iCs w:val="0"/>
                <w:color w:val="auto"/>
                <w:sz w:val="18"/>
                <w:szCs w:val="18"/>
                <w:highlight w:val="none"/>
                <w:u w:val="none"/>
                <w:lang w:eastAsia="zh-CN"/>
              </w:rPr>
              <w:t xml:space="preserve">项</w:t>
            </w:r>
            <w:r>
              <w:rPr>
                <w:rFonts w:ascii="仿宋_GB2312" w:eastAsia="仿宋_GB2312" w:hAnsi="仿宋_GB2312" w:cs="仿宋_GB2312" w:hint="eastAsia"/>
                <w:i w:val="0"/>
                <w:iCs w:val="0"/>
                <w:color w:val="auto"/>
                <w:sz w:val="18"/>
                <w:szCs w:val="18"/>
                <w:highlight w:val="none"/>
                <w:u w:val="none"/>
              </w:rPr>
              <w:t xml:space="preserve">（经营成本性项目）</w:t>
            </w:r>
          </w:p>
        </w:tc>
      </w:tr>
      <w:tr w14:paraId="697EB87F">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主管部门</w:t>
            </w:r>
          </w:p>
        </w:tc>
        <w:tc>
          <w:tcPr>
            <w:tcW w:w="185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新疆维吾尔自治区塔里木河流域管理局</w:t>
            </w:r>
          </w:p>
        </w:tc>
        <w:tc>
          <w:tcPr>
            <w:tcW w:w="6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实施单位</w:t>
            </w:r>
          </w:p>
        </w:tc>
        <w:tc>
          <w:tcPr>
            <w:tcW w:w="174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新疆维吾尔自治区塔里木河流域渭干河水利管理中心</w:t>
            </w:r>
          </w:p>
        </w:tc>
      </w:tr>
      <w:tr w14:paraId="14B4CA8E">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项目资金</w:t>
            </w:r>
            <w:r>
              <w:rPr>
                <w:rFonts w:ascii="仿宋_GB2312" w:eastAsia="仿宋_GB2312" w:hAnsi="仿宋_GB2312" w:cs="仿宋_GB2312" w:hint="eastAsia"/>
                <w:i w:val="0"/>
                <w:iCs w:val="0"/>
                <w:color w:val="auto"/>
                <w:kern w:val="0"/>
                <w:sz w:val="18"/>
                <w:szCs w:val="18"/>
                <w:highlight w:val="none"/>
                <w:u w:val="none"/>
                <w:lang w:val="en-US" w:eastAsia="zh-CN"/>
              </w:rPr>
              <w:br/>
            </w:r>
            <w:r>
              <w:rPr>
                <w:rFonts w:ascii="仿宋_GB2312" w:eastAsia="仿宋_GB2312" w:hAnsi="仿宋_GB2312" w:cs="仿宋_GB2312" w:hint="eastAsia"/>
                <w:i w:val="0"/>
                <w:iCs w:val="0"/>
                <w:color w:val="auto"/>
                <w:kern w:val="0"/>
                <w:sz w:val="18"/>
                <w:szCs w:val="18"/>
                <w:highlight w:val="none"/>
                <w:u w:val="none"/>
                <w:lang w:val="en-US" w:eastAsia="zh-CN"/>
              </w:rPr>
              <w:t xml:space="preserve">（万元）</w:t>
            </w:r>
          </w:p>
        </w:tc>
        <w:tc>
          <w:tcPr>
            <w:tcW w:w="8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资金来源</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年初预算数</w:t>
            </w:r>
          </w:p>
        </w:tc>
        <w:tc>
          <w:tcPr>
            <w:tcW w:w="6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全年预算数</w:t>
            </w:r>
          </w:p>
        </w:tc>
        <w:tc>
          <w:tcPr>
            <w:tcW w:w="6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全年执行数</w:t>
            </w:r>
          </w:p>
        </w:tc>
        <w:tc>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分值权重</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执行率</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得分</w:t>
            </w:r>
          </w:p>
        </w:tc>
      </w:tr>
      <w:tr w14:paraId="5F1EBEFC">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年度资金总额</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7048</w:t>
            </w:r>
          </w:p>
        </w:tc>
        <w:tc>
          <w:tcPr>
            <w:tcW w:w="6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7048</w:t>
            </w:r>
          </w:p>
        </w:tc>
        <w:tc>
          <w:tcPr>
            <w:tcW w:w="6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6999.36</w:t>
            </w:r>
          </w:p>
        </w:tc>
        <w:tc>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99.31%</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9.83</w:t>
            </w:r>
          </w:p>
        </w:tc>
      </w:tr>
      <w:tr w14:paraId="5AC60AAD">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其中：当年财政拨款</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0</w:t>
            </w:r>
          </w:p>
        </w:tc>
        <w:tc>
          <w:tcPr>
            <w:tcW w:w="6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0</w:t>
            </w:r>
          </w:p>
        </w:tc>
        <w:tc>
          <w:tcPr>
            <w:tcW w:w="6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0</w:t>
            </w:r>
          </w:p>
        </w:tc>
        <w:tc>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r>
      <w:tr w14:paraId="7B7A0407">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26"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其他资金</w:t>
            </w:r>
          </w:p>
        </w:tc>
        <w:tc>
          <w:tcPr>
            <w:tcW w:w="402"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7048</w:t>
            </w:r>
          </w:p>
        </w:tc>
        <w:tc>
          <w:tcPr>
            <w:tcW w:w="625"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7048</w:t>
            </w:r>
          </w:p>
        </w:tc>
        <w:tc>
          <w:tcPr>
            <w:tcW w:w="621"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6999.36</w:t>
            </w:r>
          </w:p>
        </w:tc>
        <w:tc>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r>
      <w:tr w14:paraId="0565CF84">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年度总体目标</w:t>
            </w:r>
          </w:p>
        </w:tc>
        <w:tc>
          <w:tcPr>
            <w:tcW w:w="2932"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w:t>
            </w:r>
          </w:p>
        </w:tc>
        <w:tc>
          <w:tcPr>
            <w:tcW w:w="174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总体目标完成情况</w:t>
            </w:r>
          </w:p>
        </w:tc>
      </w:tr>
      <w:tr w14:paraId="27A7AFD0">
        <w:tblPrEx>
          <w:tblW w:w="5000" w:type="pct"/>
          <w:tblInd w:w="0" w:type="dxa"/>
          <w:shd w:val="clear" w:color="auto" w:fill="auto"/>
          <w:tblLayout w:type="fixed"/>
          <w:tblCellMar>
            <w:top w:w="0" w:type="dxa"/>
            <w:left w:w="108" w:type="dxa"/>
            <w:bottom w:w="0" w:type="dxa"/>
            <w:right w:w="108" w:type="dxa"/>
          </w:tblCellMar>
        </w:tblPrEx>
        <w:trPr>
          <w:trHeight w:val="590"/>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32" w:type="pct"/>
            <w:gridSpan w:val="8"/>
            <w:tcBorders>
              <w:top w:val="single" w:sz="4" w:space="0" w:color="000000"/>
              <w:left w:val="single" w:sz="4" w:space="0" w:color="000000"/>
              <w:bottom w:val="single" w:sz="4" w:space="0" w:color="000000"/>
              <w:right w:val="single" w:sz="4" w:space="0" w:color="000000"/>
            </w:tcBorders>
            <w:shd w:val="clear" w:color="auto" w:fill="auto"/>
            <w:vAlign w:val="top"/>
          </w:tcPr>
          <w:p>
            <w:pPr>
              <w:keepNext w:val="0"/>
              <w:keepLines w:val="0"/>
              <w:widowControl/>
              <w:suppressLineNumbers w:val="0"/>
              <w:jc w:val="left"/>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根据本单位机构改革方案和2025年维修养护项目实施方案及工作要求，本项目通过统筹推进人员经费保障、水费支付、公用经费补充以及水利工程维修养护等工作，达成以下具体绩效目标：1.年度完成12次人员工资福利发放，足额保障231名在职、退休及遗属人员工资福利发放，发放及时率不低于95%，以此激发岗位履职能力，确保水利日常管理与工程巡检等基础工作有序开展；2.本年度完成不少于3次克孜尔水库管理中心农业灌溉水费支付，保障上游水利管理单位正常运转，水费支付及时率不低于95%，维护上下游灌溉供水持续稳定，助力流域农业灌溉供水需求得到有效保障；3.完成不少于5项水利工程维修养护任务，委托业务数量不少于5次，水利工程维修养护项目招投标资金落实率不低于95%，借此消除工程运行安全隐患，提升水利设施防洪、灌溉服务能力；4.合规列支差旅费、公务用车维护费等公用经费，支撑单位政务办公、业务对接工作高效推进，保障水利管理各项事务工作闭环落地。通过上述工作的系统实施，最终推动辖区水利工程公益服务功能持续优化、流域供水保障体系更加完善、单位内部运营管理规范化水平显著提升，实现水利防洪灌溉综合效益充分释放，民生保障工作落地见效。</w:t>
            </w:r>
          </w:p>
        </w:tc>
        <w:tc>
          <w:tcPr>
            <w:tcW w:w="174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根据本单位机构改革方案和2025年维修养护项目实施方案及工作要求，本项目通过统筹推进人员经费保障、水费支付、公用经费补充以及水利工程维修养护等工作，2025年度全年完成12次人员工资发放，足额保障231名在职、退休及遗属人员工资发放，发放及时率100%，确保了水利日常管理与工程巡检等基础工作有序开展，激发了岗位履职能力；本年度向克孜尔水库管理中心支付农业灌溉水费共计3次，水费支付及时率达到100%，保障了上游水利管理单位正常运转，维护了上下游灌溉供水持续稳定，助力了流域农业灌溉供水需求得到有效保障；2025年度完成5项水利工程维修养护任务、委托业务数量5次，水利工程维修养护项目招投标资金落实率100%，消除了工程运行安全隐患，提升了水利设施防洪、灌溉服务能力；2025年度人员经费支出3038.29万元、农业灌溉水费支出共计3438.3万元、水利工程维修养护项目420万元、公用经费支出102.77万元。通过上述工作的系统实施，最终推动了辖区水利工程公益服务功能持续优化、完善了流域供水保障体系、显著提升了单位内部运营管理规范化水平，实现了水利防洪灌溉综合效益充分释放，保障了民生工作落地见效与中心水利设施的安全运行。</w:t>
            </w:r>
          </w:p>
        </w:tc>
      </w:tr>
      <w:tr w14:paraId="21F7E2B7">
        <w:tblPrEx>
          <w:tblW w:w="5000" w:type="pct"/>
          <w:tblInd w:w="0" w:type="dxa"/>
          <w:shd w:val="clear" w:color="auto" w:fill="auto"/>
          <w:tblLayout w:type="fixed"/>
          <w:tblCellMar>
            <w:top w:w="0" w:type="dxa"/>
            <w:left w:w="108" w:type="dxa"/>
            <w:bottom w:w="0" w:type="dxa"/>
            <w:right w:w="108" w:type="dxa"/>
          </w:tblCellMar>
        </w:tblPrEx>
        <w:trPr>
          <w:trHeight w:val="600"/>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绩效指标</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一级指标</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二级指标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三级指标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指标值设置依据</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上年完成值</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指标分值权重</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指标赋分规则</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佐证资料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指标实际完成值</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完成率</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指标得分</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偏差原因分析及改进措施</w:t>
            </w:r>
          </w:p>
        </w:tc>
      </w:tr>
      <w:tr w14:paraId="4ACC1227">
        <w:tblPrEx>
          <w:tblW w:w="5000" w:type="pct"/>
          <w:tblInd w:w="0" w:type="dxa"/>
          <w:shd w:val="clear" w:color="auto" w:fill="auto"/>
          <w:tblLayout w:type="fixed"/>
          <w:tblCellMar>
            <w:top w:w="0" w:type="dxa"/>
            <w:left w:w="108" w:type="dxa"/>
            <w:bottom w:w="0" w:type="dxa"/>
            <w:right w:w="108" w:type="dxa"/>
          </w:tblCellMar>
        </w:tblPrEx>
        <w:trPr>
          <w:trHeight w:val="886"/>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产出指标</w:t>
            </w:r>
          </w:p>
        </w:tc>
        <w:tc>
          <w:tcPr>
            <w:tcW w:w="462"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数量指标</w:t>
            </w: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人员工资发放次数</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=12次</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=12次</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lang w:val="en-US" w:eastAsia="zh-CN"/>
              </w:rPr>
            </w:pPr>
          </w:p>
          <w:p>
            <w:pPr>
              <w:jc w:val="left"/>
              <w:rPr>
                <w:rFonts w:ascii="仿宋_GB2312" w:eastAsia="仿宋_GB2312" w:hAnsi="仿宋_GB2312" w:cs="仿宋_GB2312" w:hint="eastAsia"/>
                <w:i w:val="0"/>
                <w:iCs w:val="0"/>
                <w:color w:val="auto"/>
                <w:sz w:val="18"/>
                <w:szCs w:val="18"/>
                <w:highlight w:val="none"/>
                <w:u w:val="none"/>
                <w:lang w:val="en-US" w:eastAsia="zh-CN"/>
              </w:rPr>
            </w:pPr>
          </w:p>
        </w:tc>
      </w:tr>
      <w:tr w14:paraId="5572F981">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水利工程维修养护项目</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≥5项</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=5项</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lang w:val="en-US" w:eastAsia="zh-CN"/>
              </w:rPr>
            </w:pPr>
          </w:p>
        </w:tc>
      </w:tr>
      <w:tr w14:paraId="01AAE44B">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支付克孜尔水库管理中心水费次数</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≥3次</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=3次</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lang w:val="en-US" w:eastAsia="zh-CN"/>
              </w:rPr>
            </w:pPr>
          </w:p>
        </w:tc>
      </w:tr>
      <w:tr w14:paraId="60929810">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委托业务服务项目数量</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≥5次</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=5次</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lang w:val="en-US" w:eastAsia="zh-CN"/>
              </w:rPr>
            </w:pPr>
          </w:p>
        </w:tc>
      </w:tr>
      <w:tr w14:paraId="3D0ED20C">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工资发放人数</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=231人</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=231人</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lang w:val="en-US" w:eastAsia="zh-CN"/>
              </w:rPr>
            </w:pPr>
          </w:p>
        </w:tc>
      </w:tr>
      <w:tr w14:paraId="689CD913">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质量指标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水利工程维修养护项目招投标资金落实率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≥95%</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p>
        </w:tc>
      </w:tr>
      <w:tr w14:paraId="15D388FD">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时效指标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灌溉水费支付及时率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≥95%</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b/>
                <w:bCs/>
                <w:i w:val="0"/>
                <w:iCs w:val="0"/>
                <w:color w:val="auto"/>
                <w:sz w:val="18"/>
                <w:szCs w:val="18"/>
                <w:highlight w:val="none"/>
                <w:u w:val="none"/>
              </w:rPr>
            </w:pPr>
          </w:p>
        </w:tc>
      </w:tr>
      <w:tr w14:paraId="52B84A5D">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vMerge/>
            <w:tcBorders>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工资发放及时率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≥95%</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b/>
                <w:bCs/>
                <w:i w:val="0"/>
                <w:iCs w:val="0"/>
                <w:color w:val="auto"/>
                <w:sz w:val="18"/>
                <w:szCs w:val="18"/>
                <w:highlight w:val="none"/>
                <w:u w:val="none"/>
              </w:rPr>
            </w:pPr>
          </w:p>
        </w:tc>
      </w:tr>
      <w:tr w14:paraId="6288F9BF">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val="restart"/>
            <w:tcBorders>
              <w:top w:val="single" w:sz="4" w:space="0" w:color="000000"/>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成本指标</w:t>
            </w:r>
          </w:p>
        </w:tc>
        <w:tc>
          <w:tcPr>
            <w:tcW w:w="462"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经济成本指标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人员工资福利支出</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≤3084万元</w:t>
            </w:r>
          </w:p>
        </w:tc>
        <w:tc>
          <w:tcPr>
            <w:tcW w:w="341"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4</w:t>
            </w:r>
          </w:p>
        </w:tc>
        <w:tc>
          <w:tcPr>
            <w:tcW w:w="356"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原始凭证</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=3038.29万元</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98.52%</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3.85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lang w:val="en-US" w:eastAsia="zh-CN"/>
              </w:rPr>
            </w:pPr>
            <w:r>
              <w:rPr>
                <w:rFonts w:ascii="仿宋_GB2312" w:eastAsia="仿宋_GB2312" w:hAnsi="仿宋_GB2312" w:cs="仿宋_GB2312" w:hint="eastAsia"/>
                <w:i w:val="0"/>
                <w:iCs w:val="0"/>
                <w:color w:val="auto"/>
                <w:sz w:val="15"/>
                <w:szCs w:val="15"/>
                <w:highlight w:val="none"/>
                <w:u w:val="none"/>
                <w:lang w:val="en-US" w:eastAsia="zh-CN"/>
              </w:rPr>
              <w:t xml:space="preserve">偏差原因：一是部分人员到龄退休，人员编制缩减，工资福利支出相应减少；二是有人员调出，在职人员数量减少，经费支出随之降低；三是社保缴费基数调整幅度小于预期，相关配套支出未达预算测算值。整改措施：精准统计在职、退休、调出人员变动情况，提前摸排社保政策调整细节，下一年度预算编制时细化人员经费测算，提审预算精准度，确保经费预算贴合实际支出情况。</w:t>
            </w:r>
          </w:p>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rPr>
            </w:pPr>
          </w:p>
        </w:tc>
      </w:tr>
      <w:tr w14:paraId="5E6B0F70">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62"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2025年度灌溉水费支出</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rPr>
            </w:pPr>
            <w:r>
              <w:rPr>
                <w:rFonts w:ascii="仿宋_GB2312" w:eastAsia="仿宋_GB2312" w:hAnsi="仿宋_GB2312" w:cs="仿宋_GB2312" w:hint="eastAsia"/>
                <w:i w:val="0"/>
                <w:iCs w:val="0"/>
                <w:color w:val="auto"/>
                <w:sz w:val="18"/>
                <w:szCs w:val="18"/>
                <w:highlight w:val="none"/>
                <w:u w:val="none"/>
                <w:lang w:val="en-US" w:eastAsia="zh-CN"/>
              </w:rPr>
              <w:t xml:space="preserve">≤3439万元</w:t>
            </w:r>
          </w:p>
        </w:tc>
        <w:tc>
          <w:tcPr>
            <w:tcW w:w="341"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6</w:t>
            </w:r>
          </w:p>
        </w:tc>
        <w:tc>
          <w:tcPr>
            <w:tcW w:w="356"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原始凭证</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=3438.3万元</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99.98%</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6</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hint="eastAsia"/>
                <w:color w:val="auto"/>
                <w:sz w:val="18"/>
                <w:szCs w:val="21"/>
                <w:highlight w:val="none"/>
                <w:lang w:eastAsia="zh-CN"/>
              </w:rPr>
            </w:pPr>
            <w:r>
              <w:rPr>
                <w:rFonts w:ascii="仿宋_GB2312" w:eastAsia="仿宋_GB2312" w:hAnsi="仿宋_GB2312" w:cs="仿宋_GB2312" w:hint="eastAsia"/>
                <w:i w:val="0"/>
                <w:iCs w:val="0"/>
                <w:color w:val="auto"/>
                <w:sz w:val="15"/>
                <w:szCs w:val="15"/>
                <w:highlight w:val="none"/>
                <w:u w:val="none"/>
                <w:lang w:val="en-US" w:eastAsia="zh-CN"/>
              </w:rPr>
              <w:t xml:space="preserve">偏差原因：本年度灌溉水费预算是根据上一年度用水量测算编制，因本年度实际灌溉用水量略有减少，导致实际支付水费较预算略有降低，形成小幅偏差。整改措施：今后将结合近年平均用水量、当年气候及灌溉需求等因素，更加精准测算水费预算，强化用水动态管理，进一步提高预算执行准确率。</w:t>
            </w:r>
          </w:p>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rPr>
            </w:pPr>
          </w:p>
        </w:tc>
      </w:tr>
      <w:tr w14:paraId="4C304382">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62"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水利工程维修养护支出</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rPr>
            </w:pPr>
            <w:r>
              <w:rPr>
                <w:rFonts w:ascii="仿宋_GB2312" w:eastAsia="仿宋_GB2312" w:hAnsi="仿宋_GB2312" w:cs="仿宋_GB2312" w:hint="eastAsia"/>
                <w:i w:val="0"/>
                <w:iCs w:val="0"/>
                <w:color w:val="auto"/>
                <w:sz w:val="18"/>
                <w:szCs w:val="18"/>
                <w:highlight w:val="none"/>
                <w:u w:val="none"/>
                <w:lang w:val="en-US" w:eastAsia="zh-CN"/>
              </w:rPr>
              <w:t xml:space="preserve">≤420万元</w:t>
            </w:r>
          </w:p>
        </w:tc>
        <w:tc>
          <w:tcPr>
            <w:tcW w:w="341"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原始凭证</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=420万元</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rPr>
            </w:pPr>
          </w:p>
        </w:tc>
      </w:tr>
      <w:tr w14:paraId="014DD17F">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62" w:type="pct"/>
            <w:vMerge/>
            <w:tcBorders>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公用经费支出</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≤105万元</w:t>
            </w:r>
          </w:p>
        </w:tc>
        <w:tc>
          <w:tcPr>
            <w:tcW w:w="341"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原始凭证</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=102.77万元</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97.88%</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4.73</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lang w:val="en-US" w:eastAsia="zh-CN"/>
              </w:rPr>
            </w:pPr>
            <w:r>
              <w:rPr>
                <w:rFonts w:ascii="仿宋_GB2312" w:eastAsia="仿宋_GB2312" w:hAnsi="仿宋_GB2312" w:cs="仿宋_GB2312" w:hint="eastAsia"/>
                <w:i w:val="0"/>
                <w:iCs w:val="0"/>
                <w:color w:val="auto"/>
                <w:sz w:val="15"/>
                <w:szCs w:val="15"/>
                <w:highlight w:val="none"/>
                <w:u w:val="none"/>
                <w:lang w:val="en-US" w:eastAsia="zh-CN"/>
              </w:rPr>
              <w:t xml:space="preserve">偏差原因：年度实际运行中，受部分会议培训精简、公务出行按需压缩及日常办公耗材精细化管理等因素影响，各类支出较预算有所节约。整改措施：今后将持续优化公用经费预算执行管控，进一步细化年度支出计划，动态跟踪各项费用进度，在确保正常运行的前提下，从严从紧控制支出，提高资金使用效益，力争实现预算执行的精准匹配。</w:t>
            </w:r>
          </w:p>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rPr>
            </w:pPr>
          </w:p>
        </w:tc>
      </w:tr>
      <w:tr w14:paraId="05905433">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效益指标</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经济效益指标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14:paraId="4C14A6FE">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社会效益指标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保障管理中心水利工程设施设备安全运行</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有限保障</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30</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按评判等级赋分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说明材料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30</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14:paraId="20D6DEEA">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生态效益指标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14:paraId="4FBE7358">
        <w:tblPrEx>
          <w:tblW w:w="5000" w:type="pct"/>
          <w:tblInd w:w="0" w:type="dxa"/>
          <w:shd w:val="clear" w:color="auto" w:fill="auto"/>
          <w:tblLayout w:type="fixed"/>
          <w:tblCellMar>
            <w:top w:w="0" w:type="dxa"/>
            <w:left w:w="108" w:type="dxa"/>
            <w:bottom w:w="0" w:type="dxa"/>
            <w:right w:w="108" w:type="dxa"/>
          </w:tblCellMar>
        </w:tblPrEx>
        <w:trPr>
          <w:trHeight w:val="90"/>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14:paraId="2A364F74">
        <w:tblPrEx>
          <w:tblW w:w="5000" w:type="pct"/>
          <w:tblInd w:w="0" w:type="dxa"/>
          <w:shd w:val="clear" w:color="auto" w:fill="auto"/>
          <w:tblLayout w:type="fixed"/>
          <w:tblCellMar>
            <w:top w:w="0" w:type="dxa"/>
            <w:left w:w="108" w:type="dxa"/>
            <w:bottom w:w="0" w:type="dxa"/>
            <w:right w:w="108" w:type="dxa"/>
          </w:tblCellMar>
        </w:tblPrEx>
        <w:trPr>
          <w:trHeight w:val="288"/>
        </w:trPr>
        <w:tc>
          <w:tcPr>
            <w:tcW w:w="1606" w:type="pct"/>
            <w:gridSpan w:val="4"/>
            <w:tcBorders>
              <w:top w:val="single" w:sz="4" w:space="0" w:color="000000"/>
              <w:left w:val="single" w:sz="4" w:space="0" w:color="000000"/>
              <w:bottom w:val="single" w:sz="4" w:space="0" w:color="000000"/>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总分</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41" w:type="pct"/>
            <w:tcBorders>
              <w:top w:val="single" w:sz="4" w:space="0" w:color="000000"/>
              <w:left w:val="nil"/>
              <w:bottom w:val="single" w:sz="4" w:space="0" w:color="000000"/>
              <w:right w:val="single" w:sz="4" w:space="0" w:color="000000"/>
            </w:tcBorders>
            <w:shd w:val="clear" w:color="auto" w:fill="auto"/>
            <w:vAlign w:val="center"/>
          </w:tcPr>
          <w:p>
            <w:pPr>
              <w:rPr>
                <w:rFonts w:ascii="仿宋_GB2312" w:eastAsia="仿宋_GB2312" w:hAnsi="仿宋_GB2312" w:cs="仿宋_GB2312" w:hint="eastAsia"/>
                <w:b/>
                <w:bCs/>
                <w:i w:val="0"/>
                <w:iCs w:val="0"/>
                <w:color w:val="auto"/>
                <w:sz w:val="18"/>
                <w:szCs w:val="18"/>
                <w:highlight w:val="none"/>
                <w:u w:val="none"/>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90</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89.58</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r>
    </w:tbl>
    <w:p>
      <w:pPr>
        <w:rPr>
          <w:rFonts w:ascii="Times New Roman" w:hAnsi="Times New Roman" w:cs="Times New Roman" w:hint="default"/>
          <w:color w:val="auto"/>
          <w:highlight w:val="none"/>
        </w:rPr>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embedRegular r:id="rId1" w:subsetted="1" w:fontKey="{86A49A5C-3C5F-41D6-9124-859715819C82}"/>
    <w:embedBold r:id="rId2" w:subsetted="1" w:fontKey="{C547A75E-D52C-402A-9376-9F7598583EAD}"/>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3" w:subsetted="1" w:fontKey="{C2BAACF4-2794-4884-86FA-EBEE58E2DAB4}"/>
    <w:embedBold r:id="rId4" w:subsetted="1" w:fontKey="{24DEA92B-468D-4B94-BF11-B9EFF1A95B44}"/>
  </w:font>
  <w:font w:name="Calibri">
    <w:panose1 w:val="020F0502020204030204"/>
    <w:charset w:val="00"/>
    <w:family w:val="swiss"/>
    <w:pitch w:val="default"/>
    <w:sig w:usb0="E4002EFF" w:usb1="C000247B" w:usb2="00000009" w:usb3="00000000" w:csb0="200001FF" w:csb1="00000000"/>
    <w:embedRegular r:id="rId5" w:subsetted="1" w:fontKey="{E8F8B2A7-045F-4D89-82DA-D4CEED553953}"/>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6" w:fontKey="{27482C67-2249-4914-81CD-B2B42E3517E2}"/>
    <w:embedBold r:id="rId7" w:fontKey="{2EC0A126-E736-417B-88F7-02251B0C90F2}"/>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embedRegular r:id="rId8" w:fontKey="{6C791F9D-43BE-4C24-AB18-4619C1A5BC3B}"/>
  </w:font>
  <w:font w:name="楷体_GB2312">
    <w:panose1 w:val="02010609030101010101"/>
    <w:charset w:val="86"/>
    <w:family w:val="auto"/>
    <w:pitch w:val="default"/>
    <w:sig w:usb0="00000001" w:usb1="080E0000" w:usb2="00000000" w:usb3="00000000" w:csb0="00040000" w:csb1="00000000"/>
    <w:embedBold r:id="rId9" w:fontKey="{E7415FE3-709A-413F-9131-BF558D38A353}"/>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0" w:subsetted="1" w:fontKey="{103A5E3E-9834-421C-A512-E846DC135B74}"/>
    <w:embedBold r:id="rId11" w:subsetted="1" w:fontKey="{63D6B71D-F264-4F5D-853E-3FE1D0CE268D}"/>
  </w:font>
  <w:font w:name="方正小标宋">
    <w:charset w:val="01"/>
    <w:family w:val="auto"/>
    <w:pitch w:val="default"/>
  </w:font>
  <w:font w:name="仿宋">
    <w:charset w:val="01"/>
    <w:family w:val="auto"/>
    <w:pitch w:val="default"/>
  </w:font>
  <w:font w:name="方正仿宋">
    <w:charset w:val="01"/>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TrueTypeFonts/>
  <w:saveSubset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6F7242"/>
    <w:rsid w:val="007B168A"/>
    <w:rsid w:val="008B2CFE"/>
    <w:rsid w:val="00D14946"/>
    <w:rsid w:val="00F26FF6"/>
    <w:rsid w:val="011E0236"/>
    <w:rsid w:val="01610122"/>
    <w:rsid w:val="01B80F22"/>
    <w:rsid w:val="02510197"/>
    <w:rsid w:val="030F6088"/>
    <w:rsid w:val="036D1000"/>
    <w:rsid w:val="03EC461B"/>
    <w:rsid w:val="04820ADC"/>
    <w:rsid w:val="04FC7963"/>
    <w:rsid w:val="057E12A3"/>
    <w:rsid w:val="064C13A1"/>
    <w:rsid w:val="07397B77"/>
    <w:rsid w:val="07EB626D"/>
    <w:rsid w:val="084E1401"/>
    <w:rsid w:val="097C3D4B"/>
    <w:rsid w:val="0AD007F3"/>
    <w:rsid w:val="0AFC15E8"/>
    <w:rsid w:val="0B0E7513"/>
    <w:rsid w:val="0B3F14D4"/>
    <w:rsid w:val="0BAB6B6A"/>
    <w:rsid w:val="0C061FF2"/>
    <w:rsid w:val="0CE42333"/>
    <w:rsid w:val="0DE46363"/>
    <w:rsid w:val="0E3C619F"/>
    <w:rsid w:val="0E6801EC"/>
    <w:rsid w:val="0EFE4AC2"/>
    <w:rsid w:val="0F6F3B45"/>
    <w:rsid w:val="11170296"/>
    <w:rsid w:val="11B60016"/>
    <w:rsid w:val="13471461"/>
    <w:rsid w:val="13B90F01"/>
    <w:rsid w:val="141E2B33"/>
    <w:rsid w:val="14E16A7C"/>
    <w:rsid w:val="155E4C4D"/>
    <w:rsid w:val="16290DB7"/>
    <w:rsid w:val="164D0F49"/>
    <w:rsid w:val="16D276A1"/>
    <w:rsid w:val="16E318AE"/>
    <w:rsid w:val="17462648"/>
    <w:rsid w:val="17664C52"/>
    <w:rsid w:val="181066D2"/>
    <w:rsid w:val="18177FE3"/>
    <w:rsid w:val="19195A0A"/>
    <w:rsid w:val="197902A7"/>
    <w:rsid w:val="199944A6"/>
    <w:rsid w:val="19AD23A6"/>
    <w:rsid w:val="1A2B4F63"/>
    <w:rsid w:val="1A564145"/>
    <w:rsid w:val="1AD938CB"/>
    <w:rsid w:val="1AE2543D"/>
    <w:rsid w:val="1C671E73"/>
    <w:rsid w:val="1D1125A5"/>
    <w:rsid w:val="1D322C47"/>
    <w:rsid w:val="1E626EDB"/>
    <w:rsid w:val="1E6E5F01"/>
    <w:rsid w:val="1E934856"/>
    <w:rsid w:val="1F1840BF"/>
    <w:rsid w:val="1F791465"/>
    <w:rsid w:val="20C067BC"/>
    <w:rsid w:val="23111551"/>
    <w:rsid w:val="23616034"/>
    <w:rsid w:val="23D4607E"/>
    <w:rsid w:val="241E5A50"/>
    <w:rsid w:val="24264886"/>
    <w:rsid w:val="24480FA2"/>
    <w:rsid w:val="246663D3"/>
    <w:rsid w:val="25227A45"/>
    <w:rsid w:val="258A1202"/>
    <w:rsid w:val="26AC3A6A"/>
    <w:rsid w:val="26B26BA7"/>
    <w:rsid w:val="27C923FA"/>
    <w:rsid w:val="281178FD"/>
    <w:rsid w:val="285C7A27"/>
    <w:rsid w:val="294855A0"/>
    <w:rsid w:val="29F319B0"/>
    <w:rsid w:val="2ADA0E92"/>
    <w:rsid w:val="2AEA2DB3"/>
    <w:rsid w:val="2B9D7E25"/>
    <w:rsid w:val="2BE45A54"/>
    <w:rsid w:val="2C212804"/>
    <w:rsid w:val="2C7C7A3B"/>
    <w:rsid w:val="2C923702"/>
    <w:rsid w:val="2E20089A"/>
    <w:rsid w:val="2E861EE7"/>
    <w:rsid w:val="2EFA10EB"/>
    <w:rsid w:val="2EFC0D68"/>
    <w:rsid w:val="2F364819"/>
    <w:rsid w:val="2FAA48BF"/>
    <w:rsid w:val="2FD63906"/>
    <w:rsid w:val="31570A76"/>
    <w:rsid w:val="316D029A"/>
    <w:rsid w:val="340C1981"/>
    <w:rsid w:val="346C4839"/>
    <w:rsid w:val="35146474"/>
    <w:rsid w:val="35D42696"/>
    <w:rsid w:val="35E86141"/>
    <w:rsid w:val="36DE12F2"/>
    <w:rsid w:val="37215DAE"/>
    <w:rsid w:val="37F87CF5"/>
    <w:rsid w:val="38CA40DD"/>
    <w:rsid w:val="395104A1"/>
    <w:rsid w:val="395C3512"/>
    <w:rsid w:val="395F2B56"/>
    <w:rsid w:val="398F4BF2"/>
    <w:rsid w:val="3B5D312D"/>
    <w:rsid w:val="3BBA0580"/>
    <w:rsid w:val="3BECE841"/>
    <w:rsid w:val="3C706E90"/>
    <w:rsid w:val="3CDE204C"/>
    <w:rsid w:val="3D363C36"/>
    <w:rsid w:val="3E06185A"/>
    <w:rsid w:val="3E636CAD"/>
    <w:rsid w:val="3E720C9E"/>
    <w:rsid w:val="3E9C3F6D"/>
    <w:rsid w:val="3EDC3BD6"/>
    <w:rsid w:val="3FB11C9A"/>
    <w:rsid w:val="3FE86DD3"/>
    <w:rsid w:val="3FF7797D"/>
    <w:rsid w:val="3FFF479F"/>
    <w:rsid w:val="401D10DD"/>
    <w:rsid w:val="40A92971"/>
    <w:rsid w:val="40DC2D46"/>
    <w:rsid w:val="41AF2209"/>
    <w:rsid w:val="424B1F31"/>
    <w:rsid w:val="42BF0D68"/>
    <w:rsid w:val="431A7B56"/>
    <w:rsid w:val="43601655"/>
    <w:rsid w:val="458B6AE9"/>
    <w:rsid w:val="45993C16"/>
    <w:rsid w:val="45E15804"/>
    <w:rsid w:val="464B69A4"/>
    <w:rsid w:val="46690BD8"/>
    <w:rsid w:val="46953E87"/>
    <w:rsid w:val="47071FDF"/>
    <w:rsid w:val="47132FF3"/>
    <w:rsid w:val="47501D98"/>
    <w:rsid w:val="47BB35B6"/>
    <w:rsid w:val="47D26417"/>
    <w:rsid w:val="47DB5B06"/>
    <w:rsid w:val="485A3AD7"/>
    <w:rsid w:val="48623B31"/>
    <w:rsid w:val="48BD6538"/>
    <w:rsid w:val="48D013E2"/>
    <w:rsid w:val="49C10D2B"/>
    <w:rsid w:val="49F70BF1"/>
    <w:rsid w:val="4B3A58DC"/>
    <w:rsid w:val="4B4340EE"/>
    <w:rsid w:val="4BF06537"/>
    <w:rsid w:val="4C997D3D"/>
    <w:rsid w:val="4D16138E"/>
    <w:rsid w:val="4D9E1AAF"/>
    <w:rsid w:val="4EA053B3"/>
    <w:rsid w:val="4F336227"/>
    <w:rsid w:val="503D507A"/>
    <w:rsid w:val="504B57F2"/>
    <w:rsid w:val="505E1082"/>
    <w:rsid w:val="517241E4"/>
    <w:rsid w:val="51FA74D0"/>
    <w:rsid w:val="528A5B24"/>
    <w:rsid w:val="52AA4A52"/>
    <w:rsid w:val="541311DF"/>
    <w:rsid w:val="54E56216"/>
    <w:rsid w:val="550F5041"/>
    <w:rsid w:val="55173EF5"/>
    <w:rsid w:val="56277B56"/>
    <w:rsid w:val="574A40F1"/>
    <w:rsid w:val="57BD0D84"/>
    <w:rsid w:val="57D91936"/>
    <w:rsid w:val="589C4E3D"/>
    <w:rsid w:val="59943D66"/>
    <w:rsid w:val="59C77C98"/>
    <w:rsid w:val="59E051FD"/>
    <w:rsid w:val="59E6355E"/>
    <w:rsid w:val="59F974AC"/>
    <w:rsid w:val="5A184997"/>
    <w:rsid w:val="5A3F7C21"/>
    <w:rsid w:val="5B821531"/>
    <w:rsid w:val="5BFF6039"/>
    <w:rsid w:val="5C476399"/>
    <w:rsid w:val="5D76A616"/>
    <w:rsid w:val="5D7F20B9"/>
    <w:rsid w:val="5DAC7D0E"/>
    <w:rsid w:val="5DF254FF"/>
    <w:rsid w:val="5E2D160C"/>
    <w:rsid w:val="5E4F2952"/>
    <w:rsid w:val="5EB76582"/>
    <w:rsid w:val="5F98B5AF"/>
    <w:rsid w:val="5FFE8511"/>
    <w:rsid w:val="5FFEACE2"/>
    <w:rsid w:val="609D5BF6"/>
    <w:rsid w:val="60E455D3"/>
    <w:rsid w:val="61073070"/>
    <w:rsid w:val="61113EEE"/>
    <w:rsid w:val="6150675B"/>
    <w:rsid w:val="61B9080E"/>
    <w:rsid w:val="61DF3FED"/>
    <w:rsid w:val="62A212A2"/>
    <w:rsid w:val="62AA63A9"/>
    <w:rsid w:val="63163A3E"/>
    <w:rsid w:val="63D95197"/>
    <w:rsid w:val="642B176B"/>
    <w:rsid w:val="643EE26D"/>
    <w:rsid w:val="650224CC"/>
    <w:rsid w:val="656019A0"/>
    <w:rsid w:val="65F242EE"/>
    <w:rsid w:val="666D606B"/>
    <w:rsid w:val="666D7E19"/>
    <w:rsid w:val="66C51A03"/>
    <w:rsid w:val="68376930"/>
    <w:rsid w:val="683F3494"/>
    <w:rsid w:val="68F91E38"/>
    <w:rsid w:val="69162750"/>
    <w:rsid w:val="69767E03"/>
    <w:rsid w:val="6A99742E"/>
    <w:rsid w:val="6B122D3D"/>
    <w:rsid w:val="6B3158B9"/>
    <w:rsid w:val="6BA02A3F"/>
    <w:rsid w:val="6C1E5A53"/>
    <w:rsid w:val="6C6F77A9"/>
    <w:rsid w:val="6C7F76DF"/>
    <w:rsid w:val="6CA33476"/>
    <w:rsid w:val="6DD20F3C"/>
    <w:rsid w:val="6E7F693B"/>
    <w:rsid w:val="6F5C41AC"/>
    <w:rsid w:val="6FAF6C78"/>
    <w:rsid w:val="6FD66A2F"/>
    <w:rsid w:val="701B08E6"/>
    <w:rsid w:val="707A7747"/>
    <w:rsid w:val="70A15DAA"/>
    <w:rsid w:val="716167CC"/>
    <w:rsid w:val="718A7AD1"/>
    <w:rsid w:val="72A44BC2"/>
    <w:rsid w:val="72F67375"/>
    <w:rsid w:val="7317C656"/>
    <w:rsid w:val="73351CBE"/>
    <w:rsid w:val="734ED73F"/>
    <w:rsid w:val="73C82B32"/>
    <w:rsid w:val="73F94DAE"/>
    <w:rsid w:val="74220495"/>
    <w:rsid w:val="747D1B6F"/>
    <w:rsid w:val="749E5641"/>
    <w:rsid w:val="756B19C7"/>
    <w:rsid w:val="758B206A"/>
    <w:rsid w:val="76271066"/>
    <w:rsid w:val="768C26EE"/>
    <w:rsid w:val="7755292F"/>
    <w:rsid w:val="77FD8BE9"/>
    <w:rsid w:val="78000AED"/>
    <w:rsid w:val="78DD2BDC"/>
    <w:rsid w:val="78FE2B52"/>
    <w:rsid w:val="79055C6B"/>
    <w:rsid w:val="79A9BD3F"/>
    <w:rsid w:val="7A792511"/>
    <w:rsid w:val="7B346CFF"/>
    <w:rsid w:val="7B776F12"/>
    <w:rsid w:val="7BBD6CF5"/>
    <w:rsid w:val="7BC40083"/>
    <w:rsid w:val="7BFFFDD0"/>
    <w:rsid w:val="7C091F3A"/>
    <w:rsid w:val="7C336E5F"/>
    <w:rsid w:val="7C466CEA"/>
    <w:rsid w:val="7C8D4919"/>
    <w:rsid w:val="7CBE4AD3"/>
    <w:rsid w:val="7D7A5F86"/>
    <w:rsid w:val="7DA71A0B"/>
    <w:rsid w:val="7E4B683A"/>
    <w:rsid w:val="7E5E656D"/>
    <w:rsid w:val="7E8F2BCB"/>
    <w:rsid w:val="7E955D07"/>
    <w:rsid w:val="7EA5419C"/>
    <w:rsid w:val="7EAF0B77"/>
    <w:rsid w:val="7F37BB4E"/>
    <w:rsid w:val="7FE5681A"/>
    <w:rsid w:val="7FEF918E"/>
    <w:rsid w:val="7FF4FB6F"/>
    <w:rsid w:val="7FF7FF27"/>
    <w:rsid w:val="7FFDF714"/>
  </w:rsids>
  <w:docVars>
    <w:docVar w:name="commondata" w:val="eyJoZGlkIjoiMTdiOGM5NzlhN2JhOTc3OTljZTBmY2FhN2MzNTk3ODE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Text">
    <w:name w:val="Comment Text"/>
    <w:basedOn w:val="Normal"/>
    <w:link w:val="批注文字字符"/>
    <w:qFormat/>
    <w:pPr>
      <w:jc w:val="left"/>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qFormat/>
    <w:pPr>
      <w:ind w:left="840" w:leftChars="400"/>
    </w:p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pPr>
      <w:tabs>
        <w:tab w:val="right" w:leader="dot" w:pos="7980"/>
        <w:tab w:val="right" w:leader="dot" w:pos="8190"/>
      </w:tabs>
    </w:pPr>
    <w:rPr>
      <w:rFonts w:ascii="Calibri" w:eastAsia="仿宋_GB2312" w:hAnsi="Calibri" w:cs="Times New Roman"/>
      <w:sz w:val="32"/>
    </w:rPr>
  </w:style>
  <w:style w:type="paragraph" w:styleId="TOC4">
    <w:name w:val="TOC 4"/>
    <w:basedOn w:val="Normal"/>
    <w:next w:val="Normal"/>
    <w:qFormat/>
    <w:pPr>
      <w:ind w:left="1260" w:leftChars="600"/>
    </w:pPr>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10" Type="http://schemas.openxmlformats.org/officeDocument/2006/relationships/font" Target="fonts/font10.odttf"/><Relationship Id="rId11" Type="http://schemas.openxmlformats.org/officeDocument/2006/relationships/font" Target="fonts/font1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 Id="rId8" Type="http://schemas.openxmlformats.org/officeDocument/2006/relationships/font" Target="fonts/font8.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41</Pages>
  <Words>455</Words>
  <Characters>482</Characters>
  <Application>WPS Office_12.1.0.25225_F1E327BC-269C-435d-A152-05C5408002CA</Application>
  <DocSecurity>0</DocSecurity>
  <Lines>58</Lines>
  <Paragraphs>16</Paragraphs>
  <ScaleCrop>false</ScaleCrop>
  <LinksUpToDate>false</LinksUpToDate>
  <CharactersWithSpaces>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人夋俊</cp:lastModifiedBy>
  <cp:revision>2</cp:revision>
  <dcterms:created xsi:type="dcterms:W3CDTF">2023-03-08T13:13:00Z</dcterms:created>
  <dcterms:modified xsi:type="dcterms:W3CDTF">2026-04-02T02:40:25Z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E2178318065446F998DE0962A8DC7C46_13</vt:lpwstr>
  </property>
  <property fmtid="{D5CDD505-2E9C-101B-9397-08002B2CF9AE}" pid="4" name="KSOTemplateDocerSaveRecord">
    <vt:lpwstr>eyJoZGlkIjoiYWJmNTAxYTA0NTllZTU0OWY5NWY0MWNlMzBjNGU2OTYiLCJ1c2VySWQiOiIyNDc3ODExMjkifQ_x003D__x003D_</vt:lpwstr>
  </property>
</Properties>
</file>