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新疆维吾尔自治区塔里木河流域管理局驻乌鲁木齐办事处2025年度部门决算公开说明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33ACE87">
      <w:r>
        <w:br w:type="page"/>
      </w:r>
    </w:p>
    <w:p w14:paraId="073AFC23">
      <w:pPr>
        <w:spacing w:line="640" w:lineRule="exact"/>
        <w:jc w:val="center"/>
        <w:outlineLvl w:val="1"/>
      </w:pPr>
      <w:r>
        <w:rPr>
          <w:rFonts w:ascii="黑体" w:hAnsi="黑体" w:eastAsia="黑体"/>
          <w:sz w:val="32"/>
        </w:rPr>
        <w:t>第一部分 单位概况</w:t>
      </w:r>
    </w:p>
    <w:p w14:paraId="4DBD584A">
      <w:pPr>
        <w:spacing w:line="640" w:lineRule="exact"/>
        <w:ind w:firstLine="640"/>
        <w:jc w:val="both"/>
        <w:outlineLvl w:val="2"/>
      </w:pPr>
      <w:r>
        <w:rPr>
          <w:rFonts w:ascii="黑体" w:hAnsi="黑体" w:eastAsia="黑体"/>
          <w:sz w:val="32"/>
        </w:rPr>
        <w:t>一、主要职能</w:t>
      </w:r>
    </w:p>
    <w:p w14:paraId="0F94106E">
      <w:pPr>
        <w:spacing w:line="580" w:lineRule="exact"/>
        <w:ind w:firstLine="640"/>
        <w:jc w:val="both"/>
      </w:pPr>
      <w:r>
        <w:rPr>
          <w:rFonts w:ascii="仿宋_GB2312" w:hAnsi="仿宋_GB2312" w:eastAsia="仿宋_GB2312"/>
          <w:sz w:val="32"/>
        </w:rPr>
        <w:t>塔里木河流域管理局驻乌鲁木齐办事处（以下简称驻乌办事处）隶属塔里木河流域管理局（以下简称塔管局），主要工作职责和任务是：为塔管局内外接待提供服务、促进经济发展、信息收集、发布、交流、接待服务等。</w:t>
      </w:r>
    </w:p>
    <w:p w14:paraId="33A21EB0">
      <w:pPr>
        <w:spacing w:line="640" w:lineRule="exact"/>
        <w:ind w:firstLine="640"/>
        <w:jc w:val="both"/>
        <w:outlineLvl w:val="2"/>
      </w:pPr>
      <w:r>
        <w:rPr>
          <w:rFonts w:ascii="黑体" w:hAnsi="黑体" w:eastAsia="黑体"/>
          <w:sz w:val="32"/>
        </w:rPr>
        <w:t>二、机构设置</w:t>
      </w:r>
    </w:p>
    <w:p w14:paraId="0DD8DDE6">
      <w:pPr>
        <w:spacing w:line="580" w:lineRule="exact"/>
        <w:ind w:firstLine="640"/>
        <w:jc w:val="both"/>
      </w:pPr>
      <w:r>
        <w:rPr>
          <w:rFonts w:ascii="仿宋_GB2312" w:hAnsi="仿宋_GB2312" w:eastAsia="仿宋_GB2312"/>
          <w:sz w:val="32"/>
        </w:rPr>
        <w:t>新疆维吾尔自治区塔里木河流域管理局驻乌鲁木齐办事处无下属预算单位。</w:t>
      </w:r>
    </w:p>
    <w:p w14:paraId="415B293E">
      <w:r>
        <w:br w:type="page"/>
      </w:r>
    </w:p>
    <w:p w14:paraId="2C51B281">
      <w:pPr>
        <w:spacing w:line="240" w:lineRule="auto"/>
        <w:jc w:val="center"/>
        <w:outlineLvl w:val="1"/>
      </w:pPr>
      <w:r>
        <w:rPr>
          <w:rFonts w:ascii="黑体" w:hAnsi="黑体" w:eastAsia="黑体"/>
          <w:sz w:val="32"/>
        </w:rPr>
        <w:t>第二部分 部门决算情况说明</w:t>
      </w:r>
    </w:p>
    <w:p w14:paraId="615D3D03">
      <w:pPr>
        <w:spacing w:line="640" w:lineRule="exact"/>
        <w:ind w:firstLine="640"/>
        <w:jc w:val="both"/>
        <w:outlineLvl w:val="2"/>
      </w:pPr>
      <w:r>
        <w:rPr>
          <w:rFonts w:ascii="黑体" w:hAnsi="黑体" w:eastAsia="黑体"/>
          <w:sz w:val="32"/>
        </w:rPr>
        <w:t>一、收入支出决算总体情况说明</w:t>
      </w:r>
    </w:p>
    <w:p w14:paraId="3EA89C5A">
      <w:pPr>
        <w:spacing w:line="580" w:lineRule="exact"/>
        <w:ind w:firstLine="640"/>
        <w:jc w:val="both"/>
      </w:pPr>
      <w:r>
        <w:rPr>
          <w:rFonts w:ascii="仿宋_GB2312" w:hAnsi="仿宋_GB2312" w:eastAsia="仿宋_GB2312"/>
          <w:b/>
          <w:sz w:val="32"/>
        </w:rPr>
        <w:t>2025年度收入总计271.33万元，</w:t>
      </w:r>
      <w:r>
        <w:rPr>
          <w:rFonts w:ascii="仿宋_GB2312" w:hAnsi="仿宋_GB2312" w:eastAsia="仿宋_GB2312"/>
          <w:b w:val="0"/>
          <w:sz w:val="32"/>
        </w:rPr>
        <w:t>其中：本年收入合计271.33万元，使用非财政拨款结余（含专用结余）0.00万元，年初结转和结余0.00万元。</w:t>
      </w:r>
    </w:p>
    <w:p w14:paraId="397B6352">
      <w:pPr>
        <w:spacing w:line="580" w:lineRule="exact"/>
        <w:ind w:firstLine="640"/>
        <w:jc w:val="both"/>
      </w:pPr>
      <w:r>
        <w:rPr>
          <w:rFonts w:ascii="仿宋_GB2312" w:hAnsi="仿宋_GB2312" w:eastAsia="仿宋_GB2312"/>
          <w:b/>
          <w:sz w:val="32"/>
        </w:rPr>
        <w:t>2025年度支出总计271.33万元，</w:t>
      </w:r>
      <w:r>
        <w:rPr>
          <w:rFonts w:ascii="仿宋_GB2312" w:hAnsi="仿宋_GB2312" w:eastAsia="仿宋_GB2312"/>
          <w:b w:val="0"/>
          <w:sz w:val="32"/>
        </w:rPr>
        <w:t>其中：本年支出合计271.33万元，结余分配0.00万元，年末结转和结余0.00万元。</w:t>
      </w:r>
    </w:p>
    <w:p w14:paraId="3D2CD8F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增加130.44万元，增长92.58%，主要原因是：本年在职人员增加，人员经费增加。</w:t>
      </w:r>
    </w:p>
    <w:p w14:paraId="2347BB9E">
      <w:pPr>
        <w:spacing w:line="640" w:lineRule="exact"/>
        <w:ind w:firstLine="640"/>
        <w:jc w:val="both"/>
        <w:outlineLvl w:val="2"/>
      </w:pPr>
      <w:r>
        <w:rPr>
          <w:rFonts w:ascii="黑体" w:hAnsi="黑体" w:eastAsia="黑体"/>
          <w:sz w:val="32"/>
        </w:rPr>
        <w:t>二、收入决算情况说明</w:t>
      </w:r>
    </w:p>
    <w:p w14:paraId="74AF8E70">
      <w:pPr>
        <w:spacing w:line="580" w:lineRule="exact"/>
        <w:ind w:firstLine="640"/>
        <w:jc w:val="both"/>
      </w:pPr>
      <w:r>
        <w:rPr>
          <w:rFonts w:ascii="仿宋_GB2312" w:hAnsi="仿宋_GB2312" w:eastAsia="仿宋_GB2312"/>
          <w:b/>
          <w:sz w:val="32"/>
        </w:rPr>
        <w:t>本年收入271.33万元，</w:t>
      </w:r>
      <w:r>
        <w:rPr>
          <w:rFonts w:ascii="仿宋_GB2312" w:hAnsi="仿宋_GB2312" w:eastAsia="仿宋_GB2312"/>
          <w:b w:val="0"/>
          <w:sz w:val="32"/>
        </w:rPr>
        <w:t>其中：财政拨款收入271.33万元，占100.00%；上级补助收入0.00万元，占0.00%；事业收入0.00万元，占0.00%；经营收入0.00万元，占0.00%；附属单位上缴收入0.00万元，占0.00%；其他收入0.00万元，占0.00%。</w:t>
      </w:r>
    </w:p>
    <w:p w14:paraId="59715CE6">
      <w:pPr>
        <w:spacing w:line="640" w:lineRule="exact"/>
        <w:ind w:firstLine="640"/>
        <w:jc w:val="both"/>
        <w:outlineLvl w:val="2"/>
      </w:pPr>
      <w:r>
        <w:rPr>
          <w:rFonts w:ascii="黑体" w:hAnsi="黑体" w:eastAsia="黑体"/>
          <w:sz w:val="32"/>
        </w:rPr>
        <w:t>三、支出决算情况说明</w:t>
      </w:r>
    </w:p>
    <w:p w14:paraId="7815ABCE">
      <w:pPr>
        <w:spacing w:line="580" w:lineRule="exact"/>
        <w:ind w:firstLine="640"/>
        <w:jc w:val="both"/>
      </w:pPr>
      <w:r>
        <w:rPr>
          <w:rFonts w:ascii="仿宋_GB2312" w:hAnsi="仿宋_GB2312" w:eastAsia="仿宋_GB2312"/>
          <w:b/>
          <w:sz w:val="32"/>
        </w:rPr>
        <w:t>本年支出271.33万元，</w:t>
      </w:r>
      <w:r>
        <w:rPr>
          <w:rFonts w:ascii="仿宋_GB2312" w:hAnsi="仿宋_GB2312" w:eastAsia="仿宋_GB2312"/>
          <w:b w:val="0"/>
          <w:sz w:val="32"/>
        </w:rPr>
        <w:t>其中：基本支出271.33万元，占100.00%；项目支出0.00万元，占0.00%；上缴上级支出0.00万元，占0.00%；经营支出0.00万元，占0.00%；对附属单位补助支出0.00万元，占0.00%。</w:t>
      </w:r>
    </w:p>
    <w:p w14:paraId="7392363C">
      <w:pPr>
        <w:spacing w:line="640" w:lineRule="exact"/>
        <w:ind w:firstLine="640"/>
        <w:jc w:val="both"/>
        <w:outlineLvl w:val="2"/>
      </w:pPr>
      <w:r>
        <w:rPr>
          <w:rFonts w:ascii="黑体" w:hAnsi="黑体" w:eastAsia="黑体"/>
          <w:sz w:val="32"/>
        </w:rPr>
        <w:t>四、财政拨款收入支出决算总体情况说明</w:t>
      </w:r>
    </w:p>
    <w:p w14:paraId="7EE05D89">
      <w:pPr>
        <w:spacing w:line="580" w:lineRule="exact"/>
        <w:ind w:firstLine="640"/>
        <w:jc w:val="both"/>
      </w:pPr>
      <w:r>
        <w:rPr>
          <w:rFonts w:ascii="仿宋_GB2312" w:hAnsi="仿宋_GB2312" w:eastAsia="仿宋_GB2312"/>
          <w:b/>
          <w:sz w:val="32"/>
        </w:rPr>
        <w:t>2025年度财政拨款收入总计271.33万元，</w:t>
      </w:r>
      <w:r>
        <w:rPr>
          <w:rFonts w:ascii="仿宋_GB2312" w:hAnsi="仿宋_GB2312" w:eastAsia="仿宋_GB2312"/>
          <w:b w:val="0"/>
          <w:sz w:val="32"/>
        </w:rPr>
        <w:t>其中：年初财政拨款结转和结余0.00万元，本年财政拨款收入271.33万元。</w:t>
      </w:r>
      <w:r>
        <w:rPr>
          <w:rFonts w:ascii="仿宋_GB2312" w:hAnsi="仿宋_GB2312" w:eastAsia="仿宋_GB2312"/>
          <w:b/>
          <w:sz w:val="32"/>
        </w:rPr>
        <w:t>财政拨款支出总计271.33万元，</w:t>
      </w:r>
      <w:r>
        <w:rPr>
          <w:rFonts w:ascii="仿宋_GB2312" w:hAnsi="仿宋_GB2312" w:eastAsia="仿宋_GB2312"/>
          <w:b w:val="0"/>
          <w:sz w:val="32"/>
        </w:rPr>
        <w:t>其中：年末财政拨款结转和结余0.00万元，本年财政拨款支出271.33万元。</w:t>
      </w:r>
    </w:p>
    <w:p w14:paraId="541D639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增加130.44万元，增长92.58%，主要原因是：本年在职人员增加，因机构改革，原下坂地建管局驻乌办</w:t>
      </w:r>
      <w:r>
        <w:rPr>
          <w:rFonts w:hint="eastAsia" w:ascii="仿宋_GB2312" w:hAnsi="仿宋_GB2312" w:eastAsia="仿宋_GB2312"/>
          <w:b w:val="0"/>
          <w:sz w:val="32"/>
          <w:lang w:val="en-US" w:eastAsia="zh-CN"/>
        </w:rPr>
        <w:t>人员</w:t>
      </w:r>
      <w:r>
        <w:rPr>
          <w:rFonts w:ascii="仿宋_GB2312" w:hAnsi="仿宋_GB2312" w:eastAsia="仿宋_GB2312"/>
          <w:b w:val="0"/>
          <w:sz w:val="32"/>
        </w:rPr>
        <w:t>及机关服务中心</w:t>
      </w:r>
      <w:r>
        <w:rPr>
          <w:rFonts w:hint="eastAsia" w:ascii="仿宋_GB2312" w:hAnsi="仿宋_GB2312" w:eastAsia="仿宋_GB2312"/>
          <w:b w:val="0"/>
          <w:sz w:val="32"/>
          <w:lang w:val="en-US" w:eastAsia="zh-CN"/>
        </w:rPr>
        <w:t>人员</w:t>
      </w:r>
      <w:r>
        <w:rPr>
          <w:rFonts w:ascii="仿宋_GB2312" w:hAnsi="仿宋_GB2312" w:eastAsia="仿宋_GB2312"/>
          <w:b w:val="0"/>
          <w:sz w:val="32"/>
        </w:rPr>
        <w:t>合并进入塔管局驻乌办，在职人员工资增加，人员经费增加。</w:t>
      </w:r>
      <w:r>
        <w:rPr>
          <w:rFonts w:ascii="仿宋_GB2312" w:hAnsi="仿宋_GB2312" w:eastAsia="仿宋_GB2312"/>
          <w:b/>
          <w:sz w:val="32"/>
        </w:rPr>
        <w:t>与年初预算相比，</w:t>
      </w:r>
      <w:r>
        <w:rPr>
          <w:rFonts w:ascii="仿宋_GB2312" w:hAnsi="仿宋_GB2312" w:eastAsia="仿宋_GB2312"/>
          <w:b w:val="0"/>
          <w:sz w:val="32"/>
        </w:rPr>
        <w:t>年初预算数135.32万元，决算数271.33万元，预决算差异率100.51%，主要原因是：本年在职人员增加，年中追加人员经费及人员工资、社保、公积金基数调增部分资金，导致预决算存在差异。</w:t>
      </w:r>
    </w:p>
    <w:p w14:paraId="05AF9FDB">
      <w:pPr>
        <w:spacing w:line="640" w:lineRule="exact"/>
        <w:ind w:firstLine="640"/>
        <w:jc w:val="both"/>
        <w:outlineLvl w:val="2"/>
      </w:pPr>
      <w:r>
        <w:rPr>
          <w:rFonts w:ascii="黑体" w:hAnsi="黑体" w:eastAsia="黑体"/>
          <w:sz w:val="32"/>
        </w:rPr>
        <w:t>五、一般公共预算财政拨款支出决算情况说明</w:t>
      </w:r>
    </w:p>
    <w:p w14:paraId="72684C9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等重点支出，体现在有关支出科目中。</w:t>
      </w:r>
    </w:p>
    <w:p w14:paraId="2E7F740B">
      <w:pPr>
        <w:spacing w:line="580" w:lineRule="exact"/>
        <w:ind w:firstLine="640"/>
        <w:jc w:val="both"/>
      </w:pPr>
      <w:r>
        <w:rPr>
          <w:rFonts w:ascii="仿宋_GB2312" w:hAnsi="仿宋_GB2312" w:eastAsia="仿宋_GB2312"/>
          <w:b w:val="0"/>
          <w:sz w:val="32"/>
        </w:rPr>
        <w:t>按照支出功能分类，农林水支出（类）水利（款）水资源节约管理与保护（项）的支出占本年财政拨款支出总额的比重最高，2025年度决算数为161.82万元，占比59.64%，主要用于人员工资福利支出，日常公用经费。</w:t>
      </w:r>
    </w:p>
    <w:p w14:paraId="71C81F1E">
      <w:pPr>
        <w:spacing w:line="640" w:lineRule="exact"/>
        <w:ind w:firstLine="640"/>
        <w:jc w:val="both"/>
        <w:outlineLvl w:val="3"/>
      </w:pPr>
      <w:r>
        <w:rPr>
          <w:rFonts w:ascii="楷体_GB2312" w:hAnsi="楷体_GB2312" w:eastAsia="楷体_GB2312"/>
          <w:b/>
          <w:sz w:val="32"/>
        </w:rPr>
        <w:t>（一）一般公共预算财政拨款支出决算总体情况</w:t>
      </w:r>
    </w:p>
    <w:p w14:paraId="6B9019FE">
      <w:pPr>
        <w:spacing w:line="580" w:lineRule="exact"/>
        <w:ind w:firstLine="640"/>
        <w:jc w:val="both"/>
      </w:pPr>
      <w:r>
        <w:rPr>
          <w:rFonts w:ascii="仿宋_GB2312" w:hAnsi="仿宋_GB2312" w:eastAsia="仿宋_GB2312"/>
          <w:b/>
          <w:sz w:val="32"/>
        </w:rPr>
        <w:t>2025年度一般公共预算财政拨款支出271.33万元，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增加130.44万元，增长92.58%，主要原因是：本年在职人员增加，在职人员工资调增、社保、公积金基数调增，人员经费增加。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年初预算数135.32万元，决算数271.33万元，预决算差异率100.51%，主要原因是：本年在职人员增加，年中追加人员经费及人员工资、社保、公积金基数调增部分资金，导致预决算存在差异。</w:t>
      </w:r>
    </w:p>
    <w:p w14:paraId="66017C44">
      <w:pPr>
        <w:spacing w:line="640" w:lineRule="exact"/>
        <w:ind w:firstLine="640"/>
        <w:jc w:val="both"/>
        <w:outlineLvl w:val="3"/>
      </w:pPr>
      <w:r>
        <w:rPr>
          <w:rFonts w:ascii="楷体_GB2312" w:hAnsi="楷体_GB2312" w:eastAsia="楷体_GB2312"/>
          <w:b/>
          <w:sz w:val="32"/>
        </w:rPr>
        <w:t>（二）一般公共预算财政拨款支出决算结构情况</w:t>
      </w:r>
    </w:p>
    <w:p w14:paraId="3B366DFE">
      <w:pPr>
        <w:spacing w:line="580" w:lineRule="exact"/>
        <w:ind w:firstLine="640"/>
        <w:jc w:val="both"/>
      </w:pPr>
      <w:r>
        <w:rPr>
          <w:rFonts w:ascii="仿宋_GB2312" w:hAnsi="仿宋_GB2312" w:eastAsia="仿宋_GB2312"/>
          <w:b w:val="0"/>
          <w:sz w:val="32"/>
        </w:rPr>
        <w:t>1.社会保障和就业支出（类）74.30万元，占27.38%。</w:t>
      </w:r>
    </w:p>
    <w:p w14:paraId="4E693719">
      <w:pPr>
        <w:spacing w:line="580" w:lineRule="exact"/>
        <w:ind w:firstLine="640"/>
        <w:jc w:val="both"/>
      </w:pPr>
      <w:r>
        <w:rPr>
          <w:rFonts w:ascii="仿宋_GB2312" w:hAnsi="仿宋_GB2312" w:eastAsia="仿宋_GB2312"/>
          <w:b w:val="0"/>
          <w:sz w:val="32"/>
        </w:rPr>
        <w:t>2.卫生健康支出（类）20.14万元，占7.42%。</w:t>
      </w:r>
    </w:p>
    <w:p w14:paraId="57C569D5">
      <w:pPr>
        <w:spacing w:line="580" w:lineRule="exact"/>
        <w:ind w:firstLine="640"/>
        <w:jc w:val="both"/>
      </w:pPr>
      <w:r>
        <w:rPr>
          <w:rFonts w:ascii="仿宋_GB2312" w:hAnsi="仿宋_GB2312" w:eastAsia="仿宋_GB2312"/>
          <w:b w:val="0"/>
          <w:sz w:val="32"/>
        </w:rPr>
        <w:t>3.农林水支出（类）161.82万元，占59.64%。</w:t>
      </w:r>
    </w:p>
    <w:p w14:paraId="5BD486B8">
      <w:pPr>
        <w:spacing w:line="580" w:lineRule="exact"/>
        <w:ind w:firstLine="640"/>
        <w:jc w:val="both"/>
      </w:pPr>
      <w:r>
        <w:rPr>
          <w:rFonts w:ascii="仿宋_GB2312" w:hAnsi="仿宋_GB2312" w:eastAsia="仿宋_GB2312"/>
          <w:b w:val="0"/>
          <w:sz w:val="32"/>
        </w:rPr>
        <w:t>4.住房保障支出（类）15.07万元，占5.55%。</w:t>
      </w:r>
    </w:p>
    <w:p w14:paraId="1B1D4D06">
      <w:pPr>
        <w:spacing w:line="640" w:lineRule="exact"/>
        <w:ind w:firstLine="640"/>
        <w:jc w:val="both"/>
        <w:outlineLvl w:val="3"/>
      </w:pPr>
      <w:r>
        <w:rPr>
          <w:rFonts w:ascii="楷体_GB2312" w:hAnsi="楷体_GB2312" w:eastAsia="楷体_GB2312"/>
          <w:b/>
          <w:sz w:val="32"/>
        </w:rPr>
        <w:t>（三）一般公共预算财政拨款支出决算具体情况</w:t>
      </w:r>
    </w:p>
    <w:p w14:paraId="3DE1BF6E">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1.社会保障和就业支出（类）行政事业单位养老支出（款）事业单位离退休（项）：支出决算数为4.77万元，比上年决算增加0.84万元，增长21.37%，主要原因是：本年增加退休人员基础绩效奖，退休费支出增加。</w:t>
      </w:r>
    </w:p>
    <w:p w14:paraId="4E96E70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30.42万元，比上年决算增加17.88万元，增长142.58%，主要原因是：因机构改革，原下坂地驻乌办人</w:t>
      </w:r>
      <w:r>
        <w:rPr>
          <w:rFonts w:hint="eastAsia" w:ascii="仿宋_GB2312" w:hAnsi="仿宋_GB2312" w:eastAsia="仿宋_GB2312"/>
          <w:b w:val="0"/>
          <w:sz w:val="32"/>
          <w:lang w:val="en-US" w:eastAsia="zh-CN"/>
        </w:rPr>
        <w:t>员</w:t>
      </w:r>
      <w:r>
        <w:rPr>
          <w:rFonts w:ascii="仿宋_GB2312" w:hAnsi="仿宋_GB2312" w:eastAsia="仿宋_GB2312"/>
          <w:b w:val="0"/>
          <w:sz w:val="32"/>
        </w:rPr>
        <w:t>、塔管局机关服务中心人</w:t>
      </w:r>
      <w:r>
        <w:rPr>
          <w:rFonts w:hint="eastAsia" w:ascii="仿宋_GB2312" w:hAnsi="仿宋_GB2312" w:eastAsia="仿宋_GB2312"/>
          <w:b w:val="0"/>
          <w:sz w:val="32"/>
          <w:lang w:val="en-US" w:eastAsia="zh-CN"/>
        </w:rPr>
        <w:t>员</w:t>
      </w:r>
      <w:r>
        <w:rPr>
          <w:rFonts w:ascii="仿宋_GB2312" w:hAnsi="仿宋_GB2312" w:eastAsia="仿宋_GB2312"/>
          <w:b w:val="0"/>
          <w:sz w:val="32"/>
        </w:rPr>
        <w:t>转隶进入塔管局驻乌办，在职人员增加，养老保险缴费较上年增加。</w:t>
      </w:r>
    </w:p>
    <w:p w14:paraId="1F64517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3.社会保障和就业支出（类）行政事业单位养老支出（款）机关事业单位职业年金缴费支出（项）：支出决算数为39.11万元，比上年决算增加39.11万元，增长100.00%，主要原因是：因机构改革，原下坂地驻乌办人</w:t>
      </w:r>
      <w:r>
        <w:rPr>
          <w:rFonts w:hint="eastAsia" w:ascii="仿宋_GB2312" w:hAnsi="仿宋_GB2312" w:eastAsia="仿宋_GB2312"/>
          <w:b w:val="0"/>
          <w:sz w:val="32"/>
          <w:lang w:val="en-US" w:eastAsia="zh-CN"/>
        </w:rPr>
        <w:t>员</w:t>
      </w:r>
      <w:r>
        <w:rPr>
          <w:rFonts w:ascii="仿宋_GB2312" w:hAnsi="仿宋_GB2312" w:eastAsia="仿宋_GB2312"/>
          <w:b w:val="0"/>
          <w:sz w:val="32"/>
        </w:rPr>
        <w:t>、塔管局机关服务中心人</w:t>
      </w:r>
      <w:r>
        <w:rPr>
          <w:rFonts w:hint="eastAsia" w:ascii="仿宋_GB2312" w:hAnsi="仿宋_GB2312" w:eastAsia="仿宋_GB2312"/>
          <w:b w:val="0"/>
          <w:sz w:val="32"/>
          <w:lang w:val="en-US" w:eastAsia="zh-CN"/>
        </w:rPr>
        <w:t>员</w:t>
      </w:r>
      <w:r>
        <w:rPr>
          <w:rFonts w:ascii="仿宋_GB2312" w:hAnsi="仿宋_GB2312" w:eastAsia="仿宋_GB2312"/>
          <w:b w:val="0"/>
          <w:sz w:val="32"/>
        </w:rPr>
        <w:t>转隶进入塔管局驻乌办，在职人员增加，职业年金增长。</w:t>
      </w:r>
    </w:p>
    <w:p w14:paraId="2DDDCAC7">
      <w:pPr>
        <w:spacing w:line="580" w:lineRule="exact"/>
        <w:ind w:firstLine="640"/>
        <w:jc w:val="both"/>
      </w:pPr>
      <w:r>
        <w:rPr>
          <w:rFonts w:ascii="仿宋_GB2312" w:hAnsi="仿宋_GB2312" w:eastAsia="仿宋_GB2312"/>
          <w:b w:val="0"/>
          <w:sz w:val="32"/>
        </w:rPr>
        <w:t>4.卫生健康支出（类）行政事业单位医疗（款）事业单位医疗（项）：支出决算数为11.48万元，比上年决算增加5.02万元，增长77.71%，主要原因是：因机构改革，原下坂地驻乌办人</w:t>
      </w:r>
      <w:r>
        <w:rPr>
          <w:rFonts w:hint="eastAsia" w:ascii="仿宋_GB2312" w:hAnsi="仿宋_GB2312" w:eastAsia="仿宋_GB2312"/>
          <w:b w:val="0"/>
          <w:sz w:val="32"/>
          <w:lang w:val="en-US" w:eastAsia="zh-CN"/>
        </w:rPr>
        <w:t>员</w:t>
      </w:r>
      <w:r>
        <w:rPr>
          <w:rFonts w:ascii="仿宋_GB2312" w:hAnsi="仿宋_GB2312" w:eastAsia="仿宋_GB2312"/>
          <w:b w:val="0"/>
          <w:sz w:val="32"/>
        </w:rPr>
        <w:t>、塔管局机关服务中心人</w:t>
      </w:r>
      <w:r>
        <w:rPr>
          <w:rFonts w:hint="eastAsia" w:ascii="仿宋_GB2312" w:hAnsi="仿宋_GB2312" w:eastAsia="仿宋_GB2312"/>
          <w:b w:val="0"/>
          <w:sz w:val="32"/>
          <w:lang w:val="en-US" w:eastAsia="zh-CN"/>
        </w:rPr>
        <w:t>员</w:t>
      </w:r>
      <w:r>
        <w:rPr>
          <w:rFonts w:ascii="仿宋_GB2312" w:hAnsi="仿宋_GB2312" w:eastAsia="仿宋_GB2312"/>
          <w:b w:val="0"/>
          <w:sz w:val="32"/>
        </w:rPr>
        <w:t>转隶进入塔管局驻乌办，在职人员增加，事业单位医疗支出较上年增加。</w:t>
      </w:r>
    </w:p>
    <w:p w14:paraId="02DC73C3">
      <w:pPr>
        <w:spacing w:line="580" w:lineRule="exact"/>
        <w:ind w:firstLine="640"/>
        <w:jc w:val="both"/>
      </w:pPr>
      <w:r>
        <w:rPr>
          <w:rFonts w:ascii="仿宋_GB2312" w:hAnsi="仿宋_GB2312" w:eastAsia="仿宋_GB2312"/>
          <w:b w:val="0"/>
          <w:sz w:val="32"/>
        </w:rPr>
        <w:t>5.卫生健康支出（类）行政事业单位医疗（款）公务员医疗补助（项）：支出决算数为8.66万元，比上年决算增加3.17万元，增长57.74%，主要原因是：因机构改革，原下坂地驻乌人</w:t>
      </w:r>
      <w:r>
        <w:rPr>
          <w:rFonts w:hint="eastAsia" w:ascii="仿宋_GB2312" w:hAnsi="仿宋_GB2312" w:eastAsia="仿宋_GB2312"/>
          <w:b w:val="0"/>
          <w:sz w:val="32"/>
          <w:lang w:val="en-US" w:eastAsia="zh-CN"/>
        </w:rPr>
        <w:t>员</w:t>
      </w:r>
      <w:r>
        <w:rPr>
          <w:rFonts w:ascii="仿宋_GB2312" w:hAnsi="仿宋_GB2312" w:eastAsia="仿宋_GB2312"/>
          <w:b w:val="0"/>
          <w:sz w:val="32"/>
        </w:rPr>
        <w:t>、塔管局机关服务中心人</w:t>
      </w:r>
      <w:r>
        <w:rPr>
          <w:rFonts w:hint="eastAsia" w:ascii="仿宋_GB2312" w:hAnsi="仿宋_GB2312" w:eastAsia="仿宋_GB2312"/>
          <w:b w:val="0"/>
          <w:sz w:val="32"/>
          <w:lang w:val="en-US" w:eastAsia="zh-CN"/>
        </w:rPr>
        <w:t>员</w:t>
      </w:r>
      <w:r>
        <w:rPr>
          <w:rFonts w:ascii="仿宋_GB2312" w:hAnsi="仿宋_GB2312" w:eastAsia="仿宋_GB2312"/>
          <w:b w:val="0"/>
          <w:sz w:val="32"/>
        </w:rPr>
        <w:t>转隶进入塔管局驻乌办，在职人员增加，公务员医疗补助较上年增加。</w:t>
      </w:r>
    </w:p>
    <w:p w14:paraId="042DC219">
      <w:pPr>
        <w:spacing w:line="580" w:lineRule="exact"/>
        <w:ind w:firstLine="640"/>
        <w:jc w:val="both"/>
      </w:pPr>
      <w:r>
        <w:rPr>
          <w:rFonts w:ascii="仿宋_GB2312" w:hAnsi="仿宋_GB2312" w:eastAsia="仿宋_GB2312"/>
          <w:b w:val="0"/>
          <w:sz w:val="32"/>
        </w:rPr>
        <w:t>6.农林水支出（类）水利（款）水资源节约管理与保护（项）：支出决算数为161.82万元，比上年决算增加58.75万元，增长57.00%，主要原因是：因机构改革，原下坂地驻乌办人</w:t>
      </w:r>
      <w:r>
        <w:rPr>
          <w:rFonts w:hint="eastAsia" w:ascii="仿宋_GB2312" w:hAnsi="仿宋_GB2312" w:eastAsia="仿宋_GB2312"/>
          <w:b w:val="0"/>
          <w:sz w:val="32"/>
          <w:lang w:val="en-US" w:eastAsia="zh-CN"/>
        </w:rPr>
        <w:t>员</w:t>
      </w:r>
      <w:r>
        <w:rPr>
          <w:rFonts w:ascii="仿宋_GB2312" w:hAnsi="仿宋_GB2312" w:eastAsia="仿宋_GB2312"/>
          <w:b w:val="0"/>
          <w:sz w:val="32"/>
        </w:rPr>
        <w:t>、塔管局机关服务中心人</w:t>
      </w:r>
      <w:r>
        <w:rPr>
          <w:rFonts w:hint="eastAsia" w:ascii="仿宋_GB2312" w:hAnsi="仿宋_GB2312" w:eastAsia="仿宋_GB2312"/>
          <w:b w:val="0"/>
          <w:sz w:val="32"/>
          <w:lang w:val="en-US" w:eastAsia="zh-CN"/>
        </w:rPr>
        <w:t>员</w:t>
      </w:r>
      <w:r>
        <w:rPr>
          <w:rFonts w:ascii="仿宋_GB2312" w:hAnsi="仿宋_GB2312" w:eastAsia="仿宋_GB2312"/>
          <w:b w:val="0"/>
          <w:sz w:val="32"/>
        </w:rPr>
        <w:t>转隶进入塔管局驻乌办，在职人员增加，支出增加。</w:t>
      </w:r>
    </w:p>
    <w:p w14:paraId="5596BFE5">
      <w:pPr>
        <w:spacing w:line="580" w:lineRule="exact"/>
        <w:ind w:firstLine="640"/>
        <w:jc w:val="both"/>
      </w:pPr>
      <w:r>
        <w:rPr>
          <w:rFonts w:ascii="仿宋_GB2312" w:hAnsi="仿宋_GB2312" w:eastAsia="仿宋_GB2312"/>
          <w:b w:val="0"/>
          <w:sz w:val="32"/>
        </w:rPr>
        <w:t>7.住房保障支出（类）住房改革支出（款）住房公积金（项）：支出决算数为15.07万元，比上年决算增加5.67万元，增长60.32%，主要原因是：因机构改革，原下坂地驻乌办人</w:t>
      </w:r>
      <w:r>
        <w:rPr>
          <w:rFonts w:hint="eastAsia" w:ascii="仿宋_GB2312" w:hAnsi="仿宋_GB2312" w:eastAsia="仿宋_GB2312"/>
          <w:b w:val="0"/>
          <w:sz w:val="32"/>
          <w:lang w:val="en-US" w:eastAsia="zh-CN"/>
        </w:rPr>
        <w:t>员</w:t>
      </w:r>
      <w:r>
        <w:rPr>
          <w:rFonts w:ascii="仿宋_GB2312" w:hAnsi="仿宋_GB2312" w:eastAsia="仿宋_GB2312"/>
          <w:b w:val="0"/>
          <w:sz w:val="32"/>
        </w:rPr>
        <w:t>、塔管局机关服务中心人</w:t>
      </w:r>
      <w:r>
        <w:rPr>
          <w:rFonts w:hint="eastAsia" w:ascii="仿宋_GB2312" w:hAnsi="仿宋_GB2312" w:eastAsia="仿宋_GB2312"/>
          <w:b w:val="0"/>
          <w:sz w:val="32"/>
          <w:lang w:val="en-US" w:eastAsia="zh-CN"/>
        </w:rPr>
        <w:t>员</w:t>
      </w:r>
      <w:r>
        <w:rPr>
          <w:rFonts w:ascii="仿宋_GB2312" w:hAnsi="仿宋_GB2312" w:eastAsia="仿宋_GB2312"/>
          <w:b w:val="0"/>
          <w:sz w:val="32"/>
        </w:rPr>
        <w:t>转隶进入塔管局驻乌办，在职人员增加，住房公积金支出较上年增加。</w:t>
      </w:r>
    </w:p>
    <w:p w14:paraId="369B7E58">
      <w:pPr>
        <w:spacing w:line="640" w:lineRule="exact"/>
        <w:ind w:firstLine="640"/>
        <w:jc w:val="both"/>
        <w:outlineLvl w:val="2"/>
      </w:pPr>
      <w:r>
        <w:rPr>
          <w:rFonts w:ascii="黑体" w:hAnsi="黑体" w:eastAsia="黑体"/>
          <w:sz w:val="32"/>
        </w:rPr>
        <w:t>六、一般公共预算财政拨款基本支出决算情况说明</w:t>
      </w:r>
    </w:p>
    <w:p w14:paraId="4C5AB8A5">
      <w:pPr>
        <w:spacing w:line="580" w:lineRule="exact"/>
        <w:ind w:firstLine="640"/>
        <w:jc w:val="both"/>
      </w:pPr>
      <w:r>
        <w:rPr>
          <w:rFonts w:ascii="仿宋_GB2312" w:hAnsi="仿宋_GB2312" w:eastAsia="仿宋_GB2312"/>
          <w:b w:val="0"/>
          <w:sz w:val="32"/>
        </w:rPr>
        <w:t>2025年度一般公共预算财政拨款基本支出271.33万元，其中：</w:t>
      </w:r>
      <w:r>
        <w:rPr>
          <w:rFonts w:ascii="仿宋_GB2312" w:hAnsi="仿宋_GB2312" w:eastAsia="仿宋_GB2312"/>
          <w:b/>
          <w:sz w:val="32"/>
        </w:rPr>
        <w:t>人员经费260.75万元，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14:paraId="050B07CE">
      <w:pPr>
        <w:spacing w:line="580" w:lineRule="exact"/>
        <w:ind w:firstLine="640"/>
        <w:jc w:val="both"/>
      </w:pPr>
      <w:r>
        <w:rPr>
          <w:rFonts w:ascii="仿宋_GB2312" w:hAnsi="仿宋_GB2312" w:eastAsia="仿宋_GB2312"/>
          <w:b/>
          <w:sz w:val="32"/>
        </w:rPr>
        <w:t>公用经费10.58万元，</w:t>
      </w:r>
      <w:r>
        <w:rPr>
          <w:rFonts w:ascii="仿宋_GB2312" w:hAnsi="仿宋_GB2312" w:eastAsia="仿宋_GB2312"/>
          <w:b w:val="0"/>
          <w:sz w:val="32"/>
        </w:rPr>
        <w:t>包括：办公费、电费、取暖费、物业管理费、差旅费、工会经费、福利费、公务用车运行维护费、其他商品和服务支出。</w:t>
      </w:r>
    </w:p>
    <w:p w14:paraId="6F16ADE7">
      <w:pPr>
        <w:spacing w:line="640" w:lineRule="exact"/>
        <w:ind w:firstLine="640"/>
        <w:jc w:val="both"/>
        <w:outlineLvl w:val="2"/>
      </w:pPr>
      <w:r>
        <w:rPr>
          <w:rFonts w:ascii="黑体" w:hAnsi="黑体" w:eastAsia="黑体"/>
          <w:sz w:val="32"/>
        </w:rPr>
        <w:t>七、政府性基金预算财政拨款收入支出决算情况说明</w:t>
      </w:r>
    </w:p>
    <w:p w14:paraId="430B0ED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AACAEC">
      <w:pPr>
        <w:spacing w:line="640" w:lineRule="exact"/>
        <w:ind w:firstLine="640"/>
        <w:jc w:val="both"/>
        <w:outlineLvl w:val="2"/>
      </w:pPr>
      <w:r>
        <w:rPr>
          <w:rFonts w:ascii="黑体" w:hAnsi="黑体" w:eastAsia="黑体"/>
          <w:sz w:val="32"/>
        </w:rPr>
        <w:t>八、国有资本经营预算财政拨款收入支出决算情况说明</w:t>
      </w:r>
    </w:p>
    <w:p w14:paraId="7010443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92E8571">
      <w:pPr>
        <w:spacing w:line="640" w:lineRule="exact"/>
        <w:ind w:firstLine="640"/>
        <w:jc w:val="both"/>
        <w:outlineLvl w:val="2"/>
      </w:pPr>
      <w:r>
        <w:rPr>
          <w:rFonts w:ascii="黑体" w:hAnsi="黑体" w:eastAsia="黑体"/>
          <w:sz w:val="32"/>
        </w:rPr>
        <w:t>九、财政拨款“三公”经费支出决算情况说明</w:t>
      </w:r>
    </w:p>
    <w:p w14:paraId="700B5754">
      <w:pPr>
        <w:spacing w:line="580" w:lineRule="exact"/>
        <w:ind w:firstLine="640"/>
        <w:jc w:val="both"/>
      </w:pPr>
      <w:r>
        <w:rPr>
          <w:rFonts w:ascii="仿宋_GB2312" w:hAnsi="仿宋_GB2312" w:eastAsia="仿宋_GB2312"/>
          <w:b/>
          <w:sz w:val="32"/>
        </w:rPr>
        <w:t>2025年度财政拨款“三公”经费支出1.20万元，</w:t>
      </w:r>
      <w:r>
        <w:rPr>
          <w:rFonts w:ascii="仿宋_GB2312" w:hAnsi="仿宋_GB2312" w:eastAsia="仿宋_GB2312"/>
          <w:b w:val="0"/>
          <w:sz w:val="32"/>
        </w:rPr>
        <w:t>比上年增加0.00万元，增长0.00%，主要原因是：本单位财政拨款“三公”经费与上年一致无变化。其中：因公出国（境）费用支出0.00万元，占0.00%，比上年增加0.00万元，增长0.00%，主要原因是：2024年与2025年均无因公出国（境）费用支出。公务用车购置及运行维护费支出1.20万元，占100.00%，比上年增加0.00万元，增长0.00%，主要原因是：本单位公务用车购置及运行维护费与上年一致无变化。公务接待费支出0.00万元，占0.00%，比上年增加0.00万元，增长0.00%，主要原因是：2024年与2025年均无公务接待费支出。</w:t>
      </w:r>
    </w:p>
    <w:p w14:paraId="09817338">
      <w:pPr>
        <w:spacing w:line="580" w:lineRule="exact"/>
        <w:ind w:firstLine="640"/>
        <w:jc w:val="both"/>
      </w:pPr>
      <w:r>
        <w:rPr>
          <w:rFonts w:ascii="仿宋_GB2312" w:hAnsi="仿宋_GB2312" w:eastAsia="仿宋_GB2312"/>
          <w:b/>
          <w:sz w:val="32"/>
        </w:rPr>
        <w:t>具体情况如下：</w:t>
      </w:r>
    </w:p>
    <w:p w14:paraId="429DD145">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65B145EC">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14:paraId="13691C8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D3E4D7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14:paraId="159CE39A">
      <w:pPr>
        <w:spacing w:line="640" w:lineRule="exact"/>
        <w:ind w:firstLine="640"/>
        <w:jc w:val="both"/>
        <w:outlineLvl w:val="2"/>
      </w:pPr>
      <w:r>
        <w:rPr>
          <w:rFonts w:ascii="黑体" w:hAnsi="黑体" w:eastAsia="黑体"/>
          <w:sz w:val="32"/>
        </w:rPr>
        <w:t>十、其他重要事项的情况说明</w:t>
      </w:r>
    </w:p>
    <w:p w14:paraId="5A4F8FC1">
      <w:pPr>
        <w:spacing w:line="640" w:lineRule="exact"/>
        <w:ind w:firstLine="640"/>
        <w:jc w:val="both"/>
        <w:outlineLvl w:val="3"/>
      </w:pPr>
      <w:r>
        <w:rPr>
          <w:rFonts w:ascii="楷体_GB2312" w:hAnsi="楷体_GB2312" w:eastAsia="楷体_GB2312"/>
          <w:b/>
          <w:sz w:val="32"/>
        </w:rPr>
        <w:t>（一）机关运行经费及公用经费支出情况</w:t>
      </w:r>
    </w:p>
    <w:p w14:paraId="14CA716B">
      <w:pPr>
        <w:spacing w:line="580" w:lineRule="exact"/>
        <w:ind w:firstLine="640"/>
        <w:jc w:val="both"/>
      </w:pPr>
      <w:r>
        <w:rPr>
          <w:rFonts w:ascii="仿宋_GB2312" w:hAnsi="仿宋_GB2312" w:eastAsia="仿宋_GB2312"/>
          <w:b w:val="0"/>
          <w:sz w:val="32"/>
        </w:rPr>
        <w:t>2025年度新疆维吾尔自治区塔里木河流域管理局驻乌鲁木齐办事处（事业单位）公用经费支出10.58万元，比上年增加0.74万元，增长7.52%，主要原因是：本年业务量增加，公用经费增加。</w:t>
      </w:r>
    </w:p>
    <w:p w14:paraId="78B71EB4">
      <w:pPr>
        <w:spacing w:line="640" w:lineRule="exact"/>
        <w:ind w:firstLine="640"/>
        <w:jc w:val="both"/>
        <w:outlineLvl w:val="3"/>
      </w:pPr>
      <w:r>
        <w:rPr>
          <w:rFonts w:ascii="楷体_GB2312" w:hAnsi="楷体_GB2312" w:eastAsia="楷体_GB2312"/>
          <w:b/>
          <w:sz w:val="32"/>
        </w:rPr>
        <w:t>（二）政府采购情况</w:t>
      </w:r>
    </w:p>
    <w:p w14:paraId="4A7927DA">
      <w:pPr>
        <w:spacing w:line="580" w:lineRule="exact"/>
        <w:ind w:firstLine="640"/>
        <w:jc w:val="both"/>
      </w:pPr>
      <w:r>
        <w:rPr>
          <w:rFonts w:ascii="仿宋_GB2312" w:hAnsi="仿宋_GB2312" w:eastAsia="仿宋_GB2312"/>
          <w:b w:val="0"/>
          <w:sz w:val="32"/>
        </w:rPr>
        <w:t>2025年度政府采购支出总额7.64万元，其中：政府采购货物支出3.26万元、政府采购工程支出0.00万元、政府采购服务支出4.38万元。</w:t>
      </w:r>
    </w:p>
    <w:p w14:paraId="2CE8F8B4">
      <w:pPr>
        <w:spacing w:line="580" w:lineRule="exact"/>
        <w:ind w:firstLine="640"/>
        <w:jc w:val="both"/>
      </w:pPr>
      <w:r>
        <w:rPr>
          <w:rFonts w:ascii="仿宋_GB2312" w:hAnsi="仿宋_GB2312" w:eastAsia="仿宋_GB2312"/>
          <w:b w:val="0"/>
          <w:sz w:val="32"/>
        </w:rPr>
        <w:t>授予中小企业合同金额7.64万元，占政府采购支出总额的100.00%，其中：授予小微企业合同金额5.22万元，占政府采购支出总额的68.32%。</w:t>
      </w:r>
    </w:p>
    <w:p w14:paraId="5CD717A5">
      <w:pPr>
        <w:spacing w:line="640" w:lineRule="exact"/>
        <w:ind w:firstLine="640"/>
        <w:jc w:val="both"/>
        <w:outlineLvl w:val="3"/>
      </w:pPr>
      <w:r>
        <w:rPr>
          <w:rFonts w:ascii="楷体_GB2312" w:hAnsi="楷体_GB2312" w:eastAsia="楷体_GB2312"/>
          <w:b/>
          <w:sz w:val="32"/>
        </w:rPr>
        <w:t>（三）国有资产占用情况说明</w:t>
      </w:r>
    </w:p>
    <w:p w14:paraId="5302A304">
      <w:pPr>
        <w:spacing w:line="580" w:lineRule="exact"/>
        <w:ind w:firstLine="640"/>
        <w:jc w:val="both"/>
      </w:pPr>
      <w:r>
        <w:rPr>
          <w:rFonts w:ascii="仿宋_GB2312" w:hAnsi="仿宋_GB2312" w:eastAsia="仿宋_GB2312"/>
          <w:b w:val="0"/>
          <w:sz w:val="32"/>
        </w:rPr>
        <w:t>截至2025年12月31日，房屋0.00平方米，价值0.00万元。车辆1辆，价值49.95万元，其中：副部（省）级及以上领导用车0辆、主要负责人用车0辆、机要通信用车0辆、应急保障用车0辆、执法执勤用车0辆、特种专业</w:t>
      </w:r>
      <w:bookmarkStart w:id="0" w:name="_GoBack"/>
      <w:bookmarkEnd w:id="0"/>
      <w:r>
        <w:rPr>
          <w:rFonts w:ascii="仿宋_GB2312" w:hAnsi="仿宋_GB2312" w:eastAsia="仿宋_GB2312"/>
          <w:b w:val="0"/>
          <w:sz w:val="32"/>
        </w:rPr>
        <w:t>技术用车0辆、离退休干部服务用车0辆、其他用车1辆，其他用车主要是：一般公务用车。单价100万元（含）以上设备（不含车辆）0台（套）。</w:t>
      </w:r>
    </w:p>
    <w:p w14:paraId="57B1B31F">
      <w:pPr>
        <w:spacing w:line="640" w:lineRule="exact"/>
        <w:ind w:firstLine="640"/>
        <w:jc w:val="both"/>
        <w:outlineLvl w:val="2"/>
      </w:pPr>
      <w:r>
        <w:rPr>
          <w:rFonts w:ascii="黑体" w:hAnsi="黑体" w:eastAsia="黑体"/>
          <w:sz w:val="32"/>
        </w:rPr>
        <w:t>十一、预算绩效的情况说明</w:t>
      </w:r>
    </w:p>
    <w:p w14:paraId="2A79FC4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发现的问题及原因：本单位无项目绩效。下一步改进措施：本单位无项目绩效。</w:t>
      </w:r>
    </w:p>
    <w:p w14:paraId="1B50B5E8">
      <w:r>
        <w:br w:type="page"/>
      </w:r>
    </w:p>
    <w:p w14:paraId="7646A8C8">
      <w:pPr>
        <w:spacing w:line="640" w:lineRule="exact"/>
        <w:ind w:firstLine="640"/>
        <w:jc w:val="both"/>
        <w:outlineLvl w:val="2"/>
      </w:pPr>
      <w:r>
        <w:rPr>
          <w:rFonts w:ascii="黑体" w:hAnsi="黑体" w:eastAsia="黑体"/>
          <w:sz w:val="32"/>
        </w:rPr>
        <w:t>十二、其他需说明的事项</w:t>
      </w:r>
    </w:p>
    <w:p w14:paraId="6DC0212B">
      <w:pPr>
        <w:spacing w:line="580" w:lineRule="exact"/>
        <w:ind w:firstLine="640"/>
        <w:jc w:val="both"/>
      </w:pPr>
      <w:r>
        <w:rPr>
          <w:rFonts w:ascii="仿宋_GB2312" w:hAnsi="仿宋_GB2312" w:eastAsia="仿宋_GB2312"/>
          <w:b w:val="0"/>
          <w:sz w:val="32"/>
        </w:rPr>
        <w:t>本单位没有其他需要说明的事项。</w:t>
      </w:r>
    </w:p>
    <w:p w14:paraId="72C0B410">
      <w:r>
        <w:br w:type="page"/>
      </w:r>
    </w:p>
    <w:p w14:paraId="0510CE07">
      <w:pPr>
        <w:spacing w:line="600" w:lineRule="exact"/>
        <w:jc w:val="center"/>
        <w:outlineLvl w:val="0"/>
      </w:pPr>
      <w:r>
        <w:rPr>
          <w:rFonts w:ascii="黑体" w:hAnsi="黑体" w:eastAsia="黑体"/>
          <w:sz w:val="32"/>
        </w:rPr>
        <w:t>第三部分 专业名词解释</w:t>
      </w:r>
    </w:p>
    <w:p w14:paraId="7EAD038B">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EF5176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6171FA">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50F9DAE">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41A212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6CDB294E">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286A374">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ABE24DB">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7D630C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5357AE1">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3BFBAD2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0F3FB42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74163A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00F48F77">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855BAB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23204E09">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B6833C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9008FC5">
      <w:r>
        <w:br w:type="page"/>
      </w:r>
    </w:p>
    <w:p w14:paraId="59EA3C36">
      <w:pPr>
        <w:spacing w:line="240" w:lineRule="auto"/>
        <w:jc w:val="center"/>
        <w:outlineLvl w:val="1"/>
      </w:pPr>
      <w:r>
        <w:rPr>
          <w:rFonts w:ascii="黑体" w:hAnsi="黑体" w:eastAsia="黑体"/>
          <w:sz w:val="32"/>
        </w:rPr>
        <w:t>第四部分 部门决算报表（见附表）</w:t>
      </w:r>
    </w:p>
    <w:p w14:paraId="4BD0FB8F">
      <w:pPr>
        <w:autoSpaceDE w:val="0"/>
        <w:autoSpaceDN w:val="0"/>
        <w:spacing w:line="600" w:lineRule="exact"/>
        <w:ind w:firstLine="640" w:firstLineChars="200"/>
      </w:pPr>
      <w:r>
        <w:rPr>
          <w:rFonts w:ascii="仿宋_GB2312" w:hAnsi="仿宋_GB2312" w:eastAsia="仿宋_GB2312"/>
          <w:b w:val="0"/>
          <w:sz w:val="32"/>
        </w:rPr>
        <w:t>一、《收入支出决算总表》</w:t>
      </w:r>
    </w:p>
    <w:p w14:paraId="17C68EEB">
      <w:pPr>
        <w:autoSpaceDE w:val="0"/>
        <w:autoSpaceDN w:val="0"/>
        <w:spacing w:line="600" w:lineRule="exact"/>
        <w:ind w:firstLine="640" w:firstLineChars="200"/>
      </w:pPr>
      <w:r>
        <w:rPr>
          <w:rFonts w:ascii="仿宋_GB2312" w:hAnsi="仿宋_GB2312" w:eastAsia="仿宋_GB2312"/>
          <w:b w:val="0"/>
          <w:sz w:val="32"/>
        </w:rPr>
        <w:t>二、《收入决算表》</w:t>
      </w:r>
    </w:p>
    <w:p w14:paraId="619443F0">
      <w:pPr>
        <w:autoSpaceDE w:val="0"/>
        <w:autoSpaceDN w:val="0"/>
        <w:spacing w:line="600" w:lineRule="exact"/>
        <w:ind w:firstLine="640" w:firstLineChars="200"/>
      </w:pPr>
      <w:r>
        <w:rPr>
          <w:rFonts w:ascii="仿宋_GB2312" w:hAnsi="仿宋_GB2312" w:eastAsia="仿宋_GB2312"/>
          <w:b w:val="0"/>
          <w:sz w:val="32"/>
        </w:rPr>
        <w:t>三、《支出决算表》</w:t>
      </w:r>
    </w:p>
    <w:p w14:paraId="0E8A012F">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1309884">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90A4EE4">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77C8A9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139A94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ED1316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CA82167">
      <w:pPr>
        <w:autoSpaceDE w:val="0"/>
        <w:autoSpaceDN w:val="0"/>
        <w:spacing w:line="600" w:lineRule="exact"/>
        <w:ind w:firstLine="640" w:firstLineChars="200"/>
      </w:pPr>
    </w:p>
    <w:p w14:paraId="08029777">
      <w:pPr>
        <w:autoSpaceDE w:val="0"/>
        <w:autoSpaceDN w:val="0"/>
        <w:spacing w:line="600" w:lineRule="exact"/>
        <w:ind w:firstLine="640" w:firstLineChars="200"/>
      </w:pPr>
    </w:p>
    <w:p w14:paraId="70837C25">
      <w:pPr>
        <w:autoSpaceDE w:val="0"/>
        <w:autoSpaceDN w:val="0"/>
        <w:spacing w:line="600" w:lineRule="exact"/>
        <w:ind w:firstLine="640" w:firstLineChars="200"/>
      </w:pPr>
    </w:p>
    <w:p w14:paraId="4F1A39B7">
      <w:pPr>
        <w:autoSpaceDE w:val="0"/>
        <w:autoSpaceDN w:val="0"/>
        <w:spacing w:line="600" w:lineRule="exact"/>
        <w:ind w:firstLine="640" w:firstLineChars="200"/>
      </w:pPr>
    </w:p>
    <w:p w14:paraId="15483C23">
      <w:pPr>
        <w:autoSpaceDE w:val="0"/>
        <w:autoSpaceDN w:val="0"/>
        <w:spacing w:line="600" w:lineRule="exact"/>
        <w:ind w:firstLine="640" w:firstLineChars="200"/>
      </w:pPr>
    </w:p>
    <w:sectPr>
      <w:footerReference r:id="rId3" w:type="default"/>
      <w:pgSz w:w="11906" w:h="16838"/>
      <w:pgMar w:top="2098" w:right="1531" w:bottom="1985"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9DF29DA-74EE-4D6B-AD88-85F3501827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347CE30-FC2D-4CA1-BCF4-9E7382D9C63E}"/>
  </w:font>
  <w:font w:name="仿宋_GB2312">
    <w:panose1 w:val="02010609030101010101"/>
    <w:charset w:val="86"/>
    <w:family w:val="modern"/>
    <w:pitch w:val="default"/>
    <w:sig w:usb0="00000001" w:usb1="080E0000" w:usb2="00000000" w:usb3="00000000" w:csb0="00040000" w:csb1="00000000"/>
    <w:embedRegular r:id="rId3" w:fontKey="{12BCD2C0-0FE5-453F-9AFB-8BA80672F544}"/>
  </w:font>
  <w:font w:name="楷体_GB2312">
    <w:altName w:val="楷体"/>
    <w:panose1 w:val="00000000000000000000"/>
    <w:charset w:val="00"/>
    <w:family w:val="auto"/>
    <w:pitch w:val="default"/>
    <w:sig w:usb0="00000000" w:usb1="00000000" w:usb2="00000000" w:usb3="00000000" w:csb0="00000000" w:csb1="00000000"/>
    <w:embedRegular r:id="rId4" w:fontKey="{65CEDAFF-AF46-44CD-AD13-86480E2C6993}"/>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CB60A07"/>
    <w:rsid w:val="1DAF458D"/>
    <w:rsid w:val="1E086ACE"/>
    <w:rsid w:val="1EAA4A5F"/>
    <w:rsid w:val="1F040613"/>
    <w:rsid w:val="1F587A0B"/>
    <w:rsid w:val="1FE96E5D"/>
    <w:rsid w:val="2064678E"/>
    <w:rsid w:val="20DD6197"/>
    <w:rsid w:val="216B2BCB"/>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31D47"/>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4f249e0e-6b5c-4ddf-b25a-e995370426ed</errorID>
      <errorWord>2月31日</errorWord>
      <group>L1_Sensitive</group>
      <groupName>敏感问题</groupName>
      <ability>L2_UserSensitive</ability>
      <abilityName>自定义敏感词</abilityName>
      <candidateList/>
      <explain>来自自定义敏感词库。</explain>
      <paraID>5302A304</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de5a9259-1d8b-4e07-9b34-26da5e9a3e06}">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5503</Words>
  <Characters>6111</Characters>
  <Lines>10</Lines>
  <Paragraphs>2</Paragraphs>
  <TotalTime>9</TotalTime>
  <ScaleCrop>false</ScaleCrop>
  <LinksUpToDate>false</LinksUpToDate>
  <CharactersWithSpaces>6121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2026-08-28T03:33:25Z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