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新疆维吾尔自治区塔里木河流域管理局（本级）</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343EA0C3">
      <w:r>
        <w:br w:type="page"/>
      </w:r>
    </w:p>
    <w:p w14:paraId="6FE8FA43">
      <w:pPr>
        <w:spacing w:line="640" w:lineRule="exact"/>
        <w:jc w:val="center"/>
        <w:outlineLvl w:val="1"/>
      </w:pPr>
      <w:r>
        <w:rPr>
          <w:rFonts w:ascii="黑体" w:hAnsi="黑体" w:eastAsia="黑体"/>
          <w:sz w:val="32"/>
        </w:rPr>
        <w:t>第一部分 单位概况</w:t>
      </w:r>
    </w:p>
    <w:p w14:paraId="2C3132D3">
      <w:pPr>
        <w:spacing w:line="640" w:lineRule="exact"/>
        <w:ind w:firstLine="640"/>
        <w:jc w:val="both"/>
        <w:outlineLvl w:val="2"/>
      </w:pPr>
      <w:r>
        <w:rPr>
          <w:rFonts w:ascii="黑体" w:hAnsi="黑体" w:eastAsia="黑体"/>
          <w:sz w:val="32"/>
        </w:rPr>
        <w:t>一、主要职能</w:t>
      </w:r>
    </w:p>
    <w:p w14:paraId="1CFA3AD2">
      <w:pPr>
        <w:spacing w:line="580" w:lineRule="exact"/>
        <w:ind w:firstLine="640"/>
        <w:jc w:val="both"/>
      </w:pPr>
      <w:r>
        <w:rPr>
          <w:rFonts w:ascii="仿宋_GB2312" w:hAnsi="仿宋_GB2312" w:eastAsia="仿宋_GB2312"/>
          <w:sz w:val="32"/>
        </w:rPr>
        <w:t>中共新疆维吾尔自治区委员会机构编制委员会《新疆维吾尔自治区塔里木河流域管理局及所属事业单位改革方案》（新党编委〔2024〕106号），授予塔管局机关的主要职责是：贯彻落实《中华人民共和国水法》《新疆维吾尔自治区塔里木河流域水资源管理条例》等</w:t>
      </w:r>
      <w:r>
        <w:rPr>
          <w:rFonts w:hint="eastAsia" w:ascii="仿宋_GB2312" w:hAnsi="仿宋_GB2312" w:eastAsia="仿宋_GB2312"/>
          <w:sz w:val="32"/>
          <w:lang w:eastAsia="zh-CN"/>
        </w:rPr>
        <w:t>法律法规</w:t>
      </w:r>
      <w:r>
        <w:rPr>
          <w:rFonts w:ascii="仿宋_GB2312" w:hAnsi="仿宋_GB2312" w:eastAsia="仿宋_GB2312"/>
          <w:sz w:val="32"/>
        </w:rPr>
        <w:t>；负责管辖范围内的水行政执法、水政监察和水事纠纷调度处理工作；组织编制流域综合规划和专业规划并监督实施；在授权范围内，组织开展水利项目的前期工作；负责水工程建设项目规划同意书和水资源论证报告审查、水利项目初步技术审查；提出管辖范围内水利建设项目年度投资建议计划并组织实施；负责流域水资源统一管理，统筹协调流域用水，实施取用水总量控制；组织编制流域水量分配方案、年度水量调度计划及旱情紧急情况下的水量调度预案并组织实施；指导流域水能资源开发，按照电调服从水调的原则，负责管辖范围内水库及电站水量统一调度；负责组织实施向塔里木河下游生态输水；在管辖范围内依法组织实施取水许可、水资源有偿使用等制度；负责流域水资源保护工作；根据授权，开展流域水功能区划工作，组织编制管辖范围内的水功能区划，核定水域纳污能力，提出限制排污总量意见；负责入河排污口设置的审查许可；依法在管辖范围内开展水土保持监督管理；指导流域节约用水工作；负责管辖范围内的河道管理；承担河道管理范围内采砂管理和涉河建设项目的审查及监督工作；负责直管水利工程的建设与运行管理；组织编制流域防洪方案；在自治区防汛抗旱总指挥部的统一领导下，开展防汛抗旱协调、调度和监督管理等工作；参与协调水利突发事件应急工作；研究提出直管工程的水价以及其他有关收费项目的立项、调整建议方案；负责直管水利项目资金的使用、管理和监督；负责开展流域水利科技、统计和信息化建设工作；承担塔里木河流域水利委员会、执行委员会和自治区水行政主管部门交办的其他工作。</w:t>
      </w:r>
    </w:p>
    <w:p w14:paraId="55B36A57">
      <w:pPr>
        <w:spacing w:line="640" w:lineRule="exact"/>
        <w:ind w:firstLine="640"/>
        <w:jc w:val="both"/>
        <w:outlineLvl w:val="2"/>
      </w:pPr>
      <w:r>
        <w:rPr>
          <w:rFonts w:ascii="黑体" w:hAnsi="黑体" w:eastAsia="黑体"/>
          <w:sz w:val="32"/>
        </w:rPr>
        <w:t>二、机构设置</w:t>
      </w:r>
    </w:p>
    <w:p w14:paraId="2F807D10">
      <w:pPr>
        <w:spacing w:line="580" w:lineRule="exact"/>
        <w:ind w:firstLine="640"/>
        <w:jc w:val="both"/>
      </w:pPr>
      <w:r>
        <w:rPr>
          <w:rFonts w:ascii="仿宋_GB2312" w:hAnsi="仿宋_GB2312" w:eastAsia="仿宋_GB2312"/>
          <w:sz w:val="32"/>
        </w:rPr>
        <w:t>新疆维吾尔自治区塔里木河流域管理局（本级）无下属预算单位。</w:t>
      </w:r>
    </w:p>
    <w:p w14:paraId="2B63BC40">
      <w:r>
        <w:br w:type="page"/>
      </w:r>
    </w:p>
    <w:p w14:paraId="36222C76">
      <w:pPr>
        <w:spacing w:line="240" w:lineRule="auto"/>
        <w:jc w:val="center"/>
        <w:outlineLvl w:val="1"/>
      </w:pPr>
      <w:r>
        <w:rPr>
          <w:rFonts w:ascii="黑体" w:hAnsi="黑体" w:eastAsia="黑体"/>
          <w:sz w:val="32"/>
        </w:rPr>
        <w:t>第二部分 部门决算情况说明</w:t>
      </w:r>
    </w:p>
    <w:p w14:paraId="00E809F9">
      <w:pPr>
        <w:spacing w:line="640" w:lineRule="exact"/>
        <w:ind w:firstLine="640"/>
        <w:jc w:val="both"/>
        <w:outlineLvl w:val="2"/>
      </w:pPr>
      <w:r>
        <w:rPr>
          <w:rFonts w:ascii="黑体" w:hAnsi="黑体" w:eastAsia="黑体"/>
          <w:sz w:val="32"/>
        </w:rPr>
        <w:t>一、收入支出决算总体情况说明</w:t>
      </w:r>
    </w:p>
    <w:p w14:paraId="37D23CF2">
      <w:pPr>
        <w:spacing w:line="580" w:lineRule="exact"/>
        <w:ind w:firstLine="640"/>
        <w:jc w:val="both"/>
      </w:pPr>
      <w:r>
        <w:rPr>
          <w:rFonts w:ascii="仿宋_GB2312" w:hAnsi="仿宋_GB2312" w:eastAsia="仿宋_GB2312"/>
          <w:b/>
          <w:sz w:val="32"/>
        </w:rPr>
        <w:t>2025年度收入总计6,398.04万元，</w:t>
      </w:r>
      <w:r>
        <w:rPr>
          <w:rFonts w:ascii="仿宋_GB2312" w:hAnsi="仿宋_GB2312" w:eastAsia="仿宋_GB2312"/>
          <w:b w:val="0"/>
          <w:sz w:val="32"/>
        </w:rPr>
        <w:t>其中：本年收入合计2,688.14万元，使用非财政拨款结余（含专用结余）0.42万元，年初结转和结余3,709.47万元。</w:t>
      </w:r>
    </w:p>
    <w:p w14:paraId="6B1DBC38">
      <w:pPr>
        <w:spacing w:line="580" w:lineRule="exact"/>
        <w:ind w:firstLine="640"/>
        <w:jc w:val="both"/>
      </w:pPr>
      <w:r>
        <w:rPr>
          <w:rFonts w:ascii="仿宋_GB2312" w:hAnsi="仿宋_GB2312" w:eastAsia="仿宋_GB2312"/>
          <w:b/>
          <w:sz w:val="32"/>
        </w:rPr>
        <w:t>2025年度支出总计6,398.04万元，</w:t>
      </w:r>
      <w:r>
        <w:rPr>
          <w:rFonts w:ascii="仿宋_GB2312" w:hAnsi="仿宋_GB2312" w:eastAsia="仿宋_GB2312"/>
          <w:b w:val="0"/>
          <w:sz w:val="32"/>
        </w:rPr>
        <w:t>其中：本年支出合计5,987.41万元，结余分配0.00万元，年末结转和结余410.63万元。</w:t>
      </w:r>
    </w:p>
    <w:p w14:paraId="588D686C">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减少47,697.50万元，下降88.17%，主要原因是：一是本年减少大石峡水利枢纽工程项目资金；二是因机构改革，水费收入划转至干流，本年无经营收入及支出。</w:t>
      </w:r>
    </w:p>
    <w:p w14:paraId="4459FB3A">
      <w:pPr>
        <w:spacing w:line="640" w:lineRule="exact"/>
        <w:ind w:firstLine="640"/>
        <w:jc w:val="both"/>
        <w:outlineLvl w:val="2"/>
      </w:pPr>
      <w:r>
        <w:rPr>
          <w:rFonts w:ascii="黑体" w:hAnsi="黑体" w:eastAsia="黑体"/>
          <w:sz w:val="32"/>
        </w:rPr>
        <w:t>二、收入决算情况说明</w:t>
      </w:r>
    </w:p>
    <w:p w14:paraId="20424DC3">
      <w:pPr>
        <w:spacing w:line="580" w:lineRule="exact"/>
        <w:ind w:firstLine="640"/>
        <w:jc w:val="both"/>
      </w:pPr>
      <w:r>
        <w:rPr>
          <w:rFonts w:ascii="仿宋_GB2312" w:hAnsi="仿宋_GB2312" w:eastAsia="仿宋_GB2312"/>
          <w:b/>
          <w:sz w:val="32"/>
        </w:rPr>
        <w:t>本年收入2,688.14万元，</w:t>
      </w:r>
      <w:r>
        <w:rPr>
          <w:rFonts w:ascii="仿宋_GB2312" w:hAnsi="仿宋_GB2312" w:eastAsia="仿宋_GB2312"/>
          <w:b w:val="0"/>
          <w:sz w:val="32"/>
        </w:rPr>
        <w:t>其中：财政拨款收入2,674.71万元，占99.50%；上级补助收入0.00万元，占0.00%；事业收入0.00万元，占0.00%；经营收入0.00万元，占0.00%；附属单位上缴收入0.00万元，占0.00%；其他收入13.43万元，占0.50%。</w:t>
      </w:r>
    </w:p>
    <w:p w14:paraId="6C9C678F">
      <w:pPr>
        <w:spacing w:line="640" w:lineRule="exact"/>
        <w:ind w:firstLine="640"/>
        <w:jc w:val="both"/>
        <w:outlineLvl w:val="2"/>
      </w:pPr>
      <w:r>
        <w:rPr>
          <w:rFonts w:ascii="黑体" w:hAnsi="黑体" w:eastAsia="黑体"/>
          <w:sz w:val="32"/>
        </w:rPr>
        <w:t>三、支出决算情况说明</w:t>
      </w:r>
    </w:p>
    <w:p w14:paraId="0AC37EC5">
      <w:pPr>
        <w:spacing w:line="580" w:lineRule="exact"/>
        <w:ind w:firstLine="640"/>
        <w:jc w:val="both"/>
      </w:pPr>
      <w:r>
        <w:rPr>
          <w:rFonts w:ascii="仿宋_GB2312" w:hAnsi="仿宋_GB2312" w:eastAsia="仿宋_GB2312"/>
          <w:b/>
          <w:sz w:val="32"/>
        </w:rPr>
        <w:t>本年支出5,987.41万元，</w:t>
      </w:r>
      <w:r>
        <w:rPr>
          <w:rFonts w:ascii="仿宋_GB2312" w:hAnsi="仿宋_GB2312" w:eastAsia="仿宋_GB2312"/>
          <w:b w:val="0"/>
          <w:sz w:val="32"/>
        </w:rPr>
        <w:t>其中：基本支出1,557.93万元，占26.02%；项目支出4,429.49万元，占73.98%；上缴上级支出0.00万元，占0.00%；经营支出0.00万元，占0.00%；对附属单位补助支出0.00万元，占0.00%。</w:t>
      </w:r>
    </w:p>
    <w:p w14:paraId="5C7D61F6">
      <w:pPr>
        <w:spacing w:line="640" w:lineRule="exact"/>
        <w:ind w:firstLine="640"/>
        <w:jc w:val="both"/>
        <w:outlineLvl w:val="2"/>
      </w:pPr>
      <w:r>
        <w:rPr>
          <w:rFonts w:ascii="黑体" w:hAnsi="黑体" w:eastAsia="黑体"/>
          <w:sz w:val="32"/>
        </w:rPr>
        <w:t>四、财政拨款收入支出决算总体情况说明</w:t>
      </w:r>
    </w:p>
    <w:p w14:paraId="574A080E">
      <w:pPr>
        <w:spacing w:line="580" w:lineRule="exact"/>
        <w:ind w:firstLine="640"/>
        <w:jc w:val="both"/>
      </w:pPr>
      <w:r>
        <w:rPr>
          <w:rFonts w:ascii="仿宋_GB2312" w:hAnsi="仿宋_GB2312" w:eastAsia="仿宋_GB2312"/>
          <w:b/>
          <w:sz w:val="32"/>
        </w:rPr>
        <w:t>2025年度财政拨款收入总计2,674.71万元，</w:t>
      </w:r>
      <w:r>
        <w:rPr>
          <w:rFonts w:ascii="仿宋_GB2312" w:hAnsi="仿宋_GB2312" w:eastAsia="仿宋_GB2312"/>
          <w:b w:val="0"/>
          <w:sz w:val="32"/>
        </w:rPr>
        <w:t>其中：年初财政拨款结转和结余0.00万元，本年财政拨款收入2,674.71万元。</w:t>
      </w:r>
      <w:r>
        <w:rPr>
          <w:rFonts w:ascii="仿宋_GB2312" w:hAnsi="仿宋_GB2312" w:eastAsia="仿宋_GB2312"/>
          <w:b/>
          <w:sz w:val="32"/>
        </w:rPr>
        <w:t>财政拨款支出总计2,674.71万元，</w:t>
      </w:r>
      <w:r>
        <w:rPr>
          <w:rFonts w:ascii="仿宋_GB2312" w:hAnsi="仿宋_GB2312" w:eastAsia="仿宋_GB2312"/>
          <w:b w:val="0"/>
          <w:sz w:val="32"/>
        </w:rPr>
        <w:t>其中：年末财政拨款结转和结余0.00万元，本年财政拨款支出2,674.71万元。</w:t>
      </w:r>
    </w:p>
    <w:p w14:paraId="27CAECC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减少21,601.69万元，下降88.98%，主要原因是：本年减少大石峡水利枢纽工程项目资金。</w:t>
      </w:r>
      <w:r>
        <w:rPr>
          <w:rFonts w:ascii="仿宋_GB2312" w:hAnsi="仿宋_GB2312" w:eastAsia="仿宋_GB2312"/>
          <w:b/>
          <w:sz w:val="32"/>
        </w:rPr>
        <w:t>与年初预算相比，</w:t>
      </w:r>
      <w:r>
        <w:rPr>
          <w:rFonts w:ascii="仿宋_GB2312" w:hAnsi="仿宋_GB2312" w:eastAsia="仿宋_GB2312"/>
          <w:b w:val="0"/>
          <w:sz w:val="32"/>
        </w:rPr>
        <w:t>年初预算数2,314.06万元，决算数2,674.71万元，预决算差异率15.59%，主要原因是：一是年中</w:t>
      </w:r>
      <w:r>
        <w:rPr>
          <w:rFonts w:hint="eastAsia" w:ascii="仿宋_GB2312" w:hAnsi="仿宋_GB2312" w:eastAsia="仿宋_GB2312"/>
          <w:b w:val="0"/>
          <w:sz w:val="32"/>
          <w:lang w:val="en-US" w:eastAsia="zh-CN"/>
        </w:rPr>
        <w:t>追加</w:t>
      </w:r>
      <w:r>
        <w:rPr>
          <w:rFonts w:ascii="仿宋_GB2312" w:hAnsi="仿宋_GB2312" w:eastAsia="仿宋_GB2312"/>
          <w:b w:val="0"/>
          <w:sz w:val="32"/>
        </w:rPr>
        <w:t>自治区财政下达驻村工作队员南疆工作补贴及驻村工作经费；二是年中追加职业年金缴费支出，导致预决算差异。</w:t>
      </w:r>
    </w:p>
    <w:p w14:paraId="524DD0EC">
      <w:pPr>
        <w:spacing w:line="640" w:lineRule="exact"/>
        <w:ind w:firstLine="640"/>
        <w:jc w:val="both"/>
        <w:outlineLvl w:val="2"/>
      </w:pPr>
      <w:r>
        <w:rPr>
          <w:rFonts w:ascii="黑体" w:hAnsi="黑体" w:eastAsia="黑体"/>
          <w:sz w:val="32"/>
        </w:rPr>
        <w:t>五、一般公共预算财政拨款支出决算情况说明</w:t>
      </w:r>
    </w:p>
    <w:p w14:paraId="2730E902">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w:t>
      </w:r>
      <w:r>
        <w:rPr>
          <w:rFonts w:hint="eastAsia" w:ascii="仿宋_GB2312" w:hAnsi="仿宋_GB2312" w:eastAsia="仿宋_GB2312"/>
          <w:b w:val="0"/>
          <w:sz w:val="32"/>
          <w:lang w:val="en-US" w:eastAsia="zh-CN"/>
        </w:rPr>
        <w:t>水利</w:t>
      </w:r>
      <w:r>
        <w:rPr>
          <w:rFonts w:ascii="仿宋_GB2312" w:hAnsi="仿宋_GB2312" w:eastAsia="仿宋_GB2312"/>
          <w:b w:val="0"/>
          <w:sz w:val="32"/>
        </w:rPr>
        <w:t>事业发展等重点支出，体现在有关支出科目中。</w:t>
      </w:r>
    </w:p>
    <w:p w14:paraId="1105034C">
      <w:pPr>
        <w:spacing w:line="580" w:lineRule="exact"/>
        <w:ind w:firstLine="640"/>
        <w:jc w:val="both"/>
      </w:pPr>
      <w:r>
        <w:rPr>
          <w:rFonts w:ascii="仿宋_GB2312" w:hAnsi="仿宋_GB2312" w:eastAsia="仿宋_GB2312"/>
          <w:b w:val="0"/>
          <w:sz w:val="32"/>
        </w:rPr>
        <w:t>按照支出功能分类，农林水支出（类）水利（款）水资源节约管理与保护（项）的支出占本年财政拨款支出总额的比重最高，2025年度决算数为1,087.00万元，占比40.64%，主要用于自治区水利发展资金（年初项目）及自治区2025年水利转移支付资金项目。</w:t>
      </w:r>
    </w:p>
    <w:p w14:paraId="1D4C4A57">
      <w:pPr>
        <w:spacing w:line="640" w:lineRule="exact"/>
        <w:ind w:firstLine="640"/>
        <w:jc w:val="both"/>
        <w:outlineLvl w:val="3"/>
      </w:pPr>
      <w:r>
        <w:rPr>
          <w:rFonts w:ascii="楷体_GB2312" w:hAnsi="楷体_GB2312" w:eastAsia="楷体_GB2312"/>
          <w:b/>
          <w:sz w:val="32"/>
        </w:rPr>
        <w:t>（一）一般公共预算财政拨款支出决算总体情况</w:t>
      </w:r>
    </w:p>
    <w:p w14:paraId="2209CF54">
      <w:pPr>
        <w:spacing w:line="580" w:lineRule="exact"/>
        <w:ind w:firstLine="640"/>
        <w:jc w:val="both"/>
      </w:pPr>
      <w:r>
        <w:rPr>
          <w:rFonts w:ascii="仿宋_GB2312" w:hAnsi="仿宋_GB2312" w:eastAsia="仿宋_GB2312"/>
          <w:b/>
          <w:sz w:val="32"/>
        </w:rPr>
        <w:t>2025年度一般公共预算财政拨款支出2,674.71万元，</w:t>
      </w:r>
      <w:r>
        <w:rPr>
          <w:rFonts w:ascii="仿宋_GB2312" w:hAnsi="仿宋_GB2312" w:eastAsia="仿宋_GB2312"/>
          <w:b w:val="0"/>
          <w:sz w:val="32"/>
        </w:rPr>
        <w:t>占本年支出合计的44.67%。</w:t>
      </w:r>
      <w:r>
        <w:rPr>
          <w:rFonts w:ascii="仿宋_GB2312" w:hAnsi="仿宋_GB2312" w:eastAsia="仿宋_GB2312"/>
          <w:b/>
          <w:sz w:val="32"/>
        </w:rPr>
        <w:t>与上年相比，</w:t>
      </w:r>
      <w:r>
        <w:rPr>
          <w:rFonts w:ascii="仿宋_GB2312" w:hAnsi="仿宋_GB2312" w:eastAsia="仿宋_GB2312"/>
          <w:b w:val="0"/>
          <w:sz w:val="32"/>
        </w:rPr>
        <w:t>减少21,601.69万元，下降88.98%，主要原因是：本年减少大石峡水利枢纽工程项目资金。</w:t>
      </w:r>
      <w:r>
        <w:rPr>
          <w:rFonts w:ascii="仿宋_GB2312" w:hAnsi="仿宋_GB2312" w:eastAsia="仿宋_GB2312"/>
          <w:b/>
          <w:sz w:val="32"/>
        </w:rPr>
        <w:t>与年初预算相比，</w:t>
      </w:r>
      <w:r>
        <w:rPr>
          <w:rFonts w:ascii="仿宋_GB2312" w:hAnsi="仿宋_GB2312" w:eastAsia="仿宋_GB2312"/>
          <w:b w:val="0"/>
          <w:sz w:val="32"/>
        </w:rPr>
        <w:t>年初预算数2,314.06万元，决算数2,674.71万元，预决算差异率15.59%，主要原因是：一是年中</w:t>
      </w:r>
      <w:r>
        <w:rPr>
          <w:rFonts w:hint="eastAsia" w:ascii="仿宋_GB2312" w:hAnsi="仿宋_GB2312" w:eastAsia="仿宋_GB2312"/>
          <w:b w:val="0"/>
          <w:sz w:val="32"/>
          <w:lang w:val="en-US" w:eastAsia="zh-CN"/>
        </w:rPr>
        <w:t>追加</w:t>
      </w:r>
      <w:r>
        <w:rPr>
          <w:rFonts w:ascii="仿宋_GB2312" w:hAnsi="仿宋_GB2312" w:eastAsia="仿宋_GB2312"/>
          <w:b w:val="0"/>
          <w:sz w:val="32"/>
        </w:rPr>
        <w:t>自治区财政下达驻村工作队员南疆工作补贴及驻村工作经费；二是年中追加职业年金缴费支出，导致预决算差异。</w:t>
      </w:r>
    </w:p>
    <w:p w14:paraId="43462A1E">
      <w:pPr>
        <w:spacing w:line="640" w:lineRule="exact"/>
        <w:ind w:firstLine="640"/>
        <w:jc w:val="both"/>
        <w:outlineLvl w:val="3"/>
      </w:pPr>
      <w:r>
        <w:rPr>
          <w:rFonts w:ascii="楷体_GB2312" w:hAnsi="楷体_GB2312" w:eastAsia="楷体_GB2312"/>
          <w:b/>
          <w:sz w:val="32"/>
        </w:rPr>
        <w:t>（二）一般公共预算财政拨款支出决算结构情况</w:t>
      </w:r>
    </w:p>
    <w:p w14:paraId="7B7A6CCA">
      <w:pPr>
        <w:spacing w:line="580" w:lineRule="exact"/>
        <w:ind w:firstLine="640"/>
        <w:jc w:val="both"/>
      </w:pPr>
      <w:r>
        <w:rPr>
          <w:rFonts w:ascii="仿宋_GB2312" w:hAnsi="仿宋_GB2312" w:eastAsia="仿宋_GB2312"/>
          <w:b w:val="0"/>
          <w:sz w:val="32"/>
        </w:rPr>
        <w:t>1.社会保障和就业支出（类）332.22万元，占12.42%。</w:t>
      </w:r>
    </w:p>
    <w:p w14:paraId="175AC481">
      <w:pPr>
        <w:spacing w:line="580" w:lineRule="exact"/>
        <w:ind w:firstLine="640"/>
        <w:jc w:val="both"/>
      </w:pPr>
      <w:r>
        <w:rPr>
          <w:rFonts w:ascii="仿宋_GB2312" w:hAnsi="仿宋_GB2312" w:eastAsia="仿宋_GB2312"/>
          <w:b w:val="0"/>
          <w:sz w:val="32"/>
        </w:rPr>
        <w:t>2.卫生健康支出（类）70.42万元，占2.63%。</w:t>
      </w:r>
    </w:p>
    <w:p w14:paraId="1F02711B">
      <w:pPr>
        <w:spacing w:line="580" w:lineRule="exact"/>
        <w:ind w:firstLine="640"/>
        <w:jc w:val="both"/>
      </w:pPr>
      <w:r>
        <w:rPr>
          <w:rFonts w:ascii="仿宋_GB2312" w:hAnsi="仿宋_GB2312" w:eastAsia="仿宋_GB2312"/>
          <w:b w:val="0"/>
          <w:sz w:val="32"/>
        </w:rPr>
        <w:t>3.农林水支出（类）2,194.20万元，占82.04%。</w:t>
      </w:r>
    </w:p>
    <w:p w14:paraId="00F9A90B">
      <w:pPr>
        <w:spacing w:line="580" w:lineRule="exact"/>
        <w:ind w:firstLine="640"/>
        <w:jc w:val="both"/>
      </w:pPr>
      <w:r>
        <w:rPr>
          <w:rFonts w:ascii="仿宋_GB2312" w:hAnsi="仿宋_GB2312" w:eastAsia="仿宋_GB2312"/>
          <w:b w:val="0"/>
          <w:sz w:val="32"/>
        </w:rPr>
        <w:t>4.住房保障支出（类）77.87万元，占2.91%。</w:t>
      </w:r>
    </w:p>
    <w:p w14:paraId="2F0472C1">
      <w:pPr>
        <w:spacing w:line="640" w:lineRule="exact"/>
        <w:ind w:firstLine="640"/>
        <w:jc w:val="both"/>
        <w:outlineLvl w:val="3"/>
      </w:pPr>
      <w:r>
        <w:rPr>
          <w:rFonts w:ascii="楷体_GB2312" w:hAnsi="楷体_GB2312" w:eastAsia="楷体_GB2312"/>
          <w:b/>
          <w:sz w:val="32"/>
        </w:rPr>
        <w:t>（三）一般公共预算财政拨款支出决算具体情况</w:t>
      </w:r>
    </w:p>
    <w:p w14:paraId="2449A12E">
      <w:pPr>
        <w:spacing w:line="580" w:lineRule="exact"/>
        <w:ind w:firstLine="640"/>
        <w:jc w:val="both"/>
      </w:pPr>
      <w:r>
        <w:rPr>
          <w:rFonts w:ascii="仿宋_GB2312" w:hAnsi="仿宋_GB2312" w:eastAsia="仿宋_GB2312"/>
          <w:b w:val="0"/>
          <w:sz w:val="32"/>
        </w:rPr>
        <w:t>1.社会保障和就业支出（类）人力资源和社会保障管理事务（款）其他人力资源和社会保障管理事务支出（项）：支出决算数为8.00万元，比上年决算增加8.00万元，增长100.00%，主要原因是：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新增新疆人才发展基金2025年度第二轮支持资金一天池英才引进计划项目，导致其他人力资源和社会保障管理事务支出增加。</w:t>
      </w:r>
    </w:p>
    <w:p w14:paraId="37DEDA4F">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2.社会保障和就业支出（类）行政事业单位养老支出（款）行政单位离退休（项）：支出决算数为120.11万元，比上年决算增加23.54万元，增长24.38%，主要原因是：本年增加退休人员基础绩效奖，退休费支出增加。</w:t>
      </w:r>
    </w:p>
    <w:p w14:paraId="6ECDACE5">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0.07万元，比上年决算增加0.07万元，增长100.00%，主要原因是：按照机构改革要求，塔管局与原塔里木河流域水政监察分队并账，导致事业单位退休</w:t>
      </w:r>
      <w:r>
        <w:rPr>
          <w:rFonts w:hint="eastAsia" w:ascii="仿宋_GB2312" w:hAnsi="仿宋_GB2312" w:eastAsia="仿宋_GB2312"/>
          <w:b w:val="0"/>
          <w:sz w:val="32"/>
          <w:lang w:val="en-US" w:eastAsia="zh-CN"/>
        </w:rPr>
        <w:t>经费</w:t>
      </w:r>
      <w:r>
        <w:rPr>
          <w:rFonts w:ascii="仿宋_GB2312" w:hAnsi="仿宋_GB2312" w:eastAsia="仿宋_GB2312"/>
          <w:b w:val="0"/>
          <w:sz w:val="32"/>
        </w:rPr>
        <w:t>增加。</w:t>
      </w:r>
    </w:p>
    <w:p w14:paraId="705E5DC5">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95.91万元，比上年决算减少7.74万元，下降7.47%，主要原因是：本年在职人员减少，单位基本养老保险缴费较上年减少。</w:t>
      </w:r>
    </w:p>
    <w:p w14:paraId="5C6C929D">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108.14万元，比上年决算增加51.75万元，增长91.77%，主要原因是：本年新增在职转退休人员，职业年金缴费支出增加。</w:t>
      </w:r>
    </w:p>
    <w:p w14:paraId="525F237A">
      <w:pPr>
        <w:spacing w:line="580" w:lineRule="exact"/>
        <w:ind w:firstLine="640"/>
        <w:jc w:val="both"/>
      </w:pPr>
      <w:r>
        <w:rPr>
          <w:rFonts w:ascii="仿宋_GB2312" w:hAnsi="仿宋_GB2312" w:eastAsia="仿宋_GB2312"/>
          <w:b w:val="0"/>
          <w:sz w:val="32"/>
        </w:rPr>
        <w:t>6.卫生健康支出（类）行政事业单位医疗（款）行政单位医疗（项）：支出决算数为44.99万元，比上年决算减少3.01万元，下降6.27%，主要原因是：本年在职人员减少，行政单位医疗支出较上年减少。</w:t>
      </w:r>
    </w:p>
    <w:p w14:paraId="3A8EB382">
      <w:pPr>
        <w:spacing w:line="580" w:lineRule="exact"/>
        <w:ind w:firstLine="640"/>
        <w:jc w:val="both"/>
      </w:pPr>
      <w:r>
        <w:rPr>
          <w:rFonts w:ascii="仿宋_GB2312" w:hAnsi="仿宋_GB2312" w:eastAsia="仿宋_GB2312"/>
          <w:b w:val="0"/>
          <w:sz w:val="32"/>
        </w:rPr>
        <w:t>7.卫生健康支出（类）行政事业单位医疗（款）事业单位医疗（项）：支出决算数为0.56万元，比上年决算增加0.56万元，增长100.00%，主要原因是：按照机构改革要求，塔管局与原塔里木河流域水政监察分队并账，导致事业单位医疗增加。</w:t>
      </w:r>
    </w:p>
    <w:p w14:paraId="02B960CF">
      <w:pPr>
        <w:spacing w:line="580" w:lineRule="exact"/>
        <w:ind w:firstLine="640"/>
        <w:jc w:val="both"/>
      </w:pPr>
      <w:r>
        <w:rPr>
          <w:rFonts w:ascii="仿宋_GB2312" w:hAnsi="仿宋_GB2312" w:eastAsia="仿宋_GB2312"/>
          <w:b w:val="0"/>
          <w:sz w:val="32"/>
        </w:rPr>
        <w:t>8.卫生健康支出（类）行政事业单位医疗（款）公务员医疗补助（项）：支出决算数为24.87万元，比上年决算增加1.78万元，增长7.71%，主要原因是：本年在职人员工资基数调增，医疗缴费基数上涨，相应支出增加。</w:t>
      </w:r>
    </w:p>
    <w:p w14:paraId="1C375795">
      <w:pPr>
        <w:spacing w:line="580" w:lineRule="exact"/>
        <w:ind w:firstLine="640"/>
        <w:jc w:val="both"/>
      </w:pPr>
      <w:r>
        <w:rPr>
          <w:rFonts w:ascii="仿宋_GB2312" w:hAnsi="仿宋_GB2312" w:eastAsia="仿宋_GB2312"/>
          <w:b w:val="0"/>
          <w:sz w:val="32"/>
        </w:rPr>
        <w:t>9.农林水支出（类）水利（款）行政运行（项）：支出决算数为1,050.93万元，比上年决算增加44.41万元，增长4.41%，主要原因是：本年在职人员工资调增，导致相关人员经费较上年有所增加。</w:t>
      </w:r>
    </w:p>
    <w:p w14:paraId="16E725D9">
      <w:pPr>
        <w:spacing w:line="580" w:lineRule="exact"/>
        <w:ind w:firstLine="640"/>
        <w:jc w:val="both"/>
      </w:pPr>
      <w:r>
        <w:rPr>
          <w:rFonts w:ascii="仿宋_GB2312" w:hAnsi="仿宋_GB2312" w:eastAsia="仿宋_GB2312"/>
          <w:b w:val="0"/>
          <w:sz w:val="32"/>
        </w:rPr>
        <w:t>10.农林水支出（类）水利（款）水利工程建设（项）：支出决算数为0.00万元，比上年决算减少22,112.76万元，下降100.00%，主要原因是：本年减少大石峡水利枢纽工程项目资金。</w:t>
      </w:r>
    </w:p>
    <w:p w14:paraId="74A724CB">
      <w:pPr>
        <w:spacing w:line="580" w:lineRule="exact"/>
        <w:ind w:firstLine="640"/>
        <w:jc w:val="both"/>
      </w:pPr>
      <w:r>
        <w:rPr>
          <w:rFonts w:ascii="仿宋_GB2312" w:hAnsi="仿宋_GB2312" w:eastAsia="仿宋_GB2312"/>
          <w:b w:val="0"/>
          <w:sz w:val="32"/>
        </w:rPr>
        <w:t>11.农林水支出（类）水利（款）水利工程运行与维护（项）：支出决算数为11.37万元，比上年决算减少34.63万元，下降75.28%，主要原因是：本年大石峡建管中心作为单独预算单位填报决算，未与塔管局合并填列，造成大石峡水利枢纽水利工程运行与维护项目资金减少。</w:t>
      </w:r>
    </w:p>
    <w:p w14:paraId="26A688F4">
      <w:pPr>
        <w:spacing w:line="580" w:lineRule="exact"/>
        <w:ind w:firstLine="640"/>
        <w:jc w:val="both"/>
      </w:pPr>
      <w:r>
        <w:rPr>
          <w:rFonts w:ascii="仿宋_GB2312" w:hAnsi="仿宋_GB2312" w:eastAsia="仿宋_GB2312"/>
          <w:b w:val="0"/>
          <w:sz w:val="32"/>
        </w:rPr>
        <w:t>12.农林水支出（类）水利（款）水利执法监督（项）：支出决算数为14.90万元，比上年决算增加14.90万元，增长100.00%，主要原因是：按照机构改革要求，塔管局与原塔里木河流域水政监察分队并账，导致水利监督</w:t>
      </w:r>
      <w:r>
        <w:rPr>
          <w:rFonts w:hint="eastAsia" w:ascii="仿宋_GB2312" w:hAnsi="仿宋_GB2312" w:eastAsia="仿宋_GB2312"/>
          <w:b w:val="0"/>
          <w:sz w:val="32"/>
          <w:lang w:val="en-US" w:eastAsia="zh-CN"/>
        </w:rPr>
        <w:t>经费</w:t>
      </w:r>
      <w:r>
        <w:rPr>
          <w:rFonts w:ascii="仿宋_GB2312" w:hAnsi="仿宋_GB2312" w:eastAsia="仿宋_GB2312"/>
          <w:b w:val="0"/>
          <w:sz w:val="32"/>
        </w:rPr>
        <w:t>增加。</w:t>
      </w:r>
    </w:p>
    <w:p w14:paraId="1F3ACD79">
      <w:pPr>
        <w:spacing w:line="580" w:lineRule="exact"/>
        <w:ind w:firstLine="640"/>
        <w:jc w:val="both"/>
      </w:pPr>
      <w:r>
        <w:rPr>
          <w:rFonts w:ascii="仿宋_GB2312" w:hAnsi="仿宋_GB2312" w:eastAsia="仿宋_GB2312"/>
          <w:b w:val="0"/>
          <w:sz w:val="32"/>
        </w:rPr>
        <w:t>13.农林水支出（类）水利（款）水资源节约管理与保护（项）：支出决算数为1,087.00万元，比上年决算增加563.00万元，增长107.44%，主要原因是：本年增加自治区2025年水利转移支付资金。</w:t>
      </w:r>
    </w:p>
    <w:p w14:paraId="07B1DEAB">
      <w:pPr>
        <w:spacing w:line="580" w:lineRule="exact"/>
        <w:ind w:firstLine="640"/>
        <w:jc w:val="both"/>
      </w:pPr>
      <w:r>
        <w:rPr>
          <w:rFonts w:ascii="仿宋_GB2312" w:hAnsi="仿宋_GB2312" w:eastAsia="仿宋_GB2312"/>
          <w:b w:val="0"/>
          <w:sz w:val="32"/>
        </w:rPr>
        <w:t>14.农林水支出（类）水利（款）防汛（项）：支出决算数为30.00万元，比上年决算减少150.00万元，下降83.33%，主要原因是：本年减少防汛农业防灾减灾和水利救灾资金项目经费。</w:t>
      </w:r>
    </w:p>
    <w:p w14:paraId="1E8332AF">
      <w:pPr>
        <w:spacing w:line="580" w:lineRule="exact"/>
        <w:ind w:firstLine="640"/>
        <w:jc w:val="both"/>
      </w:pPr>
      <w:r>
        <w:rPr>
          <w:rFonts w:ascii="仿宋_GB2312" w:hAnsi="仿宋_GB2312" w:eastAsia="仿宋_GB2312"/>
          <w:b w:val="0"/>
          <w:sz w:val="32"/>
        </w:rPr>
        <w:t>15.住房保障支出（类）住房改革支出（款）住房公积金（项）：支出决算数为77.87万元，比上年决算减少1.55万元，下降1.95%，主要原因是：本年在职人员减少，住房公积金缴费较上年减少。</w:t>
      </w:r>
    </w:p>
    <w:p w14:paraId="1CC32483">
      <w:pPr>
        <w:spacing w:line="640" w:lineRule="exact"/>
        <w:ind w:firstLine="640"/>
        <w:jc w:val="both"/>
        <w:outlineLvl w:val="2"/>
      </w:pPr>
      <w:r>
        <w:rPr>
          <w:rFonts w:ascii="黑体" w:hAnsi="黑体" w:eastAsia="黑体"/>
          <w:sz w:val="32"/>
        </w:rPr>
        <w:t>六、一般公共预算财政拨款基本支出决算情况说明</w:t>
      </w:r>
    </w:p>
    <w:p w14:paraId="236F12D1">
      <w:pPr>
        <w:spacing w:line="580" w:lineRule="exact"/>
        <w:ind w:firstLine="640"/>
        <w:jc w:val="both"/>
      </w:pPr>
      <w:r>
        <w:rPr>
          <w:rFonts w:ascii="仿宋_GB2312" w:hAnsi="仿宋_GB2312" w:eastAsia="仿宋_GB2312"/>
          <w:b w:val="0"/>
          <w:sz w:val="32"/>
        </w:rPr>
        <w:t>2025年度一般公共预算财政拨款基本支出1,549.71万元，其中：</w:t>
      </w:r>
      <w:r>
        <w:rPr>
          <w:rFonts w:ascii="仿宋_GB2312" w:hAnsi="仿宋_GB2312" w:eastAsia="仿宋_GB2312"/>
          <w:b/>
          <w:sz w:val="32"/>
        </w:rPr>
        <w:t>人员经费1,348.32万元，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奖励金、其他对个人和家庭的补助。</w:t>
      </w:r>
    </w:p>
    <w:p w14:paraId="649CC0AC">
      <w:pPr>
        <w:spacing w:line="580" w:lineRule="exact"/>
        <w:ind w:firstLine="640"/>
        <w:jc w:val="both"/>
      </w:pPr>
      <w:r>
        <w:rPr>
          <w:rFonts w:ascii="仿宋_GB2312" w:hAnsi="仿宋_GB2312" w:eastAsia="仿宋_GB2312"/>
          <w:b/>
          <w:sz w:val="32"/>
        </w:rPr>
        <w:t>公用经费201.39万元，</w:t>
      </w:r>
      <w:r>
        <w:rPr>
          <w:rFonts w:ascii="仿宋_GB2312" w:hAnsi="仿宋_GB2312" w:eastAsia="仿宋_GB2312"/>
          <w:b w:val="0"/>
          <w:sz w:val="32"/>
        </w:rPr>
        <w:t>包括：办公费、水费、电费、邮电费、取暖费、差旅费、公务接待费、工会经费、福利费、公务用车运行维护费、其他商品和服务支出。</w:t>
      </w:r>
    </w:p>
    <w:p w14:paraId="172ACA8E">
      <w:pPr>
        <w:spacing w:line="640" w:lineRule="exact"/>
        <w:ind w:firstLine="640"/>
        <w:jc w:val="both"/>
        <w:outlineLvl w:val="2"/>
      </w:pPr>
      <w:r>
        <w:rPr>
          <w:rFonts w:ascii="黑体" w:hAnsi="黑体" w:eastAsia="黑体"/>
          <w:sz w:val="32"/>
        </w:rPr>
        <w:t>七、政府性基金预算财政拨款收入支出决算情况说明</w:t>
      </w:r>
    </w:p>
    <w:p w14:paraId="1954380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7DD373E">
      <w:pPr>
        <w:spacing w:line="640" w:lineRule="exact"/>
        <w:ind w:firstLine="640"/>
        <w:jc w:val="both"/>
        <w:outlineLvl w:val="2"/>
      </w:pPr>
      <w:r>
        <w:rPr>
          <w:rFonts w:ascii="黑体" w:hAnsi="黑体" w:eastAsia="黑体"/>
          <w:sz w:val="32"/>
        </w:rPr>
        <w:t>八、国有资本经营预算财政拨款收入支出决算情况说明</w:t>
      </w:r>
    </w:p>
    <w:p w14:paraId="034C558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9634CDC">
      <w:pPr>
        <w:spacing w:line="640" w:lineRule="exact"/>
        <w:ind w:firstLine="640"/>
        <w:jc w:val="both"/>
        <w:outlineLvl w:val="2"/>
      </w:pPr>
      <w:r>
        <w:rPr>
          <w:rFonts w:ascii="黑体" w:hAnsi="黑体" w:eastAsia="黑体"/>
          <w:sz w:val="32"/>
        </w:rPr>
        <w:t>九、财政拨款“三公”经费支出决算情况说明</w:t>
      </w:r>
    </w:p>
    <w:p w14:paraId="37033CF3">
      <w:pPr>
        <w:spacing w:line="580" w:lineRule="exact"/>
        <w:ind w:firstLine="640"/>
        <w:jc w:val="both"/>
      </w:pPr>
      <w:r>
        <w:rPr>
          <w:rFonts w:ascii="仿宋_GB2312" w:hAnsi="仿宋_GB2312" w:eastAsia="仿宋_GB2312"/>
          <w:b/>
          <w:sz w:val="32"/>
        </w:rPr>
        <w:t>2025年度财政拨款“三公”经费支出16.00万元，</w:t>
      </w:r>
      <w:r>
        <w:rPr>
          <w:rFonts w:ascii="仿宋_GB2312" w:hAnsi="仿宋_GB2312" w:eastAsia="仿宋_GB2312"/>
          <w:b w:val="0"/>
          <w:sz w:val="32"/>
        </w:rPr>
        <w:t>比上年增加0.00万元，增长0.00%，主要原因是：本单位财政拨款“三公”经费与上年一致无变化。其中：因公出国（境）费用支出0.00万元，占0.00%，比上年增加0.00万元，增长0.00%，主要原因是：2024年与2025年均无因公出国（境）费用支出。公务用车购置及运行维护费支出15.00万元，占93.75%，比上年增加0.00万元，增长0.00%，主要原因是：本单位公务用车购置及运行维护费与上年一致无变化。公务接待费支出1.00万元，占6.25%，比上年增加0.00万元，增长0.00%，主要原因是：本单位公务接待费与上年一致无变化。</w:t>
      </w:r>
    </w:p>
    <w:p w14:paraId="05D6A384">
      <w:pPr>
        <w:spacing w:line="580" w:lineRule="exact"/>
        <w:ind w:firstLine="640"/>
        <w:jc w:val="both"/>
      </w:pPr>
      <w:r>
        <w:rPr>
          <w:rFonts w:ascii="仿宋_GB2312" w:hAnsi="仿宋_GB2312" w:eastAsia="仿宋_GB2312"/>
          <w:b/>
          <w:sz w:val="32"/>
        </w:rPr>
        <w:t>具体情况如下：</w:t>
      </w:r>
    </w:p>
    <w:p w14:paraId="43CF20AF">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4DEF9E8E">
      <w:pPr>
        <w:spacing w:line="580" w:lineRule="exact"/>
        <w:ind w:firstLine="640"/>
        <w:jc w:val="both"/>
      </w:pPr>
      <w:r>
        <w:rPr>
          <w:rFonts w:ascii="仿宋_GB2312" w:hAnsi="仿宋_GB2312" w:eastAsia="仿宋_GB2312"/>
          <w:b w:val="0"/>
          <w:sz w:val="32"/>
        </w:rPr>
        <w:t>公务用车购置及运行维护费15.00万元，其中：公务用车购置费0.00万元，公务用车运行维护费15.00万元。公务用车运行维护费开支内容包括车辆加油费、维修费、保险费、审车费、过路费等。公务用车购置数0辆，公务用车保有量35辆。国有资产占用情况中固定资产车辆45辆，与公务用车保有量差异原因是：本单位车辆借给其他单位使用，车辆费用由使用单位支付。</w:t>
      </w:r>
    </w:p>
    <w:p w14:paraId="022D30A1">
      <w:pPr>
        <w:spacing w:line="580" w:lineRule="exact"/>
        <w:ind w:firstLine="640"/>
        <w:jc w:val="both"/>
      </w:pPr>
      <w:r>
        <w:rPr>
          <w:rFonts w:ascii="仿宋_GB2312" w:hAnsi="仿宋_GB2312" w:eastAsia="仿宋_GB2312"/>
          <w:b w:val="0"/>
          <w:sz w:val="32"/>
        </w:rPr>
        <w:t>公务接待费1.00万元，开支内容包括</w:t>
      </w:r>
      <w:r>
        <w:rPr>
          <w:rFonts w:hint="eastAsia" w:ascii="仿宋_GB2312" w:hAnsi="仿宋_GB2312" w:eastAsia="仿宋_GB2312"/>
          <w:b w:val="0"/>
          <w:sz w:val="32"/>
          <w:lang w:val="en-US" w:eastAsia="zh-CN"/>
        </w:rPr>
        <w:t>因检查工作，</w:t>
      </w:r>
      <w:r>
        <w:rPr>
          <w:rFonts w:ascii="仿宋_GB2312" w:hAnsi="仿宋_GB2312" w:eastAsia="仿宋_GB2312"/>
          <w:b w:val="0"/>
          <w:sz w:val="32"/>
        </w:rPr>
        <w:t>接待上级领导等人员支出的公务接待餐费。单位全年安排的国内公务接待9批次，82人次。</w:t>
      </w:r>
    </w:p>
    <w:p w14:paraId="763710F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16.00万元，决算数16.00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15.00万元，决算数15.00万元，预决算差异率0.00%，主要原因是：严格按照预算执行，预决算无差异。公务接待费全年预算数1.00万元，决算数1.00万元，预决算差异率0.00%，主要原因是：严格按照预算执行，预决算无差异。</w:t>
      </w:r>
    </w:p>
    <w:p w14:paraId="0B43FCE4">
      <w:pPr>
        <w:spacing w:line="640" w:lineRule="exact"/>
        <w:ind w:firstLine="640"/>
        <w:jc w:val="both"/>
        <w:outlineLvl w:val="2"/>
      </w:pPr>
      <w:r>
        <w:rPr>
          <w:rFonts w:ascii="黑体" w:hAnsi="黑体" w:eastAsia="黑体"/>
          <w:sz w:val="32"/>
        </w:rPr>
        <w:t>十、其他重要事项的情况说明</w:t>
      </w:r>
    </w:p>
    <w:p w14:paraId="3FA1B33D">
      <w:pPr>
        <w:spacing w:line="640" w:lineRule="exact"/>
        <w:ind w:firstLine="640"/>
        <w:jc w:val="both"/>
        <w:outlineLvl w:val="3"/>
      </w:pPr>
      <w:r>
        <w:rPr>
          <w:rFonts w:ascii="楷体_GB2312" w:hAnsi="楷体_GB2312" w:eastAsia="楷体_GB2312"/>
          <w:b/>
          <w:sz w:val="32"/>
        </w:rPr>
        <w:t>（一）机关运行经费及公用经费支出情况</w:t>
      </w:r>
    </w:p>
    <w:p w14:paraId="53D25B0F">
      <w:pPr>
        <w:spacing w:line="580" w:lineRule="exact"/>
        <w:ind w:firstLine="640"/>
        <w:jc w:val="both"/>
      </w:pPr>
      <w:r>
        <w:rPr>
          <w:rFonts w:ascii="仿宋_GB2312" w:hAnsi="仿宋_GB2312" w:eastAsia="仿宋_GB2312"/>
          <w:b w:val="0"/>
          <w:sz w:val="32"/>
        </w:rPr>
        <w:t>2025年度新疆维吾尔自治区塔里木河流域管理局（本级）（事业单位）公用经费支出201.39万元，比上年减少0.83万元，下降0.41%，主要原因是：本年严控经费支出，厉行节约，减少公用经费支出。</w:t>
      </w:r>
    </w:p>
    <w:p w14:paraId="15906AB7">
      <w:pPr>
        <w:spacing w:line="640" w:lineRule="exact"/>
        <w:ind w:firstLine="640"/>
        <w:jc w:val="both"/>
        <w:outlineLvl w:val="3"/>
      </w:pPr>
      <w:r>
        <w:rPr>
          <w:rFonts w:ascii="楷体_GB2312" w:hAnsi="楷体_GB2312" w:eastAsia="楷体_GB2312"/>
          <w:b/>
          <w:sz w:val="32"/>
        </w:rPr>
        <w:t>（二）政府采购情况</w:t>
      </w:r>
    </w:p>
    <w:p w14:paraId="2BE84323">
      <w:pPr>
        <w:spacing w:line="580" w:lineRule="exact"/>
        <w:ind w:firstLine="640"/>
        <w:jc w:val="both"/>
      </w:pPr>
      <w:r>
        <w:rPr>
          <w:rFonts w:ascii="仿宋_GB2312" w:hAnsi="仿宋_GB2312" w:eastAsia="仿宋_GB2312"/>
          <w:b w:val="0"/>
          <w:sz w:val="32"/>
        </w:rPr>
        <w:t>2025年度政府采购支出总额777.62万元，其中：政府采购货物支出96.58万元、政府采购工程支出0.00万元、政府采购服务支出681.05万元。</w:t>
      </w:r>
    </w:p>
    <w:p w14:paraId="3AF4685D">
      <w:pPr>
        <w:spacing w:line="580" w:lineRule="exact"/>
        <w:ind w:firstLine="640"/>
        <w:jc w:val="both"/>
      </w:pPr>
      <w:r>
        <w:rPr>
          <w:rFonts w:ascii="仿宋_GB2312" w:hAnsi="仿宋_GB2312" w:eastAsia="仿宋_GB2312"/>
          <w:b w:val="0"/>
          <w:sz w:val="32"/>
        </w:rPr>
        <w:t>授予中小企业合同金额777.62万元，占政府采购支出总额的100.00%，其中：授予小微企业合同金额736.67万元，占政府采购支出总额的94.73%。</w:t>
      </w:r>
    </w:p>
    <w:p w14:paraId="1F8DA9EB">
      <w:pPr>
        <w:spacing w:line="640" w:lineRule="exact"/>
        <w:ind w:firstLine="640"/>
        <w:jc w:val="both"/>
        <w:outlineLvl w:val="3"/>
      </w:pPr>
      <w:r>
        <w:rPr>
          <w:rFonts w:ascii="楷体_GB2312" w:hAnsi="楷体_GB2312" w:eastAsia="楷体_GB2312"/>
          <w:b/>
          <w:sz w:val="32"/>
        </w:rPr>
        <w:t>（三）国有资产占用情况说明</w:t>
      </w:r>
    </w:p>
    <w:p w14:paraId="30565D0C">
      <w:pPr>
        <w:spacing w:line="580" w:lineRule="exact"/>
        <w:ind w:firstLine="640"/>
        <w:jc w:val="both"/>
      </w:pPr>
      <w:r>
        <w:rPr>
          <w:rFonts w:ascii="仿宋_GB2312" w:hAnsi="仿宋_GB2312" w:eastAsia="仿宋_GB2312"/>
          <w:b w:val="0"/>
          <w:sz w:val="32"/>
        </w:rPr>
        <w:t>截至2025年12月31日，房屋29,810.87平方米，价值8,351.86万元。车辆45辆，价值1,163.54万元，其中：副部（省）级及以上领导用车0辆、主要负责人用车0辆、机要通信用车0辆、应急保障用车0辆、执法执勤用车0辆、特种专业技术用车1辆、离退休干部服务用车0辆、其他用车44辆，其他用车主要是：一般公务用车和单位业务用车。单价100万元（含）以上设备（不含车辆）10台（套）。</w:t>
      </w:r>
    </w:p>
    <w:p w14:paraId="3CCAA84A">
      <w:pPr>
        <w:spacing w:line="640" w:lineRule="exact"/>
        <w:ind w:firstLine="640"/>
        <w:jc w:val="both"/>
        <w:outlineLvl w:val="2"/>
      </w:pPr>
      <w:r>
        <w:rPr>
          <w:rFonts w:ascii="黑体" w:hAnsi="黑体" w:eastAsia="黑体"/>
          <w:sz w:val="32"/>
        </w:rPr>
        <w:t>十一、预算绩效的情况说明</w:t>
      </w:r>
    </w:p>
    <w:p w14:paraId="5A15F32F">
      <w:pPr>
        <w:spacing w:line="580" w:lineRule="exact"/>
        <w:ind w:firstLine="640"/>
        <w:jc w:val="both"/>
      </w:pPr>
      <w:r>
        <w:rPr>
          <w:rFonts w:ascii="仿宋_GB2312" w:hAnsi="仿宋_GB2312" w:eastAsia="仿宋_GB2312"/>
          <w:b w:val="0"/>
          <w:sz w:val="32"/>
        </w:rPr>
        <w:t>根据预算绩效管理要求，本单位预算绩效评价项目1个，全年预算数180.00万元，全年执行数180.00万元。预算绩效管理取得的成效：一是全面推进河湖治理和保护，水资源的节约、保护和管理工作，提高水资源开发利用效率，减少对水资源的浪费，推进依法行政、依法治水。二是应用先进的气象设备、成熟的技术手段，提供塔河流域月气候趋势分析预测专题报告、塔河流域重要天气过程，预测天气情况。三是督促流域内各地州、兵团师推进“一河两湖”（塔里木河、博斯腾湖、台特玛湖）河湖突出问题整治。发现的问题及原因：一是本单位预算绩效管理的深度和精度有待加强，预算精细化管理水平仍需进一步提升。二是部分项目绩效指标的设置与业务工作的结合度可以更高，量化程度和可考核性有待进一步提升。下一步改进措施：一是持续强化预算编制精准性、完整性、科学性，进一步细化项目预算测算，提升预算编制质量。二是加强与各处室沟通协调，强化对项目实施周期，实施条件的预判，做好项目前期准备工作。三是积极参加专项业务培训，通过实操演练、交流研讨提升专业能力。具体附项目支出绩效自评表。</w:t>
      </w:r>
    </w:p>
    <w:p w14:paraId="0DA473FE">
      <w:r>
        <w:br w:type="page"/>
      </w:r>
    </w:p>
    <w:p w14:paraId="51FEDC65">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20169500">
        <w:tblPrEx>
          <w:tblCellMar>
            <w:top w:w="36" w:type="dxa"/>
            <w:left w:w="36" w:type="dxa"/>
            <w:bottom w:w="36" w:type="dxa"/>
            <w:right w:w="36" w:type="dxa"/>
          </w:tblCellMar>
        </w:tblPrEx>
        <w:trPr>
          <w:trHeight w:val="405" w:hRule="atLeast"/>
        </w:trPr>
        <w:tc>
          <w:tcPr>
            <w:tcW w:w="830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3D919C8">
            <w:pPr>
              <w:spacing w:before="0" w:after="0" w:line="240" w:lineRule="auto"/>
              <w:jc w:val="center"/>
            </w:pPr>
            <w:r>
              <w:rPr>
                <w:rFonts w:ascii="宋体" w:hAnsi="宋体" w:eastAsia="宋体"/>
                <w:b/>
                <w:i w:val="0"/>
                <w:sz w:val="32"/>
              </w:rPr>
              <w:t>项目支出绩效自评表</w:t>
            </w:r>
          </w:p>
        </w:tc>
      </w:tr>
      <w:tr w14:paraId="24BA116E">
        <w:tblPrEx>
          <w:tblCellMar>
            <w:top w:w="36" w:type="dxa"/>
            <w:left w:w="36" w:type="dxa"/>
            <w:bottom w:w="36" w:type="dxa"/>
            <w:right w:w="36" w:type="dxa"/>
          </w:tblCellMar>
        </w:tblPrEx>
        <w:trPr>
          <w:trHeight w:val="380" w:hRule="atLeast"/>
        </w:trPr>
        <w:tc>
          <w:tcPr>
            <w:tcW w:w="830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CC7F7C7">
            <w:pPr>
              <w:spacing w:before="0" w:after="0" w:line="240" w:lineRule="auto"/>
              <w:jc w:val="center"/>
            </w:pPr>
            <w:r>
              <w:rPr>
                <w:rFonts w:ascii="宋体" w:hAnsi="宋体" w:eastAsia="宋体"/>
                <w:b w:val="0"/>
                <w:i w:val="0"/>
                <w:sz w:val="22"/>
              </w:rPr>
              <w:t>(2025年度)</w:t>
            </w:r>
          </w:p>
        </w:tc>
      </w:tr>
      <w:tr w14:paraId="66462A3C">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34958">
            <w:pPr>
              <w:spacing w:before="0" w:after="0" w:line="240" w:lineRule="auto"/>
              <w:jc w:val="center"/>
            </w:pPr>
            <w:r>
              <w:rPr>
                <w:rFonts w:ascii="宋体" w:hAnsi="宋体" w:eastAsia="宋体"/>
                <w:b/>
                <w:i w:val="0"/>
                <w:sz w:val="18"/>
              </w:rPr>
              <w:t>项目名称</w:t>
            </w:r>
          </w:p>
        </w:tc>
        <w:tc>
          <w:tcPr>
            <w:tcW w:w="7461"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0B2A428F">
            <w:pPr>
              <w:spacing w:before="0" w:after="0" w:line="240" w:lineRule="auto"/>
              <w:jc w:val="center"/>
            </w:pPr>
            <w:r>
              <w:rPr>
                <w:rFonts w:ascii="宋体" w:hAnsi="宋体" w:eastAsia="宋体"/>
                <w:b w:val="0"/>
                <w:i w:val="0"/>
                <w:sz w:val="18"/>
              </w:rPr>
              <w:t>自治区水利发展专项</w:t>
            </w:r>
          </w:p>
        </w:tc>
      </w:tr>
      <w:tr w14:paraId="4A7CD1FA">
        <w:tblPrEx>
          <w:tblCellMar>
            <w:top w:w="36" w:type="dxa"/>
            <w:left w:w="36" w:type="dxa"/>
            <w:bottom w:w="36" w:type="dxa"/>
            <w:right w:w="36" w:type="dxa"/>
          </w:tblCellMar>
        </w:tblPrEx>
        <w:trPr>
          <w:trHeight w:val="380" w:hRule="atLeast"/>
        </w:trPr>
        <w:tc>
          <w:tcPr>
            <w:tcW w:w="8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4DA87">
            <w:pPr>
              <w:spacing w:before="0" w:after="0" w:line="240" w:lineRule="auto"/>
              <w:jc w:val="center"/>
            </w:pPr>
            <w:r>
              <w:rPr>
                <w:rFonts w:ascii="宋体" w:hAnsi="宋体" w:eastAsia="宋体"/>
                <w:b/>
                <w:i w:val="0"/>
                <w:sz w:val="18"/>
              </w:rPr>
              <w:t>主管部门</w:t>
            </w:r>
          </w:p>
        </w:tc>
        <w:tc>
          <w:tcPr>
            <w:tcW w:w="282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952166">
            <w:pPr>
              <w:spacing w:before="0" w:after="0" w:line="240" w:lineRule="auto"/>
              <w:jc w:val="center"/>
            </w:pPr>
            <w:r>
              <w:rPr>
                <w:rFonts w:ascii="宋体" w:hAnsi="宋体" w:eastAsia="宋体"/>
                <w:b w:val="0"/>
                <w:i w:val="0"/>
                <w:sz w:val="18"/>
              </w:rPr>
              <w:t>新疆维吾尔自治区水利厅</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55E5E">
            <w:pPr>
              <w:spacing w:before="0" w:after="0" w:line="240" w:lineRule="auto"/>
              <w:jc w:val="center"/>
            </w:pPr>
            <w:r>
              <w:rPr>
                <w:rFonts w:ascii="宋体" w:hAnsi="宋体" w:eastAsia="宋体"/>
                <w:b/>
                <w:i w:val="0"/>
                <w:sz w:val="18"/>
              </w:rPr>
              <w:t>实施单位</w:t>
            </w:r>
          </w:p>
        </w:tc>
        <w:tc>
          <w:tcPr>
            <w:tcW w:w="364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523406">
            <w:pPr>
              <w:spacing w:before="0" w:after="0" w:line="240" w:lineRule="auto"/>
              <w:jc w:val="center"/>
            </w:pPr>
            <w:r>
              <w:rPr>
                <w:rFonts w:ascii="宋体" w:hAnsi="宋体" w:eastAsia="宋体"/>
                <w:b w:val="0"/>
                <w:i w:val="0"/>
                <w:sz w:val="18"/>
              </w:rPr>
              <w:t>新疆维吾尔自治区塔里木河流域管理局机关</w:t>
            </w:r>
          </w:p>
        </w:tc>
      </w:tr>
      <w:tr w14:paraId="2FC06CE5">
        <w:tblPrEx>
          <w:tblCellMar>
            <w:top w:w="36" w:type="dxa"/>
            <w:left w:w="36" w:type="dxa"/>
            <w:bottom w:w="36" w:type="dxa"/>
            <w:right w:w="36" w:type="dxa"/>
          </w:tblCellMar>
        </w:tblPrEx>
        <w:trPr>
          <w:trHeight w:val="380" w:hRule="atLeast"/>
        </w:trPr>
        <w:tc>
          <w:tcPr>
            <w:tcW w:w="845"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0DF7DD">
            <w:pPr>
              <w:spacing w:before="0" w:after="0" w:line="240" w:lineRule="auto"/>
              <w:jc w:val="center"/>
            </w:pPr>
            <w:r>
              <w:rPr>
                <w:rFonts w:ascii="宋体" w:hAnsi="宋体" w:eastAsia="宋体"/>
                <w:b/>
                <w:i w:val="0"/>
                <w:sz w:val="18"/>
              </w:rPr>
              <w:t>项目资金
（万元）</w:t>
            </w:r>
          </w:p>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A50C6">
            <w:pPr>
              <w:spacing w:before="0" w:after="0" w:line="240" w:lineRule="auto"/>
              <w:jc w:val="center"/>
            </w:pP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CF5A338">
            <w:pPr>
              <w:spacing w:before="0" w:after="0" w:line="240" w:lineRule="auto"/>
              <w:jc w:val="center"/>
            </w:pPr>
            <w:r>
              <w:rPr>
                <w:rFonts w:ascii="宋体" w:hAnsi="宋体" w:eastAsia="宋体"/>
                <w:b/>
                <w:i w:val="0"/>
                <w:sz w:val="18"/>
              </w:rPr>
              <w:t>年初预算数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258F8">
            <w:pPr>
              <w:spacing w:before="0" w:after="0" w:line="240" w:lineRule="auto"/>
              <w:jc w:val="center"/>
            </w:pPr>
            <w:r>
              <w:rPr>
                <w:rFonts w:ascii="宋体" w:hAnsi="宋体" w:eastAsia="宋体"/>
                <w:b/>
                <w:i w:val="0"/>
                <w:sz w:val="18"/>
              </w:rPr>
              <w:t>全年预算数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8D598">
            <w:pPr>
              <w:spacing w:before="0" w:after="0" w:line="240" w:lineRule="auto"/>
              <w:jc w:val="center"/>
            </w:pPr>
            <w:r>
              <w:rPr>
                <w:rFonts w:ascii="宋体" w:hAnsi="宋体" w:eastAsia="宋体"/>
                <w:b/>
                <w:i w:val="0"/>
                <w:sz w:val="18"/>
              </w:rPr>
              <w:t>全年执行数</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6C48F">
            <w:pPr>
              <w:spacing w:before="0" w:after="0" w:line="240" w:lineRule="auto"/>
              <w:jc w:val="center"/>
            </w:pPr>
            <w:r>
              <w:rPr>
                <w:rFonts w:ascii="宋体" w:hAnsi="宋体" w:eastAsia="宋体"/>
                <w:b/>
                <w:i w:val="0"/>
                <w:sz w:val="18"/>
              </w:rPr>
              <w:t>分值</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58DB2">
            <w:pPr>
              <w:spacing w:before="0" w:after="0" w:line="240" w:lineRule="auto"/>
              <w:jc w:val="center"/>
            </w:pPr>
            <w:r>
              <w:rPr>
                <w:rFonts w:ascii="宋体" w:hAnsi="宋体" w:eastAsia="宋体"/>
                <w:b/>
                <w:i w:val="0"/>
                <w:sz w:val="18"/>
              </w:rPr>
              <w:t>执行率</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2276E7A8">
            <w:pPr>
              <w:spacing w:before="0" w:after="0" w:line="240" w:lineRule="auto"/>
              <w:jc w:val="center"/>
            </w:pPr>
            <w:r>
              <w:rPr>
                <w:rFonts w:ascii="宋体" w:hAnsi="宋体" w:eastAsia="宋体"/>
                <w:b/>
                <w:i w:val="0"/>
                <w:sz w:val="18"/>
              </w:rPr>
              <w:t>得分</w:t>
            </w:r>
          </w:p>
        </w:tc>
      </w:tr>
      <w:tr w14:paraId="0CECC500">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7C5F722"/>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B0EBA">
            <w:pPr>
              <w:spacing w:before="0" w:after="0" w:line="240" w:lineRule="auto"/>
              <w:jc w:val="center"/>
            </w:pPr>
            <w:r>
              <w:rPr>
                <w:rFonts w:ascii="宋体" w:hAnsi="宋体" w:eastAsia="宋体"/>
                <w:b/>
                <w:i w:val="0"/>
                <w:sz w:val="18"/>
              </w:rPr>
              <w:t>年度资金总额</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A7081BB">
            <w:pPr>
              <w:spacing w:before="0" w:after="0" w:line="240" w:lineRule="auto"/>
              <w:jc w:val="center"/>
            </w:pPr>
            <w:r>
              <w:rPr>
                <w:rFonts w:ascii="宋体" w:hAnsi="宋体" w:eastAsia="宋体"/>
                <w:b w:val="0"/>
                <w:i w:val="0"/>
                <w:sz w:val="18"/>
              </w:rPr>
              <w:t>180.00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DD75A">
            <w:pPr>
              <w:spacing w:before="0" w:after="0" w:line="240" w:lineRule="auto"/>
              <w:jc w:val="center"/>
            </w:pPr>
            <w:r>
              <w:rPr>
                <w:rFonts w:ascii="宋体" w:hAnsi="宋体" w:eastAsia="宋体"/>
                <w:b w:val="0"/>
                <w:i w:val="0"/>
                <w:sz w:val="18"/>
              </w:rPr>
              <w:t>180.00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28B6D">
            <w:pPr>
              <w:spacing w:before="0" w:after="0" w:line="240" w:lineRule="auto"/>
              <w:jc w:val="center"/>
            </w:pPr>
            <w:r>
              <w:rPr>
                <w:rFonts w:ascii="宋体" w:hAnsi="宋体" w:eastAsia="宋体"/>
                <w:b w:val="0"/>
                <w:i w:val="0"/>
                <w:sz w:val="18"/>
              </w:rPr>
              <w:t>180.00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6B3E2">
            <w:pPr>
              <w:spacing w:before="0" w:after="0" w:line="240" w:lineRule="auto"/>
              <w:jc w:val="center"/>
            </w:pPr>
            <w:r>
              <w:rPr>
                <w:rFonts w:ascii="宋体" w:hAnsi="宋体" w:eastAsia="宋体"/>
                <w:b w:val="0"/>
                <w:i w:val="0"/>
                <w:sz w:val="18"/>
              </w:rPr>
              <w:t>10</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668D2">
            <w:pPr>
              <w:spacing w:before="0" w:after="0" w:line="240" w:lineRule="auto"/>
              <w:jc w:val="center"/>
            </w:pPr>
            <w:r>
              <w:rPr>
                <w:rFonts w:ascii="宋体" w:hAnsi="宋体" w:eastAsia="宋体"/>
                <w:b w:val="0"/>
                <w:i w:val="0"/>
                <w:sz w:val="18"/>
              </w:rPr>
              <w:t>100.00%</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5F648730">
            <w:pPr>
              <w:spacing w:before="0" w:after="0" w:line="240" w:lineRule="auto"/>
              <w:jc w:val="center"/>
            </w:pPr>
            <w:r>
              <w:rPr>
                <w:rFonts w:ascii="宋体" w:hAnsi="宋体" w:eastAsia="宋体"/>
                <w:b w:val="0"/>
                <w:i w:val="0"/>
                <w:sz w:val="18"/>
              </w:rPr>
              <w:t>10.00</w:t>
            </w:r>
          </w:p>
        </w:tc>
      </w:tr>
      <w:tr w14:paraId="45834505">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3A3D781"/>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2215E">
            <w:pPr>
              <w:spacing w:before="0" w:after="0" w:line="240" w:lineRule="auto"/>
              <w:jc w:val="center"/>
            </w:pPr>
            <w:r>
              <w:rPr>
                <w:rFonts w:ascii="宋体" w:hAnsi="宋体" w:eastAsia="宋体"/>
                <w:b/>
                <w:i w:val="0"/>
                <w:sz w:val="18"/>
              </w:rPr>
              <w:t>其中：当年财政拨款</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D26CF05">
            <w:pPr>
              <w:spacing w:before="0" w:after="0" w:line="240" w:lineRule="auto"/>
              <w:jc w:val="center"/>
            </w:pPr>
            <w:r>
              <w:rPr>
                <w:rFonts w:ascii="宋体" w:hAnsi="宋体" w:eastAsia="宋体"/>
                <w:b w:val="0"/>
                <w:i w:val="0"/>
                <w:sz w:val="18"/>
              </w:rPr>
              <w:t>180.00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3A462">
            <w:pPr>
              <w:spacing w:before="0" w:after="0" w:line="240" w:lineRule="auto"/>
              <w:jc w:val="center"/>
            </w:pPr>
            <w:r>
              <w:rPr>
                <w:rFonts w:ascii="宋体" w:hAnsi="宋体" w:eastAsia="宋体"/>
                <w:b w:val="0"/>
                <w:i w:val="0"/>
                <w:sz w:val="18"/>
              </w:rPr>
              <w:t>180.00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E808F">
            <w:pPr>
              <w:spacing w:before="0" w:after="0" w:line="240" w:lineRule="auto"/>
              <w:jc w:val="center"/>
            </w:pPr>
            <w:r>
              <w:rPr>
                <w:rFonts w:ascii="宋体" w:hAnsi="宋体" w:eastAsia="宋体"/>
                <w:b w:val="0"/>
                <w:i w:val="0"/>
                <w:sz w:val="18"/>
              </w:rPr>
              <w:t>180.00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83DBC">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D8DEA">
            <w:pPr>
              <w:spacing w:before="0" w:after="0" w:line="240" w:lineRule="auto"/>
              <w:jc w:val="center"/>
            </w:pPr>
            <w:r>
              <w:rPr>
                <w:rFonts w:ascii="宋体" w:hAnsi="宋体" w:eastAsia="宋体"/>
                <w:b w:val="0"/>
                <w:i w:val="0"/>
                <w:sz w:val="18"/>
              </w:rPr>
              <w:t>—</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33F0300B">
            <w:pPr>
              <w:spacing w:before="0" w:after="0" w:line="240" w:lineRule="auto"/>
              <w:jc w:val="center"/>
            </w:pPr>
            <w:r>
              <w:rPr>
                <w:rFonts w:ascii="宋体" w:hAnsi="宋体" w:eastAsia="宋体"/>
                <w:b w:val="0"/>
                <w:i w:val="0"/>
                <w:sz w:val="18"/>
              </w:rPr>
              <w:t>—</w:t>
            </w:r>
          </w:p>
        </w:tc>
      </w:tr>
      <w:tr w14:paraId="4B269785">
        <w:tblPrEx>
          <w:tblCellMar>
            <w:top w:w="36" w:type="dxa"/>
            <w:left w:w="36" w:type="dxa"/>
            <w:bottom w:w="36" w:type="dxa"/>
            <w:right w:w="36" w:type="dxa"/>
          </w:tblCellMar>
        </w:tblPrEx>
        <w:trPr>
          <w:trHeight w:val="380" w:hRule="atLeast"/>
        </w:trPr>
        <w:tc>
          <w:tcPr>
            <w:tcW w:w="8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959E4A9"/>
        </w:tc>
        <w:tc>
          <w:tcPr>
            <w:tcW w:w="12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830E5">
            <w:pPr>
              <w:spacing w:before="0" w:after="0" w:line="240" w:lineRule="auto"/>
              <w:jc w:val="center"/>
            </w:pPr>
            <w:r>
              <w:rPr>
                <w:rFonts w:ascii="宋体" w:hAnsi="宋体" w:eastAsia="宋体"/>
                <w:b/>
                <w:i w:val="0"/>
                <w:sz w:val="18"/>
              </w:rPr>
              <w:t>其他资金</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371E307">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1B0D2">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DE810">
            <w:pPr>
              <w:spacing w:before="0" w:after="0" w:line="240" w:lineRule="auto"/>
              <w:jc w:val="center"/>
            </w:pPr>
            <w:r>
              <w:rPr>
                <w:rFonts w:ascii="宋体" w:hAnsi="宋体" w:eastAsia="宋体"/>
                <w:b w:val="0"/>
                <w:i w:val="0"/>
                <w:sz w:val="18"/>
              </w:rPr>
              <w:t>0.00</w:t>
            </w:r>
          </w:p>
        </w:tc>
        <w:tc>
          <w:tcPr>
            <w:tcW w:w="98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354E3">
            <w:pPr>
              <w:spacing w:before="0" w:after="0" w:line="240" w:lineRule="auto"/>
              <w:jc w:val="center"/>
            </w:pPr>
            <w:r>
              <w:rPr>
                <w:rFonts w:ascii="宋体" w:hAnsi="宋体" w:eastAsia="宋体"/>
                <w:b w:val="0"/>
                <w:i w:val="0"/>
                <w:sz w:val="18"/>
              </w:rPr>
              <w:t>—</w:t>
            </w:r>
          </w:p>
        </w:tc>
        <w:tc>
          <w:tcPr>
            <w:tcW w:w="1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B5E32">
            <w:pPr>
              <w:spacing w:before="0" w:after="0" w:line="240" w:lineRule="auto"/>
              <w:jc w:val="center"/>
            </w:pPr>
            <w:r>
              <w:rPr>
                <w:rFonts w:ascii="宋体" w:hAnsi="宋体" w:eastAsia="宋体"/>
                <w:b w:val="0"/>
                <w:i w:val="0"/>
                <w:sz w:val="18"/>
              </w:rPr>
              <w:t>—</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5DA05BDC">
            <w:pPr>
              <w:spacing w:before="0" w:after="0" w:line="240" w:lineRule="auto"/>
              <w:jc w:val="center"/>
            </w:pPr>
            <w:r>
              <w:rPr>
                <w:rFonts w:ascii="宋体" w:hAnsi="宋体" w:eastAsia="宋体"/>
                <w:b w:val="0"/>
                <w:i w:val="0"/>
                <w:sz w:val="18"/>
              </w:rPr>
              <w:t>—</w:t>
            </w:r>
          </w:p>
        </w:tc>
      </w:tr>
      <w:tr w14:paraId="23DA769E">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1C8407">
            <w:pPr>
              <w:spacing w:before="0" w:after="0" w:line="240" w:lineRule="auto"/>
              <w:jc w:val="center"/>
            </w:pPr>
            <w:r>
              <w:rPr>
                <w:rFonts w:ascii="宋体" w:hAnsi="宋体" w:eastAsia="宋体"/>
                <w:b/>
                <w:i w:val="0"/>
                <w:sz w:val="18"/>
              </w:rPr>
              <w:t>年度总体目标</w:t>
            </w:r>
          </w:p>
        </w:tc>
        <w:tc>
          <w:tcPr>
            <w:tcW w:w="33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2B64E6">
            <w:pPr>
              <w:spacing w:before="0" w:after="0" w:line="240" w:lineRule="auto"/>
              <w:jc w:val="center"/>
            </w:pPr>
            <w:r>
              <w:rPr>
                <w:rFonts w:ascii="宋体" w:hAnsi="宋体" w:eastAsia="宋体"/>
                <w:b/>
                <w:i w:val="0"/>
                <w:sz w:val="18"/>
              </w:rPr>
              <w:t>预期目标</w:t>
            </w:r>
          </w:p>
        </w:tc>
        <w:tc>
          <w:tcPr>
            <w:tcW w:w="463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621480">
            <w:pPr>
              <w:spacing w:before="0" w:after="0" w:line="240" w:lineRule="auto"/>
              <w:jc w:val="center"/>
            </w:pPr>
            <w:r>
              <w:rPr>
                <w:rFonts w:ascii="宋体" w:hAnsi="宋体" w:eastAsia="宋体"/>
                <w:b/>
                <w:i w:val="0"/>
                <w:sz w:val="18"/>
              </w:rPr>
              <w:t>实际完成情况</w:t>
            </w:r>
          </w:p>
        </w:tc>
      </w:tr>
      <w:tr w14:paraId="5B6E0F92">
        <w:tblPrEx>
          <w:tblCellMar>
            <w:top w:w="36" w:type="dxa"/>
            <w:left w:w="36" w:type="dxa"/>
            <w:bottom w:w="36" w:type="dxa"/>
            <w:right w:w="36" w:type="dxa"/>
          </w:tblCellMar>
        </w:tblPrEx>
        <w:trPr>
          <w:trHeight w:val="70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1CC89D74"/>
        </w:tc>
        <w:tc>
          <w:tcPr>
            <w:tcW w:w="33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1F1F75">
            <w:pPr>
              <w:spacing w:before="0" w:after="0" w:line="240" w:lineRule="auto"/>
              <w:jc w:val="center"/>
            </w:pPr>
            <w:r>
              <w:rPr>
                <w:rFonts w:ascii="宋体" w:hAnsi="宋体" w:eastAsia="宋体"/>
                <w:b w:val="0"/>
                <w:i w:val="0"/>
                <w:sz w:val="18"/>
              </w:rPr>
              <w:t>全面推进河湖治理和保护，水资源的节约、保护和管理工作，提高水资源开发利用效率，减少对水资源的浪费，推进依法行政、依法治水。根据《关于自治区直属机关及企事业单位党组（党委）开展巡察工作的指导意见（试行）》（新党办发〔2021〕16号）及区直单位巡察工作座谈会精神，要求在十届自治区党委任期内，高质量实现对所属单位党组织巡察全覆盖；2025年塔河流域气候预测及冬季积雪卫星遥感监测服务，应用先进的气象设备、成熟的技术手段，提供塔河流域月气候趋势分析预测专题报告、塔河流域重要天气过程，预测天气情况。督促流域内各地州、兵团师推进“一河两湖”（塔里木河、博斯腾湖、台特玛湖）河湖突出问题整治。</w:t>
            </w:r>
          </w:p>
        </w:tc>
        <w:tc>
          <w:tcPr>
            <w:tcW w:w="463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6F6241">
            <w:pPr>
              <w:spacing w:before="0" w:after="0" w:line="240" w:lineRule="auto"/>
              <w:jc w:val="center"/>
            </w:pPr>
            <w:r>
              <w:rPr>
                <w:rFonts w:ascii="宋体" w:hAnsi="宋体" w:eastAsia="宋体"/>
                <w:b w:val="0"/>
                <w:i w:val="0"/>
                <w:sz w:val="18"/>
              </w:rPr>
              <w:t>2025年全面推进河湖治理和保护，水资源的节约、保护和管理工作，提高水资源开发利用效率，减少对水资源的浪费，推进依法行政、依法治水。在十届自治区党委任期内，高质量实现对所属单位党组织巡察全覆盖；2025年塔河流域气候预测及冬季积雪卫星遥感监测服务，应用先进的气象设备、成熟的技术手段，提供塔河流域月气候趋势分析预测专题报告、塔河流域重要天气过程，预测天气情况17期。督促流域内各地州、兵团师推进“一河两湖”（塔里木河、博斯腾湖、台特玛湖）河湖突出问题整治，自治区河湖长巡湖调研8次，完成质量监督5轮，将生态输水从塔里木河下游逐步向全流域扩展，进一步巩固和扩大了塔里木河流域近期治理成果。</w:t>
            </w:r>
          </w:p>
        </w:tc>
      </w:tr>
      <w:tr w14:paraId="5CCF8A09">
        <w:tblPrEx>
          <w:tblCellMar>
            <w:top w:w="36" w:type="dxa"/>
            <w:left w:w="36" w:type="dxa"/>
            <w:bottom w:w="36" w:type="dxa"/>
            <w:right w:w="36" w:type="dxa"/>
          </w:tblCellMar>
        </w:tblPrEx>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B7323C">
            <w:pPr>
              <w:spacing w:before="0" w:after="0" w:line="240" w:lineRule="auto"/>
              <w:jc w:val="center"/>
            </w:pP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66C551">
            <w:pPr>
              <w:spacing w:before="0" w:after="0" w:line="240" w:lineRule="auto"/>
              <w:jc w:val="center"/>
            </w:pPr>
            <w:r>
              <w:rPr>
                <w:rFonts w:ascii="宋体" w:hAnsi="宋体" w:eastAsia="宋体"/>
                <w:b/>
                <w:i w:val="0"/>
                <w:sz w:val="18"/>
              </w:rPr>
              <w:t>一级指标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4F251E">
            <w:pPr>
              <w:spacing w:before="0" w:after="0" w:line="240" w:lineRule="auto"/>
              <w:jc w:val="center"/>
            </w:pPr>
            <w:r>
              <w:rPr>
                <w:rFonts w:ascii="宋体" w:hAnsi="宋体" w:eastAsia="宋体"/>
                <w:b/>
                <w:i w:val="0"/>
                <w:sz w:val="18"/>
              </w:rPr>
              <w:t>二级指标</w:t>
            </w:r>
          </w:p>
        </w:tc>
        <w:tc>
          <w:tcPr>
            <w:tcW w:w="7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6401C5">
            <w:pPr>
              <w:spacing w:before="0" w:after="0" w:line="240" w:lineRule="auto"/>
              <w:jc w:val="center"/>
            </w:pPr>
            <w:r>
              <w:rPr>
                <w:rFonts w:ascii="宋体" w:hAnsi="宋体" w:eastAsia="宋体"/>
                <w:b/>
                <w:i w:val="0"/>
                <w:sz w:val="18"/>
              </w:rPr>
              <w:t>三级指标</w:t>
            </w:r>
          </w:p>
        </w:tc>
        <w:tc>
          <w:tcPr>
            <w:tcW w:w="56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A6467">
            <w:pPr>
              <w:spacing w:before="0" w:after="0" w:line="240" w:lineRule="auto"/>
              <w:jc w:val="center"/>
            </w:pPr>
            <w:r>
              <w:rPr>
                <w:rFonts w:ascii="宋体" w:hAnsi="宋体" w:eastAsia="宋体"/>
                <w:b/>
                <w:i w:val="0"/>
                <w:sz w:val="18"/>
              </w:rPr>
              <w:t>权重</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A7CA90">
            <w:pPr>
              <w:spacing w:before="0" w:after="0" w:line="240" w:lineRule="auto"/>
              <w:jc w:val="center"/>
            </w:pPr>
            <w:r>
              <w:rPr>
                <w:rFonts w:ascii="宋体" w:hAnsi="宋体" w:eastAsia="宋体"/>
                <w:b/>
                <w:i w:val="0"/>
                <w:sz w:val="18"/>
              </w:rPr>
              <w:t>目标值</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CD0105">
            <w:pPr>
              <w:spacing w:before="0" w:after="0" w:line="240" w:lineRule="auto"/>
              <w:jc w:val="center"/>
            </w:pPr>
            <w:r>
              <w:rPr>
                <w:rFonts w:ascii="宋体" w:hAnsi="宋体" w:eastAsia="宋体"/>
                <w:b/>
                <w:i w:val="0"/>
                <w:sz w:val="18"/>
              </w:rPr>
              <w:t>业绩值</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3D19E8">
            <w:pPr>
              <w:spacing w:before="0" w:after="0" w:line="240" w:lineRule="auto"/>
              <w:jc w:val="center"/>
            </w:pPr>
            <w:r>
              <w:rPr>
                <w:rFonts w:ascii="宋体" w:hAnsi="宋体" w:eastAsia="宋体"/>
                <w:b/>
                <w:i w:val="0"/>
                <w:sz w:val="18"/>
              </w:rPr>
              <w:t>完成率</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74694A">
            <w:pPr>
              <w:spacing w:before="0" w:after="0" w:line="240" w:lineRule="auto"/>
              <w:jc w:val="center"/>
            </w:pPr>
            <w:r>
              <w:rPr>
                <w:rFonts w:ascii="宋体" w:hAnsi="宋体" w:eastAsia="宋体"/>
                <w:b/>
                <w:i w:val="0"/>
                <w:sz w:val="18"/>
              </w:rPr>
              <w:t>指标得分</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8E613B">
            <w:pPr>
              <w:spacing w:before="0" w:after="0" w:line="240" w:lineRule="auto"/>
              <w:jc w:val="center"/>
            </w:pPr>
            <w:r>
              <w:rPr>
                <w:rFonts w:ascii="宋体" w:hAnsi="宋体" w:eastAsia="宋体"/>
                <w:b/>
                <w:i w:val="0"/>
                <w:sz w:val="18"/>
              </w:rPr>
              <w:t>指标值设定依据</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8CECAC">
            <w:pPr>
              <w:spacing w:before="0" w:after="0" w:line="240" w:lineRule="auto"/>
              <w:jc w:val="center"/>
            </w:pPr>
            <w:r>
              <w:rPr>
                <w:rFonts w:ascii="宋体" w:hAnsi="宋体" w:eastAsia="宋体"/>
                <w:b/>
                <w:i w:val="0"/>
                <w:sz w:val="18"/>
              </w:rPr>
              <w:t>上年完成情况</w:t>
            </w:r>
          </w:p>
        </w:tc>
        <w:tc>
          <w:tcPr>
            <w:tcW w:w="6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4720B9">
            <w:pPr>
              <w:spacing w:before="0" w:after="0" w:line="240" w:lineRule="auto"/>
              <w:jc w:val="center"/>
            </w:pPr>
            <w:r>
              <w:rPr>
                <w:rFonts w:ascii="宋体" w:hAnsi="宋体" w:eastAsia="宋体"/>
                <w:b/>
                <w:i w:val="0"/>
                <w:sz w:val="18"/>
              </w:rPr>
              <w:t>赋分规则</w:t>
            </w:r>
          </w:p>
        </w:tc>
        <w:tc>
          <w:tcPr>
            <w:tcW w:w="5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BE9A3E">
            <w:pPr>
              <w:spacing w:before="0" w:after="0" w:line="240" w:lineRule="auto"/>
              <w:jc w:val="center"/>
            </w:pPr>
            <w:r>
              <w:rPr>
                <w:rFonts w:ascii="宋体" w:hAnsi="宋体" w:eastAsia="宋体"/>
                <w:b/>
                <w:i w:val="0"/>
                <w:sz w:val="18"/>
              </w:rPr>
              <w:t>佐证资料</w:t>
            </w:r>
          </w:p>
        </w:tc>
        <w:tc>
          <w:tcPr>
            <w:tcW w:w="13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4840C9">
            <w:pPr>
              <w:spacing w:before="0" w:after="0" w:line="240" w:lineRule="auto"/>
              <w:jc w:val="center"/>
            </w:pPr>
            <w:r>
              <w:rPr>
                <w:rFonts w:ascii="宋体" w:hAnsi="宋体" w:eastAsia="宋体"/>
                <w:b/>
                <w:i w:val="0"/>
                <w:sz w:val="18"/>
              </w:rPr>
              <w:t>偏差原因分析及改进措施</w:t>
            </w:r>
          </w:p>
        </w:tc>
      </w:tr>
      <w:tr w14:paraId="639CA7FD">
        <w:tblPrEx>
          <w:tblCellMar>
            <w:top w:w="36" w:type="dxa"/>
            <w:left w:w="36" w:type="dxa"/>
            <w:bottom w:w="36" w:type="dxa"/>
            <w:right w:w="36" w:type="dxa"/>
          </w:tblCellMar>
        </w:tblPrEx>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58D35C90"/>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44A86B4D"/>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791D3C34"/>
        </w:tc>
        <w:tc>
          <w:tcPr>
            <w:tcW w:w="788" w:type="dxa"/>
            <w:vMerge w:val="continue"/>
            <w:tcBorders>
              <w:top w:val="single" w:color="auto" w:sz="10" w:space="0"/>
              <w:left w:val="single" w:color="auto" w:sz="10" w:space="0"/>
              <w:bottom w:val="single" w:color="auto" w:sz="10" w:space="0"/>
              <w:right w:val="single" w:color="auto" w:sz="10" w:space="0"/>
              <w:insideV w:val="single" w:sz="10" w:space="0"/>
            </w:tcBorders>
          </w:tcPr>
          <w:p w14:paraId="68EF699C"/>
        </w:tc>
        <w:tc>
          <w:tcPr>
            <w:tcW w:w="560" w:type="dxa"/>
            <w:vMerge w:val="continue"/>
            <w:tcBorders>
              <w:top w:val="single" w:color="auto" w:sz="10" w:space="0"/>
              <w:left w:val="single" w:color="auto" w:sz="10" w:space="0"/>
              <w:bottom w:val="single" w:color="auto" w:sz="10" w:space="0"/>
              <w:right w:val="single" w:color="auto" w:sz="10" w:space="0"/>
              <w:insideV w:val="single" w:sz="10" w:space="0"/>
            </w:tcBorders>
          </w:tcPr>
          <w:p w14:paraId="0FF72E57"/>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6CD333C"/>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6FC60B1"/>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A2A95A5"/>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060CE4A0"/>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1AC05F6"/>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0477C09E"/>
        </w:tc>
        <w:tc>
          <w:tcPr>
            <w:tcW w:w="674" w:type="dxa"/>
            <w:vMerge w:val="continue"/>
            <w:tcBorders>
              <w:top w:val="single" w:color="auto" w:sz="10" w:space="0"/>
              <w:left w:val="single" w:color="auto" w:sz="10" w:space="0"/>
              <w:bottom w:val="single" w:color="auto" w:sz="10" w:space="0"/>
              <w:right w:val="single" w:color="auto" w:sz="10" w:space="0"/>
              <w:insideV w:val="single" w:sz="10" w:space="0"/>
            </w:tcBorders>
          </w:tcPr>
          <w:p w14:paraId="04BB5009"/>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69906F9A"/>
        </w:tc>
        <w:tc>
          <w:tcPr>
            <w:tcW w:w="1390" w:type="dxa"/>
            <w:vMerge w:val="continue"/>
            <w:tcBorders>
              <w:top w:val="single" w:color="auto" w:sz="10" w:space="0"/>
              <w:left w:val="single" w:color="auto" w:sz="10" w:space="0"/>
              <w:bottom w:val="single" w:color="auto" w:sz="10" w:space="0"/>
              <w:right w:val="single" w:color="auto" w:sz="10" w:space="0"/>
              <w:insideV w:val="single" w:sz="10" w:space="0"/>
            </w:tcBorders>
          </w:tcPr>
          <w:p w14:paraId="505C2820"/>
        </w:tc>
      </w:tr>
      <w:tr w14:paraId="165A2E82">
        <w:tblPrEx>
          <w:tblCellMar>
            <w:top w:w="36" w:type="dxa"/>
            <w:left w:w="36" w:type="dxa"/>
            <w:bottom w:w="36" w:type="dxa"/>
            <w:right w:w="36" w:type="dxa"/>
          </w:tblCellMar>
        </w:tblPrEx>
        <w:trPr>
          <w:trHeight w:val="380" w:hRule="atLeast"/>
        </w:trPr>
        <w:tc>
          <w:tcPr>
            <w:tcW w:w="3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55282F">
            <w:pPr>
              <w:spacing w:before="0" w:after="0" w:line="240" w:lineRule="auto"/>
              <w:jc w:val="center"/>
            </w:pPr>
            <w:r>
              <w:rPr>
                <w:rFonts w:ascii="宋体" w:hAnsi="宋体" w:eastAsia="宋体"/>
                <w:b/>
                <w:i w:val="0"/>
                <w:sz w:val="18"/>
              </w:rPr>
              <w:t>年度绩效指标完成情况</w:t>
            </w:r>
          </w:p>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686C36">
            <w:pPr>
              <w:spacing w:before="0" w:after="0" w:line="240" w:lineRule="auto"/>
              <w:jc w:val="center"/>
            </w:pPr>
            <w:r>
              <w:rPr>
                <w:rFonts w:ascii="宋体" w:hAnsi="宋体" w:eastAsia="宋体"/>
                <w:b w:val="0"/>
                <w:i w:val="0"/>
                <w:sz w:val="18"/>
              </w:rPr>
              <w:t>产出指标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A63A89E">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7DF88DFD">
            <w:pPr>
              <w:spacing w:before="0" w:after="0" w:line="240" w:lineRule="auto"/>
              <w:jc w:val="center"/>
            </w:pPr>
            <w:r>
              <w:rPr>
                <w:rFonts w:ascii="宋体" w:hAnsi="宋体" w:eastAsia="宋体"/>
                <w:b w:val="0"/>
                <w:i w:val="0"/>
                <w:color w:val="000000"/>
                <w:sz w:val="18"/>
              </w:rPr>
              <w:t>河长巡湖次数</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70FE16F">
            <w:pPr>
              <w:spacing w:before="0" w:after="0" w:line="240" w:lineRule="auto"/>
              <w:jc w:val="center"/>
            </w:pPr>
            <w:r>
              <w:rPr>
                <w:rFonts w:ascii="宋体" w:hAnsi="宋体" w:eastAsia="宋体"/>
                <w:b w:val="0"/>
                <w:i w:val="0"/>
                <w:sz w:val="18"/>
              </w:rPr>
              <w:t>6</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764D824">
            <w:pPr>
              <w:spacing w:before="0" w:after="0" w:line="240" w:lineRule="auto"/>
              <w:jc w:val="center"/>
            </w:pPr>
            <w:r>
              <w:rPr>
                <w:rFonts w:ascii="宋体" w:hAnsi="宋体" w:eastAsia="宋体"/>
                <w:b w:val="0"/>
                <w:i w:val="0"/>
                <w:sz w:val="18"/>
              </w:rPr>
              <w:t>&gt;=2次</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153FE9D">
            <w:pPr>
              <w:spacing w:before="0" w:after="0" w:line="240" w:lineRule="auto"/>
              <w:jc w:val="center"/>
            </w:pPr>
            <w:r>
              <w:rPr>
                <w:rFonts w:ascii="宋体" w:hAnsi="宋体" w:eastAsia="宋体"/>
                <w:b w:val="0"/>
                <w:i w:val="0"/>
                <w:sz w:val="18"/>
              </w:rPr>
              <w:t>=2次</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40527BB">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6638A5E">
            <w:pPr>
              <w:spacing w:before="0" w:after="0" w:line="240" w:lineRule="auto"/>
              <w:jc w:val="center"/>
            </w:pPr>
            <w:r>
              <w:rPr>
                <w:rFonts w:ascii="宋体" w:hAnsi="宋体" w:eastAsia="宋体"/>
                <w:b w:val="0"/>
                <w:i w:val="0"/>
                <w:sz w:val="18"/>
              </w:rPr>
              <w:t>6</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7823315">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D0F4CAC">
            <w:pPr>
              <w:spacing w:before="0" w:after="0" w:line="240" w:lineRule="auto"/>
              <w:jc w:val="center"/>
            </w:pPr>
            <w:r>
              <w:rPr>
                <w:rFonts w:ascii="宋体" w:hAnsi="宋体" w:eastAsia="宋体"/>
                <w:b w:val="0"/>
                <w:i w:val="0"/>
                <w:sz w:val="18"/>
              </w:rPr>
              <w:t>2次</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78135815">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0EF00A3E">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5FEB3BC4">
            <w:pPr>
              <w:spacing w:before="0" w:after="0" w:line="240" w:lineRule="auto"/>
              <w:jc w:val="center"/>
            </w:pPr>
          </w:p>
        </w:tc>
      </w:tr>
      <w:tr w14:paraId="5696775B">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4DE089E4"/>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3103A29D"/>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ED6BBE5">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2B73B9F5">
            <w:pPr>
              <w:spacing w:before="0" w:after="0" w:line="240" w:lineRule="auto"/>
              <w:jc w:val="center"/>
            </w:pPr>
            <w:r>
              <w:rPr>
                <w:rFonts w:ascii="宋体" w:hAnsi="宋体" w:eastAsia="宋体"/>
                <w:b w:val="0"/>
                <w:i w:val="0"/>
                <w:color w:val="000000"/>
                <w:sz w:val="18"/>
              </w:rPr>
              <w:t>检查频次</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481AC4D">
            <w:pPr>
              <w:spacing w:before="0" w:after="0" w:line="240" w:lineRule="auto"/>
              <w:jc w:val="center"/>
            </w:pPr>
            <w:r>
              <w:rPr>
                <w:rFonts w:ascii="宋体" w:hAnsi="宋体" w:eastAsia="宋体"/>
                <w:b w:val="0"/>
                <w:i w:val="0"/>
                <w:sz w:val="18"/>
              </w:rPr>
              <w:t>6</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83E3073">
            <w:pPr>
              <w:spacing w:before="0" w:after="0" w:line="240" w:lineRule="auto"/>
              <w:jc w:val="center"/>
            </w:pPr>
            <w:r>
              <w:rPr>
                <w:rFonts w:ascii="宋体" w:hAnsi="宋体" w:eastAsia="宋体"/>
                <w:b w:val="0"/>
                <w:i w:val="0"/>
                <w:sz w:val="18"/>
              </w:rPr>
              <w:t>&gt;=4次</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C7C9ABE">
            <w:pPr>
              <w:spacing w:before="0" w:after="0" w:line="240" w:lineRule="auto"/>
              <w:jc w:val="center"/>
            </w:pPr>
            <w:r>
              <w:rPr>
                <w:rFonts w:ascii="宋体" w:hAnsi="宋体" w:eastAsia="宋体"/>
                <w:b w:val="0"/>
                <w:i w:val="0"/>
                <w:sz w:val="18"/>
              </w:rPr>
              <w:t>=4次</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662FC57">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6D9360C">
            <w:pPr>
              <w:spacing w:before="0" w:after="0" w:line="240" w:lineRule="auto"/>
              <w:jc w:val="center"/>
            </w:pPr>
            <w:r>
              <w:rPr>
                <w:rFonts w:ascii="宋体" w:hAnsi="宋体" w:eastAsia="宋体"/>
                <w:b w:val="0"/>
                <w:i w:val="0"/>
                <w:sz w:val="18"/>
              </w:rPr>
              <w:t>6</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A8044CD">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3635920">
            <w:pPr>
              <w:spacing w:before="0" w:after="0" w:line="240" w:lineRule="auto"/>
              <w:jc w:val="center"/>
            </w:pPr>
            <w:r>
              <w:rPr>
                <w:rFonts w:ascii="宋体" w:hAnsi="宋体" w:eastAsia="宋体"/>
                <w:b w:val="0"/>
                <w:i w:val="0"/>
                <w:sz w:val="18"/>
              </w:rPr>
              <w:t>4次</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664DAE72">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339F97F">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7172D83F">
            <w:pPr>
              <w:spacing w:before="0" w:after="0" w:line="240" w:lineRule="auto"/>
              <w:jc w:val="center"/>
            </w:pPr>
          </w:p>
        </w:tc>
      </w:tr>
      <w:tr w14:paraId="1F44A543">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8BFC8BB"/>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55DD46F9"/>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793DFF9">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287DCAD8">
            <w:pPr>
              <w:spacing w:before="0" w:after="0" w:line="240" w:lineRule="auto"/>
              <w:jc w:val="center"/>
            </w:pPr>
            <w:r>
              <w:rPr>
                <w:rFonts w:ascii="宋体" w:hAnsi="宋体" w:eastAsia="宋体"/>
                <w:b w:val="0"/>
                <w:i w:val="0"/>
                <w:color w:val="000000"/>
                <w:sz w:val="18"/>
              </w:rPr>
              <w:t>防汛抗旱物资及设备采购批次</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4C829A8">
            <w:pPr>
              <w:spacing w:before="0" w:after="0" w:line="240" w:lineRule="auto"/>
              <w:jc w:val="center"/>
            </w:pPr>
            <w:r>
              <w:rPr>
                <w:rFonts w:ascii="宋体" w:hAnsi="宋体" w:eastAsia="宋体"/>
                <w:b w:val="0"/>
                <w:i w:val="0"/>
                <w:sz w:val="18"/>
              </w:rPr>
              <w:t>6</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6C1452D">
            <w:pPr>
              <w:spacing w:before="0" w:after="0" w:line="240" w:lineRule="auto"/>
              <w:jc w:val="center"/>
            </w:pPr>
            <w:r>
              <w:rPr>
                <w:rFonts w:ascii="宋体" w:hAnsi="宋体" w:eastAsia="宋体"/>
                <w:b w:val="0"/>
                <w:i w:val="0"/>
                <w:sz w:val="18"/>
              </w:rPr>
              <w:t>&gt;=10次</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2D4FC54">
            <w:pPr>
              <w:spacing w:before="0" w:after="0" w:line="240" w:lineRule="auto"/>
              <w:jc w:val="center"/>
            </w:pPr>
            <w:r>
              <w:rPr>
                <w:rFonts w:ascii="宋体" w:hAnsi="宋体" w:eastAsia="宋体"/>
                <w:b w:val="0"/>
                <w:i w:val="0"/>
                <w:sz w:val="18"/>
              </w:rPr>
              <w:t>=10次</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025D97B">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510D3F5">
            <w:pPr>
              <w:spacing w:before="0" w:after="0" w:line="240" w:lineRule="auto"/>
              <w:jc w:val="center"/>
            </w:pPr>
            <w:r>
              <w:rPr>
                <w:rFonts w:ascii="宋体" w:hAnsi="宋体" w:eastAsia="宋体"/>
                <w:b w:val="0"/>
                <w:i w:val="0"/>
                <w:sz w:val="18"/>
              </w:rPr>
              <w:t>6</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C1C96A4">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FBC2934">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161B3943">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3C05236D">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5DF88F52">
            <w:pPr>
              <w:spacing w:before="0" w:after="0" w:line="240" w:lineRule="auto"/>
              <w:jc w:val="center"/>
            </w:pPr>
          </w:p>
        </w:tc>
      </w:tr>
      <w:tr w14:paraId="793E7E21">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A7D8167"/>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0BC67A8"/>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AC6814E">
            <w:pPr>
              <w:spacing w:before="0" w:after="0" w:line="240" w:lineRule="auto"/>
              <w:jc w:val="center"/>
            </w:pPr>
            <w:r>
              <w:rPr>
                <w:rFonts w:ascii="宋体" w:hAnsi="宋体" w:eastAsia="宋体"/>
                <w:b w:val="0"/>
                <w:i w:val="0"/>
                <w:sz w:val="18"/>
              </w:rPr>
              <w:t>数量指标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BFE734B">
            <w:pPr>
              <w:spacing w:before="0" w:after="0" w:line="240" w:lineRule="auto"/>
              <w:jc w:val="center"/>
            </w:pPr>
            <w:r>
              <w:rPr>
                <w:rFonts w:ascii="宋体" w:hAnsi="宋体" w:eastAsia="宋体"/>
                <w:b w:val="0"/>
                <w:i w:val="0"/>
                <w:color w:val="000000"/>
                <w:sz w:val="18"/>
              </w:rPr>
              <w:t>流域气象预测简报数量</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73F8532">
            <w:pPr>
              <w:spacing w:before="0" w:after="0" w:line="240" w:lineRule="auto"/>
              <w:jc w:val="center"/>
            </w:pPr>
            <w:r>
              <w:rPr>
                <w:rFonts w:ascii="宋体" w:hAnsi="宋体" w:eastAsia="宋体"/>
                <w:b w:val="0"/>
                <w:i w:val="0"/>
                <w:sz w:val="18"/>
              </w:rPr>
              <w:t>6</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42B0845">
            <w:pPr>
              <w:spacing w:before="0" w:after="0" w:line="240" w:lineRule="auto"/>
              <w:jc w:val="center"/>
            </w:pPr>
            <w:r>
              <w:rPr>
                <w:rFonts w:ascii="宋体" w:hAnsi="宋体" w:eastAsia="宋体"/>
                <w:b w:val="0"/>
                <w:i w:val="0"/>
                <w:sz w:val="18"/>
              </w:rPr>
              <w:t>&gt;=12期</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56C481C">
            <w:pPr>
              <w:spacing w:before="0" w:after="0" w:line="240" w:lineRule="auto"/>
              <w:jc w:val="center"/>
            </w:pPr>
            <w:r>
              <w:rPr>
                <w:rFonts w:ascii="宋体" w:hAnsi="宋体" w:eastAsia="宋体"/>
                <w:b w:val="0"/>
                <w:i w:val="0"/>
                <w:sz w:val="18"/>
              </w:rPr>
              <w:t>=12期</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734FF9C">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80EF3B4">
            <w:pPr>
              <w:spacing w:before="0" w:after="0" w:line="240" w:lineRule="auto"/>
              <w:jc w:val="center"/>
            </w:pPr>
            <w:r>
              <w:rPr>
                <w:rFonts w:ascii="宋体" w:hAnsi="宋体" w:eastAsia="宋体"/>
                <w:b w:val="0"/>
                <w:i w:val="0"/>
                <w:sz w:val="18"/>
              </w:rPr>
              <w:t>6</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9B3B646">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86AE7CC">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78DF818E">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1879F897">
            <w:pPr>
              <w:spacing w:before="0" w:after="0" w:line="240" w:lineRule="auto"/>
              <w:jc w:val="center"/>
            </w:pPr>
            <w:r>
              <w:rPr>
                <w:rFonts w:ascii="宋体" w:hAnsi="宋体" w:eastAsia="宋体"/>
                <w:b w:val="0"/>
                <w:i w:val="0"/>
                <w:sz w:val="18"/>
              </w:rPr>
              <w:t>正式材料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3667F4DC">
            <w:pPr>
              <w:spacing w:before="0" w:after="0" w:line="240" w:lineRule="auto"/>
              <w:jc w:val="center"/>
            </w:pPr>
          </w:p>
        </w:tc>
      </w:tr>
      <w:tr w14:paraId="1B5206E1">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34B3D409"/>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29CE1326"/>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060FA54">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074DB36">
            <w:pPr>
              <w:spacing w:before="0" w:after="0" w:line="240" w:lineRule="auto"/>
              <w:jc w:val="center"/>
            </w:pPr>
            <w:r>
              <w:rPr>
                <w:rFonts w:ascii="宋体" w:hAnsi="宋体" w:eastAsia="宋体"/>
                <w:b w:val="0"/>
                <w:i w:val="0"/>
                <w:color w:val="000000"/>
                <w:sz w:val="18"/>
              </w:rPr>
              <w:t>取水许可审查批复率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A141CFC">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483F5DC">
            <w:pPr>
              <w:spacing w:before="0" w:after="0" w:line="240" w:lineRule="auto"/>
              <w:jc w:val="center"/>
            </w:pPr>
            <w:r>
              <w:rPr>
                <w:rFonts w:ascii="宋体" w:hAnsi="宋体" w:eastAsia="宋体"/>
                <w:b w:val="0"/>
                <w:i w:val="0"/>
                <w:sz w:val="18"/>
              </w:rPr>
              <w:t>&gt;=85</w:t>
            </w:r>
            <w:r>
              <w:rPr>
                <w:rFonts w:hint="eastAsia" w:ascii="宋体" w:hAnsi="宋体"/>
                <w:b w:val="0"/>
                <w:i w:val="0"/>
                <w:sz w:val="18"/>
                <w:lang w:eastAsia="zh-CN"/>
              </w:rPr>
              <w:t>%</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0115A32">
            <w:pPr>
              <w:spacing w:before="0" w:after="0" w:line="240" w:lineRule="auto"/>
              <w:jc w:val="center"/>
            </w:pPr>
            <w:r>
              <w:rPr>
                <w:rFonts w:ascii="宋体" w:hAnsi="宋体" w:eastAsia="宋体"/>
                <w:b w:val="0"/>
                <w:i w:val="0"/>
                <w:sz w:val="18"/>
              </w:rPr>
              <w:t>=100</w:t>
            </w:r>
            <w:r>
              <w:rPr>
                <w:rFonts w:hint="eastAsia" w:ascii="宋体" w:hAnsi="宋体"/>
                <w:b w:val="0"/>
                <w:i w:val="0"/>
                <w:sz w:val="18"/>
                <w:lang w:eastAsia="zh-CN"/>
              </w:rPr>
              <w:t>%</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ACADD8C">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16EF774">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46A0E99">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E1707AF">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194CD8C0">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ACB4144">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77B0EF16">
            <w:pPr>
              <w:spacing w:before="0" w:after="0" w:line="240" w:lineRule="auto"/>
              <w:jc w:val="center"/>
            </w:pPr>
          </w:p>
        </w:tc>
      </w:tr>
      <w:tr w14:paraId="3AC0E2B2">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9B6124E"/>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C62B8F0"/>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5EBB09E">
            <w:pPr>
              <w:spacing w:before="0" w:after="0" w:line="240" w:lineRule="auto"/>
              <w:jc w:val="center"/>
            </w:pPr>
            <w:r>
              <w:rPr>
                <w:rFonts w:ascii="宋体" w:hAnsi="宋体" w:eastAsia="宋体"/>
                <w:b w:val="0"/>
                <w:i w:val="0"/>
                <w:sz w:val="18"/>
              </w:rPr>
              <w:t>质量指标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8232F45">
            <w:pPr>
              <w:spacing w:before="0" w:after="0" w:line="240" w:lineRule="auto"/>
              <w:jc w:val="center"/>
            </w:pPr>
            <w:r>
              <w:rPr>
                <w:rFonts w:ascii="宋体" w:hAnsi="宋体" w:eastAsia="宋体"/>
                <w:b w:val="0"/>
                <w:i w:val="0"/>
                <w:color w:val="000000"/>
                <w:sz w:val="18"/>
              </w:rPr>
              <w:t>防汛抗旱物资及设备验收合格率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80F7DF9">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AC846D9">
            <w:pPr>
              <w:spacing w:before="0" w:after="0" w:line="240" w:lineRule="auto"/>
              <w:jc w:val="center"/>
            </w:pPr>
            <w:r>
              <w:rPr>
                <w:rFonts w:ascii="宋体" w:hAnsi="宋体" w:eastAsia="宋体"/>
                <w:b w:val="0"/>
                <w:i w:val="0"/>
                <w:sz w:val="18"/>
              </w:rPr>
              <w:t>&gt;=95%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46A3A2F">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68416A9">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A5F7608">
            <w:pPr>
              <w:spacing w:before="0" w:after="0" w:line="240" w:lineRule="auto"/>
              <w:jc w:val="center"/>
            </w:pPr>
            <w:r>
              <w:rPr>
                <w:rFonts w:ascii="宋体" w:hAnsi="宋体" w:eastAsia="宋体"/>
                <w:b w:val="0"/>
                <w:i w:val="0"/>
                <w:sz w:val="18"/>
              </w:rPr>
              <w:t>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3DE7944">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BAD42B6">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70BE4D67">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32E77C90">
            <w:pPr>
              <w:spacing w:before="0" w:after="0" w:line="240" w:lineRule="auto"/>
              <w:jc w:val="center"/>
            </w:pPr>
            <w:r>
              <w:rPr>
                <w:rFonts w:ascii="宋体" w:hAnsi="宋体" w:eastAsia="宋体"/>
                <w:b w:val="0"/>
                <w:i w:val="0"/>
                <w:sz w:val="18"/>
              </w:rPr>
              <w:t>正式材料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5C737E01">
            <w:pPr>
              <w:spacing w:before="0" w:after="0" w:line="240" w:lineRule="auto"/>
              <w:jc w:val="center"/>
            </w:pPr>
          </w:p>
        </w:tc>
      </w:tr>
      <w:tr w14:paraId="5FDE483A">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0DCA4A7D"/>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6FD153EF"/>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84D3186">
            <w:pPr>
              <w:spacing w:before="0" w:after="0" w:line="240" w:lineRule="auto"/>
              <w:jc w:val="center"/>
            </w:pPr>
            <w:r>
              <w:rPr>
                <w:rFonts w:ascii="宋体" w:hAnsi="宋体" w:eastAsia="宋体"/>
                <w:b w:val="0"/>
                <w:i w:val="0"/>
                <w:sz w:val="18"/>
              </w:rPr>
              <w:t>时效指标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5A2B7103">
            <w:pPr>
              <w:spacing w:before="0" w:after="0" w:line="240" w:lineRule="auto"/>
              <w:jc w:val="center"/>
            </w:pPr>
            <w:r>
              <w:rPr>
                <w:rFonts w:ascii="宋体" w:hAnsi="宋体" w:eastAsia="宋体"/>
                <w:b w:val="0"/>
                <w:i w:val="0"/>
                <w:color w:val="000000"/>
                <w:sz w:val="18"/>
              </w:rPr>
              <w:t>年度检查任务按时完成率</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3284287">
            <w:pPr>
              <w:spacing w:before="0" w:after="0" w:line="240" w:lineRule="auto"/>
              <w:jc w:val="center"/>
            </w:pPr>
            <w:r>
              <w:rPr>
                <w:rFonts w:ascii="宋体" w:hAnsi="宋体" w:eastAsia="宋体"/>
                <w:b w:val="0"/>
                <w:i w:val="0"/>
                <w:sz w:val="18"/>
              </w:rPr>
              <w:t>6</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AD11CC9">
            <w:pPr>
              <w:spacing w:before="0" w:after="0" w:line="240" w:lineRule="auto"/>
              <w:jc w:val="center"/>
            </w:pPr>
            <w:r>
              <w:rPr>
                <w:rFonts w:ascii="宋体" w:hAnsi="宋体" w:eastAsia="宋体"/>
                <w:b w:val="0"/>
                <w:i w:val="0"/>
                <w:sz w:val="18"/>
              </w:rPr>
              <w:t>&gt;=95%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1D7F533">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053AD2F">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2F5C304">
            <w:pPr>
              <w:spacing w:before="0" w:after="0" w:line="240" w:lineRule="auto"/>
              <w:jc w:val="center"/>
            </w:pPr>
            <w:r>
              <w:rPr>
                <w:rFonts w:ascii="宋体" w:hAnsi="宋体" w:eastAsia="宋体"/>
                <w:b w:val="0"/>
                <w:i w:val="0"/>
                <w:sz w:val="18"/>
              </w:rPr>
              <w:t>6</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2CD76E6">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AC4FECD">
            <w:pPr>
              <w:spacing w:before="0" w:after="0" w:line="240" w:lineRule="auto"/>
              <w:jc w:val="center"/>
            </w:pPr>
            <w:r>
              <w:rPr>
                <w:rFonts w:ascii="宋体" w:hAnsi="宋体" w:eastAsia="宋体"/>
                <w:b w:val="0"/>
                <w:i w:val="0"/>
                <w:sz w:val="18"/>
              </w:rPr>
              <w:t>95%</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7D080701">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01AB0DC8">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34E717CB">
            <w:pPr>
              <w:spacing w:before="0" w:after="0" w:line="240" w:lineRule="auto"/>
              <w:jc w:val="center"/>
            </w:pPr>
          </w:p>
        </w:tc>
      </w:tr>
      <w:tr w14:paraId="3C13A257">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24549C62"/>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C6DD4D">
            <w:pPr>
              <w:spacing w:before="0" w:after="0" w:line="240" w:lineRule="auto"/>
              <w:jc w:val="center"/>
            </w:pPr>
            <w:r>
              <w:rPr>
                <w:rFonts w:ascii="宋体" w:hAnsi="宋体" w:eastAsia="宋体"/>
                <w:b w:val="0"/>
                <w:i w:val="0"/>
                <w:sz w:val="18"/>
              </w:rPr>
              <w:t>成本指标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65E58D7">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47F52507">
            <w:pPr>
              <w:spacing w:before="0" w:after="0" w:line="240" w:lineRule="auto"/>
              <w:jc w:val="center"/>
            </w:pPr>
            <w:r>
              <w:rPr>
                <w:rFonts w:ascii="宋体" w:hAnsi="宋体" w:eastAsia="宋体"/>
                <w:b w:val="0"/>
                <w:i w:val="0"/>
                <w:color w:val="000000"/>
                <w:sz w:val="18"/>
              </w:rPr>
              <w:t>河长巡湖工作经费</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683A371">
            <w:pPr>
              <w:spacing w:before="0" w:after="0" w:line="240" w:lineRule="auto"/>
              <w:jc w:val="center"/>
            </w:pPr>
            <w:r>
              <w:rPr>
                <w:rFonts w:ascii="宋体" w:hAnsi="宋体" w:eastAsia="宋体"/>
                <w:b w:val="0"/>
                <w:i w:val="0"/>
                <w:sz w:val="18"/>
              </w:rPr>
              <w:t>8</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FCADEF1">
            <w:pPr>
              <w:spacing w:before="0" w:after="0" w:line="240" w:lineRule="auto"/>
              <w:jc w:val="center"/>
            </w:pPr>
            <w:r>
              <w:rPr>
                <w:rFonts w:ascii="宋体" w:hAnsi="宋体" w:eastAsia="宋体"/>
                <w:b w:val="0"/>
                <w:i w:val="0"/>
                <w:sz w:val="18"/>
              </w:rPr>
              <w:t>&lt;=68.4万元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AA6101C">
            <w:pPr>
              <w:spacing w:before="0" w:after="0" w:line="240" w:lineRule="auto"/>
              <w:jc w:val="center"/>
            </w:pPr>
            <w:r>
              <w:rPr>
                <w:rFonts w:ascii="宋体" w:hAnsi="宋体" w:eastAsia="宋体"/>
                <w:b w:val="0"/>
                <w:i w:val="0"/>
                <w:sz w:val="18"/>
              </w:rPr>
              <w:t>=68.4万元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C0C5836">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1D5F492">
            <w:pPr>
              <w:spacing w:before="0" w:after="0" w:line="240" w:lineRule="auto"/>
              <w:jc w:val="center"/>
            </w:pPr>
            <w:r>
              <w:rPr>
                <w:rFonts w:ascii="宋体" w:hAnsi="宋体" w:eastAsia="宋体"/>
                <w:b w:val="0"/>
                <w:i w:val="0"/>
                <w:sz w:val="18"/>
              </w:rPr>
              <w:t>8</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B00BC5D">
            <w:pPr>
              <w:spacing w:before="0" w:after="0" w:line="240" w:lineRule="auto"/>
              <w:jc w:val="center"/>
            </w:pPr>
            <w:r>
              <w:rPr>
                <w:rFonts w:ascii="宋体" w:hAnsi="宋体" w:eastAsia="宋体"/>
                <w:b w:val="0"/>
                <w:i w:val="0"/>
                <w:sz w:val="18"/>
              </w:rPr>
              <w:t>历史标准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1D8FE1F">
            <w:pPr>
              <w:spacing w:before="0" w:after="0" w:line="240" w:lineRule="auto"/>
              <w:jc w:val="center"/>
            </w:pPr>
            <w:r>
              <w:rPr>
                <w:rFonts w:ascii="宋体" w:hAnsi="宋体" w:eastAsia="宋体"/>
                <w:b w:val="0"/>
                <w:i w:val="0"/>
                <w:sz w:val="18"/>
              </w:rPr>
              <w:t>68.4</w:t>
            </w:r>
            <w:r>
              <w:rPr>
                <w:rFonts w:hint="eastAsia" w:ascii="宋体" w:hAnsi="宋体"/>
                <w:b w:val="0"/>
                <w:i w:val="0"/>
                <w:sz w:val="18"/>
                <w:lang w:eastAsia="zh-CN"/>
              </w:rPr>
              <w:t>万元</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0A60E100">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10CDBE70">
            <w:pPr>
              <w:spacing w:before="0" w:after="0" w:line="240" w:lineRule="auto"/>
              <w:jc w:val="center"/>
            </w:pPr>
            <w:r>
              <w:rPr>
                <w:rFonts w:ascii="宋体" w:hAnsi="宋体" w:eastAsia="宋体"/>
                <w:b w:val="0"/>
                <w:i w:val="0"/>
                <w:sz w:val="18"/>
              </w:rPr>
              <w:t>原始凭证</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64ABB75D">
            <w:pPr>
              <w:spacing w:before="0" w:after="0" w:line="240" w:lineRule="auto"/>
              <w:jc w:val="center"/>
            </w:pPr>
          </w:p>
        </w:tc>
      </w:tr>
      <w:tr w14:paraId="76D457A3">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69884603"/>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4CA9215"/>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922796B">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6FF8CD6E">
            <w:pPr>
              <w:spacing w:before="0" w:after="0" w:line="240" w:lineRule="auto"/>
              <w:jc w:val="center"/>
            </w:pPr>
            <w:r>
              <w:rPr>
                <w:rFonts w:ascii="宋体" w:hAnsi="宋体" w:eastAsia="宋体"/>
                <w:b w:val="0"/>
                <w:i w:val="0"/>
                <w:color w:val="000000"/>
                <w:sz w:val="18"/>
              </w:rPr>
              <w:t>防汛抗旱物资及设备采购成本</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7E17EED">
            <w:pPr>
              <w:spacing w:before="0" w:after="0" w:line="240" w:lineRule="auto"/>
              <w:jc w:val="center"/>
            </w:pPr>
            <w:r>
              <w:rPr>
                <w:rFonts w:ascii="宋体" w:hAnsi="宋体" w:eastAsia="宋体"/>
                <w:b w:val="0"/>
                <w:i w:val="0"/>
                <w:sz w:val="18"/>
              </w:rPr>
              <w:t>8</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6E3F742">
            <w:pPr>
              <w:spacing w:before="0" w:after="0" w:line="240" w:lineRule="auto"/>
              <w:jc w:val="center"/>
            </w:pPr>
            <w:r>
              <w:rPr>
                <w:rFonts w:ascii="宋体" w:hAnsi="宋体" w:eastAsia="宋体"/>
                <w:b w:val="0"/>
                <w:i w:val="0"/>
                <w:sz w:val="18"/>
              </w:rPr>
              <w:t>&lt;=51.52万元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F346D01">
            <w:pPr>
              <w:spacing w:before="0" w:after="0" w:line="240" w:lineRule="auto"/>
              <w:jc w:val="center"/>
            </w:pPr>
            <w:r>
              <w:rPr>
                <w:rFonts w:ascii="宋体" w:hAnsi="宋体" w:eastAsia="宋体"/>
                <w:b w:val="0"/>
                <w:i w:val="0"/>
                <w:sz w:val="18"/>
              </w:rPr>
              <w:t>=51.04万元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2873906">
            <w:pPr>
              <w:spacing w:before="0" w:after="0" w:line="240" w:lineRule="auto"/>
              <w:jc w:val="center"/>
            </w:pPr>
            <w:r>
              <w:rPr>
                <w:rFonts w:ascii="宋体" w:hAnsi="宋体" w:eastAsia="宋体"/>
                <w:b w:val="0"/>
                <w:i w:val="0"/>
                <w:sz w:val="18"/>
              </w:rPr>
              <w:t>99.07%</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C723E9F">
            <w:pPr>
              <w:spacing w:before="0" w:after="0" w:line="240" w:lineRule="auto"/>
              <w:jc w:val="center"/>
            </w:pPr>
            <w:r>
              <w:rPr>
                <w:rFonts w:ascii="宋体" w:hAnsi="宋体" w:eastAsia="宋体"/>
                <w:b w:val="0"/>
                <w:i w:val="0"/>
                <w:sz w:val="18"/>
              </w:rPr>
              <w:t>7.81</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319DB44">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98F343F">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66BA14B0">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93C6166">
            <w:pPr>
              <w:spacing w:before="0" w:after="0" w:line="240" w:lineRule="auto"/>
              <w:jc w:val="center"/>
            </w:pPr>
            <w:r>
              <w:rPr>
                <w:rFonts w:ascii="宋体" w:hAnsi="宋体" w:eastAsia="宋体"/>
                <w:b w:val="0"/>
                <w:i w:val="0"/>
                <w:sz w:val="18"/>
              </w:rPr>
              <w:t>原始凭证</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17424BD5">
            <w:pPr>
              <w:spacing w:before="0" w:after="0" w:line="240" w:lineRule="auto"/>
              <w:jc w:val="center"/>
            </w:pPr>
            <w:r>
              <w:rPr>
                <w:rFonts w:ascii="宋体" w:hAnsi="宋体" w:eastAsia="宋体"/>
                <w:b w:val="0"/>
                <w:i w:val="0"/>
                <w:sz w:val="18"/>
              </w:rPr>
              <w:t>采购中多方询价，造成采购成本实际支出小于原定采购计划。</w:t>
            </w:r>
          </w:p>
        </w:tc>
      </w:tr>
      <w:tr w14:paraId="015E6431">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35B56B3B"/>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03BEF489"/>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13BA118">
            <w:pPr>
              <w:spacing w:before="0" w:after="0" w:line="240" w:lineRule="auto"/>
              <w:jc w:val="center"/>
            </w:pPr>
            <w:r>
              <w:rPr>
                <w:rFonts w:ascii="宋体" w:hAnsi="宋体" w:eastAsia="宋体"/>
                <w:b w:val="0"/>
                <w:i w:val="0"/>
                <w:sz w:val="18"/>
              </w:rPr>
              <w:t>经济成本指标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4F7BF335">
            <w:pPr>
              <w:spacing w:before="0" w:after="0" w:line="240" w:lineRule="auto"/>
              <w:jc w:val="center"/>
            </w:pPr>
            <w:r>
              <w:rPr>
                <w:rFonts w:ascii="宋体" w:hAnsi="宋体" w:eastAsia="宋体"/>
                <w:b w:val="0"/>
                <w:i w:val="0"/>
                <w:color w:val="000000"/>
                <w:sz w:val="18"/>
              </w:rPr>
              <w:t>流域气象预测简报成本</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835FC87">
            <w:pPr>
              <w:spacing w:before="0" w:after="0" w:line="240" w:lineRule="auto"/>
              <w:jc w:val="center"/>
            </w:pPr>
            <w:r>
              <w:rPr>
                <w:rFonts w:ascii="宋体" w:hAnsi="宋体" w:eastAsia="宋体"/>
                <w:b w:val="0"/>
                <w:i w:val="0"/>
                <w:sz w:val="18"/>
              </w:rPr>
              <w:t>4</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FA161AA">
            <w:pPr>
              <w:spacing w:before="0" w:after="0" w:line="240" w:lineRule="auto"/>
              <w:jc w:val="center"/>
            </w:pPr>
            <w:r>
              <w:rPr>
                <w:rFonts w:ascii="宋体" w:hAnsi="宋体" w:eastAsia="宋体"/>
                <w:b w:val="0"/>
                <w:i w:val="0"/>
                <w:sz w:val="18"/>
              </w:rPr>
              <w:t>&lt;=22万元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905FC6C">
            <w:pPr>
              <w:spacing w:before="0" w:after="0" w:line="240" w:lineRule="auto"/>
              <w:jc w:val="center"/>
            </w:pPr>
            <w:r>
              <w:rPr>
                <w:rFonts w:ascii="宋体" w:hAnsi="宋体" w:eastAsia="宋体"/>
                <w:b w:val="0"/>
                <w:i w:val="0"/>
                <w:sz w:val="18"/>
              </w:rPr>
              <w:t>=22万元</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5D2152D">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C4F5D7E">
            <w:pPr>
              <w:spacing w:before="0" w:after="0" w:line="240" w:lineRule="auto"/>
              <w:jc w:val="center"/>
            </w:pPr>
            <w:r>
              <w:rPr>
                <w:rFonts w:ascii="宋体" w:hAnsi="宋体" w:eastAsia="宋体"/>
                <w:b w:val="0"/>
                <w:i w:val="0"/>
                <w:sz w:val="18"/>
              </w:rPr>
              <w:t>4</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43214C2">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DDC01B4">
            <w:pPr>
              <w:spacing w:before="0" w:after="0" w:line="240" w:lineRule="auto"/>
              <w:jc w:val="center"/>
            </w:pPr>
            <w:r>
              <w:rPr>
                <w:rFonts w:ascii="宋体" w:hAnsi="宋体" w:eastAsia="宋体"/>
                <w:b w:val="0"/>
                <w:i w:val="0"/>
                <w:sz w:val="18"/>
              </w:rPr>
              <w:t>—</w:t>
            </w:r>
            <w:bookmarkStart w:id="0" w:name="_GoBack"/>
            <w:bookmarkEnd w:id="0"/>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5DE9F4E0">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3718E478">
            <w:pPr>
              <w:spacing w:before="0" w:after="0" w:line="240" w:lineRule="auto"/>
              <w:jc w:val="center"/>
            </w:pPr>
            <w:r>
              <w:rPr>
                <w:rFonts w:ascii="宋体" w:hAnsi="宋体" w:eastAsia="宋体"/>
                <w:b w:val="0"/>
                <w:i w:val="0"/>
                <w:sz w:val="18"/>
              </w:rPr>
              <w:t>原始凭证</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78703E34">
            <w:pPr>
              <w:spacing w:before="0" w:after="0" w:line="240" w:lineRule="auto"/>
              <w:jc w:val="center"/>
            </w:pPr>
          </w:p>
        </w:tc>
      </w:tr>
      <w:tr w14:paraId="601141EA">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4A27BEF0"/>
        </w:tc>
        <w:tc>
          <w:tcPr>
            <w:tcW w:w="4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EFCAD9">
            <w:pPr>
              <w:spacing w:before="0" w:after="0" w:line="240" w:lineRule="auto"/>
              <w:jc w:val="center"/>
            </w:pPr>
            <w:r>
              <w:rPr>
                <w:rFonts w:ascii="宋体" w:hAnsi="宋体" w:eastAsia="宋体"/>
                <w:b w:val="0"/>
                <w:i w:val="0"/>
                <w:sz w:val="18"/>
              </w:rPr>
              <w:t>效益指标</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DAC70C3">
            <w:pPr>
              <w:spacing w:before="0" w:after="0" w:line="240" w:lineRule="auto"/>
              <w:jc w:val="center"/>
            </w:pPr>
            <w:r>
              <w:rPr>
                <w:rFonts w:ascii="宋体" w:hAnsi="宋体" w:eastAsia="宋体"/>
                <w:b w:val="0"/>
                <w:i w:val="0"/>
                <w:sz w:val="18"/>
              </w:rPr>
              <w:t>社会效益指标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793A81E1">
            <w:pPr>
              <w:spacing w:before="0" w:after="0" w:line="240" w:lineRule="auto"/>
              <w:jc w:val="center"/>
            </w:pPr>
            <w:r>
              <w:rPr>
                <w:rFonts w:ascii="宋体" w:hAnsi="宋体" w:eastAsia="宋体"/>
                <w:b w:val="0"/>
                <w:i w:val="0"/>
                <w:color w:val="000000"/>
                <w:sz w:val="18"/>
              </w:rPr>
              <w:t>河湖突出问题整治</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4033A69">
            <w:pPr>
              <w:spacing w:before="0" w:after="0" w:line="240" w:lineRule="auto"/>
              <w:jc w:val="center"/>
            </w:pPr>
            <w:r>
              <w:rPr>
                <w:rFonts w:ascii="宋体" w:hAnsi="宋体" w:eastAsia="宋体"/>
                <w:b w:val="0"/>
                <w:i w:val="0"/>
                <w:sz w:val="18"/>
              </w:rPr>
              <w:t>15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2D3619A">
            <w:pPr>
              <w:spacing w:before="0" w:after="0" w:line="240" w:lineRule="auto"/>
              <w:jc w:val="center"/>
            </w:pPr>
            <w:r>
              <w:rPr>
                <w:rFonts w:ascii="宋体" w:hAnsi="宋体" w:eastAsia="宋体"/>
                <w:b w:val="0"/>
                <w:i w:val="0"/>
                <w:sz w:val="18"/>
              </w:rPr>
              <w:t>&gt;=80%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A199185">
            <w:pPr>
              <w:spacing w:before="0" w:after="0" w:line="240" w:lineRule="auto"/>
              <w:jc w:val="center"/>
            </w:pPr>
            <w:r>
              <w:rPr>
                <w:rFonts w:ascii="宋体" w:hAnsi="宋体" w:eastAsia="宋体"/>
                <w:b w:val="0"/>
                <w:i w:val="0"/>
                <w:sz w:val="18"/>
              </w:rPr>
              <w:t>=80%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F993A97">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2C87A73">
            <w:pPr>
              <w:spacing w:before="0" w:after="0" w:line="240" w:lineRule="auto"/>
              <w:jc w:val="center"/>
            </w:pPr>
            <w:r>
              <w:rPr>
                <w:rFonts w:ascii="宋体" w:hAnsi="宋体" w:eastAsia="宋体"/>
                <w:b w:val="0"/>
                <w:i w:val="0"/>
                <w:sz w:val="18"/>
              </w:rPr>
              <w:t>15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E3B328B">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A44EE5D">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48C58204">
            <w:pPr>
              <w:spacing w:before="0" w:after="0" w:line="240" w:lineRule="auto"/>
              <w:jc w:val="center"/>
            </w:pPr>
            <w:r>
              <w:rPr>
                <w:rFonts w:ascii="宋体" w:hAnsi="宋体" w:eastAsia="宋体"/>
                <w:b w:val="0"/>
                <w:i w:val="0"/>
                <w:sz w:val="18"/>
              </w:rPr>
              <w:t>按照完成比例赋分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2A46C1F2">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2FDBF680">
            <w:pPr>
              <w:spacing w:before="0" w:after="0" w:line="240" w:lineRule="auto"/>
              <w:jc w:val="center"/>
            </w:pPr>
          </w:p>
        </w:tc>
      </w:tr>
      <w:tr w14:paraId="6D294895">
        <w:tblPrEx>
          <w:tblCellMar>
            <w:top w:w="36" w:type="dxa"/>
            <w:left w:w="36" w:type="dxa"/>
            <w:bottom w:w="36" w:type="dxa"/>
            <w:right w:w="36" w:type="dxa"/>
          </w:tblCellMar>
        </w:tblPrEx>
        <w:trPr>
          <w:trHeight w:val="380" w:hRule="atLeast"/>
        </w:trPr>
        <w:tc>
          <w:tcPr>
            <w:tcW w:w="352" w:type="dxa"/>
            <w:vMerge w:val="continue"/>
            <w:tcBorders>
              <w:top w:val="single" w:color="auto" w:sz="10" w:space="0"/>
              <w:left w:val="single" w:color="auto" w:sz="10" w:space="0"/>
              <w:bottom w:val="single" w:color="auto" w:sz="10" w:space="0"/>
              <w:right w:val="single" w:color="auto" w:sz="10" w:space="0"/>
              <w:insideV w:val="single" w:sz="10" w:space="0"/>
            </w:tcBorders>
          </w:tcPr>
          <w:p w14:paraId="0AC0E22D"/>
        </w:tc>
        <w:tc>
          <w:tcPr>
            <w:tcW w:w="493" w:type="dxa"/>
            <w:vMerge w:val="continue"/>
            <w:tcBorders>
              <w:top w:val="single" w:color="auto" w:sz="10" w:space="0"/>
              <w:left w:val="single" w:color="auto" w:sz="10" w:space="0"/>
              <w:bottom w:val="single" w:color="auto" w:sz="10" w:space="0"/>
              <w:right w:val="single" w:color="auto" w:sz="10" w:space="0"/>
              <w:insideV w:val="single" w:sz="10" w:space="0"/>
            </w:tcBorders>
          </w:tcPr>
          <w:p w14:paraId="18CB8D01"/>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6B9E72D0">
            <w:pPr>
              <w:spacing w:before="0" w:after="0" w:line="240" w:lineRule="auto"/>
              <w:jc w:val="center"/>
            </w:pPr>
            <w:r>
              <w:rPr>
                <w:rFonts w:ascii="宋体" w:hAnsi="宋体" w:eastAsia="宋体"/>
                <w:b w:val="0"/>
                <w:i w:val="0"/>
                <w:sz w:val="18"/>
              </w:rPr>
              <w:t>生态效益指标</w:t>
            </w:r>
          </w:p>
        </w:tc>
        <w:tc>
          <w:tcPr>
            <w:tcW w:w="788" w:type="dxa"/>
            <w:tcBorders>
              <w:top w:val="single" w:color="auto" w:sz="10" w:space="0"/>
              <w:left w:val="single" w:color="auto" w:sz="10" w:space="0"/>
              <w:bottom w:val="single" w:color="auto" w:sz="10" w:space="0"/>
              <w:right w:val="single" w:color="auto" w:sz="10" w:space="0"/>
              <w:insideV w:val="single" w:sz="10" w:space="0"/>
            </w:tcBorders>
            <w:vAlign w:val="center"/>
          </w:tcPr>
          <w:p w14:paraId="43392CF5">
            <w:pPr>
              <w:spacing w:before="0" w:after="0" w:line="240" w:lineRule="auto"/>
              <w:jc w:val="center"/>
            </w:pPr>
            <w:r>
              <w:rPr>
                <w:rFonts w:ascii="宋体" w:hAnsi="宋体" w:eastAsia="宋体"/>
                <w:b w:val="0"/>
                <w:i w:val="0"/>
                <w:color w:val="000000"/>
                <w:sz w:val="18"/>
              </w:rPr>
              <w:t>改善塔河流域生态环境</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71D34F0">
            <w:pPr>
              <w:spacing w:before="0" w:after="0" w:line="240" w:lineRule="auto"/>
              <w:jc w:val="center"/>
            </w:pPr>
            <w:r>
              <w:rPr>
                <w:rFonts w:ascii="宋体" w:hAnsi="宋体" w:eastAsia="宋体"/>
                <w:b w:val="0"/>
                <w:i w:val="0"/>
                <w:sz w:val="18"/>
              </w:rPr>
              <w:t>15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35BCBCE6">
            <w:pPr>
              <w:spacing w:before="0" w:after="0" w:line="240" w:lineRule="auto"/>
              <w:jc w:val="center"/>
            </w:pPr>
            <w:r>
              <w:rPr>
                <w:rFonts w:ascii="宋体" w:hAnsi="宋体" w:eastAsia="宋体"/>
                <w:b w:val="0"/>
                <w:i w:val="0"/>
                <w:sz w:val="18"/>
              </w:rPr>
              <w:t>有效改善</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8EAFB80">
            <w:pPr>
              <w:spacing w:before="0" w:after="0" w:line="240" w:lineRule="auto"/>
              <w:jc w:val="center"/>
            </w:pPr>
            <w:r>
              <w:rPr>
                <w:rFonts w:ascii="宋体" w:hAnsi="宋体" w:eastAsia="宋体"/>
                <w:b w:val="0"/>
                <w:i w:val="0"/>
                <w:sz w:val="18"/>
              </w:rPr>
              <w:t>有效改善</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4AFC96EB">
            <w:pPr>
              <w:spacing w:before="0" w:after="0" w:line="240" w:lineRule="auto"/>
              <w:jc w:val="center"/>
            </w:pPr>
            <w:r>
              <w:rPr>
                <w:rFonts w:ascii="宋体" w:hAnsi="宋体" w:eastAsia="宋体"/>
                <w:b w:val="0"/>
                <w:i w:val="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CE736DD">
            <w:pPr>
              <w:spacing w:before="0" w:after="0" w:line="240" w:lineRule="auto"/>
              <w:jc w:val="center"/>
            </w:pPr>
            <w:r>
              <w:rPr>
                <w:rFonts w:ascii="宋体" w:hAnsi="宋体" w:eastAsia="宋体"/>
                <w:b w:val="0"/>
                <w:i w:val="0"/>
                <w:sz w:val="18"/>
              </w:rPr>
              <w:t>15</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5595E1B3">
            <w:pPr>
              <w:spacing w:before="0" w:after="0" w:line="240" w:lineRule="auto"/>
              <w:jc w:val="center"/>
            </w:pPr>
            <w:r>
              <w:rPr>
                <w:rFonts w:ascii="宋体" w:hAnsi="宋体" w:eastAsia="宋体"/>
                <w:b w:val="0"/>
                <w:i w:val="0"/>
                <w:sz w:val="18"/>
              </w:rPr>
              <w:t>计划标准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3DCB795">
            <w:pPr>
              <w:spacing w:before="0" w:after="0" w:line="240" w:lineRule="auto"/>
              <w:jc w:val="center"/>
            </w:pPr>
            <w:r>
              <w:rPr>
                <w:rFonts w:ascii="宋体" w:hAnsi="宋体" w:eastAsia="宋体"/>
                <w:b w:val="0"/>
                <w:i w:val="0"/>
                <w:sz w:val="18"/>
              </w:rPr>
              <w:t>—</w:t>
            </w: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1679E654">
            <w:pPr>
              <w:spacing w:before="0" w:after="0" w:line="240" w:lineRule="auto"/>
              <w:jc w:val="center"/>
            </w:pPr>
            <w:r>
              <w:rPr>
                <w:rFonts w:ascii="宋体" w:hAnsi="宋体" w:eastAsia="宋体"/>
                <w:b w:val="0"/>
                <w:i w:val="0"/>
                <w:sz w:val="18"/>
              </w:rPr>
              <w:t>按评判等级赋分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1646071C">
            <w:pPr>
              <w:spacing w:before="0" w:after="0" w:line="240" w:lineRule="auto"/>
              <w:jc w:val="center"/>
            </w:pPr>
            <w:r>
              <w:rPr>
                <w:rFonts w:ascii="宋体" w:hAnsi="宋体" w:eastAsia="宋体"/>
                <w:b w:val="0"/>
                <w:i w:val="0"/>
                <w:sz w:val="18"/>
              </w:rPr>
              <w:t>工作资料</w:t>
            </w: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0A24FAB8">
            <w:pPr>
              <w:spacing w:before="0" w:after="0" w:line="240" w:lineRule="auto"/>
              <w:jc w:val="center"/>
            </w:pPr>
          </w:p>
        </w:tc>
      </w:tr>
      <w:tr w14:paraId="6E6FF495">
        <w:tblPrEx>
          <w:tblCellMar>
            <w:top w:w="36" w:type="dxa"/>
            <w:left w:w="36" w:type="dxa"/>
            <w:bottom w:w="36" w:type="dxa"/>
            <w:right w:w="36" w:type="dxa"/>
          </w:tblCellMar>
        </w:tblPrEx>
        <w:trPr>
          <w:trHeight w:val="380" w:hRule="atLeast"/>
        </w:trPr>
        <w:tc>
          <w:tcPr>
            <w:tcW w:w="212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4B27856">
            <w:pPr>
              <w:spacing w:before="0" w:after="0" w:line="240" w:lineRule="auto"/>
              <w:jc w:val="center"/>
            </w:pPr>
            <w:r>
              <w:rPr>
                <w:rFonts w:ascii="宋体" w:hAnsi="宋体" w:eastAsia="宋体"/>
                <w:b/>
                <w:i w:val="0"/>
                <w:color w:val="000000"/>
                <w:sz w:val="18"/>
              </w:rPr>
              <w:t>总分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2B089B2">
            <w:pPr>
              <w:spacing w:before="0" w:after="0" w:line="240" w:lineRule="auto"/>
              <w:jc w:val="center"/>
            </w:pPr>
            <w:r>
              <w:rPr>
                <w:rFonts w:ascii="宋体" w:hAnsi="宋体" w:eastAsia="宋体"/>
                <w:b w:val="0"/>
                <w:i w:val="0"/>
                <w:color w:val="000000"/>
                <w:sz w:val="18"/>
              </w:rPr>
              <w:t>100</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49CD049">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6B0E150">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792E75B7">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021D2437">
            <w:pPr>
              <w:spacing w:before="0" w:after="0" w:line="240" w:lineRule="auto"/>
              <w:jc w:val="center"/>
            </w:pPr>
            <w:r>
              <w:rPr>
                <w:rFonts w:ascii="宋体" w:hAnsi="宋体" w:eastAsia="宋体"/>
                <w:b w:val="0"/>
                <w:i w:val="0"/>
                <w:color w:val="000000"/>
                <w:sz w:val="18"/>
              </w:rPr>
              <w:t>99.81分</w:t>
            </w: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183CB2DF">
            <w:pPr>
              <w:spacing w:before="0" w:after="0" w:line="240" w:lineRule="auto"/>
              <w:jc w:val="center"/>
            </w:pPr>
          </w:p>
        </w:tc>
        <w:tc>
          <w:tcPr>
            <w:tcW w:w="493" w:type="dxa"/>
            <w:tcBorders>
              <w:top w:val="single" w:color="auto" w:sz="10" w:space="0"/>
              <w:left w:val="single" w:color="auto" w:sz="10" w:space="0"/>
              <w:bottom w:val="single" w:color="auto" w:sz="10" w:space="0"/>
              <w:right w:val="single" w:color="auto" w:sz="10" w:space="0"/>
              <w:insideV w:val="single" w:sz="10" w:space="0"/>
            </w:tcBorders>
            <w:vAlign w:val="center"/>
          </w:tcPr>
          <w:p w14:paraId="2E912951">
            <w:pPr>
              <w:spacing w:before="0" w:after="0" w:line="240" w:lineRule="auto"/>
              <w:jc w:val="center"/>
            </w:pPr>
          </w:p>
        </w:tc>
        <w:tc>
          <w:tcPr>
            <w:tcW w:w="674" w:type="dxa"/>
            <w:tcBorders>
              <w:top w:val="single" w:color="auto" w:sz="10" w:space="0"/>
              <w:left w:val="single" w:color="auto" w:sz="10" w:space="0"/>
              <w:bottom w:val="single" w:color="auto" w:sz="10" w:space="0"/>
              <w:right w:val="single" w:color="auto" w:sz="10" w:space="0"/>
              <w:insideV w:val="single" w:sz="10" w:space="0"/>
            </w:tcBorders>
            <w:vAlign w:val="center"/>
          </w:tcPr>
          <w:p w14:paraId="1098D849">
            <w:pPr>
              <w:spacing w:before="0" w:after="0" w:line="240" w:lineRule="auto"/>
              <w:jc w:val="center"/>
            </w:pP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11C78682">
            <w:pPr>
              <w:spacing w:before="0" w:after="0" w:line="240" w:lineRule="auto"/>
              <w:jc w:val="center"/>
            </w:pPr>
          </w:p>
        </w:tc>
        <w:tc>
          <w:tcPr>
            <w:tcW w:w="1390" w:type="dxa"/>
            <w:tcBorders>
              <w:top w:val="single" w:color="auto" w:sz="10" w:space="0"/>
              <w:left w:val="single" w:color="auto" w:sz="10" w:space="0"/>
              <w:bottom w:val="single" w:color="auto" w:sz="10" w:space="0"/>
              <w:right w:val="single" w:color="auto" w:sz="10" w:space="0"/>
              <w:insideV w:val="single" w:sz="10" w:space="0"/>
            </w:tcBorders>
            <w:vAlign w:val="center"/>
          </w:tcPr>
          <w:p w14:paraId="77FF2965">
            <w:pPr>
              <w:spacing w:before="0" w:after="0" w:line="240" w:lineRule="auto"/>
              <w:jc w:val="center"/>
            </w:pPr>
          </w:p>
        </w:tc>
      </w:tr>
    </w:tbl>
    <w:p w14:paraId="56D4CB67">
      <w:r>
        <w:br w:type="page"/>
      </w:r>
    </w:p>
    <w:p w14:paraId="6DB5CB96">
      <w:pPr>
        <w:sectPr>
          <w:type w:val="continuous"/>
          <w:pgSz w:w="11906" w:h="16838"/>
          <w:pgMar w:top="1440" w:right="1800" w:bottom="1440" w:left="1800" w:header="851" w:footer="992" w:gutter="0"/>
          <w:cols w:space="720" w:num="1"/>
          <w:docGrid w:type="lines" w:linePitch="312" w:charSpace="0"/>
        </w:sectPr>
      </w:pPr>
    </w:p>
    <w:p w14:paraId="0F2BD069">
      <w:pPr>
        <w:spacing w:line="640" w:lineRule="exact"/>
        <w:ind w:firstLine="640"/>
        <w:jc w:val="both"/>
        <w:outlineLvl w:val="2"/>
      </w:pPr>
      <w:r>
        <w:rPr>
          <w:rFonts w:ascii="黑体" w:hAnsi="黑体" w:eastAsia="黑体"/>
          <w:sz w:val="32"/>
        </w:rPr>
        <w:t>十二、其他需说明的事项</w:t>
      </w:r>
    </w:p>
    <w:p w14:paraId="2DDB4E10">
      <w:pPr>
        <w:spacing w:line="580" w:lineRule="exact"/>
        <w:ind w:firstLine="640"/>
        <w:jc w:val="both"/>
      </w:pPr>
      <w:r>
        <w:rPr>
          <w:rFonts w:ascii="仿宋_GB2312" w:hAnsi="仿宋_GB2312" w:eastAsia="仿宋_GB2312"/>
          <w:b w:val="0"/>
          <w:sz w:val="32"/>
        </w:rPr>
        <w:t>本单位无其他需说明的事项。</w:t>
      </w:r>
    </w:p>
    <w:p w14:paraId="7CE6ABB3">
      <w:r>
        <w:br w:type="page"/>
      </w:r>
    </w:p>
    <w:p w14:paraId="6D2DD082">
      <w:pPr>
        <w:spacing w:line="600" w:lineRule="exact"/>
        <w:jc w:val="center"/>
        <w:outlineLvl w:val="0"/>
      </w:pPr>
      <w:r>
        <w:rPr>
          <w:rFonts w:ascii="黑体" w:hAnsi="黑体" w:eastAsia="黑体"/>
          <w:sz w:val="32"/>
        </w:rPr>
        <w:t>第三部分 专业名词解释</w:t>
      </w:r>
    </w:p>
    <w:p w14:paraId="6AF24D28">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30A1D2BD">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DA25C88">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2BABED88">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7E409CF">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078C84D3">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7097B23F">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1DF9EF8C">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5C47F6ED">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22FB7926">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2923ECDA">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1F2FE286">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2E1FB347">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05A7155D">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5A8F07D4">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26D7AF88">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75708624">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262517AE">
      <w:r>
        <w:br w:type="page"/>
      </w:r>
    </w:p>
    <w:p w14:paraId="56196A25">
      <w:pPr>
        <w:spacing w:line="240" w:lineRule="auto"/>
        <w:jc w:val="center"/>
        <w:outlineLvl w:val="1"/>
      </w:pPr>
      <w:r>
        <w:rPr>
          <w:rFonts w:ascii="黑体" w:hAnsi="黑体" w:eastAsia="黑体"/>
          <w:sz w:val="32"/>
        </w:rPr>
        <w:t>第四部分 部门决算报表（见附表）</w:t>
      </w:r>
    </w:p>
    <w:p w14:paraId="42ABCE45">
      <w:pPr>
        <w:autoSpaceDE w:val="0"/>
        <w:autoSpaceDN w:val="0"/>
        <w:spacing w:line="600" w:lineRule="exact"/>
        <w:ind w:firstLine="640" w:firstLineChars="200"/>
      </w:pPr>
      <w:r>
        <w:rPr>
          <w:rFonts w:ascii="仿宋_GB2312" w:hAnsi="仿宋_GB2312" w:eastAsia="仿宋_GB2312"/>
          <w:b w:val="0"/>
          <w:sz w:val="32"/>
        </w:rPr>
        <w:t>一、《收入支出决算总表》</w:t>
      </w:r>
    </w:p>
    <w:p w14:paraId="4A1CE304">
      <w:pPr>
        <w:autoSpaceDE w:val="0"/>
        <w:autoSpaceDN w:val="0"/>
        <w:spacing w:line="600" w:lineRule="exact"/>
        <w:ind w:firstLine="640" w:firstLineChars="200"/>
      </w:pPr>
      <w:r>
        <w:rPr>
          <w:rFonts w:ascii="仿宋_GB2312" w:hAnsi="仿宋_GB2312" w:eastAsia="仿宋_GB2312"/>
          <w:b w:val="0"/>
          <w:sz w:val="32"/>
        </w:rPr>
        <w:t>二、《收入决算表》</w:t>
      </w:r>
    </w:p>
    <w:p w14:paraId="1BA91273">
      <w:pPr>
        <w:autoSpaceDE w:val="0"/>
        <w:autoSpaceDN w:val="0"/>
        <w:spacing w:line="600" w:lineRule="exact"/>
        <w:ind w:firstLine="640" w:firstLineChars="200"/>
      </w:pPr>
      <w:r>
        <w:rPr>
          <w:rFonts w:ascii="仿宋_GB2312" w:hAnsi="仿宋_GB2312" w:eastAsia="仿宋_GB2312"/>
          <w:b w:val="0"/>
          <w:sz w:val="32"/>
        </w:rPr>
        <w:t>三、《支出决算表》</w:t>
      </w:r>
    </w:p>
    <w:p w14:paraId="74C8F753">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756AAEC4">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458DDA34">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3D7DCBFB">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65AD976D">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6BFDCB4C">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4722184A">
      <w:pPr>
        <w:autoSpaceDE w:val="0"/>
        <w:autoSpaceDN w:val="0"/>
        <w:spacing w:line="600" w:lineRule="exact"/>
        <w:ind w:firstLine="640" w:firstLineChars="200"/>
      </w:pPr>
    </w:p>
    <w:p w14:paraId="532EAE74">
      <w:pPr>
        <w:autoSpaceDE w:val="0"/>
        <w:autoSpaceDN w:val="0"/>
        <w:spacing w:line="600" w:lineRule="exact"/>
        <w:ind w:firstLine="640" w:firstLineChars="200"/>
      </w:pPr>
    </w:p>
    <w:p w14:paraId="56B6CF68">
      <w:pPr>
        <w:autoSpaceDE w:val="0"/>
        <w:autoSpaceDN w:val="0"/>
        <w:spacing w:line="600" w:lineRule="exact"/>
        <w:ind w:firstLine="640" w:firstLineChars="200"/>
      </w:pPr>
    </w:p>
    <w:p w14:paraId="4B4BAC7F">
      <w:pPr>
        <w:autoSpaceDE w:val="0"/>
        <w:autoSpaceDN w:val="0"/>
        <w:spacing w:line="600" w:lineRule="exact"/>
        <w:ind w:firstLine="640" w:firstLineChars="200"/>
      </w:pPr>
    </w:p>
    <w:p w14:paraId="3B516C9E">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40ADC04-F495-46E5-B706-C164AA5F3F5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39469B51-07B3-4CB1-B3FE-EC50E50A6C44}"/>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3" w:fontKey="{6BA0CC55-6ED1-48F7-B423-69DF1B3E458D}"/>
  </w:font>
  <w:font w:name="楷体_GB2312">
    <w:altName w:val="楷体"/>
    <w:panose1 w:val="00000000000000000000"/>
    <w:charset w:val="00"/>
    <w:family w:val="auto"/>
    <w:pitch w:val="default"/>
    <w:sig w:usb0="00000000" w:usb1="00000000" w:usb2="00000000" w:usb3="00000000" w:csb0="00000000" w:csb1="00000000"/>
    <w:embedRegular r:id="rId4" w:fontKey="{9966D2EF-B5BC-43FF-97A9-E6F427B5354C}"/>
  </w:font>
  <w:font w:name="KSOF8080F95D">
    <w:panose1 w:val="020B0503020204020204"/>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08634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C22F43"/>
    <w:rsid w:val="1FE96E5D"/>
    <w:rsid w:val="2064678E"/>
    <w:rsid w:val="20DD6197"/>
    <w:rsid w:val="219F0AC7"/>
    <w:rsid w:val="21F317F2"/>
    <w:rsid w:val="2241392C"/>
    <w:rsid w:val="23BC04D2"/>
    <w:rsid w:val="25275618"/>
    <w:rsid w:val="27CF2642"/>
    <w:rsid w:val="282459E2"/>
    <w:rsid w:val="2A053397"/>
    <w:rsid w:val="2A444FB1"/>
    <w:rsid w:val="2A6064E2"/>
    <w:rsid w:val="2BA9200B"/>
    <w:rsid w:val="2D1136DF"/>
    <w:rsid w:val="2DAE0E44"/>
    <w:rsid w:val="2EB07E70"/>
    <w:rsid w:val="2F9123DE"/>
    <w:rsid w:val="2F9E416C"/>
    <w:rsid w:val="2FD27414"/>
    <w:rsid w:val="313F1D52"/>
    <w:rsid w:val="318029AB"/>
    <w:rsid w:val="319D6C1C"/>
    <w:rsid w:val="31C63837"/>
    <w:rsid w:val="326F0A17"/>
    <w:rsid w:val="34623382"/>
    <w:rsid w:val="34733E19"/>
    <w:rsid w:val="390019F4"/>
    <w:rsid w:val="3914510A"/>
    <w:rsid w:val="3B1220C9"/>
    <w:rsid w:val="3D5275AC"/>
    <w:rsid w:val="3D55093B"/>
    <w:rsid w:val="3EA7725F"/>
    <w:rsid w:val="40834692"/>
    <w:rsid w:val="40842F0A"/>
    <w:rsid w:val="423A32B2"/>
    <w:rsid w:val="464B7E04"/>
    <w:rsid w:val="46901EEE"/>
    <w:rsid w:val="469C74D2"/>
    <w:rsid w:val="47445515"/>
    <w:rsid w:val="48E21116"/>
    <w:rsid w:val="49C97D5C"/>
    <w:rsid w:val="49F5131D"/>
    <w:rsid w:val="4A331C29"/>
    <w:rsid w:val="4AE426AE"/>
    <w:rsid w:val="4B4C0111"/>
    <w:rsid w:val="4D3F1CC6"/>
    <w:rsid w:val="4D730311"/>
    <w:rsid w:val="505A358E"/>
    <w:rsid w:val="50DB5F45"/>
    <w:rsid w:val="52F92565"/>
    <w:rsid w:val="55DA564E"/>
    <w:rsid w:val="56E07045"/>
    <w:rsid w:val="57460880"/>
    <w:rsid w:val="583059FA"/>
    <w:rsid w:val="587E6212"/>
    <w:rsid w:val="58D10A34"/>
    <w:rsid w:val="59973ABF"/>
    <w:rsid w:val="5A74678C"/>
    <w:rsid w:val="5AFC6609"/>
    <w:rsid w:val="5C3B09A8"/>
    <w:rsid w:val="5CB14C2F"/>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3bf6f3ad-141d-4949-99ef-c3167d6ad658</errorID>
      <errorWord>法律、法规</errorWord>
      <group>L1_Word</group>
      <groupName>字词问题</groupName>
      <ability>L2_Typo</ability>
      <abilityName>字词错误</abilityName>
      <candidateList>
        <item>法律法规</item>
      </candidateList>
      <explain/>
      <paraID>1CFA3AD2</paraID>
      <start>120</start>
      <end>124</end>
      <status>modified</status>
      <modifiedWord>法律法规</modifiedWord>
      <trackRevisions>false</trackRevisions>
    </reviewItem>
    <reviewItem>
      <errorID>7423efe9-9e48-44e8-a131-99fe16626254</errorID>
      <errorWord>驻村</errorWord>
      <group>L1_Sensitive</group>
      <groupName>敏感问题</groupName>
      <ability>L2_UserSensitive</ability>
      <abilityName>自定义敏感词</abilityName>
      <candidateList/>
      <explain>来自自定义敏感词库。</explain>
      <paraID>27CAECC9</paraID>
      <start>133</start>
      <end>135</end>
      <status>unmodified</status>
      <modifiedWord/>
      <trackRevisions>false</trackRevisions>
    </reviewItem>
    <reviewItem>
      <errorID>3e4ffe59-8874-40c8-863c-97566e432988</errorID>
      <errorWord>驻村</errorWord>
      <group>L1_Sensitive</group>
      <groupName>敏感问题</groupName>
      <ability>L2_UserSensitive</ability>
      <abilityName>自定义敏感词</abilityName>
      <candidateList/>
      <explain>来自自定义敏感词库。</explain>
      <paraID>27CAECC9</paraID>
      <start>146</start>
      <end>148</end>
      <status>unmodified</status>
      <modifiedWord/>
      <trackRevisions>false</trackRevisions>
    </reviewItem>
    <reviewItem>
      <errorID>1526e1a8-0a23-4d81-b4f7-8ea038ec7ee0</errorID>
      <errorWord>驻村</errorWord>
      <group>L1_Sensitive</group>
      <groupName>敏感问题</groupName>
      <ability>L2_UserSensitive</ability>
      <abilityName>自定义敏感词</abilityName>
      <candidateList/>
      <explain>来自自定义敏感词库。</explain>
      <paraID>2209CF54</paraID>
      <start>167</start>
      <end>169</end>
      <status>unmodified</status>
      <modifiedWord/>
      <trackRevisions>false</trackRevisions>
    </reviewItem>
    <reviewItem>
      <errorID>af17b29a-05d1-45fe-b058-2c27b4ee2e7d</errorID>
      <errorWord>驻村</errorWord>
      <group>L1_Sensitive</group>
      <groupName>敏感问题</groupName>
      <ability>L2_UserSensitive</ability>
      <abilityName>自定义敏感词</abilityName>
      <candidateList/>
      <explain>来自自定义敏感词库。</explain>
      <paraID>2209CF54</paraID>
      <start>180</start>
      <end>182</end>
      <status>unmodified</status>
      <modifiedWord/>
      <trackRevisions>false</trackRevisions>
    </reviewItem>
    <reviewItem>
      <errorID>0749cbaf-0f10-4293-99c0-72f401296fa4</errorID>
      <errorWord>我单位</errorWord>
      <group>L1_Other</group>
      <groupName>其他问题</groupName>
      <ability>L2_UserTypo</ability>
      <abilityName>自定义错误</abilityName>
      <candidateList>
        <item>本单位</item>
      </candidateList>
      <explain>来自自定义错词库。</explain>
      <paraID>2449A12E</paraID>
      <start>94</start>
      <end>97</end>
      <status>modified</status>
      <modifiedWord>本单位</modifiedWord>
      <trackRevisions>false</trackRevisions>
    </reviewItem>
    <reviewItem>
      <errorID>60c7ecfc-e96b-41b5-99e9-06d80eb4136c</errorID>
      <errorWord>水利执法</errorWord>
      <group>L1_Other</group>
      <groupName>其他问题</groupName>
      <ability>L2_UserTypo</ability>
      <abilityName>自定义错误</abilityName>
      <candidateList>
        <item>水行政执法</item>
      </candidateList>
      <explain>来自自定义错词库。</explain>
      <paraID>26A688F4</paraID>
      <start>16</start>
      <end>20</end>
      <status>unmodified</status>
      <modifiedWord/>
      <trackRevisions>false</trackRevisions>
    </reviewItem>
    <reviewItem>
      <errorID>63ce2ec1-470c-4b83-a1a1-4e75f9b6bcde</errorID>
      <errorWord>％</errorWord>
      <group>L1_Format</group>
      <groupName>格式问题</groupName>
      <ability>L2_HalfPunc_CN</ability>
      <abilityName>全半角问题</abilityName>
      <candidateList>
        <item>%</item>
      </candidateList>
      <explain>文本全半角错误。</explain>
      <paraID>2483F5DC</paraID>
      <start>4</start>
      <end>5</end>
      <status>modified</status>
      <modifiedWord>%</modifiedWord>
      <trackRevisions>false</trackRevisions>
    </reviewItem>
    <reviewItem>
      <errorID>9ac749ae-e9b0-43f1-a9e1-a409bc712fc4</errorID>
      <errorWord>％</errorWord>
      <group>L1_Format</group>
      <groupName>格式问题</groupName>
      <ability>L2_HalfPunc_CN</ability>
      <abilityName>全半角问题</abilityName>
      <candidateList>
        <item>%</item>
      </candidateList>
      <explain>文本全半角错误。</explain>
      <paraID>30115A32</paraID>
      <start>4</start>
      <end>5</end>
      <status>modified</status>
      <modifiedWord>%</modifiedWord>
      <trackRevisions>false</trackRevisions>
    </reviewItem>
    <reviewItem>
      <errorID>e9432c49-e466-4979-bf13-3a550556e8a2</errorID>
      <errorWord>万</errorWord>
      <group>L1_Word</group>
      <groupName>字词问题</groupName>
      <ability>L2_Typo</ability>
      <abilityName>字词错误</abilityName>
      <candidateList>
        <item>万元</item>
      </candidateList>
      <explain/>
      <paraID>51D8FE1F</paraID>
      <start>4</start>
      <end>6</end>
      <status>modified</status>
      <modifiedWord>万元</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7287d7a6-a2e9-4d8d-8873-4c9836efba8c}">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5989</Words>
  <Characters>6833</Characters>
  <Lines>10</Lines>
  <Paragraphs>2</Paragraphs>
  <TotalTime>3</TotalTime>
  <ScaleCrop>false</ScaleCrop>
  <LinksUpToDate>false</LinksUpToDate>
  <CharactersWithSpaces>6841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忆</cp:lastModifiedBy>
  <cp:lastPrinted>2024-07-22T11:58:00Z</cp:lastPrinted>
  <dcterms:modified xsi:type="dcterms:W3CDTF">2026-08-28T08:16:26Z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eyJoZGlkIjoiZWE5M2E4OTRkNmEwYTUyNjM2Mzg3NThiMTA5NmIzZWUiLCJ1c2VySWQiOiI0OTMxMTE3MjUifQ==</vt:lpwstr>
  </property>
</Properties>
</file>