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新疆维吾尔自治区水利厅水资源规划研究所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E48FF6C">
      <w:r>
        <w:br w:type="page"/>
      </w:r>
    </w:p>
    <w:p w14:paraId="5D1AD1D1">
      <w:pPr>
        <w:spacing w:line="640" w:lineRule="exact"/>
        <w:jc w:val="center"/>
        <w:outlineLvl w:val="1"/>
      </w:pPr>
      <w:r>
        <w:rPr>
          <w:rFonts w:ascii="黑体" w:hAnsi="黑体" w:eastAsia="黑体"/>
          <w:sz w:val="32"/>
        </w:rPr>
        <w:t>第一部分 单位概况</w:t>
      </w:r>
    </w:p>
    <w:p w14:paraId="1CBD1504">
      <w:pPr>
        <w:spacing w:line="640" w:lineRule="exact"/>
        <w:ind w:firstLine="640"/>
        <w:jc w:val="both"/>
        <w:outlineLvl w:val="2"/>
      </w:pPr>
      <w:r>
        <w:rPr>
          <w:rFonts w:ascii="黑体" w:hAnsi="黑体" w:eastAsia="黑体"/>
          <w:sz w:val="32"/>
        </w:rPr>
        <w:t>一、主要职能</w:t>
      </w:r>
    </w:p>
    <w:p w14:paraId="2B96E2FC">
      <w:pPr>
        <w:spacing w:line="580" w:lineRule="exact"/>
        <w:ind w:firstLine="640"/>
        <w:jc w:val="both"/>
      </w:pPr>
      <w:r>
        <w:rPr>
          <w:rFonts w:ascii="仿宋_GB2312" w:hAnsi="仿宋_GB2312" w:eastAsia="仿宋_GB2312"/>
          <w:sz w:val="32"/>
        </w:rPr>
        <w:t>新疆维吾尔自治区水利厅水资源规划研究所主要职能为参与自治区水利发展与水安全战略规划、水利改革发展规划、水资源综合规划、水中长期供求规划等规划编制，承担相关规划的水资源优化配置工作；承担自治区重大水利综合规划、节约用水等相关专业专项规划，有关重点流域综合规划、节约用水等相关专业专项规划的编制和实施评估；承担全区水利综合规划、相关专业专项规划等咨询、技术服务；开展自治区水利战略规划、发展规划、重大综合规划和专业专项规划等相关水资源规划研究；开展水资源开发、利用、保护及可持续利用的研究论证，开展与节约用水、水资源高效利用及水生态等有关研究工作；承办厅党组交办的其他事项。</w:t>
      </w:r>
    </w:p>
    <w:p w14:paraId="3AA1FD57">
      <w:pPr>
        <w:spacing w:line="640" w:lineRule="exact"/>
        <w:ind w:firstLine="640"/>
        <w:jc w:val="both"/>
        <w:outlineLvl w:val="2"/>
      </w:pPr>
      <w:r>
        <w:rPr>
          <w:rFonts w:ascii="黑体" w:hAnsi="黑体" w:eastAsia="黑体"/>
          <w:sz w:val="32"/>
        </w:rPr>
        <w:t>二、机构设置</w:t>
      </w:r>
    </w:p>
    <w:p w14:paraId="460A26AA">
      <w:pPr>
        <w:spacing w:line="580" w:lineRule="exact"/>
        <w:ind w:firstLine="640"/>
        <w:jc w:val="both"/>
      </w:pPr>
      <w:r>
        <w:rPr>
          <w:rFonts w:ascii="仿宋_GB2312" w:hAnsi="仿宋_GB2312" w:eastAsia="仿宋_GB2312"/>
          <w:sz w:val="32"/>
        </w:rPr>
        <w:t>新疆维吾尔自治区水利厅水资源规划研究所无下属预算单位。</w:t>
      </w:r>
    </w:p>
    <w:p w14:paraId="0BE34074">
      <w:r>
        <w:br w:type="page"/>
      </w:r>
    </w:p>
    <w:p w14:paraId="085D65B4">
      <w:pPr>
        <w:spacing w:line="240" w:lineRule="auto"/>
        <w:jc w:val="center"/>
        <w:outlineLvl w:val="1"/>
      </w:pPr>
      <w:r>
        <w:rPr>
          <w:rFonts w:ascii="黑体" w:hAnsi="黑体" w:eastAsia="黑体"/>
          <w:sz w:val="32"/>
        </w:rPr>
        <w:t>第二部分 部门决算情况说明</w:t>
      </w:r>
    </w:p>
    <w:p w14:paraId="6EA77684">
      <w:pPr>
        <w:spacing w:line="640" w:lineRule="exact"/>
        <w:ind w:firstLine="640"/>
        <w:jc w:val="both"/>
        <w:outlineLvl w:val="2"/>
      </w:pPr>
      <w:r>
        <w:rPr>
          <w:rFonts w:ascii="黑体" w:hAnsi="黑体" w:eastAsia="黑体"/>
          <w:sz w:val="32"/>
        </w:rPr>
        <w:t>一、收入支出决算总体情况说明</w:t>
      </w:r>
    </w:p>
    <w:p w14:paraId="152C005C">
      <w:pPr>
        <w:spacing w:line="580" w:lineRule="exact"/>
        <w:ind w:firstLine="640"/>
        <w:jc w:val="both"/>
      </w:pPr>
      <w:r>
        <w:rPr>
          <w:rFonts w:ascii="仿宋_GB2312" w:hAnsi="仿宋_GB2312" w:eastAsia="仿宋_GB2312"/>
          <w:b/>
          <w:sz w:val="32"/>
        </w:rPr>
        <w:t>2025年度收入总计1,364.54万元，</w:t>
      </w:r>
      <w:r>
        <w:rPr>
          <w:rFonts w:ascii="仿宋_GB2312" w:hAnsi="仿宋_GB2312" w:eastAsia="仿宋_GB2312"/>
          <w:b w:val="0"/>
          <w:sz w:val="32"/>
        </w:rPr>
        <w:t>其中：本年收入合计1,203.82万元，使用非财政拨款结余（含专用结余）4.36万元，年初结转和结余156.36万元。</w:t>
      </w:r>
    </w:p>
    <w:p w14:paraId="2DA9CFE8">
      <w:pPr>
        <w:spacing w:line="580" w:lineRule="exact"/>
        <w:ind w:firstLine="640"/>
        <w:jc w:val="both"/>
      </w:pPr>
      <w:r>
        <w:rPr>
          <w:rFonts w:ascii="仿宋_GB2312" w:hAnsi="仿宋_GB2312" w:eastAsia="仿宋_GB2312"/>
          <w:b/>
          <w:sz w:val="32"/>
        </w:rPr>
        <w:t>2025年度支出总计1,364.54万元，</w:t>
      </w:r>
      <w:r>
        <w:rPr>
          <w:rFonts w:ascii="仿宋_GB2312" w:hAnsi="仿宋_GB2312" w:eastAsia="仿宋_GB2312"/>
          <w:b w:val="0"/>
          <w:sz w:val="32"/>
        </w:rPr>
        <w:t>其中：本年支出合计1,143.91万元，结余分配0.00万元，年末结转和结余220.64万元。</w:t>
      </w:r>
    </w:p>
    <w:p w14:paraId="75F6C4CB">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减少177.85万元，下降11.53%，主要原因是：本年课题项目资金较上年减少。</w:t>
      </w:r>
    </w:p>
    <w:p w14:paraId="51A377F5">
      <w:pPr>
        <w:spacing w:line="640" w:lineRule="exact"/>
        <w:ind w:firstLine="640"/>
        <w:jc w:val="both"/>
        <w:outlineLvl w:val="2"/>
      </w:pPr>
      <w:r>
        <w:rPr>
          <w:rFonts w:ascii="黑体" w:hAnsi="黑体" w:eastAsia="黑体"/>
          <w:sz w:val="32"/>
        </w:rPr>
        <w:t>二、收入决算情况说明</w:t>
      </w:r>
    </w:p>
    <w:p w14:paraId="3DE851F3">
      <w:pPr>
        <w:spacing w:line="580" w:lineRule="exact"/>
        <w:ind w:firstLine="640"/>
        <w:jc w:val="both"/>
      </w:pPr>
      <w:r>
        <w:rPr>
          <w:rFonts w:ascii="仿宋_GB2312" w:hAnsi="仿宋_GB2312" w:eastAsia="仿宋_GB2312"/>
          <w:b/>
          <w:sz w:val="32"/>
        </w:rPr>
        <w:t>本年收入1,203.82万元，</w:t>
      </w:r>
      <w:r>
        <w:rPr>
          <w:rFonts w:ascii="仿宋_GB2312" w:hAnsi="仿宋_GB2312" w:eastAsia="仿宋_GB2312"/>
          <w:b w:val="0"/>
          <w:sz w:val="32"/>
        </w:rPr>
        <w:t>其中：财政拨款收入806.60万元，占67.00%；上级补助收入0.00万元，占0.00%；事业收入0.00万元，占0.00%；经营收入21.80万元，占1.81%；附属单位上缴收入0.00万元，占0.00%；其他收入375.43万元，占31.19%。</w:t>
      </w:r>
    </w:p>
    <w:p w14:paraId="6AAEAADE">
      <w:pPr>
        <w:spacing w:line="640" w:lineRule="exact"/>
        <w:ind w:firstLine="640"/>
        <w:jc w:val="both"/>
        <w:outlineLvl w:val="2"/>
      </w:pPr>
      <w:r>
        <w:rPr>
          <w:rFonts w:ascii="黑体" w:hAnsi="黑体" w:eastAsia="黑体"/>
          <w:sz w:val="32"/>
        </w:rPr>
        <w:t>三、支出决算情况说明</w:t>
      </w:r>
    </w:p>
    <w:p w14:paraId="0707B1EE">
      <w:pPr>
        <w:spacing w:line="580" w:lineRule="exact"/>
        <w:ind w:firstLine="640"/>
        <w:jc w:val="both"/>
      </w:pPr>
      <w:r>
        <w:rPr>
          <w:rFonts w:ascii="仿宋_GB2312" w:hAnsi="仿宋_GB2312" w:eastAsia="仿宋_GB2312"/>
          <w:b/>
          <w:sz w:val="32"/>
        </w:rPr>
        <w:t>本年支出1,143.91万元，</w:t>
      </w:r>
      <w:r>
        <w:rPr>
          <w:rFonts w:ascii="仿宋_GB2312" w:hAnsi="仿宋_GB2312" w:eastAsia="仿宋_GB2312"/>
          <w:b w:val="0"/>
          <w:sz w:val="32"/>
        </w:rPr>
        <w:t>其中：基本支出787.81万元，占68.87%；项目支出334.30万元，占29.22%；上缴上级支出0.00万元，占0.00%；经营支出21.80万元，占1.91%；对附属单位补助支出0.00万元，占0.00%。</w:t>
      </w:r>
    </w:p>
    <w:p w14:paraId="616B1E87">
      <w:pPr>
        <w:spacing w:line="640" w:lineRule="exact"/>
        <w:ind w:firstLine="640"/>
        <w:jc w:val="both"/>
        <w:outlineLvl w:val="2"/>
      </w:pPr>
      <w:r>
        <w:rPr>
          <w:rFonts w:ascii="黑体" w:hAnsi="黑体" w:eastAsia="黑体"/>
          <w:sz w:val="32"/>
        </w:rPr>
        <w:t>四、财政拨款收入支出决算总体情况说明</w:t>
      </w:r>
    </w:p>
    <w:p w14:paraId="73402F4C">
      <w:pPr>
        <w:spacing w:line="580" w:lineRule="exact"/>
        <w:ind w:firstLine="640"/>
        <w:jc w:val="both"/>
      </w:pPr>
      <w:r>
        <w:rPr>
          <w:rFonts w:ascii="仿宋_GB2312" w:hAnsi="仿宋_GB2312" w:eastAsia="仿宋_GB2312"/>
          <w:b/>
          <w:sz w:val="32"/>
        </w:rPr>
        <w:t>2025年度财政拨款收入总计872.82万元，</w:t>
      </w:r>
      <w:r>
        <w:rPr>
          <w:rFonts w:ascii="仿宋_GB2312" w:hAnsi="仿宋_GB2312" w:eastAsia="仿宋_GB2312"/>
          <w:b w:val="0"/>
          <w:sz w:val="32"/>
        </w:rPr>
        <w:t>其中：年初财政拨款结转和结余66.22万元，本年财政拨款收入806.60万元。</w:t>
      </w:r>
      <w:r>
        <w:rPr>
          <w:rFonts w:ascii="仿宋_GB2312" w:hAnsi="仿宋_GB2312" w:eastAsia="仿宋_GB2312"/>
          <w:b/>
          <w:sz w:val="32"/>
        </w:rPr>
        <w:t>财政拨款支出总计872.82万元，</w:t>
      </w:r>
      <w:r>
        <w:rPr>
          <w:rFonts w:ascii="仿宋_GB2312" w:hAnsi="仿宋_GB2312" w:eastAsia="仿宋_GB2312"/>
          <w:b w:val="0"/>
          <w:sz w:val="32"/>
        </w:rPr>
        <w:t>其中：年末财政拨款结转和结余45.11万元，本年财政拨款支出827.71万元。</w:t>
      </w:r>
    </w:p>
    <w:p w14:paraId="3DA7B2A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减少16.16万元，下降1.82%，主要原因是：自治区水利发展资金项目财政拨款资金减少。</w:t>
      </w:r>
      <w:r>
        <w:rPr>
          <w:rFonts w:ascii="仿宋_GB2312" w:hAnsi="仿宋_GB2312" w:eastAsia="仿宋_GB2312"/>
          <w:b/>
          <w:sz w:val="32"/>
        </w:rPr>
        <w:t>与年初预算相比，</w:t>
      </w:r>
      <w:r>
        <w:rPr>
          <w:rFonts w:ascii="仿宋_GB2312" w:hAnsi="仿宋_GB2312" w:eastAsia="仿宋_GB2312"/>
          <w:b w:val="0"/>
          <w:sz w:val="32"/>
        </w:rPr>
        <w:t>年初预算数743.84万元，决算数872.82万元，预决算差异率17.34%，主要原因是：年中追加人员工资、社保、公积金基数调增部分资金，收自治区财政厅国库处转拨课题专项资金，导致预决算存在差异。</w:t>
      </w:r>
    </w:p>
    <w:p w14:paraId="563A9A4B">
      <w:pPr>
        <w:spacing w:line="640" w:lineRule="exact"/>
        <w:ind w:firstLine="640"/>
        <w:jc w:val="both"/>
        <w:outlineLvl w:val="2"/>
      </w:pPr>
      <w:r>
        <w:rPr>
          <w:rFonts w:ascii="黑体" w:hAnsi="黑体" w:eastAsia="黑体"/>
          <w:sz w:val="32"/>
        </w:rPr>
        <w:t>五、一般公共预算财政拨款支出决算情况说明</w:t>
      </w:r>
    </w:p>
    <w:p w14:paraId="3BEA3767">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了解全疆水资源开发利用现状、区域水资源供需情势，掌握区情水情和治水科学规律，积极开展与水资源优化配置相关的研究工作等重点支出，体现在有关支出科目中。</w:t>
      </w:r>
    </w:p>
    <w:p w14:paraId="1F870EDE">
      <w:pPr>
        <w:spacing w:line="580" w:lineRule="exact"/>
        <w:ind w:firstLine="640"/>
        <w:jc w:val="both"/>
      </w:pPr>
      <w:r>
        <w:rPr>
          <w:rFonts w:ascii="仿宋_GB2312" w:hAnsi="仿宋_GB2312" w:eastAsia="仿宋_GB2312"/>
          <w:b w:val="0"/>
          <w:sz w:val="32"/>
        </w:rPr>
        <w:t>按照支出功能分类，农林水支出（类）水利（款）水利行业业务管理（项）的支出占本年财政拨款支出总额的比重最高，2025年度决算数为557.52万元，占比67.36%，主要用于</w:t>
      </w:r>
      <w:r>
        <w:rPr>
          <w:rFonts w:hint="eastAsia" w:ascii="仿宋_GB2312" w:hAnsi="仿宋_GB2312" w:eastAsia="仿宋_GB2312"/>
          <w:b w:val="0"/>
          <w:sz w:val="32"/>
          <w:lang w:val="en-US" w:eastAsia="zh-CN"/>
        </w:rPr>
        <w:t>人员工资福利支出、</w:t>
      </w:r>
      <w:bookmarkStart w:id="0" w:name="_GoBack"/>
      <w:bookmarkEnd w:id="0"/>
      <w:r>
        <w:rPr>
          <w:rFonts w:ascii="仿宋_GB2312" w:hAnsi="仿宋_GB2312" w:eastAsia="仿宋_GB2312"/>
          <w:b w:val="0"/>
          <w:sz w:val="32"/>
        </w:rPr>
        <w:t>日常公用经费、自治区水利发展项目以及课题专项。</w:t>
      </w:r>
    </w:p>
    <w:p w14:paraId="5FB16697">
      <w:pPr>
        <w:spacing w:line="640" w:lineRule="exact"/>
        <w:ind w:firstLine="640"/>
        <w:jc w:val="both"/>
        <w:outlineLvl w:val="3"/>
      </w:pPr>
      <w:r>
        <w:rPr>
          <w:rFonts w:ascii="楷体_GB2312" w:hAnsi="楷体_GB2312" w:eastAsia="楷体_GB2312"/>
          <w:b/>
          <w:sz w:val="32"/>
        </w:rPr>
        <w:t>（一）一般公共预算财政拨款支出决算总体情况</w:t>
      </w:r>
    </w:p>
    <w:p w14:paraId="1D3523F8">
      <w:pPr>
        <w:spacing w:line="580" w:lineRule="exact"/>
        <w:ind w:firstLine="640"/>
        <w:jc w:val="both"/>
      </w:pPr>
      <w:r>
        <w:rPr>
          <w:rFonts w:ascii="仿宋_GB2312" w:hAnsi="仿宋_GB2312" w:eastAsia="仿宋_GB2312"/>
          <w:b/>
          <w:sz w:val="32"/>
        </w:rPr>
        <w:t>2025年度一般公共预算财政拨款支出827.71万元，</w:t>
      </w:r>
      <w:r>
        <w:rPr>
          <w:rFonts w:ascii="仿宋_GB2312" w:hAnsi="仿宋_GB2312" w:eastAsia="仿宋_GB2312"/>
          <w:b w:val="0"/>
          <w:sz w:val="32"/>
        </w:rPr>
        <w:t>占本年支出合计的72.36%。</w:t>
      </w:r>
      <w:r>
        <w:rPr>
          <w:rFonts w:ascii="仿宋_GB2312" w:hAnsi="仿宋_GB2312" w:eastAsia="仿宋_GB2312"/>
          <w:b/>
          <w:sz w:val="32"/>
        </w:rPr>
        <w:t>与上年相比，</w:t>
      </w:r>
      <w:r>
        <w:rPr>
          <w:rFonts w:ascii="仿宋_GB2312" w:hAnsi="仿宋_GB2312" w:eastAsia="仿宋_GB2312"/>
          <w:b w:val="0"/>
          <w:sz w:val="32"/>
        </w:rPr>
        <w:t>增加4.33万元，增长0.53%，主要原因是：在职人员工资调增、社保、公积金基数调增，人员经费增加。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年初预算数743.84万元，决算数827.71万元，预决算差异率11.28%，主要原因是：年中追加人员工资、社保、公积金基数调增部分资金，收自治区财政厅国库处转拨课题专项资金，导致预决算存在差异。</w:t>
      </w:r>
    </w:p>
    <w:p w14:paraId="18EA0672">
      <w:pPr>
        <w:spacing w:line="640" w:lineRule="exact"/>
        <w:ind w:firstLine="640"/>
        <w:jc w:val="both"/>
        <w:outlineLvl w:val="3"/>
      </w:pPr>
      <w:r>
        <w:rPr>
          <w:rFonts w:ascii="楷体_GB2312" w:hAnsi="楷体_GB2312" w:eastAsia="楷体_GB2312"/>
          <w:b/>
          <w:sz w:val="32"/>
        </w:rPr>
        <w:t>（二）一般公共预算财政拨款支出决算结构情况</w:t>
      </w:r>
    </w:p>
    <w:p w14:paraId="09B8C7EA">
      <w:pPr>
        <w:spacing w:line="580" w:lineRule="exact"/>
        <w:ind w:firstLine="640"/>
        <w:jc w:val="both"/>
      </w:pPr>
      <w:r>
        <w:rPr>
          <w:rFonts w:ascii="仿宋_GB2312" w:hAnsi="仿宋_GB2312" w:eastAsia="仿宋_GB2312"/>
          <w:b w:val="0"/>
          <w:sz w:val="32"/>
        </w:rPr>
        <w:t>1.社会保障和就业支出（类）150.85万元，占18.22%。</w:t>
      </w:r>
    </w:p>
    <w:p w14:paraId="47D16E9C">
      <w:pPr>
        <w:spacing w:line="580" w:lineRule="exact"/>
        <w:ind w:firstLine="640"/>
        <w:jc w:val="both"/>
      </w:pPr>
      <w:r>
        <w:rPr>
          <w:rFonts w:ascii="仿宋_GB2312" w:hAnsi="仿宋_GB2312" w:eastAsia="仿宋_GB2312"/>
          <w:b w:val="0"/>
          <w:sz w:val="32"/>
        </w:rPr>
        <w:t>2.卫生健康支出（类）68.34万元，占8.26%。</w:t>
      </w:r>
    </w:p>
    <w:p w14:paraId="6C7DA0E6">
      <w:pPr>
        <w:spacing w:line="580" w:lineRule="exact"/>
        <w:ind w:firstLine="640"/>
        <w:jc w:val="both"/>
      </w:pPr>
      <w:r>
        <w:rPr>
          <w:rFonts w:ascii="仿宋_GB2312" w:hAnsi="仿宋_GB2312" w:eastAsia="仿宋_GB2312"/>
          <w:b w:val="0"/>
          <w:sz w:val="32"/>
        </w:rPr>
        <w:t>3.农林水支出（类）557.52万元，占67.36%。</w:t>
      </w:r>
    </w:p>
    <w:p w14:paraId="67E1AC96">
      <w:pPr>
        <w:spacing w:line="580" w:lineRule="exact"/>
        <w:ind w:firstLine="640"/>
        <w:jc w:val="both"/>
      </w:pPr>
      <w:r>
        <w:rPr>
          <w:rFonts w:ascii="仿宋_GB2312" w:hAnsi="仿宋_GB2312" w:eastAsia="仿宋_GB2312"/>
          <w:b w:val="0"/>
          <w:sz w:val="32"/>
        </w:rPr>
        <w:t>4.住房保障支出（类）50.99万元，占6.16%。</w:t>
      </w:r>
    </w:p>
    <w:p w14:paraId="0C225A39">
      <w:pPr>
        <w:spacing w:line="640" w:lineRule="exact"/>
        <w:ind w:firstLine="640"/>
        <w:jc w:val="both"/>
        <w:outlineLvl w:val="3"/>
      </w:pPr>
      <w:r>
        <w:rPr>
          <w:rFonts w:ascii="楷体_GB2312" w:hAnsi="楷体_GB2312" w:eastAsia="楷体_GB2312"/>
          <w:b/>
          <w:sz w:val="32"/>
        </w:rPr>
        <w:t>（三）一般公共预算财政拨款支出决算具体情况</w:t>
      </w:r>
    </w:p>
    <w:p w14:paraId="7D150F4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1.社会保障和就业支出（类）行政事业单位养老支出（款）事业单位离退休（项）：支出决算数为16.78万元，比上年决算增加2.85万元，增长20.46%，主要原因是：本年增加退休人员基础绩效奖，退休费支出增加。</w:t>
      </w:r>
    </w:p>
    <w:p w14:paraId="02F5606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81.81万元，比上年决算增加16.33万元，增长24.94%，主要原因是：本年在职人员工资基数调增，养老缴费基数上涨，相应支出增加。</w:t>
      </w:r>
    </w:p>
    <w:p w14:paraId="4BEFA45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52.27万元，比上年决算增加20.73万元，增长65.73%，主要原因是：本年新增退休人员，职业年金缴费支出增加。</w:t>
      </w:r>
    </w:p>
    <w:p w14:paraId="11A6E8F5">
      <w:pPr>
        <w:spacing w:line="580" w:lineRule="exact"/>
        <w:ind w:firstLine="640"/>
        <w:jc w:val="both"/>
      </w:pPr>
      <w:r>
        <w:rPr>
          <w:rFonts w:ascii="仿宋_GB2312" w:hAnsi="仿宋_GB2312" w:eastAsia="仿宋_GB2312"/>
          <w:b w:val="0"/>
          <w:sz w:val="32"/>
        </w:rPr>
        <w:t>4.卫生健康支出（类）行政事业单位医疗（款）事业单位医疗（项）：支出决算数为38.08万元，比上年决算增加4.53万元，增长13.50%，主要原因是：本年在职人员工资基数调增，医疗缴费基数上涨，相应支出增加。</w:t>
      </w:r>
    </w:p>
    <w:p w14:paraId="07663306">
      <w:pPr>
        <w:spacing w:line="580" w:lineRule="exact"/>
        <w:ind w:firstLine="640"/>
        <w:jc w:val="both"/>
      </w:pPr>
      <w:r>
        <w:rPr>
          <w:rFonts w:ascii="仿宋_GB2312" w:hAnsi="仿宋_GB2312" w:eastAsia="仿宋_GB2312"/>
          <w:b w:val="0"/>
          <w:sz w:val="32"/>
        </w:rPr>
        <w:t>5.卫生健康支出（类）行政事业单位医疗（款）公务员医疗补助（项）：支出决算数为30.26万元，比上年决算增加1.97万元，增长6.96%，主要原因是：本年在职人员工资基数调增，医疗缴费基数上涨，相应支出增加。</w:t>
      </w:r>
    </w:p>
    <w:p w14:paraId="462B58E9">
      <w:pPr>
        <w:spacing w:line="580" w:lineRule="exact"/>
        <w:ind w:firstLine="640"/>
        <w:jc w:val="both"/>
      </w:pPr>
      <w:r>
        <w:rPr>
          <w:rFonts w:ascii="仿宋_GB2312" w:hAnsi="仿宋_GB2312" w:eastAsia="仿宋_GB2312"/>
          <w:b w:val="0"/>
          <w:sz w:val="32"/>
        </w:rPr>
        <w:t>6.农林水支出（类）水利（款）水利行业业务管理（项）：支出决算数为557.52万元，比上年决算减少38.26万元，下降6.42%，主要原因是：课题专项资金较上年减少。</w:t>
      </w:r>
    </w:p>
    <w:p w14:paraId="0039F0EF">
      <w:pPr>
        <w:spacing w:line="580" w:lineRule="exact"/>
        <w:ind w:firstLine="640"/>
        <w:jc w:val="both"/>
      </w:pPr>
      <w:r>
        <w:rPr>
          <w:rFonts w:ascii="仿宋_GB2312" w:hAnsi="仿宋_GB2312" w:eastAsia="仿宋_GB2312"/>
          <w:b w:val="0"/>
          <w:sz w:val="32"/>
        </w:rPr>
        <w:t>7.农林水支出（类）水利（款）水资源节约管理与保护（项）：支出决算数为0.00万元，比上年决算减少7.00万元，下降100.00%，主要原因是：本年减少新疆人才发展基金项目，故支出较上年下降。</w:t>
      </w:r>
    </w:p>
    <w:p w14:paraId="388459B8">
      <w:pPr>
        <w:spacing w:line="580" w:lineRule="exact"/>
        <w:ind w:firstLine="640"/>
        <w:jc w:val="both"/>
      </w:pPr>
      <w:r>
        <w:rPr>
          <w:rFonts w:ascii="仿宋_GB2312" w:hAnsi="仿宋_GB2312" w:eastAsia="仿宋_GB2312"/>
          <w:b w:val="0"/>
          <w:sz w:val="32"/>
        </w:rPr>
        <w:t>8.住房保障支出（类）住房改革支出（款）住房公积金（项）：支出决算数为50.99万元，比上年决算增加3.17万元，增长6.63%，主要原因是：本年在职人员工资基数调增，公积金缴费基数上涨，相应支出增加。</w:t>
      </w:r>
    </w:p>
    <w:p w14:paraId="517F39C3">
      <w:pPr>
        <w:spacing w:line="640" w:lineRule="exact"/>
        <w:ind w:firstLine="640"/>
        <w:jc w:val="both"/>
        <w:outlineLvl w:val="2"/>
      </w:pPr>
      <w:r>
        <w:rPr>
          <w:rFonts w:ascii="黑体" w:hAnsi="黑体" w:eastAsia="黑体"/>
          <w:sz w:val="32"/>
        </w:rPr>
        <w:t>六、一般公共预算财政拨款基本支出决算情况说明</w:t>
      </w:r>
    </w:p>
    <w:p w14:paraId="070FD154">
      <w:pPr>
        <w:spacing w:line="580" w:lineRule="exact"/>
        <w:ind w:firstLine="640"/>
        <w:jc w:val="both"/>
      </w:pPr>
      <w:r>
        <w:rPr>
          <w:rFonts w:ascii="仿宋_GB2312" w:hAnsi="仿宋_GB2312" w:eastAsia="仿宋_GB2312"/>
          <w:b w:val="0"/>
          <w:sz w:val="32"/>
        </w:rPr>
        <w:t>2025年度一般公共预算财政拨款基本支出782.71万元，其中：</w:t>
      </w:r>
      <w:r>
        <w:rPr>
          <w:rFonts w:ascii="仿宋_GB2312" w:hAnsi="仿宋_GB2312" w:eastAsia="仿宋_GB2312"/>
          <w:b/>
          <w:sz w:val="32"/>
        </w:rPr>
        <w:t>人员经费742.89万元，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奖励金、其他对个人和家庭的补助。</w:t>
      </w:r>
    </w:p>
    <w:p w14:paraId="5AA05768">
      <w:pPr>
        <w:spacing w:line="580" w:lineRule="exact"/>
        <w:ind w:firstLine="640"/>
        <w:jc w:val="both"/>
      </w:pPr>
      <w:r>
        <w:rPr>
          <w:rFonts w:ascii="仿宋_GB2312" w:hAnsi="仿宋_GB2312" w:eastAsia="仿宋_GB2312"/>
          <w:b/>
          <w:sz w:val="32"/>
        </w:rPr>
        <w:t>公用经费39.82万元，</w:t>
      </w:r>
      <w:r>
        <w:rPr>
          <w:rFonts w:ascii="仿宋_GB2312" w:hAnsi="仿宋_GB2312" w:eastAsia="仿宋_GB2312"/>
          <w:b w:val="0"/>
          <w:sz w:val="32"/>
        </w:rPr>
        <w:t>包括：办公费、水费、电费、邮电费、物业管理费、差旅费、培训费、工会经费、福利费、其他商品和服务支出。</w:t>
      </w:r>
    </w:p>
    <w:p w14:paraId="10B01CAA">
      <w:pPr>
        <w:spacing w:line="640" w:lineRule="exact"/>
        <w:ind w:firstLine="640"/>
        <w:jc w:val="both"/>
        <w:outlineLvl w:val="2"/>
      </w:pPr>
      <w:r>
        <w:rPr>
          <w:rFonts w:ascii="黑体" w:hAnsi="黑体" w:eastAsia="黑体"/>
          <w:sz w:val="32"/>
        </w:rPr>
        <w:t>七、政府性基金预算财政拨款收入支出决算情况说明</w:t>
      </w:r>
    </w:p>
    <w:p w14:paraId="73C8E31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F429857">
      <w:pPr>
        <w:spacing w:line="640" w:lineRule="exact"/>
        <w:ind w:firstLine="640"/>
        <w:jc w:val="both"/>
        <w:outlineLvl w:val="2"/>
      </w:pPr>
      <w:r>
        <w:rPr>
          <w:rFonts w:ascii="黑体" w:hAnsi="黑体" w:eastAsia="黑体"/>
          <w:sz w:val="32"/>
        </w:rPr>
        <w:t>八、国有资本经营预算财政拨款收入支出决算情况说明</w:t>
      </w:r>
    </w:p>
    <w:p w14:paraId="08EE857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EF7691E">
      <w:pPr>
        <w:spacing w:line="640" w:lineRule="exact"/>
        <w:ind w:firstLine="640"/>
        <w:jc w:val="both"/>
        <w:outlineLvl w:val="2"/>
      </w:pPr>
      <w:r>
        <w:rPr>
          <w:rFonts w:ascii="黑体" w:hAnsi="黑体" w:eastAsia="黑体"/>
          <w:sz w:val="32"/>
        </w:rPr>
        <w:t>九、财政拨款“三公”经费支出决算情况说明</w:t>
      </w:r>
    </w:p>
    <w:p w14:paraId="4774A645">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2EADBE86">
      <w:pPr>
        <w:spacing w:line="580" w:lineRule="exact"/>
        <w:ind w:firstLine="640"/>
        <w:jc w:val="both"/>
      </w:pPr>
      <w:r>
        <w:rPr>
          <w:rFonts w:ascii="仿宋_GB2312" w:hAnsi="仿宋_GB2312" w:eastAsia="仿宋_GB2312"/>
          <w:b/>
          <w:sz w:val="32"/>
        </w:rPr>
        <w:t>具体情况如下：</w:t>
      </w:r>
    </w:p>
    <w:p w14:paraId="7F2EFEDB">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EA2C27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单位业务用车，预算未安排公务用车运行维护费，由单位自有资金保障。</w:t>
      </w:r>
    </w:p>
    <w:p w14:paraId="01ACFE3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595516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9740CC6">
      <w:pPr>
        <w:spacing w:line="640" w:lineRule="exact"/>
        <w:ind w:firstLine="640"/>
        <w:jc w:val="both"/>
        <w:outlineLvl w:val="2"/>
      </w:pPr>
      <w:r>
        <w:rPr>
          <w:rFonts w:ascii="黑体" w:hAnsi="黑体" w:eastAsia="黑体"/>
          <w:sz w:val="32"/>
        </w:rPr>
        <w:t>十、其他重要事项的情况说明</w:t>
      </w:r>
    </w:p>
    <w:p w14:paraId="44EF70BC">
      <w:pPr>
        <w:spacing w:line="640" w:lineRule="exact"/>
        <w:ind w:firstLine="640"/>
        <w:jc w:val="both"/>
        <w:outlineLvl w:val="3"/>
      </w:pPr>
      <w:r>
        <w:rPr>
          <w:rFonts w:ascii="楷体_GB2312" w:hAnsi="楷体_GB2312" w:eastAsia="楷体_GB2312"/>
          <w:b/>
          <w:sz w:val="32"/>
        </w:rPr>
        <w:t>（一）机关运行经费及公用经费支出情况</w:t>
      </w:r>
    </w:p>
    <w:p w14:paraId="0D5BB5B7">
      <w:pPr>
        <w:spacing w:line="580" w:lineRule="exact"/>
        <w:ind w:firstLine="640"/>
        <w:jc w:val="both"/>
      </w:pPr>
      <w:r>
        <w:rPr>
          <w:rFonts w:ascii="仿宋_GB2312" w:hAnsi="仿宋_GB2312" w:eastAsia="仿宋_GB2312"/>
          <w:b w:val="0"/>
          <w:sz w:val="32"/>
        </w:rPr>
        <w:t>2025年度新疆维吾尔自治区水利厅水资源规划研究所（事业单位）公用经费支出39.82万元，比上年增加0.48万元，增长1.22%，主要原因是：本年业务量增加，导致公用经费小幅合理上涨。</w:t>
      </w:r>
    </w:p>
    <w:p w14:paraId="333D1A13">
      <w:pPr>
        <w:spacing w:line="640" w:lineRule="exact"/>
        <w:ind w:firstLine="640"/>
        <w:jc w:val="both"/>
        <w:outlineLvl w:val="3"/>
      </w:pPr>
      <w:r>
        <w:rPr>
          <w:rFonts w:ascii="楷体_GB2312" w:hAnsi="楷体_GB2312" w:eastAsia="楷体_GB2312"/>
          <w:b/>
          <w:sz w:val="32"/>
        </w:rPr>
        <w:t>（二）政府采购情况</w:t>
      </w:r>
    </w:p>
    <w:p w14:paraId="3C8AE30B">
      <w:pPr>
        <w:spacing w:line="580" w:lineRule="exact"/>
        <w:ind w:firstLine="640"/>
        <w:jc w:val="both"/>
      </w:pPr>
      <w:r>
        <w:rPr>
          <w:rFonts w:ascii="仿宋_GB2312" w:hAnsi="仿宋_GB2312" w:eastAsia="仿宋_GB2312"/>
          <w:b w:val="0"/>
          <w:sz w:val="32"/>
        </w:rPr>
        <w:t>2025年度政府采购支出总额22.66万元，其中：政府采购货物支出18.38万元、政府采购工程支出0.00万元、政府采购服务支出4.28万元。</w:t>
      </w:r>
    </w:p>
    <w:p w14:paraId="07B15077">
      <w:pPr>
        <w:spacing w:line="580" w:lineRule="exact"/>
        <w:ind w:firstLine="640"/>
        <w:jc w:val="both"/>
      </w:pPr>
      <w:r>
        <w:rPr>
          <w:rFonts w:ascii="仿宋_GB2312" w:hAnsi="仿宋_GB2312" w:eastAsia="仿宋_GB2312"/>
          <w:b w:val="0"/>
          <w:sz w:val="32"/>
        </w:rPr>
        <w:t>授予中小企业合同金额3.97万元，占政府采购支出总额的17.52%，其中：授予小微企业合同金额3.57万元，占政府采购支出总额的15.75%。</w:t>
      </w:r>
    </w:p>
    <w:p w14:paraId="72C53D8A">
      <w:pPr>
        <w:spacing w:line="640" w:lineRule="exact"/>
        <w:ind w:firstLine="640"/>
        <w:jc w:val="both"/>
        <w:outlineLvl w:val="3"/>
      </w:pPr>
      <w:r>
        <w:rPr>
          <w:rFonts w:ascii="楷体_GB2312" w:hAnsi="楷体_GB2312" w:eastAsia="楷体_GB2312"/>
          <w:b/>
          <w:sz w:val="32"/>
        </w:rPr>
        <w:t>（三）国有资产占用情况说明</w:t>
      </w:r>
    </w:p>
    <w:p w14:paraId="16FC2448">
      <w:pPr>
        <w:spacing w:line="580" w:lineRule="exact"/>
        <w:ind w:firstLine="640"/>
        <w:jc w:val="both"/>
      </w:pPr>
      <w:r>
        <w:rPr>
          <w:rFonts w:ascii="仿宋_GB2312" w:hAnsi="仿宋_GB2312" w:eastAsia="仿宋_GB2312"/>
          <w:b w:val="0"/>
          <w:sz w:val="32"/>
        </w:rPr>
        <w:t>截至2025年12月31日，房屋0.00平方米，价值0.00万元。车辆1辆，价值17.88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092B7E73">
      <w:pPr>
        <w:spacing w:line="640" w:lineRule="exact"/>
        <w:ind w:firstLine="640"/>
        <w:jc w:val="both"/>
        <w:outlineLvl w:val="2"/>
      </w:pPr>
      <w:r>
        <w:rPr>
          <w:rFonts w:ascii="黑体" w:hAnsi="黑体" w:eastAsia="黑体"/>
          <w:sz w:val="32"/>
        </w:rPr>
        <w:t>十一、预算绩效的情况说明</w:t>
      </w:r>
    </w:p>
    <w:p w14:paraId="0B8EBD24">
      <w:pPr>
        <w:spacing w:line="580" w:lineRule="exact"/>
        <w:ind w:firstLine="640"/>
        <w:jc w:val="both"/>
      </w:pPr>
      <w:r>
        <w:rPr>
          <w:rFonts w:ascii="仿宋_GB2312" w:hAnsi="仿宋_GB2312" w:eastAsia="仿宋_GB2312"/>
          <w:b w:val="0"/>
          <w:sz w:val="32"/>
        </w:rPr>
        <w:t>根据预算绩效管理要求，本单位预算绩效评价项目2个，全年预算数65.00万元，全年执行数64.89万元。预算绩效管理取得的成效：一是项目组按照《新疆水网建设规划》和《新疆水发展与水安全战略规划》总体布局，统筹做好上下衔接工作，督促相关地县两级区域水网建设规划编制工作，起到打通水网布局“最后一公里”，加快形成“城乡一体、互联互通”的区域水网体系作用，为单位全过程协同开展“十五五”水安全保障规划的业务研究、技术讨论、报告编制等工作奠定了坚实的平台，支撑和保障了新疆生态保护和经济社会高质量发展；深入开展大量调查研究工作，对重点领域、重点区域、重点地州水安全保障的短板和薄弱环节开展调研，充分了解全疆水资源开发利用现状、区域水资源供需情势，掌握区情水情和治水科学规律，以此形成了典型地区河湖长实施的调研分析工作，为河湖长实施提供了较强指导建议，同步开展了与水资源优化配置相关的研究工作。二是按照单位工作实际开展需要</w:t>
      </w:r>
      <w:r>
        <w:rPr>
          <w:rFonts w:hint="eastAsia" w:ascii="仿宋_GB2312" w:hAnsi="仿宋_GB2312" w:eastAsia="仿宋_GB2312"/>
          <w:b w:val="0"/>
          <w:sz w:val="32"/>
          <w:lang w:eastAsia="zh-CN"/>
        </w:rPr>
        <w:t>，经</w:t>
      </w:r>
      <w:r>
        <w:rPr>
          <w:rFonts w:ascii="仿宋_GB2312" w:hAnsi="仿宋_GB2312" w:eastAsia="仿宋_GB2312"/>
          <w:b w:val="0"/>
          <w:sz w:val="32"/>
        </w:rPr>
        <w:t>自治区财政厅批准同意，将预算指标“公务用车维修养护”变更为“公务车辆购置”指标，并严格按照规定进行公务用车购置，完成了车辆购置指标。发现的问题及原因：2024年8月自治区水资源规划研究所制定2025年度经营性预算指标为“公务用车维修养护”，2025年7月开始办理指标变更相关手续，2025年12月下旬自治区财政厅批准同意“公务用车维修养护”指标变更为“公务车辆购置”，2025年12月22日完成车辆购买后，已接近本年度尾声，因此截至2025年12月31日未进行车辆使用。下一步改进措施：高度重视预算工作，从思想上认识到预算要按照决算的标准考虑；充分谋划预算，严格按照单位主责主业、历年的业务工作开展情况及同技术支撑主管部门充分沟通的基础上，制定预算经费及指标，确保预算经费和指标的可实施</w:t>
      </w:r>
      <w:r>
        <w:rPr>
          <w:rFonts w:hint="eastAsia" w:ascii="仿宋_GB2312" w:hAnsi="仿宋_GB2312" w:eastAsia="仿宋_GB2312"/>
          <w:b w:val="0"/>
          <w:sz w:val="32"/>
          <w:lang w:eastAsia="zh-CN"/>
        </w:rPr>
        <w:t>性和</w:t>
      </w:r>
      <w:r>
        <w:rPr>
          <w:rFonts w:ascii="仿宋_GB2312" w:hAnsi="仿宋_GB2312" w:eastAsia="仿宋_GB2312"/>
          <w:b w:val="0"/>
          <w:sz w:val="32"/>
        </w:rPr>
        <w:t>必须性；确属客观不可抗力原因导致预算经费和指标调整，要第一时间响应，全程跟踪盯办，积极同上级主管部门和有关单位协调汇报，争取早日调整预算经费及指标，确保早日发挥资金效益。具体附项目支出绩效自评表。</w:t>
      </w:r>
    </w:p>
    <w:p w14:paraId="30FEDC7E">
      <w:r>
        <w:br w:type="page"/>
      </w:r>
    </w:p>
    <w:p w14:paraId="6C6A7B86">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5DF7FD0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7DE3FCA">
            <w:pPr>
              <w:spacing w:before="0" w:after="0" w:line="240" w:lineRule="auto"/>
              <w:jc w:val="center"/>
            </w:pPr>
            <w:r>
              <w:rPr>
                <w:rFonts w:ascii="宋体" w:hAnsi="宋体" w:eastAsia="宋体"/>
                <w:b/>
                <w:i w:val="0"/>
                <w:sz w:val="32"/>
              </w:rPr>
              <w:t>项目支出绩效自评表</w:t>
            </w:r>
          </w:p>
        </w:tc>
      </w:tr>
      <w:tr w14:paraId="6CB2DDB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262D9BB">
            <w:pPr>
              <w:spacing w:before="0" w:after="0" w:line="240" w:lineRule="auto"/>
              <w:jc w:val="center"/>
            </w:pPr>
            <w:r>
              <w:rPr>
                <w:rFonts w:ascii="宋体" w:hAnsi="宋体" w:eastAsia="宋体"/>
                <w:b w:val="0"/>
                <w:i w:val="0"/>
                <w:sz w:val="22"/>
              </w:rPr>
              <w:t>(2025年度)</w:t>
            </w:r>
          </w:p>
        </w:tc>
      </w:tr>
      <w:tr w14:paraId="043BD86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759A1">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5CA39D7">
            <w:pPr>
              <w:spacing w:before="0" w:after="0" w:line="240" w:lineRule="auto"/>
              <w:jc w:val="center"/>
            </w:pPr>
            <w:r>
              <w:rPr>
                <w:rFonts w:ascii="宋体" w:hAnsi="宋体" w:eastAsia="宋体"/>
                <w:b w:val="0"/>
                <w:i w:val="0"/>
                <w:sz w:val="18"/>
              </w:rPr>
              <w:t>水利厅水资源规划研究所-水利发展资金项目</w:t>
            </w:r>
          </w:p>
        </w:tc>
      </w:tr>
      <w:tr w14:paraId="25D8FA3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4B36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BDB7FD">
            <w:pPr>
              <w:spacing w:before="0" w:after="0" w:line="240" w:lineRule="auto"/>
              <w:jc w:val="center"/>
            </w:pPr>
            <w:r>
              <w:rPr>
                <w:rFonts w:hint="eastAsia"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B5DC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14CCA1">
            <w:pPr>
              <w:spacing w:before="0" w:after="0" w:line="240" w:lineRule="auto"/>
              <w:jc w:val="center"/>
            </w:pPr>
            <w:r>
              <w:rPr>
                <w:rFonts w:ascii="宋体" w:hAnsi="宋体" w:eastAsia="宋体"/>
                <w:b w:val="0"/>
                <w:i w:val="0"/>
                <w:sz w:val="18"/>
              </w:rPr>
              <w:t>新疆维吾尔自治区水利厅水资源规划研究所</w:t>
            </w:r>
          </w:p>
        </w:tc>
      </w:tr>
      <w:tr w14:paraId="67BFA195">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85D11">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ED1D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3823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1F44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BBE0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1AE2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FC4C7">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DC516">
            <w:pPr>
              <w:spacing w:before="0" w:after="0" w:line="240" w:lineRule="auto"/>
              <w:jc w:val="center"/>
            </w:pPr>
            <w:r>
              <w:rPr>
                <w:rFonts w:ascii="宋体" w:hAnsi="宋体" w:eastAsia="宋体"/>
                <w:b/>
                <w:i w:val="0"/>
                <w:sz w:val="18"/>
              </w:rPr>
              <w:t>得分</w:t>
            </w:r>
          </w:p>
        </w:tc>
      </w:tr>
      <w:tr w14:paraId="3D89BD4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D3FE90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47F5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2893C">
            <w:pPr>
              <w:spacing w:before="0" w:after="0" w:line="240" w:lineRule="auto"/>
              <w:jc w:val="center"/>
            </w:pPr>
            <w:r>
              <w:rPr>
                <w:rFonts w:ascii="宋体" w:hAnsi="宋体" w:eastAsia="宋体"/>
                <w:b w:val="0"/>
                <w:i w:val="0"/>
                <w:sz w:val="18"/>
              </w:rPr>
              <w:t>45.00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3E96F">
            <w:pPr>
              <w:spacing w:before="0" w:after="0" w:line="240" w:lineRule="auto"/>
              <w:jc w:val="center"/>
            </w:pPr>
            <w:r>
              <w:rPr>
                <w:rFonts w:ascii="宋体" w:hAnsi="宋体" w:eastAsia="宋体"/>
                <w:b w:val="0"/>
                <w:i w:val="0"/>
                <w:sz w:val="18"/>
              </w:rPr>
              <w:t>45.00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A61A9">
            <w:pPr>
              <w:spacing w:before="0" w:after="0" w:line="240" w:lineRule="auto"/>
              <w:jc w:val="center"/>
            </w:pPr>
            <w:r>
              <w:rPr>
                <w:rFonts w:ascii="宋体" w:hAnsi="宋体" w:eastAsia="宋体"/>
                <w:b w:val="0"/>
                <w:i w:val="0"/>
                <w:sz w:val="18"/>
              </w:rPr>
              <w:t>45.00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98EC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F9DF1">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A57AD">
            <w:pPr>
              <w:spacing w:before="0" w:after="0" w:line="240" w:lineRule="auto"/>
              <w:jc w:val="center"/>
            </w:pPr>
            <w:r>
              <w:rPr>
                <w:rFonts w:ascii="宋体" w:hAnsi="宋体" w:eastAsia="宋体"/>
                <w:b w:val="0"/>
                <w:i w:val="0"/>
                <w:sz w:val="18"/>
              </w:rPr>
              <w:t>10.00</w:t>
            </w:r>
          </w:p>
        </w:tc>
      </w:tr>
      <w:tr w14:paraId="72B695A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B35EAE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C2FF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98D00">
            <w:pPr>
              <w:spacing w:before="0" w:after="0" w:line="240" w:lineRule="auto"/>
              <w:jc w:val="center"/>
            </w:pPr>
            <w:r>
              <w:rPr>
                <w:rFonts w:ascii="宋体" w:hAnsi="宋体" w:eastAsia="宋体"/>
                <w:b w:val="0"/>
                <w:i w:val="0"/>
                <w:sz w:val="18"/>
              </w:rPr>
              <w:t>45.00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EA3CA">
            <w:pPr>
              <w:spacing w:before="0" w:after="0" w:line="240" w:lineRule="auto"/>
              <w:jc w:val="center"/>
            </w:pPr>
            <w:r>
              <w:rPr>
                <w:rFonts w:ascii="宋体" w:hAnsi="宋体" w:eastAsia="宋体"/>
                <w:b w:val="0"/>
                <w:i w:val="0"/>
                <w:sz w:val="18"/>
              </w:rPr>
              <w:t>45.00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2BC42">
            <w:pPr>
              <w:spacing w:before="0" w:after="0" w:line="240" w:lineRule="auto"/>
              <w:jc w:val="center"/>
            </w:pPr>
            <w:r>
              <w:rPr>
                <w:rFonts w:ascii="宋体" w:hAnsi="宋体" w:eastAsia="宋体"/>
                <w:b w:val="0"/>
                <w:i w:val="0"/>
                <w:sz w:val="18"/>
              </w:rPr>
              <w:t>45.00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213E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6DBA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D24BA">
            <w:pPr>
              <w:spacing w:before="0" w:after="0" w:line="240" w:lineRule="auto"/>
              <w:jc w:val="center"/>
            </w:pPr>
            <w:r>
              <w:rPr>
                <w:rFonts w:ascii="宋体" w:hAnsi="宋体" w:eastAsia="宋体"/>
                <w:b w:val="0"/>
                <w:i w:val="0"/>
                <w:sz w:val="18"/>
              </w:rPr>
              <w:t>-</w:t>
            </w:r>
          </w:p>
        </w:tc>
      </w:tr>
      <w:tr w14:paraId="24894B8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0B6E6B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BCE6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24D1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3964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1DA6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F44C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B850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D18066">
            <w:pPr>
              <w:spacing w:before="0" w:after="0" w:line="240" w:lineRule="auto"/>
              <w:jc w:val="center"/>
            </w:pPr>
            <w:r>
              <w:rPr>
                <w:rFonts w:ascii="宋体" w:hAnsi="宋体" w:eastAsia="宋体"/>
                <w:b w:val="0"/>
                <w:i w:val="0"/>
                <w:sz w:val="18"/>
              </w:rPr>
              <w:t>-</w:t>
            </w:r>
          </w:p>
        </w:tc>
      </w:tr>
      <w:tr w14:paraId="5F19152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4B03A">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5A03C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BB3834">
            <w:pPr>
              <w:spacing w:before="0" w:after="0" w:line="240" w:lineRule="auto"/>
              <w:jc w:val="center"/>
            </w:pPr>
            <w:r>
              <w:rPr>
                <w:rFonts w:ascii="宋体" w:hAnsi="宋体" w:eastAsia="宋体"/>
                <w:b/>
                <w:i w:val="0"/>
                <w:sz w:val="18"/>
              </w:rPr>
              <w:t>实际完成情况</w:t>
            </w:r>
          </w:p>
        </w:tc>
      </w:tr>
      <w:tr w14:paraId="52BCBE96">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8CB2F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A888F">
            <w:pPr>
              <w:spacing w:before="0" w:after="0" w:line="240" w:lineRule="auto"/>
              <w:jc w:val="center"/>
            </w:pPr>
            <w:r>
              <w:rPr>
                <w:rFonts w:ascii="宋体" w:hAnsi="宋体" w:eastAsia="宋体"/>
                <w:b w:val="0"/>
                <w:i w:val="0"/>
                <w:sz w:val="18"/>
              </w:rPr>
              <w:t>按照《新疆水网建设规划》和《新疆水发展与水安全战略规划》总体布局，统筹做好上下衔接工作，尽快完成地县两级区域水网建设规划编制工作，着力打通水网布局“最后一公里”，加快形成“城乡一体、互联互通”的区域水网体系，全过程协同开展“十五五”水安全保障规划的业务研究、技术讨论、报告编制等工作，支撑和保障新疆生态保护和经济社会高质量发展；二是深入开展调查研究，对重点领域、重点区域、重点地州水安全保障的短板和薄弱环节开展调研，了解全疆水资源开发利用现状、区域水资源供需情势，掌握区情水情和治水科学规律，积极开展与水资源优化配置相关的研究工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47487">
            <w:pPr>
              <w:spacing w:before="0" w:after="0" w:line="240" w:lineRule="auto"/>
              <w:jc w:val="center"/>
            </w:pPr>
            <w:r>
              <w:rPr>
                <w:rFonts w:ascii="宋体" w:hAnsi="宋体" w:eastAsia="宋体"/>
                <w:b w:val="0"/>
                <w:i w:val="0"/>
                <w:sz w:val="18"/>
              </w:rPr>
              <w:t>项目组按照《新疆水网建设规划》和《新疆水发展与水安全战略规划》总体布局，统筹做好上下衔接工作，督促相关地县两级区域水网建设规划编制工作，起到打通水网布局“最后一公里”，加快形成“城乡一体、互联互通”的区域水网体系作用，为单位全过程协同开展“十五五”水安全保障规划的业务研究、技术讨论、报告编制等工作奠定了坚实的平台，支撑和保障了新疆生态保护和经济社会高质量发展；深入开展大量调查研究工作，对重点领域、重点区域、重点地州水安全保障的短板和薄弱环节开展调研，充分了解全疆水资源开发利用现状、区域水资源供需情势，掌握区情水情和治水科学规律，以此形成了典型地区河湖长实施的调研分析工作，为河湖长实施提供了较强指导建议，同步开展了与水资源优化配置相关的研究工作。</w:t>
            </w:r>
          </w:p>
        </w:tc>
      </w:tr>
      <w:tr w14:paraId="25E5C46C">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BCB87">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74B7B">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6E9A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FED6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899E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E265B">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2ED14">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F3B43">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19A91">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F17B1">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23B07">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5224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7918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2EED6">
            <w:pPr>
              <w:spacing w:before="0" w:after="0" w:line="240" w:lineRule="auto"/>
              <w:jc w:val="center"/>
            </w:pPr>
            <w:r>
              <w:rPr>
                <w:rFonts w:ascii="宋体" w:hAnsi="宋体" w:eastAsia="宋体"/>
                <w:b/>
                <w:i w:val="0"/>
                <w:sz w:val="18"/>
              </w:rPr>
              <w:t>偏差原因分析及改进措施</w:t>
            </w:r>
          </w:p>
        </w:tc>
      </w:tr>
      <w:tr w14:paraId="5B1E0FF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C7EC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C6CD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A877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D10A7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A2314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C5C9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397F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0B4B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408A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D95C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2F045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4531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093E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493414"/>
        </w:tc>
      </w:tr>
      <w:tr w14:paraId="0FE5505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2DD4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10B4B">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65C0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0E37FD">
            <w:pPr>
              <w:spacing w:before="0" w:after="0" w:line="240" w:lineRule="auto"/>
              <w:jc w:val="center"/>
            </w:pPr>
            <w:r>
              <w:rPr>
                <w:rFonts w:ascii="宋体" w:hAnsi="宋体" w:eastAsia="宋体"/>
                <w:b w:val="0"/>
                <w:i w:val="0"/>
                <w:color w:val="000000"/>
                <w:sz w:val="18"/>
              </w:rPr>
              <w:t>提交技术成果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7B4F7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DFDEB">
            <w:pPr>
              <w:spacing w:before="0" w:after="0" w:line="240" w:lineRule="auto"/>
              <w:jc w:val="center"/>
            </w:pPr>
            <w:r>
              <w:rPr>
                <w:rFonts w:ascii="宋体" w:hAnsi="宋体" w:eastAsia="宋体"/>
                <w:b w:val="0"/>
                <w:i w:val="0"/>
                <w:sz w:val="18"/>
              </w:rPr>
              <w:t>&gt;=1个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05776">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9661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D19F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B3C8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2BFC3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9A4B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EB38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02FF0">
            <w:pPr>
              <w:spacing w:before="0" w:after="0" w:line="240" w:lineRule="auto"/>
              <w:jc w:val="center"/>
            </w:pPr>
          </w:p>
        </w:tc>
      </w:tr>
      <w:tr w14:paraId="71C9C1E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A33A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23709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7CE1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B7D68">
            <w:pPr>
              <w:spacing w:before="0" w:after="0" w:line="240" w:lineRule="auto"/>
              <w:jc w:val="center"/>
            </w:pPr>
            <w:r>
              <w:rPr>
                <w:rFonts w:ascii="宋体" w:hAnsi="宋体" w:eastAsia="宋体"/>
                <w:b w:val="0"/>
                <w:i w:val="0"/>
                <w:color w:val="000000"/>
                <w:sz w:val="18"/>
              </w:rPr>
              <w:t>咨询和技术评估频次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53F2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00EE2">
            <w:pPr>
              <w:spacing w:before="0" w:after="0" w:line="240" w:lineRule="auto"/>
              <w:jc w:val="center"/>
            </w:pPr>
            <w:r>
              <w:rPr>
                <w:rFonts w:ascii="宋体" w:hAnsi="宋体" w:eastAsia="宋体"/>
                <w:b w:val="0"/>
                <w:i w:val="0"/>
                <w:sz w:val="18"/>
              </w:rPr>
              <w:t>&gt;=2个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1FC44">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C49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FBA3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2B30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9899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6C982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453C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F2ADFA">
            <w:pPr>
              <w:spacing w:before="0" w:after="0" w:line="240" w:lineRule="auto"/>
              <w:jc w:val="center"/>
            </w:pPr>
          </w:p>
        </w:tc>
      </w:tr>
      <w:tr w14:paraId="5DEA669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EC4E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FE775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01C9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19DE4">
            <w:pPr>
              <w:spacing w:before="0" w:after="0" w:line="240" w:lineRule="auto"/>
              <w:jc w:val="center"/>
            </w:pPr>
            <w:r>
              <w:rPr>
                <w:rFonts w:ascii="宋体" w:hAnsi="宋体" w:eastAsia="宋体"/>
                <w:b w:val="0"/>
                <w:i w:val="0"/>
                <w:color w:val="000000"/>
                <w:sz w:val="18"/>
              </w:rPr>
              <w:t>开展业务研讨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138A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BA77B">
            <w:pPr>
              <w:spacing w:before="0" w:after="0" w:line="240" w:lineRule="auto"/>
              <w:jc w:val="center"/>
            </w:pPr>
            <w:r>
              <w:rPr>
                <w:rFonts w:ascii="宋体" w:hAnsi="宋体" w:eastAsia="宋体"/>
                <w:b w:val="0"/>
                <w:i w:val="0"/>
                <w:sz w:val="18"/>
              </w:rPr>
              <w:t>&gt;=3个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B0328">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909A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0B5E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26C70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CC03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01F7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A67F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13ABB6">
            <w:pPr>
              <w:spacing w:before="0" w:after="0" w:line="240" w:lineRule="auto"/>
              <w:jc w:val="center"/>
            </w:pPr>
          </w:p>
        </w:tc>
      </w:tr>
      <w:tr w14:paraId="6159944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9E36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331B3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37C52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6226F">
            <w:pPr>
              <w:spacing w:before="0" w:after="0" w:line="240" w:lineRule="auto"/>
              <w:jc w:val="center"/>
            </w:pPr>
            <w:r>
              <w:rPr>
                <w:rFonts w:ascii="宋体" w:hAnsi="宋体" w:eastAsia="宋体"/>
                <w:b w:val="0"/>
                <w:i w:val="0"/>
                <w:color w:val="000000"/>
                <w:sz w:val="18"/>
              </w:rPr>
              <w:t>调研和检查频次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D246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C937F7">
            <w:pPr>
              <w:spacing w:before="0" w:after="0" w:line="240" w:lineRule="auto"/>
              <w:jc w:val="center"/>
            </w:pPr>
            <w:r>
              <w:rPr>
                <w:rFonts w:ascii="宋体" w:hAnsi="宋体" w:eastAsia="宋体"/>
                <w:b w:val="0"/>
                <w:i w:val="0"/>
                <w:sz w:val="18"/>
              </w:rPr>
              <w:t>&gt;=3个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C9DE0D">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30CBB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95CE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E7D0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381E4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427D0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069F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81EA0">
            <w:pPr>
              <w:spacing w:before="0" w:after="0" w:line="240" w:lineRule="auto"/>
              <w:jc w:val="center"/>
            </w:pPr>
          </w:p>
        </w:tc>
      </w:tr>
      <w:tr w14:paraId="1BBF1875">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10E0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FEE62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6889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59A190">
            <w:pPr>
              <w:spacing w:before="0" w:after="0" w:line="240" w:lineRule="auto"/>
              <w:jc w:val="center"/>
            </w:pPr>
            <w:r>
              <w:rPr>
                <w:rFonts w:ascii="宋体" w:hAnsi="宋体" w:eastAsia="宋体"/>
                <w:b w:val="0"/>
                <w:i w:val="0"/>
                <w:color w:val="000000"/>
                <w:sz w:val="18"/>
              </w:rPr>
              <w:t>调研检查通过率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9D66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676C4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6ECEEC">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EF5F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6529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B561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FE57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48D2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598D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79509">
            <w:pPr>
              <w:spacing w:before="0" w:after="0" w:line="240" w:lineRule="auto"/>
              <w:jc w:val="center"/>
            </w:pPr>
          </w:p>
        </w:tc>
      </w:tr>
      <w:tr w14:paraId="22C20F3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9B57C8"/>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B571D">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2CCE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05C30A">
            <w:pPr>
              <w:spacing w:before="0" w:after="0" w:line="240" w:lineRule="auto"/>
              <w:jc w:val="center"/>
            </w:pPr>
            <w:r>
              <w:rPr>
                <w:rFonts w:ascii="宋体" w:hAnsi="宋体" w:eastAsia="宋体"/>
                <w:b w:val="0"/>
                <w:i w:val="0"/>
                <w:color w:val="000000"/>
                <w:sz w:val="18"/>
              </w:rPr>
              <w:t>委托业务费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553D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5BD61">
            <w:pPr>
              <w:spacing w:before="0" w:after="0" w:line="240" w:lineRule="auto"/>
              <w:jc w:val="center"/>
            </w:pPr>
            <w:r>
              <w:rPr>
                <w:rFonts w:ascii="宋体" w:hAnsi="宋体" w:eastAsia="宋体"/>
                <w:b w:val="0"/>
                <w:i w:val="0"/>
                <w:sz w:val="18"/>
              </w:rPr>
              <w:t>&lt;=8万元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11021">
            <w:pPr>
              <w:spacing w:before="0" w:after="0" w:line="240" w:lineRule="auto"/>
              <w:jc w:val="center"/>
            </w:pPr>
            <w:r>
              <w:rPr>
                <w:rFonts w:ascii="宋体" w:hAnsi="宋体" w:eastAsia="宋体"/>
                <w:b w:val="0"/>
                <w:i w:val="0"/>
                <w:sz w:val="18"/>
              </w:rPr>
              <w:t>=8万元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313E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4AA7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8543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CC432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2CBD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9525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918801">
            <w:pPr>
              <w:spacing w:before="0" w:after="0" w:line="240" w:lineRule="auto"/>
              <w:jc w:val="center"/>
            </w:pPr>
          </w:p>
        </w:tc>
      </w:tr>
      <w:tr w14:paraId="2DDEC29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A723B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78415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D3C0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5520B">
            <w:pPr>
              <w:spacing w:before="0" w:after="0" w:line="240" w:lineRule="auto"/>
              <w:jc w:val="center"/>
            </w:pPr>
            <w:r>
              <w:rPr>
                <w:rFonts w:ascii="宋体" w:hAnsi="宋体" w:eastAsia="宋体"/>
                <w:b w:val="0"/>
                <w:i w:val="0"/>
                <w:color w:val="000000"/>
                <w:sz w:val="18"/>
              </w:rPr>
              <w:t>项目实地考察费用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3450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9044B">
            <w:pPr>
              <w:spacing w:before="0" w:after="0" w:line="240" w:lineRule="auto"/>
              <w:jc w:val="center"/>
            </w:pPr>
            <w:r>
              <w:rPr>
                <w:rFonts w:ascii="宋体" w:hAnsi="宋体" w:eastAsia="宋体"/>
                <w:b w:val="0"/>
                <w:i w:val="0"/>
                <w:sz w:val="18"/>
              </w:rPr>
              <w:t>&lt;=30万元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99283">
            <w:pPr>
              <w:spacing w:before="0" w:after="0" w:line="240" w:lineRule="auto"/>
              <w:jc w:val="center"/>
            </w:pPr>
            <w:r>
              <w:rPr>
                <w:rFonts w:ascii="宋体" w:hAnsi="宋体" w:eastAsia="宋体"/>
                <w:b w:val="0"/>
                <w:i w:val="0"/>
                <w:sz w:val="18"/>
              </w:rPr>
              <w: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C9B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86FE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36743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4891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8C3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45601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06C77">
            <w:pPr>
              <w:spacing w:before="0" w:after="0" w:line="240" w:lineRule="auto"/>
              <w:jc w:val="center"/>
            </w:pPr>
          </w:p>
        </w:tc>
      </w:tr>
      <w:tr w14:paraId="7A6EF7C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2D6A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361D5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095E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0B6B3">
            <w:pPr>
              <w:spacing w:before="0" w:after="0" w:line="240" w:lineRule="auto"/>
              <w:jc w:val="center"/>
            </w:pPr>
            <w:r>
              <w:rPr>
                <w:rFonts w:ascii="宋体" w:hAnsi="宋体" w:eastAsia="宋体"/>
                <w:b w:val="0"/>
                <w:i w:val="0"/>
                <w:color w:val="000000"/>
                <w:sz w:val="18"/>
              </w:rPr>
              <w:t>租赁费、其他商品服务支出及其它费用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1D16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647335">
            <w:pPr>
              <w:spacing w:before="0" w:after="0" w:line="240" w:lineRule="auto"/>
              <w:jc w:val="center"/>
            </w:pPr>
            <w:r>
              <w:rPr>
                <w:rFonts w:ascii="宋体" w:hAnsi="宋体" w:eastAsia="宋体"/>
                <w:b w:val="0"/>
                <w:i w:val="0"/>
                <w:sz w:val="18"/>
              </w:rPr>
              <w:t>&lt;=7万元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EB6CA1">
            <w:pPr>
              <w:spacing w:before="0" w:after="0" w:line="240" w:lineRule="auto"/>
              <w:jc w:val="center"/>
            </w:pPr>
            <w:r>
              <w:rPr>
                <w:rFonts w:ascii="宋体" w:hAnsi="宋体" w:eastAsia="宋体"/>
                <w:b w:val="0"/>
                <w:i w:val="0"/>
                <w:sz w:val="18"/>
              </w:rPr>
              <w:t>=7万元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3F03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87AB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A240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43FF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569F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9AFE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EFC58">
            <w:pPr>
              <w:spacing w:before="0" w:after="0" w:line="240" w:lineRule="auto"/>
              <w:jc w:val="center"/>
            </w:pPr>
          </w:p>
        </w:tc>
      </w:tr>
      <w:tr w14:paraId="243C7A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7AC4D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88D6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31E2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93CA6">
            <w:pPr>
              <w:spacing w:before="0" w:after="0" w:line="240" w:lineRule="auto"/>
              <w:jc w:val="center"/>
            </w:pPr>
            <w:r>
              <w:rPr>
                <w:rFonts w:ascii="宋体" w:hAnsi="宋体" w:eastAsia="宋体"/>
                <w:b w:val="0"/>
                <w:i w:val="0"/>
                <w:color w:val="000000"/>
                <w:sz w:val="18"/>
              </w:rPr>
              <w:t>技术评估合格率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48B24">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0F740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723253">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115F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336DDF">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D3C51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0E1A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CB1C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CE76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8DE7D">
            <w:pPr>
              <w:spacing w:before="0" w:after="0" w:line="240" w:lineRule="auto"/>
              <w:jc w:val="center"/>
            </w:pPr>
          </w:p>
        </w:tc>
      </w:tr>
      <w:tr w14:paraId="02817966">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0E340B">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564F7">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B91B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6262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08AEB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346DA">
            <w:pPr>
              <w:spacing w:before="0" w:after="0" w:line="240" w:lineRule="auto"/>
              <w:jc w:val="center"/>
            </w:pPr>
            <w:r>
              <w:rPr>
                <w:rFonts w:ascii="宋体" w:hAnsi="宋体" w:eastAsia="宋体"/>
                <w:b w:val="0"/>
                <w:i w:val="0"/>
                <w:color w:val="00000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5646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9556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5C6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7A3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83FAB">
            <w:pPr>
              <w:spacing w:before="0" w:after="0" w:line="240" w:lineRule="auto"/>
              <w:jc w:val="center"/>
            </w:pPr>
          </w:p>
        </w:tc>
      </w:tr>
    </w:tbl>
    <w:p w14:paraId="1D708E77">
      <w:r>
        <w:br w:type="page"/>
      </w:r>
    </w:p>
    <w:tbl>
      <w:tblPr>
        <w:tblStyle w:val="8"/>
        <w:tblW w:w="5191"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725"/>
      </w:tblGrid>
      <w:tr w14:paraId="1C0F39F0">
        <w:tblPrEx>
          <w:tblCellMar>
            <w:top w:w="36" w:type="dxa"/>
            <w:left w:w="36" w:type="dxa"/>
            <w:bottom w:w="36" w:type="dxa"/>
            <w:right w:w="36" w:type="dxa"/>
          </w:tblCellMar>
        </w:tblPrEx>
        <w:trPr>
          <w:trHeight w:val="405" w:hRule="atLeast"/>
        </w:trPr>
        <w:tc>
          <w:tcPr>
            <w:tcW w:w="8699"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3890E94">
            <w:pPr>
              <w:spacing w:before="0" w:after="0" w:line="240" w:lineRule="auto"/>
              <w:jc w:val="center"/>
            </w:pPr>
            <w:r>
              <w:rPr>
                <w:rFonts w:ascii="宋体" w:hAnsi="宋体" w:eastAsia="宋体"/>
                <w:b/>
                <w:i w:val="0"/>
                <w:sz w:val="32"/>
              </w:rPr>
              <w:t>项目支出绩效自评表</w:t>
            </w:r>
          </w:p>
        </w:tc>
      </w:tr>
      <w:tr w14:paraId="49E539F4">
        <w:tblPrEx>
          <w:tblCellMar>
            <w:top w:w="36" w:type="dxa"/>
            <w:left w:w="36" w:type="dxa"/>
            <w:bottom w:w="36" w:type="dxa"/>
            <w:right w:w="36" w:type="dxa"/>
          </w:tblCellMar>
        </w:tblPrEx>
        <w:trPr>
          <w:trHeight w:val="380" w:hRule="atLeast"/>
        </w:trPr>
        <w:tc>
          <w:tcPr>
            <w:tcW w:w="8699"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188FBFE">
            <w:pPr>
              <w:spacing w:before="0" w:after="0" w:line="240" w:lineRule="auto"/>
              <w:jc w:val="center"/>
            </w:pPr>
            <w:r>
              <w:rPr>
                <w:rFonts w:ascii="宋体" w:hAnsi="宋体" w:eastAsia="宋体"/>
                <w:b w:val="0"/>
                <w:i w:val="0"/>
                <w:sz w:val="22"/>
              </w:rPr>
              <w:t>(2025年度)</w:t>
            </w:r>
          </w:p>
        </w:tc>
      </w:tr>
      <w:tr w14:paraId="3492E5EF">
        <w:tblPrEx>
          <w:tblCellMar>
            <w:top w:w="36" w:type="dxa"/>
            <w:left w:w="36" w:type="dxa"/>
            <w:bottom w:w="36" w:type="dxa"/>
            <w:right w:w="36" w:type="dxa"/>
          </w:tblCellMar>
        </w:tblPrEx>
        <w:trPr>
          <w:trHeight w:val="380" w:hRule="atLeast"/>
        </w:trPr>
        <w:tc>
          <w:tcPr>
            <w:tcW w:w="8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E444D">
            <w:pPr>
              <w:spacing w:before="0" w:after="0" w:line="240" w:lineRule="auto"/>
              <w:jc w:val="center"/>
            </w:pPr>
            <w:r>
              <w:rPr>
                <w:rFonts w:ascii="宋体" w:hAnsi="宋体" w:eastAsia="宋体"/>
                <w:b/>
                <w:i w:val="0"/>
                <w:sz w:val="18"/>
              </w:rPr>
              <w:t>项目名称</w:t>
            </w:r>
          </w:p>
        </w:tc>
        <w:tc>
          <w:tcPr>
            <w:tcW w:w="7847"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470B330">
            <w:pPr>
              <w:spacing w:before="0" w:after="0" w:line="240" w:lineRule="auto"/>
              <w:jc w:val="center"/>
            </w:pPr>
            <w:r>
              <w:rPr>
                <w:rFonts w:ascii="宋体" w:hAnsi="宋体" w:eastAsia="宋体"/>
                <w:b w:val="0"/>
                <w:i w:val="0"/>
                <w:sz w:val="18"/>
              </w:rPr>
              <w:t>水利厅水资源规划研究所-经营性成本支出项目</w:t>
            </w:r>
          </w:p>
        </w:tc>
      </w:tr>
      <w:tr w14:paraId="570CDB89">
        <w:tblPrEx>
          <w:tblCellMar>
            <w:top w:w="36" w:type="dxa"/>
            <w:left w:w="36" w:type="dxa"/>
            <w:bottom w:w="36" w:type="dxa"/>
            <w:right w:w="36" w:type="dxa"/>
          </w:tblCellMar>
        </w:tblPrEx>
        <w:trPr>
          <w:trHeight w:val="380" w:hRule="atLeast"/>
        </w:trPr>
        <w:tc>
          <w:tcPr>
            <w:tcW w:w="8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89C02">
            <w:pPr>
              <w:spacing w:before="0" w:after="0" w:line="240" w:lineRule="auto"/>
              <w:jc w:val="center"/>
            </w:pPr>
            <w:r>
              <w:rPr>
                <w:rFonts w:ascii="宋体" w:hAnsi="宋体" w:eastAsia="宋体"/>
                <w:b/>
                <w:i w:val="0"/>
                <w:sz w:val="18"/>
              </w:rPr>
              <w:t>主管部门</w:t>
            </w:r>
          </w:p>
        </w:tc>
        <w:tc>
          <w:tcPr>
            <w:tcW w:w="285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1D898A">
            <w:pPr>
              <w:spacing w:before="0" w:after="0" w:line="240" w:lineRule="auto"/>
              <w:jc w:val="center"/>
            </w:pPr>
            <w:r>
              <w:rPr>
                <w:rFonts w:hint="eastAsia" w:ascii="宋体" w:hAnsi="宋体" w:eastAsia="宋体"/>
                <w:b w:val="0"/>
                <w:i w:val="0"/>
                <w:sz w:val="18"/>
              </w:rPr>
              <w:t>新疆维吾尔自治区水利厅</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B3C1D">
            <w:pPr>
              <w:spacing w:before="0" w:after="0" w:line="240" w:lineRule="auto"/>
              <w:jc w:val="center"/>
            </w:pPr>
            <w:r>
              <w:rPr>
                <w:rFonts w:ascii="宋体" w:hAnsi="宋体" w:eastAsia="宋体"/>
                <w:b/>
                <w:i w:val="0"/>
                <w:sz w:val="18"/>
              </w:rPr>
              <w:t>实施单位</w:t>
            </w:r>
          </w:p>
        </w:tc>
        <w:tc>
          <w:tcPr>
            <w:tcW w:w="400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60E259">
            <w:pPr>
              <w:spacing w:before="0" w:after="0" w:line="240" w:lineRule="auto"/>
              <w:jc w:val="center"/>
            </w:pPr>
            <w:r>
              <w:rPr>
                <w:rFonts w:ascii="宋体" w:hAnsi="宋体" w:eastAsia="宋体"/>
                <w:b w:val="0"/>
                <w:i w:val="0"/>
                <w:sz w:val="18"/>
              </w:rPr>
              <w:t>新疆维吾尔自治区水利厅水资源规划研究所</w:t>
            </w:r>
          </w:p>
        </w:tc>
      </w:tr>
      <w:tr w14:paraId="774DFEBC">
        <w:tblPrEx>
          <w:tblCellMar>
            <w:top w:w="36" w:type="dxa"/>
            <w:left w:w="36" w:type="dxa"/>
            <w:bottom w:w="36" w:type="dxa"/>
            <w:right w:w="36" w:type="dxa"/>
          </w:tblCellMar>
        </w:tblPrEx>
        <w:trPr>
          <w:trHeight w:val="380" w:hRule="atLeast"/>
        </w:trPr>
        <w:tc>
          <w:tcPr>
            <w:tcW w:w="852"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64B65">
            <w:pPr>
              <w:spacing w:before="0" w:after="0" w:line="240" w:lineRule="auto"/>
              <w:jc w:val="center"/>
            </w:pPr>
            <w:r>
              <w:rPr>
                <w:rFonts w:ascii="宋体" w:hAnsi="宋体" w:eastAsia="宋体"/>
                <w:b/>
                <w:i w:val="0"/>
                <w:sz w:val="18"/>
              </w:rPr>
              <w:t>项目资金
（万元）</w:t>
            </w:r>
          </w:p>
        </w:tc>
        <w:tc>
          <w:tcPr>
            <w:tcW w:w="12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B2AB8">
            <w:pPr>
              <w:spacing w:before="0" w:after="0" w:line="240" w:lineRule="auto"/>
              <w:jc w:val="center"/>
            </w:pP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2FC48BDA">
            <w:pPr>
              <w:spacing w:before="0" w:after="0" w:line="240" w:lineRule="auto"/>
              <w:jc w:val="center"/>
            </w:pPr>
            <w:r>
              <w:rPr>
                <w:rFonts w:ascii="宋体" w:hAnsi="宋体" w:eastAsia="宋体"/>
                <w:b/>
                <w:i w:val="0"/>
                <w:sz w:val="18"/>
              </w:rPr>
              <w:t>年初预算数</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A0729">
            <w:pPr>
              <w:spacing w:before="0" w:after="0" w:line="240" w:lineRule="auto"/>
              <w:jc w:val="center"/>
            </w:pPr>
            <w:r>
              <w:rPr>
                <w:rFonts w:ascii="宋体" w:hAnsi="宋体" w:eastAsia="宋体"/>
                <w:b/>
                <w:i w:val="0"/>
                <w:sz w:val="18"/>
              </w:rPr>
              <w:t>全年预算数</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6FABF">
            <w:pPr>
              <w:spacing w:before="0" w:after="0" w:line="240" w:lineRule="auto"/>
              <w:jc w:val="center"/>
            </w:pPr>
            <w:r>
              <w:rPr>
                <w:rFonts w:ascii="宋体" w:hAnsi="宋体" w:eastAsia="宋体"/>
                <w:b/>
                <w:i w:val="0"/>
                <w:sz w:val="18"/>
              </w:rPr>
              <w:t>全年执行数</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014F9">
            <w:pPr>
              <w:spacing w:before="0" w:after="0" w:line="240" w:lineRule="auto"/>
              <w:jc w:val="center"/>
            </w:pPr>
            <w:r>
              <w:rPr>
                <w:rFonts w:ascii="宋体" w:hAnsi="宋体" w:eastAsia="宋体"/>
                <w:b/>
                <w:i w:val="0"/>
                <w:sz w:val="18"/>
              </w:rPr>
              <w:t>分值</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B41AA">
            <w:pPr>
              <w:spacing w:before="0" w:after="0" w:line="240" w:lineRule="auto"/>
              <w:jc w:val="center"/>
            </w:pPr>
            <w:r>
              <w:rPr>
                <w:rFonts w:ascii="宋体" w:hAnsi="宋体" w:eastAsia="宋体"/>
                <w:b/>
                <w:i w:val="0"/>
                <w:sz w:val="18"/>
              </w:rPr>
              <w:t>执行率</w:t>
            </w:r>
          </w:p>
        </w:tc>
        <w:tc>
          <w:tcPr>
            <w:tcW w:w="1725" w:type="dxa"/>
            <w:tcBorders>
              <w:top w:val="single" w:color="auto" w:sz="10" w:space="0"/>
              <w:left w:val="single" w:color="auto" w:sz="10" w:space="0"/>
              <w:bottom w:val="single" w:color="auto" w:sz="10" w:space="0"/>
              <w:right w:val="single" w:color="auto" w:sz="10" w:space="0"/>
              <w:insideV w:val="single" w:sz="10" w:space="0"/>
            </w:tcBorders>
            <w:vAlign w:val="center"/>
          </w:tcPr>
          <w:p w14:paraId="4804D264">
            <w:pPr>
              <w:spacing w:before="0" w:after="0" w:line="240" w:lineRule="auto"/>
              <w:jc w:val="center"/>
            </w:pPr>
            <w:r>
              <w:rPr>
                <w:rFonts w:ascii="宋体" w:hAnsi="宋体" w:eastAsia="宋体"/>
                <w:b/>
                <w:i w:val="0"/>
                <w:sz w:val="18"/>
              </w:rPr>
              <w:t>得分</w:t>
            </w:r>
          </w:p>
        </w:tc>
      </w:tr>
      <w:tr w14:paraId="2DB16D6C">
        <w:tblPrEx>
          <w:tblCellMar>
            <w:top w:w="36" w:type="dxa"/>
            <w:left w:w="36" w:type="dxa"/>
            <w:bottom w:w="36" w:type="dxa"/>
            <w:right w:w="36" w:type="dxa"/>
          </w:tblCellMar>
        </w:tblPrEx>
        <w:trPr>
          <w:trHeight w:val="380" w:hRule="atLeast"/>
        </w:trPr>
        <w:tc>
          <w:tcPr>
            <w:tcW w:w="85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D57302D"/>
        </w:tc>
        <w:tc>
          <w:tcPr>
            <w:tcW w:w="12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2B1C3">
            <w:pPr>
              <w:spacing w:before="0" w:after="0" w:line="240" w:lineRule="auto"/>
              <w:jc w:val="center"/>
            </w:pPr>
            <w:r>
              <w:rPr>
                <w:rFonts w:ascii="宋体" w:hAnsi="宋体" w:eastAsia="宋体"/>
                <w:b/>
                <w:i w:val="0"/>
                <w:sz w:val="18"/>
              </w:rPr>
              <w:t>年度资金总额</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7547BAC3">
            <w:pPr>
              <w:spacing w:before="0" w:after="0" w:line="240" w:lineRule="auto"/>
              <w:jc w:val="center"/>
            </w:pPr>
            <w:r>
              <w:rPr>
                <w:rFonts w:ascii="宋体" w:hAnsi="宋体" w:eastAsia="宋体"/>
                <w:b w:val="0"/>
                <w:i w:val="0"/>
                <w:sz w:val="18"/>
              </w:rPr>
              <w:t>20.00</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2B4E1">
            <w:pPr>
              <w:spacing w:before="0" w:after="0" w:line="240" w:lineRule="auto"/>
              <w:jc w:val="center"/>
            </w:pPr>
            <w:r>
              <w:rPr>
                <w:rFonts w:ascii="宋体" w:hAnsi="宋体" w:eastAsia="宋体"/>
                <w:b w:val="0"/>
                <w:i w:val="0"/>
                <w:sz w:val="18"/>
              </w:rPr>
              <w:t>20.00</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AEAD4">
            <w:pPr>
              <w:spacing w:before="0" w:after="0" w:line="240" w:lineRule="auto"/>
              <w:jc w:val="center"/>
            </w:pPr>
            <w:r>
              <w:rPr>
                <w:rFonts w:ascii="宋体" w:hAnsi="宋体" w:eastAsia="宋体"/>
                <w:b w:val="0"/>
                <w:i w:val="0"/>
                <w:sz w:val="18"/>
              </w:rPr>
              <w:t>19.89</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9E12E">
            <w:pPr>
              <w:spacing w:before="0" w:after="0" w:line="240" w:lineRule="auto"/>
              <w:jc w:val="center"/>
            </w:pPr>
            <w:r>
              <w:rPr>
                <w:rFonts w:ascii="宋体" w:hAnsi="宋体" w:eastAsia="宋体"/>
                <w:b w:val="0"/>
                <w:i w:val="0"/>
                <w:sz w:val="18"/>
              </w:rPr>
              <w:t>10</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97BB9">
            <w:pPr>
              <w:spacing w:before="0" w:after="0" w:line="240" w:lineRule="auto"/>
              <w:jc w:val="center"/>
            </w:pPr>
            <w:r>
              <w:rPr>
                <w:rFonts w:ascii="宋体" w:hAnsi="宋体" w:eastAsia="宋体"/>
                <w:b w:val="0"/>
                <w:i w:val="0"/>
                <w:sz w:val="18"/>
              </w:rPr>
              <w:t>99.45%</w:t>
            </w:r>
          </w:p>
        </w:tc>
        <w:tc>
          <w:tcPr>
            <w:tcW w:w="1725" w:type="dxa"/>
            <w:tcBorders>
              <w:top w:val="single" w:color="auto" w:sz="10" w:space="0"/>
              <w:left w:val="single" w:color="auto" w:sz="10" w:space="0"/>
              <w:bottom w:val="single" w:color="auto" w:sz="10" w:space="0"/>
              <w:right w:val="single" w:color="auto" w:sz="10" w:space="0"/>
              <w:insideV w:val="single" w:sz="10" w:space="0"/>
            </w:tcBorders>
            <w:vAlign w:val="center"/>
          </w:tcPr>
          <w:p w14:paraId="5120342D">
            <w:pPr>
              <w:spacing w:before="0" w:after="0" w:line="240" w:lineRule="auto"/>
              <w:jc w:val="center"/>
            </w:pPr>
            <w:r>
              <w:rPr>
                <w:rFonts w:ascii="宋体" w:hAnsi="宋体" w:eastAsia="宋体"/>
                <w:b w:val="0"/>
                <w:i w:val="0"/>
                <w:sz w:val="18"/>
              </w:rPr>
              <w:t>10.00</w:t>
            </w:r>
          </w:p>
        </w:tc>
      </w:tr>
      <w:tr w14:paraId="79B0B272">
        <w:tblPrEx>
          <w:tblCellMar>
            <w:top w:w="36" w:type="dxa"/>
            <w:left w:w="36" w:type="dxa"/>
            <w:bottom w:w="36" w:type="dxa"/>
            <w:right w:w="36" w:type="dxa"/>
          </w:tblCellMar>
        </w:tblPrEx>
        <w:trPr>
          <w:trHeight w:val="380" w:hRule="atLeast"/>
        </w:trPr>
        <w:tc>
          <w:tcPr>
            <w:tcW w:w="85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9712F6A"/>
        </w:tc>
        <w:tc>
          <w:tcPr>
            <w:tcW w:w="12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C10B4">
            <w:pPr>
              <w:spacing w:before="0" w:after="0" w:line="240" w:lineRule="auto"/>
              <w:jc w:val="center"/>
            </w:pPr>
            <w:r>
              <w:rPr>
                <w:rFonts w:ascii="宋体" w:hAnsi="宋体" w:eastAsia="宋体"/>
                <w:b/>
                <w:i w:val="0"/>
                <w:sz w:val="18"/>
              </w:rPr>
              <w:t>其中：当年财政拨款</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7ABDC0D0">
            <w:pPr>
              <w:spacing w:before="0" w:after="0" w:line="240" w:lineRule="auto"/>
              <w:jc w:val="center"/>
            </w:pPr>
            <w:r>
              <w:rPr>
                <w:rFonts w:ascii="宋体" w:hAnsi="宋体" w:eastAsia="宋体"/>
                <w:b w:val="0"/>
                <w:i w:val="0"/>
                <w:sz w:val="18"/>
              </w:rPr>
              <w:t>0.00</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878A2">
            <w:pPr>
              <w:spacing w:before="0" w:after="0" w:line="240" w:lineRule="auto"/>
              <w:jc w:val="center"/>
            </w:pPr>
            <w:r>
              <w:rPr>
                <w:rFonts w:ascii="宋体" w:hAnsi="宋体" w:eastAsia="宋体"/>
                <w:b w:val="0"/>
                <w:i w:val="0"/>
                <w:sz w:val="18"/>
              </w:rPr>
              <w:t>0.00</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7FD85">
            <w:pPr>
              <w:spacing w:before="0" w:after="0" w:line="240" w:lineRule="auto"/>
              <w:jc w:val="center"/>
            </w:pPr>
            <w:r>
              <w:rPr>
                <w:rFonts w:ascii="宋体" w:hAnsi="宋体" w:eastAsia="宋体"/>
                <w:b w:val="0"/>
                <w:i w:val="0"/>
                <w:sz w:val="18"/>
              </w:rPr>
              <w:t>0.00</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B9620">
            <w:pPr>
              <w:spacing w:before="0" w:after="0" w:line="240" w:lineRule="auto"/>
              <w:jc w:val="center"/>
            </w:pPr>
            <w:r>
              <w:rPr>
                <w:rFonts w:ascii="宋体" w:hAnsi="宋体" w:eastAsia="宋体"/>
                <w:b w:val="0"/>
                <w:i w:val="0"/>
                <w:sz w:val="18"/>
              </w:rPr>
              <w:t>-</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B1379">
            <w:pPr>
              <w:spacing w:before="0" w:after="0" w:line="240" w:lineRule="auto"/>
              <w:jc w:val="center"/>
            </w:pPr>
            <w:r>
              <w:rPr>
                <w:rFonts w:ascii="宋体" w:hAnsi="宋体" w:eastAsia="宋体"/>
                <w:b w:val="0"/>
                <w:i w:val="0"/>
                <w:sz w:val="18"/>
              </w:rPr>
              <w:t>-</w:t>
            </w:r>
          </w:p>
        </w:tc>
        <w:tc>
          <w:tcPr>
            <w:tcW w:w="1725" w:type="dxa"/>
            <w:tcBorders>
              <w:top w:val="single" w:color="auto" w:sz="10" w:space="0"/>
              <w:left w:val="single" w:color="auto" w:sz="10" w:space="0"/>
              <w:bottom w:val="single" w:color="auto" w:sz="10" w:space="0"/>
              <w:right w:val="single" w:color="auto" w:sz="10" w:space="0"/>
              <w:insideV w:val="single" w:sz="10" w:space="0"/>
            </w:tcBorders>
            <w:vAlign w:val="center"/>
          </w:tcPr>
          <w:p w14:paraId="07E25B92">
            <w:pPr>
              <w:spacing w:before="0" w:after="0" w:line="240" w:lineRule="auto"/>
              <w:jc w:val="center"/>
            </w:pPr>
            <w:r>
              <w:rPr>
                <w:rFonts w:ascii="宋体" w:hAnsi="宋体" w:eastAsia="宋体"/>
                <w:b w:val="0"/>
                <w:i w:val="0"/>
                <w:sz w:val="18"/>
              </w:rPr>
              <w:t>-</w:t>
            </w:r>
          </w:p>
        </w:tc>
      </w:tr>
      <w:tr w14:paraId="319CFA3B">
        <w:tblPrEx>
          <w:tblCellMar>
            <w:top w:w="36" w:type="dxa"/>
            <w:left w:w="36" w:type="dxa"/>
            <w:bottom w:w="36" w:type="dxa"/>
            <w:right w:w="36" w:type="dxa"/>
          </w:tblCellMar>
        </w:tblPrEx>
        <w:trPr>
          <w:trHeight w:val="380" w:hRule="atLeast"/>
        </w:trPr>
        <w:tc>
          <w:tcPr>
            <w:tcW w:w="852"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A6604E7"/>
        </w:tc>
        <w:tc>
          <w:tcPr>
            <w:tcW w:w="12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E1CEC">
            <w:pPr>
              <w:spacing w:before="0" w:after="0" w:line="240" w:lineRule="auto"/>
              <w:jc w:val="center"/>
            </w:pPr>
            <w:r>
              <w:rPr>
                <w:rFonts w:ascii="宋体" w:hAnsi="宋体" w:eastAsia="宋体"/>
                <w:b/>
                <w:i w:val="0"/>
                <w:sz w:val="18"/>
              </w:rPr>
              <w:t>其他资金</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460552FE">
            <w:pPr>
              <w:spacing w:before="0" w:after="0" w:line="240" w:lineRule="auto"/>
              <w:jc w:val="center"/>
            </w:pPr>
            <w:r>
              <w:rPr>
                <w:rFonts w:ascii="宋体" w:hAnsi="宋体" w:eastAsia="宋体"/>
                <w:b w:val="0"/>
                <w:i w:val="0"/>
                <w:sz w:val="18"/>
              </w:rPr>
              <w:t>20.00</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18D03">
            <w:pPr>
              <w:spacing w:before="0" w:after="0" w:line="240" w:lineRule="auto"/>
              <w:jc w:val="center"/>
            </w:pPr>
            <w:r>
              <w:rPr>
                <w:rFonts w:ascii="宋体" w:hAnsi="宋体" w:eastAsia="宋体"/>
                <w:b w:val="0"/>
                <w:i w:val="0"/>
                <w:sz w:val="18"/>
              </w:rPr>
              <w:t>20.00</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41912">
            <w:pPr>
              <w:spacing w:before="0" w:after="0" w:line="240" w:lineRule="auto"/>
              <w:jc w:val="center"/>
            </w:pPr>
            <w:r>
              <w:rPr>
                <w:rFonts w:ascii="宋体" w:hAnsi="宋体" w:eastAsia="宋体"/>
                <w:b w:val="0"/>
                <w:i w:val="0"/>
                <w:sz w:val="18"/>
              </w:rPr>
              <w:t>19.89</w:t>
            </w:r>
          </w:p>
        </w:tc>
        <w:tc>
          <w:tcPr>
            <w:tcW w:w="9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6960B">
            <w:pPr>
              <w:spacing w:before="0" w:after="0" w:line="240" w:lineRule="auto"/>
              <w:jc w:val="center"/>
            </w:pPr>
            <w:r>
              <w:rPr>
                <w:rFonts w:ascii="宋体" w:hAnsi="宋体" w:eastAsia="宋体"/>
                <w:b w:val="0"/>
                <w:i w:val="0"/>
                <w:sz w:val="18"/>
              </w:rPr>
              <w:t>-</w:t>
            </w:r>
          </w:p>
        </w:tc>
        <w:tc>
          <w:tcPr>
            <w:tcW w:w="12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33270">
            <w:pPr>
              <w:spacing w:before="0" w:after="0" w:line="240" w:lineRule="auto"/>
              <w:jc w:val="center"/>
            </w:pPr>
            <w:r>
              <w:rPr>
                <w:rFonts w:ascii="宋体" w:hAnsi="宋体" w:eastAsia="宋体"/>
                <w:b w:val="0"/>
                <w:i w:val="0"/>
                <w:sz w:val="18"/>
              </w:rPr>
              <w:t>-</w:t>
            </w:r>
          </w:p>
        </w:tc>
        <w:tc>
          <w:tcPr>
            <w:tcW w:w="1725" w:type="dxa"/>
            <w:tcBorders>
              <w:top w:val="single" w:color="auto" w:sz="10" w:space="0"/>
              <w:left w:val="single" w:color="auto" w:sz="10" w:space="0"/>
              <w:bottom w:val="single" w:color="auto" w:sz="10" w:space="0"/>
              <w:right w:val="single" w:color="auto" w:sz="10" w:space="0"/>
              <w:insideV w:val="single" w:sz="10" w:space="0"/>
            </w:tcBorders>
            <w:vAlign w:val="center"/>
          </w:tcPr>
          <w:p w14:paraId="3DF74EF6">
            <w:pPr>
              <w:spacing w:before="0" w:after="0" w:line="240" w:lineRule="auto"/>
              <w:jc w:val="center"/>
            </w:pPr>
            <w:r>
              <w:rPr>
                <w:rFonts w:ascii="宋体" w:hAnsi="宋体" w:eastAsia="宋体"/>
                <w:b w:val="0"/>
                <w:i w:val="0"/>
                <w:sz w:val="18"/>
              </w:rPr>
              <w:t>-</w:t>
            </w:r>
          </w:p>
        </w:tc>
      </w:tr>
      <w:tr w14:paraId="79737365">
        <w:tblPrEx>
          <w:tblCellMar>
            <w:top w:w="36" w:type="dxa"/>
            <w:left w:w="36" w:type="dxa"/>
            <w:bottom w:w="36" w:type="dxa"/>
            <w:right w:w="36" w:type="dxa"/>
          </w:tblCellMar>
        </w:tblPrEx>
        <w:trPr>
          <w:trHeight w:val="380" w:hRule="atLeast"/>
        </w:trPr>
        <w:tc>
          <w:tcPr>
            <w:tcW w:w="35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2AEC3">
            <w:pPr>
              <w:spacing w:before="0" w:after="0" w:line="240" w:lineRule="auto"/>
              <w:jc w:val="center"/>
            </w:pPr>
            <w:r>
              <w:rPr>
                <w:rFonts w:ascii="宋体" w:hAnsi="宋体" w:eastAsia="宋体"/>
                <w:b/>
                <w:i w:val="0"/>
                <w:sz w:val="18"/>
              </w:rPr>
              <w:t>年度总体目标</w:t>
            </w:r>
          </w:p>
        </w:tc>
        <w:tc>
          <w:tcPr>
            <w:tcW w:w="33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A0550A">
            <w:pPr>
              <w:spacing w:before="0" w:after="0" w:line="240" w:lineRule="auto"/>
              <w:jc w:val="center"/>
            </w:pPr>
            <w:r>
              <w:rPr>
                <w:rFonts w:ascii="宋体" w:hAnsi="宋体" w:eastAsia="宋体"/>
                <w:b/>
                <w:i w:val="0"/>
                <w:sz w:val="18"/>
              </w:rPr>
              <w:t>预期目标</w:t>
            </w:r>
          </w:p>
        </w:tc>
        <w:tc>
          <w:tcPr>
            <w:tcW w:w="499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1CFB3">
            <w:pPr>
              <w:spacing w:before="0" w:after="0" w:line="240" w:lineRule="auto"/>
              <w:jc w:val="center"/>
            </w:pPr>
            <w:r>
              <w:rPr>
                <w:rFonts w:ascii="宋体" w:hAnsi="宋体" w:eastAsia="宋体"/>
                <w:b/>
                <w:i w:val="0"/>
                <w:sz w:val="18"/>
              </w:rPr>
              <w:t>实际完成情况</w:t>
            </w:r>
          </w:p>
        </w:tc>
      </w:tr>
      <w:tr w14:paraId="53C25929">
        <w:tblPrEx>
          <w:tblCellMar>
            <w:top w:w="36" w:type="dxa"/>
            <w:left w:w="36" w:type="dxa"/>
            <w:bottom w:w="36" w:type="dxa"/>
            <w:right w:w="36" w:type="dxa"/>
          </w:tblCellMar>
        </w:tblPrEx>
        <w:trPr>
          <w:trHeight w:val="70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61312CC8"/>
        </w:tc>
        <w:tc>
          <w:tcPr>
            <w:tcW w:w="334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CFD2E6">
            <w:pPr>
              <w:spacing w:before="0" w:after="0" w:line="240" w:lineRule="auto"/>
              <w:jc w:val="center"/>
            </w:pPr>
            <w:r>
              <w:rPr>
                <w:rFonts w:ascii="宋体" w:hAnsi="宋体" w:eastAsia="宋体"/>
                <w:b w:val="0"/>
                <w:i w:val="0"/>
                <w:sz w:val="18"/>
              </w:rPr>
              <w:t>按照《新疆水网建设规划》和《新疆水发展与水安全战略规划》总体布局，统筹做好上下衔接工作，按时完成设备购置工作，保障相关工作需求，确保水资源优化配置相关的研究等工作顺利开展。</w:t>
            </w:r>
          </w:p>
        </w:tc>
        <w:tc>
          <w:tcPr>
            <w:tcW w:w="499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E3E164">
            <w:pPr>
              <w:spacing w:before="0" w:after="0" w:line="240" w:lineRule="auto"/>
              <w:jc w:val="center"/>
            </w:pPr>
            <w:r>
              <w:rPr>
                <w:rFonts w:ascii="宋体" w:hAnsi="宋体" w:eastAsia="宋体"/>
                <w:b w:val="0"/>
                <w:i w:val="0"/>
                <w:sz w:val="18"/>
              </w:rPr>
              <w:t>按照单位工作实际开展需要</w:t>
            </w:r>
            <w:r>
              <w:rPr>
                <w:rFonts w:hint="eastAsia" w:ascii="宋体" w:hAnsi="宋体"/>
                <w:b w:val="0"/>
                <w:i w:val="0"/>
                <w:sz w:val="18"/>
                <w:lang w:eastAsia="zh-CN"/>
              </w:rPr>
              <w:t>，经</w:t>
            </w:r>
            <w:r>
              <w:rPr>
                <w:rFonts w:ascii="宋体" w:hAnsi="宋体" w:eastAsia="宋体"/>
                <w:b w:val="0"/>
                <w:i w:val="0"/>
                <w:sz w:val="18"/>
              </w:rPr>
              <w:t>自治区财政厅批准同意，将预算指标“公务用车维修养护”变更为“公务车辆购置”指标，并严格按照规定进行公务用车购置，完成了车辆购置指标。</w:t>
            </w:r>
          </w:p>
        </w:tc>
      </w:tr>
      <w:tr w14:paraId="20F2EFFB">
        <w:tblPrEx>
          <w:tblCellMar>
            <w:top w:w="36" w:type="dxa"/>
            <w:left w:w="36" w:type="dxa"/>
            <w:bottom w:w="36" w:type="dxa"/>
            <w:right w:w="36" w:type="dxa"/>
          </w:tblCellMar>
        </w:tblPrEx>
        <w:tc>
          <w:tcPr>
            <w:tcW w:w="35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E7C57">
            <w:pPr>
              <w:spacing w:before="0" w:after="0" w:line="240" w:lineRule="auto"/>
              <w:jc w:val="center"/>
            </w:pP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AE577">
            <w:pPr>
              <w:spacing w:before="0" w:after="0" w:line="240" w:lineRule="auto"/>
              <w:jc w:val="center"/>
            </w:pPr>
            <w:r>
              <w:rPr>
                <w:rFonts w:ascii="宋体" w:hAnsi="宋体" w:eastAsia="宋体"/>
                <w:b/>
                <w:i w:val="0"/>
                <w:sz w:val="18"/>
              </w:rPr>
              <w:t>一级指标</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13720">
            <w:pPr>
              <w:spacing w:before="0" w:after="0" w:line="240" w:lineRule="auto"/>
              <w:jc w:val="center"/>
            </w:pPr>
            <w:r>
              <w:rPr>
                <w:rFonts w:ascii="宋体" w:hAnsi="宋体" w:eastAsia="宋体"/>
                <w:b/>
                <w:i w:val="0"/>
                <w:sz w:val="18"/>
              </w:rPr>
              <w:t>二级指标</w:t>
            </w:r>
          </w:p>
        </w:tc>
        <w:tc>
          <w:tcPr>
            <w:tcW w:w="7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322A1">
            <w:pPr>
              <w:spacing w:before="0" w:after="0" w:line="240" w:lineRule="auto"/>
              <w:jc w:val="center"/>
            </w:pPr>
            <w:r>
              <w:rPr>
                <w:rFonts w:ascii="宋体" w:hAnsi="宋体" w:eastAsia="宋体"/>
                <w:b/>
                <w:i w:val="0"/>
                <w:sz w:val="18"/>
              </w:rPr>
              <w:t>三级指标</w:t>
            </w:r>
          </w:p>
        </w:tc>
        <w:tc>
          <w:tcPr>
            <w:tcW w:w="5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44713">
            <w:pPr>
              <w:spacing w:before="0" w:after="0" w:line="240" w:lineRule="auto"/>
              <w:jc w:val="center"/>
            </w:pPr>
            <w:r>
              <w:rPr>
                <w:rFonts w:ascii="宋体" w:hAnsi="宋体" w:eastAsia="宋体"/>
                <w:b/>
                <w:i w:val="0"/>
                <w:sz w:val="18"/>
              </w:rPr>
              <w:t>权重</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14B6A">
            <w:pPr>
              <w:spacing w:before="0" w:after="0" w:line="240" w:lineRule="auto"/>
              <w:jc w:val="center"/>
            </w:pPr>
            <w:r>
              <w:rPr>
                <w:rFonts w:ascii="宋体" w:hAnsi="宋体" w:eastAsia="宋体"/>
                <w:b/>
                <w:i w:val="0"/>
                <w:sz w:val="18"/>
              </w:rPr>
              <w:t>目标值</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CF10C">
            <w:pPr>
              <w:spacing w:before="0" w:after="0" w:line="240" w:lineRule="auto"/>
              <w:jc w:val="center"/>
            </w:pPr>
            <w:r>
              <w:rPr>
                <w:rFonts w:ascii="宋体" w:hAnsi="宋体" w:eastAsia="宋体"/>
                <w:b/>
                <w:i w:val="0"/>
                <w:sz w:val="18"/>
              </w:rPr>
              <w:t>业绩值</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39FB0">
            <w:pPr>
              <w:spacing w:before="0" w:after="0" w:line="240" w:lineRule="auto"/>
              <w:jc w:val="center"/>
            </w:pPr>
            <w:r>
              <w:rPr>
                <w:rFonts w:ascii="宋体" w:hAnsi="宋体" w:eastAsia="宋体"/>
                <w:b/>
                <w:i w:val="0"/>
                <w:sz w:val="18"/>
              </w:rPr>
              <w:t>完成率</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1C662">
            <w:pPr>
              <w:spacing w:before="0" w:after="0" w:line="240" w:lineRule="auto"/>
              <w:jc w:val="center"/>
            </w:pPr>
            <w:r>
              <w:rPr>
                <w:rFonts w:ascii="宋体" w:hAnsi="宋体" w:eastAsia="宋体"/>
                <w:b/>
                <w:i w:val="0"/>
                <w:sz w:val="18"/>
              </w:rPr>
              <w:t>指标得分</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59682">
            <w:pPr>
              <w:spacing w:before="0" w:after="0" w:line="240" w:lineRule="auto"/>
              <w:jc w:val="center"/>
            </w:pPr>
            <w:r>
              <w:rPr>
                <w:rFonts w:ascii="宋体" w:hAnsi="宋体" w:eastAsia="宋体"/>
                <w:b/>
                <w:i w:val="0"/>
                <w:sz w:val="18"/>
              </w:rPr>
              <w:t>指标值设定依据</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BFE3B">
            <w:pPr>
              <w:spacing w:before="0" w:after="0" w:line="240" w:lineRule="auto"/>
              <w:jc w:val="center"/>
            </w:pPr>
            <w:r>
              <w:rPr>
                <w:rFonts w:ascii="宋体" w:hAnsi="宋体" w:eastAsia="宋体"/>
                <w:b/>
                <w:i w:val="0"/>
                <w:sz w:val="18"/>
              </w:rPr>
              <w:t>上年完成情况</w:t>
            </w:r>
          </w:p>
        </w:tc>
        <w:tc>
          <w:tcPr>
            <w:tcW w:w="6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0D79F">
            <w:pPr>
              <w:spacing w:before="0" w:after="0" w:line="240" w:lineRule="auto"/>
              <w:jc w:val="center"/>
            </w:pPr>
            <w:r>
              <w:rPr>
                <w:rFonts w:ascii="宋体" w:hAnsi="宋体" w:eastAsia="宋体"/>
                <w:b/>
                <w:i w:val="0"/>
                <w:sz w:val="18"/>
              </w:rPr>
              <w:t>赋分规则</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EE58E">
            <w:pPr>
              <w:spacing w:before="0" w:after="0" w:line="240" w:lineRule="auto"/>
              <w:jc w:val="center"/>
            </w:pPr>
            <w:r>
              <w:rPr>
                <w:rFonts w:ascii="宋体" w:hAnsi="宋体" w:eastAsia="宋体"/>
                <w:b/>
                <w:i w:val="0"/>
                <w:sz w:val="18"/>
              </w:rPr>
              <w:t>佐证资料</w:t>
            </w:r>
          </w:p>
        </w:tc>
        <w:tc>
          <w:tcPr>
            <w:tcW w:w="17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64E0F">
            <w:pPr>
              <w:spacing w:before="0" w:after="0" w:line="240" w:lineRule="auto"/>
              <w:jc w:val="center"/>
            </w:pPr>
            <w:r>
              <w:rPr>
                <w:rFonts w:ascii="宋体" w:hAnsi="宋体" w:eastAsia="宋体"/>
                <w:b/>
                <w:i w:val="0"/>
                <w:sz w:val="18"/>
              </w:rPr>
              <w:t>偏差原因分析及改进措施</w:t>
            </w:r>
          </w:p>
        </w:tc>
      </w:tr>
      <w:tr w14:paraId="0BA2B462">
        <w:tblPrEx>
          <w:tblCellMar>
            <w:top w:w="36" w:type="dxa"/>
            <w:left w:w="36" w:type="dxa"/>
            <w:bottom w:w="36" w:type="dxa"/>
            <w:right w:w="36" w:type="dxa"/>
          </w:tblCellMar>
        </w:tblPrEx>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38D4DED9"/>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5B1A7B65"/>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2E0D26C0"/>
        </w:tc>
        <w:tc>
          <w:tcPr>
            <w:tcW w:w="795" w:type="dxa"/>
            <w:vMerge w:val="continue"/>
            <w:tcBorders>
              <w:top w:val="single" w:color="auto" w:sz="10" w:space="0"/>
              <w:left w:val="single" w:color="auto" w:sz="10" w:space="0"/>
              <w:bottom w:val="single" w:color="auto" w:sz="10" w:space="0"/>
              <w:right w:val="single" w:color="auto" w:sz="10" w:space="0"/>
              <w:insideV w:val="single" w:sz="10" w:space="0"/>
            </w:tcBorders>
          </w:tcPr>
          <w:p w14:paraId="619D292F"/>
        </w:tc>
        <w:tc>
          <w:tcPr>
            <w:tcW w:w="565" w:type="dxa"/>
            <w:vMerge w:val="continue"/>
            <w:tcBorders>
              <w:top w:val="single" w:color="auto" w:sz="10" w:space="0"/>
              <w:left w:val="single" w:color="auto" w:sz="10" w:space="0"/>
              <w:bottom w:val="single" w:color="auto" w:sz="10" w:space="0"/>
              <w:right w:val="single" w:color="auto" w:sz="10" w:space="0"/>
              <w:insideV w:val="single" w:sz="10" w:space="0"/>
            </w:tcBorders>
          </w:tcPr>
          <w:p w14:paraId="0D5C4F39"/>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109538DB"/>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045390C8"/>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36AC7DDF"/>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48D389E0"/>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77A71190"/>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05509EA2"/>
        </w:tc>
        <w:tc>
          <w:tcPr>
            <w:tcW w:w="680" w:type="dxa"/>
            <w:vMerge w:val="continue"/>
            <w:tcBorders>
              <w:top w:val="single" w:color="auto" w:sz="10" w:space="0"/>
              <w:left w:val="single" w:color="auto" w:sz="10" w:space="0"/>
              <w:bottom w:val="single" w:color="auto" w:sz="10" w:space="0"/>
              <w:right w:val="single" w:color="auto" w:sz="10" w:space="0"/>
              <w:insideV w:val="single" w:sz="10" w:space="0"/>
            </w:tcBorders>
          </w:tcPr>
          <w:p w14:paraId="718DEAA2"/>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657132EB"/>
        </w:tc>
        <w:tc>
          <w:tcPr>
            <w:tcW w:w="1725" w:type="dxa"/>
            <w:vMerge w:val="continue"/>
            <w:tcBorders>
              <w:top w:val="single" w:color="auto" w:sz="10" w:space="0"/>
              <w:left w:val="single" w:color="auto" w:sz="10" w:space="0"/>
              <w:bottom w:val="single" w:color="auto" w:sz="10" w:space="0"/>
              <w:right w:val="single" w:color="auto" w:sz="10" w:space="0"/>
              <w:insideV w:val="single" w:sz="10" w:space="0"/>
            </w:tcBorders>
          </w:tcPr>
          <w:p w14:paraId="4673AA8E"/>
        </w:tc>
      </w:tr>
      <w:tr w14:paraId="3F1F7CFC">
        <w:tblPrEx>
          <w:tblCellMar>
            <w:top w:w="36" w:type="dxa"/>
            <w:left w:w="36" w:type="dxa"/>
            <w:bottom w:w="36" w:type="dxa"/>
            <w:right w:w="36" w:type="dxa"/>
          </w:tblCellMar>
        </w:tblPrEx>
        <w:trPr>
          <w:trHeight w:val="380" w:hRule="atLeast"/>
        </w:trPr>
        <w:tc>
          <w:tcPr>
            <w:tcW w:w="35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022B9">
            <w:pPr>
              <w:spacing w:before="0" w:after="0" w:line="240" w:lineRule="auto"/>
              <w:jc w:val="center"/>
            </w:pPr>
            <w:r>
              <w:rPr>
                <w:rFonts w:ascii="宋体" w:hAnsi="宋体" w:eastAsia="宋体"/>
                <w:b/>
                <w:i w:val="0"/>
                <w:sz w:val="18"/>
              </w:rPr>
              <w:t>年度绩效指标完成情况</w:t>
            </w:r>
          </w:p>
        </w:tc>
        <w:tc>
          <w:tcPr>
            <w:tcW w:w="49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CB30B">
            <w:pPr>
              <w:spacing w:before="0" w:after="0" w:line="240" w:lineRule="auto"/>
              <w:jc w:val="center"/>
            </w:pPr>
            <w:r>
              <w:rPr>
                <w:rFonts w:ascii="宋体" w:hAnsi="宋体" w:eastAsia="宋体"/>
                <w:b w:val="0"/>
                <w:i w:val="0"/>
                <w:sz w:val="18"/>
              </w:rPr>
              <w:t>产出指标</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0EBE322">
            <w:pPr>
              <w:spacing w:before="0" w:after="0" w:line="240" w:lineRule="auto"/>
              <w:jc w:val="center"/>
            </w:pPr>
            <w:r>
              <w:rPr>
                <w:rFonts w:ascii="宋体" w:hAnsi="宋体" w:eastAsia="宋体"/>
                <w:b w:val="0"/>
                <w:i w:val="0"/>
                <w:sz w:val="18"/>
              </w:rPr>
              <w:t>数量指标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5EC68592">
            <w:pPr>
              <w:spacing w:before="0" w:after="0" w:line="240" w:lineRule="auto"/>
              <w:jc w:val="center"/>
            </w:pPr>
            <w:r>
              <w:rPr>
                <w:rFonts w:ascii="宋体" w:hAnsi="宋体" w:eastAsia="宋体"/>
                <w:b w:val="0"/>
                <w:i w:val="0"/>
                <w:color w:val="000000"/>
                <w:sz w:val="18"/>
              </w:rPr>
              <w:t>购置设备数量</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32996BF">
            <w:pPr>
              <w:spacing w:before="0" w:after="0" w:line="240" w:lineRule="auto"/>
              <w:jc w:val="center"/>
            </w:pPr>
            <w:r>
              <w:rPr>
                <w:rFonts w:ascii="宋体" w:hAnsi="宋体" w:eastAsia="宋体"/>
                <w:b w:val="0"/>
                <w:i w:val="0"/>
                <w:sz w:val="18"/>
              </w:rPr>
              <w:t>10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9B3AF2B">
            <w:pPr>
              <w:spacing w:before="0" w:after="0" w:line="240" w:lineRule="auto"/>
              <w:jc w:val="center"/>
            </w:pPr>
            <w:r>
              <w:rPr>
                <w:rFonts w:ascii="宋体" w:hAnsi="宋体" w:eastAsia="宋体"/>
                <w:b w:val="0"/>
                <w:i w:val="0"/>
                <w:sz w:val="18"/>
              </w:rPr>
              <w:t>=1台</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C6CB42B">
            <w:pPr>
              <w:spacing w:before="0" w:after="0" w:line="240" w:lineRule="auto"/>
              <w:jc w:val="center"/>
            </w:pPr>
            <w:r>
              <w:rPr>
                <w:rFonts w:ascii="宋体" w:hAnsi="宋体" w:eastAsia="宋体"/>
                <w:b w:val="0"/>
                <w:i w:val="0"/>
                <w:sz w:val="18"/>
              </w:rPr>
              <w:t>=1台</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3BEA7111">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28ADEAB">
            <w:pPr>
              <w:spacing w:before="0" w:after="0" w:line="240" w:lineRule="auto"/>
              <w:jc w:val="center"/>
            </w:pPr>
            <w:r>
              <w:rPr>
                <w:rFonts w:ascii="宋体" w:hAnsi="宋体" w:eastAsia="宋体"/>
                <w:b w:val="0"/>
                <w:i w:val="0"/>
                <w:sz w:val="18"/>
              </w:rPr>
              <w:t>10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C99A02C">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A62DB92">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5852BA16">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8037A19">
            <w:pPr>
              <w:spacing w:before="0" w:after="0" w:line="240" w:lineRule="auto"/>
              <w:jc w:val="center"/>
            </w:pPr>
            <w:r>
              <w:rPr>
                <w:rFonts w:ascii="宋体" w:hAnsi="宋体" w:eastAsia="宋体"/>
                <w:b w:val="0"/>
                <w:i w:val="0"/>
                <w:sz w:val="18"/>
              </w:rPr>
              <w:t>工作资料</w:t>
            </w:r>
          </w:p>
        </w:tc>
        <w:tc>
          <w:tcPr>
            <w:tcW w:w="1725" w:type="dxa"/>
            <w:tcBorders>
              <w:top w:val="single" w:color="auto" w:sz="10" w:space="0"/>
              <w:left w:val="single" w:color="auto" w:sz="10" w:space="0"/>
              <w:bottom w:val="single" w:color="auto" w:sz="10" w:space="0"/>
              <w:right w:val="single" w:color="auto" w:sz="10" w:space="0"/>
              <w:insideV w:val="single" w:sz="10" w:space="0"/>
            </w:tcBorders>
            <w:vAlign w:val="center"/>
          </w:tcPr>
          <w:p w14:paraId="07CA41F0">
            <w:pPr>
              <w:spacing w:before="0" w:after="0" w:line="240" w:lineRule="auto"/>
              <w:jc w:val="center"/>
            </w:pPr>
          </w:p>
        </w:tc>
      </w:tr>
      <w:tr w14:paraId="1EB96801">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7E885FE5"/>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46A88456"/>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027F585">
            <w:pPr>
              <w:spacing w:before="0" w:after="0" w:line="240" w:lineRule="auto"/>
              <w:jc w:val="center"/>
            </w:pPr>
            <w:r>
              <w:rPr>
                <w:rFonts w:ascii="宋体" w:hAnsi="宋体" w:eastAsia="宋体"/>
                <w:b w:val="0"/>
                <w:i w:val="0"/>
                <w:sz w:val="18"/>
              </w:rPr>
              <w:t>质量指标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5C008202">
            <w:pPr>
              <w:spacing w:before="0" w:after="0" w:line="240" w:lineRule="auto"/>
              <w:jc w:val="center"/>
            </w:pPr>
            <w:r>
              <w:rPr>
                <w:rFonts w:ascii="宋体" w:hAnsi="宋体" w:eastAsia="宋体"/>
                <w:b w:val="0"/>
                <w:i w:val="0"/>
                <w:color w:val="000000"/>
                <w:sz w:val="18"/>
              </w:rPr>
              <w:t>政府采购率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0DE3257">
            <w:pPr>
              <w:spacing w:before="0" w:after="0" w:line="240" w:lineRule="auto"/>
              <w:jc w:val="center"/>
            </w:pPr>
            <w:r>
              <w:rPr>
                <w:rFonts w:ascii="宋体" w:hAnsi="宋体" w:eastAsia="宋体"/>
                <w:b w:val="0"/>
                <w:i w:val="0"/>
                <w:sz w:val="18"/>
              </w:rPr>
              <w:t>15</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6B18F2D">
            <w:pPr>
              <w:spacing w:before="0" w:after="0" w:line="240" w:lineRule="auto"/>
              <w:jc w:val="center"/>
            </w:pPr>
            <w:r>
              <w:rPr>
                <w:rFonts w:ascii="宋体" w:hAnsi="宋体" w:eastAsia="宋体"/>
                <w:b w:val="0"/>
                <w:i w:val="0"/>
                <w:sz w:val="18"/>
              </w:rPr>
              <w:t>&gt;=95%</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C097BE0">
            <w:pPr>
              <w:spacing w:before="0" w:after="0" w:line="240" w:lineRule="auto"/>
              <w:jc w:val="center"/>
            </w:pPr>
            <w:r>
              <w:rPr>
                <w:rFonts w:ascii="宋体" w:hAnsi="宋体" w:eastAsia="宋体"/>
                <w:b w:val="0"/>
                <w:i w:val="0"/>
                <w:sz w:val="18"/>
              </w:rPr>
              <w:t>=95%</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3B2916F">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DD0AB3F">
            <w:pPr>
              <w:spacing w:before="0" w:after="0" w:line="240" w:lineRule="auto"/>
              <w:jc w:val="center"/>
            </w:pPr>
            <w:r>
              <w:rPr>
                <w:rFonts w:ascii="宋体" w:hAnsi="宋体" w:eastAsia="宋体"/>
                <w:b w:val="0"/>
                <w:i w:val="0"/>
                <w:sz w:val="18"/>
              </w:rPr>
              <w:t>15</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3CBB799">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F2DA34E">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75C807DF">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CEFF16B">
            <w:pPr>
              <w:spacing w:before="0" w:after="0" w:line="240" w:lineRule="auto"/>
              <w:jc w:val="center"/>
            </w:pPr>
            <w:r>
              <w:rPr>
                <w:rFonts w:ascii="宋体" w:hAnsi="宋体" w:eastAsia="宋体"/>
                <w:b w:val="0"/>
                <w:i w:val="0"/>
                <w:sz w:val="18"/>
              </w:rPr>
              <w:t>工作资料</w:t>
            </w:r>
          </w:p>
        </w:tc>
        <w:tc>
          <w:tcPr>
            <w:tcW w:w="1725" w:type="dxa"/>
            <w:tcBorders>
              <w:top w:val="single" w:color="auto" w:sz="10" w:space="0"/>
              <w:left w:val="single" w:color="auto" w:sz="10" w:space="0"/>
              <w:bottom w:val="single" w:color="auto" w:sz="10" w:space="0"/>
              <w:right w:val="single" w:color="auto" w:sz="10" w:space="0"/>
              <w:insideV w:val="single" w:sz="10" w:space="0"/>
            </w:tcBorders>
            <w:vAlign w:val="center"/>
          </w:tcPr>
          <w:p w14:paraId="69C411CC">
            <w:pPr>
              <w:spacing w:before="0" w:after="0" w:line="240" w:lineRule="auto"/>
              <w:jc w:val="center"/>
            </w:pPr>
          </w:p>
        </w:tc>
      </w:tr>
      <w:tr w14:paraId="680099EB">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4734FDE6"/>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6A3D8CD8"/>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15EE704">
            <w:pPr>
              <w:spacing w:before="0" w:after="0" w:line="240" w:lineRule="auto"/>
              <w:jc w:val="center"/>
            </w:pPr>
            <w:r>
              <w:rPr>
                <w:rFonts w:ascii="宋体" w:hAnsi="宋体" w:eastAsia="宋体"/>
                <w:b w:val="0"/>
                <w:i w:val="0"/>
                <w:sz w:val="18"/>
              </w:rPr>
              <w:t>质量指标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7BF2F069">
            <w:pPr>
              <w:spacing w:before="0" w:after="0" w:line="240" w:lineRule="auto"/>
              <w:jc w:val="center"/>
            </w:pPr>
            <w:r>
              <w:rPr>
                <w:rFonts w:ascii="宋体" w:hAnsi="宋体" w:eastAsia="宋体"/>
                <w:b w:val="0"/>
                <w:i w:val="0"/>
                <w:color w:val="000000"/>
                <w:sz w:val="18"/>
              </w:rPr>
              <w:t>设备验收合格率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58D3A64">
            <w:pPr>
              <w:spacing w:before="0" w:after="0" w:line="240" w:lineRule="auto"/>
              <w:jc w:val="center"/>
            </w:pPr>
            <w:r>
              <w:rPr>
                <w:rFonts w:ascii="宋体" w:hAnsi="宋体" w:eastAsia="宋体"/>
                <w:b w:val="0"/>
                <w:i w:val="0"/>
                <w:sz w:val="18"/>
              </w:rPr>
              <w:t>20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A2A1302">
            <w:pPr>
              <w:spacing w:before="0" w:after="0" w:line="240" w:lineRule="auto"/>
              <w:jc w:val="center"/>
            </w:pPr>
            <w:r>
              <w:rPr>
                <w:rFonts w:ascii="宋体" w:hAnsi="宋体" w:eastAsia="宋体"/>
                <w:b w:val="0"/>
                <w:i w:val="0"/>
                <w:sz w:val="18"/>
              </w:rPr>
              <w:t>&gt;=90%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B3547A0">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2C8B0C5">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8BF6A10">
            <w:pPr>
              <w:spacing w:before="0" w:after="0" w:line="240" w:lineRule="auto"/>
              <w:jc w:val="center"/>
            </w:pPr>
            <w:r>
              <w:rPr>
                <w:rFonts w:ascii="宋体" w:hAnsi="宋体" w:eastAsia="宋体"/>
                <w:b w:val="0"/>
                <w:i w:val="0"/>
                <w:sz w:val="18"/>
              </w:rPr>
              <w:t>20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7C7A2C5">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9D3E43E">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3BA84E34">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816D6C5">
            <w:pPr>
              <w:spacing w:before="0" w:after="0" w:line="240" w:lineRule="auto"/>
              <w:jc w:val="center"/>
            </w:pPr>
            <w:r>
              <w:rPr>
                <w:rFonts w:ascii="宋体" w:hAnsi="宋体" w:eastAsia="宋体"/>
                <w:b w:val="0"/>
                <w:i w:val="0"/>
                <w:sz w:val="18"/>
              </w:rPr>
              <w:t>工作资料</w:t>
            </w:r>
          </w:p>
        </w:tc>
        <w:tc>
          <w:tcPr>
            <w:tcW w:w="1725" w:type="dxa"/>
            <w:tcBorders>
              <w:top w:val="single" w:color="auto" w:sz="10" w:space="0"/>
              <w:left w:val="single" w:color="auto" w:sz="10" w:space="0"/>
              <w:bottom w:val="single" w:color="auto" w:sz="10" w:space="0"/>
              <w:right w:val="single" w:color="auto" w:sz="10" w:space="0"/>
              <w:insideV w:val="single" w:sz="10" w:space="0"/>
            </w:tcBorders>
            <w:vAlign w:val="center"/>
          </w:tcPr>
          <w:p w14:paraId="01DE3E48">
            <w:pPr>
              <w:spacing w:before="0" w:after="0" w:line="240" w:lineRule="auto"/>
              <w:jc w:val="center"/>
            </w:pPr>
          </w:p>
        </w:tc>
      </w:tr>
      <w:tr w14:paraId="28417881">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21B6BAB9"/>
        </w:tc>
        <w:tc>
          <w:tcPr>
            <w:tcW w:w="497" w:type="dxa"/>
            <w:vMerge w:val="continue"/>
            <w:tcBorders>
              <w:top w:val="single" w:color="auto" w:sz="10" w:space="0"/>
              <w:left w:val="single" w:color="auto" w:sz="10" w:space="0"/>
              <w:bottom w:val="single" w:color="auto" w:sz="10" w:space="0"/>
              <w:right w:val="single" w:color="auto" w:sz="10" w:space="0"/>
              <w:insideV w:val="single" w:sz="10" w:space="0"/>
            </w:tcBorders>
          </w:tcPr>
          <w:p w14:paraId="1B940C94"/>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C9114E6">
            <w:pPr>
              <w:spacing w:before="0" w:after="0" w:line="240" w:lineRule="auto"/>
              <w:jc w:val="center"/>
            </w:pPr>
            <w:r>
              <w:rPr>
                <w:rFonts w:ascii="宋体" w:hAnsi="宋体" w:eastAsia="宋体"/>
                <w:b w:val="0"/>
                <w:i w:val="0"/>
                <w:sz w:val="18"/>
              </w:rPr>
              <w:t>时效指标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6C4EDFC8">
            <w:pPr>
              <w:spacing w:before="0" w:after="0" w:line="240" w:lineRule="auto"/>
              <w:jc w:val="center"/>
            </w:pPr>
            <w:r>
              <w:rPr>
                <w:rFonts w:ascii="宋体" w:hAnsi="宋体" w:eastAsia="宋体"/>
                <w:b w:val="0"/>
                <w:i w:val="0"/>
                <w:color w:val="000000"/>
                <w:sz w:val="18"/>
              </w:rPr>
              <w:t>设备采购完成时间</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0890E923">
            <w:pPr>
              <w:spacing w:before="0" w:after="0" w:line="240" w:lineRule="auto"/>
              <w:jc w:val="center"/>
            </w:pPr>
            <w:r>
              <w:rPr>
                <w:rFonts w:ascii="宋体" w:hAnsi="宋体" w:eastAsia="宋体"/>
                <w:b w:val="0"/>
                <w:i w:val="0"/>
                <w:sz w:val="18"/>
              </w:rPr>
              <w:t>15</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84DA929">
            <w:pPr>
              <w:spacing w:before="0" w:after="0" w:line="240" w:lineRule="auto"/>
              <w:jc w:val="center"/>
            </w:pPr>
            <w:r>
              <w:rPr>
                <w:rFonts w:ascii="宋体" w:hAnsi="宋体" w:eastAsia="宋体"/>
                <w:b w:val="0"/>
                <w:i w:val="0"/>
                <w:sz w:val="18"/>
              </w:rPr>
              <w:t>&lt;=2025年12月</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8A395DA">
            <w:pPr>
              <w:spacing w:before="0" w:after="0" w:line="240" w:lineRule="auto"/>
              <w:jc w:val="center"/>
            </w:pPr>
            <w:r>
              <w:rPr>
                <w:rFonts w:ascii="宋体" w:hAnsi="宋体" w:eastAsia="宋体"/>
                <w:b w:val="0"/>
                <w:i w:val="0"/>
                <w:sz w:val="18"/>
              </w:rPr>
              <w:t>=2025年12月</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E3191AE">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4A1346D">
            <w:pPr>
              <w:spacing w:before="0" w:after="0" w:line="240" w:lineRule="auto"/>
              <w:jc w:val="center"/>
            </w:pPr>
            <w:r>
              <w:rPr>
                <w:rFonts w:ascii="宋体" w:hAnsi="宋体" w:eastAsia="宋体"/>
                <w:b w:val="0"/>
                <w:i w:val="0"/>
                <w:sz w:val="18"/>
              </w:rPr>
              <w:t>15</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29BB1B2">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2ECA42D">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77B63AD2">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847D600">
            <w:pPr>
              <w:spacing w:before="0" w:after="0" w:line="240" w:lineRule="auto"/>
              <w:jc w:val="center"/>
            </w:pPr>
            <w:r>
              <w:rPr>
                <w:rFonts w:ascii="宋体" w:hAnsi="宋体" w:eastAsia="宋体"/>
                <w:b w:val="0"/>
                <w:i w:val="0"/>
                <w:sz w:val="18"/>
              </w:rPr>
              <w:t>工作资料</w:t>
            </w:r>
          </w:p>
        </w:tc>
        <w:tc>
          <w:tcPr>
            <w:tcW w:w="1725" w:type="dxa"/>
            <w:tcBorders>
              <w:top w:val="single" w:color="auto" w:sz="10" w:space="0"/>
              <w:left w:val="single" w:color="auto" w:sz="10" w:space="0"/>
              <w:bottom w:val="single" w:color="auto" w:sz="10" w:space="0"/>
              <w:right w:val="single" w:color="auto" w:sz="10" w:space="0"/>
              <w:insideV w:val="single" w:sz="10" w:space="0"/>
            </w:tcBorders>
            <w:vAlign w:val="center"/>
          </w:tcPr>
          <w:p w14:paraId="776A9B9E">
            <w:pPr>
              <w:spacing w:before="0" w:after="0" w:line="240" w:lineRule="auto"/>
              <w:jc w:val="center"/>
            </w:pPr>
          </w:p>
        </w:tc>
      </w:tr>
      <w:tr w14:paraId="2F7C1A12">
        <w:tblPrEx>
          <w:tblCellMar>
            <w:top w:w="36" w:type="dxa"/>
            <w:left w:w="36" w:type="dxa"/>
            <w:bottom w:w="36" w:type="dxa"/>
            <w:right w:w="36" w:type="dxa"/>
          </w:tblCellMar>
        </w:tblPrEx>
        <w:trPr>
          <w:trHeight w:val="380" w:hRule="atLeast"/>
        </w:trPr>
        <w:tc>
          <w:tcPr>
            <w:tcW w:w="355" w:type="dxa"/>
            <w:vMerge w:val="continue"/>
            <w:tcBorders>
              <w:top w:val="single" w:color="auto" w:sz="10" w:space="0"/>
              <w:left w:val="single" w:color="auto" w:sz="10" w:space="0"/>
              <w:bottom w:val="single" w:color="auto" w:sz="10" w:space="0"/>
              <w:right w:val="single" w:color="auto" w:sz="10" w:space="0"/>
              <w:insideV w:val="single" w:sz="10" w:space="0"/>
            </w:tcBorders>
          </w:tcPr>
          <w:p w14:paraId="52FCCFD1"/>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EB0B5A6">
            <w:pPr>
              <w:spacing w:before="0" w:after="0" w:line="240" w:lineRule="auto"/>
              <w:jc w:val="center"/>
            </w:pPr>
            <w:r>
              <w:rPr>
                <w:rFonts w:ascii="宋体" w:hAnsi="宋体" w:eastAsia="宋体"/>
                <w:b w:val="0"/>
                <w:i w:val="0"/>
                <w:sz w:val="18"/>
              </w:rPr>
              <w:t>效益指标</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8946911">
            <w:pPr>
              <w:spacing w:before="0" w:after="0" w:line="240" w:lineRule="auto"/>
              <w:jc w:val="center"/>
            </w:pPr>
            <w:r>
              <w:rPr>
                <w:rFonts w:ascii="宋体" w:hAnsi="宋体" w:eastAsia="宋体"/>
                <w:b w:val="0"/>
                <w:i w:val="0"/>
                <w:sz w:val="18"/>
              </w:rPr>
              <w:t>经济效益指标</w:t>
            </w:r>
          </w:p>
        </w:tc>
        <w:tc>
          <w:tcPr>
            <w:tcW w:w="795" w:type="dxa"/>
            <w:tcBorders>
              <w:top w:val="single" w:color="auto" w:sz="10" w:space="0"/>
              <w:left w:val="single" w:color="auto" w:sz="10" w:space="0"/>
              <w:bottom w:val="single" w:color="auto" w:sz="10" w:space="0"/>
              <w:right w:val="single" w:color="auto" w:sz="10" w:space="0"/>
              <w:insideV w:val="single" w:sz="10" w:space="0"/>
            </w:tcBorders>
            <w:vAlign w:val="center"/>
          </w:tcPr>
          <w:p w14:paraId="687F274A">
            <w:pPr>
              <w:spacing w:before="0" w:after="0" w:line="240" w:lineRule="auto"/>
              <w:jc w:val="center"/>
            </w:pPr>
            <w:r>
              <w:rPr>
                <w:rFonts w:ascii="宋体" w:hAnsi="宋体" w:eastAsia="宋体"/>
                <w:b w:val="0"/>
                <w:i w:val="0"/>
                <w:color w:val="000000"/>
                <w:sz w:val="18"/>
              </w:rPr>
              <w:t>设备利用率</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6AEDF2FC">
            <w:pPr>
              <w:spacing w:before="0" w:after="0" w:line="240" w:lineRule="auto"/>
              <w:jc w:val="center"/>
            </w:pPr>
            <w:r>
              <w:rPr>
                <w:rFonts w:ascii="宋体" w:hAnsi="宋体" w:eastAsia="宋体"/>
                <w:b w:val="0"/>
                <w:i w:val="0"/>
                <w:sz w:val="18"/>
              </w:rPr>
              <w:t>30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BB7D2C9">
            <w:pPr>
              <w:spacing w:before="0" w:after="0" w:line="240" w:lineRule="auto"/>
              <w:jc w:val="center"/>
            </w:pPr>
            <w:r>
              <w:rPr>
                <w:rFonts w:ascii="宋体" w:hAnsi="宋体" w:eastAsia="宋体"/>
                <w:b w:val="0"/>
                <w:i w:val="0"/>
                <w:sz w:val="18"/>
              </w:rPr>
              <w:t>&gt;=90%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5C6C929">
            <w:pPr>
              <w:spacing w:before="0" w:after="0" w:line="240" w:lineRule="auto"/>
              <w:jc w:val="center"/>
            </w:pPr>
            <w:r>
              <w:rPr>
                <w:rFonts w:ascii="宋体" w:hAnsi="宋体" w:eastAsia="宋体"/>
                <w:b w:val="0"/>
                <w:i w:val="0"/>
                <w:sz w:val="18"/>
              </w:rPr>
              <w:t>=90%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6DFCB189">
            <w:pPr>
              <w:spacing w:before="0" w:after="0" w:line="240" w:lineRule="auto"/>
              <w:jc w:val="center"/>
            </w:pPr>
            <w:r>
              <w:rPr>
                <w:rFonts w:ascii="宋体" w:hAnsi="宋体" w:eastAsia="宋体"/>
                <w:b w:val="0"/>
                <w:i w:val="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736B2A7">
            <w:pPr>
              <w:spacing w:before="0" w:after="0" w:line="240" w:lineRule="auto"/>
              <w:jc w:val="center"/>
            </w:pPr>
            <w:r>
              <w:rPr>
                <w:rFonts w:ascii="宋体" w:hAnsi="宋体" w:eastAsia="宋体"/>
                <w:b w:val="0"/>
                <w:i w:val="0"/>
                <w:sz w:val="18"/>
              </w:rPr>
              <w:t>30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D78DE0F">
            <w:pPr>
              <w:spacing w:before="0" w:after="0" w:line="240" w:lineRule="auto"/>
              <w:jc w:val="center"/>
            </w:pPr>
            <w:r>
              <w:rPr>
                <w:rFonts w:ascii="宋体" w:hAnsi="宋体" w:eastAsia="宋体"/>
                <w:b w:val="0"/>
                <w:i w:val="0"/>
                <w:sz w:val="18"/>
              </w:rPr>
              <w:t>计划标准</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0ED7BA9C">
            <w:pPr>
              <w:spacing w:before="0" w:after="0" w:line="240" w:lineRule="auto"/>
              <w:jc w:val="center"/>
            </w:pPr>
            <w:r>
              <w:rPr>
                <w:rFonts w:ascii="宋体" w:hAnsi="宋体" w:eastAsia="宋体"/>
                <w:b w:val="0"/>
                <w:i w:val="0"/>
                <w:sz w:val="18"/>
              </w:rPr>
              <w:t>-</w:t>
            </w: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185BE637">
            <w:pPr>
              <w:spacing w:before="0" w:after="0" w:line="240" w:lineRule="auto"/>
              <w:jc w:val="center"/>
            </w:pPr>
            <w:r>
              <w:rPr>
                <w:rFonts w:ascii="宋体" w:hAnsi="宋体" w:eastAsia="宋体"/>
                <w:b w:val="0"/>
                <w:i w:val="0"/>
                <w:sz w:val="18"/>
              </w:rPr>
              <w:t>按照完成比例赋分</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A3E6974">
            <w:pPr>
              <w:spacing w:before="0" w:after="0" w:line="240" w:lineRule="auto"/>
              <w:jc w:val="center"/>
            </w:pPr>
            <w:r>
              <w:rPr>
                <w:rFonts w:ascii="宋体" w:hAnsi="宋体" w:eastAsia="宋体"/>
                <w:b w:val="0"/>
                <w:i w:val="0"/>
                <w:sz w:val="18"/>
              </w:rPr>
              <w:t>工作资料</w:t>
            </w:r>
          </w:p>
        </w:tc>
        <w:tc>
          <w:tcPr>
            <w:tcW w:w="1725" w:type="dxa"/>
            <w:tcBorders>
              <w:top w:val="single" w:color="auto" w:sz="10" w:space="0"/>
              <w:left w:val="single" w:color="auto" w:sz="10" w:space="0"/>
              <w:bottom w:val="single" w:color="auto" w:sz="10" w:space="0"/>
              <w:right w:val="single" w:color="auto" w:sz="10" w:space="0"/>
              <w:insideV w:val="single" w:sz="10" w:space="0"/>
            </w:tcBorders>
            <w:vAlign w:val="center"/>
          </w:tcPr>
          <w:p w14:paraId="757CC389">
            <w:pPr>
              <w:spacing w:before="0" w:after="0" w:line="240" w:lineRule="auto"/>
              <w:jc w:val="center"/>
            </w:pPr>
            <w:r>
              <w:rPr>
                <w:rFonts w:ascii="宋体" w:hAnsi="宋体" w:eastAsia="宋体"/>
                <w:b w:val="0"/>
                <w:i w:val="0"/>
                <w:sz w:val="18"/>
              </w:rPr>
              <w:t>2024年8月自治区水资源规划研究所制定2025年度经营性预算指标为“公务用车维修养护”，2025年7月开始办理指标变更相关手续，2025年12月下旬自治区财政厅批准同意“公务用车维修养护”指标变更为“公务车辆购置”，2025年12月22日完成车辆购买后，已接近本年度尾声，因此截至2025年12月31日未进行车辆使用。改进措施：高度重视预算工作，从思想上认识到预算要按照决算的标准考虑；充分谋划预算，严格按照单位主责主业、历年的业务工作开展情况及同技术支撑主管部门充分沟通的基础上，制定预算经费及指标，确保预算经费和指标的可实施</w:t>
            </w:r>
            <w:r>
              <w:rPr>
                <w:rFonts w:hint="eastAsia" w:ascii="宋体" w:hAnsi="宋体"/>
                <w:b w:val="0"/>
                <w:i w:val="0"/>
                <w:sz w:val="18"/>
                <w:lang w:eastAsia="zh-CN"/>
              </w:rPr>
              <w:t>性和</w:t>
            </w:r>
            <w:r>
              <w:rPr>
                <w:rFonts w:ascii="宋体" w:hAnsi="宋体" w:eastAsia="宋体"/>
                <w:b w:val="0"/>
                <w:i w:val="0"/>
                <w:sz w:val="18"/>
              </w:rPr>
              <w:t>必须性；确属客观不可抗力原因导致预算经费和指标调整，要第一时间响应，全程跟踪盯办，积极同上级主管部门和有关单位协调汇报，争取早日调整预算经费及指标，确保早日发挥资金效益。</w:t>
            </w:r>
          </w:p>
        </w:tc>
      </w:tr>
      <w:tr w14:paraId="27DB45FD">
        <w:tblPrEx>
          <w:tblCellMar>
            <w:top w:w="36" w:type="dxa"/>
            <w:left w:w="36" w:type="dxa"/>
            <w:bottom w:w="36" w:type="dxa"/>
            <w:right w:w="36" w:type="dxa"/>
          </w:tblCellMar>
        </w:tblPrEx>
        <w:trPr>
          <w:trHeight w:val="380" w:hRule="atLeast"/>
        </w:trPr>
        <w:tc>
          <w:tcPr>
            <w:tcW w:w="214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1D6CED">
            <w:pPr>
              <w:spacing w:before="0" w:after="0" w:line="240" w:lineRule="auto"/>
              <w:jc w:val="center"/>
            </w:pPr>
            <w:r>
              <w:rPr>
                <w:rFonts w:ascii="宋体" w:hAnsi="宋体" w:eastAsia="宋体"/>
                <w:b/>
                <w:i w:val="0"/>
                <w:color w:val="000000"/>
                <w:sz w:val="18"/>
              </w:rPr>
              <w:t>总分</w:t>
            </w:r>
          </w:p>
        </w:tc>
        <w:tc>
          <w:tcPr>
            <w:tcW w:w="565" w:type="dxa"/>
            <w:tcBorders>
              <w:top w:val="single" w:color="auto" w:sz="10" w:space="0"/>
              <w:left w:val="single" w:color="auto" w:sz="10" w:space="0"/>
              <w:bottom w:val="single" w:color="auto" w:sz="10" w:space="0"/>
              <w:right w:val="single" w:color="auto" w:sz="10" w:space="0"/>
              <w:insideV w:val="single" w:sz="10" w:space="0"/>
            </w:tcBorders>
            <w:vAlign w:val="center"/>
          </w:tcPr>
          <w:p w14:paraId="389C7EB2">
            <w:pPr>
              <w:spacing w:before="0" w:after="0" w:line="240" w:lineRule="auto"/>
              <w:jc w:val="center"/>
            </w:pPr>
            <w:r>
              <w:rPr>
                <w:rFonts w:ascii="宋体" w:hAnsi="宋体" w:eastAsia="宋体"/>
                <w:b w:val="0"/>
                <w:i w:val="0"/>
                <w:color w:val="000000"/>
                <w:sz w:val="18"/>
              </w:rPr>
              <w:t>100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2F8FCC7B">
            <w:pPr>
              <w:spacing w:before="0" w:after="0" w:line="240" w:lineRule="auto"/>
              <w:jc w:val="center"/>
            </w:pP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18AC8E8D">
            <w:pPr>
              <w:spacing w:before="0" w:after="0" w:line="240" w:lineRule="auto"/>
              <w:jc w:val="center"/>
            </w:pP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2D7B20F">
            <w:pPr>
              <w:spacing w:before="0" w:after="0" w:line="240" w:lineRule="auto"/>
              <w:jc w:val="center"/>
            </w:pP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461D9898">
            <w:pPr>
              <w:spacing w:before="0" w:after="0" w:line="240" w:lineRule="auto"/>
              <w:jc w:val="center"/>
            </w:pPr>
            <w:r>
              <w:rPr>
                <w:rFonts w:ascii="宋体" w:hAnsi="宋体" w:eastAsia="宋体"/>
                <w:b w:val="0"/>
                <w:i w:val="0"/>
                <w:color w:val="000000"/>
                <w:sz w:val="18"/>
              </w:rPr>
              <w:t>100.00</w:t>
            </w: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79676F09">
            <w:pPr>
              <w:spacing w:before="0" w:after="0" w:line="240" w:lineRule="auto"/>
              <w:jc w:val="center"/>
            </w:pPr>
          </w:p>
        </w:tc>
        <w:tc>
          <w:tcPr>
            <w:tcW w:w="497" w:type="dxa"/>
            <w:tcBorders>
              <w:top w:val="single" w:color="auto" w:sz="10" w:space="0"/>
              <w:left w:val="single" w:color="auto" w:sz="10" w:space="0"/>
              <w:bottom w:val="single" w:color="auto" w:sz="10" w:space="0"/>
              <w:right w:val="single" w:color="auto" w:sz="10" w:space="0"/>
              <w:insideV w:val="single" w:sz="10" w:space="0"/>
            </w:tcBorders>
            <w:vAlign w:val="center"/>
          </w:tcPr>
          <w:p w14:paraId="5B8DC6DE">
            <w:pPr>
              <w:spacing w:before="0" w:after="0" w:line="240" w:lineRule="auto"/>
              <w:jc w:val="center"/>
            </w:pPr>
          </w:p>
        </w:tc>
        <w:tc>
          <w:tcPr>
            <w:tcW w:w="680" w:type="dxa"/>
            <w:tcBorders>
              <w:top w:val="single" w:color="auto" w:sz="10" w:space="0"/>
              <w:left w:val="single" w:color="auto" w:sz="10" w:space="0"/>
              <w:bottom w:val="single" w:color="auto" w:sz="10" w:space="0"/>
              <w:right w:val="single" w:color="auto" w:sz="10" w:space="0"/>
              <w:insideV w:val="single" w:sz="10" w:space="0"/>
            </w:tcBorders>
            <w:vAlign w:val="center"/>
          </w:tcPr>
          <w:p w14:paraId="4BD3D4B8">
            <w:pPr>
              <w:spacing w:before="0" w:after="0" w:line="240" w:lineRule="auto"/>
              <w:jc w:val="center"/>
            </w:pP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58DD13A">
            <w:pPr>
              <w:spacing w:before="0" w:after="0" w:line="240" w:lineRule="auto"/>
              <w:jc w:val="center"/>
            </w:pPr>
          </w:p>
        </w:tc>
        <w:tc>
          <w:tcPr>
            <w:tcW w:w="1725" w:type="dxa"/>
            <w:tcBorders>
              <w:top w:val="single" w:color="auto" w:sz="10" w:space="0"/>
              <w:left w:val="single" w:color="auto" w:sz="10" w:space="0"/>
              <w:bottom w:val="single" w:color="auto" w:sz="10" w:space="0"/>
              <w:right w:val="single" w:color="auto" w:sz="10" w:space="0"/>
              <w:insideV w:val="single" w:sz="10" w:space="0"/>
            </w:tcBorders>
            <w:vAlign w:val="center"/>
          </w:tcPr>
          <w:p w14:paraId="2E778E92">
            <w:pPr>
              <w:spacing w:before="0" w:after="0" w:line="240" w:lineRule="auto"/>
              <w:jc w:val="center"/>
            </w:pPr>
          </w:p>
        </w:tc>
      </w:tr>
    </w:tbl>
    <w:p w14:paraId="313EC3A6">
      <w:r>
        <w:br w:type="page"/>
      </w:r>
    </w:p>
    <w:p w14:paraId="422FF6FB">
      <w:pPr>
        <w:sectPr>
          <w:type w:val="continuous"/>
          <w:pgSz w:w="11906" w:h="16838"/>
          <w:pgMar w:top="1440" w:right="1800" w:bottom="1440" w:left="1800" w:header="851" w:footer="992" w:gutter="0"/>
          <w:cols w:space="720" w:num="1"/>
          <w:docGrid w:type="lines" w:linePitch="312" w:charSpace="0"/>
        </w:sectPr>
      </w:pPr>
    </w:p>
    <w:p w14:paraId="082DE1B5">
      <w:pPr>
        <w:spacing w:line="640" w:lineRule="exact"/>
        <w:ind w:firstLine="640"/>
        <w:jc w:val="both"/>
        <w:outlineLvl w:val="2"/>
      </w:pPr>
      <w:r>
        <w:rPr>
          <w:rFonts w:ascii="黑体" w:hAnsi="黑体" w:eastAsia="黑体"/>
          <w:sz w:val="32"/>
        </w:rPr>
        <w:t>十二、其他需说明的事项</w:t>
      </w:r>
    </w:p>
    <w:p w14:paraId="352A38AC">
      <w:pPr>
        <w:spacing w:line="580" w:lineRule="exact"/>
        <w:ind w:firstLine="640"/>
        <w:jc w:val="both"/>
      </w:pPr>
      <w:r>
        <w:rPr>
          <w:rFonts w:ascii="仿宋_GB2312" w:hAnsi="仿宋_GB2312" w:eastAsia="仿宋_GB2312"/>
          <w:b w:val="0"/>
          <w:sz w:val="32"/>
        </w:rPr>
        <w:t>本单位无其他需说明的事项。</w:t>
      </w:r>
    </w:p>
    <w:p w14:paraId="3C52CD5F">
      <w:r>
        <w:br w:type="page"/>
      </w:r>
    </w:p>
    <w:p w14:paraId="16BBB98D">
      <w:pPr>
        <w:spacing w:line="600" w:lineRule="exact"/>
        <w:jc w:val="center"/>
        <w:outlineLvl w:val="0"/>
      </w:pPr>
      <w:r>
        <w:rPr>
          <w:rFonts w:ascii="黑体" w:hAnsi="黑体" w:eastAsia="黑体"/>
          <w:sz w:val="32"/>
        </w:rPr>
        <w:t>第三部分 专业名词解释</w:t>
      </w:r>
    </w:p>
    <w:p w14:paraId="5D23D405">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5F0A9ED9">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024C35C">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543F5B4">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42277C">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155B56DF">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399578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015459A">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57E5D62D">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6DE7B2DB">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FF6BC44">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A8E2865">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3A14605">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A575741">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206536A">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BE950C5">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8B60338">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C2A1009">
      <w:r>
        <w:br w:type="page"/>
      </w:r>
    </w:p>
    <w:p w14:paraId="6BD94020">
      <w:pPr>
        <w:spacing w:line="240" w:lineRule="auto"/>
        <w:jc w:val="center"/>
        <w:outlineLvl w:val="1"/>
      </w:pPr>
      <w:r>
        <w:rPr>
          <w:rFonts w:ascii="黑体" w:hAnsi="黑体" w:eastAsia="黑体"/>
          <w:sz w:val="32"/>
        </w:rPr>
        <w:t>第四部分 部门决算报表（见附表）</w:t>
      </w:r>
    </w:p>
    <w:p w14:paraId="00F573EE">
      <w:pPr>
        <w:autoSpaceDE w:val="0"/>
        <w:autoSpaceDN w:val="0"/>
        <w:spacing w:line="600" w:lineRule="exact"/>
        <w:ind w:firstLine="640" w:firstLineChars="200"/>
      </w:pPr>
      <w:r>
        <w:rPr>
          <w:rFonts w:ascii="仿宋_GB2312" w:hAnsi="仿宋_GB2312" w:eastAsia="仿宋_GB2312"/>
          <w:b w:val="0"/>
          <w:sz w:val="32"/>
        </w:rPr>
        <w:t>一、《收入支出决算总表》</w:t>
      </w:r>
    </w:p>
    <w:p w14:paraId="09EF014B">
      <w:pPr>
        <w:autoSpaceDE w:val="0"/>
        <w:autoSpaceDN w:val="0"/>
        <w:spacing w:line="600" w:lineRule="exact"/>
        <w:ind w:firstLine="640" w:firstLineChars="200"/>
      </w:pPr>
      <w:r>
        <w:rPr>
          <w:rFonts w:ascii="仿宋_GB2312" w:hAnsi="仿宋_GB2312" w:eastAsia="仿宋_GB2312"/>
          <w:b w:val="0"/>
          <w:sz w:val="32"/>
        </w:rPr>
        <w:t>二、《收入决算表》</w:t>
      </w:r>
    </w:p>
    <w:p w14:paraId="220F6AD2">
      <w:pPr>
        <w:autoSpaceDE w:val="0"/>
        <w:autoSpaceDN w:val="0"/>
        <w:spacing w:line="600" w:lineRule="exact"/>
        <w:ind w:firstLine="640" w:firstLineChars="200"/>
      </w:pPr>
      <w:r>
        <w:rPr>
          <w:rFonts w:ascii="仿宋_GB2312" w:hAnsi="仿宋_GB2312" w:eastAsia="仿宋_GB2312"/>
          <w:b w:val="0"/>
          <w:sz w:val="32"/>
        </w:rPr>
        <w:t>三、《支出决算表》</w:t>
      </w:r>
    </w:p>
    <w:p w14:paraId="0610278C">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B0061AA">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3347942">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792E8FC">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32A897C">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64BA36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4D477D1D">
      <w:pPr>
        <w:autoSpaceDE w:val="0"/>
        <w:autoSpaceDN w:val="0"/>
        <w:spacing w:line="600" w:lineRule="exact"/>
        <w:ind w:firstLine="640" w:firstLineChars="200"/>
      </w:pPr>
    </w:p>
    <w:p w14:paraId="62F39569">
      <w:pPr>
        <w:autoSpaceDE w:val="0"/>
        <w:autoSpaceDN w:val="0"/>
        <w:spacing w:line="600" w:lineRule="exact"/>
        <w:ind w:firstLine="640" w:firstLineChars="200"/>
      </w:pPr>
    </w:p>
    <w:p w14:paraId="5BCF3D30">
      <w:pPr>
        <w:autoSpaceDE w:val="0"/>
        <w:autoSpaceDN w:val="0"/>
        <w:spacing w:line="600" w:lineRule="exact"/>
        <w:ind w:firstLine="640" w:firstLineChars="200"/>
      </w:pPr>
    </w:p>
    <w:p w14:paraId="7F95EF6E">
      <w:pPr>
        <w:autoSpaceDE w:val="0"/>
        <w:autoSpaceDN w:val="0"/>
        <w:spacing w:line="600" w:lineRule="exact"/>
        <w:ind w:firstLine="640" w:firstLineChars="200"/>
      </w:pPr>
    </w:p>
    <w:p w14:paraId="35C6B1BA">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AF1E89-3A20-4D78-A93E-46D739474B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7D7AB6F-5DC9-45CD-AD44-2AC954531AE5}"/>
  </w:font>
  <w:font w:name="仿宋_GB2312">
    <w:panose1 w:val="02010609030101010101"/>
    <w:charset w:val="86"/>
    <w:family w:val="modern"/>
    <w:pitch w:val="default"/>
    <w:sig w:usb0="00000001" w:usb1="080E0000" w:usb2="00000000" w:usb3="00000000" w:csb0="00040000" w:csb1="00000000"/>
    <w:embedRegular r:id="rId3" w:fontKey="{42ED4872-C6FC-4C48-A4E4-2E15E0B1FE88}"/>
  </w:font>
  <w:font w:name="楷体_GB2312">
    <w:panose1 w:val="02010609030101010101"/>
    <w:charset w:val="86"/>
    <w:family w:val="auto"/>
    <w:pitch w:val="default"/>
    <w:sig w:usb0="00000001" w:usb1="080E0000" w:usb2="00000000" w:usb3="00000000" w:csb0="00040000" w:csb1="00000000"/>
    <w:embedRegular r:id="rId4" w:fontKey="{1409FAF2-C3DB-4104-9835-78632560742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705796B"/>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CAB408F"/>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a46dc475-840a-46a4-99b7-38da4a8866ce</errorID>
      <errorWord>障</errorWord>
      <group>L1_Word</group>
      <groupName>字词问题</groupName>
      <ability>L2_Typo</ability>
      <abilityName>字词错误</abilityName>
      <candidateList>
        <item>障和</item>
      </candidateList>
      <explain/>
      <paraID>3BEA3767</paraID>
      <start>73</start>
      <end>74</end>
      <status>unmodified</status>
      <modifiedWord/>
      <trackRevisions>false</trackRevisions>
    </reviewItem>
    <reviewItem>
      <errorID>5cfc9f7d-fe1f-4bc9-be0f-12ce368e9c92</errorID>
      <errorWord>最后一公里</errorWord>
      <group>L1_Other</group>
      <groupName>其他问题</groupName>
      <ability>L2_UserTypo</ability>
      <abilityName>自定义错误</abilityName>
      <candidateList>
        <item>“最后一公里”</item>
      </candidateList>
      <explain>来自自定义错词库。</explain>
      <paraID> B8EBD24</paraID>
      <start>142</start>
      <end>147</end>
      <status>unmodified</status>
      <modifiedWord/>
      <trackRevisions>false</trackRevisions>
    </reviewItem>
    <reviewItem>
      <errorID>df531366-5dde-464a-8681-ac6bf0126542</errorID>
      <errorWord>，</errorWord>
      <group>L1_Word</group>
      <groupName>字词问题</groupName>
      <ability>L2_Typo</ability>
      <abilityName>字词错误</abilityName>
      <candidateList>
        <item>，经</item>
      </candidateList>
      <explain/>
      <paraID> B8EBD24</paraID>
      <start>405</start>
      <end>407</end>
      <status>modified</status>
      <modifiedWord>，经</modifiedWord>
      <trackRevisions>false</trackRevisions>
    </reviewItem>
    <reviewItem>
      <errorID>77c1258b-8f6e-4d64-998b-c3dafc27f764</errorID>
      <errorWord>性</errorWord>
      <group>L1_Word</group>
      <groupName>字词问题</groupName>
      <ability>L2_Typo</ability>
      <abilityName>字词错误</abilityName>
      <candidateList>
        <item>性和</item>
      </candidateList>
      <explain/>
      <paraID> B8EBD24</paraID>
      <start>750</start>
      <end>752</end>
      <status>modified</status>
      <modifiedWord>性和</modifiedWord>
      <trackRevisions>false</trackRevisions>
    </reviewItem>
    <reviewItem>
      <errorID>5e185d2d-5f7e-4dee-a222-5f20ea1f67e1</errorID>
      <errorWord>跟踪</errorWord>
      <group>L1_Sensitive</group>
      <groupName>敏感问题</groupName>
      <ability>L2_UserSensitive</ability>
      <abilityName>自定义敏感词</abilityName>
      <candidateList/>
      <explain>来自自定义敏感词库。</explain>
      <paraID> B8EBD24</paraID>
      <start>788</start>
      <end>790</end>
      <status>unmodified</status>
      <modifiedWord/>
      <trackRevisions>false</trackRevisions>
    </reviewItem>
    <reviewItem>
      <errorID>db935ce2-fdd7-4dc2-be72-b6fdb8fdd5ed</errorID>
      <errorWord>-</errorWord>
      <group>L1_Format</group>
      <groupName>格式问题</groupName>
      <ability>L2_HalfPunc_CN</ability>
      <abilityName>全半角问题</abilityName>
      <candidateList>
        <item>－</item>
      </candidateList>
      <explain>文本全半角错误。</explain>
      <paraID>35CA39D7</paraID>
      <start>11</start>
      <end>12</end>
      <status>unmodified</status>
      <modifiedWord/>
      <trackRevisions>false</trackRevisions>
    </reviewItem>
    <reviewItem>
      <errorID>39c6beaf-4a6c-4ade-8dcf-e47a5e99699c</errorID>
      <errorWord>最后一公里</errorWord>
      <group>L1_Other</group>
      <groupName>其他问题</groupName>
      <ability>L2_UserTypo</ability>
      <abilityName>自定义错误</abilityName>
      <candidateList>
        <item>“最后一公里”</item>
      </candidateList>
      <explain>来自自定义错词库。</explain>
      <paraID> 4EA888F</paraID>
      <start>74</start>
      <end>79</end>
      <status>unmodified</status>
      <modifiedWord/>
      <trackRevisions>false</trackRevisions>
    </reviewItem>
    <reviewItem>
      <errorID>19645832-1463-428b-bfd2-ff131eb78e72</errorID>
      <errorWord>最后一公里</errorWord>
      <group>L1_Other</group>
      <groupName>其他问题</groupName>
      <ability>L2_UserTypo</ability>
      <abilityName>自定义错误</abilityName>
      <candidateList>
        <item>“最后一公里”</item>
      </candidateList>
      <explain>来自自定义错词库。</explain>
      <paraID>6D547487</paraID>
      <start>77</start>
      <end>82</end>
      <status>unmodified</status>
      <modifiedWord/>
      <trackRevisions>false</trackRevisions>
    </reviewItem>
    <reviewItem>
      <errorID>24ee8b9b-1365-44d0-98e6-2fc734569ea4</errorID>
      <errorWord>-</errorWord>
      <group>L1_Format</group>
      <groupName>格式问题</groupName>
      <ability>L2_HalfPunc_CN</ability>
      <abilityName>全半角问题</abilityName>
      <candidateList>
        <item>－</item>
      </candidateList>
      <explain>文本全半角错误。</explain>
      <paraID>6470B330</paraID>
      <start>11</start>
      <end>12</end>
      <status>unmodified</status>
      <modifiedWord/>
      <trackRevisions>false</trackRevisions>
    </reviewItem>
    <reviewItem>
      <errorID>fae3da37-8e92-47f2-adad-42eab683c70c</errorID>
      <errorWord>，</errorWord>
      <group>L1_Word</group>
      <groupName>字词问题</groupName>
      <ability>L2_Typo</ability>
      <abilityName>字词错误</abilityName>
      <candidateList>
        <item>，经</item>
      </candidateList>
      <explain/>
      <paraID>47E3E164</paraID>
      <start>12</start>
      <end>14</end>
      <status>modified</status>
      <modifiedWord>，经</modifiedWord>
      <trackRevisions>false</trackRevisions>
    </reviewItem>
    <reviewItem>
      <errorID>d8cdc995-e500-4bcd-b32f-34b1e1d95dbb</errorID>
      <errorWord>性</errorWord>
      <group>L1_Word</group>
      <groupName>字词问题</groupName>
      <ability>L2_Typo</ability>
      <abilityName>字词错误</abilityName>
      <candidateList>
        <item>性和</item>
      </candidateList>
      <explain/>
      <paraID>757CC389</paraID>
      <start>265</start>
      <end>267</end>
      <status>modified</status>
      <modifiedWord>性和</modifiedWord>
      <trackRevisions>false</trackRevisions>
    </reviewItem>
    <reviewItem>
      <errorID>724f891b-7903-4479-8a60-68a46b928a0b</errorID>
      <errorWord>跟踪</errorWord>
      <group>L1_Sensitive</group>
      <groupName>敏感问题</groupName>
      <ability>L2_UserSensitive</ability>
      <abilityName>自定义敏感词</abilityName>
      <candidateList/>
      <explain>来自自定义敏感词库。</explain>
      <paraID>757CC389</paraID>
      <start>303</start>
      <end>305</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bacbc9-2384-4919-b123-c9a453039816}">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8356</Words>
  <Characters>9293</Characters>
  <Lines>10</Lines>
  <Paragraphs>2</Paragraphs>
  <TotalTime>19</TotalTime>
  <ScaleCrop>false</ScaleCrop>
  <LinksUpToDate>false</LinksUpToDate>
  <CharactersWithSpaces>9303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白羊</cp:lastModifiedBy>
  <cp:lastPrinted>2024-07-22T11:58:00Z</cp:lastPrinted>
  <dcterms:modified xsi:type="dcterms:W3CDTF">2026-08-28T09:32:04Z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eyJoZGlkIjoiN2E1ZDY0MDI5MTE3YjM0ZGMyMzg4N2EwMDI4ZjJiM2YiLCJ1c2VySWQiOiI0MzE2NzY3NzkifQ==</vt:lpwstr>
  </property>
</Properties>
</file>