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82DEB4"/>
    <w:p w14:paraId="1CE153EB">
      <w:pPr>
        <w:spacing w:line="540" w:lineRule="exact"/>
        <w:jc w:val="center"/>
        <w:rPr>
          <w:rFonts w:hint="default" w:ascii="Times New Roman" w:hAnsi="Times New Roman" w:eastAsia="华文中宋" w:cs="Times New Roman"/>
          <w:b/>
          <w:kern w:val="0"/>
          <w:sz w:val="52"/>
          <w:szCs w:val="52"/>
        </w:rPr>
      </w:pPr>
    </w:p>
    <w:p w14:paraId="4E72534B">
      <w:pPr>
        <w:spacing w:line="540" w:lineRule="exact"/>
        <w:rPr>
          <w:rFonts w:hint="default" w:ascii="Times New Roman" w:hAnsi="Times New Roman" w:eastAsia="华文中宋" w:cs="Times New Roman"/>
          <w:b/>
          <w:kern w:val="0"/>
          <w:sz w:val="52"/>
          <w:szCs w:val="52"/>
        </w:rPr>
      </w:pPr>
    </w:p>
    <w:p w14:paraId="36AFB5F3">
      <w:pPr>
        <w:spacing w:line="540" w:lineRule="exact"/>
        <w:jc w:val="center"/>
        <w:rPr>
          <w:rFonts w:hint="default" w:ascii="Times New Roman" w:hAnsi="Times New Roman" w:eastAsia="华文中宋" w:cs="Times New Roman"/>
          <w:b/>
          <w:kern w:val="0"/>
          <w:sz w:val="52"/>
          <w:szCs w:val="52"/>
        </w:rPr>
      </w:pPr>
    </w:p>
    <w:p w14:paraId="62AEEC2F">
      <w:pPr>
        <w:spacing w:line="540" w:lineRule="exact"/>
        <w:jc w:val="center"/>
        <w:rPr>
          <w:rFonts w:hint="default" w:ascii="Times New Roman" w:hAnsi="Times New Roman" w:eastAsia="华文中宋" w:cs="Times New Roman"/>
          <w:b/>
          <w:kern w:val="0"/>
          <w:sz w:val="52"/>
          <w:szCs w:val="52"/>
        </w:rPr>
      </w:pPr>
    </w:p>
    <w:p w14:paraId="0E39E9DA">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val="en-US" w:eastAsia="zh-CN"/>
        </w:rPr>
        <w:t>经营成本性</w:t>
      </w:r>
      <w:r>
        <w:rPr>
          <w:rFonts w:hint="default" w:ascii="Times New Roman" w:hAnsi="Times New Roman" w:eastAsia="方正小标宋_GBK" w:cs="Times New Roman"/>
          <w:kern w:val="0"/>
          <w:sz w:val="48"/>
          <w:szCs w:val="48"/>
        </w:rPr>
        <w:t>项目支出绩效评价</w:t>
      </w:r>
    </w:p>
    <w:p w14:paraId="36D2E14F">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6DDE4FBB">
      <w:pPr>
        <w:spacing w:line="540" w:lineRule="exact"/>
        <w:jc w:val="center"/>
        <w:rPr>
          <w:rFonts w:hint="default" w:ascii="Times New Roman" w:hAnsi="Times New Roman" w:eastAsia="华文中宋" w:cs="Times New Roman"/>
          <w:b/>
          <w:kern w:val="0"/>
          <w:sz w:val="52"/>
          <w:szCs w:val="52"/>
        </w:rPr>
      </w:pPr>
    </w:p>
    <w:p w14:paraId="61426AF5">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eastAsia" w:eastAsia="仿宋_GB2312" w:cs="Times New Roman"/>
          <w:kern w:val="0"/>
          <w:sz w:val="36"/>
          <w:szCs w:val="36"/>
          <w:lang w:val="en-US" w:eastAsia="zh-CN"/>
        </w:rPr>
        <w:t>5</w:t>
      </w:r>
      <w:r>
        <w:rPr>
          <w:rFonts w:hint="default" w:ascii="Times New Roman" w:hAnsi="Times New Roman" w:eastAsia="仿宋_GB2312" w:cs="Times New Roman"/>
          <w:kern w:val="0"/>
          <w:sz w:val="36"/>
          <w:szCs w:val="36"/>
        </w:rPr>
        <w:t>年度）</w:t>
      </w:r>
    </w:p>
    <w:p w14:paraId="4FE1D75A">
      <w:pPr>
        <w:spacing w:line="540" w:lineRule="exact"/>
        <w:jc w:val="center"/>
        <w:rPr>
          <w:rFonts w:hint="default" w:ascii="Times New Roman" w:hAnsi="Times New Roman" w:eastAsia="仿宋_GB2312" w:cs="Times New Roman"/>
          <w:kern w:val="0"/>
          <w:sz w:val="30"/>
          <w:szCs w:val="30"/>
        </w:rPr>
      </w:pPr>
    </w:p>
    <w:p w14:paraId="03ECC9C9">
      <w:pPr>
        <w:spacing w:line="540" w:lineRule="exact"/>
        <w:jc w:val="center"/>
        <w:rPr>
          <w:rFonts w:hint="default" w:ascii="Times New Roman" w:hAnsi="Times New Roman" w:eastAsia="仿宋_GB2312" w:cs="Times New Roman"/>
          <w:kern w:val="0"/>
          <w:sz w:val="30"/>
          <w:szCs w:val="30"/>
        </w:rPr>
      </w:pPr>
    </w:p>
    <w:p w14:paraId="035C9957">
      <w:pPr>
        <w:spacing w:line="540" w:lineRule="exact"/>
        <w:jc w:val="center"/>
        <w:rPr>
          <w:rFonts w:hint="default" w:ascii="Times New Roman" w:hAnsi="Times New Roman" w:eastAsia="仿宋_GB2312" w:cs="Times New Roman"/>
          <w:kern w:val="0"/>
          <w:sz w:val="30"/>
          <w:szCs w:val="30"/>
        </w:rPr>
      </w:pPr>
    </w:p>
    <w:p w14:paraId="60CBE701">
      <w:pPr>
        <w:spacing w:line="540" w:lineRule="exact"/>
        <w:jc w:val="center"/>
        <w:rPr>
          <w:rFonts w:hint="default" w:ascii="Times New Roman" w:hAnsi="Times New Roman" w:eastAsia="仿宋_GB2312" w:cs="Times New Roman"/>
          <w:kern w:val="0"/>
          <w:sz w:val="30"/>
          <w:szCs w:val="30"/>
        </w:rPr>
      </w:pPr>
    </w:p>
    <w:p w14:paraId="26614C80">
      <w:pPr>
        <w:spacing w:line="540" w:lineRule="exact"/>
        <w:jc w:val="center"/>
        <w:rPr>
          <w:rFonts w:hint="default" w:ascii="Times New Roman" w:hAnsi="Times New Roman" w:eastAsia="仿宋_GB2312" w:cs="Times New Roman"/>
          <w:kern w:val="0"/>
          <w:sz w:val="30"/>
          <w:szCs w:val="30"/>
        </w:rPr>
      </w:pPr>
    </w:p>
    <w:p w14:paraId="0B23AB1F">
      <w:pPr>
        <w:spacing w:line="540" w:lineRule="exact"/>
        <w:jc w:val="center"/>
        <w:rPr>
          <w:rFonts w:hint="default" w:ascii="Times New Roman" w:hAnsi="Times New Roman" w:eastAsia="仿宋_GB2312" w:cs="Times New Roman"/>
          <w:kern w:val="0"/>
          <w:sz w:val="30"/>
          <w:szCs w:val="30"/>
        </w:rPr>
      </w:pPr>
    </w:p>
    <w:p w14:paraId="10F77128">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val="en-US" w:eastAsia="zh-CN"/>
        </w:rPr>
        <w:t>经营成本性项目</w:t>
      </w:r>
    </w:p>
    <w:p w14:paraId="43E3E7DA">
      <w:pPr>
        <w:spacing w:line="700" w:lineRule="exact"/>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新疆维吾尔自治区头屯河流域水利管理中心</w:t>
      </w:r>
    </w:p>
    <w:p w14:paraId="59EE7254">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bookmarkStart w:id="69" w:name="_GoBack"/>
      <w:bookmarkEnd w:id="69"/>
      <w:r>
        <w:rPr>
          <w:rFonts w:hint="default" w:ascii="Times New Roman" w:hAnsi="Times New Roman" w:eastAsia="仿宋_GB2312" w:cs="Times New Roman"/>
          <w:kern w:val="0"/>
          <w:sz w:val="36"/>
          <w:szCs w:val="36"/>
        </w:rPr>
        <w:t>新疆维吾尔自治区水利厅</w:t>
      </w:r>
    </w:p>
    <w:p w14:paraId="00234F02">
      <w:pPr>
        <w:spacing w:line="700" w:lineRule="exact"/>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3</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25</w:t>
      </w:r>
      <w:r>
        <w:rPr>
          <w:rFonts w:hint="default" w:ascii="Times New Roman" w:hAnsi="Times New Roman" w:eastAsia="仿宋_GB2312" w:cs="Times New Roman"/>
          <w:kern w:val="0"/>
          <w:sz w:val="36"/>
          <w:szCs w:val="36"/>
        </w:rPr>
        <w:t>日</w:t>
      </w:r>
    </w:p>
    <w:p w14:paraId="17D446EF">
      <w:pPr>
        <w:spacing w:line="540" w:lineRule="exact"/>
        <w:jc w:val="center"/>
        <w:rPr>
          <w:rFonts w:hint="default" w:ascii="Times New Roman" w:hAnsi="Times New Roman" w:eastAsia="仿宋_GB2312" w:cs="Times New Roman"/>
          <w:kern w:val="0"/>
          <w:sz w:val="30"/>
          <w:szCs w:val="30"/>
        </w:rPr>
      </w:pPr>
    </w:p>
    <w:p w14:paraId="6E37551E">
      <w:pPr>
        <w:rPr>
          <w:rFonts w:hint="default" w:ascii="Times New Roman" w:hAnsi="Times New Roman" w:eastAsia="仿宋_GB2312" w:cs="Times New Roman"/>
          <w:kern w:val="0"/>
          <w:sz w:val="30"/>
          <w:szCs w:val="30"/>
        </w:rPr>
      </w:pPr>
      <w:r>
        <w:rPr>
          <w:rFonts w:hint="default" w:ascii="Times New Roman" w:hAnsi="Times New Roman" w:eastAsia="仿宋_GB2312" w:cs="Times New Roman"/>
          <w:kern w:val="0"/>
          <w:sz w:val="30"/>
          <w:szCs w:val="30"/>
        </w:rPr>
        <w:br w:type="page"/>
      </w:r>
    </w:p>
    <w:p w14:paraId="75E0574B">
      <w:pPr>
        <w:spacing w:line="540" w:lineRule="exact"/>
        <w:jc w:val="center"/>
        <w:rPr>
          <w:rFonts w:hint="default" w:ascii="Times New Roman" w:hAnsi="Times New Roman" w:eastAsia="仿宋_GB2312" w:cs="Times New Roman"/>
          <w:kern w:val="0"/>
          <w:sz w:val="30"/>
          <w:szCs w:val="30"/>
        </w:rPr>
      </w:pPr>
    </w:p>
    <w:sdt>
      <w:sdtPr>
        <w:rPr>
          <w:rFonts w:ascii="宋体" w:hAnsi="宋体" w:eastAsia="宋体" w:cs="Times New Roman"/>
          <w:b/>
          <w:bCs/>
          <w:kern w:val="2"/>
          <w:sz w:val="44"/>
          <w:szCs w:val="44"/>
          <w:lang w:val="en-US" w:eastAsia="zh-CN" w:bidi="ar-SA"/>
        </w:rPr>
        <w:id w:val="147456767"/>
        <w15:color w:val="DBDBDB"/>
        <w:docPartObj>
          <w:docPartGallery w:val="Table of Contents"/>
          <w:docPartUnique/>
        </w:docPartObj>
      </w:sdtPr>
      <w:sdtEndPr>
        <w:rPr>
          <w:rFonts w:hint="default" w:ascii="Times New Roman" w:hAnsi="Times New Roman" w:eastAsia="宋体" w:cs="Times New Roman"/>
          <w:b/>
          <w:bCs/>
          <w:kern w:val="2"/>
          <w:sz w:val="21"/>
          <w:szCs w:val="24"/>
          <w:lang w:val="en-US" w:eastAsia="zh-CN" w:bidi="ar-SA"/>
        </w:rPr>
      </w:sdtEndPr>
      <w:sdtContent>
        <w:p w14:paraId="67201E95">
          <w:pPr>
            <w:spacing w:before="0" w:beforeLines="0" w:after="0" w:afterLines="0" w:line="240" w:lineRule="auto"/>
            <w:ind w:left="0" w:leftChars="0" w:right="0" w:rightChars="0" w:firstLine="0" w:firstLineChars="0"/>
            <w:jc w:val="center"/>
            <w:rPr>
              <w:b/>
              <w:bCs/>
              <w:sz w:val="44"/>
              <w:szCs w:val="44"/>
            </w:rPr>
          </w:pPr>
          <w:r>
            <w:rPr>
              <w:rFonts w:ascii="宋体" w:hAnsi="宋体" w:eastAsia="宋体"/>
              <w:b/>
              <w:bCs/>
              <w:sz w:val="44"/>
              <w:szCs w:val="44"/>
            </w:rPr>
            <w:t>目录</w:t>
          </w:r>
        </w:p>
        <w:p w14:paraId="11FE1B7E">
          <w:pPr>
            <w:pStyle w:val="9"/>
            <w:tabs>
              <w:tab w:val="right" w:leader="middleDot" w:pos="8548"/>
              <w:tab w:val="clear" w:pos="7980"/>
              <w:tab w:val="clear" w:pos="8190"/>
            </w:tabs>
            <w:rPr>
              <w:rFonts w:hint="eastAsia" w:ascii="仿宋_GB2312" w:hAnsi="仿宋_GB2312" w:eastAsia="仿宋_GB2312" w:cs="仿宋_GB2312"/>
              <w:sz w:val="32"/>
              <w:szCs w:val="32"/>
            </w:rPr>
          </w:pPr>
          <w:r>
            <w:rPr>
              <w:rFonts w:hint="default"/>
            </w:rPr>
            <w:fldChar w:fldCharType="begin"/>
          </w:r>
          <w:r>
            <w:rPr>
              <w:rFonts w:hint="default"/>
            </w:rPr>
            <w:instrText xml:space="preserve">TOC \o "1-9" \h \u</w:instrText>
          </w:r>
          <w:r>
            <w:rPr>
              <w:rFonts w:hint="default"/>
            </w:rPr>
            <w:fldChar w:fldCharType="separate"/>
          </w:r>
          <w:r>
            <w:fldChar w:fldCharType="begin"/>
          </w:r>
          <w:r>
            <w:instrText xml:space="preserve"> HYPERLINK \l "_Toc3458" </w:instrText>
          </w:r>
          <w:r>
            <w:fldChar w:fldCharType="separate"/>
          </w:r>
          <w:r>
            <w:rPr>
              <w:rFonts w:hint="eastAsia" w:ascii="仿宋_GB2312" w:hAnsi="仿宋_GB2312" w:eastAsia="仿宋_GB2312" w:cs="仿宋_GB2312"/>
              <w:bCs/>
              <w:sz w:val="32"/>
              <w:szCs w:val="32"/>
            </w:rPr>
            <w:t>一、基本情况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_Toc3458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453ECFB">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"_Toc16251" </w:instrText>
          </w:r>
          <w:r>
            <w:fldChar w:fldCharType="separate"/>
          </w:r>
          <w:r>
            <w:rPr>
              <w:rFonts w:hint="eastAsia" w:ascii="仿宋_GB2312" w:hAnsi="仿宋_GB2312" w:eastAsia="仿宋_GB2312" w:cs="仿宋_GB2312"/>
              <w:bCs/>
              <w:sz w:val="32"/>
              <w:szCs w:val="32"/>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_Toc16251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859146E">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"_Toc11655" </w:instrText>
          </w:r>
          <w:r>
            <w:fldChar w:fldCharType="separate"/>
          </w:r>
          <w:r>
            <w:rPr>
              <w:rFonts w:hint="eastAsia" w:ascii="仿宋_GB2312" w:hAnsi="仿宋_GB2312" w:eastAsia="仿宋_GB2312" w:cs="仿宋_GB2312"/>
              <w:bCs/>
              <w:sz w:val="32"/>
              <w:szCs w:val="32"/>
            </w:rPr>
            <w:t>（二）项目绩效目标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val="en-US" w:eastAsia="zh-CN"/>
            </w:rPr>
            <w:fldChar w:fldCharType="end"/>
          </w:r>
        </w:p>
        <w:p w14:paraId="1334EA16">
          <w:pPr>
            <w:pStyle w:val="9"/>
            <w:tabs>
              <w:tab w:val="right" w:leader="middleDot" w:pos="8548"/>
              <w:tab w:val="clear" w:pos="7980"/>
              <w:tab w:val="clear" w:pos="8190"/>
            </w:tabs>
            <w:rPr>
              <w:rFonts w:hint="eastAsia" w:ascii="仿宋_GB2312" w:hAnsi="仿宋_GB2312" w:eastAsia="仿宋_GB2312" w:cs="仿宋_GB2312"/>
              <w:sz w:val="32"/>
              <w:szCs w:val="32"/>
            </w:rPr>
          </w:pPr>
          <w:r>
            <w:fldChar w:fldCharType="begin"/>
          </w:r>
          <w:r>
            <w:instrText xml:space="preserve"> HYPERLINK \l "_Toc25712" </w:instrText>
          </w:r>
          <w:r>
            <w:fldChar w:fldCharType="separate"/>
          </w:r>
          <w:r>
            <w:rPr>
              <w:rFonts w:hint="eastAsia" w:ascii="仿宋_GB2312" w:hAnsi="仿宋_GB2312" w:eastAsia="仿宋_GB2312" w:cs="仿宋_GB2312"/>
              <w:sz w:val="32"/>
              <w:szCs w:val="32"/>
            </w:rPr>
            <w:t>二、绩效评价工作开展情况</w:t>
          </w:r>
          <w:r>
            <w:rPr>
              <w:rFonts w:hint="eastAsia" w:ascii="仿宋_GB2312" w:hAnsi="仿宋_GB2312" w:eastAsia="仿宋_GB2312" w:cs="仿宋_GB2312"/>
              <w:sz w:val="32"/>
              <w:szCs w:val="32"/>
            </w:rPr>
            <w:tab/>
          </w:r>
          <w:r>
            <w:rPr>
              <w:rFonts w:hint="eastAsia" w:ascii="仿宋_GB2312" w:hAnsi="仿宋_GB2312" w:cs="仿宋_GB2312"/>
              <w:sz w:val="32"/>
              <w:szCs w:val="32"/>
              <w:lang w:val="en-US" w:eastAsia="zh-CN"/>
            </w:rPr>
            <w:t>5</w:t>
          </w:r>
          <w:r>
            <w:rPr>
              <w:rFonts w:hint="eastAsia" w:ascii="仿宋_GB2312" w:hAnsi="仿宋_GB2312" w:cs="仿宋_GB2312"/>
              <w:sz w:val="32"/>
              <w:szCs w:val="32"/>
              <w:lang w:val="en-US" w:eastAsia="zh-CN"/>
            </w:rPr>
            <w:fldChar w:fldCharType="end"/>
          </w:r>
        </w:p>
        <w:p w14:paraId="1AFB9BE8">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"_Toc20967" </w:instrText>
          </w:r>
          <w:r>
            <w:fldChar w:fldCharType="separate"/>
          </w:r>
          <w:r>
            <w:rPr>
              <w:rFonts w:hint="eastAsia" w:ascii="仿宋_GB2312" w:hAnsi="仿宋_GB2312" w:eastAsia="仿宋_GB2312" w:cs="仿宋_GB2312"/>
              <w:bCs/>
              <w:sz w:val="32"/>
              <w:szCs w:val="32"/>
            </w:rPr>
            <w:t>（一）绩效评价目的、对象和范围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val="en-US" w:eastAsia="zh-CN"/>
            </w:rPr>
            <w:fldChar w:fldCharType="end"/>
          </w:r>
        </w:p>
        <w:p w14:paraId="5A7A0F4A">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"_Toc29785" </w:instrText>
          </w:r>
          <w:r>
            <w:fldChar w:fldCharType="separate"/>
          </w:r>
          <w:r>
            <w:rPr>
              <w:rFonts w:hint="eastAsia" w:ascii="仿宋_GB2312" w:hAnsi="仿宋_GB2312" w:eastAsia="仿宋_GB2312" w:cs="仿宋_GB2312"/>
              <w:bCs/>
              <w:sz w:val="32"/>
              <w:szCs w:val="32"/>
            </w:rPr>
            <w:t>（二）绩效评价原则、评价指标体系（详情见表1）、评价方法、评价标准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val="en-US" w:eastAsia="zh-CN"/>
            </w:rPr>
            <w:fldChar w:fldCharType="end"/>
          </w:r>
        </w:p>
        <w:p w14:paraId="04A4F847">
          <w:pPr>
            <w:pStyle w:val="11"/>
            <w:tabs>
              <w:tab w:val="right" w:leader="middleDot" w:pos="8548"/>
            </w:tabs>
            <w:rPr>
              <w:rFonts w:hint="eastAsia" w:ascii="仿宋_GB2312" w:hAnsi="仿宋_GB2312" w:eastAsia="仿宋_GB2312" w:cs="仿宋_GB2312"/>
              <w:sz w:val="32"/>
              <w:szCs w:val="32"/>
            </w:rPr>
          </w:pPr>
          <w:r>
            <w:fldChar w:fldCharType="begin"/>
          </w:r>
          <w:r>
            <w:instrText xml:space="preserve"> HYPERLINK \l "_Toc5544" </w:instrText>
          </w:r>
          <w:r>
            <w:fldChar w:fldCharType="separate"/>
          </w:r>
          <w:r>
            <w:rPr>
              <w:rFonts w:hint="eastAsia" w:ascii="仿宋_GB2312" w:hAnsi="仿宋_GB2312" w:eastAsia="仿宋_GB2312" w:cs="仿宋_GB2312"/>
              <w:spacing w:val="17"/>
              <w:sz w:val="32"/>
              <w:szCs w:val="32"/>
            </w:rPr>
            <w:t>（三）绩效评价工作过程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_Toc5544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64E01C6">
          <w:pPr>
            <w:pStyle w:val="9"/>
            <w:tabs>
              <w:tab w:val="right" w:leader="middleDot" w:pos="8548"/>
              <w:tab w:val="clear" w:pos="7980"/>
              <w:tab w:val="clear" w:pos="8190"/>
            </w:tabs>
            <w:rPr>
              <w:rFonts w:hint="eastAsia" w:ascii="仿宋_GB2312" w:hAnsi="仿宋_GB2312" w:eastAsia="仿宋_GB2312" w:cs="仿宋_GB2312"/>
              <w:sz w:val="32"/>
              <w:szCs w:val="32"/>
              <w:lang w:val="en-US" w:eastAsia="zh-CN"/>
            </w:rPr>
          </w:pPr>
          <w:r>
            <w:fldChar w:fldCharType="begin"/>
          </w:r>
          <w:r>
            <w:instrText xml:space="preserve"> HYPERLINK \l "_Toc29729" </w:instrText>
          </w:r>
          <w:r>
            <w:fldChar w:fldCharType="separate"/>
          </w:r>
          <w:r>
            <w:rPr>
              <w:rFonts w:hint="eastAsia" w:ascii="仿宋_GB2312" w:hAnsi="仿宋_GB2312" w:eastAsia="仿宋_GB2312" w:cs="仿宋_GB2312"/>
              <w:sz w:val="32"/>
              <w:szCs w:val="32"/>
            </w:rPr>
            <w:t>三、综合评价情况及评价结论（附相关评分表）</w:t>
          </w:r>
          <w:r>
            <w:rPr>
              <w:rFonts w:hint="eastAsia" w:ascii="仿宋_GB2312" w:hAnsi="仿宋_GB2312" w:eastAsia="仿宋_GB2312" w:cs="仿宋_GB2312"/>
              <w:sz w:val="32"/>
              <w:szCs w:val="32"/>
            </w:rPr>
            <w:tab/>
          </w:r>
          <w:r>
            <w:rPr>
              <w:rFonts w:hint="eastAsia" w:ascii="仿宋_GB2312" w:hAnsi="仿宋_GB2312" w:cs="仿宋_GB2312"/>
              <w:sz w:val="32"/>
              <w:szCs w:val="32"/>
              <w:lang w:val="en-US" w:eastAsia="zh-CN"/>
            </w:rPr>
            <w:t>1</w:t>
          </w:r>
          <w:r>
            <w:rPr>
              <w:rFonts w:hint="eastAsia" w:ascii="仿宋_GB2312" w:hAnsi="仿宋_GB2312" w:cs="仿宋_GB2312"/>
              <w:sz w:val="32"/>
              <w:szCs w:val="32"/>
              <w:lang w:val="en-US" w:eastAsia="zh-CN"/>
            </w:rPr>
            <w:fldChar w:fldCharType="end"/>
          </w:r>
          <w:r>
            <w:rPr>
              <w:rFonts w:hint="eastAsia" w:ascii="仿宋_GB2312" w:hAnsi="仿宋_GB2312" w:cs="仿宋_GB2312"/>
              <w:sz w:val="32"/>
              <w:szCs w:val="32"/>
              <w:lang w:val="en-US" w:eastAsia="zh-CN"/>
            </w:rPr>
            <w:t>2</w:t>
          </w:r>
        </w:p>
        <w:p w14:paraId="7B1CAD30">
          <w:pPr>
            <w:pStyle w:val="11"/>
            <w:tabs>
              <w:tab w:val="right" w:leader="middleDot" w:pos="8548"/>
            </w:tabs>
            <w:rPr>
              <w:rFonts w:hint="eastAsia" w:ascii="仿宋_GB2312" w:hAnsi="仿宋_GB2312" w:eastAsia="仿宋_GB2312" w:cs="仿宋_GB2312"/>
              <w:sz w:val="32"/>
              <w:szCs w:val="32"/>
              <w:lang w:val="en-US" w:eastAsia="zh-CN"/>
            </w:rPr>
          </w:pPr>
          <w:r>
            <w:fldChar w:fldCharType="begin"/>
          </w:r>
          <w:r>
            <w:instrText xml:space="preserve"> HYPERLINK \l "_Toc2344"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2</w:t>
          </w:r>
        </w:p>
        <w:p w14:paraId="7860E5FF">
          <w:pPr>
            <w:pStyle w:val="11"/>
            <w:tabs>
              <w:tab w:val="right" w:leader="middleDot" w:pos="8548"/>
            </w:tabs>
            <w:rPr>
              <w:rFonts w:hint="eastAsia" w:ascii="仿宋_GB2312" w:hAnsi="仿宋_GB2312" w:eastAsia="仿宋_GB2312" w:cs="仿宋_GB2312"/>
              <w:sz w:val="32"/>
              <w:szCs w:val="32"/>
              <w:lang w:val="en-US" w:eastAsia="zh-CN"/>
            </w:rPr>
          </w:pPr>
          <w:r>
            <w:fldChar w:fldCharType="begin"/>
          </w:r>
          <w:r>
            <w:instrText xml:space="preserve"> HYPERLINK \l "_Toc6653" </w:instrText>
          </w:r>
          <w:r>
            <w:fldChar w:fldCharType="separate"/>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2</w:t>
          </w:r>
        </w:p>
        <w:p w14:paraId="52F7E95E">
          <w:pPr>
            <w:pStyle w:val="9"/>
            <w:tabs>
              <w:tab w:val="right" w:leader="middleDot" w:pos="8548"/>
              <w:tab w:val="clear" w:pos="7980"/>
              <w:tab w:val="clear" w:pos="8190"/>
            </w:tabs>
            <w:rPr>
              <w:rFonts w:hint="eastAsia" w:ascii="仿宋_GB2312" w:hAnsi="仿宋_GB2312" w:eastAsia="仿宋_GB2312" w:cs="仿宋_GB2312"/>
              <w:sz w:val="32"/>
              <w:szCs w:val="32"/>
              <w:lang w:val="en-US" w:eastAsia="zh-CN"/>
            </w:rPr>
          </w:pPr>
          <w:r>
            <w:fldChar w:fldCharType="begin"/>
          </w:r>
          <w:r>
            <w:instrText xml:space="preserve"> HYPERLINK \l "_Toc1453" </w:instrText>
          </w:r>
          <w:r>
            <w:fldChar w:fldCharType="separate"/>
          </w:r>
          <w:r>
            <w:rPr>
              <w:rFonts w:hint="eastAsia" w:ascii="仿宋_GB2312" w:hAnsi="仿宋_GB2312" w:eastAsia="仿宋_GB2312" w:cs="仿宋_GB2312"/>
              <w:sz w:val="32"/>
              <w:szCs w:val="32"/>
            </w:rPr>
            <w:t>四、绩效评价指标分析</w:t>
          </w:r>
          <w:r>
            <w:rPr>
              <w:rFonts w:hint="eastAsia" w:ascii="仿宋_GB2312" w:hAnsi="仿宋_GB2312" w:eastAsia="仿宋_GB2312" w:cs="仿宋_GB2312"/>
              <w:sz w:val="32"/>
              <w:szCs w:val="32"/>
            </w:rPr>
            <w:tab/>
          </w:r>
          <w:r>
            <w:rPr>
              <w:rFonts w:hint="eastAsia" w:ascii="仿宋_GB2312" w:hAnsi="仿宋_GB2312" w:cs="仿宋_GB2312"/>
              <w:sz w:val="32"/>
              <w:szCs w:val="32"/>
              <w:lang w:val="en-US" w:eastAsia="zh-CN"/>
            </w:rPr>
            <w:t>1</w:t>
          </w:r>
          <w:r>
            <w:rPr>
              <w:rFonts w:hint="eastAsia" w:ascii="仿宋_GB2312" w:hAnsi="仿宋_GB2312" w:cs="仿宋_GB2312"/>
              <w:sz w:val="32"/>
              <w:szCs w:val="32"/>
              <w:lang w:val="en-US" w:eastAsia="zh-CN"/>
            </w:rPr>
            <w:fldChar w:fldCharType="end"/>
          </w:r>
          <w:r>
            <w:rPr>
              <w:rFonts w:hint="eastAsia" w:ascii="仿宋_GB2312" w:hAnsi="仿宋_GB2312" w:cs="仿宋_GB2312"/>
              <w:sz w:val="32"/>
              <w:szCs w:val="32"/>
              <w:lang w:val="en-US" w:eastAsia="zh-CN"/>
            </w:rPr>
            <w:t>3</w:t>
          </w:r>
        </w:p>
        <w:p w14:paraId="42E8102A">
          <w:pPr>
            <w:pStyle w:val="11"/>
            <w:tabs>
              <w:tab w:val="right" w:leader="middleDot" w:pos="8548"/>
            </w:tabs>
            <w:rPr>
              <w:rFonts w:hint="eastAsia" w:ascii="仿宋_GB2312" w:hAnsi="仿宋_GB2312" w:eastAsia="仿宋_GB2312" w:cs="仿宋_GB2312"/>
              <w:sz w:val="32"/>
              <w:szCs w:val="32"/>
              <w:lang w:val="en-US" w:eastAsia="zh-CN"/>
            </w:rPr>
          </w:pPr>
          <w:r>
            <w:fldChar w:fldCharType="begin"/>
          </w:r>
          <w:r>
            <w:instrText xml:space="preserve"> HYPERLINK \l "_Toc32318" </w:instrText>
          </w:r>
          <w:r>
            <w:fldChar w:fldCharType="separate"/>
          </w: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3</w:t>
          </w:r>
        </w:p>
        <w:p w14:paraId="32821FE6">
          <w:pPr>
            <w:pStyle w:val="11"/>
            <w:tabs>
              <w:tab w:val="right" w:leader="middleDot" w:pos="8548"/>
            </w:tabs>
            <w:rPr>
              <w:rFonts w:hint="eastAsia" w:ascii="仿宋_GB2312" w:hAnsi="仿宋_GB2312" w:eastAsia="仿宋_GB2312" w:cs="仿宋_GB2312"/>
              <w:sz w:val="32"/>
              <w:szCs w:val="32"/>
              <w:lang w:val="en-US" w:eastAsia="zh-CN"/>
            </w:rPr>
          </w:pPr>
          <w:r>
            <w:fldChar w:fldCharType="begin"/>
          </w:r>
          <w:r>
            <w:instrText xml:space="preserve"> HYPERLINK \l "_Toc25505" </w:instrText>
          </w:r>
          <w:r>
            <w:fldChar w:fldCharType="separate"/>
          </w: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6</w:t>
          </w:r>
        </w:p>
        <w:p w14:paraId="18AA9C12">
          <w:pPr>
            <w:pStyle w:val="11"/>
            <w:tabs>
              <w:tab w:val="right" w:leader="middleDot" w:pos="8548"/>
            </w:tabs>
            <w:rPr>
              <w:rFonts w:hint="eastAsia" w:ascii="仿宋_GB2312" w:hAnsi="仿宋_GB2312" w:eastAsia="仿宋_GB2312" w:cs="仿宋_GB2312"/>
              <w:sz w:val="32"/>
              <w:szCs w:val="32"/>
              <w:lang w:val="en-US" w:eastAsia="zh-CN"/>
            </w:rPr>
          </w:pPr>
          <w:r>
            <w:fldChar w:fldCharType="begin"/>
          </w:r>
          <w:r>
            <w:instrText xml:space="preserve"> HYPERLINK \l "_Toc8612" </w:instrText>
          </w:r>
          <w:r>
            <w:fldChar w:fldCharType="separate"/>
          </w:r>
          <w:r>
            <w:rPr>
              <w:rFonts w:hint="eastAsia" w:ascii="仿宋_GB2312" w:hAnsi="仿宋_GB2312" w:eastAsia="仿宋_GB2312" w:cs="仿宋_GB2312"/>
              <w:bCs/>
              <w:sz w:val="32"/>
              <w:szCs w:val="32"/>
            </w:rPr>
            <w:t>（三）项目产出</w:t>
          </w:r>
          <w:r>
            <w:rPr>
              <w:rFonts w:hint="eastAsia" w:ascii="仿宋_GB2312" w:hAnsi="仿宋_GB2312" w:eastAsia="仿宋_GB2312" w:cs="仿宋_GB2312"/>
              <w:bCs/>
              <w:sz w:val="32"/>
              <w:szCs w:val="32"/>
              <w:lang w:val="en-US" w:eastAsia="zh-CN"/>
            </w:rPr>
            <w:t>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8</w:t>
          </w:r>
        </w:p>
        <w:p w14:paraId="22EE1425">
          <w:pPr>
            <w:pStyle w:val="11"/>
            <w:tabs>
              <w:tab w:val="right" w:leader="middleDot" w:pos="8548"/>
            </w:tabs>
            <w:rPr>
              <w:rFonts w:hint="eastAsia" w:ascii="仿宋_GB2312" w:hAnsi="仿宋_GB2312" w:eastAsia="仿宋_GB2312" w:cs="仿宋_GB2312"/>
              <w:sz w:val="32"/>
              <w:szCs w:val="32"/>
              <w:lang w:val="en-US" w:eastAsia="zh-CN"/>
            </w:rPr>
          </w:pPr>
          <w:r>
            <w:fldChar w:fldCharType="begin"/>
          </w:r>
          <w:r>
            <w:instrText xml:space="preserve"> HYPERLINK \l "_Toc18470" </w:instrText>
          </w:r>
          <w:r>
            <w:fldChar w:fldCharType="separate"/>
          </w:r>
          <w:r>
            <w:rPr>
              <w:rFonts w:hint="eastAsia" w:ascii="仿宋_GB2312" w:hAnsi="仿宋_GB2312" w:eastAsia="仿宋_GB2312" w:cs="仿宋_GB2312"/>
              <w:bCs/>
              <w:sz w:val="32"/>
              <w:szCs w:val="32"/>
              <w:lang w:val="en-US" w:eastAsia="zh-CN"/>
            </w:rPr>
            <w:t>（四）项目效益情况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1</w:t>
          </w:r>
        </w:p>
        <w:p w14:paraId="7BC7CDA8">
          <w:pPr>
            <w:pStyle w:val="9"/>
            <w:tabs>
              <w:tab w:val="right" w:leader="middleDot" w:pos="8548"/>
              <w:tab w:val="clear" w:pos="7980"/>
              <w:tab w:val="clear" w:pos="8190"/>
            </w:tabs>
            <w:rPr>
              <w:rFonts w:hint="eastAsia" w:ascii="仿宋_GB2312" w:hAnsi="仿宋_GB2312" w:eastAsia="仿宋_GB2312" w:cs="仿宋_GB2312"/>
              <w:sz w:val="32"/>
              <w:szCs w:val="32"/>
              <w:lang w:val="en-US" w:eastAsia="zh-CN"/>
            </w:rPr>
          </w:pPr>
          <w:r>
            <w:fldChar w:fldCharType="begin"/>
          </w:r>
          <w:r>
            <w:instrText xml:space="preserve"> HYPERLINK \l "_Toc21462" </w:instrText>
          </w:r>
          <w:r>
            <w:fldChar w:fldCharType="separate"/>
          </w:r>
          <w:r>
            <w:rPr>
              <w:rFonts w:hint="eastAsia" w:ascii="仿宋_GB2312" w:hAnsi="仿宋_GB2312" w:eastAsia="仿宋_GB2312" w:cs="仿宋_GB2312"/>
              <w:bCs w:val="0"/>
              <w:sz w:val="32"/>
              <w:szCs w:val="32"/>
              <w:lang w:val="en-US" w:eastAsia="zh-CN"/>
            </w:rPr>
            <w:t>五、</w:t>
          </w:r>
          <w:r>
            <w:rPr>
              <w:rFonts w:hint="eastAsia" w:ascii="仿宋_GB2312" w:hAnsi="仿宋_GB2312" w:eastAsia="仿宋_GB2312" w:cs="仿宋_GB2312"/>
              <w:bCs w:val="0"/>
              <w:sz w:val="32"/>
              <w:szCs w:val="32"/>
              <w:lang w:val="en-US"/>
            </w:rPr>
            <w:t>预算执行进度与绩效指标偏差</w:t>
          </w:r>
          <w:r>
            <w:rPr>
              <w:rFonts w:hint="eastAsia" w:ascii="仿宋_GB2312" w:hAnsi="仿宋_GB2312" w:eastAsia="仿宋_GB2312" w:cs="仿宋_GB2312"/>
              <w:sz w:val="32"/>
              <w:szCs w:val="32"/>
            </w:rPr>
            <w:tab/>
          </w:r>
          <w:r>
            <w:rPr>
              <w:rFonts w:hint="eastAsia" w:ascii="仿宋_GB2312" w:hAnsi="仿宋_GB2312" w:cs="仿宋_GB2312"/>
              <w:sz w:val="32"/>
              <w:szCs w:val="32"/>
              <w:lang w:val="en-US" w:eastAsia="zh-CN"/>
            </w:rPr>
            <w:t>2</w:t>
          </w:r>
          <w:r>
            <w:rPr>
              <w:rFonts w:hint="eastAsia" w:ascii="仿宋_GB2312" w:hAnsi="仿宋_GB2312" w:cs="仿宋_GB2312"/>
              <w:sz w:val="32"/>
              <w:szCs w:val="32"/>
              <w:lang w:val="en-US" w:eastAsia="zh-CN"/>
            </w:rPr>
            <w:fldChar w:fldCharType="end"/>
          </w:r>
          <w:r>
            <w:rPr>
              <w:rFonts w:hint="eastAsia" w:ascii="仿宋_GB2312" w:hAnsi="仿宋_GB2312" w:cs="仿宋_GB2312"/>
              <w:sz w:val="32"/>
              <w:szCs w:val="32"/>
              <w:lang w:val="en-US" w:eastAsia="zh-CN"/>
            </w:rPr>
            <w:t>1</w:t>
          </w:r>
        </w:p>
        <w:p w14:paraId="56127E8F">
          <w:pPr>
            <w:pStyle w:val="9"/>
            <w:tabs>
              <w:tab w:val="right" w:leader="middleDot" w:pos="8548"/>
              <w:tab w:val="clear" w:pos="7980"/>
              <w:tab w:val="clear" w:pos="8190"/>
            </w:tabs>
            <w:rPr>
              <w:rFonts w:hint="eastAsia" w:ascii="仿宋_GB2312" w:hAnsi="仿宋_GB2312" w:eastAsia="仿宋_GB2312" w:cs="仿宋_GB2312"/>
              <w:sz w:val="32"/>
              <w:szCs w:val="32"/>
              <w:lang w:val="en-US" w:eastAsia="zh-CN"/>
            </w:rPr>
          </w:pPr>
          <w:r>
            <w:fldChar w:fldCharType="begin"/>
          </w:r>
          <w:r>
            <w:instrText xml:space="preserve"> HYPERLINK \l "_Toc18363" </w:instrText>
          </w:r>
          <w:r>
            <w:fldChar w:fldCharType="separate"/>
          </w:r>
          <w:r>
            <w:rPr>
              <w:rFonts w:hint="eastAsia" w:ascii="仿宋_GB2312" w:hAnsi="仿宋_GB2312" w:eastAsia="仿宋_GB2312" w:cs="仿宋_GB2312"/>
              <w:sz w:val="32"/>
              <w:szCs w:val="32"/>
              <w:lang w:val="en-US" w:eastAsia="zh-CN"/>
            </w:rPr>
            <w:t>六</w:t>
          </w:r>
          <w:r>
            <w:rPr>
              <w:rFonts w:hint="eastAsia" w:ascii="仿宋_GB2312" w:hAnsi="仿宋_GB2312" w:cs="仿宋_GB2312"/>
              <w:bCs/>
              <w:sz w:val="32"/>
              <w:szCs w:val="32"/>
              <w:lang w:val="en-US" w:eastAsia="zh-CN"/>
            </w:rPr>
            <w:t>、</w:t>
          </w:r>
          <w:r>
            <w:rPr>
              <w:rFonts w:hint="eastAsia" w:ascii="仿宋_GB2312" w:hAnsi="仿宋_GB2312" w:eastAsia="仿宋_GB2312" w:cs="仿宋_GB2312"/>
              <w:sz w:val="32"/>
              <w:szCs w:val="32"/>
            </w:rPr>
            <w:t>主要经验及做法、存在的问题及原因分析</w:t>
          </w:r>
          <w:r>
            <w:rPr>
              <w:rFonts w:hint="eastAsia" w:ascii="仿宋_GB2312" w:hAnsi="仿宋_GB2312" w:eastAsia="仿宋_GB2312" w:cs="仿宋_GB2312"/>
              <w:sz w:val="32"/>
              <w:szCs w:val="32"/>
            </w:rPr>
            <w:tab/>
          </w:r>
          <w:r>
            <w:rPr>
              <w:rFonts w:hint="eastAsia" w:ascii="仿宋_GB2312" w:hAnsi="仿宋_GB2312" w:cs="仿宋_GB2312"/>
              <w:sz w:val="32"/>
              <w:szCs w:val="32"/>
              <w:lang w:val="en-US" w:eastAsia="zh-CN"/>
            </w:rPr>
            <w:t>2</w:t>
          </w:r>
          <w:r>
            <w:rPr>
              <w:rFonts w:hint="eastAsia" w:ascii="仿宋_GB2312" w:hAnsi="仿宋_GB2312" w:cs="仿宋_GB2312"/>
              <w:sz w:val="32"/>
              <w:szCs w:val="32"/>
              <w:lang w:val="en-US" w:eastAsia="zh-CN"/>
            </w:rPr>
            <w:fldChar w:fldCharType="end"/>
          </w:r>
          <w:r>
            <w:rPr>
              <w:rFonts w:hint="eastAsia" w:ascii="仿宋_GB2312" w:hAnsi="仿宋_GB2312" w:cs="仿宋_GB2312"/>
              <w:sz w:val="32"/>
              <w:szCs w:val="32"/>
              <w:lang w:val="en-US" w:eastAsia="zh-CN"/>
            </w:rPr>
            <w:t>1</w:t>
          </w:r>
        </w:p>
        <w:p w14:paraId="72F71522">
          <w:pPr>
            <w:pStyle w:val="11"/>
            <w:tabs>
              <w:tab w:val="right" w:leader="middleDot" w:pos="8548"/>
            </w:tabs>
            <w:rPr>
              <w:rFonts w:hint="eastAsia" w:ascii="仿宋_GB2312" w:hAnsi="仿宋_GB2312" w:eastAsia="仿宋_GB2312" w:cs="仿宋_GB2312"/>
              <w:sz w:val="32"/>
              <w:szCs w:val="32"/>
              <w:lang w:val="en-US" w:eastAsia="zh-CN"/>
            </w:rPr>
          </w:pPr>
          <w:r>
            <w:fldChar w:fldCharType="begin"/>
          </w:r>
          <w:r>
            <w:instrText xml:space="preserve"> HYPERLINK \l "_Toc22741" </w:instrText>
          </w:r>
          <w:r>
            <w:fldChar w:fldCharType="separate"/>
          </w:r>
          <w:r>
            <w:rPr>
              <w:rFonts w:hint="eastAsia" w:ascii="仿宋_GB2312" w:hAnsi="仿宋_GB2312" w:eastAsia="仿宋_GB2312" w:cs="仿宋_GB2312"/>
              <w:spacing w:val="-4"/>
              <w:sz w:val="32"/>
              <w:szCs w:val="32"/>
            </w:rPr>
            <w:t>（一）主要经验及做法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1</w:t>
          </w:r>
        </w:p>
        <w:p w14:paraId="015F73F6">
          <w:pPr>
            <w:pStyle w:val="11"/>
            <w:tabs>
              <w:tab w:val="right" w:leader="middleDot" w:pos="8548"/>
            </w:tabs>
            <w:rPr>
              <w:rFonts w:hint="eastAsia" w:ascii="仿宋_GB2312" w:hAnsi="仿宋_GB2312" w:eastAsia="仿宋_GB2312" w:cs="仿宋_GB2312"/>
              <w:sz w:val="32"/>
              <w:szCs w:val="32"/>
              <w:lang w:val="en-US" w:eastAsia="zh-CN"/>
            </w:rPr>
          </w:pPr>
          <w:r>
            <w:fldChar w:fldCharType="begin"/>
          </w:r>
          <w:r>
            <w:instrText xml:space="preserve"> HYPERLINK \l "_Toc7835" </w:instrText>
          </w:r>
          <w:r>
            <w:fldChar w:fldCharType="separate"/>
          </w:r>
          <w:r>
            <w:rPr>
              <w:rFonts w:hint="eastAsia" w:ascii="仿宋_GB2312" w:hAnsi="仿宋_GB2312" w:eastAsia="仿宋_GB2312" w:cs="仿宋_GB2312"/>
              <w:bCs/>
              <w:sz w:val="32"/>
              <w:szCs w:val="32"/>
            </w:rPr>
            <w:t>（二）存在的问题及原因分析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2</w:t>
          </w:r>
        </w:p>
        <w:p w14:paraId="69C79500">
          <w:pPr>
            <w:pStyle w:val="9"/>
            <w:tabs>
              <w:tab w:val="right" w:leader="middleDot" w:pos="8548"/>
              <w:tab w:val="clear" w:pos="7980"/>
              <w:tab w:val="clear" w:pos="8190"/>
            </w:tabs>
            <w:rPr>
              <w:rFonts w:hint="eastAsia" w:ascii="仿宋_GB2312" w:hAnsi="仿宋_GB2312" w:eastAsia="仿宋_GB2312" w:cs="仿宋_GB2312"/>
              <w:sz w:val="32"/>
              <w:szCs w:val="32"/>
              <w:lang w:val="en-US" w:eastAsia="zh-CN"/>
            </w:rPr>
          </w:pPr>
          <w:r>
            <w:fldChar w:fldCharType="begin"/>
          </w:r>
          <w:r>
            <w:instrText xml:space="preserve"> HYPERLINK \l "_Toc25529" </w:instrText>
          </w:r>
          <w:r>
            <w:fldChar w:fldCharType="separate"/>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rPr>
            <w:t>有关建议</w:t>
          </w:r>
          <w:r>
            <w:rPr>
              <w:rFonts w:hint="eastAsia" w:ascii="仿宋_GB2312" w:hAnsi="仿宋_GB2312" w:eastAsia="仿宋_GB2312" w:cs="仿宋_GB2312"/>
              <w:sz w:val="32"/>
              <w:szCs w:val="32"/>
            </w:rPr>
            <w:tab/>
          </w:r>
          <w:r>
            <w:rPr>
              <w:rFonts w:hint="eastAsia" w:ascii="仿宋_GB2312" w:hAnsi="仿宋_GB2312" w:cs="仿宋_GB2312"/>
              <w:sz w:val="32"/>
              <w:szCs w:val="32"/>
              <w:lang w:val="en-US" w:eastAsia="zh-CN"/>
            </w:rPr>
            <w:t>2</w:t>
          </w:r>
          <w:r>
            <w:rPr>
              <w:rFonts w:hint="eastAsia" w:ascii="仿宋_GB2312" w:hAnsi="仿宋_GB2312" w:cs="仿宋_GB2312"/>
              <w:sz w:val="32"/>
              <w:szCs w:val="32"/>
              <w:lang w:val="en-US" w:eastAsia="zh-CN"/>
            </w:rPr>
            <w:fldChar w:fldCharType="end"/>
          </w:r>
          <w:r>
            <w:rPr>
              <w:rFonts w:hint="eastAsia" w:ascii="仿宋_GB2312" w:hAnsi="仿宋_GB2312" w:cs="仿宋_GB2312"/>
              <w:sz w:val="32"/>
              <w:szCs w:val="32"/>
              <w:lang w:val="en-US" w:eastAsia="zh-CN"/>
            </w:rPr>
            <w:t>3</w:t>
          </w:r>
        </w:p>
        <w:p w14:paraId="2499CCE5">
          <w:pPr>
            <w:pStyle w:val="9"/>
            <w:tabs>
              <w:tab w:val="right" w:leader="middleDot" w:pos="8548"/>
              <w:tab w:val="clear" w:pos="7980"/>
              <w:tab w:val="clear" w:pos="8190"/>
            </w:tabs>
            <w:rPr>
              <w:rFonts w:hint="eastAsia" w:ascii="仿宋_GB2312" w:hAnsi="仿宋_GB2312" w:eastAsia="仿宋_GB2312" w:cs="仿宋_GB2312"/>
              <w:sz w:val="32"/>
              <w:szCs w:val="32"/>
              <w:lang w:val="en-US" w:eastAsia="zh-CN"/>
            </w:rPr>
          </w:pPr>
          <w:r>
            <w:fldChar w:fldCharType="begin"/>
          </w:r>
          <w:r>
            <w:instrText xml:space="preserve"> HYPERLINK \l "_Toc3065" </w:instrText>
          </w:r>
          <w:r>
            <w:fldChar w:fldCharType="separate"/>
          </w:r>
          <w:r>
            <w:rPr>
              <w:rFonts w:hint="eastAsia" w:ascii="仿宋_GB2312" w:hAnsi="仿宋_GB2312" w:eastAsia="仿宋_GB2312" w:cs="仿宋_GB2312"/>
              <w:sz w:val="32"/>
              <w:szCs w:val="32"/>
              <w:lang w:val="en-US" w:eastAsia="zh-CN"/>
            </w:rPr>
            <w:t>八</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sz w:val="32"/>
              <w:szCs w:val="32"/>
            </w:rPr>
            <w:t>其他需要说明的问题</w:t>
          </w:r>
          <w:r>
            <w:rPr>
              <w:rFonts w:hint="eastAsia" w:ascii="仿宋_GB2312" w:hAnsi="仿宋_GB2312" w:eastAsia="仿宋_GB2312" w:cs="仿宋_GB2312"/>
              <w:sz w:val="32"/>
              <w:szCs w:val="32"/>
            </w:rPr>
            <w:tab/>
          </w:r>
          <w:r>
            <w:rPr>
              <w:rFonts w:hint="eastAsia" w:ascii="仿宋_GB2312" w:hAnsi="仿宋_GB2312" w:cs="仿宋_GB2312"/>
              <w:sz w:val="32"/>
              <w:szCs w:val="32"/>
              <w:lang w:val="en-US" w:eastAsia="zh-CN"/>
            </w:rPr>
            <w:t>2</w:t>
          </w:r>
          <w:r>
            <w:rPr>
              <w:rFonts w:hint="eastAsia" w:ascii="仿宋_GB2312" w:hAnsi="仿宋_GB2312" w:cs="仿宋_GB2312"/>
              <w:sz w:val="32"/>
              <w:szCs w:val="32"/>
              <w:lang w:val="en-US" w:eastAsia="zh-CN"/>
            </w:rPr>
            <w:fldChar w:fldCharType="end"/>
          </w:r>
          <w:r>
            <w:rPr>
              <w:rFonts w:hint="eastAsia" w:ascii="仿宋_GB2312" w:hAnsi="仿宋_GB2312" w:cs="仿宋_GB2312"/>
              <w:sz w:val="32"/>
              <w:szCs w:val="32"/>
              <w:lang w:val="en-US" w:eastAsia="zh-CN"/>
            </w:rPr>
            <w:t>4</w:t>
          </w:r>
        </w:p>
        <w:p w14:paraId="7234603A">
          <w:pPr>
            <w:pStyle w:val="9"/>
            <w:tabs>
              <w:tab w:val="right" w:leader="middleDot" w:pos="8548"/>
              <w:tab w:val="clear" w:pos="7980"/>
              <w:tab w:val="clear" w:pos="8190"/>
            </w:tabs>
            <w:rPr>
              <w:rFonts w:hint="eastAsia" w:ascii="仿宋_GB2312" w:hAnsi="仿宋_GB2312" w:eastAsia="仿宋_GB2312" w:cs="仿宋_GB2312"/>
              <w:sz w:val="32"/>
              <w:szCs w:val="32"/>
              <w:lang w:val="en-US" w:eastAsia="zh-CN"/>
            </w:rPr>
          </w:pPr>
          <w:r>
            <w:fldChar w:fldCharType="begin"/>
          </w:r>
          <w:r>
            <w:instrText xml:space="preserve"> HYPERLINK \l "_Toc15260" </w:instrText>
          </w:r>
          <w:r>
            <w:fldChar w:fldCharType="separate"/>
          </w:r>
          <w:r>
            <w:rPr>
              <w:rFonts w:hint="eastAsia" w:ascii="仿宋_GB2312" w:hAnsi="仿宋_GB2312" w:eastAsia="仿宋_GB2312" w:cs="仿宋_GB2312"/>
              <w:sz w:val="32"/>
              <w:szCs w:val="32"/>
              <w:lang w:val="en-US" w:eastAsia="zh-CN"/>
            </w:rPr>
            <w:t>附件1</w:t>
          </w:r>
          <w:r>
            <w:rPr>
              <w:rFonts w:hint="eastAsia" w:ascii="仿宋_GB2312" w:hAnsi="仿宋_GB2312" w:cs="仿宋_GB2312"/>
              <w:sz w:val="32"/>
              <w:szCs w:val="32"/>
              <w:lang w:val="en-US" w:eastAsia="zh-CN"/>
            </w:rPr>
            <w:t>评价指标体系</w:t>
          </w:r>
          <w:r>
            <w:rPr>
              <w:rFonts w:hint="eastAsia" w:ascii="仿宋_GB2312" w:hAnsi="仿宋_GB2312" w:eastAsia="仿宋_GB2312" w:cs="仿宋_GB2312"/>
              <w:sz w:val="32"/>
              <w:szCs w:val="32"/>
            </w:rPr>
            <w:tab/>
          </w:r>
          <w:r>
            <w:rPr>
              <w:rFonts w:hint="eastAsia" w:ascii="仿宋_GB2312" w:hAnsi="仿宋_GB2312" w:cs="仿宋_GB2312"/>
              <w:sz w:val="32"/>
              <w:szCs w:val="32"/>
              <w:lang w:val="en-US" w:eastAsia="zh-CN"/>
            </w:rPr>
            <w:t>2</w:t>
          </w:r>
          <w:r>
            <w:rPr>
              <w:rFonts w:hint="eastAsia" w:ascii="仿宋_GB2312" w:hAnsi="仿宋_GB2312" w:cs="仿宋_GB2312"/>
              <w:sz w:val="32"/>
              <w:szCs w:val="32"/>
              <w:lang w:val="en-US" w:eastAsia="zh-CN"/>
            </w:rPr>
            <w:fldChar w:fldCharType="end"/>
          </w:r>
          <w:r>
            <w:rPr>
              <w:rFonts w:hint="eastAsia" w:ascii="仿宋_GB2312" w:hAnsi="仿宋_GB2312" w:cs="仿宋_GB2312"/>
              <w:sz w:val="32"/>
              <w:szCs w:val="32"/>
              <w:lang w:val="en-US" w:eastAsia="zh-CN"/>
            </w:rPr>
            <w:t>5</w:t>
          </w:r>
        </w:p>
        <w:p w14:paraId="63014E6B">
          <w:pPr>
            <w:pStyle w:val="9"/>
            <w:tabs>
              <w:tab w:val="right" w:leader="middleDot" w:pos="8548"/>
              <w:tab w:val="clear" w:pos="7980"/>
              <w:tab w:val="clear" w:pos="8190"/>
            </w:tabs>
            <w:rPr>
              <w:rFonts w:hint="eastAsia" w:eastAsia="仿宋_GB2312"/>
              <w:lang w:val="en-US" w:eastAsia="zh-CN"/>
            </w:rPr>
          </w:pPr>
          <w:r>
            <w:fldChar w:fldCharType="begin"/>
          </w:r>
          <w:r>
            <w:instrText xml:space="preserve"> HYPERLINK \l "_Toc17917" </w:instrText>
          </w:r>
          <w:r>
            <w:fldChar w:fldCharType="separate"/>
          </w:r>
          <w:r>
            <w:rPr>
              <w:rFonts w:hint="eastAsia" w:ascii="仿宋_GB2312" w:hAnsi="仿宋_GB2312" w:eastAsia="仿宋_GB2312" w:cs="仿宋_GB2312"/>
              <w:bCs/>
              <w:i w:val="0"/>
              <w:iCs w:val="0"/>
              <w:kern w:val="0"/>
              <w:sz w:val="32"/>
              <w:szCs w:val="32"/>
              <w:lang w:val="en-US" w:eastAsia="zh-CN"/>
            </w:rPr>
            <w:t>附件2</w:t>
          </w:r>
          <w:r>
            <w:rPr>
              <w:rFonts w:hint="eastAsia" w:ascii="仿宋_GB2312" w:hAnsi="仿宋_GB2312" w:cs="仿宋_GB2312"/>
              <w:bCs/>
              <w:i w:val="0"/>
              <w:iCs w:val="0"/>
              <w:kern w:val="0"/>
              <w:sz w:val="32"/>
              <w:szCs w:val="32"/>
              <w:lang w:val="en-US" w:eastAsia="zh-CN"/>
            </w:rPr>
            <w:t>项目支出绩效自评表</w:t>
          </w:r>
          <w:r>
            <w:rPr>
              <w:rFonts w:hint="eastAsia" w:ascii="仿宋_GB2312" w:hAnsi="仿宋_GB2312" w:eastAsia="仿宋_GB2312" w:cs="仿宋_GB2312"/>
              <w:sz w:val="32"/>
              <w:szCs w:val="32"/>
            </w:rPr>
            <w:tab/>
          </w:r>
          <w:r>
            <w:rPr>
              <w:rFonts w:hint="eastAsia" w:ascii="仿宋_GB2312" w:hAnsi="仿宋_GB2312" w:cs="仿宋_GB2312"/>
              <w:sz w:val="32"/>
              <w:szCs w:val="32"/>
              <w:lang w:val="en-US" w:eastAsia="zh-CN"/>
            </w:rPr>
            <w:t>3</w:t>
          </w:r>
          <w:r>
            <w:rPr>
              <w:rFonts w:hint="eastAsia" w:ascii="仿宋_GB2312" w:hAnsi="仿宋_GB2312" w:cs="仿宋_GB2312"/>
              <w:sz w:val="32"/>
              <w:szCs w:val="32"/>
              <w:lang w:val="en-US" w:eastAsia="zh-CN"/>
            </w:rPr>
            <w:fldChar w:fldCharType="end"/>
          </w:r>
          <w:r>
            <w:rPr>
              <w:rFonts w:hint="eastAsia" w:ascii="仿宋_GB2312" w:hAnsi="仿宋_GB2312" w:cs="仿宋_GB2312"/>
              <w:sz w:val="32"/>
              <w:szCs w:val="32"/>
              <w:lang w:val="en-US" w:eastAsia="zh-CN"/>
            </w:rPr>
            <w:t>0</w:t>
          </w:r>
        </w:p>
        <w:p w14:paraId="21E8D436">
          <w:pPr>
            <w:spacing w:line="540" w:lineRule="exact"/>
            <w:rPr>
              <w:rStyle w:val="19"/>
              <w:rFonts w:hint="default" w:ascii="Times New Roman" w:hAnsi="Times New Roman" w:eastAsia="黑体" w:cs="Times New Roman"/>
              <w:b w:val="0"/>
              <w:spacing w:val="-4"/>
              <w:sz w:val="32"/>
              <w:szCs w:val="32"/>
            </w:rPr>
          </w:pPr>
          <w:r>
            <w:rPr>
              <w:rFonts w:hint="default"/>
            </w:rPr>
            <w:fldChar w:fldCharType="end"/>
          </w:r>
        </w:p>
      </w:sdtContent>
    </w:sdt>
    <w:p w14:paraId="237C8638">
      <w:pPr>
        <w:spacing w:line="560" w:lineRule="exact"/>
        <w:ind w:firstLine="640" w:firstLineChars="200"/>
        <w:rPr>
          <w:rFonts w:hint="default" w:ascii="Times New Roman" w:hAnsi="Times New Roman" w:eastAsia="黑体" w:cs="Times New Roman"/>
          <w:bCs/>
          <w:sz w:val="32"/>
          <w:szCs w:val="32"/>
        </w:rPr>
        <w:sectPr>
          <w:pgSz w:w="11906" w:h="16838"/>
          <w:pgMar w:top="2098" w:right="1531" w:bottom="1984" w:left="1531" w:header="851" w:footer="992" w:gutter="0"/>
          <w:cols w:space="425" w:num="1"/>
          <w:docGrid w:type="lines" w:linePitch="312" w:charSpace="0"/>
        </w:sectPr>
      </w:pPr>
    </w:p>
    <w:p w14:paraId="7B79CF7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bCs/>
          <w:sz w:val="32"/>
          <w:szCs w:val="32"/>
        </w:rPr>
      </w:pPr>
      <w:bookmarkStart w:id="0" w:name="_Toc3458"/>
      <w:r>
        <w:rPr>
          <w:rFonts w:hint="default" w:ascii="Times New Roman" w:hAnsi="Times New Roman" w:eastAsia="黑体" w:cs="Times New Roman"/>
          <w:bCs/>
          <w:sz w:val="32"/>
          <w:szCs w:val="32"/>
        </w:rPr>
        <w:t>一、基本情况</w:t>
      </w:r>
      <w:bookmarkEnd w:id="0"/>
    </w:p>
    <w:p w14:paraId="1762B15F">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outlineLvl w:val="1"/>
        <w:rPr>
          <w:rFonts w:hint="eastAsia" w:ascii="Times New Roman" w:hAnsi="Times New Roman" w:eastAsia="楷体_GB2312" w:cs="Times New Roman"/>
          <w:b/>
          <w:bCs/>
          <w:sz w:val="32"/>
          <w:szCs w:val="32"/>
          <w:lang w:val="en-US" w:eastAsia="zh-CN"/>
        </w:rPr>
      </w:pPr>
      <w:bookmarkStart w:id="1" w:name="_Toc16251"/>
      <w:r>
        <w:rPr>
          <w:rFonts w:hint="default" w:ascii="Times New Roman" w:hAnsi="Times New Roman" w:eastAsia="楷体_GB2312" w:cs="Times New Roman"/>
          <w:b/>
          <w:bCs/>
          <w:sz w:val="32"/>
          <w:szCs w:val="32"/>
        </w:rPr>
        <w:t>（一）项目概况</w:t>
      </w:r>
      <w:bookmarkEnd w:id="1"/>
    </w:p>
    <w:p w14:paraId="055ADCEE">
      <w:pPr>
        <w:keepNext w:val="0"/>
        <w:keepLines w:val="0"/>
        <w:pageBreakBefore w:val="0"/>
        <w:kinsoku/>
        <w:wordWrap/>
        <w:overflowPunct/>
        <w:topLinePunct w:val="0"/>
        <w:autoSpaceDE/>
        <w:autoSpaceDN/>
        <w:bidi w:val="0"/>
        <w:adjustRightInd/>
        <w:snapToGrid/>
        <w:spacing w:line="560" w:lineRule="exact"/>
        <w:ind w:firstLine="643" w:firstLineChars="200"/>
        <w:textAlignment w:val="auto"/>
        <w:outlineLvl w:val="2"/>
        <w:rPr>
          <w:rFonts w:hint="default" w:ascii="Times New Roman" w:hAnsi="Times New Roman" w:eastAsia="仿宋_GB2312" w:cs="Times New Roman"/>
          <w:b/>
          <w:bCs/>
          <w:sz w:val="32"/>
          <w:szCs w:val="32"/>
        </w:rPr>
      </w:pPr>
      <w:bookmarkStart w:id="2" w:name="_Toc14982"/>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bookmarkEnd w:id="2"/>
    </w:p>
    <w:p w14:paraId="54BF826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rPr>
        <w:t>头屯河楼庄子水库工程是头屯河上游山区控制性骨干工程，是自治区重点水利工程建设项目，列入国家重点扶持的新疆29座水库建设项目。在自治区党委、水利厅</w:t>
      </w:r>
      <w:r>
        <w:rPr>
          <w:rFonts w:hint="default" w:ascii="Times New Roman" w:hAnsi="Times New Roman" w:eastAsia="仿宋_GB2312" w:cs="Times New Roman"/>
          <w:sz w:val="32"/>
          <w:szCs w:val="32"/>
          <w:lang w:val="en-US" w:eastAsia="zh-CN"/>
        </w:rPr>
        <w:t>党组</w:t>
      </w:r>
      <w:r>
        <w:rPr>
          <w:rFonts w:hint="default" w:ascii="Times New Roman" w:hAnsi="Times New Roman" w:eastAsia="仿宋_GB2312" w:cs="Times New Roman"/>
          <w:sz w:val="32"/>
          <w:szCs w:val="32"/>
        </w:rPr>
        <w:t>的关心支持下，202</w:t>
      </w:r>
      <w:r>
        <w:rPr>
          <w:rFonts w:hint="default" w:ascii="Times New Roman" w:hAnsi="Times New Roman" w:eastAsia="仿宋_GB2312" w:cs="Times New Roman"/>
          <w:sz w:val="32"/>
          <w:szCs w:val="32"/>
          <w:lang w:val="en-US" w:eastAsia="zh-CN"/>
        </w:rPr>
        <w:t>1年11月24日正式开始下闸蓄水，2024年8月完成水保验收和环评验收，目前</w:t>
      </w:r>
      <w:r>
        <w:rPr>
          <w:rFonts w:hint="default" w:ascii="Times New Roman" w:hAnsi="Times New Roman" w:eastAsia="仿宋_GB2312" w:cs="Times New Roman"/>
          <w:sz w:val="32"/>
          <w:szCs w:val="32"/>
        </w:rPr>
        <w:t>楼庄子水库基本建设完成</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进入试运行阶段</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highlight w:val="none"/>
          <w:lang w:val="en-US" w:eastAsia="zh-CN"/>
        </w:rPr>
        <w:t>工程建设</w:t>
      </w:r>
      <w:r>
        <w:rPr>
          <w:rFonts w:hint="default" w:ascii="Times New Roman" w:hAnsi="Times New Roman" w:eastAsia="仿宋_GB2312" w:cs="Times New Roman"/>
          <w:sz w:val="32"/>
          <w:szCs w:val="32"/>
          <w:highlight w:val="none"/>
        </w:rPr>
        <w:t>、防洪、城市生活及工业供水效益逐步显现</w:t>
      </w:r>
      <w:r>
        <w:rPr>
          <w:rFonts w:hint="default" w:ascii="Times New Roman" w:hAnsi="Times New Roman" w:eastAsia="仿宋_GB2312" w:cs="Times New Roman"/>
          <w:sz w:val="32"/>
          <w:szCs w:val="32"/>
          <w:highlight w:val="none"/>
          <w:lang w:eastAsia="zh-CN"/>
        </w:rPr>
        <w:t>。</w:t>
      </w:r>
    </w:p>
    <w:p w14:paraId="2B543A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本项目的实施，主要用于完成2025年度头屯河楼庄子水库工程建设、运行管理、维修养护和供水管理等工作。</w:t>
      </w:r>
    </w:p>
    <w:p w14:paraId="6B3FF9C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实施后，可全面提高河流下游城市、基础设施的防洪标准,确保下游人民群众的生命和财产安全。能有效减少头屯河水库的泥沙淤积,改善下游工农业用水水质,减轻河道泥沙对下游供水设施及生态环境的破坏,可以显著提高头屯河水资源利用率,配合工业供水管道工程的建设,极大提高城市和工业供水的保证率。</w:t>
      </w:r>
    </w:p>
    <w:p w14:paraId="4C640CCE">
      <w:pPr>
        <w:pStyle w:val="13"/>
        <w:keepNext w:val="0"/>
        <w:keepLines w:val="0"/>
        <w:pageBreakBefore w:val="0"/>
        <w:numPr>
          <w:ilvl w:val="0"/>
          <w:numId w:val="0"/>
        </w:numPr>
        <w:kinsoku/>
        <w:wordWrap/>
        <w:overflowPunct/>
        <w:topLinePunct w:val="0"/>
        <w:autoSpaceDE/>
        <w:autoSpaceDN/>
        <w:bidi w:val="0"/>
        <w:adjustRightInd/>
        <w:snapToGrid/>
        <w:spacing w:before="0" w:after="0" w:line="560" w:lineRule="exact"/>
        <w:ind w:left="0" w:leftChars="0" w:firstLine="643" w:firstLineChars="200"/>
        <w:jc w:val="both"/>
        <w:textAlignment w:val="auto"/>
        <w:outlineLvl w:val="2"/>
        <w:rPr>
          <w:rFonts w:hint="default" w:ascii="Times New Roman" w:hAnsi="Times New Roman" w:eastAsia="仿宋_GB2312" w:cs="Times New Roman"/>
          <w:kern w:val="2"/>
          <w:lang w:val="en-US" w:eastAsia="zh-CN"/>
        </w:rPr>
      </w:pPr>
      <w:bookmarkStart w:id="3" w:name="_Toc30961"/>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r>
        <w:rPr>
          <w:rFonts w:hint="eastAsia" w:ascii="Times New Roman" w:hAnsi="Times New Roman" w:eastAsia="仿宋_GB2312" w:cs="Times New Roman"/>
          <w:kern w:val="2"/>
          <w:lang w:val="en-US" w:eastAsia="zh-CN"/>
        </w:rPr>
        <w:t>及实施情况</w:t>
      </w:r>
      <w:bookmarkEnd w:id="3"/>
    </w:p>
    <w:p w14:paraId="65A340A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项目主要内容：</w:t>
      </w:r>
    </w:p>
    <w:p w14:paraId="0952E45C">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highlight w:val="none"/>
          <w:lang w:val="en-US" w:eastAsia="zh-CN"/>
        </w:rPr>
        <w:t>一是</w:t>
      </w:r>
      <w:r>
        <w:rPr>
          <w:rFonts w:hint="default" w:ascii="Times New Roman" w:hAnsi="Times New Roman" w:eastAsia="仿宋_GB2312" w:cs="Times New Roman"/>
          <w:sz w:val="32"/>
          <w:szCs w:val="32"/>
          <w:highlight w:val="none"/>
          <w:lang w:val="en-US" w:eastAsia="zh-CN"/>
        </w:rPr>
        <w:t>人员基本支出：</w:t>
      </w:r>
      <w:r>
        <w:rPr>
          <w:rFonts w:hint="default" w:ascii="Times New Roman" w:hAnsi="Times New Roman" w:eastAsia="仿宋_GB2312" w:cs="Times New Roman"/>
          <w:sz w:val="32"/>
          <w:szCs w:val="32"/>
          <w:lang w:val="en-US" w:eastAsia="zh-CN"/>
        </w:rPr>
        <w:t>全年基本支出成本469.68万元，用于足额保障人员经费等支出，维系单位日常高效运转。</w:t>
      </w:r>
    </w:p>
    <w:p w14:paraId="1BAE898A">
      <w:pPr>
        <w:keepNext w:val="0"/>
        <w:keepLines w:val="0"/>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bCs/>
          <w:sz w:val="32"/>
          <w:szCs w:val="32"/>
          <w:highlight w:val="none"/>
          <w:lang w:val="en-US" w:eastAsia="zh-CN"/>
        </w:rPr>
        <w:t>二是</w:t>
      </w:r>
      <w:r>
        <w:rPr>
          <w:rFonts w:hint="default" w:ascii="Times New Roman" w:hAnsi="Times New Roman" w:eastAsia="仿宋_GB2312" w:cs="Times New Roman"/>
          <w:sz w:val="32"/>
          <w:szCs w:val="32"/>
          <w:highlight w:val="none"/>
          <w:lang w:val="en-US" w:eastAsia="zh-CN"/>
        </w:rPr>
        <w:t>农发行借款及专项债还本付</w:t>
      </w:r>
      <w:r>
        <w:rPr>
          <w:rFonts w:hint="default" w:ascii="Times New Roman" w:hAnsi="Times New Roman" w:eastAsia="仿宋_GB2312" w:cs="Times New Roman"/>
          <w:sz w:val="32"/>
          <w:szCs w:val="32"/>
          <w:lang w:val="en-US" w:eastAsia="zh-CN"/>
        </w:rPr>
        <w:t>息1285.52万元：</w:t>
      </w:r>
      <w:r>
        <w:rPr>
          <w:rFonts w:hint="default" w:ascii="Times New Roman" w:hAnsi="Times New Roman" w:eastAsia="仿宋_GB2312" w:cs="Times New Roman"/>
          <w:sz w:val="32"/>
          <w:szCs w:val="32"/>
          <w:highlight w:val="none"/>
          <w:lang w:val="en-US" w:eastAsia="zh-CN"/>
        </w:rPr>
        <w:t>确保农发行建设基金贷款和自治区地方政府新增专项债券的本金和利息还款的准确性和及时性，2025年支付农发行借款本金625万，农发行借款利息支付79.69万元，合计704.69万元；专项债券利息支付580.83万元，共计1285.52万元。</w:t>
      </w:r>
    </w:p>
    <w:p w14:paraId="498BF0A5">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bCs/>
          <w:sz w:val="32"/>
          <w:szCs w:val="32"/>
          <w:highlight w:val="none"/>
          <w:lang w:val="en-US" w:eastAsia="zh-CN"/>
        </w:rPr>
        <w:t>三是</w:t>
      </w:r>
      <w:r>
        <w:rPr>
          <w:rFonts w:hint="default" w:ascii="Times New Roman" w:hAnsi="Times New Roman" w:eastAsia="仿宋_GB2312" w:cs="Times New Roman"/>
          <w:sz w:val="32"/>
          <w:szCs w:val="32"/>
          <w:highlight w:val="none"/>
          <w:lang w:val="en-US" w:eastAsia="zh-CN"/>
        </w:rPr>
        <w:t>水库枢纽区安全防治工程498.71万元：项目具体涵盖楼庄子水库右坝肩交通洞及灌浆平洞内补充灌浆、泄洪冲沙兼导流洞阻水环、上游牧道桥上下游河道岸坡防护及管理区房屋修缮等工程。</w:t>
      </w:r>
    </w:p>
    <w:p w14:paraId="61B40382">
      <w:pPr>
        <w:keepNext w:val="0"/>
        <w:keepLines w:val="0"/>
        <w:pageBreakBefore w:val="0"/>
        <w:widowControl w:val="0"/>
        <w:kinsoku w:val="0"/>
        <w:wordWrap/>
        <w:overflowPunct w:val="0"/>
        <w:topLinePunct w:val="0"/>
        <w:autoSpaceDE w:val="0"/>
        <w:autoSpaceDN w:val="0"/>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bCs/>
          <w:sz w:val="32"/>
          <w:szCs w:val="32"/>
          <w:highlight w:val="none"/>
          <w:lang w:val="en-US" w:eastAsia="zh-CN"/>
        </w:rPr>
        <w:t>四是</w:t>
      </w:r>
      <w:r>
        <w:rPr>
          <w:rFonts w:hint="default" w:ascii="Times New Roman" w:hAnsi="Times New Roman" w:eastAsia="仿宋_GB2312" w:cs="Times New Roman"/>
          <w:sz w:val="32"/>
          <w:szCs w:val="32"/>
          <w:highlight w:val="none"/>
          <w:lang w:val="en-US" w:eastAsia="zh-CN"/>
        </w:rPr>
        <w:t>楼庄子水库工程日常运行及维修维护项目60.5万元：为确保设施设备安全稳定运行，供水管理服务精准到位。2025年楼庄子水库工程日常维修维护项目成本60.5万元。</w:t>
      </w:r>
    </w:p>
    <w:p w14:paraId="3ECDEEE9">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b/>
          <w:bCs/>
          <w:sz w:val="32"/>
          <w:szCs w:val="32"/>
          <w:highlight w:val="none"/>
          <w:lang w:val="en-US" w:eastAsia="zh-CN"/>
        </w:rPr>
        <w:t>五是</w:t>
      </w:r>
      <w:r>
        <w:rPr>
          <w:rFonts w:hint="default" w:ascii="Times New Roman" w:hAnsi="Times New Roman" w:eastAsia="仿宋_GB2312" w:cs="Times New Roman"/>
          <w:sz w:val="32"/>
          <w:szCs w:val="32"/>
          <w:highlight w:val="none"/>
          <w:lang w:val="en-US" w:eastAsia="zh-CN"/>
        </w:rPr>
        <w:t>头屯河楼庄子水库工程及咨询服务结算尾款运行管理项目1016.87万元：为</w:t>
      </w:r>
      <w:r>
        <w:rPr>
          <w:rFonts w:hint="default" w:ascii="Times New Roman" w:hAnsi="Times New Roman" w:eastAsia="仿宋_GB2312" w:cs="Times New Roman"/>
          <w:sz w:val="32"/>
          <w:szCs w:val="32"/>
          <w:lang w:val="en-US" w:eastAsia="zh-CN"/>
        </w:rPr>
        <w:t>保障头屯河楼庄子水库工程的顺利验收，进入运行管理，头屯河楼庄子水库工程2025年结算尾款</w:t>
      </w:r>
      <w:r>
        <w:rPr>
          <w:rFonts w:hint="default" w:ascii="Times New Roman" w:hAnsi="Times New Roman" w:eastAsia="仿宋_GB2312" w:cs="Times New Roman"/>
          <w:sz w:val="32"/>
          <w:szCs w:val="32"/>
          <w:highlight w:val="none"/>
          <w:lang w:val="en-US" w:eastAsia="zh-CN"/>
        </w:rPr>
        <w:t>1016.87万元。</w:t>
      </w:r>
    </w:p>
    <w:p w14:paraId="76F8B5A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highlight w:val="none"/>
        </w:rPr>
      </w:pPr>
      <w:r>
        <w:rPr>
          <w:rFonts w:hint="eastAsia"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项目实施情况</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025头屯河楼庄子水库工程尾款结算金额为</w:t>
      </w:r>
      <w:r>
        <w:rPr>
          <w:rFonts w:hint="default" w:ascii="Times New Roman" w:hAnsi="Times New Roman" w:eastAsia="仿宋_GB2312" w:cs="Times New Roman"/>
          <w:sz w:val="32"/>
          <w:szCs w:val="32"/>
          <w:lang w:val="en-US" w:eastAsia="zh-CN"/>
        </w:rPr>
        <w:t>1016.87</w:t>
      </w:r>
      <w:r>
        <w:rPr>
          <w:rFonts w:hint="default" w:ascii="Times New Roman" w:hAnsi="Times New Roman" w:eastAsia="仿宋_GB2312" w:cs="Times New Roman"/>
          <w:sz w:val="32"/>
          <w:szCs w:val="32"/>
        </w:rPr>
        <w:t>万元，支付率</w:t>
      </w:r>
      <w:r>
        <w:rPr>
          <w:rFonts w:hint="default" w:ascii="Times New Roman" w:hAnsi="Times New Roman" w:eastAsia="仿宋_GB2312" w:cs="Times New Roman"/>
          <w:sz w:val="32"/>
          <w:szCs w:val="32"/>
          <w:lang w:val="en-US" w:eastAsia="zh-CN"/>
        </w:rPr>
        <w:t>99.69</w:t>
      </w:r>
      <w:r>
        <w:rPr>
          <w:rFonts w:hint="default" w:ascii="Times New Roman" w:hAnsi="Times New Roman" w:eastAsia="仿宋_GB2312" w:cs="Times New Roman"/>
          <w:sz w:val="32"/>
          <w:szCs w:val="32"/>
        </w:rPr>
        <w:t>%；年度内按时偿还农发行本金、利息及专项债利息共计12次，金额总计1285.5</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万元，还本付息支付准确率达100%，防止了逾期付息带来的风险，为头屯河楼庄子水库工程的顺利验收进入运行管理奠定了坚实基础。通过政府采购项目的实施，完成2025年办公设备、车辆维修、车辆保险、印刷费等货物、服务的采购</w:t>
      </w:r>
      <w:r>
        <w:rPr>
          <w:rFonts w:hint="default" w:ascii="Times New Roman" w:hAnsi="Times New Roman" w:eastAsia="仿宋_GB2312" w:cs="Times New Roman"/>
          <w:sz w:val="32"/>
          <w:szCs w:val="32"/>
          <w:lang w:eastAsia="zh-CN"/>
        </w:rPr>
        <w:t>级水库日常维修维护资金</w:t>
      </w:r>
      <w:r>
        <w:rPr>
          <w:rFonts w:hint="default" w:ascii="Times New Roman" w:hAnsi="Times New Roman" w:eastAsia="仿宋_GB2312" w:cs="Times New Roman"/>
          <w:sz w:val="32"/>
          <w:szCs w:val="32"/>
          <w:lang w:val="en-US" w:eastAsia="zh-CN"/>
        </w:rPr>
        <w:t>60.5</w:t>
      </w:r>
      <w:r>
        <w:rPr>
          <w:rFonts w:hint="default" w:ascii="Times New Roman" w:hAnsi="Times New Roman" w:eastAsia="仿宋_GB2312" w:cs="Times New Roman"/>
          <w:sz w:val="32"/>
          <w:szCs w:val="32"/>
        </w:rPr>
        <w:t>万元，完成率100%，有效保证单位日常工作的正常开展；全年按时发放21人工资12次、办公费等基本支出成本469.68万元，确保我单位各项工作正常运行管理，更好完成供水和防洪任务；年度投入资金</w:t>
      </w:r>
      <w:r>
        <w:rPr>
          <w:rFonts w:hint="default" w:ascii="Times New Roman" w:hAnsi="Times New Roman" w:eastAsia="仿宋_GB2312" w:cs="Times New Roman"/>
          <w:sz w:val="32"/>
          <w:szCs w:val="32"/>
          <w:lang w:val="en-US" w:eastAsia="zh-CN"/>
        </w:rPr>
        <w:t>498.71</w:t>
      </w:r>
      <w:r>
        <w:rPr>
          <w:rFonts w:hint="default" w:ascii="Times New Roman" w:hAnsi="Times New Roman" w:eastAsia="仿宋_GB2312" w:cs="Times New Roman"/>
          <w:sz w:val="32"/>
          <w:szCs w:val="32"/>
        </w:rPr>
        <w:t>万元对楼庄子水库工程进行日常维修维并对水库枢纽区进行安全防治施工，解决高边坡不稳定，有效整治滑坡、塌方、渗流等安全隐患。全年实现水资源优化配置，显著提高头屯河水资源利用率，配合工业供水管道工程的建设，极大提高城市和工业供水的保证率。</w:t>
      </w:r>
      <w:r>
        <w:rPr>
          <w:rFonts w:hint="default" w:ascii="Times New Roman" w:hAnsi="Times New Roman" w:eastAsia="仿宋_GB2312" w:cs="Times New Roman"/>
          <w:sz w:val="32"/>
          <w:szCs w:val="32"/>
          <w:highlight w:val="none"/>
          <w:lang w:val="en-US" w:eastAsia="zh-CN"/>
        </w:rPr>
        <w:t>全年预算执行率99.9%，总体完成率99.98%，资金使用合规透明、效益显著，高效圆满完成全年目标任务</w:t>
      </w:r>
      <w:r>
        <w:rPr>
          <w:rStyle w:val="19"/>
          <w:rFonts w:hint="default" w:ascii="Times New Roman" w:hAnsi="Times New Roman" w:eastAsia="仿宋_GB2312" w:cs="Times New Roman"/>
          <w:b w:val="0"/>
          <w:bCs/>
          <w:spacing w:val="-4"/>
          <w:sz w:val="32"/>
          <w:szCs w:val="32"/>
          <w:highlight w:val="none"/>
          <w:lang w:eastAsia="zh-CN"/>
        </w:rPr>
        <w:t>。</w:t>
      </w:r>
    </w:p>
    <w:p w14:paraId="5D275770">
      <w:pPr>
        <w:keepNext w:val="0"/>
        <w:keepLines w:val="0"/>
        <w:pageBreakBefore w:val="0"/>
        <w:kinsoku/>
        <w:wordWrap/>
        <w:overflowPunct/>
        <w:topLinePunct w:val="0"/>
        <w:autoSpaceDE/>
        <w:autoSpaceDN/>
        <w:bidi w:val="0"/>
        <w:adjustRightInd/>
        <w:snapToGrid/>
        <w:spacing w:line="560" w:lineRule="exact"/>
        <w:ind w:firstLine="643" w:firstLineChars="200"/>
        <w:textAlignment w:val="auto"/>
        <w:outlineLvl w:val="2"/>
        <w:rPr>
          <w:rFonts w:hint="default" w:ascii="Times New Roman" w:hAnsi="Times New Roman" w:eastAsia="仿宋_GB2312" w:cs="Times New Roman"/>
          <w:b/>
          <w:bCs/>
          <w:sz w:val="32"/>
          <w:szCs w:val="32"/>
        </w:rPr>
      </w:pPr>
      <w:bookmarkStart w:id="4" w:name="_Toc18357"/>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bookmarkEnd w:id="4"/>
    </w:p>
    <w:p w14:paraId="56DE87F5">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5" w:name="_Toc13131"/>
      <w:r>
        <w:rPr>
          <w:rFonts w:hint="default" w:ascii="Times New Roman" w:hAnsi="Times New Roman" w:eastAsia="仿宋_GB2312" w:cs="Times New Roman"/>
          <w:sz w:val="32"/>
          <w:szCs w:val="32"/>
          <w:highlight w:val="none"/>
          <w:lang w:val="en-US" w:eastAsia="zh-CN"/>
        </w:rPr>
        <w:t>（1）资金投入情况</w:t>
      </w:r>
      <w:bookmarkEnd w:id="5"/>
    </w:p>
    <w:p w14:paraId="5635D6EF">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该项目年初预算数3334.63万元，全年预算数3334.63万元，该项目资金已全部落实到位，资金来源为其他资金（水费资金）。</w:t>
      </w:r>
    </w:p>
    <w:p w14:paraId="48B32007">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6" w:name="_Toc18197"/>
      <w:r>
        <w:rPr>
          <w:rFonts w:hint="default" w:ascii="Times New Roman" w:hAnsi="Times New Roman" w:eastAsia="仿宋_GB2312" w:cs="Times New Roman"/>
          <w:sz w:val="32"/>
          <w:szCs w:val="32"/>
          <w:highlight w:val="none"/>
          <w:lang w:val="en-US" w:eastAsia="zh-CN"/>
        </w:rPr>
        <w:t>（2）资金使用情况</w:t>
      </w:r>
      <w:bookmarkEnd w:id="6"/>
    </w:p>
    <w:p w14:paraId="6220EB15">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截至2025年12月31日，该项目全年执行数3331.28万元，预算执行率为99.9%，主要用于：</w:t>
      </w:r>
      <w:r>
        <w:rPr>
          <w:rFonts w:hint="default" w:ascii="Times New Roman" w:hAnsi="Times New Roman" w:eastAsia="仿宋_GB2312" w:cs="Times New Roman"/>
          <w:sz w:val="32"/>
          <w:szCs w:val="32"/>
          <w:lang w:val="en-US" w:eastAsia="zh-CN"/>
        </w:rPr>
        <w:t>全年基本支出成本469.68万元；</w:t>
      </w:r>
      <w:r>
        <w:rPr>
          <w:rFonts w:hint="default" w:ascii="Times New Roman" w:hAnsi="Times New Roman" w:eastAsia="仿宋_GB2312" w:cs="Times New Roman"/>
          <w:sz w:val="32"/>
          <w:szCs w:val="32"/>
          <w:highlight w:val="none"/>
          <w:lang w:val="en-US" w:eastAsia="zh-CN"/>
        </w:rPr>
        <w:t>农发行借款及专项债还本付</w:t>
      </w:r>
      <w:r>
        <w:rPr>
          <w:rFonts w:hint="default" w:ascii="Times New Roman" w:hAnsi="Times New Roman" w:eastAsia="仿宋_GB2312" w:cs="Times New Roman"/>
          <w:sz w:val="32"/>
          <w:szCs w:val="32"/>
          <w:lang w:val="en-US" w:eastAsia="zh-CN"/>
        </w:rPr>
        <w:t>息1285.52万元；</w:t>
      </w:r>
      <w:r>
        <w:rPr>
          <w:rFonts w:hint="default" w:ascii="Times New Roman" w:hAnsi="Times New Roman" w:eastAsia="仿宋_GB2312" w:cs="Times New Roman"/>
          <w:sz w:val="32"/>
          <w:szCs w:val="32"/>
          <w:highlight w:val="none"/>
          <w:lang w:val="en-US" w:eastAsia="zh-CN"/>
        </w:rPr>
        <w:t>水库枢纽区安全防治工程498.71万元；楼庄子水库工程日常运行及维修维护项目60.5万元；楼庄子水库工程及咨询服务结算尾款运行管理项目1016.87万元。</w:t>
      </w:r>
    </w:p>
    <w:p w14:paraId="6D0746B5">
      <w:pPr>
        <w:keepNext w:val="0"/>
        <w:keepLines w:val="0"/>
        <w:pageBreakBefore w:val="0"/>
        <w:kinsoku/>
        <w:wordWrap/>
        <w:overflowPunct/>
        <w:topLinePunct w:val="0"/>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rPr>
      </w:pPr>
      <w:bookmarkStart w:id="7" w:name="_Toc11655"/>
      <w:r>
        <w:rPr>
          <w:rFonts w:hint="default" w:ascii="Times New Roman" w:hAnsi="Times New Roman" w:eastAsia="楷体_GB2312" w:cs="Times New Roman"/>
          <w:b/>
          <w:bCs/>
          <w:sz w:val="32"/>
          <w:szCs w:val="32"/>
        </w:rPr>
        <w:t>（二）项目绩效目标</w:t>
      </w:r>
      <w:bookmarkEnd w:id="7"/>
    </w:p>
    <w:p w14:paraId="679947A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31C3EB0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highlight w:val="none"/>
          <w:lang w:eastAsia="zh-CN"/>
        </w:rPr>
      </w:pPr>
      <w:r>
        <w:rPr>
          <w:rFonts w:hint="default" w:ascii="Times New Roman" w:hAnsi="Times New Roman" w:eastAsia="仿宋_GB2312" w:cs="Times New Roman"/>
          <w:sz w:val="32"/>
          <w:szCs w:val="32"/>
        </w:rPr>
        <w:t>通过头屯河楼庄子水库工程尾款结算，保障头屯河楼庄子水库工程的顺利验收进入运行管理，实现水资源优化配置，显著提高头屯河水资源利用率，配合工业供水管道工程的建设，极大提高城市和工业供水的保证率；通过政府采购项目的实施，完成2025年办公设备、车辆维修、车辆保险、印刷费等货物、服务的采购，有效保证单位工作的正常开展；通过按时支付专项债券利息及农发行还本付息，防止了逾期付息带来的风险；通过支付人员工资、办公费用等基本项目支出，确保水库工程各项工作可以正常运行管理，更好完成供水和防洪任务；解决高边坡不稳定，有效整治滑坡、塌方、渗流等安全隐患</w:t>
      </w:r>
      <w:r>
        <w:rPr>
          <w:rStyle w:val="19"/>
          <w:rFonts w:hint="default" w:ascii="Times New Roman" w:hAnsi="Times New Roman" w:eastAsia="仿宋_GB2312" w:cs="Times New Roman"/>
          <w:b w:val="0"/>
          <w:bCs/>
          <w:spacing w:val="-4"/>
          <w:sz w:val="32"/>
          <w:szCs w:val="32"/>
          <w:highlight w:val="none"/>
          <w:lang w:eastAsia="zh-CN"/>
        </w:rPr>
        <w:t>。</w:t>
      </w:r>
    </w:p>
    <w:p w14:paraId="7864C2D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193E91A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rPr>
        <w:t>阶段性目标围绕项目总体目标，按项目实施周期合理拆解，前期聚焦项目筹备与基础保障工作，完成方案细化、资源配置、前期调研等核心任务，确保项目具备实施条件；中期集中推进</w:t>
      </w:r>
      <w:r>
        <w:rPr>
          <w:rFonts w:hint="default" w:ascii="仿宋_GB2312" w:hAnsi="仿宋_GB2312" w:eastAsia="仿宋_GB2312" w:cs="仿宋_GB2312"/>
          <w:sz w:val="32"/>
          <w:szCs w:val="32"/>
          <w:highlight w:val="none"/>
          <w:lang w:val="en-US" w:eastAsia="zh-CN"/>
        </w:rPr>
        <w:t>楼庄子水库右坝肩交通洞及灌浆平洞内补充灌浆、泄洪冲沙兼导流洞阻水环、上游牧道桥上下游河道岸坡防护及管理区房屋修缮</w:t>
      </w:r>
      <w:r>
        <w:rPr>
          <w:rFonts w:hint="eastAsia" w:ascii="Times New Roman" w:hAnsi="Times New Roman" w:eastAsia="仿宋_GB2312" w:cs="Times New Roman"/>
          <w:sz w:val="32"/>
          <w:szCs w:val="32"/>
        </w:rPr>
        <w:t>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14:paraId="4EADA779">
      <w:pPr>
        <w:keepNext w:val="0"/>
        <w:keepLines w:val="0"/>
        <w:pageBreakBefore w:val="0"/>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bookmarkStart w:id="8" w:name="_Toc25712"/>
      <w:r>
        <w:rPr>
          <w:rFonts w:hint="default" w:ascii="Times New Roman" w:hAnsi="Times New Roman" w:eastAsia="黑体" w:cs="Times New Roman"/>
          <w:sz w:val="32"/>
          <w:szCs w:val="32"/>
        </w:rPr>
        <w:t>二、绩效评价工作开展情况</w:t>
      </w:r>
      <w:bookmarkEnd w:id="8"/>
    </w:p>
    <w:p w14:paraId="08DE1B81">
      <w:pPr>
        <w:keepNext w:val="0"/>
        <w:keepLines w:val="0"/>
        <w:pageBreakBefore w:val="0"/>
        <w:widowControl w:val="0"/>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rPr>
      </w:pPr>
      <w:bookmarkStart w:id="9" w:name="_Toc20967"/>
      <w:r>
        <w:rPr>
          <w:rFonts w:hint="default" w:ascii="Times New Roman" w:hAnsi="Times New Roman" w:eastAsia="楷体_GB2312" w:cs="Times New Roman"/>
          <w:b/>
          <w:bCs/>
          <w:sz w:val="32"/>
          <w:szCs w:val="32"/>
        </w:rPr>
        <w:t>（一）绩效评价目的、对象和范围</w:t>
      </w:r>
      <w:bookmarkEnd w:id="9"/>
    </w:p>
    <w:p w14:paraId="61B7397C">
      <w:pPr>
        <w:keepNext w:val="0"/>
        <w:keepLines w:val="0"/>
        <w:pageBreakBefore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rPr>
      </w:pPr>
      <w:bookmarkStart w:id="10" w:name="_Toc18967"/>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绩效评价的目的</w:t>
      </w:r>
      <w:bookmarkEnd w:id="10"/>
    </w:p>
    <w:p w14:paraId="21876D2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1" w:name="_Toc17665"/>
      <w:r>
        <w:rPr>
          <w:rFonts w:hint="default" w:ascii="Times New Roman" w:hAnsi="Times New Roman" w:eastAsia="仿宋_GB2312" w:cs="Times New Roman"/>
          <w:sz w:val="32"/>
          <w:szCs w:val="32"/>
          <w:highlight w:val="none"/>
        </w:rPr>
        <w:t>（1）评估项目实施效果</w:t>
      </w:r>
      <w:bookmarkEnd w:id="11"/>
    </w:p>
    <w:p w14:paraId="2EF0605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通过对项目预算执行情况及各项绩效目标达成程度的系统性分析，全面、客观地评估项目在预定周期内的实施效果，社会效益指标，为项目后续的改进与优化提供科学依据。</w:t>
      </w:r>
    </w:p>
    <w:p w14:paraId="0480052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2" w:name="_Toc1456"/>
      <w:r>
        <w:rPr>
          <w:rFonts w:hint="default" w:ascii="Times New Roman" w:hAnsi="Times New Roman" w:eastAsia="仿宋_GB2312" w:cs="Times New Roman"/>
          <w:sz w:val="32"/>
          <w:szCs w:val="32"/>
          <w:highlight w:val="none"/>
        </w:rPr>
        <w:t>（2）提升资源利用效率</w:t>
      </w:r>
      <w:bookmarkEnd w:id="12"/>
    </w:p>
    <w:p w14:paraId="03884879">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437E8E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3" w:name="_Toc7051"/>
      <w:r>
        <w:rPr>
          <w:rFonts w:hint="default" w:ascii="Times New Roman" w:hAnsi="Times New Roman" w:eastAsia="仿宋_GB2312" w:cs="Times New Roman"/>
          <w:sz w:val="32"/>
          <w:szCs w:val="32"/>
          <w:highlight w:val="none"/>
        </w:rPr>
        <w:t>（3）强化项目管理责任</w:t>
      </w:r>
      <w:bookmarkEnd w:id="13"/>
    </w:p>
    <w:p w14:paraId="4F40D45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BD504D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4" w:name="_Toc19891"/>
      <w:r>
        <w:rPr>
          <w:rFonts w:hint="default" w:ascii="Times New Roman" w:hAnsi="Times New Roman" w:eastAsia="仿宋_GB2312" w:cs="Times New Roman"/>
          <w:sz w:val="32"/>
          <w:szCs w:val="32"/>
          <w:highlight w:val="none"/>
        </w:rPr>
        <w:t>（4）为决策提供支持</w:t>
      </w:r>
      <w:bookmarkEnd w:id="14"/>
    </w:p>
    <w:p w14:paraId="1CDE6FAF">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C53682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rPr>
      </w:pPr>
      <w:bookmarkStart w:id="15" w:name="_Toc10690"/>
      <w:r>
        <w:rPr>
          <w:rFonts w:hint="default" w:ascii="Times New Roman" w:hAnsi="Times New Roman" w:eastAsia="仿宋_GB2312" w:cs="Times New Roman"/>
          <w:sz w:val="32"/>
          <w:szCs w:val="32"/>
          <w:highlight w:val="none"/>
        </w:rPr>
        <w:t>（5）促进项目持续改进</w:t>
      </w:r>
      <w:bookmarkEnd w:id="15"/>
    </w:p>
    <w:p w14:paraId="17F0CA83">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2D30436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2E59B96">
      <w:pPr>
        <w:pStyle w:val="13"/>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bookmarkStart w:id="16" w:name="_Toc5355"/>
      <w:r>
        <w:rPr>
          <w:rFonts w:hint="eastAsia" w:ascii="Times New Roman" w:hAnsi="Times New Roman" w:eastAsia="仿宋_GB2312" w:cs="Times New Roman"/>
          <w:b w:val="0"/>
          <w:bCs w:val="0"/>
          <w:lang w:val="en-US" w:eastAsia="zh-CN"/>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bookmarkEnd w:id="16"/>
    </w:p>
    <w:p w14:paraId="6DF0256E">
      <w:pPr>
        <w:pStyle w:val="13"/>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lang w:val="en-US" w:eastAsia="zh-CN"/>
        </w:rPr>
        <w:t>经营成本性项目</w:t>
      </w:r>
      <w:r>
        <w:rPr>
          <w:rFonts w:hint="default" w:ascii="Times New Roman" w:hAnsi="Times New Roman" w:eastAsia="仿宋_GB2312" w:cs="Times New Roman"/>
          <w:b w:val="0"/>
          <w:bCs w:val="0"/>
          <w:highlight w:val="none"/>
        </w:rPr>
        <w:t>及其预算执行情况。该项目由</w:t>
      </w:r>
      <w:r>
        <w:rPr>
          <w:rFonts w:hint="eastAsia" w:ascii="Times New Roman" w:hAnsi="Times New Roman" w:eastAsia="仿宋_GB2312" w:cs="Times New Roman"/>
          <w:b w:val="0"/>
          <w:bCs w:val="0"/>
          <w:highlight w:val="none"/>
          <w:lang w:val="en-US" w:eastAsia="zh-CN"/>
        </w:rPr>
        <w:t>新疆维吾尔自治区头屯河流域水利管理中心</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val="en-US" w:eastAsia="zh-CN"/>
        </w:rPr>
        <w:t>保障单位正常运转和水利工程项目正常运行</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2025年1月1日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2025年12月31日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3334.63</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581883C0">
      <w:pPr>
        <w:pStyle w:val="13"/>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bookmarkStart w:id="17" w:name="_Toc4258"/>
      <w:r>
        <w:rPr>
          <w:rFonts w:hint="eastAsia" w:ascii="Times New Roman" w:hAnsi="Times New Roman" w:eastAsia="仿宋_GB2312" w:cs="Times New Roman"/>
          <w:b w:val="0"/>
          <w:bCs w:val="0"/>
          <w:lang w:val="en-US" w:eastAsia="zh-CN"/>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绩效评价的范围</w:t>
      </w:r>
      <w:bookmarkEnd w:id="17"/>
    </w:p>
    <w:p w14:paraId="3A6EFC44">
      <w:pPr>
        <w:pStyle w:val="13"/>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6A9C4AD3">
      <w:pPr>
        <w:pStyle w:val="13"/>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1</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785B40DE">
      <w:pPr>
        <w:pStyle w:val="13"/>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2</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27F5D827">
      <w:pPr>
        <w:pStyle w:val="13"/>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3</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14:paraId="09BB45E8">
      <w:pPr>
        <w:pStyle w:val="13"/>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w:t>
      </w:r>
      <w:r>
        <w:rPr>
          <w:rFonts w:hint="eastAsia" w:ascii="Times New Roman" w:hAnsi="Times New Roman" w:eastAsia="仿宋_GB2312" w:cs="Times New Roman"/>
          <w:b w:val="0"/>
          <w:bCs w:val="0"/>
          <w:highlight w:val="none"/>
          <w:lang w:val="en-US" w:eastAsia="zh-CN"/>
        </w:rPr>
        <w:t>社会效益的</w:t>
      </w:r>
      <w:r>
        <w:rPr>
          <w:rFonts w:hint="default" w:ascii="Times New Roman" w:hAnsi="Times New Roman" w:eastAsia="仿宋_GB2312" w:cs="Times New Roman"/>
          <w:b w:val="0"/>
          <w:bCs w:val="0"/>
          <w:highlight w:val="none"/>
        </w:rPr>
        <w:t>影响。</w:t>
      </w:r>
    </w:p>
    <w:p w14:paraId="5EF9008D">
      <w:pPr>
        <w:keepNext w:val="0"/>
        <w:keepLines w:val="0"/>
        <w:pageBreakBefore w:val="0"/>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cs="Times New Roman"/>
        </w:rPr>
      </w:pPr>
      <w:bookmarkStart w:id="18" w:name="_Toc29785"/>
      <w:r>
        <w:rPr>
          <w:rFonts w:hint="default" w:ascii="Times New Roman" w:hAnsi="Times New Roman" w:eastAsia="楷体_GB2312" w:cs="Times New Roman"/>
          <w:b/>
          <w:bCs/>
          <w:sz w:val="32"/>
          <w:szCs w:val="32"/>
        </w:rPr>
        <w:t>（二）绩效评价原则、评价指标体系（详情见表1）、评价方法、评价标准。</w:t>
      </w:r>
      <w:bookmarkEnd w:id="18"/>
    </w:p>
    <w:p w14:paraId="5504DD30">
      <w:pPr>
        <w:pStyle w:val="13"/>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bookmarkStart w:id="19" w:name="_Toc22859"/>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bookmarkEnd w:id="19"/>
    </w:p>
    <w:p w14:paraId="3DC14F53">
      <w:pPr>
        <w:keepNext w:val="0"/>
        <w:keepLines w:val="0"/>
        <w:pageBreakBefore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27548CF9">
      <w:pPr>
        <w:pStyle w:val="13"/>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65ACE054">
      <w:pPr>
        <w:pStyle w:val="13"/>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w:t>
      </w:r>
      <w:r>
        <w:rPr>
          <w:rFonts w:hint="eastAsia"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谁支出、谁自评</w:t>
      </w:r>
      <w:r>
        <w:rPr>
          <w:rFonts w:hint="eastAsia" w:ascii="Times New Roman" w:hAnsi="Times New Roman" w:eastAsia="仿宋_GB2312" w:cs="Times New Roman"/>
          <w:b w:val="0"/>
          <w:bCs w:val="0"/>
          <w:lang w:eastAsia="zh-CN"/>
        </w:rPr>
        <w:t>”</w:t>
      </w:r>
      <w:r>
        <w:rPr>
          <w:rFonts w:hint="default" w:ascii="Times New Roman" w:hAnsi="Times New Roman" w:eastAsia="仿宋_GB2312" w:cs="Times New Roman"/>
          <w:b w:val="0"/>
          <w:bCs w:val="0"/>
        </w:rPr>
        <w:t>。部门评价和财政评价应在单位自评的基础上开展。</w:t>
      </w:r>
    </w:p>
    <w:p w14:paraId="5A33884A">
      <w:pPr>
        <w:pStyle w:val="13"/>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580204A7">
      <w:pPr>
        <w:pStyle w:val="13"/>
        <w:keepNext w:val="0"/>
        <w:keepLines w:val="0"/>
        <w:pageBreakBefore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51D418F4">
      <w:pPr>
        <w:pStyle w:val="13"/>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rPr>
      </w:pPr>
      <w:bookmarkStart w:id="20" w:name="_Toc31775"/>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bookmarkEnd w:id="20"/>
    </w:p>
    <w:p w14:paraId="4A739391">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57400560">
      <w:pPr>
        <w:keepNext w:val="0"/>
        <w:keepLines w:val="0"/>
        <w:pageBreakBefore w:val="0"/>
        <w:kinsoku/>
        <w:wordWrap w:val="0"/>
        <w:overflowPunct/>
        <w:topLinePunct/>
        <w:autoSpaceDE/>
        <w:autoSpaceDN/>
        <w:bidi w:val="0"/>
        <w:adjustRightInd/>
        <w:snapToGrid/>
        <w:spacing w:line="560" w:lineRule="exact"/>
        <w:ind w:firstLine="708" w:firstLineChars="200"/>
        <w:textAlignment w:val="auto"/>
        <w:outlineLvl w:val="3"/>
        <w:rPr>
          <w:rFonts w:hint="default" w:ascii="Times New Roman" w:hAnsi="Times New Roman" w:eastAsia="仿宋_GB2312" w:cs="Times New Roman"/>
          <w:color w:val="000000"/>
          <w:spacing w:val="17"/>
          <w:sz w:val="32"/>
          <w:szCs w:val="32"/>
        </w:rPr>
      </w:pPr>
      <w:bookmarkStart w:id="21" w:name="_Toc22746"/>
      <w:r>
        <w:rPr>
          <w:rFonts w:hint="default" w:ascii="Times New Roman" w:hAnsi="Times New Roman" w:eastAsia="仿宋_GB2312" w:cs="Times New Roman"/>
          <w:color w:val="000000"/>
          <w:spacing w:val="17"/>
          <w:sz w:val="32"/>
          <w:szCs w:val="32"/>
        </w:rPr>
        <w:t>（1）确定评价指标</w:t>
      </w:r>
      <w:bookmarkEnd w:id="21"/>
    </w:p>
    <w:p w14:paraId="2A9091FB">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F0E7D6C">
      <w:pPr>
        <w:keepNext w:val="0"/>
        <w:keepLines w:val="0"/>
        <w:pageBreakBefore w:val="0"/>
        <w:kinsoku/>
        <w:wordWrap w:val="0"/>
        <w:overflowPunct/>
        <w:topLinePunct/>
        <w:autoSpaceDE/>
        <w:autoSpaceDN/>
        <w:bidi w:val="0"/>
        <w:adjustRightInd/>
        <w:snapToGrid/>
        <w:spacing w:line="560" w:lineRule="exact"/>
        <w:ind w:firstLine="708" w:firstLineChars="200"/>
        <w:textAlignment w:val="auto"/>
        <w:outlineLvl w:val="3"/>
        <w:rPr>
          <w:rFonts w:hint="default" w:ascii="Times New Roman" w:hAnsi="Times New Roman" w:eastAsia="仿宋_GB2312" w:cs="Times New Roman"/>
          <w:color w:val="000000"/>
          <w:spacing w:val="17"/>
          <w:sz w:val="32"/>
          <w:szCs w:val="32"/>
        </w:rPr>
      </w:pPr>
      <w:bookmarkStart w:id="22" w:name="_Toc1142"/>
      <w:r>
        <w:rPr>
          <w:rFonts w:hint="default" w:ascii="Times New Roman" w:hAnsi="Times New Roman" w:eastAsia="仿宋_GB2312" w:cs="Times New Roman"/>
          <w:color w:val="000000"/>
          <w:spacing w:val="17"/>
          <w:sz w:val="32"/>
          <w:szCs w:val="32"/>
        </w:rPr>
        <w:t>（2）确定权重</w:t>
      </w:r>
      <w:bookmarkEnd w:id="22"/>
    </w:p>
    <w:p w14:paraId="3981BC3E">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w:t>
      </w:r>
      <w:r>
        <w:rPr>
          <w:rFonts w:hint="eastAsia" w:eastAsia="仿宋_GB2312" w:cs="Times New Roman"/>
          <w:color w:val="000000"/>
          <w:spacing w:val="17"/>
          <w:sz w:val="32"/>
          <w:szCs w:val="32"/>
          <w:lang w:val="en-US" w:eastAsia="zh-CN"/>
        </w:rPr>
        <w:t>1</w:t>
      </w:r>
      <w:r>
        <w:rPr>
          <w:rFonts w:hint="default" w:ascii="Times New Roman" w:hAnsi="Times New Roman" w:eastAsia="仿宋_GB2312" w:cs="Times New Roman"/>
          <w:color w:val="000000"/>
          <w:spacing w:val="17"/>
          <w:sz w:val="32"/>
          <w:szCs w:val="32"/>
        </w:rPr>
        <w:t>0分，项目过程权重为20分，项目产出权重为40分，项目效益权重为</w:t>
      </w:r>
      <w:r>
        <w:rPr>
          <w:rFonts w:hint="eastAsia" w:eastAsia="仿宋_GB2312" w:cs="Times New Roman"/>
          <w:color w:val="000000"/>
          <w:spacing w:val="17"/>
          <w:sz w:val="32"/>
          <w:szCs w:val="32"/>
          <w:lang w:val="en-US" w:eastAsia="zh-CN"/>
        </w:rPr>
        <w:t>3</w:t>
      </w:r>
      <w:r>
        <w:rPr>
          <w:rFonts w:hint="default" w:ascii="Times New Roman" w:hAnsi="Times New Roman" w:eastAsia="仿宋_GB2312" w:cs="Times New Roman"/>
          <w:color w:val="000000"/>
          <w:spacing w:val="17"/>
          <w:sz w:val="32"/>
          <w:szCs w:val="32"/>
        </w:rPr>
        <w:t>0分。</w:t>
      </w:r>
    </w:p>
    <w:p w14:paraId="5F3037C5">
      <w:pPr>
        <w:keepNext w:val="0"/>
        <w:keepLines w:val="0"/>
        <w:pageBreakBefore w:val="0"/>
        <w:kinsoku/>
        <w:wordWrap w:val="0"/>
        <w:overflowPunct/>
        <w:topLinePunct/>
        <w:autoSpaceDE/>
        <w:autoSpaceDN/>
        <w:bidi w:val="0"/>
        <w:adjustRightInd/>
        <w:snapToGrid/>
        <w:spacing w:line="560" w:lineRule="exact"/>
        <w:ind w:firstLine="708" w:firstLineChars="200"/>
        <w:textAlignment w:val="auto"/>
        <w:outlineLvl w:val="3"/>
        <w:rPr>
          <w:rFonts w:hint="default" w:ascii="Times New Roman" w:hAnsi="Times New Roman" w:eastAsia="仿宋_GB2312" w:cs="Times New Roman"/>
          <w:color w:val="000000"/>
          <w:spacing w:val="17"/>
          <w:sz w:val="32"/>
          <w:szCs w:val="32"/>
        </w:rPr>
      </w:pPr>
      <w:bookmarkStart w:id="23" w:name="_Toc18406"/>
      <w:r>
        <w:rPr>
          <w:rFonts w:hint="default" w:ascii="Times New Roman" w:hAnsi="Times New Roman" w:eastAsia="仿宋_GB2312" w:cs="Times New Roman"/>
          <w:color w:val="000000"/>
          <w:spacing w:val="17"/>
          <w:sz w:val="32"/>
          <w:szCs w:val="32"/>
        </w:rPr>
        <w:t>（3）确定指标标准值</w:t>
      </w:r>
      <w:bookmarkEnd w:id="23"/>
    </w:p>
    <w:p w14:paraId="52EADC9F">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32AF493C">
      <w:pPr>
        <w:pStyle w:val="13"/>
        <w:keepNext w:val="0"/>
        <w:keepLines w:val="0"/>
        <w:pageBreakBefore w:val="0"/>
        <w:kinsoku/>
        <w:wordWrap w:val="0"/>
        <w:overflowPunct/>
        <w:topLinePunct/>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4D6E86A5">
      <w:pPr>
        <w:pStyle w:val="13"/>
        <w:keepNext w:val="0"/>
        <w:keepLines w:val="0"/>
        <w:pageBreakBefore w:val="0"/>
        <w:widowControl w:val="0"/>
        <w:kinsoku/>
        <w:wordWrap w:val="0"/>
        <w:overflowPunct/>
        <w:topLinePunct/>
        <w:autoSpaceDE/>
        <w:autoSpaceDN/>
        <w:bidi w:val="0"/>
        <w:adjustRightInd/>
        <w:snapToGrid/>
        <w:spacing w:before="0" w:after="0" w:line="560" w:lineRule="exact"/>
        <w:ind w:firstLine="708" w:firstLineChars="200"/>
        <w:jc w:val="both"/>
        <w:textAlignment w:val="auto"/>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012FF7A3">
      <w:pPr>
        <w:pStyle w:val="13"/>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eastAsia" w:ascii="Times New Roman" w:hAnsi="Times New Roman" w:eastAsia="仿宋_GB2312" w:cs="Times New Roman"/>
          <w:b w:val="0"/>
          <w:bCs w:val="0"/>
          <w:lang w:eastAsia="zh-CN"/>
        </w:rPr>
      </w:pPr>
      <w:bookmarkStart w:id="24" w:name="_Toc18365"/>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bookmarkEnd w:id="24"/>
    </w:p>
    <w:p w14:paraId="25CFF298">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40A6F2AC">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54D8B41E">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eastAsia"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w:t>
      </w:r>
      <w:r>
        <w:rPr>
          <w:rFonts w:hint="eastAsia" w:eastAsia="仿宋_GB2312" w:cs="Times New Roman"/>
          <w:color w:val="000000"/>
          <w:spacing w:val="17"/>
          <w:sz w:val="32"/>
          <w:szCs w:val="32"/>
          <w:highlight w:val="none"/>
          <w:lang w:eastAsia="zh-CN"/>
        </w:rPr>
        <w:t>使用此方法能够直接将投入与产出、效益进行量化关联，避免主观评价偏差，让评价结果更客观可信。</w:t>
      </w:r>
    </w:p>
    <w:p w14:paraId="2B825191">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）比较法。</w:t>
      </w:r>
      <w:r>
        <w:rPr>
          <w:rFonts w:hint="eastAsia" w:eastAsia="仿宋_GB2312" w:cs="Times New Roman"/>
          <w:color w:val="000000"/>
          <w:spacing w:val="17"/>
          <w:sz w:val="32"/>
          <w:szCs w:val="32"/>
          <w:highlight w:val="none"/>
          <w:lang w:eastAsia="zh-CN"/>
        </w:rPr>
        <w:t>选择比较法，可以通过与绩效目标、历史情况、不同部门和地区同类支出情况的对比，直观反映项目成效、减少主观偏差，为评价和决策提供客观依据。</w:t>
      </w:r>
    </w:p>
    <w:p w14:paraId="3CFEF5D7">
      <w:pPr>
        <w:keepNext w:val="0"/>
        <w:keepLines w:val="0"/>
        <w:pageBreakBefore w:val="0"/>
        <w:kinsoku/>
        <w:wordWrap w:val="0"/>
        <w:overflowPunct/>
        <w:topLinePunct/>
        <w:autoSpaceDE/>
        <w:autoSpaceDN/>
        <w:bidi w:val="0"/>
        <w:adjustRightInd/>
        <w:snapToGrid/>
        <w:spacing w:line="560" w:lineRule="exact"/>
        <w:ind w:firstLine="708" w:firstLineChars="200"/>
        <w:textAlignment w:val="auto"/>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w:t>
      </w:r>
      <w:r>
        <w:rPr>
          <w:rFonts w:hint="eastAsia"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）因素分析法。</w:t>
      </w:r>
      <w:r>
        <w:rPr>
          <w:rFonts w:hint="eastAsia" w:eastAsia="仿宋_GB2312" w:cs="Times New Roman"/>
          <w:color w:val="000000"/>
          <w:spacing w:val="17"/>
          <w:sz w:val="32"/>
          <w:szCs w:val="32"/>
          <w:highlight w:val="none"/>
          <w:lang w:eastAsia="zh-CN"/>
        </w:rPr>
        <w:t>使用该方法是因其可综合分析影响绩效目标实现与实施效果的内外因素，深入挖掘问题本质，为后续改进提供精准指导。</w:t>
      </w:r>
    </w:p>
    <w:p w14:paraId="55BDE686">
      <w:pPr>
        <w:pStyle w:val="13"/>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2"/>
        <w:rPr>
          <w:rFonts w:hint="default" w:ascii="Times New Roman" w:hAnsi="Times New Roman" w:eastAsia="仿宋_GB2312" w:cs="Times New Roman"/>
          <w:b w:val="0"/>
          <w:bCs w:val="0"/>
          <w:highlight w:val="none"/>
        </w:rPr>
      </w:pPr>
      <w:bookmarkStart w:id="25" w:name="_Toc21230"/>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bookmarkEnd w:id="25"/>
    </w:p>
    <w:p w14:paraId="4EC3948D">
      <w:pPr>
        <w:pStyle w:val="13"/>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rPr>
      </w:pPr>
      <w:r>
        <w:rPr>
          <w:rFonts w:hint="eastAsia" w:ascii="Times New Roman" w:hAnsi="Times New Roman" w:eastAsia="仿宋_GB2312" w:cs="Times New Roman"/>
          <w:b w:val="0"/>
          <w:bCs w:val="0"/>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21621CC4">
      <w:pPr>
        <w:pStyle w:val="13"/>
        <w:keepNext w:val="0"/>
        <w:keepLines w:val="0"/>
        <w:pageBreakBefore w:val="0"/>
        <w:numPr>
          <w:ilvl w:val="0"/>
          <w:numId w:val="0"/>
        </w:numPr>
        <w:kinsoku/>
        <w:wordWrap w:val="0"/>
        <w:overflowPunct/>
        <w:topLinePunct/>
        <w:autoSpaceDE/>
        <w:autoSpaceDN/>
        <w:bidi w:val="0"/>
        <w:adjustRightInd/>
        <w:snapToGrid/>
        <w:spacing w:before="0" w:after="0" w:line="560" w:lineRule="exact"/>
        <w:ind w:firstLine="711" w:firstLineChars="200"/>
        <w:jc w:val="both"/>
        <w:textAlignment w:val="auto"/>
        <w:outlineLvl w:val="1"/>
        <w:rPr>
          <w:rFonts w:hint="default" w:ascii="Times New Roman" w:hAnsi="Times New Roman" w:eastAsia="楷体" w:cs="Times New Roman"/>
          <w:color w:val="000000"/>
          <w:spacing w:val="17"/>
        </w:rPr>
      </w:pPr>
      <w:bookmarkStart w:id="26" w:name="_Toc5544"/>
      <w:r>
        <w:rPr>
          <w:rFonts w:hint="eastAsia" w:ascii="Times New Roman" w:hAnsi="Times New Roman" w:eastAsia="楷体" w:cs="Times New Roman"/>
          <w:color w:val="000000"/>
          <w:spacing w:val="17"/>
          <w:lang w:eastAsia="zh-CN"/>
        </w:rPr>
        <w:t>（</w:t>
      </w:r>
      <w:r>
        <w:rPr>
          <w:rFonts w:hint="eastAsia" w:ascii="Times New Roman" w:hAnsi="Times New Roman" w:eastAsia="楷体" w:cs="Times New Roman"/>
          <w:color w:val="000000"/>
          <w:spacing w:val="17"/>
          <w:lang w:val="en-US" w:eastAsia="zh-CN"/>
        </w:rPr>
        <w:t>三</w:t>
      </w:r>
      <w:r>
        <w:rPr>
          <w:rFonts w:hint="eastAsia" w:ascii="Times New Roman" w:hAnsi="Times New Roman" w:eastAsia="楷体" w:cs="Times New Roman"/>
          <w:color w:val="000000"/>
          <w:spacing w:val="17"/>
          <w:lang w:eastAsia="zh-CN"/>
        </w:rPr>
        <w:t>）</w:t>
      </w:r>
      <w:r>
        <w:rPr>
          <w:rFonts w:hint="default" w:ascii="Times New Roman" w:hAnsi="Times New Roman" w:eastAsia="楷体" w:cs="Times New Roman"/>
          <w:color w:val="000000"/>
          <w:spacing w:val="17"/>
        </w:rPr>
        <w:t>绩效评价工作过程</w:t>
      </w:r>
      <w:bookmarkEnd w:id="26"/>
    </w:p>
    <w:p w14:paraId="24F303D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rPr>
      </w:pPr>
      <w:bookmarkStart w:id="27" w:name="_Toc21316"/>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bookmarkEnd w:id="27"/>
    </w:p>
    <w:p w14:paraId="6917F10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w:t>
      </w:r>
      <w:r>
        <w:rPr>
          <w:rFonts w:hint="eastAsia" w:eastAsia="仿宋_GB2312" w:cs="Times New Roman"/>
          <w:sz w:val="32"/>
          <w:szCs w:val="32"/>
          <w:highlight w:val="none"/>
          <w:lang w:val="en-US" w:eastAsia="zh-CN"/>
        </w:rPr>
        <w:t>成员</w:t>
      </w:r>
      <w:r>
        <w:rPr>
          <w:rFonts w:hint="default" w:ascii="Times New Roman" w:hAnsi="Times New Roman" w:eastAsia="仿宋_GB2312" w:cs="Times New Roman"/>
          <w:sz w:val="32"/>
          <w:szCs w:val="32"/>
          <w:highlight w:val="none"/>
        </w:rPr>
        <w:t>组成，确保从多角度、全方位对项目绩效进行评价。同时，明确了评价工作的目标、范围、重点及时间安排，制定了详细的工作计划，为评价工作的顺利开展奠定了坚实基础。</w:t>
      </w:r>
    </w:p>
    <w:p w14:paraId="02EC0AA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8" w:name="_Toc12550"/>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bookmarkEnd w:id="28"/>
    </w:p>
    <w:p w14:paraId="159031FC">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0C78F2C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29" w:name="_Toc7217"/>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bookmarkEnd w:id="29"/>
    </w:p>
    <w:p w14:paraId="7A125AC2">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50F359A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0" w:name="_Toc13512"/>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bookmarkEnd w:id="30"/>
    </w:p>
    <w:p w14:paraId="2EFF41A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0EEF76C4">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1" w:name="_Toc26222"/>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bookmarkEnd w:id="31"/>
    </w:p>
    <w:p w14:paraId="4245A01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4334CC70">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32" w:name="_Toc554"/>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bookmarkEnd w:id="32"/>
    </w:p>
    <w:p w14:paraId="3044C07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1F65833B">
      <w:pPr>
        <w:keepNext w:val="0"/>
        <w:keepLines w:val="0"/>
        <w:pageBreakBefore w:val="0"/>
        <w:numPr>
          <w:ilvl w:val="0"/>
          <w:numId w:val="0"/>
        </w:numPr>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bookmarkStart w:id="33" w:name="_Toc29729"/>
      <w:r>
        <w:rPr>
          <w:rFonts w:hint="eastAsia" w:eastAsia="黑体" w:cs="Times New Roman"/>
          <w:sz w:val="32"/>
          <w:szCs w:val="32"/>
          <w:lang w:val="en-US" w:eastAsia="zh-CN"/>
        </w:rPr>
        <w:t>三、</w:t>
      </w:r>
      <w:r>
        <w:rPr>
          <w:rFonts w:hint="default" w:ascii="Times New Roman" w:hAnsi="Times New Roman" w:eastAsia="黑体" w:cs="Times New Roman"/>
          <w:sz w:val="32"/>
          <w:szCs w:val="32"/>
        </w:rPr>
        <w:t>综合评价情况及评价结论</w:t>
      </w:r>
      <w:bookmarkEnd w:id="33"/>
    </w:p>
    <w:p w14:paraId="2F908396">
      <w:pPr>
        <w:pStyle w:val="13"/>
        <w:keepNext w:val="0"/>
        <w:keepLines w:val="0"/>
        <w:pageBreakBefore w:val="0"/>
        <w:widowControl/>
        <w:kinsoku/>
        <w:wordWrap w:val="0"/>
        <w:overflowPunct/>
        <w:topLinePunct/>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4" w:name="_Toc2344"/>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bookmarkEnd w:id="34"/>
    </w:p>
    <w:p w14:paraId="7BBD83B6">
      <w:pPr>
        <w:pStyle w:val="12"/>
        <w:keepNext w:val="0"/>
        <w:keepLines w:val="0"/>
        <w:pageBreakBefore w:val="0"/>
        <w:widowControl/>
        <w:suppressLineNumbers w:val="0"/>
        <w:kinsoku/>
        <w:wordWrap w:val="0"/>
        <w:overflowPunct/>
        <w:topLinePunct/>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项目管理</w:t>
      </w:r>
      <w:r>
        <w:rPr>
          <w:rFonts w:hint="default" w:ascii="Times New Roman" w:hAnsi="Times New Roman" w:eastAsia="仿宋_GB2312" w:cs="Times New Roman"/>
          <w:sz w:val="32"/>
          <w:szCs w:val="32"/>
          <w:highlight w:val="none"/>
        </w:rPr>
        <w:t>方面，项目在社会效益上发挥了积极作用，</w:t>
      </w:r>
      <w:r>
        <w:rPr>
          <w:rFonts w:hint="eastAsia" w:ascii="Times New Roman" w:hAnsi="Times New Roman" w:eastAsia="仿宋_GB2312" w:cs="Times New Roman"/>
          <w:kern w:val="2"/>
          <w:sz w:val="32"/>
          <w:szCs w:val="32"/>
          <w:highlight w:val="none"/>
          <w:lang w:val="en-US" w:eastAsia="zh-CN" w:bidi="ar-SA"/>
        </w:rPr>
        <w:t>自治区地方政府新增专项债券利息还款支付准确率</w:t>
      </w:r>
      <w:r>
        <w:rPr>
          <w:rFonts w:hint="eastAsia" w:eastAsia="仿宋_GB2312" w:cs="Times New Roman"/>
          <w:kern w:val="2"/>
          <w:sz w:val="32"/>
          <w:szCs w:val="32"/>
          <w:highlight w:val="none"/>
          <w:lang w:val="en-US" w:eastAsia="zh-CN" w:bidi="ar-SA"/>
        </w:rPr>
        <w:t>和及时率，</w:t>
      </w:r>
      <w:r>
        <w:rPr>
          <w:rFonts w:hint="default" w:ascii="Times New Roman" w:hAnsi="Times New Roman" w:eastAsia="仿宋_GB2312" w:cs="Times New Roman"/>
          <w:kern w:val="2"/>
          <w:sz w:val="32"/>
          <w:szCs w:val="32"/>
          <w:highlight w:val="none"/>
          <w:lang w:val="en-US" w:eastAsia="zh-CN" w:bidi="ar-SA"/>
        </w:rPr>
        <w:t>通过有效的规划、组织与协调，得以顺利实施，并在预算与时间上保持了良好的控制</w:t>
      </w:r>
      <w:r>
        <w:rPr>
          <w:rFonts w:hint="eastAsia" w:eastAsia="仿宋_GB2312" w:cs="Times New Roman"/>
          <w:kern w:val="2"/>
          <w:sz w:val="32"/>
          <w:szCs w:val="32"/>
          <w:highlight w:val="none"/>
          <w:lang w:val="en-US" w:eastAsia="zh-CN" w:bidi="ar-SA"/>
        </w:rPr>
        <w:t>；</w:t>
      </w:r>
      <w:r>
        <w:rPr>
          <w:rFonts w:hint="default" w:ascii="Times New Roman" w:hAnsi="Times New Roman" w:eastAsia="仿宋_GB2312" w:cs="Times New Roman"/>
          <w:sz w:val="32"/>
          <w:szCs w:val="32"/>
          <w:highlight w:val="none"/>
        </w:rPr>
        <w:t>综合效益</w:t>
      </w:r>
      <w:r>
        <w:rPr>
          <w:rFonts w:hint="eastAsia" w:eastAsia="仿宋_GB2312" w:cs="Times New Roman"/>
          <w:sz w:val="32"/>
          <w:szCs w:val="32"/>
          <w:highlight w:val="none"/>
          <w:lang w:val="en-US" w:eastAsia="zh-CN"/>
        </w:rPr>
        <w:t>方面，</w:t>
      </w:r>
      <w:r>
        <w:rPr>
          <w:rFonts w:hint="default" w:ascii="Times New Roman" w:hAnsi="Times New Roman" w:eastAsia="仿宋_GB2312" w:cs="Times New Roman"/>
          <w:sz w:val="32"/>
          <w:szCs w:val="32"/>
          <w:highlight w:val="none"/>
        </w:rPr>
        <w:t>项目在社会效益</w:t>
      </w:r>
      <w:r>
        <w:rPr>
          <w:rFonts w:hint="default" w:ascii="Times New Roman" w:hAnsi="Times New Roman" w:eastAsia="仿宋_GB2312" w:cs="Times New Roman"/>
          <w:kern w:val="2"/>
          <w:sz w:val="32"/>
          <w:szCs w:val="32"/>
          <w:highlight w:val="none"/>
          <w:lang w:val="en-US" w:eastAsia="zh-CN" w:bidi="ar-SA"/>
        </w:rPr>
        <w:t>防止专项债逾期付息导致违约风险率方面表现出色，</w:t>
      </w:r>
      <w:r>
        <w:rPr>
          <w:rFonts w:hint="eastAsia" w:ascii="Times New Roman" w:hAnsi="Times New Roman" w:eastAsia="仿宋_GB2312" w:cs="Times New Roman"/>
          <w:kern w:val="2"/>
          <w:sz w:val="32"/>
          <w:szCs w:val="32"/>
          <w:highlight w:val="none"/>
          <w:lang w:val="en-US" w:eastAsia="zh-CN" w:bidi="ar-SA"/>
        </w:rPr>
        <w:t>做到了防止专项债逾期付息导致的违约风险</w:t>
      </w:r>
      <w:r>
        <w:rPr>
          <w:rFonts w:hint="eastAsia" w:eastAsia="仿宋_GB2312" w:cs="Times New Roman"/>
          <w:kern w:val="2"/>
          <w:sz w:val="32"/>
          <w:szCs w:val="32"/>
          <w:highlight w:val="none"/>
          <w:lang w:val="en-US" w:eastAsia="zh-CN" w:bidi="ar-SA"/>
        </w:rPr>
        <w:t>，</w:t>
      </w:r>
      <w:r>
        <w:rPr>
          <w:rFonts w:hint="default" w:ascii="Times New Roman" w:hAnsi="Times New Roman" w:eastAsia="仿宋_GB2312" w:cs="Times New Roman"/>
          <w:sz w:val="32"/>
          <w:szCs w:val="32"/>
          <w:highlight w:val="none"/>
        </w:rPr>
        <w:t>体实现了项目预期的实施价值。</w:t>
      </w:r>
    </w:p>
    <w:p w14:paraId="4FDDF892">
      <w:pPr>
        <w:pStyle w:val="13"/>
        <w:keepNext w:val="0"/>
        <w:keepLines w:val="0"/>
        <w:pageBreakBefore w:val="0"/>
        <w:widowControl/>
        <w:kinsoku/>
        <w:wordWrap w:val="0"/>
        <w:overflowPunct/>
        <w:topLinePunct/>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lang w:val="en-US" w:eastAsia="zh-CN"/>
        </w:rPr>
      </w:pPr>
      <w:bookmarkStart w:id="35" w:name="_Toc6653"/>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bookmarkEnd w:id="35"/>
    </w:p>
    <w:p w14:paraId="4CD44757">
      <w:pPr>
        <w:pStyle w:val="13"/>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优</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。其中，项目决策类指标权重为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rPr>
        <w:t>具体打分情况详见</w:t>
      </w:r>
      <w:r>
        <w:rPr>
          <w:rFonts w:hint="eastAsia" w:ascii="Times New Roman" w:hAnsi="Times New Roman" w:eastAsia="仿宋_GB2312" w:cs="Times New Roman"/>
          <w:b w:val="0"/>
          <w:bCs w:val="0"/>
          <w:lang w:val="en-US" w:eastAsia="zh-CN"/>
        </w:rPr>
        <w:t>下</w:t>
      </w:r>
      <w:r>
        <w:rPr>
          <w:rFonts w:hint="default" w:ascii="Times New Roman" w:hAnsi="Times New Roman" w:eastAsia="仿宋_GB2312" w:cs="Times New Roman"/>
          <w:b w:val="0"/>
          <w:bCs w:val="0"/>
        </w:rPr>
        <w:t>表</w:t>
      </w:r>
      <w:r>
        <w:rPr>
          <w:rFonts w:hint="default" w:ascii="Times New Roman" w:hAnsi="Times New Roman" w:eastAsia="仿宋_GB2312" w:cs="Times New Roman"/>
          <w:b w:val="0"/>
          <w:bCs w:val="0"/>
          <w:lang w:eastAsia="zh-CN"/>
        </w:rPr>
        <w:t>。</w:t>
      </w:r>
    </w:p>
    <w:p w14:paraId="5E211B81">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p>
    <w:p w14:paraId="7ABB0574">
      <w:pPr>
        <w:pStyle w:val="13"/>
        <w:keepNext w:val="0"/>
        <w:keepLines w:val="0"/>
        <w:pageBreakBefore w:val="0"/>
        <w:widowControl/>
        <w:kinsoku/>
        <w:wordWrap/>
        <w:overflowPunct/>
        <w:topLinePunct w:val="0"/>
        <w:autoSpaceDE/>
        <w:autoSpaceDN/>
        <w:bidi w:val="0"/>
        <w:adjustRightInd/>
        <w:snapToGrid/>
        <w:spacing w:before="0" w:after="0"/>
        <w:textAlignment w:val="auto"/>
        <w:outlineLvl w:val="9"/>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14:paraId="55C6B652">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7DA35049">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C836E7D">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DCB8200">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14:paraId="0C86535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37C01E6">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2DF7AF7B">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9F7F6BE">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3B0712CC">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E065C6B">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57150546">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93FF8EA">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1239274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6018B06">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14DE31AD">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685BC93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14:paraId="52FD3E4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943D289">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6DDFBEDC">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B444005">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14:paraId="190F2821">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576F6B3">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22508575">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22844897">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14:paraId="7CF7D0E5">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bookmarkStart w:id="36" w:name="_Toc1453"/>
      <w:r>
        <w:rPr>
          <w:rFonts w:hint="default" w:ascii="Times New Roman" w:hAnsi="Times New Roman" w:eastAsia="黑体" w:cs="Times New Roman"/>
          <w:sz w:val="32"/>
          <w:szCs w:val="32"/>
        </w:rPr>
        <w:t>四、绩效评价指标分析</w:t>
      </w:r>
      <w:bookmarkEnd w:id="36"/>
    </w:p>
    <w:p w14:paraId="4DE72052">
      <w:pPr>
        <w:pStyle w:val="13"/>
        <w:keepNext w:val="0"/>
        <w:keepLines w:val="0"/>
        <w:pageBreakBefore w:val="0"/>
        <w:widowControl w:val="0"/>
        <w:kinsoku/>
        <w:wordWrap w:val="0"/>
        <w:overflowPunct/>
        <w:topLinePunct/>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_GB2312" w:cs="Times New Roman"/>
        </w:rPr>
      </w:pPr>
      <w:bookmarkStart w:id="37" w:name="_Toc32318"/>
      <w:r>
        <w:rPr>
          <w:rFonts w:hint="default" w:ascii="Times New Roman" w:hAnsi="Times New Roman" w:eastAsia="楷体_GB2312" w:cs="Times New Roman"/>
        </w:rPr>
        <w:t>（一）项目决策情况</w:t>
      </w:r>
      <w:bookmarkEnd w:id="37"/>
    </w:p>
    <w:p w14:paraId="37B9AB1F">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2C5668D6">
      <w:pPr>
        <w:pStyle w:val="24"/>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lang w:val="en-US" w:eastAsia="zh-CN"/>
        </w:rPr>
      </w:pPr>
      <w:bookmarkStart w:id="38" w:name="_Toc24345"/>
      <w:r>
        <w:rPr>
          <w:rFonts w:hint="default" w:ascii="Times New Roman" w:hAnsi="Times New Roman" w:eastAsia="仿宋_GB2312" w:cs="Times New Roman"/>
          <w:b/>
          <w:bCs/>
          <w:sz w:val="32"/>
          <w:szCs w:val="32"/>
          <w:lang w:val="en-US" w:eastAsia="zh-CN"/>
        </w:rPr>
        <w:t>1.项目立项</w:t>
      </w:r>
      <w:bookmarkEnd w:id="38"/>
    </w:p>
    <w:p w14:paraId="3740B306">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39" w:name="_Toc9358"/>
      <w:r>
        <w:rPr>
          <w:rFonts w:hint="default" w:ascii="Times New Roman" w:hAnsi="Times New Roman" w:eastAsia="仿宋_GB2312" w:cs="Times New Roman"/>
          <w:sz w:val="32"/>
          <w:szCs w:val="32"/>
          <w:lang w:val="en-US" w:eastAsia="zh-CN"/>
        </w:rPr>
        <w:t>（1）立项依据充分性</w:t>
      </w:r>
      <w:bookmarkEnd w:id="39"/>
    </w:p>
    <w:p w14:paraId="27F79295">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立项符合政策、与部门职责匹配、无重复立项</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的全部评价要点，故得满分。</w:t>
      </w:r>
    </w:p>
    <w:p w14:paraId="66AAE63E">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40" w:name="_Toc1295"/>
      <w:r>
        <w:rPr>
          <w:rFonts w:hint="default" w:ascii="Times New Roman" w:hAnsi="Times New Roman" w:eastAsia="仿宋_GB2312" w:cs="Times New Roman"/>
          <w:sz w:val="32"/>
          <w:szCs w:val="32"/>
          <w:lang w:val="en-US" w:eastAsia="zh-CN"/>
        </w:rPr>
        <w:t>（2）立项程序规范性</w:t>
      </w:r>
      <w:bookmarkEnd w:id="40"/>
    </w:p>
    <w:p w14:paraId="478D23C6">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项目申请、设立过程符合相关要求，严格按照审批流程准备符合要求的文件、材料；</w:t>
      </w:r>
      <w:r>
        <w:rPr>
          <w:rFonts w:hint="default" w:ascii="Times New Roman" w:hAnsi="Times New Roman" w:eastAsia="仿宋_GB2312" w:cs="Times New Roman"/>
          <w:sz w:val="32"/>
          <w:szCs w:val="32"/>
          <w:lang w:val="en-US" w:eastAsia="zh-CN"/>
        </w:rPr>
        <w:t>编制工作计划和经费预算，经过与部门项目分管领导沟通、筛选确定经费预算计划，最终通过部门集体决策会议审议确定立项，全程形成完整的审批文件、专家论证意见、会议纪要等资料，符合评分标准中</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程序合规、材料齐全、经过论证与集体决策</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的要求，故得满分。</w:t>
      </w:r>
    </w:p>
    <w:p w14:paraId="39FBC9F4">
      <w:pPr>
        <w:pStyle w:val="24"/>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lang w:val="en-US" w:eastAsia="zh-CN"/>
        </w:rPr>
      </w:pPr>
      <w:bookmarkStart w:id="41" w:name="_Toc22045"/>
      <w:r>
        <w:rPr>
          <w:rFonts w:hint="default" w:ascii="Times New Roman" w:hAnsi="Times New Roman" w:eastAsia="仿宋_GB2312" w:cs="Times New Roman"/>
          <w:b/>
          <w:bCs/>
          <w:sz w:val="32"/>
          <w:szCs w:val="32"/>
          <w:lang w:val="en-US" w:eastAsia="zh-CN"/>
        </w:rPr>
        <w:t>2.绩效目标</w:t>
      </w:r>
      <w:bookmarkEnd w:id="41"/>
    </w:p>
    <w:p w14:paraId="2E594761">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42" w:name="_Toc15281"/>
      <w:r>
        <w:rPr>
          <w:rFonts w:hint="default" w:ascii="Times New Roman" w:hAnsi="Times New Roman" w:eastAsia="仿宋_GB2312" w:cs="Times New Roman"/>
          <w:sz w:val="32"/>
          <w:szCs w:val="32"/>
          <w:lang w:val="en-US" w:eastAsia="zh-CN"/>
        </w:rPr>
        <w:t>（1）绩效目标合理性</w:t>
      </w:r>
      <w:bookmarkEnd w:id="42"/>
    </w:p>
    <w:p w14:paraId="46B83BBB">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rPr>
        <w:t>本项目结合</w:t>
      </w:r>
      <w:r>
        <w:rPr>
          <w:rFonts w:hint="eastAsia" w:eastAsia="仿宋_GB2312" w:cs="Times New Roman"/>
          <w:sz w:val="32"/>
          <w:szCs w:val="32"/>
          <w:lang w:val="en-US" w:eastAsia="zh-CN"/>
        </w:rPr>
        <w:t>水利工程建设和运行管理</w:t>
      </w:r>
      <w:r>
        <w:rPr>
          <w:rFonts w:hint="default" w:ascii="Times New Roman" w:hAnsi="Times New Roman" w:eastAsia="仿宋_GB2312" w:cs="Times New Roman"/>
          <w:sz w:val="32"/>
          <w:szCs w:val="32"/>
          <w:lang w:val="en-US"/>
        </w:rPr>
        <w:t>实际，围绕</w:t>
      </w:r>
      <w:r>
        <w:rPr>
          <w:rFonts w:hint="eastAsia" w:eastAsia="仿宋_GB2312" w:cs="Times New Roman"/>
          <w:sz w:val="32"/>
          <w:szCs w:val="32"/>
          <w:lang w:val="en-US" w:eastAsia="zh-CN"/>
        </w:rPr>
        <w:t>实现水资源优化配置，显著提高头屯河水资源利用率，配合工业供水管道工程的建设，极大提高城市和工业供水的保证率，有效保证单位工作正常开展的项目</w:t>
      </w:r>
      <w:r>
        <w:rPr>
          <w:rFonts w:hint="default" w:ascii="Times New Roman" w:hAnsi="Times New Roman" w:eastAsia="仿宋_GB2312" w:cs="Times New Roman"/>
          <w:sz w:val="32"/>
          <w:szCs w:val="32"/>
          <w:lang w:val="en-US"/>
        </w:rPr>
        <w:t>总体目标</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rPr>
        <w:t>设定</w:t>
      </w:r>
      <w:r>
        <w:rPr>
          <w:rFonts w:hint="eastAsia" w:eastAsia="仿宋_GB2312" w:cs="Times New Roman"/>
          <w:sz w:val="32"/>
          <w:szCs w:val="32"/>
          <w:lang w:val="en-US" w:eastAsia="zh-CN"/>
        </w:rPr>
        <w:t>“屯河楼庄子水库工程尾款结算、通过政府采购项目的实施，完成2025年办公设备、车辆维修、车辆保险、印刷费等货物、服务的采购及支付人员工资、办公费用等基本项目支出、按时支付专项债券利息及农发行还本付息、解决高边坡不稳定，有效整治滑坡、塌方、渗流等安全隐患等”</w:t>
      </w:r>
      <w:r>
        <w:rPr>
          <w:rFonts w:hint="default" w:ascii="Times New Roman" w:hAnsi="Times New Roman" w:eastAsia="仿宋_GB2312" w:cs="Times New Roman"/>
          <w:sz w:val="32"/>
          <w:szCs w:val="32"/>
          <w:lang w:val="en-US"/>
        </w:rPr>
        <w:t>绩效目标，具体明确了</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rPr>
        <w:t>年度完成</w:t>
      </w:r>
      <w:r>
        <w:rPr>
          <w:rFonts w:hint="eastAsia" w:ascii="Times New Roman" w:hAnsi="Times New Roman" w:eastAsia="仿宋_GB2312" w:cs="Times New Roman"/>
          <w:sz w:val="32"/>
          <w:szCs w:val="32"/>
          <w:lang w:val="en-US" w:eastAsia="zh-CN"/>
        </w:rPr>
        <w:t>各</w:t>
      </w:r>
      <w:r>
        <w:rPr>
          <w:rFonts w:hint="default" w:ascii="Times New Roman" w:hAnsi="Times New Roman" w:eastAsia="仿宋_GB2312" w:cs="Times New Roman"/>
          <w:sz w:val="32"/>
          <w:szCs w:val="32"/>
          <w:lang w:val="en-US"/>
        </w:rPr>
        <w:t>项任务、达成</w:t>
      </w:r>
      <w:r>
        <w:rPr>
          <w:rFonts w:hint="eastAsia" w:eastAsia="仿宋_GB2312" w:cs="Times New Roman"/>
          <w:sz w:val="32"/>
          <w:szCs w:val="32"/>
          <w:lang w:val="en-US" w:eastAsia="zh-CN"/>
        </w:rPr>
        <w:t>楼庄子水库顺利验收并正常开展运行管理，实现水资源优化配置，配合工业供水管道工程的建设，极大提高城市和工业供水的保证率</w:t>
      </w:r>
      <w:r>
        <w:rPr>
          <w:rFonts w:hint="default" w:ascii="Times New Roman" w:hAnsi="Times New Roman" w:eastAsia="仿宋_GB2312" w:cs="Times New Roman"/>
          <w:sz w:val="32"/>
          <w:szCs w:val="32"/>
          <w:lang w:val="en-US"/>
        </w:rPr>
        <w:t>效果</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rPr>
        <w:t>的核心内容。目标设定依据充分，既参考了</w:t>
      </w:r>
      <w:r>
        <w:rPr>
          <w:rFonts w:hint="eastAsia" w:ascii="Times New Roman" w:hAnsi="Times New Roman" w:eastAsia="仿宋_GB2312" w:cs="Times New Roman"/>
          <w:sz w:val="32"/>
          <w:szCs w:val="32"/>
          <w:lang w:val="en-US" w:eastAsia="zh-CN"/>
        </w:rPr>
        <w:t>楼庄子供水工程覆盖规模与乌昌用水需求</w:t>
      </w:r>
      <w:r>
        <w:rPr>
          <w:rFonts w:hint="default" w:ascii="Times New Roman" w:hAnsi="Times New Roman" w:eastAsia="仿宋_GB2312" w:cs="Times New Roman"/>
          <w:sz w:val="32"/>
          <w:szCs w:val="32"/>
          <w:lang w:val="en-US"/>
        </w:rPr>
        <w:t>，又匹配了部门年度工作重点，未超出项目实施的技术、资源、时间约束。绩效目标与项目实际工作内容高度相关（如：</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rPr>
        <w:t>农发行借款还本付息项目成本</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rPr>
        <w:t>目标</w:t>
      </w:r>
      <w:r>
        <w:rPr>
          <w:rFonts w:hint="eastAsia" w:ascii="Times New Roman" w:hAnsi="Times New Roman" w:eastAsia="仿宋_GB2312" w:cs="Times New Roman"/>
          <w:sz w:val="32"/>
          <w:szCs w:val="32"/>
          <w:lang w:val="en-US" w:eastAsia="zh-CN"/>
        </w:rPr>
        <w:t>明确</w:t>
      </w:r>
      <w:r>
        <w:rPr>
          <w:rFonts w:hint="default" w:ascii="Times New Roman" w:hAnsi="Times New Roman" w:eastAsia="仿宋_GB2312" w:cs="Times New Roman"/>
          <w:sz w:val="32"/>
          <w:szCs w:val="32"/>
          <w:lang w:val="en-US"/>
        </w:rPr>
        <w:t>直接服务于</w:t>
      </w:r>
      <w:r>
        <w:rPr>
          <w:rFonts w:hint="eastAsia" w:ascii="Times New Roman" w:hAnsi="Times New Roman" w:eastAsia="仿宋_GB2312" w:cs="Times New Roman"/>
          <w:sz w:val="32"/>
          <w:szCs w:val="32"/>
          <w:lang w:val="en-US" w:eastAsia="zh-CN"/>
        </w:rPr>
        <w:t>还本付息的强制性</w:t>
      </w:r>
      <w:r>
        <w:rPr>
          <w:rFonts w:hint="default" w:ascii="Times New Roman" w:hAnsi="Times New Roman" w:eastAsia="仿宋_GB2312" w:cs="Times New Roman"/>
          <w:sz w:val="32"/>
          <w:szCs w:val="32"/>
          <w:lang w:val="en-US"/>
        </w:rPr>
        <w:t>），且预算资金与目标投资额精准匹配（如：目标中</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rPr>
        <w:t>水库枢纽区安全防治工程成本</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rPr>
        <w:t>对应预算</w:t>
      </w:r>
      <w:r>
        <w:rPr>
          <w:rFonts w:hint="eastAsia" w:ascii="Times New Roman" w:hAnsi="Times New Roman" w:eastAsia="仿宋_GB2312" w:cs="Times New Roman"/>
          <w:sz w:val="32"/>
          <w:szCs w:val="32"/>
          <w:lang w:val="en-US" w:eastAsia="zh-CN"/>
        </w:rPr>
        <w:t>498.71</w:t>
      </w:r>
      <w:r>
        <w:rPr>
          <w:rFonts w:hint="default" w:ascii="Times New Roman" w:hAnsi="Times New Roman" w:eastAsia="仿宋_GB2312" w:cs="Times New Roman"/>
          <w:sz w:val="32"/>
          <w:szCs w:val="32"/>
          <w:lang w:val="en-US"/>
        </w:rPr>
        <w:t>万元）。完全符合评分标准中</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rPr>
        <w:t>目标有依据、与实际相关、效益符合正常业绩水平、与预算匹配</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rPr>
        <w:t>的评价要点，</w:t>
      </w:r>
      <w:r>
        <w:rPr>
          <w:rFonts w:hint="default" w:ascii="Times New Roman" w:hAnsi="Times New Roman" w:eastAsia="仿宋_GB2312" w:cs="Times New Roman"/>
          <w:sz w:val="32"/>
          <w:szCs w:val="32"/>
          <w:lang w:val="en-US" w:eastAsia="zh-CN"/>
        </w:rPr>
        <w:t>故得满分。</w:t>
      </w:r>
    </w:p>
    <w:p w14:paraId="1314A515">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43" w:name="_Toc12145"/>
      <w:r>
        <w:rPr>
          <w:rFonts w:hint="default" w:ascii="Times New Roman" w:hAnsi="Times New Roman" w:eastAsia="仿宋_GB2312" w:cs="Times New Roman"/>
          <w:sz w:val="32"/>
          <w:szCs w:val="32"/>
          <w:lang w:val="en-US" w:eastAsia="zh-CN"/>
        </w:rPr>
        <w:t>（2）绩效指标明确性</w:t>
      </w:r>
      <w:bookmarkEnd w:id="43"/>
    </w:p>
    <w:p w14:paraId="174F62C1">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项目将总体绩效目标细化分解为</w:t>
      </w:r>
      <w:r>
        <w:rPr>
          <w:rFonts w:hint="eastAsia" w:eastAsia="仿宋_GB2312" w:cs="Times New Roman"/>
          <w:sz w:val="32"/>
          <w:szCs w:val="32"/>
          <w:lang w:val="en-US" w:eastAsia="zh-CN"/>
        </w:rPr>
        <w:t>产出</w:t>
      </w:r>
      <w:r>
        <w:rPr>
          <w:rFonts w:hint="default" w:ascii="Times New Roman" w:hAnsi="Times New Roman" w:eastAsia="仿宋_GB2312" w:cs="Times New Roman"/>
          <w:sz w:val="32"/>
          <w:szCs w:val="32"/>
          <w:lang w:val="en-US" w:eastAsia="zh-CN"/>
        </w:rPr>
        <w:t>指标，如：数量指标</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支付农发行借款本金及利息次数</w:t>
      </w:r>
      <w:r>
        <w:rPr>
          <w:rFonts w:hint="eastAsia" w:eastAsia="仿宋_GB2312" w:cs="Times New Roman"/>
          <w:sz w:val="32"/>
          <w:szCs w:val="32"/>
          <w:lang w:val="en-US" w:eastAsia="zh-CN"/>
        </w:rPr>
        <w:t>、工资发放人数、工资发放次数、主动防护网面积≥30000平方米等”；</w:t>
      </w:r>
      <w:r>
        <w:rPr>
          <w:rFonts w:hint="default" w:ascii="Times New Roman" w:hAnsi="Times New Roman" w:eastAsia="仿宋_GB2312" w:cs="Times New Roman"/>
          <w:sz w:val="32"/>
          <w:szCs w:val="32"/>
          <w:lang w:val="en-US" w:eastAsia="zh-CN"/>
        </w:rPr>
        <w:t>质量指标</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还本付息支付准确率</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0%</w:t>
      </w:r>
      <w:r>
        <w:rPr>
          <w:rFonts w:hint="eastAsia" w:eastAsia="仿宋_GB2312" w:cs="Times New Roman"/>
          <w:sz w:val="32"/>
          <w:szCs w:val="32"/>
          <w:lang w:val="en-US" w:eastAsia="zh-CN"/>
        </w:rPr>
        <w:t>、竣工验收合格率=100%”；时效指标“</w:t>
      </w:r>
      <w:r>
        <w:rPr>
          <w:rFonts w:hint="default" w:ascii="Times New Roman" w:hAnsi="Times New Roman" w:eastAsia="仿宋_GB2312" w:cs="Times New Roman"/>
          <w:sz w:val="32"/>
          <w:szCs w:val="32"/>
          <w:lang w:val="en-US" w:eastAsia="zh-CN"/>
        </w:rPr>
        <w:t>还本付息项目计划完成时间=2025年12月20日之前</w:t>
      </w:r>
      <w:r>
        <w:rPr>
          <w:rFonts w:hint="eastAsia" w:eastAsia="仿宋_GB2312" w:cs="Times New Roman"/>
          <w:sz w:val="32"/>
          <w:szCs w:val="32"/>
          <w:lang w:val="en-US" w:eastAsia="zh-CN"/>
        </w:rPr>
        <w:t>、工程主体类结算尾款支付率≥95%”；社会</w:t>
      </w:r>
      <w:r>
        <w:rPr>
          <w:rFonts w:hint="default" w:ascii="Times New Roman" w:hAnsi="Times New Roman" w:eastAsia="仿宋_GB2312" w:cs="Times New Roman"/>
          <w:sz w:val="32"/>
          <w:szCs w:val="32"/>
          <w:lang w:val="en-US" w:eastAsia="zh-CN"/>
        </w:rPr>
        <w:t>效益指标</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防止专项债逾期付息导致违约风险率等可量化、可衡量的三级指标，每个指标均明确了具体指标值（如：</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工程主体类结算尾款支付率≥95%</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防止专项债逾期付息导致违约风险率</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lang w:val="en-US" w:eastAsia="zh-CN"/>
        </w:rPr>
        <w:t>0%</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），且指标值与项目目标任务数一一对应（如：</w:t>
      </w:r>
      <w:r>
        <w:rPr>
          <w:rFonts w:hint="eastAsia" w:eastAsia="仿宋_GB2312" w:cs="Times New Roman"/>
          <w:sz w:val="32"/>
          <w:szCs w:val="32"/>
          <w:lang w:val="en-US" w:eastAsia="zh-CN"/>
        </w:rPr>
        <w:t>质量指标“</w:t>
      </w:r>
      <w:r>
        <w:rPr>
          <w:rFonts w:hint="default" w:ascii="Times New Roman" w:hAnsi="Times New Roman" w:eastAsia="仿宋_GB2312" w:cs="Times New Roman"/>
          <w:sz w:val="32"/>
          <w:szCs w:val="32"/>
          <w:lang w:val="en-US" w:eastAsia="zh-CN"/>
        </w:rPr>
        <w:t>还本付息支付准确率</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对应数量指标</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支付农发行借款本金及利息次数</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）。指标设定清晰无歧义，既涵盖了产出</w:t>
      </w:r>
      <w:r>
        <w:rPr>
          <w:rFonts w:hint="eastAsia" w:eastAsia="仿宋_GB2312" w:cs="Times New Roman"/>
          <w:sz w:val="32"/>
          <w:szCs w:val="32"/>
          <w:lang w:val="en-US" w:eastAsia="zh-CN"/>
        </w:rPr>
        <w:t>指标</w:t>
      </w:r>
      <w:r>
        <w:rPr>
          <w:rFonts w:hint="default" w:ascii="Times New Roman" w:hAnsi="Times New Roman" w:eastAsia="仿宋_GB2312" w:cs="Times New Roman"/>
          <w:sz w:val="32"/>
          <w:szCs w:val="32"/>
          <w:lang w:val="en-US" w:eastAsia="zh-CN"/>
        </w:rPr>
        <w:t>（如：支付农发行借款本金及利息次数、支付专项债券利息次数），也覆盖了</w:t>
      </w:r>
      <w:r>
        <w:rPr>
          <w:rFonts w:hint="eastAsia" w:eastAsia="仿宋_GB2312" w:cs="Times New Roman"/>
          <w:sz w:val="32"/>
          <w:szCs w:val="32"/>
          <w:lang w:val="en-US" w:eastAsia="zh-CN"/>
        </w:rPr>
        <w:t>效益指标</w:t>
      </w:r>
      <w:r>
        <w:rPr>
          <w:rFonts w:hint="default" w:ascii="Times New Roman" w:hAnsi="Times New Roman" w:eastAsia="仿宋_GB2312" w:cs="Times New Roman"/>
          <w:sz w:val="32"/>
          <w:szCs w:val="32"/>
          <w:lang w:val="en-US" w:eastAsia="zh-CN"/>
        </w:rPr>
        <w:t>（如：防止专项债逾期付息导致违约风险率），满足评分标准中</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指标细化分解、可衡量、与任务数对应</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1D5ECDF4">
      <w:pPr>
        <w:pStyle w:val="24"/>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lang w:val="en-US" w:eastAsia="zh-CN"/>
        </w:rPr>
      </w:pPr>
      <w:bookmarkStart w:id="44" w:name="_Toc6828"/>
      <w:r>
        <w:rPr>
          <w:rFonts w:hint="default" w:ascii="Times New Roman" w:hAnsi="Times New Roman" w:eastAsia="仿宋_GB2312" w:cs="Times New Roman"/>
          <w:b/>
          <w:bCs/>
          <w:sz w:val="32"/>
          <w:szCs w:val="32"/>
          <w:lang w:val="en-US" w:eastAsia="zh-CN"/>
        </w:rPr>
        <w:t>3.资金投入</w:t>
      </w:r>
      <w:bookmarkEnd w:id="44"/>
    </w:p>
    <w:p w14:paraId="417959E2">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45" w:name="_Toc10680"/>
      <w:r>
        <w:rPr>
          <w:rFonts w:hint="default" w:ascii="Times New Roman" w:hAnsi="Times New Roman" w:eastAsia="仿宋_GB2312" w:cs="Times New Roman"/>
          <w:sz w:val="32"/>
          <w:szCs w:val="32"/>
          <w:lang w:val="en-US" w:eastAsia="zh-CN"/>
        </w:rPr>
        <w:t>（1）预算编制科学性</w:t>
      </w:r>
      <w:bookmarkEnd w:id="45"/>
    </w:p>
    <w:p w14:paraId="534E5152">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本项目预算编制以</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精准测算、按需配置</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为原则，结合项目实施方案及具体任务清单开展，参考既往同类项目支出水平及当前物价水平，测算支出</w:t>
      </w:r>
      <w:r>
        <w:rPr>
          <w:rFonts w:hint="eastAsia" w:eastAsia="仿宋_GB2312" w:cs="Times New Roman"/>
          <w:sz w:val="32"/>
          <w:szCs w:val="32"/>
          <w:highlight w:val="none"/>
          <w:lang w:val="en-US" w:eastAsia="zh-CN"/>
        </w:rPr>
        <w:t>3334.63</w:t>
      </w:r>
      <w:r>
        <w:rPr>
          <w:rFonts w:hint="default" w:ascii="Times New Roman" w:hAnsi="Times New Roman" w:eastAsia="仿宋_GB2312" w:cs="Times New Roman"/>
          <w:sz w:val="32"/>
          <w:szCs w:val="32"/>
          <w:highlight w:val="none"/>
          <w:lang w:eastAsia="zh-CN"/>
        </w:rPr>
        <w:t>万元。预算编制过程经过业务科室、财务部门双重审核，无漏项、超项情况，预算内容与项目</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lang w:val="en-US"/>
        </w:rPr>
        <w:t>围绕</w:t>
      </w:r>
      <w:r>
        <w:rPr>
          <w:rFonts w:hint="eastAsia" w:eastAsia="仿宋_GB2312" w:cs="Times New Roman"/>
          <w:sz w:val="32"/>
          <w:szCs w:val="32"/>
          <w:lang w:val="en-US" w:eastAsia="zh-CN"/>
        </w:rPr>
        <w:t>实现水资源优化配置，显著提高头屯河水资源利用率，配合工业供水管道工程的建设，极大提高城市和工业供水的保证率，有效保证单位工作正常开展核心任务</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支付农发行借款本息</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专项债券利息、支付楼庄子水库工程尾款和日常维修维护费用的</w:t>
      </w:r>
      <w:r>
        <w:rPr>
          <w:rFonts w:hint="default" w:ascii="Times New Roman" w:hAnsi="Times New Roman" w:eastAsia="仿宋_GB2312" w:cs="Times New Roman"/>
          <w:sz w:val="32"/>
          <w:szCs w:val="32"/>
          <w:highlight w:val="none"/>
          <w:lang w:eastAsia="zh-CN"/>
        </w:rPr>
        <w:t>产出目标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完全匹配，资金额度与各阶段工作任务量精准适配，符合评分标准中</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经过科学论证、内容与项目匹配、额度依据充分、与工作任务匹配</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的全部评价要点</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7C583AFC">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46" w:name="_Toc24011"/>
      <w:r>
        <w:rPr>
          <w:rFonts w:hint="default" w:ascii="Times New Roman" w:hAnsi="Times New Roman" w:eastAsia="仿宋_GB2312" w:cs="Times New Roman"/>
          <w:sz w:val="32"/>
          <w:szCs w:val="32"/>
          <w:highlight w:val="none"/>
          <w:lang w:val="en-US" w:eastAsia="zh-CN"/>
        </w:rPr>
        <w:t>（2）资金分配合理性</w:t>
      </w:r>
      <w:bookmarkEnd w:id="46"/>
    </w:p>
    <w:p w14:paraId="7CEC089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本项目的资金分配遵循了公平、公正、透明的原则，确保了项目资源的合理配置与高效利用。在资金分配过程中，充分考虑了项目的实际需求与目标，对不同阶段、不同任务的资金进行了科学的规划与安排。</w:t>
      </w:r>
    </w:p>
    <w:p w14:paraId="7DE5543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14:paraId="7C338953">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0C115E63">
      <w:pPr>
        <w:pStyle w:val="13"/>
        <w:keepNext w:val="0"/>
        <w:keepLines w:val="0"/>
        <w:pageBreakBefore w:val="0"/>
        <w:widowControl w:val="0"/>
        <w:numPr>
          <w:ilvl w:val="0"/>
          <w:numId w:val="0"/>
        </w:numPr>
        <w:kinsoku/>
        <w:wordWrap w:val="0"/>
        <w:overflowPunct/>
        <w:topLinePunct/>
        <w:autoSpaceDE/>
        <w:autoSpaceDN/>
        <w:bidi w:val="0"/>
        <w:adjustRightInd/>
        <w:snapToGrid/>
        <w:spacing w:before="0" w:after="0" w:line="560" w:lineRule="exact"/>
        <w:ind w:firstLine="643" w:firstLineChars="200"/>
        <w:jc w:val="both"/>
        <w:textAlignment w:val="auto"/>
        <w:outlineLvl w:val="1"/>
        <w:rPr>
          <w:rFonts w:hint="default" w:ascii="Times New Roman" w:hAnsi="Times New Roman" w:eastAsia="楷体" w:cs="Times New Roman"/>
        </w:rPr>
      </w:pPr>
      <w:bookmarkStart w:id="47" w:name="_Toc25505"/>
      <w:r>
        <w:rPr>
          <w:rFonts w:hint="eastAsia" w:ascii="Times New Roman" w:hAnsi="Times New Roman" w:eastAsia="楷体" w:cs="Times New Roman"/>
          <w:lang w:eastAsia="zh-CN"/>
        </w:rPr>
        <w:t>（</w:t>
      </w:r>
      <w:r>
        <w:rPr>
          <w:rFonts w:hint="eastAsia" w:ascii="Times New Roman" w:hAnsi="Times New Roman" w:eastAsia="楷体" w:cs="Times New Roman"/>
          <w:lang w:val="en-US" w:eastAsia="zh-CN"/>
        </w:rPr>
        <w:t>二</w:t>
      </w:r>
      <w:r>
        <w:rPr>
          <w:rFonts w:hint="eastAsia" w:ascii="Times New Roman" w:hAnsi="Times New Roman" w:eastAsia="楷体" w:cs="Times New Roman"/>
          <w:lang w:eastAsia="zh-CN"/>
        </w:rPr>
        <w:t>）</w:t>
      </w:r>
      <w:r>
        <w:rPr>
          <w:rFonts w:hint="default" w:ascii="Times New Roman" w:hAnsi="Times New Roman" w:eastAsia="楷体" w:cs="Times New Roman"/>
        </w:rPr>
        <w:t>项目过程情况</w:t>
      </w:r>
      <w:bookmarkEnd w:id="47"/>
    </w:p>
    <w:p w14:paraId="5DDD0442">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lang w:val="en-US" w:eastAsia="zh-CN"/>
        </w:rPr>
        <w:t>个</w:t>
      </w:r>
      <w:r>
        <w:rPr>
          <w:rFonts w:hint="default" w:ascii="Times New Roman" w:hAnsi="Times New Roman" w:eastAsia="仿宋_GB2312" w:cs="Times New Roman"/>
          <w:sz w:val="32"/>
          <w:szCs w:val="32"/>
          <w:lang w:val="en-US" w:eastAsia="zh-CN"/>
        </w:rPr>
        <w:t>三级指标构成，权重分值为20分，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46EA3E8">
      <w:pPr>
        <w:pStyle w:val="24"/>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lang w:val="en-US" w:eastAsia="zh-CN"/>
        </w:rPr>
      </w:pPr>
      <w:bookmarkStart w:id="48" w:name="_Toc23265"/>
      <w:r>
        <w:rPr>
          <w:rFonts w:hint="default" w:ascii="Times New Roman" w:hAnsi="Times New Roman" w:eastAsia="仿宋_GB2312" w:cs="Times New Roman"/>
          <w:b/>
          <w:bCs/>
          <w:sz w:val="32"/>
          <w:szCs w:val="32"/>
          <w:lang w:val="en-US" w:eastAsia="zh-CN"/>
        </w:rPr>
        <w:t>1.资金管理</w:t>
      </w:r>
      <w:bookmarkEnd w:id="48"/>
    </w:p>
    <w:p w14:paraId="3BB4B2CD">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49" w:name="_Toc19976"/>
      <w:r>
        <w:rPr>
          <w:rFonts w:hint="default" w:ascii="Times New Roman" w:hAnsi="Times New Roman" w:eastAsia="仿宋_GB2312" w:cs="Times New Roman"/>
          <w:sz w:val="32"/>
          <w:szCs w:val="32"/>
          <w:lang w:val="en-US" w:eastAsia="zh-CN"/>
        </w:rPr>
        <w:t>（1）资金到位率</w:t>
      </w:r>
      <w:bookmarkEnd w:id="49"/>
    </w:p>
    <w:p w14:paraId="474C0A98">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本</w:t>
      </w:r>
      <w:r>
        <w:rPr>
          <w:rFonts w:hint="default" w:ascii="Times New Roman" w:hAnsi="Times New Roman" w:eastAsia="仿宋_GB2312" w:cs="Times New Roman"/>
          <w:sz w:val="32"/>
          <w:szCs w:val="32"/>
          <w:highlight w:val="none"/>
          <w:lang w:val="en-US" w:eastAsia="zh-CN"/>
        </w:rPr>
        <w:t>项目总投资</w:t>
      </w:r>
      <w:r>
        <w:rPr>
          <w:rFonts w:hint="eastAsia" w:eastAsia="仿宋_GB2312" w:cs="Times New Roman"/>
          <w:sz w:val="32"/>
          <w:szCs w:val="32"/>
          <w:highlight w:val="none"/>
          <w:lang w:val="en-US" w:eastAsia="zh-CN"/>
        </w:rPr>
        <w:t>3334.63</w:t>
      </w:r>
      <w:r>
        <w:rPr>
          <w:rFonts w:hint="default" w:ascii="Times New Roman" w:hAnsi="Times New Roman" w:eastAsia="仿宋_GB2312" w:cs="Times New Roman"/>
          <w:sz w:val="32"/>
          <w:szCs w:val="32"/>
          <w:highlight w:val="none"/>
          <w:lang w:val="en-US" w:eastAsia="zh-CN"/>
        </w:rPr>
        <w:t>万元，实际到位资金</w:t>
      </w:r>
      <w:r>
        <w:rPr>
          <w:rFonts w:hint="eastAsia" w:eastAsia="仿宋_GB2312" w:cs="Times New Roman"/>
          <w:sz w:val="32"/>
          <w:szCs w:val="32"/>
          <w:highlight w:val="none"/>
          <w:lang w:val="en-US" w:eastAsia="zh-CN"/>
        </w:rPr>
        <w:t>3331.28万元，资金</w:t>
      </w:r>
      <w:r>
        <w:rPr>
          <w:rFonts w:hint="default" w:ascii="Times New Roman" w:hAnsi="Times New Roman" w:eastAsia="仿宋_GB2312" w:cs="Times New Roman"/>
          <w:sz w:val="32"/>
          <w:szCs w:val="32"/>
          <w:highlight w:val="none"/>
          <w:lang w:val="en-US" w:eastAsia="zh-CN"/>
        </w:rPr>
        <w:t>到位率</w:t>
      </w:r>
      <w:r>
        <w:rPr>
          <w:rFonts w:hint="eastAsia" w:eastAsia="仿宋_GB2312" w:cs="Times New Roman"/>
          <w:sz w:val="32"/>
          <w:szCs w:val="32"/>
          <w:highlight w:val="none"/>
          <w:lang w:val="en-US" w:eastAsia="zh-CN"/>
        </w:rPr>
        <w:t>99.9</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，该指标满分为4分，根据评分标准得4分。</w:t>
      </w:r>
    </w:p>
    <w:p w14:paraId="57890ECB">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50" w:name="_Toc20558"/>
      <w:r>
        <w:rPr>
          <w:rFonts w:hint="default" w:ascii="Times New Roman" w:hAnsi="Times New Roman" w:eastAsia="仿宋_GB2312" w:cs="Times New Roman"/>
          <w:sz w:val="32"/>
          <w:szCs w:val="32"/>
          <w:highlight w:val="none"/>
          <w:lang w:val="en-US" w:eastAsia="zh-CN"/>
        </w:rPr>
        <w:t>（2）预算执行率</w:t>
      </w:r>
      <w:bookmarkEnd w:id="50"/>
    </w:p>
    <w:p w14:paraId="52BCAC57">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本项目全年预算</w:t>
      </w:r>
      <w:r>
        <w:rPr>
          <w:rFonts w:hint="eastAsia" w:ascii="Times New Roman" w:hAnsi="Times New Roman" w:eastAsia="仿宋_GB2312" w:cs="Times New Roman"/>
          <w:sz w:val="32"/>
          <w:szCs w:val="32"/>
          <w:highlight w:val="none"/>
          <w:lang w:val="en-US" w:eastAsia="zh-CN"/>
        </w:rPr>
        <w:t>3334.63万元，全年实际</w:t>
      </w:r>
      <w:r>
        <w:rPr>
          <w:rFonts w:hint="default" w:ascii="Times New Roman" w:hAnsi="Times New Roman" w:eastAsia="仿宋_GB2312" w:cs="Times New Roman"/>
          <w:sz w:val="32"/>
          <w:szCs w:val="32"/>
          <w:highlight w:val="none"/>
          <w:lang w:val="en-US" w:eastAsia="zh-CN"/>
        </w:rPr>
        <w:t>支出</w:t>
      </w:r>
      <w:r>
        <w:rPr>
          <w:rFonts w:hint="eastAsia" w:ascii="Times New Roman" w:hAnsi="Times New Roman" w:eastAsia="仿宋_GB2312" w:cs="Times New Roman"/>
          <w:sz w:val="32"/>
          <w:szCs w:val="32"/>
          <w:highlight w:val="none"/>
          <w:lang w:val="en-US" w:eastAsia="zh-CN"/>
        </w:rPr>
        <w:t>3331.28</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99.9</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，该指标满分为</w:t>
      </w:r>
      <w:r>
        <w:rPr>
          <w:rFonts w:hint="eastAsia" w:eastAsia="仿宋_GB2312" w:cs="Times New Roman"/>
          <w:sz w:val="32"/>
          <w:szCs w:val="32"/>
          <w:highlight w:val="none"/>
          <w:lang w:val="en-US" w:eastAsia="zh-CN"/>
        </w:rPr>
        <w:t>4</w:t>
      </w:r>
      <w:r>
        <w:rPr>
          <w:rFonts w:hint="eastAsia" w:ascii="Times New Roman" w:hAnsi="Times New Roman" w:eastAsia="仿宋_GB2312" w:cs="Times New Roman"/>
          <w:sz w:val="32"/>
          <w:szCs w:val="32"/>
          <w:highlight w:val="none"/>
          <w:lang w:val="en-US" w:eastAsia="zh-CN"/>
        </w:rPr>
        <w:t>分，根据评分标准得4分。</w:t>
      </w:r>
    </w:p>
    <w:p w14:paraId="6D2046FF">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bookmarkStart w:id="51" w:name="_Toc17145"/>
      <w:r>
        <w:rPr>
          <w:rFonts w:hint="default" w:ascii="Times New Roman" w:hAnsi="Times New Roman" w:eastAsia="仿宋_GB2312" w:cs="Times New Roman"/>
          <w:sz w:val="32"/>
          <w:szCs w:val="32"/>
          <w:lang w:val="en-US" w:eastAsia="zh-CN"/>
        </w:rPr>
        <w:t>（3）资金使用合规性</w:t>
      </w:r>
      <w:bookmarkEnd w:id="51"/>
    </w:p>
    <w:p w14:paraId="54245677">
      <w:pPr>
        <w:pStyle w:val="24"/>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52" w:name="_Toc6256"/>
      <w:r>
        <w:rPr>
          <w:rFonts w:hint="default" w:ascii="Times New Roman" w:hAnsi="Times New Roman" w:eastAsia="仿宋_GB2312" w:cs="Times New Roman"/>
          <w:sz w:val="32"/>
          <w:szCs w:val="32"/>
          <w:highlight w:val="none"/>
          <w:lang w:eastAsia="zh-CN"/>
        </w:rPr>
        <w:t>项目资金使用严格遵守《中华人民共和国预算法》《</w:t>
      </w:r>
      <w:r>
        <w:rPr>
          <w:rFonts w:hint="eastAsia" w:eastAsia="仿宋_GB2312" w:cs="Times New Roman"/>
          <w:sz w:val="32"/>
          <w:szCs w:val="32"/>
          <w:highlight w:val="none"/>
          <w:lang w:val="en-US" w:eastAsia="zh-CN"/>
        </w:rPr>
        <w:t>项目</w:t>
      </w:r>
      <w:r>
        <w:rPr>
          <w:rFonts w:hint="default" w:ascii="Times New Roman" w:hAnsi="Times New Roman" w:eastAsia="仿宋_GB2312" w:cs="Times New Roman"/>
          <w:sz w:val="32"/>
          <w:szCs w:val="32"/>
          <w:highlight w:val="none"/>
          <w:lang w:eastAsia="zh-CN"/>
        </w:rPr>
        <w:t>专项资金管理办法》《</w:t>
      </w:r>
      <w:r>
        <w:rPr>
          <w:rFonts w:hint="eastAsia" w:eastAsia="仿宋_GB2312" w:cs="Times New Roman"/>
          <w:sz w:val="32"/>
          <w:szCs w:val="32"/>
          <w:highlight w:val="none"/>
          <w:lang w:val="en-US" w:eastAsia="zh-CN"/>
        </w:rPr>
        <w:t>事业单位财务规则</w:t>
      </w:r>
      <w:r>
        <w:rPr>
          <w:rFonts w:hint="default" w:ascii="Times New Roman" w:hAnsi="Times New Roman" w:eastAsia="仿宋_GB2312" w:cs="Times New Roman"/>
          <w:sz w:val="32"/>
          <w:szCs w:val="32"/>
          <w:highlight w:val="none"/>
          <w:lang w:eastAsia="zh-CN"/>
        </w:rPr>
        <w:t>》等法律法规及财务制度，全程规范可控：①资金拨付均履行</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申请-审核-审批</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流程，附完整的合同、发票、验收单等佐证资料，</w:t>
      </w:r>
      <w:r>
        <w:rPr>
          <w:rFonts w:hint="eastAsia" w:eastAsia="仿宋_GB2312" w:cs="Times New Roman"/>
          <w:sz w:val="32"/>
          <w:szCs w:val="32"/>
          <w:highlight w:val="none"/>
          <w:lang w:val="en-US" w:eastAsia="zh-CN"/>
        </w:rPr>
        <w:t>不存在</w:t>
      </w:r>
      <w:r>
        <w:rPr>
          <w:rFonts w:hint="default" w:ascii="Times New Roman" w:hAnsi="Times New Roman" w:eastAsia="仿宋_GB2312" w:cs="Times New Roman"/>
          <w:sz w:val="32"/>
          <w:szCs w:val="32"/>
          <w:highlight w:val="none"/>
          <w:lang w:eastAsia="zh-CN"/>
        </w:rPr>
        <w:t>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符合财经法规、审批手续完备、用途合规、无违规行为</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的全部要求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4ACAF30A">
      <w:pPr>
        <w:pStyle w:val="24"/>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3" w:firstLineChars="200"/>
        <w:textAlignment w:val="auto"/>
        <w:outlineLvl w:val="2"/>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bookmarkEnd w:id="52"/>
    </w:p>
    <w:p w14:paraId="7C841DA9">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highlight w:val="none"/>
          <w:lang w:val="en-US" w:eastAsia="zh-CN"/>
        </w:rPr>
      </w:pPr>
      <w:bookmarkStart w:id="53" w:name="_Toc470"/>
      <w:r>
        <w:rPr>
          <w:rFonts w:hint="default" w:ascii="Times New Roman" w:hAnsi="Times New Roman" w:eastAsia="仿宋_GB2312" w:cs="Times New Roman"/>
          <w:sz w:val="32"/>
          <w:szCs w:val="32"/>
          <w:highlight w:val="none"/>
          <w:lang w:val="en-US" w:eastAsia="zh-CN"/>
        </w:rPr>
        <w:t>（1）管理制度健全性</w:t>
      </w:r>
      <w:bookmarkEnd w:id="53"/>
    </w:p>
    <w:p w14:paraId="78F9CD60">
      <w:pPr>
        <w:pStyle w:val="24"/>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0" w:firstLineChars="200"/>
        <w:textAlignment w:val="auto"/>
        <w:outlineLvl w:val="2"/>
        <w:rPr>
          <w:rFonts w:hint="default" w:ascii="Times New Roman" w:hAnsi="Times New Roman" w:eastAsia="仿宋_GB2312" w:cs="Times New Roman"/>
          <w:sz w:val="32"/>
          <w:szCs w:val="32"/>
          <w:highlight w:val="none"/>
          <w:lang w:eastAsia="zh-CN"/>
        </w:rPr>
      </w:pPr>
      <w:bookmarkStart w:id="54" w:name="_Toc29107"/>
      <w:r>
        <w:rPr>
          <w:rFonts w:hint="default" w:ascii="Times New Roman" w:hAnsi="Times New Roman" w:eastAsia="仿宋_GB2312" w:cs="Times New Roman"/>
          <w:sz w:val="32"/>
          <w:szCs w:val="32"/>
          <w:highlight w:val="none"/>
          <w:lang w:eastAsia="zh-CN"/>
        </w:rPr>
        <w:t>项目实施单位已制定《</w:t>
      </w:r>
      <w:r>
        <w:rPr>
          <w:rFonts w:hint="eastAsia" w:eastAsia="仿宋_GB2312" w:cs="Times New Roman"/>
          <w:sz w:val="32"/>
          <w:szCs w:val="32"/>
          <w:highlight w:val="none"/>
          <w:lang w:val="en-US" w:eastAsia="zh-CN"/>
        </w:rPr>
        <w:t>经营成本性</w:t>
      </w:r>
      <w:r>
        <w:rPr>
          <w:rFonts w:hint="default" w:ascii="Times New Roman" w:hAnsi="Times New Roman" w:eastAsia="仿宋_GB2312" w:cs="Times New Roman"/>
          <w:sz w:val="32"/>
          <w:szCs w:val="32"/>
          <w:highlight w:val="none"/>
          <w:lang w:eastAsia="zh-CN"/>
        </w:rPr>
        <w:t>项目管理办法》《项目财务管理制度》等一系列专项制度，制度体系覆盖项目策划、实施、监控、收尾全流程</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业务管理制度明确了各部门职责分工（如：业务科室负责项目实施、财务科室负责资金管理）</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财务管理制度细化了资金拨付流程、报销标准、账务核算要求。所有制度均合法合规、内容完整，且与项目的实施特点高度适配，为项目顺利推进提供了坚实制度保障，符合评分标准中</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有完善的财务和业务管理制度、制度合法合规完整</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06237A07">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3"/>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bookmarkEnd w:id="54"/>
    </w:p>
    <w:p w14:paraId="0C71F7FA">
      <w:pPr>
        <w:pStyle w:val="24"/>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0" w:firstLineChars="200"/>
        <w:textAlignment w:val="auto"/>
        <w:outlineLvl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项目实施全过程严格执行各项管理制度，执行效果显著：①严格遵守法律法规及管理规定；②</w:t>
      </w:r>
      <w:r>
        <w:rPr>
          <w:rFonts w:hint="default" w:ascii="Times New Roman" w:hAnsi="Times New Roman" w:eastAsia="仿宋_GB2312" w:cs="Times New Roman"/>
          <w:sz w:val="32"/>
          <w:szCs w:val="32"/>
          <w:highlight w:val="none"/>
          <w:lang w:eastAsia="zh-CN"/>
        </w:rPr>
        <w:t>项目合同书、验收报告、</w:t>
      </w:r>
      <w:r>
        <w:rPr>
          <w:rFonts w:hint="eastAsia" w:eastAsia="仿宋_GB2312" w:cs="Times New Roman"/>
          <w:sz w:val="32"/>
          <w:szCs w:val="32"/>
          <w:highlight w:val="none"/>
          <w:lang w:val="en-US" w:eastAsia="zh-CN"/>
        </w:rPr>
        <w:t>工程结算审核报告、</w:t>
      </w:r>
      <w:r>
        <w:rPr>
          <w:rFonts w:hint="eastAsia" w:ascii="Times New Roman" w:hAnsi="Times New Roman" w:eastAsia="仿宋_GB2312" w:cs="Times New Roman"/>
          <w:sz w:val="32"/>
          <w:szCs w:val="32"/>
          <w:lang w:val="en-US" w:eastAsia="zh-CN"/>
        </w:rPr>
        <w:t>党委会议纪要，汇签单</w:t>
      </w:r>
      <w:r>
        <w:rPr>
          <w:rFonts w:hint="eastAsia"/>
          <w:lang w:val="en-US" w:eastAsia="zh-CN"/>
        </w:rPr>
        <w:t>、</w:t>
      </w:r>
      <w:r>
        <w:rPr>
          <w:rFonts w:hint="default" w:ascii="Times New Roman" w:hAnsi="Times New Roman" w:eastAsia="仿宋_GB2312" w:cs="Times New Roman"/>
          <w:sz w:val="32"/>
          <w:szCs w:val="32"/>
          <w:lang w:eastAsia="zh-CN"/>
        </w:rPr>
        <w:t>财务凭证等资料齐全，均按要求及时归档</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③人员、场地、设备等实施条件全部落实到位，满足项目实施需求。制度执行无偏差，有效保障了项目按计划推进，符合评分标准中</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遵守相关规定、调整手续完备、资料齐全归档、实施条件落实</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的要求</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7FF2F889">
      <w:pPr>
        <w:pStyle w:val="14"/>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rPr>
      </w:pPr>
      <w:bookmarkStart w:id="55" w:name="_Toc8612"/>
      <w:r>
        <w:rPr>
          <w:rFonts w:hint="eastAsia" w:eastAsia="楷体_GB2312" w:cs="Times New Roman"/>
          <w:b/>
          <w:bCs/>
          <w:sz w:val="32"/>
          <w:szCs w:val="32"/>
          <w:lang w:eastAsia="zh-CN"/>
        </w:rPr>
        <w:t>（</w:t>
      </w:r>
      <w:r>
        <w:rPr>
          <w:rFonts w:hint="eastAsia" w:eastAsia="楷体_GB2312" w:cs="Times New Roman"/>
          <w:b/>
          <w:bCs/>
          <w:sz w:val="32"/>
          <w:szCs w:val="32"/>
          <w:lang w:val="en-US" w:eastAsia="zh-CN"/>
        </w:rPr>
        <w:t>三</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bookmarkEnd w:id="55"/>
    </w:p>
    <w:p w14:paraId="19B21A81">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w:t>
      </w:r>
      <w:r>
        <w:rPr>
          <w:rFonts w:hint="eastAsia" w:eastAsia="仿宋_GB2312" w:cs="Times New Roman"/>
          <w:sz w:val="32"/>
          <w:szCs w:val="32"/>
          <w:lang w:val="en-US" w:eastAsia="zh-CN"/>
        </w:rPr>
        <w:t>指标</w:t>
      </w:r>
      <w:r>
        <w:rPr>
          <w:rFonts w:hint="default" w:ascii="Times New Roman" w:hAnsi="Times New Roman" w:eastAsia="仿宋_GB2312" w:cs="Times New Roman"/>
          <w:sz w:val="32"/>
          <w:szCs w:val="32"/>
          <w:lang w:val="en-US" w:eastAsia="zh-CN"/>
        </w:rPr>
        <w:t>、产出质量</w:t>
      </w:r>
      <w:r>
        <w:rPr>
          <w:rFonts w:hint="eastAsia" w:eastAsia="仿宋_GB2312" w:cs="Times New Roman"/>
          <w:sz w:val="32"/>
          <w:szCs w:val="32"/>
          <w:lang w:val="en-US" w:eastAsia="zh-CN"/>
        </w:rPr>
        <w:t>指标</w:t>
      </w:r>
      <w:r>
        <w:rPr>
          <w:rFonts w:hint="default" w:ascii="Times New Roman" w:hAnsi="Times New Roman" w:eastAsia="仿宋_GB2312" w:cs="Times New Roman"/>
          <w:sz w:val="32"/>
          <w:szCs w:val="32"/>
          <w:lang w:val="en-US" w:eastAsia="zh-CN"/>
        </w:rPr>
        <w:t>、产出时效</w:t>
      </w:r>
      <w:r>
        <w:rPr>
          <w:rFonts w:hint="eastAsia" w:eastAsia="仿宋_GB2312" w:cs="Times New Roman"/>
          <w:sz w:val="32"/>
          <w:szCs w:val="32"/>
          <w:lang w:val="en-US" w:eastAsia="zh-CN"/>
        </w:rPr>
        <w:t>指标</w:t>
      </w: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highlight w:val="none"/>
          <w:lang w:val="en-US" w:eastAsia="zh-CN"/>
        </w:rPr>
        <w:t>等三</w:t>
      </w:r>
      <w:r>
        <w:rPr>
          <w:rFonts w:hint="default" w:ascii="Times New Roman" w:hAnsi="Times New Roman" w:eastAsia="仿宋_GB2312" w:cs="Times New Roman"/>
          <w:sz w:val="32"/>
          <w:szCs w:val="32"/>
          <w:lang w:val="en-US" w:eastAsia="zh-CN"/>
        </w:rPr>
        <w:t>方面的内容，由</w:t>
      </w:r>
      <w:r>
        <w:rPr>
          <w:rFonts w:hint="eastAsia" w:eastAsia="仿宋_GB2312" w:cs="Times New Roman"/>
          <w:sz w:val="32"/>
          <w:szCs w:val="32"/>
          <w:highlight w:val="none"/>
          <w:lang w:val="en-US" w:eastAsia="zh-CN"/>
        </w:rPr>
        <w:t>17</w:t>
      </w:r>
      <w:r>
        <w:rPr>
          <w:rFonts w:hint="default" w:ascii="Times New Roman" w:hAnsi="Times New Roman" w:eastAsia="仿宋_GB2312" w:cs="Times New Roman"/>
          <w:sz w:val="32"/>
          <w:szCs w:val="32"/>
          <w:lang w:val="en-US" w:eastAsia="zh-CN"/>
        </w:rPr>
        <w:t>个三级指标构成，权重分为</w:t>
      </w:r>
      <w:r>
        <w:rPr>
          <w:rFonts w:hint="eastAsia"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14:paraId="3F62DE7A">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lang w:val="en-US" w:eastAsia="zh-CN"/>
        </w:rPr>
        <w:t>实际完成率</w:t>
      </w:r>
    </w:p>
    <w:p w14:paraId="576F4AC9">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数量指标1：</w:t>
      </w:r>
      <w:r>
        <w:rPr>
          <w:rFonts w:hint="eastAsia" w:eastAsia="仿宋_GB2312" w:cs="Times New Roman"/>
          <w:sz w:val="32"/>
          <w:szCs w:val="32"/>
          <w:highlight w:val="none"/>
          <w:lang w:val="en-US" w:eastAsia="zh-CN"/>
        </w:rPr>
        <w:t>支付农发行借款本金及利息次数</w:t>
      </w:r>
      <w:r>
        <w:rPr>
          <w:rFonts w:hint="default" w:ascii="Times New Roman" w:hAnsi="Times New Roman" w:eastAsia="仿宋_GB2312" w:cs="Times New Roman"/>
          <w:sz w:val="32"/>
          <w:szCs w:val="32"/>
          <w:highlight w:val="none"/>
        </w:rPr>
        <w:t>，指标值：=6次，实际完成值：</w:t>
      </w:r>
      <w:r>
        <w:rPr>
          <w:rFonts w:hint="eastAsia" w:eastAsia="仿宋_GB2312" w:cs="Times New Roman"/>
          <w:sz w:val="32"/>
          <w:szCs w:val="32"/>
          <w:highlight w:val="none"/>
          <w:lang w:val="en-US" w:eastAsia="zh-CN"/>
        </w:rPr>
        <w:t>6次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6E5A34A4">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工程主体类结算尾款</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=1项</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1项</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649AF61C">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支付专项债券利息次数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=6次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6次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04959806">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工资发放次数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12次</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1E681160">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工资发放人数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≥21人</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21人</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5A6D4BE2">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数量指标</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主动防护网面积</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≥30000平方米</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30000平方米</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1277F645">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该指标满分为10分，根据评分标准得10分。</w:t>
      </w:r>
    </w:p>
    <w:p w14:paraId="5E1B2425">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质量达标率</w:t>
      </w:r>
      <w:r>
        <w:rPr>
          <w:rFonts w:hint="default" w:ascii="Times New Roman" w:hAnsi="Times New Roman" w:eastAsia="仿宋_GB2312" w:cs="Times New Roman"/>
          <w:sz w:val="32"/>
          <w:szCs w:val="32"/>
          <w:highlight w:val="none"/>
        </w:rPr>
        <w:t>：</w:t>
      </w:r>
    </w:p>
    <w:p w14:paraId="17EECD52">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质量指标1：还本付息支付准确率，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0A553A54">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质量指标2：竣工验收合格率，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16AC8257">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hint="eastAsia" w:eastAsia="仿宋_GB2312" w:cs="Times New Roman"/>
          <w:sz w:val="32"/>
          <w:szCs w:val="32"/>
          <w:highlight w:val="none"/>
          <w:lang w:val="en-US" w:eastAsia="zh-CN"/>
        </w:rPr>
        <w:t>该指标满分为10分，根据评分标准得10分。</w:t>
      </w:r>
    </w:p>
    <w:p w14:paraId="7B3F4211">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3</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完成及时性</w:t>
      </w:r>
      <w:r>
        <w:rPr>
          <w:rFonts w:hint="default" w:ascii="Times New Roman" w:hAnsi="Times New Roman" w:eastAsia="仿宋_GB2312" w:cs="Times New Roman"/>
          <w:sz w:val="32"/>
          <w:szCs w:val="32"/>
          <w:highlight w:val="none"/>
        </w:rPr>
        <w:t>：</w:t>
      </w:r>
    </w:p>
    <w:p w14:paraId="1035ECF3">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时效指标1：还本付息项目计划完成时间，</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=2025年12月20日之前</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2025年12月20日</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45904584">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时效指标2：</w:t>
      </w:r>
      <w:r>
        <w:rPr>
          <w:rFonts w:hint="eastAsia" w:eastAsia="仿宋_GB2312" w:cs="Times New Roman"/>
          <w:sz w:val="32"/>
          <w:szCs w:val="32"/>
          <w:lang w:val="en-US" w:eastAsia="zh-CN"/>
        </w:rPr>
        <w:t>工程主体类结算尾款支付率</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66AD5DEA">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hint="eastAsia" w:eastAsia="仿宋_GB2312" w:cs="Times New Roman"/>
          <w:sz w:val="32"/>
          <w:szCs w:val="32"/>
          <w:highlight w:val="none"/>
          <w:lang w:val="en-US" w:eastAsia="zh-CN"/>
        </w:rPr>
        <w:t>该指标满分为10分，根据评分标准得10分。</w:t>
      </w:r>
    </w:p>
    <w:p w14:paraId="7ECF910F">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eastAsia="仿宋_GB2312" w:cs="Times New Roman"/>
          <w:sz w:val="32"/>
          <w:szCs w:val="32"/>
          <w:highlight w:val="none"/>
          <w:lang w:val="en-US" w:eastAsia="zh-CN"/>
        </w:rPr>
      </w:pP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4</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成本节约率</w:t>
      </w:r>
      <w:r>
        <w:rPr>
          <w:rFonts w:hint="default" w:eastAsia="仿宋_GB2312" w:cs="Times New Roman"/>
          <w:sz w:val="32"/>
          <w:szCs w:val="32"/>
          <w:highlight w:val="none"/>
          <w:lang w:val="en-US" w:eastAsia="zh-CN"/>
        </w:rPr>
        <w:t>：</w:t>
      </w:r>
    </w:p>
    <w:p w14:paraId="29888405">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w:t>
      </w: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农发行借款还本付息项目成本</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≤704.69万元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704.69万元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65CA726B">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专项债券利息项目成本</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≤580.83万元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580.83万元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14:paraId="5E8952C0">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头屯河楼庄子水库工程及咨询服务结算尾款运行管理项目成本</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≤1020万元</w:t>
      </w:r>
      <w:r>
        <w:rPr>
          <w:rFonts w:hint="default" w:ascii="Times New Roman" w:hAnsi="Times New Roman" w:eastAsia="仿宋_GB2312" w:cs="Times New Roman"/>
          <w:sz w:val="32"/>
          <w:szCs w:val="32"/>
          <w:highlight w:val="none"/>
        </w:rPr>
        <w:t>，实际完成值：1016.87万元，指标完成率</w:t>
      </w:r>
      <w:r>
        <w:rPr>
          <w:rFonts w:hint="eastAsia" w:eastAsia="仿宋_GB2312" w:cs="Times New Roman"/>
          <w:sz w:val="32"/>
          <w:szCs w:val="32"/>
          <w:highlight w:val="none"/>
          <w:lang w:val="en-US" w:eastAsia="zh-CN"/>
        </w:rPr>
        <w:t>99.69</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偏差原因：整体工程未完成最终竣工验收，改进措施：积极推进整体工程竣工验收，完成尾款结算。</w:t>
      </w:r>
    </w:p>
    <w:p w14:paraId="54EC2CE1">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rPr>
        <w:t>：基本支出成本，指标值：</w:t>
      </w:r>
      <w:r>
        <w:rPr>
          <w:rFonts w:hint="eastAsia" w:eastAsia="仿宋_GB2312" w:cs="Times New Roman"/>
          <w:sz w:val="32"/>
          <w:szCs w:val="32"/>
          <w:highlight w:val="none"/>
          <w:lang w:val="en-US" w:eastAsia="zh-CN"/>
        </w:rPr>
        <w:t>≤469.68万元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469.68万元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26DB3FE0">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楼庄子水库工程日常维修维护项目成本</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≤45万元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45万元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06BB5785">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：政府采购项目成本，指标值：</w:t>
      </w:r>
      <w:r>
        <w:rPr>
          <w:rFonts w:hint="eastAsia" w:eastAsia="仿宋_GB2312" w:cs="Times New Roman"/>
          <w:sz w:val="32"/>
          <w:szCs w:val="32"/>
          <w:highlight w:val="none"/>
          <w:lang w:val="en-US" w:eastAsia="zh-CN"/>
        </w:rPr>
        <w:t>≤15.5万元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15.5万元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6D605D4F">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经济成本</w:t>
      </w: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rPr>
        <w:t>：水库枢纽区安全防治工程成本，指标值：</w:t>
      </w:r>
      <w:r>
        <w:rPr>
          <w:rFonts w:hint="eastAsia" w:eastAsia="仿宋_GB2312" w:cs="Times New Roman"/>
          <w:sz w:val="32"/>
          <w:szCs w:val="32"/>
          <w:highlight w:val="none"/>
          <w:lang w:val="en-US" w:eastAsia="zh-CN"/>
        </w:rPr>
        <w:t>≤498.93万元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498.71万元</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99.96</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偏差原因：</w:t>
      </w:r>
      <w:r>
        <w:rPr>
          <w:rFonts w:hint="eastAsia" w:eastAsia="仿宋_GB2312" w:cs="Times New Roman"/>
          <w:sz w:val="32"/>
          <w:szCs w:val="32"/>
          <w:highlight w:val="none"/>
          <w:lang w:eastAsia="zh-CN"/>
        </w:rPr>
        <w:t>因地质情况复杂，实际工程实施</w:t>
      </w:r>
      <w:r>
        <w:rPr>
          <w:rFonts w:hint="eastAsia" w:eastAsia="仿宋_GB2312" w:cs="Times New Roman"/>
          <w:sz w:val="32"/>
          <w:szCs w:val="32"/>
          <w:highlight w:val="none"/>
          <w:lang w:val="en-US" w:eastAsia="zh-CN"/>
        </w:rPr>
        <w:t>过程</w:t>
      </w:r>
      <w:r>
        <w:rPr>
          <w:rFonts w:hint="eastAsia" w:eastAsia="仿宋_GB2312" w:cs="Times New Roman"/>
          <w:sz w:val="32"/>
          <w:szCs w:val="32"/>
          <w:highlight w:val="none"/>
          <w:lang w:eastAsia="zh-CN"/>
        </w:rPr>
        <w:t>中与设计轮廓线有偏差，</w:t>
      </w:r>
      <w:r>
        <w:rPr>
          <w:rFonts w:hint="eastAsia" w:eastAsia="仿宋_GB2312" w:cs="Times New Roman"/>
          <w:sz w:val="32"/>
          <w:szCs w:val="32"/>
          <w:highlight w:val="none"/>
          <w:lang w:val="en-US" w:eastAsia="zh-CN"/>
        </w:rPr>
        <w:t>整改措施：加强监管，优化前期方案，规范科学设置项目指标</w:t>
      </w:r>
      <w:r>
        <w:rPr>
          <w:rFonts w:hint="eastAsia" w:ascii="Times New Roman" w:hAnsi="Times New Roman" w:eastAsia="仿宋_GB2312" w:cs="Times New Roman"/>
          <w:sz w:val="32"/>
          <w:szCs w:val="32"/>
          <w:highlight w:val="none"/>
          <w:lang w:val="en-US" w:eastAsia="zh-CN"/>
        </w:rPr>
        <w:t>。</w:t>
      </w:r>
    </w:p>
    <w:p w14:paraId="6C09D238">
      <w:pPr>
        <w:pStyle w:val="24"/>
        <w:keepNext w:val="0"/>
        <w:keepLines w:val="0"/>
        <w:pageBreakBefore w:val="0"/>
        <w:widowControl w:val="0"/>
        <w:shd w:val="clear" w:color="auto" w:fill="auto"/>
        <w:kinsoku/>
        <w:wordWrap w:val="0"/>
        <w:overflowPunct/>
        <w:topLinePunct/>
        <w:autoSpaceDE/>
        <w:autoSpaceDN/>
        <w:bidi w:val="0"/>
        <w:adjustRightInd/>
        <w:snapToGrid/>
        <w:spacing w:line="560" w:lineRule="exact"/>
        <w:ind w:left="0" w:leftChars="0" w:firstLine="640" w:firstLineChars="200"/>
        <w:textAlignment w:val="auto"/>
        <w:outlineLvl w:val="2"/>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该指标满分为10分</w:t>
      </w:r>
      <w:r>
        <w:rPr>
          <w:rFonts w:hint="default" w:eastAsia="仿宋_GB2312" w:cs="Times New Roman"/>
          <w:sz w:val="32"/>
          <w:szCs w:val="32"/>
          <w:highlight w:val="none"/>
          <w:lang w:val="en-US" w:eastAsia="zh-CN"/>
        </w:rPr>
        <w:t>，本项目计划总成本为</w:t>
      </w:r>
      <w:r>
        <w:rPr>
          <w:rFonts w:hint="eastAsia" w:eastAsia="仿宋_GB2312" w:cs="Times New Roman"/>
          <w:sz w:val="32"/>
          <w:szCs w:val="32"/>
          <w:highlight w:val="none"/>
          <w:lang w:val="en-US" w:eastAsia="zh-CN"/>
        </w:rPr>
        <w:t>3334.63</w:t>
      </w:r>
      <w:r>
        <w:rPr>
          <w:rFonts w:hint="default" w:eastAsia="仿宋_GB2312" w:cs="Times New Roman"/>
          <w:sz w:val="32"/>
          <w:szCs w:val="32"/>
          <w:highlight w:val="none"/>
          <w:lang w:val="en-US" w:eastAsia="zh-CN"/>
        </w:rPr>
        <w:t>万元，实际发生总成本为</w:t>
      </w:r>
      <w:r>
        <w:rPr>
          <w:rFonts w:hint="eastAsia" w:eastAsia="仿宋_GB2312" w:cs="Times New Roman"/>
          <w:sz w:val="32"/>
          <w:szCs w:val="32"/>
          <w:highlight w:val="none"/>
          <w:lang w:val="en-US" w:eastAsia="zh-CN"/>
        </w:rPr>
        <w:t>3331.28</w:t>
      </w:r>
      <w:r>
        <w:rPr>
          <w:rFonts w:hint="default"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99.90%</w:t>
      </w:r>
      <w:r>
        <w:rPr>
          <w:rFonts w:hint="default" w:eastAsia="仿宋_GB2312" w:cs="Times New Roman"/>
          <w:sz w:val="32"/>
          <w:szCs w:val="32"/>
          <w:highlight w:val="none"/>
          <w:lang w:val="en-US" w:eastAsia="zh-CN"/>
        </w:rPr>
        <w:t>，成本节约率为</w:t>
      </w:r>
      <w:r>
        <w:rPr>
          <w:rFonts w:hint="eastAsia" w:eastAsia="仿宋_GB2312" w:cs="Times New Roman"/>
          <w:sz w:val="32"/>
          <w:szCs w:val="32"/>
          <w:highlight w:val="none"/>
          <w:lang w:val="en-US" w:eastAsia="zh-CN"/>
        </w:rPr>
        <w:t>0.10</w:t>
      </w:r>
      <w:r>
        <w:rPr>
          <w:rFonts w:hint="default" w:eastAsia="仿宋_GB2312" w:cs="Times New Roman"/>
          <w:sz w:val="32"/>
          <w:szCs w:val="32"/>
          <w:highlight w:val="none"/>
          <w:lang w:val="en-US" w:eastAsia="zh-CN"/>
        </w:rPr>
        <w:t>%，未发生任何超支情况</w:t>
      </w:r>
      <w:r>
        <w:rPr>
          <w:rFonts w:hint="default" w:ascii="Times New Roman" w:hAnsi="Times New Roman" w:eastAsia="仿宋_GB2312" w:cs="Times New Roman"/>
          <w:sz w:val="32"/>
          <w:szCs w:val="32"/>
          <w:lang w:val="en-US"/>
        </w:rPr>
        <w:t>，</w:t>
      </w:r>
      <w:r>
        <w:rPr>
          <w:rFonts w:hint="default" w:ascii="Times New Roman" w:hAnsi="Times New Roman" w:eastAsia="仿宋_GB2312" w:cs="Times New Roman"/>
          <w:sz w:val="32"/>
          <w:szCs w:val="32"/>
          <w:lang w:val="en-US" w:eastAsia="zh-CN"/>
        </w:rPr>
        <w:t>故得满分。</w:t>
      </w:r>
    </w:p>
    <w:p w14:paraId="79CBB86C">
      <w:pPr>
        <w:pStyle w:val="14"/>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lang w:val="en-US" w:eastAsia="zh-CN"/>
        </w:rPr>
      </w:pPr>
      <w:bookmarkStart w:id="56" w:name="_Toc18470"/>
      <w:r>
        <w:rPr>
          <w:rFonts w:hint="eastAsia" w:eastAsia="楷体_GB2312" w:cs="Times New Roman"/>
          <w:b/>
          <w:bCs/>
          <w:sz w:val="32"/>
          <w:szCs w:val="32"/>
          <w:lang w:val="en-US" w:eastAsia="zh-CN"/>
        </w:rPr>
        <w:t>（四）</w:t>
      </w:r>
      <w:r>
        <w:rPr>
          <w:rFonts w:hint="default" w:ascii="Times New Roman" w:hAnsi="Times New Roman" w:eastAsia="楷体_GB2312" w:cs="Times New Roman"/>
          <w:b/>
          <w:bCs/>
          <w:sz w:val="32"/>
          <w:szCs w:val="32"/>
          <w:lang w:val="en-US" w:eastAsia="zh-CN"/>
        </w:rPr>
        <w:t>项目效益情况</w:t>
      </w:r>
      <w:bookmarkEnd w:id="56"/>
    </w:p>
    <w:p w14:paraId="6804880F">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w:t>
      </w:r>
      <w:r>
        <w:rPr>
          <w:rFonts w:hint="eastAsia" w:eastAsia="仿宋_GB2312" w:cs="Times New Roman"/>
          <w:sz w:val="32"/>
          <w:szCs w:val="32"/>
          <w:highlight w:val="none"/>
          <w:lang w:val="en-US" w:eastAsia="zh-CN"/>
        </w:rPr>
        <w:t>只有社会效益指标</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0EF23175">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2"/>
        <w:rPr>
          <w:rFonts w:hint="default" w:ascii="Times New Roman" w:hAnsi="Times New Roman" w:eastAsia="仿宋_GB2312" w:cs="Times New Roman"/>
          <w:color w:val="FF0000"/>
          <w:sz w:val="32"/>
          <w:szCs w:val="32"/>
          <w:highlight w:val="none"/>
          <w:lang w:val="en-US" w:eastAsia="zh-CN"/>
        </w:rPr>
      </w:pPr>
      <w:bookmarkStart w:id="57" w:name="_Toc21198"/>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bookmarkEnd w:id="57"/>
    </w:p>
    <w:p w14:paraId="24350DA6">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经济效益指标：防止专项债逾期付息导致违约风险率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val="en-US" w:eastAsia="zh-CN"/>
        </w:rPr>
        <w:t>。</w:t>
      </w:r>
    </w:p>
    <w:p w14:paraId="55B4B1B9">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lang w:val="en-US" w:eastAsia="zh-CN"/>
        </w:rPr>
      </w:pPr>
      <w:r>
        <w:rPr>
          <w:rFonts w:hint="eastAsia" w:eastAsia="仿宋_GB2312" w:cs="Times New Roman"/>
          <w:sz w:val="32"/>
          <w:szCs w:val="32"/>
          <w:highlight w:val="none"/>
          <w:lang w:val="en-US" w:eastAsia="zh-CN"/>
        </w:rPr>
        <w:t>该指标满分为20分，根据评分标准得20分。</w:t>
      </w:r>
    </w:p>
    <w:p w14:paraId="67713D71">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hint="default" w:ascii="黑体" w:hAnsi="黑体" w:eastAsia="黑体" w:cs="黑体"/>
          <w:b w:val="0"/>
          <w:bCs w:val="0"/>
          <w:sz w:val="32"/>
          <w:szCs w:val="32"/>
          <w:lang w:val="en-US" w:eastAsia="zh-CN"/>
        </w:rPr>
      </w:pPr>
      <w:bookmarkStart w:id="58" w:name="_Toc21462"/>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val="en-US"/>
        </w:rPr>
        <w:t>预算执行进度与</w:t>
      </w:r>
      <w:bookmarkEnd w:id="58"/>
      <w:r>
        <w:rPr>
          <w:rFonts w:hint="eastAsia" w:ascii="黑体" w:hAnsi="黑体" w:eastAsia="黑体" w:cs="黑体"/>
          <w:b w:val="0"/>
          <w:bCs w:val="0"/>
          <w:sz w:val="32"/>
          <w:szCs w:val="32"/>
          <w:lang w:val="en-US" w:eastAsia="zh-CN"/>
        </w:rPr>
        <w:t>绩效指标偏差</w:t>
      </w:r>
    </w:p>
    <w:p w14:paraId="30126062">
      <w:pPr>
        <w:pStyle w:val="24"/>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sz w:val="32"/>
          <w:szCs w:val="32"/>
          <w:highlight w:val="none"/>
          <w:lang w:val="en-US" w:eastAsia="zh-CN"/>
        </w:rPr>
        <w:t>经营成本性项目</w:t>
      </w:r>
      <w:r>
        <w:rPr>
          <w:rFonts w:hint="default" w:ascii="Times New Roman" w:hAnsi="Times New Roman" w:eastAsia="仿宋_GB2312" w:cs="Times New Roman"/>
          <w:b w:val="0"/>
          <w:bCs w:val="0"/>
          <w:sz w:val="32"/>
          <w:szCs w:val="32"/>
          <w:highlight w:val="none"/>
        </w:rPr>
        <w:t>项目年初预算</w:t>
      </w:r>
      <w:r>
        <w:rPr>
          <w:rFonts w:hint="default" w:ascii="Times New Roman" w:hAnsi="Times New Roman" w:eastAsia="仿宋_GB2312" w:cs="Times New Roman"/>
          <w:sz w:val="32"/>
          <w:szCs w:val="32"/>
          <w:highlight w:val="none"/>
          <w:lang w:val="en-US" w:eastAsia="zh-CN"/>
        </w:rPr>
        <w:t>3334.63</w:t>
      </w:r>
      <w:r>
        <w:rPr>
          <w:rFonts w:hint="default" w:ascii="Times New Roman" w:hAnsi="Times New Roman" w:eastAsia="仿宋_GB2312" w:cs="Times New Roman"/>
          <w:b w:val="0"/>
          <w:bCs w:val="0"/>
          <w:sz w:val="32"/>
          <w:szCs w:val="32"/>
          <w:highlight w:val="none"/>
        </w:rPr>
        <w:t>万元，全年预算</w:t>
      </w:r>
      <w:r>
        <w:rPr>
          <w:rFonts w:hint="default" w:ascii="Times New Roman" w:hAnsi="Times New Roman" w:eastAsia="仿宋_GB2312" w:cs="Times New Roman"/>
          <w:sz w:val="32"/>
          <w:szCs w:val="32"/>
          <w:highlight w:val="none"/>
          <w:lang w:val="en-US" w:eastAsia="zh-CN"/>
        </w:rPr>
        <w:t>3334.63</w:t>
      </w:r>
      <w:r>
        <w:rPr>
          <w:rFonts w:hint="default" w:ascii="Times New Roman" w:hAnsi="Times New Roman" w:eastAsia="仿宋_GB2312" w:cs="Times New Roman"/>
          <w:b w:val="0"/>
          <w:bCs w:val="0"/>
          <w:sz w:val="32"/>
          <w:szCs w:val="32"/>
          <w:highlight w:val="none"/>
        </w:rPr>
        <w:t>万元，实际支出</w:t>
      </w:r>
      <w:r>
        <w:rPr>
          <w:rFonts w:hint="default" w:ascii="Times New Roman" w:hAnsi="Times New Roman" w:eastAsia="仿宋_GB2312" w:cs="Times New Roman"/>
          <w:sz w:val="32"/>
          <w:szCs w:val="32"/>
          <w:highlight w:val="none"/>
          <w:lang w:val="en-US" w:eastAsia="zh-CN"/>
        </w:rPr>
        <w:t>3331.28</w:t>
      </w:r>
      <w:r>
        <w:rPr>
          <w:rFonts w:hint="default" w:ascii="Times New Roman" w:hAnsi="Times New Roman" w:eastAsia="仿宋_GB2312" w:cs="Times New Roman"/>
          <w:b w:val="0"/>
          <w:bCs w:val="0"/>
          <w:sz w:val="32"/>
          <w:szCs w:val="32"/>
          <w:highlight w:val="none"/>
        </w:rPr>
        <w:t>万元，预算执行率为</w:t>
      </w:r>
      <w:r>
        <w:rPr>
          <w:rFonts w:hint="default" w:ascii="Times New Roman" w:hAnsi="Times New Roman" w:eastAsia="仿宋_GB2312" w:cs="Times New Roman"/>
          <w:sz w:val="32"/>
          <w:szCs w:val="32"/>
          <w:highlight w:val="none"/>
          <w:lang w:val="en-US" w:eastAsia="zh-CN"/>
        </w:rPr>
        <w:t>99.90</w:t>
      </w:r>
      <w:r>
        <w:rPr>
          <w:rFonts w:hint="default" w:ascii="Times New Roman" w:hAnsi="Times New Roman" w:eastAsia="仿宋_GB2312" w:cs="Times New Roman"/>
          <w:b w:val="0"/>
          <w:bCs w:val="0"/>
          <w:sz w:val="32"/>
          <w:szCs w:val="32"/>
          <w:highlight w:val="none"/>
        </w:rPr>
        <w:t>%，项目绩效指标总体完成率为</w:t>
      </w:r>
      <w:r>
        <w:rPr>
          <w:rFonts w:hint="default" w:ascii="Times New Roman" w:hAnsi="Times New Roman" w:eastAsia="仿宋_GB2312" w:cs="Times New Roman"/>
          <w:b w:val="0"/>
          <w:bCs w:val="0"/>
          <w:sz w:val="32"/>
          <w:szCs w:val="32"/>
          <w:highlight w:val="none"/>
          <w:lang w:val="en-US" w:eastAsia="zh-CN"/>
        </w:rPr>
        <w:t>99.98</w:t>
      </w:r>
      <w:r>
        <w:rPr>
          <w:rFonts w:hint="default" w:ascii="Times New Roman" w:hAnsi="Times New Roman" w:eastAsia="仿宋_GB2312" w:cs="Times New Roman"/>
          <w:b w:val="0"/>
          <w:bCs w:val="0"/>
          <w:sz w:val="32"/>
          <w:szCs w:val="32"/>
          <w:highlight w:val="none"/>
        </w:rPr>
        <w:t>%，总体偏差率为</w:t>
      </w:r>
      <w:r>
        <w:rPr>
          <w:rFonts w:hint="default" w:ascii="Times New Roman" w:hAnsi="Times New Roman" w:eastAsia="仿宋_GB2312" w:cs="Times New Roman"/>
          <w:b w:val="0"/>
          <w:bCs w:val="0"/>
          <w:sz w:val="32"/>
          <w:szCs w:val="32"/>
          <w:highlight w:val="none"/>
          <w:lang w:val="en-US" w:eastAsia="zh-CN"/>
        </w:rPr>
        <w:t>0.08</w:t>
      </w:r>
      <w:r>
        <w:rPr>
          <w:rFonts w:hint="default" w:ascii="Times New Roman" w:hAnsi="Times New Roman" w:eastAsia="仿宋_GB2312" w:cs="Times New Roman"/>
          <w:b w:val="0"/>
          <w:bCs w:val="0"/>
          <w:sz w:val="32"/>
          <w:szCs w:val="32"/>
          <w:highlight w:val="none"/>
        </w:rPr>
        <w:t>%</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偏差原因</w:t>
      </w:r>
      <w:r>
        <w:rPr>
          <w:rFonts w:hint="default" w:ascii="Times New Roman" w:hAnsi="Times New Roman" w:eastAsia="仿宋_GB2312" w:cs="Times New Roman"/>
          <w:sz w:val="32"/>
          <w:szCs w:val="32"/>
          <w:highlight w:val="none"/>
          <w:lang w:val="en-US" w:eastAsia="zh-CN"/>
        </w:rPr>
        <w:t>头屯河楼庄子水库工程及咨询服务结算尾款运行管理项目成本项目因整体工程未完成最终竣工验收；水库枢纽区安全防治工程成本项目因地质情况复杂，实际工程实施工程中与设计轮廓线有偏差</w:t>
      </w:r>
      <w:r>
        <w:rPr>
          <w:rFonts w:hint="default" w:ascii="Times New Roman" w:hAnsi="Times New Roman" w:eastAsia="仿宋_GB2312" w:cs="Times New Roman"/>
          <w:b w:val="0"/>
          <w:bCs w:val="0"/>
          <w:sz w:val="32"/>
          <w:szCs w:val="32"/>
          <w:highlight w:val="none"/>
        </w:rPr>
        <w:t>，改进措施</w:t>
      </w:r>
      <w:r>
        <w:rPr>
          <w:rFonts w:hint="default" w:ascii="Times New Roman" w:hAnsi="Times New Roman" w:eastAsia="仿宋_GB2312" w:cs="Times New Roman"/>
          <w:sz w:val="32"/>
          <w:szCs w:val="32"/>
          <w:highlight w:val="none"/>
          <w:lang w:val="en-US" w:eastAsia="zh-CN"/>
        </w:rPr>
        <w:t>积极推进整体工程竣工验收，完成尾款结算，加强监管，优化前期方案，规范科学设置项目指标</w:t>
      </w:r>
      <w:r>
        <w:rPr>
          <w:rFonts w:hint="default" w:ascii="Times New Roman" w:hAnsi="Times New Roman" w:eastAsia="仿宋_GB2312" w:cs="Times New Roman"/>
          <w:b w:val="0"/>
          <w:bCs w:val="0"/>
          <w:sz w:val="32"/>
          <w:szCs w:val="32"/>
          <w:highlight w:val="none"/>
        </w:rPr>
        <w:t>。</w:t>
      </w:r>
    </w:p>
    <w:p w14:paraId="242D2F86">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Style w:val="23"/>
          <w:rFonts w:hint="default" w:ascii="Times New Roman" w:hAnsi="Times New Roman" w:cs="Times New Roman"/>
          <w:color w:val="auto"/>
        </w:rPr>
      </w:pPr>
      <w:bookmarkStart w:id="59" w:name="_Toc18363"/>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bookmarkEnd w:id="59"/>
    </w:p>
    <w:p w14:paraId="74DD3CCE">
      <w:pPr>
        <w:keepNext w:val="0"/>
        <w:keepLines w:val="0"/>
        <w:pageBreakBefore w:val="0"/>
        <w:widowControl w:val="0"/>
        <w:kinsoku/>
        <w:wordWrap w:val="0"/>
        <w:overflowPunct/>
        <w:topLinePunct/>
        <w:autoSpaceDE/>
        <w:autoSpaceDN/>
        <w:bidi w:val="0"/>
        <w:adjustRightInd/>
        <w:snapToGrid/>
        <w:spacing w:line="560" w:lineRule="exact"/>
        <w:ind w:firstLine="627" w:firstLineChars="200"/>
        <w:textAlignment w:val="auto"/>
        <w:outlineLvl w:val="1"/>
        <w:rPr>
          <w:rFonts w:hint="default" w:ascii="Times New Roman" w:hAnsi="Times New Roman" w:eastAsia="楷体" w:cs="Times New Roman"/>
          <w:b/>
          <w:spacing w:val="-4"/>
          <w:sz w:val="32"/>
          <w:szCs w:val="32"/>
        </w:rPr>
      </w:pPr>
      <w:bookmarkStart w:id="60" w:name="_Toc22741"/>
      <w:r>
        <w:rPr>
          <w:rFonts w:hint="default" w:ascii="Times New Roman" w:hAnsi="Times New Roman" w:eastAsia="楷体" w:cs="Times New Roman"/>
          <w:b/>
          <w:spacing w:val="-4"/>
          <w:sz w:val="32"/>
          <w:szCs w:val="32"/>
        </w:rPr>
        <w:t>（一）主要经验及做法</w:t>
      </w:r>
      <w:bookmarkEnd w:id="60"/>
    </w:p>
    <w:p w14:paraId="289F60FB">
      <w:pPr>
        <w:pStyle w:val="13"/>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left"/>
        <w:textAlignment w:val="auto"/>
        <w:outlineLvl w:val="9"/>
        <w:rPr>
          <w:rFonts w:hint="default" w:ascii="Times New Roman" w:hAnsi="Times New Roman" w:eastAsia="仿宋_GB2312" w:cs="Times New Roman"/>
          <w:b w:val="0"/>
          <w:bCs w:val="0"/>
          <w:sz w:val="32"/>
          <w:szCs w:val="32"/>
        </w:rPr>
      </w:pPr>
      <w:r>
        <w:rPr>
          <w:rFonts w:hint="default" w:ascii="Times New Roman" w:hAnsi="Times New Roman" w:eastAsia="仿宋_GB2312" w:cs="Times New Roman"/>
          <w:b w:val="0"/>
          <w:bCs w:val="0"/>
          <w:sz w:val="32"/>
          <w:szCs w:val="32"/>
        </w:rPr>
        <w:t>本项目在实施中注重精准施策与闭环管理。项目启动前，立足核心定位深入调研需求，明确总体目标与阶段性任务，科学编制实施方案和绩效指标体系，确保各环节任务分工、时间节点、责任主体清晰可控；资金管理上严格遵循</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预算引领、专款专用</w:t>
      </w:r>
      <w:r>
        <w:rPr>
          <w:rFonts w:hint="eastAsia" w:ascii="Times New Roman" w:hAnsi="Times New Roman" w:eastAsia="仿宋_GB2312" w:cs="Times New Roman"/>
          <w:b w:val="0"/>
          <w:bCs w:val="0"/>
          <w:sz w:val="32"/>
          <w:szCs w:val="32"/>
          <w:lang w:eastAsia="zh-CN"/>
        </w:rPr>
        <w:t>”</w:t>
      </w:r>
      <w:r>
        <w:rPr>
          <w:rFonts w:hint="default" w:ascii="Times New Roman" w:hAnsi="Times New Roman" w:eastAsia="仿宋_GB2312" w:cs="Times New Roman"/>
          <w:b w:val="0"/>
          <w:bCs w:val="0"/>
          <w:sz w:val="32"/>
          <w:szCs w:val="32"/>
        </w:rPr>
        <w:t>原则，从编制、使用到监控全流程把关，保障资金合规高效使用。</w:t>
      </w:r>
    </w:p>
    <w:p w14:paraId="1C3D7B2A">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rPr>
          <w:rFonts w:hint="default"/>
        </w:rPr>
      </w:pPr>
      <w:r>
        <w:rPr>
          <w:rFonts w:hint="eastAsia" w:ascii="Times New Roman" w:hAnsi="Times New Roman" w:eastAsia="仿宋_GB2312" w:cs="Times New Roman"/>
          <w:b w:val="0"/>
          <w:bCs w:val="0"/>
          <w:kern w:val="28"/>
          <w:sz w:val="32"/>
          <w:szCs w:val="32"/>
          <w:lang w:val="en-US" w:eastAsia="zh-CN" w:bidi="ar-SA"/>
        </w:rPr>
        <w:t>每月按时支付人员工资、办公费用等基本项目支出，确保水库工程各项工作可以正常运行管理，更好完成供水和防洪任务；按时足额支付专项债券利息及农发行还本付息，防止了逾期付息带来的风险；水库出现塌方时，及时进行紧急抢修，支付水库维修维护费用，解决高边坡不稳定，有效整治滑坡、塌方、渗流等安全隐患；根据预算开展政府采购工作，完成2025年办公设备、车辆维修、车辆保险、印刷费等货物、服务的采购，有效保证单位工作的正常开展。</w:t>
      </w:r>
    </w:p>
    <w:p w14:paraId="3BFC1B69">
      <w:pPr>
        <w:pStyle w:val="13"/>
        <w:keepNext w:val="0"/>
        <w:keepLines w:val="0"/>
        <w:pageBreakBefore w:val="0"/>
        <w:widowControl w:val="0"/>
        <w:kinsoku/>
        <w:wordWrap w:val="0"/>
        <w:overflowPunct/>
        <w:topLinePunct/>
        <w:autoSpaceDE/>
        <w:autoSpaceDN/>
        <w:bidi w:val="0"/>
        <w:adjustRightInd/>
        <w:snapToGrid/>
        <w:spacing w:before="0" w:after="0" w:line="560" w:lineRule="exact"/>
        <w:ind w:firstLine="640" w:firstLineChars="200"/>
        <w:jc w:val="left"/>
        <w:textAlignment w:val="auto"/>
        <w:outlineLvl w:val="9"/>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sz w:val="32"/>
          <w:szCs w:val="32"/>
        </w:rPr>
        <w:t>同时，强化协同联动与过程管控，建立沟通协作机制，及时协调解决实施中的堵点问题；通过定期调度、实地核查等方式动态跟踪进度与质量，规范档案管理确保全程可追溯。此外，提前预判政策、进度等潜在风险并制定应对预案，聚焦成果转化与效益延伸，推动项目产出持续发挥综合价值，为同类项目实施提供了实用参考。</w:t>
      </w:r>
    </w:p>
    <w:p w14:paraId="727B6F46">
      <w:pPr>
        <w:keepNext w:val="0"/>
        <w:keepLines w:val="0"/>
        <w:pageBreakBefore w:val="0"/>
        <w:widowControl w:val="0"/>
        <w:numPr>
          <w:ilvl w:val="0"/>
          <w:numId w:val="0"/>
        </w:numPr>
        <w:kinsoku/>
        <w:wordWrap w:val="0"/>
        <w:overflowPunct/>
        <w:topLinePunct/>
        <w:autoSpaceDE/>
        <w:autoSpaceDN/>
        <w:bidi w:val="0"/>
        <w:adjustRightInd/>
        <w:snapToGrid/>
        <w:spacing w:line="560" w:lineRule="exact"/>
        <w:ind w:firstLine="643" w:firstLineChars="200"/>
        <w:textAlignment w:val="auto"/>
        <w:outlineLvl w:val="1"/>
        <w:rPr>
          <w:rFonts w:hint="default" w:ascii="Times New Roman" w:hAnsi="Times New Roman" w:eastAsia="楷体_GB2312" w:cs="Times New Roman"/>
          <w:b/>
          <w:bCs/>
          <w:sz w:val="32"/>
          <w:szCs w:val="32"/>
        </w:rPr>
      </w:pPr>
      <w:bookmarkStart w:id="61" w:name="_Toc7835"/>
      <w:r>
        <w:rPr>
          <w:rFonts w:hint="eastAsia" w:eastAsia="楷体_GB2312" w:cs="Times New Roman"/>
          <w:b/>
          <w:bCs/>
          <w:sz w:val="32"/>
          <w:szCs w:val="32"/>
          <w:lang w:eastAsia="zh-CN"/>
        </w:rPr>
        <w:t>（</w:t>
      </w:r>
      <w:r>
        <w:rPr>
          <w:rFonts w:hint="eastAsia" w:eastAsia="楷体_GB2312" w:cs="Times New Roman"/>
          <w:b/>
          <w:bCs/>
          <w:sz w:val="32"/>
          <w:szCs w:val="32"/>
          <w:lang w:val="en-US" w:eastAsia="zh-CN"/>
        </w:rPr>
        <w:t>二</w:t>
      </w:r>
      <w:r>
        <w:rPr>
          <w:rFonts w:hint="eastAsia" w:eastAsia="楷体_GB2312" w:cs="Times New Roman"/>
          <w:b/>
          <w:bCs/>
          <w:sz w:val="32"/>
          <w:szCs w:val="32"/>
          <w:lang w:eastAsia="zh-CN"/>
        </w:rPr>
        <w:t>）</w:t>
      </w:r>
      <w:r>
        <w:rPr>
          <w:rFonts w:hint="default" w:ascii="Times New Roman" w:hAnsi="Times New Roman" w:eastAsia="楷体_GB2312" w:cs="Times New Roman"/>
          <w:b/>
          <w:bCs/>
          <w:sz w:val="32"/>
          <w:szCs w:val="32"/>
        </w:rPr>
        <w:t>存在的问题及原因分析</w:t>
      </w:r>
      <w:bookmarkEnd w:id="61"/>
    </w:p>
    <w:p w14:paraId="586E8148">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454A2303">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w:t>
      </w:r>
      <w:r>
        <w:rPr>
          <w:rFonts w:hint="eastAsia" w:eastAsia="仿宋_GB2312" w:cs="Times New Roman"/>
          <w:sz w:val="32"/>
          <w:szCs w:val="32"/>
          <w:highlight w:val="none"/>
          <w:lang w:val="en-US" w:eastAsia="zh-CN"/>
        </w:rPr>
        <w:t>情况。</w:t>
      </w:r>
    </w:p>
    <w:p w14:paraId="5C18A0F6">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资金管理方面仍需进一步细化。预算编制略显粗放，与实际执行存在偏差，对资金流向的动态监控及效益分析不够深入。主要原因是管理意识待强化，相关制度流程不够细化，且人员专业素养与精细化管理要求尚存差距。</w:t>
      </w:r>
    </w:p>
    <w:p w14:paraId="05B0151B">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bookmarkStart w:id="62" w:name="_Toc25529"/>
      <w:r>
        <w:rPr>
          <w:rFonts w:hint="eastAsia" w:eastAsia="黑体" w:cs="Times New Roman"/>
          <w:sz w:val="32"/>
          <w:szCs w:val="32"/>
          <w:lang w:val="en-US" w:eastAsia="zh-CN"/>
        </w:rPr>
        <w:t>七</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bookmarkEnd w:id="62"/>
    </w:p>
    <w:p w14:paraId="22BD6A1F">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0E42FE8A">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14:paraId="7D0E66D3">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0C970F3E">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14:paraId="01885BB9">
      <w:pPr>
        <w:keepNext w:val="0"/>
        <w:keepLines w:val="0"/>
        <w:pageBreakBefore w:val="0"/>
        <w:widowControl w:val="0"/>
        <w:shd w:val="clear" w:color="auto" w:fill="auto"/>
        <w:kinsoku/>
        <w:wordWrap w:val="0"/>
        <w:overflowPunct/>
        <w:topLinePunct/>
        <w:autoSpaceDE/>
        <w:autoSpaceDN/>
        <w:bidi w:val="0"/>
        <w:adjustRightInd/>
        <w:snapToGrid/>
        <w:spacing w:line="560" w:lineRule="exact"/>
        <w:ind w:firstLine="640" w:firstLineChars="200"/>
        <w:textAlignment w:val="auto"/>
        <w:outlineLvl w:val="9"/>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花钱必问效，无效必问责</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的理念深入工作每个环节。</w:t>
      </w:r>
    </w:p>
    <w:p w14:paraId="14155AFE">
      <w:pPr>
        <w:keepNext w:val="0"/>
        <w:keepLines w:val="0"/>
        <w:pageBreakBefore w:val="0"/>
        <w:widowControl w:val="0"/>
        <w:kinsoku/>
        <w:wordWrap w:val="0"/>
        <w:overflowPunct/>
        <w:topLinePunct/>
        <w:autoSpaceDE/>
        <w:autoSpaceDN/>
        <w:bidi w:val="0"/>
        <w:adjustRightInd/>
        <w:snapToGrid/>
        <w:spacing w:line="560" w:lineRule="exact"/>
        <w:ind w:firstLine="640" w:firstLineChars="200"/>
        <w:textAlignment w:val="auto"/>
        <w:outlineLvl w:val="0"/>
        <w:rPr>
          <w:rFonts w:hint="default" w:ascii="Times New Roman" w:hAnsi="Times New Roman" w:eastAsia="黑体" w:cs="Times New Roman"/>
          <w:sz w:val="32"/>
          <w:szCs w:val="32"/>
        </w:rPr>
      </w:pPr>
      <w:bookmarkStart w:id="63" w:name="_Toc3065"/>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64" w:name="page8"/>
      <w:bookmarkEnd w:id="64"/>
      <w:r>
        <w:rPr>
          <w:rFonts w:hint="default" w:ascii="Times New Roman" w:hAnsi="Times New Roman" w:eastAsia="黑体" w:cs="Times New Roman"/>
          <w:sz w:val="32"/>
          <w:szCs w:val="32"/>
        </w:rPr>
        <w:t>明的问题</w:t>
      </w:r>
      <w:bookmarkEnd w:id="63"/>
    </w:p>
    <w:p w14:paraId="5AE753D3">
      <w:pPr>
        <w:pStyle w:val="15"/>
        <w:keepNext w:val="0"/>
        <w:keepLines w:val="0"/>
        <w:pageBreakBefore w:val="0"/>
        <w:widowControl w:val="0"/>
        <w:kinsoku/>
        <w:wordWrap w:val="0"/>
        <w:overflowPunct/>
        <w:topLinePunct/>
        <w:autoSpaceDE/>
        <w:autoSpaceDN/>
        <w:bidi w:val="0"/>
        <w:adjustRightInd/>
        <w:snapToGrid/>
        <w:spacing w:after="0" w:line="560" w:lineRule="exact"/>
        <w:ind w:left="0" w:leftChars="0"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本项目无其他需说明的问题。</w:t>
      </w:r>
    </w:p>
    <w:p w14:paraId="30683AD0">
      <w:pPr>
        <w:pStyle w:val="15"/>
        <w:spacing w:after="0" w:line="560" w:lineRule="exact"/>
        <w:ind w:left="0" w:leftChars="0" w:firstLine="0" w:firstLineChars="0"/>
        <w:rPr>
          <w:rFonts w:hint="default" w:ascii="Times New Roman" w:hAnsi="Times New Roman" w:eastAsia="仿宋_GB2312" w:cs="Times New Roman"/>
          <w:sz w:val="32"/>
          <w:szCs w:val="32"/>
        </w:rPr>
      </w:pPr>
    </w:p>
    <w:p w14:paraId="1116C3DC">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2098" w:right="1531" w:bottom="1984" w:left="1531" w:header="851" w:footer="992" w:gutter="0"/>
          <w:pgNumType w:start="1"/>
          <w:cols w:space="425" w:num="1"/>
          <w:docGrid w:type="lines" w:linePitch="312" w:charSpace="0"/>
        </w:sectPr>
      </w:pPr>
    </w:p>
    <w:p w14:paraId="06FCB7AC">
      <w:pPr>
        <w:spacing w:line="600" w:lineRule="exact"/>
        <w:outlineLvl w:val="0"/>
        <w:rPr>
          <w:rFonts w:hint="default" w:eastAsia="黑体" w:cs="Times New Roman"/>
          <w:sz w:val="32"/>
          <w:szCs w:val="32"/>
          <w:lang w:val="en-US" w:eastAsia="zh-CN"/>
        </w:rPr>
      </w:pPr>
      <w:bookmarkStart w:id="65" w:name="_Toc15260"/>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bookmarkEnd w:id="65"/>
      <w:r>
        <w:rPr>
          <w:rFonts w:hint="eastAsia" w:eastAsia="黑体" w:cs="Times New Roman"/>
          <w:sz w:val="32"/>
          <w:szCs w:val="32"/>
          <w:lang w:val="en-US" w:eastAsia="zh-CN"/>
        </w:rPr>
        <w:t>评价指标体系</w:t>
      </w:r>
    </w:p>
    <w:p w14:paraId="05B4057C">
      <w:pPr>
        <w:pStyle w:val="24"/>
        <w:ind w:firstLine="562"/>
        <w:jc w:val="center"/>
        <w:rPr>
          <w:rFonts w:hint="eastAsia" w:ascii="仿宋_GB2312" w:hAnsi="仿宋_GB2312" w:eastAsia="仿宋_GB2312" w:cs="仿宋_GB2312"/>
          <w:sz w:val="28"/>
          <w:szCs w:val="40"/>
        </w:rPr>
      </w:pPr>
      <w:bookmarkStart w:id="66" w:name="_Toc26499_WPSOffice_Level2"/>
      <w:bookmarkStart w:id="67" w:name="_Toc30064_WPSOffice_Level1"/>
      <w:r>
        <w:rPr>
          <w:rFonts w:hint="eastAsia" w:ascii="仿宋_GB2312" w:hAnsi="仿宋_GB2312" w:eastAsia="仿宋_GB2312" w:cs="仿宋_GB2312"/>
          <w:b/>
          <w:bCs/>
          <w:sz w:val="28"/>
          <w:szCs w:val="40"/>
          <w:highlight w:val="none"/>
          <w:lang w:val="en-US" w:eastAsia="zh-CN"/>
        </w:rPr>
        <w:t>经营成本性项目</w:t>
      </w:r>
      <w:r>
        <w:rPr>
          <w:rFonts w:hint="eastAsia" w:ascii="仿宋_GB2312" w:hAnsi="仿宋_GB2312" w:eastAsia="仿宋_GB2312" w:cs="仿宋_GB2312"/>
          <w:b/>
          <w:bCs/>
          <w:sz w:val="28"/>
          <w:szCs w:val="40"/>
        </w:rPr>
        <w:t>绩效评价指标体系</w:t>
      </w:r>
      <w:bookmarkEnd w:id="66"/>
      <w:bookmarkEnd w:id="67"/>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2"/>
        <w:gridCol w:w="997"/>
        <w:gridCol w:w="1071"/>
        <w:gridCol w:w="1726"/>
        <w:gridCol w:w="5222"/>
        <w:gridCol w:w="1299"/>
        <w:gridCol w:w="1366"/>
      </w:tblGrid>
      <w:tr w14:paraId="7CB6BE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5" w:type="pct"/>
            <w:shd w:val="clear" w:color="auto" w:fill="FFFFFF"/>
            <w:vAlign w:val="center"/>
          </w:tcPr>
          <w:p w14:paraId="1C39B46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3" w:type="pct"/>
            <w:shd w:val="clear" w:color="auto" w:fill="FFFFFF"/>
            <w:vAlign w:val="center"/>
          </w:tcPr>
          <w:p w14:paraId="3CE9FCF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14:paraId="58BFD50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14:paraId="1AF6CB3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7" w:type="pct"/>
            <w:shd w:val="clear" w:color="auto" w:fill="FFFFFF"/>
            <w:vAlign w:val="center"/>
          </w:tcPr>
          <w:p w14:paraId="5127E69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14:paraId="29B3600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14:paraId="4B20A33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04C173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5" w:type="pct"/>
            <w:vMerge w:val="restart"/>
            <w:shd w:val="clear" w:color="auto" w:fill="FFFFFF"/>
            <w:vAlign w:val="center"/>
          </w:tcPr>
          <w:p w14:paraId="6D9F25E0">
            <w:pPr>
              <w:widowControl/>
              <w:spacing w:line="0" w:lineRule="atLeast"/>
              <w:jc w:val="center"/>
              <w:rPr>
                <w:rFonts w:hint="default" w:ascii="Times New Roman" w:hAnsi="Times New Roman" w:eastAsia="仿宋_GB2312" w:cs="Times New Roman"/>
                <w:color w:val="000000"/>
                <w:kern w:val="0"/>
                <w:sz w:val="18"/>
                <w:szCs w:val="18"/>
              </w:rPr>
            </w:pPr>
          </w:p>
          <w:p w14:paraId="28109CFF">
            <w:pPr>
              <w:widowControl/>
              <w:spacing w:line="0" w:lineRule="atLeast"/>
              <w:jc w:val="center"/>
              <w:rPr>
                <w:rFonts w:hint="default" w:ascii="Times New Roman" w:hAnsi="Times New Roman" w:eastAsia="仿宋_GB2312" w:cs="Times New Roman"/>
                <w:color w:val="000000"/>
                <w:kern w:val="0"/>
                <w:sz w:val="18"/>
                <w:szCs w:val="18"/>
              </w:rPr>
            </w:pPr>
          </w:p>
          <w:p w14:paraId="7141EF81">
            <w:pPr>
              <w:widowControl/>
              <w:spacing w:line="0" w:lineRule="atLeast"/>
              <w:jc w:val="center"/>
              <w:rPr>
                <w:rFonts w:hint="default" w:ascii="Times New Roman" w:hAnsi="Times New Roman" w:eastAsia="仿宋_GB2312" w:cs="Times New Roman"/>
                <w:color w:val="000000"/>
                <w:kern w:val="0"/>
                <w:sz w:val="18"/>
                <w:szCs w:val="18"/>
              </w:rPr>
            </w:pPr>
          </w:p>
          <w:p w14:paraId="69CEAF0B">
            <w:pPr>
              <w:widowControl/>
              <w:spacing w:line="0" w:lineRule="atLeast"/>
              <w:jc w:val="center"/>
              <w:rPr>
                <w:rFonts w:hint="default" w:ascii="Times New Roman" w:hAnsi="Times New Roman" w:eastAsia="仿宋_GB2312" w:cs="Times New Roman"/>
                <w:color w:val="000000"/>
                <w:kern w:val="0"/>
                <w:sz w:val="18"/>
                <w:szCs w:val="18"/>
              </w:rPr>
            </w:pPr>
          </w:p>
          <w:p w14:paraId="4CECA8EA">
            <w:pPr>
              <w:widowControl/>
              <w:spacing w:line="0" w:lineRule="atLeast"/>
              <w:jc w:val="center"/>
              <w:rPr>
                <w:rFonts w:hint="default" w:ascii="Times New Roman" w:hAnsi="Times New Roman" w:eastAsia="仿宋_GB2312" w:cs="Times New Roman"/>
                <w:color w:val="000000"/>
                <w:kern w:val="0"/>
                <w:sz w:val="18"/>
                <w:szCs w:val="18"/>
              </w:rPr>
            </w:pPr>
          </w:p>
          <w:p w14:paraId="02425725">
            <w:pPr>
              <w:widowControl/>
              <w:spacing w:line="0" w:lineRule="atLeast"/>
              <w:jc w:val="center"/>
              <w:rPr>
                <w:rFonts w:hint="default" w:ascii="Times New Roman" w:hAnsi="Times New Roman" w:eastAsia="仿宋_GB2312" w:cs="Times New Roman"/>
                <w:color w:val="000000"/>
                <w:kern w:val="0"/>
                <w:sz w:val="18"/>
                <w:szCs w:val="18"/>
              </w:rPr>
            </w:pPr>
          </w:p>
          <w:p w14:paraId="365F8F3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w:t>
            </w:r>
          </w:p>
        </w:tc>
        <w:tc>
          <w:tcPr>
            <w:tcW w:w="393" w:type="pct"/>
            <w:vMerge w:val="restart"/>
            <w:shd w:val="clear" w:color="auto" w:fill="FFFFFF"/>
            <w:vAlign w:val="center"/>
          </w:tcPr>
          <w:p w14:paraId="740AEF2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w:t>
            </w:r>
          </w:p>
        </w:tc>
        <w:tc>
          <w:tcPr>
            <w:tcW w:w="422" w:type="pct"/>
            <w:shd w:val="clear" w:color="auto" w:fill="FFFFFF"/>
            <w:vAlign w:val="center"/>
          </w:tcPr>
          <w:p w14:paraId="00D589E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1AF294E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14:paraId="6E38EDF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7" w:type="pct"/>
            <w:shd w:val="clear" w:color="auto" w:fill="FFFFFF"/>
            <w:vAlign w:val="center"/>
          </w:tcPr>
          <w:p w14:paraId="649E124C">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14:paraId="271F023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4DEE159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36ACC3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3517FF82">
            <w:pPr>
              <w:spacing w:line="0" w:lineRule="atLeast"/>
              <w:jc w:val="center"/>
              <w:rPr>
                <w:rFonts w:hint="default" w:ascii="Times New Roman" w:hAnsi="Times New Roman" w:eastAsia="仿宋_GB2312" w:cs="Times New Roman"/>
                <w:color w:val="000000"/>
                <w:kern w:val="0"/>
                <w:sz w:val="18"/>
                <w:szCs w:val="18"/>
              </w:rPr>
            </w:pPr>
          </w:p>
        </w:tc>
        <w:tc>
          <w:tcPr>
            <w:tcW w:w="393" w:type="pct"/>
            <w:vMerge w:val="continue"/>
            <w:shd w:val="clear" w:color="auto" w:fill="FFFFFF"/>
            <w:vAlign w:val="center"/>
          </w:tcPr>
          <w:p w14:paraId="2F16DB92">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1D8CC8B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1A434FE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14:paraId="7316A5D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7" w:type="pct"/>
            <w:shd w:val="clear" w:color="auto" w:fill="FFFFFF"/>
            <w:vAlign w:val="center"/>
          </w:tcPr>
          <w:p w14:paraId="3015A11A">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14:paraId="60814C4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14:paraId="69A2CD34">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98FCA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6684AFE2">
            <w:pPr>
              <w:spacing w:line="0" w:lineRule="atLeast"/>
              <w:jc w:val="center"/>
              <w:rPr>
                <w:rFonts w:hint="default" w:ascii="Times New Roman" w:hAnsi="Times New Roman" w:eastAsia="仿宋_GB2312" w:cs="Times New Roman"/>
                <w:color w:val="000000"/>
                <w:kern w:val="0"/>
                <w:sz w:val="18"/>
                <w:szCs w:val="18"/>
              </w:rPr>
            </w:pPr>
          </w:p>
        </w:tc>
        <w:tc>
          <w:tcPr>
            <w:tcW w:w="393" w:type="pct"/>
            <w:vMerge w:val="restart"/>
            <w:shd w:val="clear" w:color="auto" w:fill="FFFFFF"/>
            <w:vAlign w:val="center"/>
          </w:tcPr>
          <w:p w14:paraId="1240604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tc>
        <w:tc>
          <w:tcPr>
            <w:tcW w:w="422" w:type="pct"/>
            <w:shd w:val="clear" w:color="auto" w:fill="FFFFFF"/>
            <w:vAlign w:val="center"/>
          </w:tcPr>
          <w:p w14:paraId="2B16D60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5C62659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14:paraId="0F7E70F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7" w:type="pct"/>
            <w:shd w:val="clear" w:color="000000" w:fill="FFFFFF"/>
            <w:vAlign w:val="center"/>
          </w:tcPr>
          <w:p w14:paraId="74A7D151">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5755DC5C">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14:paraId="2DCFAAB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3DA8F0E5">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72D38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5" w:type="pct"/>
            <w:vMerge w:val="continue"/>
            <w:shd w:val="clear" w:color="auto" w:fill="FFFFFF"/>
            <w:vAlign w:val="center"/>
          </w:tcPr>
          <w:p w14:paraId="668937AD">
            <w:pPr>
              <w:widowControl/>
              <w:spacing w:line="0" w:lineRule="atLeast"/>
              <w:jc w:val="center"/>
              <w:rPr>
                <w:rFonts w:hint="default" w:ascii="Times New Roman" w:hAnsi="Times New Roman" w:eastAsia="仿宋_GB2312" w:cs="Times New Roman"/>
                <w:color w:val="000000"/>
                <w:kern w:val="0"/>
                <w:sz w:val="18"/>
                <w:szCs w:val="18"/>
              </w:rPr>
            </w:pPr>
          </w:p>
        </w:tc>
        <w:tc>
          <w:tcPr>
            <w:tcW w:w="393" w:type="pct"/>
            <w:vMerge w:val="continue"/>
            <w:shd w:val="clear" w:color="auto" w:fill="FFFFFF"/>
            <w:vAlign w:val="center"/>
          </w:tcPr>
          <w:p w14:paraId="66B30E28">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0494833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77544F5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14:paraId="70A5870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7" w:type="pct"/>
            <w:shd w:val="clear" w:color="000000" w:fill="FFFFFF"/>
            <w:vAlign w:val="center"/>
          </w:tcPr>
          <w:p w14:paraId="6F2DE43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14:paraId="727DFFE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14:paraId="70517D5D">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14:paraId="67657C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14:paraId="6637679A">
            <w:pPr>
              <w:spacing w:line="0" w:lineRule="atLeast"/>
              <w:jc w:val="center"/>
              <w:rPr>
                <w:rFonts w:hint="default" w:ascii="Times New Roman" w:hAnsi="Times New Roman" w:eastAsia="仿宋_GB2312" w:cs="Times New Roman"/>
                <w:color w:val="000000"/>
                <w:kern w:val="0"/>
                <w:sz w:val="18"/>
                <w:szCs w:val="18"/>
              </w:rPr>
            </w:pPr>
          </w:p>
        </w:tc>
        <w:tc>
          <w:tcPr>
            <w:tcW w:w="393" w:type="pct"/>
            <w:vMerge w:val="restart"/>
            <w:shd w:val="clear" w:color="auto" w:fill="FFFFFF"/>
            <w:vAlign w:val="center"/>
          </w:tcPr>
          <w:p w14:paraId="31A413E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4FAB642F">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2A499DA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6BAD827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14:paraId="2389DA7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7" w:type="pct"/>
            <w:shd w:val="clear" w:color="auto" w:fill="FFFFFF"/>
            <w:vAlign w:val="center"/>
          </w:tcPr>
          <w:p w14:paraId="5C7DCCC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14:paraId="071E714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5FC1C2B6">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6F1BAD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14:paraId="09699DDE">
            <w:pPr>
              <w:widowControl/>
              <w:spacing w:line="0" w:lineRule="atLeast"/>
              <w:jc w:val="center"/>
              <w:rPr>
                <w:rFonts w:hint="default" w:ascii="Times New Roman" w:hAnsi="Times New Roman" w:eastAsia="仿宋_GB2312" w:cs="Times New Roman"/>
                <w:color w:val="000000"/>
                <w:kern w:val="0"/>
                <w:sz w:val="18"/>
                <w:szCs w:val="18"/>
              </w:rPr>
            </w:pPr>
          </w:p>
        </w:tc>
        <w:tc>
          <w:tcPr>
            <w:tcW w:w="393" w:type="pct"/>
            <w:vMerge w:val="continue"/>
            <w:shd w:val="clear" w:color="auto" w:fill="FFFFFF"/>
            <w:vAlign w:val="center"/>
          </w:tcPr>
          <w:p w14:paraId="1C291C03">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61A3E5E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6AE810E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14:paraId="56787EC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7" w:type="pct"/>
            <w:shd w:val="clear" w:color="auto" w:fill="FFFFFF"/>
            <w:vAlign w:val="center"/>
          </w:tcPr>
          <w:p w14:paraId="01BF95D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14:paraId="38C2ABF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56D2AC36">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none"/>
                <w:lang w:val="en-US" w:eastAsia="zh-CN"/>
              </w:rPr>
              <w:t>4</w:t>
            </w:r>
          </w:p>
        </w:tc>
      </w:tr>
      <w:tr w14:paraId="227CC8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14:paraId="53C29334">
            <w:pPr>
              <w:spacing w:line="0" w:lineRule="atLeast"/>
              <w:jc w:val="center"/>
              <w:rPr>
                <w:rFonts w:hint="default" w:ascii="Times New Roman" w:hAnsi="Times New Roman" w:eastAsia="仿宋_GB2312" w:cs="Times New Roman"/>
                <w:color w:val="000000"/>
                <w:kern w:val="0"/>
                <w:sz w:val="18"/>
                <w:szCs w:val="18"/>
              </w:rPr>
            </w:pPr>
          </w:p>
          <w:p w14:paraId="13BC415C">
            <w:pPr>
              <w:spacing w:line="0" w:lineRule="atLeast"/>
              <w:jc w:val="center"/>
              <w:rPr>
                <w:rFonts w:hint="default" w:ascii="Times New Roman" w:hAnsi="Times New Roman" w:eastAsia="仿宋_GB2312" w:cs="Times New Roman"/>
                <w:color w:val="000000"/>
                <w:kern w:val="0"/>
                <w:sz w:val="18"/>
                <w:szCs w:val="18"/>
              </w:rPr>
            </w:pPr>
          </w:p>
          <w:p w14:paraId="4B698451">
            <w:pPr>
              <w:spacing w:line="0" w:lineRule="atLeast"/>
              <w:jc w:val="center"/>
              <w:rPr>
                <w:rFonts w:hint="default" w:ascii="Times New Roman" w:hAnsi="Times New Roman" w:eastAsia="仿宋_GB2312" w:cs="Times New Roman"/>
                <w:color w:val="000000"/>
                <w:kern w:val="0"/>
                <w:sz w:val="18"/>
                <w:szCs w:val="18"/>
              </w:rPr>
            </w:pPr>
          </w:p>
          <w:p w14:paraId="7A1EC476">
            <w:pPr>
              <w:spacing w:line="0" w:lineRule="atLeast"/>
              <w:jc w:val="center"/>
              <w:rPr>
                <w:rFonts w:hint="default" w:ascii="Times New Roman" w:hAnsi="Times New Roman" w:eastAsia="仿宋_GB2312" w:cs="Times New Roman"/>
                <w:color w:val="000000"/>
                <w:kern w:val="0"/>
                <w:sz w:val="18"/>
                <w:szCs w:val="18"/>
              </w:rPr>
            </w:pPr>
          </w:p>
          <w:p w14:paraId="63CA6A98">
            <w:pPr>
              <w:spacing w:line="0" w:lineRule="atLeast"/>
              <w:jc w:val="center"/>
              <w:rPr>
                <w:rFonts w:hint="default" w:ascii="Times New Roman" w:hAnsi="Times New Roman" w:eastAsia="仿宋_GB2312" w:cs="Times New Roman"/>
                <w:color w:val="000000"/>
                <w:kern w:val="0"/>
                <w:sz w:val="18"/>
                <w:szCs w:val="18"/>
              </w:rPr>
            </w:pPr>
          </w:p>
          <w:p w14:paraId="24F33DEF">
            <w:pPr>
              <w:spacing w:line="0" w:lineRule="atLeast"/>
              <w:jc w:val="center"/>
              <w:rPr>
                <w:rFonts w:hint="default" w:ascii="Times New Roman" w:hAnsi="Times New Roman" w:eastAsia="仿宋_GB2312" w:cs="Times New Roman"/>
                <w:color w:val="000000"/>
                <w:kern w:val="0"/>
                <w:sz w:val="18"/>
                <w:szCs w:val="18"/>
              </w:rPr>
            </w:pPr>
          </w:p>
          <w:p w14:paraId="3113515B">
            <w:pPr>
              <w:spacing w:line="0" w:lineRule="atLeast"/>
              <w:jc w:val="center"/>
              <w:rPr>
                <w:rFonts w:hint="default" w:ascii="Times New Roman" w:hAnsi="Times New Roman" w:eastAsia="仿宋_GB2312" w:cs="Times New Roman"/>
                <w:color w:val="000000"/>
                <w:kern w:val="0"/>
                <w:sz w:val="18"/>
                <w:szCs w:val="18"/>
              </w:rPr>
            </w:pPr>
          </w:p>
          <w:p w14:paraId="1D0181E9">
            <w:pPr>
              <w:spacing w:line="0" w:lineRule="atLeast"/>
              <w:jc w:val="center"/>
              <w:rPr>
                <w:rFonts w:hint="default" w:ascii="Times New Roman" w:hAnsi="Times New Roman" w:eastAsia="仿宋_GB2312" w:cs="Times New Roman"/>
                <w:color w:val="000000"/>
                <w:kern w:val="0"/>
                <w:sz w:val="18"/>
                <w:szCs w:val="18"/>
              </w:rPr>
            </w:pPr>
          </w:p>
          <w:p w14:paraId="03127726">
            <w:pPr>
              <w:spacing w:line="0" w:lineRule="atLeast"/>
              <w:jc w:val="center"/>
              <w:rPr>
                <w:rFonts w:hint="default" w:ascii="Times New Roman" w:hAnsi="Times New Roman" w:eastAsia="仿宋_GB2312" w:cs="Times New Roman"/>
                <w:color w:val="000000"/>
                <w:kern w:val="0"/>
                <w:sz w:val="18"/>
                <w:szCs w:val="18"/>
              </w:rPr>
            </w:pPr>
          </w:p>
          <w:p w14:paraId="3C7DF633">
            <w:pPr>
              <w:spacing w:line="0" w:lineRule="atLeast"/>
              <w:jc w:val="center"/>
              <w:rPr>
                <w:rFonts w:hint="default" w:ascii="Times New Roman" w:hAnsi="Times New Roman" w:eastAsia="仿宋_GB2312" w:cs="Times New Roman"/>
                <w:color w:val="000000"/>
                <w:kern w:val="0"/>
                <w:sz w:val="18"/>
                <w:szCs w:val="18"/>
              </w:rPr>
            </w:pPr>
          </w:p>
          <w:p w14:paraId="3F2BE225">
            <w:pPr>
              <w:spacing w:line="0" w:lineRule="atLeast"/>
              <w:jc w:val="center"/>
              <w:rPr>
                <w:rFonts w:hint="default" w:ascii="Times New Roman" w:hAnsi="Times New Roman" w:eastAsia="仿宋_GB2312" w:cs="Times New Roman"/>
                <w:color w:val="000000"/>
                <w:kern w:val="0"/>
                <w:sz w:val="18"/>
                <w:szCs w:val="18"/>
              </w:rPr>
            </w:pPr>
          </w:p>
          <w:p w14:paraId="5F4BEA19">
            <w:pPr>
              <w:spacing w:line="0" w:lineRule="atLeast"/>
              <w:jc w:val="center"/>
              <w:rPr>
                <w:rFonts w:hint="default" w:ascii="Times New Roman" w:hAnsi="Times New Roman" w:eastAsia="仿宋_GB2312" w:cs="Times New Roman"/>
                <w:color w:val="000000"/>
                <w:kern w:val="0"/>
                <w:sz w:val="18"/>
                <w:szCs w:val="18"/>
              </w:rPr>
            </w:pPr>
          </w:p>
          <w:p w14:paraId="0F01CE3A">
            <w:pPr>
              <w:spacing w:line="0" w:lineRule="atLeast"/>
              <w:jc w:val="center"/>
              <w:rPr>
                <w:rFonts w:hint="default" w:ascii="Times New Roman" w:hAnsi="Times New Roman" w:eastAsia="仿宋_GB2312" w:cs="Times New Roman"/>
                <w:color w:val="000000"/>
                <w:kern w:val="0"/>
                <w:sz w:val="18"/>
                <w:szCs w:val="18"/>
              </w:rPr>
            </w:pPr>
          </w:p>
          <w:p w14:paraId="4EC37200">
            <w:pPr>
              <w:spacing w:line="0" w:lineRule="atLeast"/>
              <w:jc w:val="center"/>
              <w:rPr>
                <w:rFonts w:hint="default" w:ascii="Times New Roman" w:hAnsi="Times New Roman" w:eastAsia="仿宋_GB2312" w:cs="Times New Roman"/>
                <w:color w:val="000000"/>
                <w:kern w:val="0"/>
                <w:sz w:val="18"/>
                <w:szCs w:val="18"/>
              </w:rPr>
            </w:pPr>
          </w:p>
          <w:p w14:paraId="6C6A90F2">
            <w:pPr>
              <w:spacing w:line="0" w:lineRule="atLeast"/>
              <w:jc w:val="center"/>
              <w:rPr>
                <w:rFonts w:hint="default" w:ascii="Times New Roman" w:hAnsi="Times New Roman" w:eastAsia="仿宋_GB2312" w:cs="Times New Roman"/>
                <w:color w:val="000000"/>
                <w:kern w:val="0"/>
                <w:sz w:val="18"/>
                <w:szCs w:val="18"/>
              </w:rPr>
            </w:pPr>
          </w:p>
          <w:p w14:paraId="7D1B6341">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2B30F6E5">
            <w:pPr>
              <w:widowControl/>
              <w:spacing w:line="0" w:lineRule="atLeast"/>
              <w:jc w:val="center"/>
              <w:rPr>
                <w:rFonts w:hint="default" w:ascii="Times New Roman" w:hAnsi="Times New Roman" w:eastAsia="仿宋_GB2312" w:cs="Times New Roman"/>
                <w:color w:val="000000"/>
                <w:kern w:val="0"/>
                <w:sz w:val="18"/>
                <w:szCs w:val="18"/>
              </w:rPr>
            </w:pPr>
          </w:p>
        </w:tc>
        <w:tc>
          <w:tcPr>
            <w:tcW w:w="393" w:type="pct"/>
            <w:vMerge w:val="restart"/>
            <w:shd w:val="clear" w:color="auto" w:fill="FFFFFF"/>
            <w:vAlign w:val="center"/>
          </w:tcPr>
          <w:p w14:paraId="200934F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51A49BB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14:paraId="5210694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7" w:type="pct"/>
            <w:shd w:val="clear" w:color="000000" w:fill="FFFFFF"/>
            <w:vAlign w:val="center"/>
          </w:tcPr>
          <w:p w14:paraId="03ED179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3994AF6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6E245E3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14:paraId="4254E4D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7BEDBC0E">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none"/>
                <w:lang w:val="en-US" w:eastAsia="zh-CN"/>
              </w:rPr>
              <w:t>4</w:t>
            </w:r>
          </w:p>
        </w:tc>
      </w:tr>
      <w:tr w14:paraId="0E036D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14:paraId="440C0732">
            <w:pPr>
              <w:spacing w:line="0" w:lineRule="atLeast"/>
              <w:jc w:val="center"/>
              <w:rPr>
                <w:rFonts w:hint="default" w:ascii="Times New Roman" w:hAnsi="Times New Roman" w:eastAsia="仿宋_GB2312" w:cs="Times New Roman"/>
                <w:color w:val="000000"/>
                <w:kern w:val="0"/>
                <w:sz w:val="18"/>
                <w:szCs w:val="18"/>
              </w:rPr>
            </w:pPr>
          </w:p>
        </w:tc>
        <w:tc>
          <w:tcPr>
            <w:tcW w:w="393" w:type="pct"/>
            <w:vMerge w:val="continue"/>
            <w:shd w:val="clear" w:color="auto" w:fill="FFFFFF"/>
            <w:vAlign w:val="center"/>
          </w:tcPr>
          <w:p w14:paraId="766C72D3">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67A2828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14:paraId="344BE52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7" w:type="pct"/>
            <w:shd w:val="clear" w:color="auto" w:fill="FFFFFF"/>
            <w:vAlign w:val="center"/>
          </w:tcPr>
          <w:p w14:paraId="6E74E0D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14:paraId="1EEA599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14:paraId="3ACF907B">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18DE70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56FC4D6E">
            <w:pPr>
              <w:spacing w:line="0" w:lineRule="atLeast"/>
              <w:jc w:val="center"/>
              <w:rPr>
                <w:rFonts w:hint="default" w:ascii="Times New Roman" w:hAnsi="Times New Roman" w:eastAsia="仿宋_GB2312" w:cs="Times New Roman"/>
                <w:color w:val="000000"/>
                <w:kern w:val="0"/>
                <w:sz w:val="18"/>
                <w:szCs w:val="18"/>
              </w:rPr>
            </w:pPr>
          </w:p>
        </w:tc>
        <w:tc>
          <w:tcPr>
            <w:tcW w:w="393" w:type="pct"/>
            <w:shd w:val="clear" w:color="auto" w:fill="FFFFFF"/>
            <w:vAlign w:val="center"/>
          </w:tcPr>
          <w:p w14:paraId="51B9AFC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14:paraId="2486C45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4705CB1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14:paraId="45D59D3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7" w:type="pct"/>
            <w:shd w:val="clear" w:color="000000" w:fill="FFFFFF"/>
            <w:vAlign w:val="center"/>
          </w:tcPr>
          <w:p w14:paraId="6D6E8CC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14:paraId="54702AC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7C57BAAA">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72C3EA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14:paraId="3F8D9881">
            <w:pPr>
              <w:spacing w:line="0" w:lineRule="atLeast"/>
              <w:jc w:val="center"/>
              <w:rPr>
                <w:rFonts w:hint="default" w:ascii="Times New Roman" w:hAnsi="Times New Roman" w:eastAsia="仿宋_GB2312" w:cs="Times New Roman"/>
                <w:color w:val="000000"/>
                <w:kern w:val="0"/>
                <w:sz w:val="18"/>
                <w:szCs w:val="18"/>
              </w:rPr>
            </w:pPr>
          </w:p>
        </w:tc>
        <w:tc>
          <w:tcPr>
            <w:tcW w:w="393" w:type="pct"/>
            <w:vMerge w:val="restart"/>
            <w:shd w:val="clear" w:color="auto" w:fill="FFFFFF"/>
            <w:vAlign w:val="center"/>
          </w:tcPr>
          <w:p w14:paraId="4254B34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6077F0CD">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32B45D1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3B46CCE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14:paraId="01E067B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7" w:type="pct"/>
            <w:shd w:val="clear" w:color="000000" w:fill="FFFFFF"/>
            <w:vAlign w:val="center"/>
          </w:tcPr>
          <w:p w14:paraId="5D79828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14:paraId="3E06AF6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7E3D8F8F">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73598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14:paraId="138BB84A">
            <w:pPr>
              <w:widowControl/>
              <w:spacing w:line="0" w:lineRule="atLeast"/>
              <w:jc w:val="center"/>
              <w:rPr>
                <w:rFonts w:hint="default" w:ascii="Times New Roman" w:hAnsi="Times New Roman" w:eastAsia="仿宋_GB2312" w:cs="Times New Roman"/>
                <w:color w:val="000000"/>
                <w:kern w:val="0"/>
                <w:sz w:val="18"/>
                <w:szCs w:val="18"/>
              </w:rPr>
            </w:pPr>
          </w:p>
        </w:tc>
        <w:tc>
          <w:tcPr>
            <w:tcW w:w="393" w:type="pct"/>
            <w:vMerge w:val="continue"/>
            <w:shd w:val="clear" w:color="auto" w:fill="FFFFFF"/>
            <w:vAlign w:val="center"/>
          </w:tcPr>
          <w:p w14:paraId="4ED80722">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52286F3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064E40E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14:paraId="7573BDF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7" w:type="pct"/>
            <w:shd w:val="clear" w:color="000000" w:fill="FFFFFF"/>
            <w:vAlign w:val="center"/>
          </w:tcPr>
          <w:p w14:paraId="574A1B5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14:paraId="758098F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14:paraId="2C1602B3">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14:paraId="5B8459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14:paraId="0DD08B6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3" w:type="pct"/>
            <w:shd w:val="clear" w:color="auto" w:fill="FFFFFF"/>
            <w:vAlign w:val="center"/>
          </w:tcPr>
          <w:p w14:paraId="027A159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14:paraId="451CB69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14:paraId="2DE86E4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7" w:type="pct"/>
            <w:shd w:val="clear" w:color="000000" w:fill="FFFFFF"/>
            <w:vAlign w:val="center"/>
          </w:tcPr>
          <w:p w14:paraId="1049F7E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4858BC4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3B8A104D">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30497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14:paraId="47856E2D">
            <w:pPr>
              <w:widowControl/>
              <w:spacing w:line="0" w:lineRule="atLeast"/>
              <w:jc w:val="center"/>
              <w:rPr>
                <w:rFonts w:hint="default" w:ascii="Times New Roman" w:hAnsi="Times New Roman" w:eastAsia="仿宋_GB2312" w:cs="Times New Roman"/>
                <w:color w:val="000000"/>
                <w:kern w:val="0"/>
                <w:sz w:val="18"/>
                <w:szCs w:val="18"/>
              </w:rPr>
            </w:pPr>
          </w:p>
        </w:tc>
        <w:tc>
          <w:tcPr>
            <w:tcW w:w="393" w:type="pct"/>
            <w:shd w:val="clear" w:color="auto" w:fill="FFFFFF"/>
            <w:vAlign w:val="center"/>
          </w:tcPr>
          <w:p w14:paraId="4BE10B9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14:paraId="03886AD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14:paraId="1829B83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7" w:type="pct"/>
            <w:shd w:val="clear" w:color="000000" w:fill="FFFFFF"/>
            <w:vAlign w:val="center"/>
          </w:tcPr>
          <w:p w14:paraId="5DB3C5C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58E9328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4C34D8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5C111893">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9E1D2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14:paraId="1689AEBF">
            <w:pPr>
              <w:spacing w:line="0" w:lineRule="atLeast"/>
              <w:jc w:val="center"/>
              <w:rPr>
                <w:rFonts w:hint="default" w:ascii="Times New Roman" w:hAnsi="Times New Roman" w:eastAsia="仿宋_GB2312" w:cs="Times New Roman"/>
                <w:color w:val="000000"/>
                <w:kern w:val="0"/>
                <w:sz w:val="18"/>
                <w:szCs w:val="18"/>
              </w:rPr>
            </w:pPr>
          </w:p>
        </w:tc>
        <w:tc>
          <w:tcPr>
            <w:tcW w:w="393" w:type="pct"/>
            <w:shd w:val="clear" w:color="auto" w:fill="FFFFFF"/>
            <w:vAlign w:val="center"/>
          </w:tcPr>
          <w:p w14:paraId="4A976F74">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14:paraId="7626AB8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14:paraId="4A5BDFC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7" w:type="pct"/>
            <w:shd w:val="clear" w:color="000000" w:fill="FFFFFF"/>
            <w:vAlign w:val="center"/>
          </w:tcPr>
          <w:p w14:paraId="508E381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14:paraId="753FF48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36B89551">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1032F1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2FA6C406">
            <w:pPr>
              <w:widowControl/>
              <w:spacing w:line="0" w:lineRule="atLeast"/>
              <w:jc w:val="center"/>
              <w:rPr>
                <w:rFonts w:hint="default" w:ascii="Times New Roman" w:hAnsi="Times New Roman" w:eastAsia="仿宋_GB2312" w:cs="Times New Roman"/>
                <w:color w:val="000000"/>
                <w:kern w:val="0"/>
                <w:sz w:val="18"/>
                <w:szCs w:val="18"/>
              </w:rPr>
            </w:pPr>
          </w:p>
        </w:tc>
        <w:tc>
          <w:tcPr>
            <w:tcW w:w="393" w:type="pct"/>
            <w:shd w:val="clear" w:color="auto" w:fill="FFFFFF"/>
            <w:vAlign w:val="center"/>
          </w:tcPr>
          <w:p w14:paraId="4A3673A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14:paraId="37BFF29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14:paraId="38A3295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7" w:type="pct"/>
            <w:shd w:val="clear" w:color="000000" w:fill="FFFFFF"/>
            <w:vAlign w:val="center"/>
          </w:tcPr>
          <w:p w14:paraId="6181523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14:paraId="15DEF68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1828DFFC">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7C4C85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5" w:type="pct"/>
            <w:vMerge w:val="restart"/>
            <w:shd w:val="clear" w:color="auto" w:fill="FFFFFF"/>
            <w:vAlign w:val="center"/>
          </w:tcPr>
          <w:p w14:paraId="61D0F5C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w:t>
            </w:r>
          </w:p>
        </w:tc>
        <w:tc>
          <w:tcPr>
            <w:tcW w:w="393" w:type="pct"/>
            <w:vMerge w:val="restart"/>
            <w:shd w:val="clear" w:color="auto" w:fill="FFFFFF"/>
            <w:vAlign w:val="center"/>
          </w:tcPr>
          <w:p w14:paraId="136B923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w:t>
            </w:r>
          </w:p>
        </w:tc>
        <w:tc>
          <w:tcPr>
            <w:tcW w:w="422" w:type="pct"/>
            <w:shd w:val="clear" w:color="auto" w:fill="FFFFFF"/>
            <w:vAlign w:val="center"/>
          </w:tcPr>
          <w:p w14:paraId="3881144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14:paraId="023EA839">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7" w:type="pct"/>
            <w:shd w:val="clear" w:color="auto" w:fill="FFFFFF"/>
            <w:vAlign w:val="center"/>
          </w:tcPr>
          <w:p w14:paraId="460BA3B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3ECBAE3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14:paraId="10CF9434">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2ADB80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5" w:type="pct"/>
            <w:vMerge w:val="continue"/>
            <w:shd w:val="clear" w:color="auto" w:fill="FFFFFF"/>
            <w:vAlign w:val="center"/>
          </w:tcPr>
          <w:p w14:paraId="55A12F59">
            <w:pPr>
              <w:widowControl/>
              <w:spacing w:line="0" w:lineRule="atLeast"/>
              <w:jc w:val="center"/>
              <w:rPr>
                <w:rFonts w:hint="default" w:ascii="Times New Roman" w:hAnsi="Times New Roman" w:eastAsia="仿宋_GB2312" w:cs="Times New Roman"/>
                <w:color w:val="000000"/>
                <w:kern w:val="0"/>
                <w:sz w:val="18"/>
                <w:szCs w:val="18"/>
              </w:rPr>
            </w:pPr>
          </w:p>
        </w:tc>
        <w:tc>
          <w:tcPr>
            <w:tcW w:w="393" w:type="pct"/>
            <w:vMerge w:val="continue"/>
            <w:shd w:val="clear" w:color="auto" w:fill="FFFFFF"/>
            <w:vAlign w:val="center"/>
          </w:tcPr>
          <w:p w14:paraId="394291C7">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14:paraId="4CC6C8B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14:paraId="5257207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7" w:type="pct"/>
            <w:shd w:val="clear" w:color="000000" w:fill="FFFFFF"/>
            <w:vAlign w:val="center"/>
          </w:tcPr>
          <w:p w14:paraId="474B5E7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55A118A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14:paraId="609655AA">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14:paraId="04130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jc w:val="center"/>
        </w:trPr>
        <w:tc>
          <w:tcPr>
            <w:tcW w:w="3948" w:type="pct"/>
            <w:gridSpan w:val="5"/>
            <w:shd w:val="clear" w:color="auto" w:fill="FFFFFF"/>
            <w:vAlign w:val="center"/>
          </w:tcPr>
          <w:p w14:paraId="11FAB88E">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512" w:type="pct"/>
            <w:shd w:val="clear" w:color="000000" w:fill="FFFFFF"/>
            <w:vAlign w:val="center"/>
          </w:tcPr>
          <w:p w14:paraId="6379DB2C">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100</w:t>
            </w:r>
          </w:p>
        </w:tc>
        <w:tc>
          <w:tcPr>
            <w:tcW w:w="538" w:type="pct"/>
            <w:shd w:val="clear" w:color="000000" w:fill="FFFFFF"/>
            <w:vAlign w:val="center"/>
          </w:tcPr>
          <w:p w14:paraId="26A696CE">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14:paraId="64994FDF">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14:paraId="349C4D26">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hint="default" w:ascii="黑体" w:hAnsi="黑体" w:eastAsia="黑体" w:cs="黑体"/>
          <w:b/>
          <w:bCs/>
          <w:i w:val="0"/>
          <w:iCs w:val="0"/>
          <w:color w:val="000000"/>
          <w:kern w:val="0"/>
          <w:sz w:val="32"/>
          <w:szCs w:val="32"/>
          <w:u w:val="none"/>
          <w:lang w:val="en-US" w:eastAsia="zh-CN"/>
        </w:rPr>
      </w:pPr>
      <w:bookmarkStart w:id="68" w:name="_Toc17917"/>
      <w:r>
        <w:rPr>
          <w:rFonts w:hint="eastAsia" w:ascii="黑体" w:hAnsi="黑体" w:eastAsia="黑体" w:cs="黑体"/>
          <w:b/>
          <w:bCs/>
          <w:i w:val="0"/>
          <w:iCs w:val="0"/>
          <w:color w:val="000000"/>
          <w:kern w:val="0"/>
          <w:sz w:val="32"/>
          <w:szCs w:val="32"/>
          <w:u w:val="none"/>
          <w:lang w:val="en-US" w:eastAsia="zh-CN"/>
        </w:rPr>
        <w:t>附件2</w:t>
      </w:r>
      <w:bookmarkEnd w:id="68"/>
      <w:r>
        <w:rPr>
          <w:rFonts w:hint="eastAsia" w:ascii="黑体" w:hAnsi="黑体" w:eastAsia="黑体" w:cs="黑体"/>
          <w:b/>
          <w:bCs/>
          <w:i w:val="0"/>
          <w:iCs w:val="0"/>
          <w:color w:val="000000"/>
          <w:kern w:val="0"/>
          <w:sz w:val="32"/>
          <w:szCs w:val="32"/>
          <w:u w:val="none"/>
          <w:lang w:val="en-US" w:eastAsia="zh-CN"/>
        </w:rPr>
        <w:t>项目支出绩效自评表</w:t>
      </w:r>
    </w:p>
    <w:p w14:paraId="73721A35">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rPr>
      </w:pPr>
      <w:r>
        <w:rPr>
          <w:rFonts w:hint="eastAsia" w:ascii="仿宋_GB2312" w:hAnsi="仿宋_GB2312" w:eastAsia="仿宋_GB2312" w:cs="仿宋_GB2312"/>
          <w:b/>
          <w:bCs/>
          <w:i w:val="0"/>
          <w:iCs w:val="0"/>
          <w:color w:val="000000"/>
          <w:kern w:val="0"/>
          <w:sz w:val="28"/>
          <w:szCs w:val="28"/>
          <w:u w:val="none"/>
          <w:lang w:val="en-US" w:eastAsia="zh-CN"/>
        </w:rPr>
        <w:t>项目支出绩效自评表</w:t>
      </w:r>
    </w:p>
    <w:p w14:paraId="3215158E">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rPr>
      </w:pPr>
      <w:r>
        <w:rPr>
          <w:rFonts w:hint="default" w:ascii="Times New Roman" w:hAnsi="Times New Roman" w:eastAsia="仿宋_GB2312" w:cs="Times New Roman"/>
          <w:b/>
          <w:bCs/>
          <w:i w:val="0"/>
          <w:iCs w:val="0"/>
          <w:color w:val="000000"/>
          <w:kern w:val="0"/>
          <w:sz w:val="22"/>
          <w:szCs w:val="22"/>
          <w:u w:val="none"/>
          <w:lang w:val="en-US" w:eastAsia="zh-CN"/>
        </w:rPr>
        <w:t>（202</w:t>
      </w:r>
      <w:r>
        <w:rPr>
          <w:rFonts w:hint="eastAsia" w:eastAsia="仿宋_GB2312" w:cs="Times New Roman"/>
          <w:b/>
          <w:bCs/>
          <w:i w:val="0"/>
          <w:iCs w:val="0"/>
          <w:color w:val="000000"/>
          <w:kern w:val="0"/>
          <w:sz w:val="22"/>
          <w:szCs w:val="22"/>
          <w:u w:val="none"/>
          <w:lang w:val="en-US" w:eastAsia="zh-CN"/>
        </w:rPr>
        <w:t>5</w:t>
      </w:r>
      <w:r>
        <w:rPr>
          <w:rFonts w:hint="default" w:ascii="Times New Roman" w:hAnsi="Times New Roman" w:eastAsia="仿宋_GB2312" w:cs="Times New Roman"/>
          <w:b/>
          <w:bCs/>
          <w:i w:val="0"/>
          <w:iCs w:val="0"/>
          <w:color w:val="000000"/>
          <w:kern w:val="0"/>
          <w:sz w:val="22"/>
          <w:szCs w:val="22"/>
          <w:u w:val="none"/>
          <w:lang w:val="en-US" w:eastAsia="zh-CN"/>
        </w:rPr>
        <w:t>年度）</w:t>
      </w:r>
    </w:p>
    <w:tbl>
      <w:tblPr>
        <w:tblStyle w:val="16"/>
        <w:tblW w:w="15889" w:type="dxa"/>
        <w:tblInd w:w="-1094"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1"/>
        <w:gridCol w:w="1142"/>
        <w:gridCol w:w="1281"/>
        <w:gridCol w:w="2213"/>
        <w:gridCol w:w="1133"/>
        <w:gridCol w:w="922"/>
        <w:gridCol w:w="769"/>
        <w:gridCol w:w="693"/>
        <w:gridCol w:w="793"/>
        <w:gridCol w:w="585"/>
        <w:gridCol w:w="888"/>
        <w:gridCol w:w="739"/>
        <w:gridCol w:w="831"/>
        <w:gridCol w:w="2919"/>
      </w:tblGrid>
      <w:tr w14:paraId="1B069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1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D6D923">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项目名称</w:t>
            </w:r>
          </w:p>
        </w:tc>
        <w:tc>
          <w:tcPr>
            <w:tcW w:w="13766"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C7F1E5A">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经营成本性项目</w:t>
            </w:r>
          </w:p>
        </w:tc>
      </w:tr>
      <w:tr w14:paraId="72F8F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12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5FFA4B">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主管部门</w:t>
            </w:r>
          </w:p>
        </w:tc>
        <w:tc>
          <w:tcPr>
            <w:tcW w:w="631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9480705">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新疆维吾尔自治区水利厅</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2A5E6B">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实施单位</w:t>
            </w:r>
          </w:p>
        </w:tc>
        <w:tc>
          <w:tcPr>
            <w:tcW w:w="59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01E1477">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新疆维吾尔自治区头屯河流域水利管理中心</w:t>
            </w:r>
          </w:p>
        </w:tc>
      </w:tr>
      <w:tr w14:paraId="4FCE7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212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8B0A2D">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项目资金</w:t>
            </w:r>
            <w:r>
              <w:rPr>
                <w:rFonts w:hint="eastAsia" w:ascii="仿宋_GB2312" w:hAnsi="仿宋_GB2312" w:eastAsia="仿宋_GB2312" w:cs="仿宋_GB2312"/>
                <w:i w:val="0"/>
                <w:iCs w:val="0"/>
                <w:color w:val="000000"/>
                <w:kern w:val="0"/>
                <w:sz w:val="15"/>
                <w:szCs w:val="15"/>
                <w:u w:val="none"/>
                <w:lang w:val="en-US" w:eastAsia="zh-CN"/>
              </w:rPr>
              <w:br w:type="textWrapping"/>
            </w:r>
            <w:r>
              <w:rPr>
                <w:rFonts w:hint="eastAsia" w:ascii="仿宋_GB2312" w:hAnsi="仿宋_GB2312" w:eastAsia="仿宋_GB2312" w:cs="仿宋_GB2312"/>
                <w:i w:val="0"/>
                <w:iCs w:val="0"/>
                <w:color w:val="000000"/>
                <w:kern w:val="0"/>
                <w:sz w:val="15"/>
                <w:szCs w:val="15"/>
                <w:u w:val="none"/>
                <w:lang w:val="en-US" w:eastAsia="zh-CN"/>
              </w:rPr>
              <w:t>（万元）</w:t>
            </w:r>
          </w:p>
        </w:tc>
        <w:tc>
          <w:tcPr>
            <w:tcW w:w="34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78FE57">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资金来源</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37F6F">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年初预算数</w:t>
            </w:r>
          </w:p>
        </w:tc>
        <w:tc>
          <w:tcPr>
            <w:tcW w:w="16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7E5CB8">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全年预算数</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B898D6">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全年执行数</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DC9148">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分值权重</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66CCBE">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执行率</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4FFB7">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得分</w:t>
            </w:r>
          </w:p>
        </w:tc>
      </w:tr>
      <w:tr w14:paraId="1CCDD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1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459FD">
            <w:pPr>
              <w:jc w:val="center"/>
              <w:rPr>
                <w:rFonts w:hint="eastAsia" w:ascii="仿宋_GB2312" w:hAnsi="仿宋_GB2312" w:eastAsia="仿宋_GB2312" w:cs="仿宋_GB2312"/>
                <w:i w:val="0"/>
                <w:iCs w:val="0"/>
                <w:color w:val="000000"/>
                <w:sz w:val="15"/>
                <w:szCs w:val="15"/>
                <w:u w:val="none"/>
              </w:rPr>
            </w:pPr>
          </w:p>
        </w:tc>
        <w:tc>
          <w:tcPr>
            <w:tcW w:w="34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190CA5">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年度资金总额</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EC84F">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3334.63</w:t>
            </w:r>
          </w:p>
        </w:tc>
        <w:tc>
          <w:tcPr>
            <w:tcW w:w="16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52C5F7">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3334.63</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C5C013">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3331.28</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471809">
            <w:pPr>
              <w:jc w:val="center"/>
              <w:rPr>
                <w:rFonts w:hint="default"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10</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808AA4">
            <w:pPr>
              <w:jc w:val="center"/>
              <w:rPr>
                <w:rFonts w:hint="default"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99.9%</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3AA11">
            <w:pPr>
              <w:jc w:val="center"/>
              <w:rPr>
                <w:rFonts w:hint="default"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9.98</w:t>
            </w:r>
          </w:p>
        </w:tc>
      </w:tr>
      <w:tr w14:paraId="7CE63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1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F4D82">
            <w:pPr>
              <w:jc w:val="center"/>
              <w:rPr>
                <w:rFonts w:hint="eastAsia" w:ascii="仿宋_GB2312" w:hAnsi="仿宋_GB2312" w:eastAsia="仿宋_GB2312" w:cs="仿宋_GB2312"/>
                <w:i w:val="0"/>
                <w:iCs w:val="0"/>
                <w:color w:val="000000"/>
                <w:sz w:val="15"/>
                <w:szCs w:val="15"/>
                <w:u w:val="none"/>
              </w:rPr>
            </w:pPr>
          </w:p>
        </w:tc>
        <w:tc>
          <w:tcPr>
            <w:tcW w:w="34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3984B3">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其中：当年财政拨款</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3D646">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0</w:t>
            </w:r>
          </w:p>
        </w:tc>
        <w:tc>
          <w:tcPr>
            <w:tcW w:w="16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8B67C6">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0</w:t>
            </w:r>
          </w:p>
        </w:tc>
        <w:tc>
          <w:tcPr>
            <w:tcW w:w="148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572B4E">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0</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1669F1">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C6142E">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AACEB">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r>
      <w:tr w14:paraId="1BE37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12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AC85E7">
            <w:pPr>
              <w:jc w:val="center"/>
              <w:rPr>
                <w:rFonts w:hint="eastAsia" w:ascii="仿宋_GB2312" w:hAnsi="仿宋_GB2312" w:eastAsia="仿宋_GB2312" w:cs="仿宋_GB2312"/>
                <w:i w:val="0"/>
                <w:iCs w:val="0"/>
                <w:color w:val="000000"/>
                <w:sz w:val="15"/>
                <w:szCs w:val="15"/>
                <w:u w:val="none"/>
              </w:rPr>
            </w:pPr>
          </w:p>
        </w:tc>
        <w:tc>
          <w:tcPr>
            <w:tcW w:w="3494" w:type="dxa"/>
            <w:gridSpan w:val="2"/>
            <w:tcBorders>
              <w:top w:val="single" w:color="000000" w:sz="4" w:space="0"/>
              <w:left w:val="single" w:color="000000" w:sz="4" w:space="0"/>
              <w:bottom w:val="nil"/>
              <w:right w:val="single" w:color="000000" w:sz="4" w:space="0"/>
            </w:tcBorders>
            <w:shd w:val="clear" w:color="auto" w:fill="auto"/>
            <w:vAlign w:val="center"/>
          </w:tcPr>
          <w:p w14:paraId="2E801126">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其他资金</w:t>
            </w:r>
          </w:p>
        </w:tc>
        <w:tc>
          <w:tcPr>
            <w:tcW w:w="1133" w:type="dxa"/>
            <w:tcBorders>
              <w:top w:val="single" w:color="000000" w:sz="4" w:space="0"/>
              <w:left w:val="single" w:color="000000" w:sz="4" w:space="0"/>
              <w:bottom w:val="nil"/>
              <w:right w:val="single" w:color="000000" w:sz="4" w:space="0"/>
            </w:tcBorders>
            <w:shd w:val="clear" w:color="auto" w:fill="auto"/>
            <w:vAlign w:val="center"/>
          </w:tcPr>
          <w:p w14:paraId="214797DD">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3334.63</w:t>
            </w:r>
          </w:p>
        </w:tc>
        <w:tc>
          <w:tcPr>
            <w:tcW w:w="1691" w:type="dxa"/>
            <w:gridSpan w:val="2"/>
            <w:tcBorders>
              <w:top w:val="single" w:color="000000" w:sz="4" w:space="0"/>
              <w:left w:val="single" w:color="000000" w:sz="4" w:space="0"/>
              <w:bottom w:val="nil"/>
              <w:right w:val="single" w:color="000000" w:sz="4" w:space="0"/>
            </w:tcBorders>
            <w:shd w:val="clear" w:color="auto" w:fill="auto"/>
            <w:vAlign w:val="center"/>
          </w:tcPr>
          <w:p w14:paraId="7A36CFDB">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3334.63</w:t>
            </w:r>
          </w:p>
        </w:tc>
        <w:tc>
          <w:tcPr>
            <w:tcW w:w="1486" w:type="dxa"/>
            <w:gridSpan w:val="2"/>
            <w:tcBorders>
              <w:top w:val="single" w:color="000000" w:sz="4" w:space="0"/>
              <w:left w:val="single" w:color="000000" w:sz="4" w:space="0"/>
              <w:bottom w:val="nil"/>
              <w:right w:val="single" w:color="000000" w:sz="4" w:space="0"/>
            </w:tcBorders>
            <w:shd w:val="clear" w:color="auto" w:fill="auto"/>
            <w:vAlign w:val="center"/>
          </w:tcPr>
          <w:p w14:paraId="166ED65A">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3331.28</w:t>
            </w:r>
          </w:p>
        </w:tc>
        <w:tc>
          <w:tcPr>
            <w:tcW w:w="14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51D1AF">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A8554A">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D1D9E">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r>
      <w:tr w14:paraId="585C0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7DC212">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年度总体目标</w:t>
            </w:r>
          </w:p>
        </w:tc>
        <w:tc>
          <w:tcPr>
            <w:tcW w:w="894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386B5F19">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总体目标</w:t>
            </w:r>
          </w:p>
        </w:tc>
        <w:tc>
          <w:tcPr>
            <w:tcW w:w="59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85C6FA5">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总体目标完成情况</w:t>
            </w:r>
          </w:p>
        </w:tc>
      </w:tr>
      <w:tr w14:paraId="4AD85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26"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FE0CE9">
            <w:pPr>
              <w:jc w:val="center"/>
              <w:rPr>
                <w:rFonts w:hint="eastAsia" w:ascii="仿宋_GB2312" w:hAnsi="仿宋_GB2312" w:eastAsia="仿宋_GB2312" w:cs="仿宋_GB2312"/>
                <w:i w:val="0"/>
                <w:iCs w:val="0"/>
                <w:color w:val="000000"/>
                <w:sz w:val="15"/>
                <w:szCs w:val="15"/>
                <w:u w:val="none"/>
              </w:rPr>
            </w:pPr>
          </w:p>
        </w:tc>
        <w:tc>
          <w:tcPr>
            <w:tcW w:w="894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9E4F9B8">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通过头屯河楼庄子水库工程尾款结算，保障头屯河楼庄子水库工程的顺利验收进入运行管理，实现水资源优化配置，显著提高头屯河水资源利用率，配合工业供水管道工程的建设，极大提高城市和工业供水的保证率；通过政府采购项目的实施，完成2025年办公设备、车辆维修、车辆保险、印刷费等货物、服务的采购，有效保证单位工作的正常开展；通过按时支付专项债券利息及农发行还本付息，防止了逾期付息带来的风险；通过支付人员工资、办公费用等基本项目支出，确保水库工程各项工作可以正常运行管理，更好完成供水和防洪任务；解决高边坡不稳定，有效整治滑坡、塌方、渗流等安全隐患。</w:t>
            </w:r>
          </w:p>
        </w:tc>
        <w:tc>
          <w:tcPr>
            <w:tcW w:w="596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93B8DED">
            <w:pPr>
              <w:jc w:val="left"/>
              <w:rPr>
                <w:rFonts w:hint="eastAsia" w:ascii="仿宋_GB2312" w:hAnsi="仿宋_GB2312" w:eastAsia="仿宋_GB2312" w:cs="仿宋_GB2312"/>
                <w:i w:val="0"/>
                <w:iCs w:val="0"/>
                <w:color w:val="000000"/>
                <w:sz w:val="16"/>
                <w:szCs w:val="16"/>
                <w:u w:val="none"/>
              </w:rPr>
            </w:pPr>
            <w:r>
              <w:rPr>
                <w:rFonts w:hint="eastAsia" w:ascii="仿宋_GB2312" w:hAnsi="仿宋_GB2312" w:eastAsia="仿宋_GB2312" w:cs="仿宋_GB2312"/>
                <w:i w:val="0"/>
                <w:iCs w:val="0"/>
                <w:color w:val="000000"/>
                <w:sz w:val="15"/>
                <w:szCs w:val="15"/>
                <w:u w:val="none"/>
              </w:rPr>
              <w:t>2025头屯河楼庄子水库工程尾款结算1项金额为1020万元，工程支付率100%；年度内按时偿还农发行本金、利息及专项债利息共计12次，金额总计1285.55万元，还本付息支付准确率达100%，防止了逾期付息带来的风险，为头屯河楼庄子水库工程的顺利验收进入运行管理奠定了坚实基础。通过政府采购项目的实施，完成2025年办公设备、车辆维修、车辆保险、印刷费等货物、服务的采购15.5万元，完成率为100%，有效保证单位日常工作的正常开展；全年按时发放21人工资12次、办公费等基本支出成本469.68万元，确保我单位各项工作正常运行管理，更好完成供水和防洪任务；年度投入资金543.93万元对楼庄子水库工程进行日常维修维并对水库枢纽区进行安全防治施工，解决高边坡不稳定，有效整治滑坡、塌方、渗流等安全隐患。全年实现水资源优化配置，显著提高头屯河水资源利用率，配合工业供水管道工程的建设，极大提高城市和工业供水的保证率。</w:t>
            </w:r>
          </w:p>
        </w:tc>
      </w:tr>
      <w:tr w14:paraId="09FBB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F6BE66">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绩效指标</w:t>
            </w:r>
          </w:p>
        </w:tc>
        <w:tc>
          <w:tcPr>
            <w:tcW w:w="11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6ED9A">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一级指标</w:t>
            </w: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8B255">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二级指标</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B92D">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三级指标</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8A37D">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指标值</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48388">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指标值设置依据</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9B6C7">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上年完成值</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FFC2B">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指标分值权重</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B3F5C">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指标赋分规则</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43FC1">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佐证资料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00F05">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指标实际完成值</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8D08">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完成率</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45F80">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指标得分</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9B1DF">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偏差原因分析及改进措施</w:t>
            </w:r>
          </w:p>
        </w:tc>
      </w:tr>
      <w:tr w14:paraId="7F7BC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B8820">
            <w:pPr>
              <w:jc w:val="center"/>
              <w:rPr>
                <w:rFonts w:hint="eastAsia" w:ascii="仿宋_GB2312" w:hAnsi="仿宋_GB2312" w:eastAsia="仿宋_GB2312" w:cs="仿宋_GB2312"/>
                <w:i w:val="0"/>
                <w:iCs w:val="0"/>
                <w:color w:val="000000"/>
                <w:sz w:val="15"/>
                <w:szCs w:val="15"/>
                <w:u w:val="none"/>
              </w:rPr>
            </w:pPr>
          </w:p>
        </w:tc>
        <w:tc>
          <w:tcPr>
            <w:tcW w:w="114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76338">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产出指标</w:t>
            </w:r>
          </w:p>
        </w:tc>
        <w:tc>
          <w:tcPr>
            <w:tcW w:w="1281" w:type="dxa"/>
            <w:tcBorders>
              <w:top w:val="single" w:color="000000" w:sz="4" w:space="0"/>
              <w:left w:val="single" w:color="000000" w:sz="4" w:space="0"/>
              <w:bottom w:val="nil"/>
              <w:right w:val="single" w:color="000000" w:sz="4" w:space="0"/>
            </w:tcBorders>
            <w:shd w:val="clear" w:color="auto" w:fill="auto"/>
            <w:noWrap/>
            <w:vAlign w:val="center"/>
          </w:tcPr>
          <w:p w14:paraId="77E89D55">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数量指标</w:t>
            </w:r>
          </w:p>
        </w:tc>
        <w:tc>
          <w:tcPr>
            <w:tcW w:w="2213" w:type="dxa"/>
            <w:tcBorders>
              <w:top w:val="single" w:color="000000" w:sz="4" w:space="0"/>
              <w:left w:val="nil"/>
              <w:bottom w:val="single" w:color="000000" w:sz="4" w:space="0"/>
              <w:right w:val="single" w:color="000000" w:sz="4" w:space="0"/>
            </w:tcBorders>
            <w:shd w:val="clear" w:color="auto" w:fill="auto"/>
            <w:vAlign w:val="center"/>
          </w:tcPr>
          <w:p w14:paraId="68988C83">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支付农发行借款本金及利息次数</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6D274">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=6次</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7FE67">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历史标准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191D3">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6次</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6824B">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422E7">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A210A">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原始凭证</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99EDC">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=6次</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CA689">
            <w:pPr>
              <w:jc w:val="center"/>
              <w:rPr>
                <w:rFonts w:hint="default"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4489C">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CB017">
            <w:pPr>
              <w:jc w:val="center"/>
              <w:rPr>
                <w:rFonts w:hint="eastAsia" w:ascii="仿宋_GB2312" w:hAnsi="仿宋_GB2312" w:eastAsia="仿宋_GB2312" w:cs="仿宋_GB2312"/>
                <w:i w:val="0"/>
                <w:iCs w:val="0"/>
                <w:color w:val="000000"/>
                <w:sz w:val="15"/>
                <w:szCs w:val="15"/>
                <w:u w:val="none"/>
              </w:rPr>
            </w:pPr>
          </w:p>
        </w:tc>
      </w:tr>
      <w:tr w14:paraId="6962D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6D8DE2">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left w:val="single" w:color="000000" w:sz="4" w:space="0"/>
              <w:right w:val="single" w:color="000000" w:sz="4" w:space="0"/>
            </w:tcBorders>
            <w:shd w:val="clear" w:color="auto" w:fill="auto"/>
            <w:noWrap/>
            <w:vAlign w:val="center"/>
          </w:tcPr>
          <w:p w14:paraId="18484431">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u w:val="none"/>
                <w:lang w:val="en-US" w:eastAsia="zh-CN"/>
              </w:rPr>
            </w:pPr>
          </w:p>
        </w:tc>
        <w:tc>
          <w:tcPr>
            <w:tcW w:w="1281" w:type="dxa"/>
            <w:tcBorders>
              <w:top w:val="single" w:color="000000" w:sz="4" w:space="0"/>
              <w:left w:val="single" w:color="000000" w:sz="4" w:space="0"/>
              <w:bottom w:val="nil"/>
              <w:right w:val="single" w:color="000000" w:sz="4" w:space="0"/>
            </w:tcBorders>
            <w:shd w:val="clear" w:color="auto" w:fill="auto"/>
            <w:noWrap/>
            <w:vAlign w:val="center"/>
          </w:tcPr>
          <w:p w14:paraId="7482F9B2">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u w:val="none"/>
                <w:lang w:val="en-US" w:eastAsia="zh-CN"/>
              </w:rPr>
            </w:pPr>
            <w:r>
              <w:rPr>
                <w:rFonts w:hint="eastAsia" w:ascii="仿宋_GB2312" w:hAnsi="仿宋_GB2312" w:eastAsia="仿宋_GB2312" w:cs="仿宋_GB2312"/>
                <w:i w:val="0"/>
                <w:iCs w:val="0"/>
                <w:color w:val="000000"/>
                <w:kern w:val="0"/>
                <w:sz w:val="15"/>
                <w:szCs w:val="15"/>
                <w:u w:val="none"/>
                <w:lang w:val="en-US" w:eastAsia="zh-CN"/>
              </w:rPr>
              <w:t>数量指标</w:t>
            </w:r>
          </w:p>
        </w:tc>
        <w:tc>
          <w:tcPr>
            <w:tcW w:w="2213" w:type="dxa"/>
            <w:tcBorders>
              <w:top w:val="single" w:color="000000" w:sz="4" w:space="0"/>
              <w:left w:val="nil"/>
              <w:bottom w:val="single" w:color="000000" w:sz="4" w:space="0"/>
              <w:right w:val="single" w:color="000000" w:sz="4" w:space="0"/>
            </w:tcBorders>
            <w:shd w:val="clear" w:color="auto" w:fill="auto"/>
            <w:vAlign w:val="center"/>
          </w:tcPr>
          <w:p w14:paraId="0F232DD1">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工程主体类结算尾款</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E5923">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=1项</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56249">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历史标准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8D474">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1项</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AF079">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8967E">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3FF00">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工作资料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C86C0">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=1项</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22C2">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600E">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3B1B5">
            <w:pPr>
              <w:jc w:val="center"/>
              <w:rPr>
                <w:rFonts w:hint="eastAsia" w:ascii="仿宋_GB2312" w:hAnsi="仿宋_GB2312" w:eastAsia="仿宋_GB2312" w:cs="仿宋_GB2312"/>
                <w:i w:val="0"/>
                <w:iCs w:val="0"/>
                <w:color w:val="000000"/>
                <w:sz w:val="15"/>
                <w:szCs w:val="15"/>
                <w:u w:val="none"/>
              </w:rPr>
            </w:pPr>
          </w:p>
        </w:tc>
      </w:tr>
      <w:tr w14:paraId="48947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4F33C">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left w:val="single" w:color="000000" w:sz="4" w:space="0"/>
              <w:right w:val="single" w:color="000000" w:sz="4" w:space="0"/>
            </w:tcBorders>
            <w:shd w:val="clear" w:color="auto" w:fill="auto"/>
            <w:noWrap/>
            <w:vAlign w:val="center"/>
          </w:tcPr>
          <w:p w14:paraId="3AD15C7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u w:val="none"/>
                <w:lang w:val="en-US" w:eastAsia="zh-CN"/>
              </w:rPr>
            </w:pPr>
          </w:p>
        </w:tc>
        <w:tc>
          <w:tcPr>
            <w:tcW w:w="1281" w:type="dxa"/>
            <w:tcBorders>
              <w:top w:val="single" w:color="000000" w:sz="4" w:space="0"/>
              <w:left w:val="single" w:color="000000" w:sz="4" w:space="0"/>
              <w:bottom w:val="nil"/>
              <w:right w:val="single" w:color="000000" w:sz="4" w:space="0"/>
            </w:tcBorders>
            <w:shd w:val="clear" w:color="auto" w:fill="auto"/>
            <w:noWrap/>
            <w:vAlign w:val="center"/>
          </w:tcPr>
          <w:p w14:paraId="7CA36725">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u w:val="none"/>
                <w:lang w:val="en-US" w:eastAsia="zh-CN"/>
              </w:rPr>
            </w:pPr>
            <w:r>
              <w:rPr>
                <w:rFonts w:hint="eastAsia" w:ascii="仿宋_GB2312" w:hAnsi="仿宋_GB2312" w:eastAsia="仿宋_GB2312" w:cs="仿宋_GB2312"/>
                <w:i w:val="0"/>
                <w:iCs w:val="0"/>
                <w:color w:val="000000"/>
                <w:kern w:val="0"/>
                <w:sz w:val="15"/>
                <w:szCs w:val="15"/>
                <w:u w:val="none"/>
                <w:lang w:val="en-US" w:eastAsia="zh-CN"/>
              </w:rPr>
              <w:t>数量指标</w:t>
            </w:r>
          </w:p>
        </w:tc>
        <w:tc>
          <w:tcPr>
            <w:tcW w:w="2213" w:type="dxa"/>
            <w:tcBorders>
              <w:top w:val="single" w:color="000000" w:sz="4" w:space="0"/>
              <w:left w:val="nil"/>
              <w:bottom w:val="single" w:color="000000" w:sz="4" w:space="0"/>
              <w:right w:val="single" w:color="000000" w:sz="4" w:space="0"/>
            </w:tcBorders>
            <w:shd w:val="clear" w:color="auto" w:fill="auto"/>
            <w:vAlign w:val="center"/>
          </w:tcPr>
          <w:p w14:paraId="4195DF65">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支付专项债券利息次数</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E14B2">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=6次</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9081B">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计划标准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BD5F2">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rPr>
              <w:t>—</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C731E">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5460A">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F3B8D">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原始凭证</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E785E">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=6次</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5F18D">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76194">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97EC">
            <w:pPr>
              <w:jc w:val="center"/>
              <w:rPr>
                <w:rFonts w:hint="eastAsia" w:ascii="仿宋_GB2312" w:hAnsi="仿宋_GB2312" w:eastAsia="仿宋_GB2312" w:cs="仿宋_GB2312"/>
                <w:i w:val="0"/>
                <w:iCs w:val="0"/>
                <w:color w:val="000000"/>
                <w:sz w:val="15"/>
                <w:szCs w:val="15"/>
                <w:u w:val="none"/>
              </w:rPr>
            </w:pPr>
          </w:p>
        </w:tc>
      </w:tr>
      <w:tr w14:paraId="04115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5EEAF9">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left w:val="single" w:color="000000" w:sz="4" w:space="0"/>
              <w:right w:val="single" w:color="000000" w:sz="4" w:space="0"/>
            </w:tcBorders>
            <w:shd w:val="clear" w:color="auto" w:fill="auto"/>
            <w:noWrap/>
            <w:vAlign w:val="center"/>
          </w:tcPr>
          <w:p w14:paraId="40A1A8F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u w:val="none"/>
                <w:lang w:val="en-US" w:eastAsia="zh-CN"/>
              </w:rPr>
            </w:pPr>
          </w:p>
        </w:tc>
        <w:tc>
          <w:tcPr>
            <w:tcW w:w="1281" w:type="dxa"/>
            <w:tcBorders>
              <w:top w:val="single" w:color="000000" w:sz="4" w:space="0"/>
              <w:left w:val="single" w:color="000000" w:sz="4" w:space="0"/>
              <w:bottom w:val="nil"/>
              <w:right w:val="single" w:color="000000" w:sz="4" w:space="0"/>
            </w:tcBorders>
            <w:shd w:val="clear" w:color="auto" w:fill="auto"/>
            <w:noWrap/>
            <w:vAlign w:val="center"/>
          </w:tcPr>
          <w:p w14:paraId="0398142E">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u w:val="none"/>
                <w:lang w:val="en-US" w:eastAsia="zh-CN"/>
              </w:rPr>
            </w:pPr>
            <w:r>
              <w:rPr>
                <w:rFonts w:hint="eastAsia" w:ascii="仿宋_GB2312" w:hAnsi="仿宋_GB2312" w:eastAsia="仿宋_GB2312" w:cs="仿宋_GB2312"/>
                <w:i w:val="0"/>
                <w:iCs w:val="0"/>
                <w:color w:val="000000"/>
                <w:kern w:val="0"/>
                <w:sz w:val="15"/>
                <w:szCs w:val="15"/>
                <w:u w:val="none"/>
                <w:lang w:val="en-US" w:eastAsia="zh-CN"/>
              </w:rPr>
              <w:t>数量指标</w:t>
            </w:r>
          </w:p>
        </w:tc>
        <w:tc>
          <w:tcPr>
            <w:tcW w:w="2213" w:type="dxa"/>
            <w:tcBorders>
              <w:top w:val="single" w:color="000000" w:sz="4" w:space="0"/>
              <w:left w:val="nil"/>
              <w:bottom w:val="single" w:color="000000" w:sz="4" w:space="0"/>
              <w:right w:val="single" w:color="000000" w:sz="4" w:space="0"/>
            </w:tcBorders>
            <w:shd w:val="clear" w:color="auto" w:fill="auto"/>
            <w:vAlign w:val="center"/>
          </w:tcPr>
          <w:p w14:paraId="53E6F401">
            <w:pPr>
              <w:jc w:val="left"/>
              <w:rPr>
                <w:rFonts w:hint="eastAsia" w:ascii="仿宋_GB2312" w:hAnsi="仿宋_GB2312" w:eastAsia="仿宋_GB2312" w:cs="仿宋_GB2312"/>
                <w:i w:val="0"/>
                <w:iCs w:val="0"/>
                <w:color w:val="000000"/>
                <w:sz w:val="15"/>
                <w:szCs w:val="15"/>
                <w:u w:val="none"/>
                <w:lang w:eastAsia="zh-CN"/>
              </w:rPr>
            </w:pPr>
            <w:r>
              <w:rPr>
                <w:rFonts w:hint="eastAsia" w:ascii="仿宋_GB2312" w:hAnsi="仿宋_GB2312" w:eastAsia="仿宋_GB2312" w:cs="仿宋_GB2312"/>
                <w:i w:val="0"/>
                <w:iCs w:val="0"/>
                <w:color w:val="000000"/>
                <w:sz w:val="15"/>
                <w:szCs w:val="15"/>
                <w:u w:val="none"/>
              </w:rPr>
              <w:t>工资发放</w:t>
            </w:r>
            <w:r>
              <w:rPr>
                <w:rFonts w:hint="eastAsia" w:ascii="仿宋_GB2312" w:hAnsi="仿宋_GB2312" w:eastAsia="仿宋_GB2312" w:cs="仿宋_GB2312"/>
                <w:i w:val="0"/>
                <w:iCs w:val="0"/>
                <w:color w:val="000000"/>
                <w:sz w:val="15"/>
                <w:szCs w:val="15"/>
                <w:u w:val="none"/>
                <w:lang w:eastAsia="zh-CN"/>
              </w:rPr>
              <w:t>次数</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59306">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r>
              <w:rPr>
                <w:rFonts w:hint="eastAsia" w:ascii="仿宋_GB2312" w:hAnsi="仿宋_GB2312" w:eastAsia="仿宋_GB2312" w:cs="仿宋_GB2312"/>
                <w:i w:val="0"/>
                <w:iCs w:val="0"/>
                <w:color w:val="000000"/>
                <w:sz w:val="15"/>
                <w:szCs w:val="15"/>
                <w:u w:val="none"/>
                <w:lang w:val="en-US" w:eastAsia="zh-CN"/>
              </w:rPr>
              <w:t>12</w:t>
            </w:r>
            <w:r>
              <w:rPr>
                <w:rFonts w:hint="eastAsia" w:ascii="仿宋_GB2312" w:hAnsi="仿宋_GB2312" w:eastAsia="仿宋_GB2312" w:cs="仿宋_GB2312"/>
                <w:i w:val="0"/>
                <w:iCs w:val="0"/>
                <w:color w:val="000000"/>
                <w:sz w:val="15"/>
                <w:szCs w:val="15"/>
                <w:u w:val="none"/>
              </w:rPr>
              <w:t>次</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9FEE2">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计划标准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5B68A">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67F20">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88EDF">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6EBDC">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原始凭证</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49DAF">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r>
              <w:rPr>
                <w:rFonts w:hint="eastAsia" w:ascii="仿宋_GB2312" w:hAnsi="仿宋_GB2312" w:eastAsia="仿宋_GB2312" w:cs="仿宋_GB2312"/>
                <w:i w:val="0"/>
                <w:iCs w:val="0"/>
                <w:color w:val="000000"/>
                <w:sz w:val="15"/>
                <w:szCs w:val="15"/>
                <w:u w:val="none"/>
                <w:lang w:val="en-US" w:eastAsia="zh-CN"/>
              </w:rPr>
              <w:t>12</w:t>
            </w:r>
            <w:r>
              <w:rPr>
                <w:rFonts w:hint="eastAsia" w:ascii="仿宋_GB2312" w:hAnsi="仿宋_GB2312" w:eastAsia="仿宋_GB2312" w:cs="仿宋_GB2312"/>
                <w:i w:val="0"/>
                <w:iCs w:val="0"/>
                <w:color w:val="000000"/>
                <w:sz w:val="15"/>
                <w:szCs w:val="15"/>
                <w:u w:val="none"/>
              </w:rPr>
              <w:t>次</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E5552">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31A2">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5F6B2">
            <w:pPr>
              <w:jc w:val="center"/>
              <w:rPr>
                <w:rFonts w:hint="eastAsia" w:ascii="仿宋_GB2312" w:hAnsi="仿宋_GB2312" w:eastAsia="仿宋_GB2312" w:cs="仿宋_GB2312"/>
                <w:i w:val="0"/>
                <w:iCs w:val="0"/>
                <w:color w:val="000000"/>
                <w:sz w:val="15"/>
                <w:szCs w:val="15"/>
                <w:u w:val="none"/>
              </w:rPr>
            </w:pPr>
          </w:p>
        </w:tc>
      </w:tr>
      <w:tr w14:paraId="71E1B9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18F11">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left w:val="single" w:color="000000" w:sz="4" w:space="0"/>
              <w:right w:val="single" w:color="000000" w:sz="4" w:space="0"/>
            </w:tcBorders>
            <w:shd w:val="clear" w:color="auto" w:fill="auto"/>
            <w:noWrap/>
            <w:vAlign w:val="center"/>
          </w:tcPr>
          <w:p w14:paraId="2FFCE7C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u w:val="none"/>
                <w:lang w:val="en-US" w:eastAsia="zh-CN"/>
              </w:rPr>
            </w:pPr>
          </w:p>
        </w:tc>
        <w:tc>
          <w:tcPr>
            <w:tcW w:w="1281" w:type="dxa"/>
            <w:tcBorders>
              <w:top w:val="single" w:color="000000" w:sz="4" w:space="0"/>
              <w:left w:val="single" w:color="000000" w:sz="4" w:space="0"/>
              <w:bottom w:val="nil"/>
              <w:right w:val="single" w:color="000000" w:sz="4" w:space="0"/>
            </w:tcBorders>
            <w:shd w:val="clear" w:color="auto" w:fill="auto"/>
            <w:noWrap/>
            <w:vAlign w:val="center"/>
          </w:tcPr>
          <w:p w14:paraId="5FDFE19B">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u w:val="none"/>
                <w:lang w:val="en-US" w:eastAsia="zh-CN"/>
              </w:rPr>
            </w:pPr>
            <w:r>
              <w:rPr>
                <w:rFonts w:hint="eastAsia" w:ascii="仿宋_GB2312" w:hAnsi="仿宋_GB2312" w:eastAsia="仿宋_GB2312" w:cs="仿宋_GB2312"/>
                <w:i w:val="0"/>
                <w:iCs w:val="0"/>
                <w:color w:val="000000"/>
                <w:kern w:val="0"/>
                <w:sz w:val="15"/>
                <w:szCs w:val="15"/>
                <w:u w:val="none"/>
                <w:lang w:val="en-US" w:eastAsia="zh-CN"/>
              </w:rPr>
              <w:t>数量指标</w:t>
            </w:r>
          </w:p>
        </w:tc>
        <w:tc>
          <w:tcPr>
            <w:tcW w:w="2213" w:type="dxa"/>
            <w:tcBorders>
              <w:top w:val="single" w:color="000000" w:sz="4" w:space="0"/>
              <w:left w:val="nil"/>
              <w:bottom w:val="single" w:color="000000" w:sz="4" w:space="0"/>
              <w:right w:val="single" w:color="000000" w:sz="4" w:space="0"/>
            </w:tcBorders>
            <w:shd w:val="clear" w:color="auto" w:fill="auto"/>
            <w:vAlign w:val="center"/>
          </w:tcPr>
          <w:p w14:paraId="45371312">
            <w:pPr>
              <w:jc w:val="left"/>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rPr>
              <w:t>工资发放</w:t>
            </w:r>
            <w:r>
              <w:rPr>
                <w:rFonts w:hint="eastAsia" w:ascii="仿宋_GB2312" w:hAnsi="仿宋_GB2312" w:eastAsia="仿宋_GB2312" w:cs="仿宋_GB2312"/>
                <w:i w:val="0"/>
                <w:iCs w:val="0"/>
                <w:color w:val="000000"/>
                <w:sz w:val="15"/>
                <w:szCs w:val="15"/>
                <w:u w:val="none"/>
                <w:lang w:eastAsia="zh-CN"/>
              </w:rPr>
              <w:t>人数</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9EFD8">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&gt;=21人</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A0A63">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计划标准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C473F">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F90EB">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5775D">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AFA9A">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原始凭证</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BDABE">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=21人</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0C470">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A22FA">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B09AC">
            <w:pPr>
              <w:jc w:val="center"/>
              <w:rPr>
                <w:rFonts w:hint="eastAsia" w:ascii="仿宋_GB2312" w:hAnsi="仿宋_GB2312" w:eastAsia="仿宋_GB2312" w:cs="仿宋_GB2312"/>
                <w:i w:val="0"/>
                <w:iCs w:val="0"/>
                <w:color w:val="000000"/>
                <w:sz w:val="15"/>
                <w:szCs w:val="15"/>
                <w:u w:val="none"/>
              </w:rPr>
            </w:pPr>
          </w:p>
        </w:tc>
      </w:tr>
      <w:tr w14:paraId="5EA5F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4F933">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left w:val="single" w:color="000000" w:sz="4" w:space="0"/>
              <w:right w:val="single" w:color="000000" w:sz="4" w:space="0"/>
            </w:tcBorders>
            <w:shd w:val="clear" w:color="auto" w:fill="auto"/>
            <w:noWrap/>
            <w:vAlign w:val="center"/>
          </w:tcPr>
          <w:p w14:paraId="382F4A0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u w:val="none"/>
                <w:lang w:val="en-US" w:eastAsia="zh-CN"/>
              </w:rPr>
            </w:pPr>
          </w:p>
        </w:tc>
        <w:tc>
          <w:tcPr>
            <w:tcW w:w="1281" w:type="dxa"/>
            <w:tcBorders>
              <w:top w:val="single" w:color="000000" w:sz="4" w:space="0"/>
              <w:left w:val="single" w:color="000000" w:sz="4" w:space="0"/>
              <w:bottom w:val="nil"/>
              <w:right w:val="single" w:color="000000" w:sz="4" w:space="0"/>
            </w:tcBorders>
            <w:shd w:val="clear" w:color="auto" w:fill="auto"/>
            <w:noWrap/>
            <w:vAlign w:val="center"/>
          </w:tcPr>
          <w:p w14:paraId="633D92E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u w:val="none"/>
                <w:lang w:val="en-US" w:eastAsia="zh-CN"/>
              </w:rPr>
            </w:pPr>
            <w:r>
              <w:rPr>
                <w:rFonts w:hint="eastAsia" w:ascii="仿宋_GB2312" w:hAnsi="仿宋_GB2312" w:eastAsia="仿宋_GB2312" w:cs="仿宋_GB2312"/>
                <w:i w:val="0"/>
                <w:iCs w:val="0"/>
                <w:color w:val="000000"/>
                <w:kern w:val="0"/>
                <w:sz w:val="15"/>
                <w:szCs w:val="15"/>
                <w:u w:val="none"/>
                <w:lang w:val="en-US" w:eastAsia="zh-CN"/>
              </w:rPr>
              <w:t>数量指标</w:t>
            </w:r>
          </w:p>
        </w:tc>
        <w:tc>
          <w:tcPr>
            <w:tcW w:w="2213" w:type="dxa"/>
            <w:tcBorders>
              <w:top w:val="single" w:color="000000" w:sz="4" w:space="0"/>
              <w:left w:val="nil"/>
              <w:bottom w:val="single" w:color="000000" w:sz="4" w:space="0"/>
              <w:right w:val="single" w:color="000000" w:sz="4" w:space="0"/>
            </w:tcBorders>
            <w:shd w:val="clear" w:color="auto" w:fill="auto"/>
            <w:vAlign w:val="center"/>
          </w:tcPr>
          <w:p w14:paraId="1DC30699">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主动防护网面积</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4AFAC">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&gt;=30000平方米</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130B6">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计划标准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A6BF6">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F1048">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83D8E">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1B475">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工作资料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44182">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=30000平方米</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1160A">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82C08">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077F6">
            <w:pPr>
              <w:jc w:val="center"/>
              <w:rPr>
                <w:rFonts w:hint="eastAsia" w:ascii="仿宋_GB2312" w:hAnsi="仿宋_GB2312" w:eastAsia="仿宋_GB2312" w:cs="仿宋_GB2312"/>
                <w:i w:val="0"/>
                <w:iCs w:val="0"/>
                <w:color w:val="000000"/>
                <w:sz w:val="15"/>
                <w:szCs w:val="15"/>
                <w:u w:val="none"/>
              </w:rPr>
            </w:pPr>
          </w:p>
        </w:tc>
      </w:tr>
      <w:tr w14:paraId="1CA2C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E63491">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474CC">
            <w:pPr>
              <w:jc w:val="center"/>
              <w:rPr>
                <w:rFonts w:hint="eastAsia" w:ascii="仿宋_GB2312" w:hAnsi="仿宋_GB2312" w:eastAsia="仿宋_GB2312" w:cs="仿宋_GB2312"/>
                <w:i w:val="0"/>
                <w:iCs w:val="0"/>
                <w:color w:val="000000"/>
                <w:sz w:val="15"/>
                <w:szCs w:val="15"/>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3B06B">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质量指标</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CEEF5">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还本付息支付准确率</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6C4E9">
            <w:pPr>
              <w:jc w:val="center"/>
              <w:rPr>
                <w:rFonts w:hint="default"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C397">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历史标准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3B766">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BC90D">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88EBE">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F59BC">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工作资料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4FAEA">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6D763">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6454F">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5</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69F6C">
            <w:pPr>
              <w:jc w:val="center"/>
              <w:rPr>
                <w:rFonts w:hint="eastAsia" w:ascii="仿宋_GB2312" w:hAnsi="仿宋_GB2312" w:eastAsia="仿宋_GB2312" w:cs="仿宋_GB2312"/>
                <w:i w:val="0"/>
                <w:iCs w:val="0"/>
                <w:color w:val="000000"/>
                <w:sz w:val="15"/>
                <w:szCs w:val="15"/>
                <w:u w:val="none"/>
              </w:rPr>
            </w:pPr>
          </w:p>
        </w:tc>
      </w:tr>
      <w:tr w14:paraId="33042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D20C34">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493FE">
            <w:pPr>
              <w:jc w:val="center"/>
              <w:rPr>
                <w:rFonts w:hint="eastAsia" w:ascii="仿宋_GB2312" w:hAnsi="仿宋_GB2312" w:eastAsia="仿宋_GB2312" w:cs="仿宋_GB2312"/>
                <w:i w:val="0"/>
                <w:iCs w:val="0"/>
                <w:color w:val="000000"/>
                <w:sz w:val="15"/>
                <w:szCs w:val="15"/>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0227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u w:val="none"/>
                <w:lang w:val="en-US" w:eastAsia="zh-CN"/>
              </w:rPr>
            </w:pPr>
            <w:r>
              <w:rPr>
                <w:rFonts w:hint="eastAsia" w:ascii="仿宋_GB2312" w:hAnsi="仿宋_GB2312" w:eastAsia="仿宋_GB2312" w:cs="仿宋_GB2312"/>
                <w:i w:val="0"/>
                <w:iCs w:val="0"/>
                <w:color w:val="000000"/>
                <w:kern w:val="0"/>
                <w:sz w:val="15"/>
                <w:szCs w:val="15"/>
                <w:u w:val="none"/>
                <w:lang w:val="en-US" w:eastAsia="zh-CN"/>
              </w:rPr>
              <w:t>质量指标</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2B32B">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竣工验收合格率</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B83A7">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97993">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历史标准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1C7A9">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27D39">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5</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6B078">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0348D">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工作资料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29BF1">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61BFE">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FF3B0">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5</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9EB9F">
            <w:pPr>
              <w:jc w:val="center"/>
              <w:rPr>
                <w:rFonts w:hint="eastAsia" w:ascii="仿宋_GB2312" w:hAnsi="仿宋_GB2312" w:eastAsia="仿宋_GB2312" w:cs="仿宋_GB2312"/>
                <w:i w:val="0"/>
                <w:iCs w:val="0"/>
                <w:color w:val="000000"/>
                <w:sz w:val="15"/>
                <w:szCs w:val="15"/>
                <w:u w:val="none"/>
              </w:rPr>
            </w:pPr>
          </w:p>
        </w:tc>
      </w:tr>
      <w:tr w14:paraId="621808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650B3">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B3EBF">
            <w:pPr>
              <w:jc w:val="center"/>
              <w:rPr>
                <w:rFonts w:hint="eastAsia" w:ascii="仿宋_GB2312" w:hAnsi="仿宋_GB2312" w:eastAsia="仿宋_GB2312" w:cs="仿宋_GB2312"/>
                <w:i w:val="0"/>
                <w:iCs w:val="0"/>
                <w:color w:val="000000"/>
                <w:sz w:val="15"/>
                <w:szCs w:val="15"/>
                <w:u w:val="none"/>
              </w:rPr>
            </w:pPr>
          </w:p>
        </w:tc>
        <w:tc>
          <w:tcPr>
            <w:tcW w:w="1281" w:type="dxa"/>
            <w:tcBorders>
              <w:top w:val="single" w:color="000000" w:sz="4" w:space="0"/>
              <w:left w:val="single" w:color="000000" w:sz="4" w:space="0"/>
              <w:bottom w:val="nil"/>
              <w:right w:val="single" w:color="000000" w:sz="4" w:space="0"/>
            </w:tcBorders>
            <w:shd w:val="clear" w:color="auto" w:fill="auto"/>
            <w:noWrap/>
            <w:vAlign w:val="center"/>
          </w:tcPr>
          <w:p w14:paraId="387FDF17">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时效指标</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DDCFD">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还本付息项目计划完成时间</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4D000">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=2025年12月20日之前</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33AEA">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计划标准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DA7F2">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BCBDA">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4FEBD">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4A5E5">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工作资料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5BDC9">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2025年12月20日</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16F45">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E6E96">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6</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9ACD">
            <w:pPr>
              <w:jc w:val="center"/>
              <w:rPr>
                <w:rFonts w:hint="eastAsia" w:ascii="仿宋_GB2312" w:hAnsi="仿宋_GB2312" w:eastAsia="仿宋_GB2312" w:cs="仿宋_GB2312"/>
                <w:b/>
                <w:bCs/>
                <w:i w:val="0"/>
                <w:iCs w:val="0"/>
                <w:color w:val="000000"/>
                <w:sz w:val="15"/>
                <w:szCs w:val="15"/>
                <w:u w:val="none"/>
              </w:rPr>
            </w:pPr>
          </w:p>
        </w:tc>
      </w:tr>
      <w:tr w14:paraId="00EAA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7C451">
            <w:pPr>
              <w:jc w:val="center"/>
              <w:rPr>
                <w:rFonts w:hint="eastAsia" w:ascii="仿宋_GB2312" w:hAnsi="仿宋_GB2312" w:eastAsia="仿宋_GB2312" w:cs="仿宋_GB2312"/>
                <w:i w:val="0"/>
                <w:iCs w:val="0"/>
                <w:color w:val="000000"/>
                <w:sz w:val="15"/>
                <w:szCs w:val="15"/>
                <w:u w:val="none"/>
              </w:rPr>
            </w:pPr>
          </w:p>
        </w:tc>
        <w:tc>
          <w:tcPr>
            <w:tcW w:w="11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29989">
            <w:pPr>
              <w:jc w:val="center"/>
              <w:rPr>
                <w:rFonts w:hint="eastAsia" w:ascii="仿宋_GB2312" w:hAnsi="仿宋_GB2312" w:eastAsia="仿宋_GB2312" w:cs="仿宋_GB2312"/>
                <w:i w:val="0"/>
                <w:iCs w:val="0"/>
                <w:color w:val="000000"/>
                <w:sz w:val="15"/>
                <w:szCs w:val="15"/>
                <w:u w:val="none"/>
              </w:rPr>
            </w:pPr>
          </w:p>
        </w:tc>
        <w:tc>
          <w:tcPr>
            <w:tcW w:w="1281" w:type="dxa"/>
            <w:tcBorders>
              <w:top w:val="single" w:color="000000" w:sz="4" w:space="0"/>
              <w:left w:val="single" w:color="000000" w:sz="4" w:space="0"/>
              <w:bottom w:val="nil"/>
              <w:right w:val="single" w:color="000000" w:sz="4" w:space="0"/>
            </w:tcBorders>
            <w:shd w:val="clear" w:color="auto" w:fill="auto"/>
            <w:noWrap/>
            <w:vAlign w:val="center"/>
          </w:tcPr>
          <w:p w14:paraId="66D0B9ED">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u w:val="none"/>
                <w:lang w:val="en-US" w:eastAsia="zh-CN"/>
              </w:rPr>
            </w:pPr>
            <w:r>
              <w:rPr>
                <w:rFonts w:hint="eastAsia" w:ascii="仿宋_GB2312" w:hAnsi="仿宋_GB2312" w:eastAsia="仿宋_GB2312" w:cs="仿宋_GB2312"/>
                <w:i w:val="0"/>
                <w:iCs w:val="0"/>
                <w:color w:val="000000"/>
                <w:kern w:val="0"/>
                <w:sz w:val="15"/>
                <w:szCs w:val="15"/>
                <w:u w:val="none"/>
                <w:lang w:val="en-US" w:eastAsia="zh-CN"/>
              </w:rPr>
              <w:t>时效指标</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0327B">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工程主体类结算尾款支付率</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F67F8">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&gt;=95%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6ADEC">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计划标准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E0E65">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317DC">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6</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3954B">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0C77C">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工作资料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8279A">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=95%</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9C204">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C062B">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6</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C8F54">
            <w:pPr>
              <w:jc w:val="center"/>
              <w:rPr>
                <w:rFonts w:hint="eastAsia" w:ascii="仿宋_GB2312" w:hAnsi="仿宋_GB2312" w:eastAsia="仿宋_GB2312" w:cs="仿宋_GB2312"/>
                <w:b/>
                <w:bCs/>
                <w:i w:val="0"/>
                <w:iCs w:val="0"/>
                <w:color w:val="000000"/>
                <w:sz w:val="15"/>
                <w:szCs w:val="15"/>
                <w:u w:val="none"/>
              </w:rPr>
            </w:pPr>
          </w:p>
        </w:tc>
      </w:tr>
      <w:tr w14:paraId="6DA60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F0B9E">
            <w:pPr>
              <w:jc w:val="center"/>
              <w:rPr>
                <w:rFonts w:hint="eastAsia" w:ascii="仿宋_GB2312" w:hAnsi="仿宋_GB2312" w:eastAsia="仿宋_GB2312" w:cs="仿宋_GB2312"/>
                <w:i w:val="0"/>
                <w:iCs w:val="0"/>
                <w:color w:val="000000"/>
                <w:sz w:val="15"/>
                <w:szCs w:val="15"/>
                <w:u w:val="none"/>
              </w:rPr>
            </w:pPr>
          </w:p>
        </w:tc>
        <w:tc>
          <w:tcPr>
            <w:tcW w:w="1142" w:type="dxa"/>
            <w:vMerge w:val="restart"/>
            <w:tcBorders>
              <w:top w:val="single" w:color="000000" w:sz="4" w:space="0"/>
              <w:left w:val="single" w:color="000000" w:sz="4" w:space="0"/>
              <w:right w:val="single" w:color="000000" w:sz="4" w:space="0"/>
            </w:tcBorders>
            <w:shd w:val="clear" w:color="auto" w:fill="auto"/>
            <w:vAlign w:val="center"/>
          </w:tcPr>
          <w:p w14:paraId="2468E409">
            <w:pPr>
              <w:jc w:val="center"/>
              <w:rPr>
                <w:rFonts w:hint="default"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成本指标</w:t>
            </w:r>
          </w:p>
        </w:tc>
        <w:tc>
          <w:tcPr>
            <w:tcW w:w="1281" w:type="dxa"/>
            <w:vMerge w:val="restart"/>
            <w:tcBorders>
              <w:top w:val="single" w:color="000000" w:sz="4" w:space="0"/>
              <w:left w:val="single" w:color="000000" w:sz="4" w:space="0"/>
              <w:right w:val="single" w:color="000000" w:sz="4" w:space="0"/>
            </w:tcBorders>
            <w:shd w:val="clear" w:color="auto" w:fill="auto"/>
            <w:noWrap/>
            <w:vAlign w:val="center"/>
          </w:tcPr>
          <w:p w14:paraId="05773796">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highlight w:val="red"/>
                <w:u w:val="none"/>
                <w:lang w:val="en-US" w:eastAsia="zh-CN"/>
              </w:rPr>
            </w:pPr>
            <w:r>
              <w:rPr>
                <w:rFonts w:hint="eastAsia" w:ascii="仿宋_GB2312" w:hAnsi="仿宋_GB2312" w:eastAsia="仿宋_GB2312" w:cs="仿宋_GB2312"/>
                <w:i w:val="0"/>
                <w:iCs w:val="0"/>
                <w:color w:val="000000"/>
                <w:kern w:val="0"/>
                <w:sz w:val="15"/>
                <w:szCs w:val="15"/>
                <w:highlight w:val="none"/>
                <w:u w:val="none"/>
                <w:lang w:val="en-US" w:eastAsia="zh-CN"/>
              </w:rPr>
              <w:t>经济成本指标</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BD78A">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农发行借款还本付息项目成本</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FB659">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&lt;=704.69万元</w:t>
            </w:r>
          </w:p>
        </w:tc>
        <w:tc>
          <w:tcPr>
            <w:tcW w:w="922" w:type="dxa"/>
            <w:tcBorders>
              <w:top w:val="single" w:color="000000" w:sz="4" w:space="0"/>
              <w:left w:val="single" w:color="000000" w:sz="4" w:space="0"/>
              <w:bottom w:val="nil"/>
              <w:right w:val="single" w:color="000000" w:sz="4" w:space="0"/>
            </w:tcBorders>
            <w:shd w:val="clear" w:color="auto" w:fill="auto"/>
            <w:vAlign w:val="center"/>
          </w:tcPr>
          <w:p w14:paraId="59A090A2">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计划标准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775A6">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7385E">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15B74172">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0B09C">
            <w:pPr>
              <w:jc w:val="center"/>
              <w:rPr>
                <w:rFonts w:hint="eastAsia" w:ascii="仿宋_GB2312" w:hAnsi="仿宋_GB2312" w:eastAsia="仿宋_GB2312" w:cs="仿宋_GB2312"/>
                <w:i w:val="0"/>
                <w:iCs w:val="0"/>
                <w:color w:val="000000"/>
                <w:kern w:val="2"/>
                <w:sz w:val="15"/>
                <w:szCs w:val="15"/>
                <w:u w:val="none"/>
                <w:lang w:val="en-US" w:eastAsia="zh-CN" w:bidi="ar-SA"/>
              </w:rPr>
            </w:pPr>
            <w:r>
              <w:rPr>
                <w:rFonts w:hint="eastAsia" w:ascii="仿宋_GB2312" w:hAnsi="仿宋_GB2312" w:eastAsia="仿宋_GB2312" w:cs="仿宋_GB2312"/>
                <w:i w:val="0"/>
                <w:iCs w:val="0"/>
                <w:color w:val="000000"/>
                <w:sz w:val="15"/>
                <w:szCs w:val="15"/>
                <w:u w:val="none"/>
              </w:rPr>
              <w:t>工作资料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4C119">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=704.69万元</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0B179">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0405D">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ADBBD">
            <w:pPr>
              <w:jc w:val="center"/>
              <w:rPr>
                <w:rFonts w:hint="eastAsia" w:ascii="仿宋_GB2312" w:hAnsi="仿宋_GB2312" w:eastAsia="仿宋_GB2312" w:cs="仿宋_GB2312"/>
                <w:i w:val="0"/>
                <w:iCs w:val="0"/>
                <w:color w:val="000000"/>
                <w:sz w:val="15"/>
                <w:szCs w:val="15"/>
                <w:u w:val="none"/>
              </w:rPr>
            </w:pPr>
          </w:p>
        </w:tc>
      </w:tr>
      <w:tr w14:paraId="5A1131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561DE">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left w:val="single" w:color="000000" w:sz="4" w:space="0"/>
              <w:right w:val="single" w:color="000000" w:sz="4" w:space="0"/>
            </w:tcBorders>
            <w:shd w:val="clear" w:color="auto" w:fill="auto"/>
            <w:vAlign w:val="center"/>
          </w:tcPr>
          <w:p w14:paraId="03815B8C">
            <w:pPr>
              <w:jc w:val="center"/>
              <w:rPr>
                <w:rFonts w:hint="eastAsia" w:ascii="仿宋_GB2312" w:hAnsi="仿宋_GB2312" w:eastAsia="仿宋_GB2312" w:cs="仿宋_GB2312"/>
                <w:i w:val="0"/>
                <w:iCs w:val="0"/>
                <w:color w:val="000000"/>
                <w:sz w:val="15"/>
                <w:szCs w:val="15"/>
                <w:u w:val="none"/>
                <w:lang w:val="en-US" w:eastAsia="zh-CN"/>
              </w:rPr>
            </w:pPr>
          </w:p>
        </w:tc>
        <w:tc>
          <w:tcPr>
            <w:tcW w:w="1281" w:type="dxa"/>
            <w:vMerge w:val="continue"/>
            <w:tcBorders>
              <w:left w:val="single" w:color="000000" w:sz="4" w:space="0"/>
              <w:right w:val="single" w:color="000000" w:sz="4" w:space="0"/>
            </w:tcBorders>
            <w:shd w:val="clear" w:color="auto" w:fill="auto"/>
            <w:noWrap/>
            <w:vAlign w:val="center"/>
          </w:tcPr>
          <w:p w14:paraId="5FFA1DB8">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highlight w:val="none"/>
                <w:u w:val="none"/>
                <w:lang w:val="en-US" w:eastAsia="zh-CN"/>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60D7F">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专项债券利息项目成本</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FBEE">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&lt;=580.83万元</w:t>
            </w:r>
          </w:p>
        </w:tc>
        <w:tc>
          <w:tcPr>
            <w:tcW w:w="922" w:type="dxa"/>
            <w:tcBorders>
              <w:top w:val="single" w:color="000000" w:sz="4" w:space="0"/>
              <w:left w:val="single" w:color="000000" w:sz="4" w:space="0"/>
              <w:bottom w:val="nil"/>
              <w:right w:val="single" w:color="000000" w:sz="4" w:space="0"/>
            </w:tcBorders>
            <w:shd w:val="clear" w:color="auto" w:fill="auto"/>
            <w:vAlign w:val="center"/>
          </w:tcPr>
          <w:p w14:paraId="295638EF">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计划标准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C74EF">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EB0B1">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47A84D52">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F7DB1">
            <w:pPr>
              <w:jc w:val="center"/>
              <w:rPr>
                <w:rFonts w:hint="eastAsia" w:ascii="仿宋_GB2312" w:hAnsi="仿宋_GB2312" w:eastAsia="仿宋_GB2312" w:cs="仿宋_GB2312"/>
                <w:i w:val="0"/>
                <w:iCs w:val="0"/>
                <w:color w:val="000000"/>
                <w:kern w:val="2"/>
                <w:sz w:val="15"/>
                <w:szCs w:val="15"/>
                <w:u w:val="none"/>
                <w:lang w:val="en-US" w:eastAsia="zh-CN" w:bidi="ar-SA"/>
              </w:rPr>
            </w:pPr>
            <w:r>
              <w:rPr>
                <w:rFonts w:hint="eastAsia" w:ascii="仿宋_GB2312" w:hAnsi="仿宋_GB2312" w:eastAsia="仿宋_GB2312" w:cs="仿宋_GB2312"/>
                <w:i w:val="0"/>
                <w:iCs w:val="0"/>
                <w:color w:val="000000"/>
                <w:sz w:val="15"/>
                <w:szCs w:val="15"/>
                <w:u w:val="none"/>
              </w:rPr>
              <w:t>工作资料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FB926">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=580.83万元</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F00F5">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19D25">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030CC">
            <w:pPr>
              <w:jc w:val="center"/>
              <w:rPr>
                <w:rFonts w:hint="eastAsia" w:ascii="仿宋_GB2312" w:hAnsi="仿宋_GB2312" w:eastAsia="仿宋_GB2312" w:cs="仿宋_GB2312"/>
                <w:i w:val="0"/>
                <w:iCs w:val="0"/>
                <w:color w:val="000000"/>
                <w:sz w:val="15"/>
                <w:szCs w:val="15"/>
                <w:u w:val="none"/>
              </w:rPr>
            </w:pPr>
          </w:p>
        </w:tc>
      </w:tr>
      <w:tr w14:paraId="1D42E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39598">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left w:val="single" w:color="000000" w:sz="4" w:space="0"/>
              <w:right w:val="single" w:color="000000" w:sz="4" w:space="0"/>
            </w:tcBorders>
            <w:shd w:val="clear" w:color="auto" w:fill="auto"/>
            <w:vAlign w:val="center"/>
          </w:tcPr>
          <w:p w14:paraId="775B7F7D">
            <w:pPr>
              <w:jc w:val="center"/>
              <w:rPr>
                <w:rFonts w:hint="eastAsia" w:ascii="仿宋_GB2312" w:hAnsi="仿宋_GB2312" w:eastAsia="仿宋_GB2312" w:cs="仿宋_GB2312"/>
                <w:i w:val="0"/>
                <w:iCs w:val="0"/>
                <w:color w:val="000000"/>
                <w:sz w:val="15"/>
                <w:szCs w:val="15"/>
                <w:u w:val="none"/>
                <w:lang w:val="en-US" w:eastAsia="zh-CN"/>
              </w:rPr>
            </w:pPr>
          </w:p>
        </w:tc>
        <w:tc>
          <w:tcPr>
            <w:tcW w:w="1281" w:type="dxa"/>
            <w:vMerge w:val="continue"/>
            <w:tcBorders>
              <w:left w:val="single" w:color="000000" w:sz="4" w:space="0"/>
              <w:right w:val="single" w:color="000000" w:sz="4" w:space="0"/>
            </w:tcBorders>
            <w:shd w:val="clear" w:color="auto" w:fill="auto"/>
            <w:noWrap/>
            <w:vAlign w:val="center"/>
          </w:tcPr>
          <w:p w14:paraId="12831A2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highlight w:val="none"/>
                <w:u w:val="none"/>
                <w:lang w:val="en-US" w:eastAsia="zh-CN"/>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13E00">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头屯河楼庄子水库工程及咨询服务结算尾款运行管理项目成本</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02202">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&lt;=1020万元</w:t>
            </w:r>
          </w:p>
        </w:tc>
        <w:tc>
          <w:tcPr>
            <w:tcW w:w="922" w:type="dxa"/>
            <w:tcBorders>
              <w:top w:val="single" w:color="000000" w:sz="4" w:space="0"/>
              <w:left w:val="single" w:color="000000" w:sz="4" w:space="0"/>
              <w:bottom w:val="nil"/>
              <w:right w:val="single" w:color="000000" w:sz="4" w:space="0"/>
            </w:tcBorders>
            <w:shd w:val="clear" w:color="auto" w:fill="auto"/>
            <w:vAlign w:val="center"/>
          </w:tcPr>
          <w:p w14:paraId="722D6806">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计划标准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D5E6E">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27620">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33D5B7BF">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A828C">
            <w:pPr>
              <w:jc w:val="center"/>
              <w:rPr>
                <w:rFonts w:hint="eastAsia" w:ascii="仿宋_GB2312" w:hAnsi="仿宋_GB2312" w:eastAsia="仿宋_GB2312" w:cs="仿宋_GB2312"/>
                <w:i w:val="0"/>
                <w:iCs w:val="0"/>
                <w:color w:val="000000"/>
                <w:kern w:val="2"/>
                <w:sz w:val="15"/>
                <w:szCs w:val="15"/>
                <w:u w:val="none"/>
                <w:lang w:val="en-US" w:eastAsia="zh-CN" w:bidi="ar-SA"/>
              </w:rPr>
            </w:pPr>
            <w:r>
              <w:rPr>
                <w:rFonts w:hint="eastAsia" w:ascii="仿宋_GB2312" w:hAnsi="仿宋_GB2312" w:eastAsia="仿宋_GB2312" w:cs="仿宋_GB2312"/>
                <w:i w:val="0"/>
                <w:iCs w:val="0"/>
                <w:color w:val="000000"/>
                <w:sz w:val="15"/>
                <w:szCs w:val="15"/>
                <w:u w:val="none"/>
              </w:rPr>
              <w:t>工作资料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A710D">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=1016.87万元</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982A0">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rPr>
              <w:t>99.69</w:t>
            </w:r>
            <w:r>
              <w:rPr>
                <w:rFonts w:hint="eastAsia" w:ascii="仿宋_GB2312" w:hAnsi="仿宋_GB2312" w:eastAsia="仿宋_GB2312" w:cs="仿宋_GB2312"/>
                <w:i w:val="0"/>
                <w:iCs w:val="0"/>
                <w:color w:val="000000"/>
                <w:sz w:val="15"/>
                <w:szCs w:val="15"/>
                <w:u w:val="none"/>
                <w:lang w:val="en-US" w:eastAsia="zh-CN"/>
              </w:rPr>
              <w:t>%</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C0A6F">
            <w:pPr>
              <w:jc w:val="center"/>
              <w:rPr>
                <w:rFonts w:hint="default"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2.98</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8F687">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整体工程未完成竣工验收；整改措施：积极推进整体工程竣工验收，完成尾款结算</w:t>
            </w:r>
          </w:p>
        </w:tc>
      </w:tr>
      <w:tr w14:paraId="62AF8B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2B43D">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left w:val="single" w:color="000000" w:sz="4" w:space="0"/>
              <w:right w:val="single" w:color="000000" w:sz="4" w:space="0"/>
            </w:tcBorders>
            <w:shd w:val="clear" w:color="auto" w:fill="auto"/>
            <w:vAlign w:val="center"/>
          </w:tcPr>
          <w:p w14:paraId="34797132">
            <w:pPr>
              <w:jc w:val="center"/>
              <w:rPr>
                <w:rFonts w:hint="eastAsia" w:ascii="仿宋_GB2312" w:hAnsi="仿宋_GB2312" w:eastAsia="仿宋_GB2312" w:cs="仿宋_GB2312"/>
                <w:i w:val="0"/>
                <w:iCs w:val="0"/>
                <w:color w:val="000000"/>
                <w:sz w:val="15"/>
                <w:szCs w:val="15"/>
                <w:u w:val="none"/>
                <w:lang w:val="en-US" w:eastAsia="zh-CN"/>
              </w:rPr>
            </w:pPr>
          </w:p>
        </w:tc>
        <w:tc>
          <w:tcPr>
            <w:tcW w:w="1281" w:type="dxa"/>
            <w:vMerge w:val="continue"/>
            <w:tcBorders>
              <w:left w:val="single" w:color="000000" w:sz="4" w:space="0"/>
              <w:right w:val="single" w:color="000000" w:sz="4" w:space="0"/>
            </w:tcBorders>
            <w:shd w:val="clear" w:color="auto" w:fill="auto"/>
            <w:noWrap/>
            <w:vAlign w:val="center"/>
          </w:tcPr>
          <w:p w14:paraId="1B650AB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highlight w:val="none"/>
                <w:u w:val="none"/>
                <w:lang w:val="en-US" w:eastAsia="zh-CN"/>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0F5BA">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基本支出成本</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3F2E7">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&lt;=469.68万元</w:t>
            </w:r>
          </w:p>
        </w:tc>
        <w:tc>
          <w:tcPr>
            <w:tcW w:w="922" w:type="dxa"/>
            <w:tcBorders>
              <w:top w:val="single" w:color="000000" w:sz="4" w:space="0"/>
              <w:left w:val="single" w:color="000000" w:sz="4" w:space="0"/>
              <w:bottom w:val="nil"/>
              <w:right w:val="single" w:color="000000" w:sz="4" w:space="0"/>
            </w:tcBorders>
            <w:shd w:val="clear" w:color="auto" w:fill="auto"/>
            <w:vAlign w:val="center"/>
          </w:tcPr>
          <w:p w14:paraId="23C261D3">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计划标准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BE0D5">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E6FE">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1EB9A1EF">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1C49E">
            <w:pPr>
              <w:jc w:val="center"/>
              <w:rPr>
                <w:rFonts w:hint="eastAsia" w:ascii="仿宋_GB2312" w:hAnsi="仿宋_GB2312" w:eastAsia="仿宋_GB2312" w:cs="仿宋_GB2312"/>
                <w:i w:val="0"/>
                <w:iCs w:val="0"/>
                <w:color w:val="000000"/>
                <w:kern w:val="2"/>
                <w:sz w:val="15"/>
                <w:szCs w:val="15"/>
                <w:u w:val="none"/>
                <w:lang w:val="en-US" w:eastAsia="zh-CN" w:bidi="ar-SA"/>
              </w:rPr>
            </w:pPr>
            <w:r>
              <w:rPr>
                <w:rFonts w:hint="eastAsia" w:ascii="仿宋_GB2312" w:hAnsi="仿宋_GB2312" w:eastAsia="仿宋_GB2312" w:cs="仿宋_GB2312"/>
                <w:i w:val="0"/>
                <w:iCs w:val="0"/>
                <w:color w:val="000000"/>
                <w:sz w:val="15"/>
                <w:szCs w:val="15"/>
                <w:u w:val="none"/>
              </w:rPr>
              <w:t>工作资料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17F2C">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=469.68万元</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06BF4">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1568B">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21FD1">
            <w:pPr>
              <w:jc w:val="center"/>
              <w:rPr>
                <w:rFonts w:hint="eastAsia" w:ascii="仿宋_GB2312" w:hAnsi="仿宋_GB2312" w:eastAsia="仿宋_GB2312" w:cs="仿宋_GB2312"/>
                <w:i w:val="0"/>
                <w:iCs w:val="0"/>
                <w:color w:val="000000"/>
                <w:sz w:val="15"/>
                <w:szCs w:val="15"/>
                <w:u w:val="none"/>
              </w:rPr>
            </w:pPr>
          </w:p>
        </w:tc>
      </w:tr>
      <w:tr w14:paraId="3BF89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0B299">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left w:val="single" w:color="000000" w:sz="4" w:space="0"/>
              <w:right w:val="single" w:color="000000" w:sz="4" w:space="0"/>
            </w:tcBorders>
            <w:shd w:val="clear" w:color="auto" w:fill="auto"/>
            <w:vAlign w:val="center"/>
          </w:tcPr>
          <w:p w14:paraId="041C8815">
            <w:pPr>
              <w:jc w:val="center"/>
              <w:rPr>
                <w:rFonts w:hint="eastAsia" w:ascii="仿宋_GB2312" w:hAnsi="仿宋_GB2312" w:eastAsia="仿宋_GB2312" w:cs="仿宋_GB2312"/>
                <w:i w:val="0"/>
                <w:iCs w:val="0"/>
                <w:color w:val="000000"/>
                <w:sz w:val="15"/>
                <w:szCs w:val="15"/>
                <w:u w:val="none"/>
                <w:lang w:val="en-US" w:eastAsia="zh-CN"/>
              </w:rPr>
            </w:pPr>
          </w:p>
        </w:tc>
        <w:tc>
          <w:tcPr>
            <w:tcW w:w="1281" w:type="dxa"/>
            <w:vMerge w:val="continue"/>
            <w:tcBorders>
              <w:left w:val="single" w:color="000000" w:sz="4" w:space="0"/>
              <w:right w:val="single" w:color="000000" w:sz="4" w:space="0"/>
            </w:tcBorders>
            <w:shd w:val="clear" w:color="auto" w:fill="auto"/>
            <w:noWrap/>
            <w:vAlign w:val="center"/>
          </w:tcPr>
          <w:p w14:paraId="004B9D94">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highlight w:val="none"/>
                <w:u w:val="none"/>
                <w:lang w:val="en-US" w:eastAsia="zh-CN"/>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DF0A9">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楼庄子水库工程日常维修维护项目成本</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E7387">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&lt;=45万元</w:t>
            </w:r>
          </w:p>
        </w:tc>
        <w:tc>
          <w:tcPr>
            <w:tcW w:w="922" w:type="dxa"/>
            <w:tcBorders>
              <w:top w:val="single" w:color="000000" w:sz="4" w:space="0"/>
              <w:left w:val="single" w:color="000000" w:sz="4" w:space="0"/>
              <w:bottom w:val="nil"/>
              <w:right w:val="single" w:color="000000" w:sz="4" w:space="0"/>
            </w:tcBorders>
            <w:shd w:val="clear" w:color="auto" w:fill="auto"/>
            <w:vAlign w:val="center"/>
          </w:tcPr>
          <w:p w14:paraId="674E721D">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计划标准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B17C0">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A86C5">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2B80CFC3">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2007F">
            <w:pPr>
              <w:jc w:val="center"/>
              <w:rPr>
                <w:rFonts w:hint="eastAsia" w:ascii="仿宋_GB2312" w:hAnsi="仿宋_GB2312" w:eastAsia="仿宋_GB2312" w:cs="仿宋_GB2312"/>
                <w:i w:val="0"/>
                <w:iCs w:val="0"/>
                <w:color w:val="000000"/>
                <w:kern w:val="2"/>
                <w:sz w:val="15"/>
                <w:szCs w:val="15"/>
                <w:u w:val="none"/>
                <w:lang w:val="en-US" w:eastAsia="zh-CN" w:bidi="ar-SA"/>
              </w:rPr>
            </w:pPr>
            <w:r>
              <w:rPr>
                <w:rFonts w:hint="eastAsia" w:ascii="仿宋_GB2312" w:hAnsi="仿宋_GB2312" w:eastAsia="仿宋_GB2312" w:cs="仿宋_GB2312"/>
                <w:i w:val="0"/>
                <w:iCs w:val="0"/>
                <w:color w:val="000000"/>
                <w:sz w:val="15"/>
                <w:szCs w:val="15"/>
                <w:u w:val="none"/>
              </w:rPr>
              <w:t>工作资料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47E47">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=45万元</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B0CDE">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F87EF">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BC81C">
            <w:pPr>
              <w:jc w:val="center"/>
              <w:rPr>
                <w:rFonts w:hint="eastAsia" w:ascii="仿宋_GB2312" w:hAnsi="仿宋_GB2312" w:eastAsia="仿宋_GB2312" w:cs="仿宋_GB2312"/>
                <w:i w:val="0"/>
                <w:iCs w:val="0"/>
                <w:color w:val="000000"/>
                <w:sz w:val="15"/>
                <w:szCs w:val="15"/>
                <w:u w:val="none"/>
              </w:rPr>
            </w:pPr>
          </w:p>
        </w:tc>
      </w:tr>
      <w:tr w14:paraId="75483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5F991">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left w:val="single" w:color="000000" w:sz="4" w:space="0"/>
              <w:right w:val="single" w:color="000000" w:sz="4" w:space="0"/>
            </w:tcBorders>
            <w:shd w:val="clear" w:color="auto" w:fill="auto"/>
            <w:vAlign w:val="center"/>
          </w:tcPr>
          <w:p w14:paraId="70B5A582">
            <w:pPr>
              <w:jc w:val="center"/>
              <w:rPr>
                <w:rFonts w:hint="eastAsia" w:ascii="仿宋_GB2312" w:hAnsi="仿宋_GB2312" w:eastAsia="仿宋_GB2312" w:cs="仿宋_GB2312"/>
                <w:i w:val="0"/>
                <w:iCs w:val="0"/>
                <w:color w:val="000000"/>
                <w:sz w:val="15"/>
                <w:szCs w:val="15"/>
                <w:u w:val="none"/>
                <w:lang w:val="en-US" w:eastAsia="zh-CN"/>
              </w:rPr>
            </w:pPr>
          </w:p>
        </w:tc>
        <w:tc>
          <w:tcPr>
            <w:tcW w:w="1281" w:type="dxa"/>
            <w:vMerge w:val="continue"/>
            <w:tcBorders>
              <w:left w:val="single" w:color="000000" w:sz="4" w:space="0"/>
              <w:right w:val="single" w:color="000000" w:sz="4" w:space="0"/>
            </w:tcBorders>
            <w:shd w:val="clear" w:color="auto" w:fill="auto"/>
            <w:noWrap/>
            <w:vAlign w:val="center"/>
          </w:tcPr>
          <w:p w14:paraId="45C6D023">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highlight w:val="none"/>
                <w:u w:val="none"/>
                <w:lang w:val="en-US" w:eastAsia="zh-CN"/>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65BCE">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政府采购项目成本</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F6870">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&lt;=15.5万元</w:t>
            </w:r>
          </w:p>
        </w:tc>
        <w:tc>
          <w:tcPr>
            <w:tcW w:w="922" w:type="dxa"/>
            <w:tcBorders>
              <w:top w:val="single" w:color="000000" w:sz="4" w:space="0"/>
              <w:left w:val="single" w:color="000000" w:sz="4" w:space="0"/>
              <w:bottom w:val="nil"/>
              <w:right w:val="single" w:color="000000" w:sz="4" w:space="0"/>
            </w:tcBorders>
            <w:shd w:val="clear" w:color="auto" w:fill="auto"/>
            <w:vAlign w:val="center"/>
          </w:tcPr>
          <w:p w14:paraId="526D5106">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计划标准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127A9">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CBEEE">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2</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262BBF1B">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16FC">
            <w:pPr>
              <w:jc w:val="center"/>
              <w:rPr>
                <w:rFonts w:hint="eastAsia" w:ascii="仿宋_GB2312" w:hAnsi="仿宋_GB2312" w:eastAsia="仿宋_GB2312" w:cs="仿宋_GB2312"/>
                <w:i w:val="0"/>
                <w:iCs w:val="0"/>
                <w:color w:val="000000"/>
                <w:kern w:val="2"/>
                <w:sz w:val="15"/>
                <w:szCs w:val="15"/>
                <w:u w:val="none"/>
                <w:lang w:val="en-US" w:eastAsia="zh-CN" w:bidi="ar-SA"/>
              </w:rPr>
            </w:pPr>
            <w:r>
              <w:rPr>
                <w:rFonts w:hint="eastAsia" w:ascii="仿宋_GB2312" w:hAnsi="仿宋_GB2312" w:eastAsia="仿宋_GB2312" w:cs="仿宋_GB2312"/>
                <w:i w:val="0"/>
                <w:iCs w:val="0"/>
                <w:color w:val="000000"/>
                <w:sz w:val="15"/>
                <w:szCs w:val="15"/>
                <w:u w:val="none"/>
              </w:rPr>
              <w:t>工作资料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A149C">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=15.5万元</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122C2">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EF599">
            <w:pPr>
              <w:jc w:val="center"/>
              <w:rPr>
                <w:rFonts w:hint="default"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2</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FA181">
            <w:pPr>
              <w:jc w:val="center"/>
              <w:rPr>
                <w:rFonts w:hint="eastAsia" w:ascii="仿宋_GB2312" w:hAnsi="仿宋_GB2312" w:eastAsia="仿宋_GB2312" w:cs="仿宋_GB2312"/>
                <w:i w:val="0"/>
                <w:iCs w:val="0"/>
                <w:color w:val="000000"/>
                <w:sz w:val="15"/>
                <w:szCs w:val="15"/>
                <w:u w:val="none"/>
              </w:rPr>
            </w:pPr>
          </w:p>
        </w:tc>
      </w:tr>
      <w:tr w14:paraId="32A72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D0557">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left w:val="single" w:color="000000" w:sz="4" w:space="0"/>
              <w:bottom w:val="single" w:color="000000" w:sz="4" w:space="0"/>
              <w:right w:val="single" w:color="000000" w:sz="4" w:space="0"/>
            </w:tcBorders>
            <w:shd w:val="clear" w:color="auto" w:fill="auto"/>
            <w:vAlign w:val="center"/>
          </w:tcPr>
          <w:p w14:paraId="12441F95">
            <w:pPr>
              <w:jc w:val="center"/>
              <w:rPr>
                <w:rFonts w:hint="eastAsia" w:ascii="仿宋_GB2312" w:hAnsi="仿宋_GB2312" w:eastAsia="仿宋_GB2312" w:cs="仿宋_GB2312"/>
                <w:i w:val="0"/>
                <w:iCs w:val="0"/>
                <w:color w:val="000000"/>
                <w:sz w:val="15"/>
                <w:szCs w:val="15"/>
                <w:u w:val="none"/>
                <w:lang w:val="en-US" w:eastAsia="zh-CN"/>
              </w:rPr>
            </w:pPr>
          </w:p>
        </w:tc>
        <w:tc>
          <w:tcPr>
            <w:tcW w:w="1281" w:type="dxa"/>
            <w:vMerge w:val="continue"/>
            <w:tcBorders>
              <w:left w:val="single" w:color="000000" w:sz="4" w:space="0"/>
              <w:bottom w:val="nil"/>
              <w:right w:val="single" w:color="000000" w:sz="4" w:space="0"/>
            </w:tcBorders>
            <w:shd w:val="clear" w:color="auto" w:fill="auto"/>
            <w:noWrap/>
            <w:vAlign w:val="center"/>
          </w:tcPr>
          <w:p w14:paraId="39478F70">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5"/>
                <w:szCs w:val="15"/>
                <w:highlight w:val="none"/>
                <w:u w:val="none"/>
                <w:lang w:val="en-US" w:eastAsia="zh-CN"/>
              </w:rPr>
            </w:pP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435B4">
            <w:pPr>
              <w:jc w:val="left"/>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水库枢纽区安全防治工程成本</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EEBE7">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&lt;=498.93万元</w:t>
            </w:r>
          </w:p>
        </w:tc>
        <w:tc>
          <w:tcPr>
            <w:tcW w:w="922" w:type="dxa"/>
            <w:tcBorders>
              <w:top w:val="single" w:color="000000" w:sz="4" w:space="0"/>
              <w:left w:val="single" w:color="000000" w:sz="4" w:space="0"/>
              <w:bottom w:val="nil"/>
              <w:right w:val="single" w:color="000000" w:sz="4" w:space="0"/>
            </w:tcBorders>
            <w:shd w:val="clear" w:color="auto" w:fill="auto"/>
            <w:vAlign w:val="center"/>
          </w:tcPr>
          <w:p w14:paraId="2A5CF578">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计划标准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97EE5">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81EDC">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793" w:type="dxa"/>
            <w:tcBorders>
              <w:top w:val="single" w:color="000000" w:sz="4" w:space="0"/>
              <w:left w:val="single" w:color="000000" w:sz="4" w:space="0"/>
              <w:bottom w:val="nil"/>
              <w:right w:val="single" w:color="000000" w:sz="4" w:space="0"/>
            </w:tcBorders>
            <w:shd w:val="clear" w:color="auto" w:fill="auto"/>
            <w:vAlign w:val="center"/>
          </w:tcPr>
          <w:p w14:paraId="67976B44">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8C301">
            <w:pPr>
              <w:jc w:val="center"/>
              <w:rPr>
                <w:rFonts w:hint="eastAsia" w:ascii="仿宋_GB2312" w:hAnsi="仿宋_GB2312" w:eastAsia="仿宋_GB2312" w:cs="仿宋_GB2312"/>
                <w:i w:val="0"/>
                <w:iCs w:val="0"/>
                <w:color w:val="000000"/>
                <w:kern w:val="2"/>
                <w:sz w:val="15"/>
                <w:szCs w:val="15"/>
                <w:u w:val="none"/>
                <w:lang w:val="en-US" w:eastAsia="zh-CN" w:bidi="ar-SA"/>
              </w:rPr>
            </w:pPr>
            <w:r>
              <w:rPr>
                <w:rFonts w:hint="eastAsia" w:ascii="仿宋_GB2312" w:hAnsi="仿宋_GB2312" w:eastAsia="仿宋_GB2312" w:cs="仿宋_GB2312"/>
                <w:i w:val="0"/>
                <w:iCs w:val="0"/>
                <w:color w:val="000000"/>
                <w:sz w:val="15"/>
                <w:szCs w:val="15"/>
                <w:u w:val="none"/>
              </w:rPr>
              <w:t>工作资料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65904">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=498.71万元</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FC030">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rPr>
              <w:t>99.96</w:t>
            </w:r>
            <w:r>
              <w:rPr>
                <w:rFonts w:hint="eastAsia" w:ascii="仿宋_GB2312" w:hAnsi="仿宋_GB2312" w:eastAsia="仿宋_GB2312" w:cs="仿宋_GB2312"/>
                <w:i w:val="0"/>
                <w:iCs w:val="0"/>
                <w:color w:val="000000"/>
                <w:sz w:val="15"/>
                <w:szCs w:val="15"/>
                <w:u w:val="none"/>
                <w:lang w:val="en-US" w:eastAsia="zh-CN"/>
              </w:rPr>
              <w:t>%</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6FFE8">
            <w:pPr>
              <w:jc w:val="center"/>
              <w:rPr>
                <w:rFonts w:hint="eastAsia"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DA6D6">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因地质情况复杂，实际工程实施工程中与设计轮廓线有偏差；整改措施：加强监管，优化前期方案，规范科学设置项目指标</w:t>
            </w:r>
          </w:p>
        </w:tc>
      </w:tr>
      <w:tr w14:paraId="3992E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8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15967">
            <w:pPr>
              <w:jc w:val="center"/>
              <w:rPr>
                <w:rFonts w:hint="eastAsia" w:ascii="仿宋_GB2312" w:hAnsi="仿宋_GB2312" w:eastAsia="仿宋_GB2312" w:cs="仿宋_GB2312"/>
                <w:i w:val="0"/>
                <w:iCs w:val="0"/>
                <w:color w:val="000000"/>
                <w:sz w:val="15"/>
                <w:szCs w:val="15"/>
                <w:u w:val="none"/>
              </w:rPr>
            </w:pPr>
          </w:p>
        </w:tc>
        <w:tc>
          <w:tcPr>
            <w:tcW w:w="11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C6124">
            <w:pPr>
              <w:jc w:val="center"/>
              <w:rPr>
                <w:rFonts w:hint="eastAsia" w:ascii="仿宋_GB2312" w:hAnsi="仿宋_GB2312" w:eastAsia="仿宋_GB2312" w:cs="仿宋_GB2312"/>
                <w:i w:val="0"/>
                <w:iCs w:val="0"/>
                <w:color w:val="000000"/>
                <w:sz w:val="15"/>
                <w:szCs w:val="15"/>
                <w:u w:val="none"/>
              </w:rPr>
            </w:pPr>
          </w:p>
        </w:tc>
        <w:tc>
          <w:tcPr>
            <w:tcW w:w="12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D747A">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社会效益指标</w:t>
            </w:r>
          </w:p>
        </w:tc>
        <w:tc>
          <w:tcPr>
            <w:tcW w:w="22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ED5D7">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防止专项债逾期付息导致违约风险率</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2075F">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D15C9">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计划标准</w:t>
            </w: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F600A">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6DCF3">
            <w:pPr>
              <w:jc w:val="center"/>
              <w:rPr>
                <w:rFonts w:hint="default"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A92EF">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按照完成比例赋分</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4DAC0">
            <w:pPr>
              <w:jc w:val="center"/>
              <w:rPr>
                <w:rFonts w:hint="default"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说明材料</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67795">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rPr>
              <w:t>100%</w:t>
            </w: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D534D">
            <w:pPr>
              <w:jc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sz w:val="15"/>
                <w:szCs w:val="15"/>
                <w:u w:val="none"/>
                <w:lang w:val="en-US" w:eastAsia="zh-CN"/>
              </w:rPr>
              <w:t>100%</w:t>
            </w: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320BF">
            <w:pPr>
              <w:jc w:val="center"/>
              <w:rPr>
                <w:rFonts w:hint="default"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30</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F6DB4">
            <w:pPr>
              <w:jc w:val="center"/>
              <w:rPr>
                <w:rFonts w:hint="eastAsia" w:ascii="仿宋_GB2312" w:hAnsi="仿宋_GB2312" w:eastAsia="仿宋_GB2312" w:cs="仿宋_GB2312"/>
                <w:i w:val="0"/>
                <w:iCs w:val="0"/>
                <w:color w:val="000000"/>
                <w:sz w:val="15"/>
                <w:szCs w:val="15"/>
                <w:u w:val="none"/>
              </w:rPr>
            </w:pPr>
          </w:p>
        </w:tc>
      </w:tr>
      <w:tr w14:paraId="6F276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617" w:type="dxa"/>
            <w:gridSpan w:val="4"/>
            <w:tcBorders>
              <w:top w:val="single" w:color="000000" w:sz="4" w:space="0"/>
              <w:left w:val="single" w:color="000000" w:sz="4" w:space="0"/>
              <w:bottom w:val="single" w:color="000000" w:sz="4" w:space="0"/>
              <w:right w:val="nil"/>
            </w:tcBorders>
            <w:shd w:val="clear" w:color="auto" w:fill="auto"/>
            <w:vAlign w:val="center"/>
          </w:tcPr>
          <w:p w14:paraId="5C10353C">
            <w:pPr>
              <w:keepNext w:val="0"/>
              <w:keepLines w:val="0"/>
              <w:widowControl/>
              <w:suppressLineNumbers w:val="0"/>
              <w:jc w:val="center"/>
              <w:textAlignment w:val="center"/>
              <w:rPr>
                <w:rFonts w:hint="eastAsia" w:ascii="仿宋_GB2312" w:hAnsi="仿宋_GB2312" w:eastAsia="仿宋_GB2312" w:cs="仿宋_GB2312"/>
                <w:i w:val="0"/>
                <w:iCs w:val="0"/>
                <w:color w:val="000000"/>
                <w:sz w:val="15"/>
                <w:szCs w:val="15"/>
                <w:u w:val="none"/>
              </w:rPr>
            </w:pPr>
            <w:r>
              <w:rPr>
                <w:rFonts w:hint="eastAsia" w:ascii="仿宋_GB2312" w:hAnsi="仿宋_GB2312" w:eastAsia="仿宋_GB2312" w:cs="仿宋_GB2312"/>
                <w:i w:val="0"/>
                <w:iCs w:val="0"/>
                <w:color w:val="000000"/>
                <w:kern w:val="0"/>
                <w:sz w:val="15"/>
                <w:szCs w:val="15"/>
                <w:u w:val="none"/>
                <w:lang w:val="en-US" w:eastAsia="zh-CN"/>
              </w:rPr>
              <w:t>总分</w:t>
            </w:r>
          </w:p>
        </w:tc>
        <w:tc>
          <w:tcPr>
            <w:tcW w:w="11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03184">
            <w:pPr>
              <w:jc w:val="center"/>
              <w:rPr>
                <w:rFonts w:hint="eastAsia" w:ascii="仿宋_GB2312" w:hAnsi="仿宋_GB2312" w:eastAsia="仿宋_GB2312" w:cs="仿宋_GB2312"/>
                <w:i w:val="0"/>
                <w:iCs w:val="0"/>
                <w:color w:val="000000"/>
                <w:sz w:val="15"/>
                <w:szCs w:val="15"/>
                <w:u w:val="none"/>
              </w:rPr>
            </w:pPr>
          </w:p>
        </w:tc>
        <w:tc>
          <w:tcPr>
            <w:tcW w:w="922" w:type="dxa"/>
            <w:tcBorders>
              <w:top w:val="single" w:color="000000" w:sz="4" w:space="0"/>
              <w:left w:val="nil"/>
              <w:bottom w:val="single" w:color="000000" w:sz="4" w:space="0"/>
              <w:right w:val="single" w:color="000000" w:sz="4" w:space="0"/>
            </w:tcBorders>
            <w:shd w:val="clear" w:color="auto" w:fill="auto"/>
            <w:vAlign w:val="center"/>
          </w:tcPr>
          <w:p w14:paraId="1305F61C">
            <w:pPr>
              <w:rPr>
                <w:rFonts w:hint="eastAsia" w:ascii="仿宋_GB2312" w:hAnsi="仿宋_GB2312" w:eastAsia="仿宋_GB2312" w:cs="仿宋_GB2312"/>
                <w:b/>
                <w:bCs/>
                <w:i w:val="0"/>
                <w:iCs w:val="0"/>
                <w:color w:val="000000"/>
                <w:sz w:val="15"/>
                <w:szCs w:val="15"/>
                <w:u w:val="none"/>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C2F1B">
            <w:pPr>
              <w:jc w:val="center"/>
              <w:rPr>
                <w:rFonts w:hint="eastAsia" w:ascii="仿宋_GB2312" w:hAnsi="仿宋_GB2312" w:eastAsia="仿宋_GB2312" w:cs="仿宋_GB2312"/>
                <w:i w:val="0"/>
                <w:iCs w:val="0"/>
                <w:color w:val="000000"/>
                <w:sz w:val="15"/>
                <w:szCs w:val="15"/>
                <w:u w:val="none"/>
              </w:rPr>
            </w:pPr>
          </w:p>
        </w:tc>
        <w:tc>
          <w:tcPr>
            <w:tcW w:w="6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4315A">
            <w:pPr>
              <w:jc w:val="center"/>
              <w:rPr>
                <w:rFonts w:hint="default"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90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E1F6F">
            <w:pPr>
              <w:jc w:val="center"/>
              <w:rPr>
                <w:rFonts w:hint="eastAsia" w:ascii="仿宋_GB2312" w:hAnsi="仿宋_GB2312" w:eastAsia="仿宋_GB2312" w:cs="仿宋_GB2312"/>
                <w:i w:val="0"/>
                <w:iCs w:val="0"/>
                <w:color w:val="000000"/>
                <w:sz w:val="15"/>
                <w:szCs w:val="15"/>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F9FA1">
            <w:pPr>
              <w:rPr>
                <w:rFonts w:hint="eastAsia" w:ascii="仿宋_GB2312" w:hAnsi="仿宋_GB2312" w:eastAsia="仿宋_GB2312" w:cs="仿宋_GB2312"/>
                <w:i w:val="0"/>
                <w:iCs w:val="0"/>
                <w:color w:val="000000"/>
                <w:sz w:val="15"/>
                <w:szCs w:val="15"/>
                <w:u w:val="none"/>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70253">
            <w:pPr>
              <w:rPr>
                <w:rFonts w:hint="eastAsia" w:ascii="仿宋_GB2312" w:hAnsi="仿宋_GB2312" w:eastAsia="仿宋_GB2312" w:cs="仿宋_GB2312"/>
                <w:i w:val="0"/>
                <w:iCs w:val="0"/>
                <w:color w:val="000000"/>
                <w:sz w:val="15"/>
                <w:szCs w:val="15"/>
                <w:u w:val="none"/>
              </w:rPr>
            </w:pPr>
          </w:p>
        </w:tc>
        <w:tc>
          <w:tcPr>
            <w:tcW w:w="7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E49E0">
            <w:pPr>
              <w:rPr>
                <w:rFonts w:hint="eastAsia" w:ascii="仿宋_GB2312" w:hAnsi="仿宋_GB2312" w:eastAsia="仿宋_GB2312" w:cs="仿宋_GB2312"/>
                <w:i w:val="0"/>
                <w:iCs w:val="0"/>
                <w:color w:val="000000"/>
                <w:sz w:val="15"/>
                <w:szCs w:val="15"/>
                <w:u w:val="none"/>
              </w:rPr>
            </w:pPr>
          </w:p>
        </w:tc>
        <w:tc>
          <w:tcPr>
            <w:tcW w:w="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4E30C">
            <w:pPr>
              <w:jc w:val="center"/>
              <w:rPr>
                <w:rFonts w:hint="default" w:ascii="仿宋_GB2312" w:hAnsi="仿宋_GB2312" w:eastAsia="仿宋_GB2312" w:cs="仿宋_GB2312"/>
                <w:i w:val="0"/>
                <w:iCs w:val="0"/>
                <w:color w:val="000000"/>
                <w:sz w:val="15"/>
                <w:szCs w:val="15"/>
                <w:u w:val="none"/>
                <w:lang w:val="en-US" w:eastAsia="zh-CN"/>
              </w:rPr>
            </w:pPr>
            <w:r>
              <w:rPr>
                <w:rFonts w:hint="eastAsia" w:ascii="仿宋_GB2312" w:hAnsi="仿宋_GB2312" w:eastAsia="仿宋_GB2312" w:cs="仿宋_GB2312"/>
                <w:i w:val="0"/>
                <w:iCs w:val="0"/>
                <w:color w:val="000000"/>
                <w:sz w:val="15"/>
                <w:szCs w:val="15"/>
                <w:u w:val="none"/>
                <w:lang w:val="en-US" w:eastAsia="zh-CN"/>
              </w:rPr>
              <w:t>89.98</w:t>
            </w:r>
          </w:p>
        </w:tc>
        <w:tc>
          <w:tcPr>
            <w:tcW w:w="29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5639C">
            <w:pPr>
              <w:rPr>
                <w:rFonts w:hint="eastAsia" w:ascii="仿宋_GB2312" w:hAnsi="仿宋_GB2312" w:eastAsia="仿宋_GB2312" w:cs="仿宋_GB2312"/>
                <w:i w:val="0"/>
                <w:iCs w:val="0"/>
                <w:color w:val="000000"/>
                <w:sz w:val="15"/>
                <w:szCs w:val="15"/>
                <w:u w:val="none"/>
              </w:rPr>
            </w:pPr>
          </w:p>
        </w:tc>
      </w:tr>
    </w:tbl>
    <w:p w14:paraId="71F951AC">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576828-5B2C-434C-9CD0-0269B5FF61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59BF22B8-F7D9-49C2-A9DE-018EF9700E1C}"/>
  </w:font>
  <w:font w:name="华文中宋">
    <w:panose1 w:val="02010600040101010101"/>
    <w:charset w:val="86"/>
    <w:family w:val="auto"/>
    <w:pitch w:val="default"/>
    <w:sig w:usb0="00000287" w:usb1="080F0000" w:usb2="00000000" w:usb3="00000000" w:csb0="0004009F" w:csb1="DFD70000"/>
    <w:embedRegular r:id="rId3" w:fontKey="{115FCD32-D162-40B8-8028-4EBC9007A88B}"/>
  </w:font>
  <w:font w:name="方正小标宋_GBK">
    <w:panose1 w:val="02000000000000000000"/>
    <w:charset w:val="86"/>
    <w:family w:val="script"/>
    <w:pitch w:val="default"/>
    <w:sig w:usb0="A00002BF" w:usb1="38CF7CFA" w:usb2="00082016" w:usb3="00000000" w:csb0="00040001" w:csb1="00000000"/>
    <w:embedRegular r:id="rId4" w:fontKey="{0231BCFB-14AD-4063-942E-C6F367820BA0}"/>
  </w:font>
  <w:font w:name="楷体_GB2312">
    <w:altName w:val="楷体"/>
    <w:panose1 w:val="02010609030101010101"/>
    <w:charset w:val="86"/>
    <w:family w:val="auto"/>
    <w:pitch w:val="default"/>
    <w:sig w:usb0="00000000" w:usb1="00000000" w:usb2="00000000" w:usb3="00000000" w:csb0="00040000" w:csb1="00000000"/>
    <w:embedRegular r:id="rId5" w:fontKey="{3C8177D3-2FF4-4E20-B781-5F91A07800AC}"/>
  </w:font>
  <w:font w:name="楷体">
    <w:panose1 w:val="02010609060101010101"/>
    <w:charset w:val="86"/>
    <w:family w:val="modern"/>
    <w:pitch w:val="default"/>
    <w:sig w:usb0="800002BF" w:usb1="38CF7CFA" w:usb2="00000016" w:usb3="00000000" w:csb0="00040001" w:csb1="00000000"/>
    <w:embedRegular r:id="rId6" w:fontKey="{EA18ED80-1569-4D29-8B42-F4EEED445220}"/>
  </w:font>
  <w:font w:name="方正仿宋_GBK">
    <w:panose1 w:val="02000000000000000000"/>
    <w:charset w:val="86"/>
    <w:family w:val="auto"/>
    <w:pitch w:val="default"/>
    <w:sig w:usb0="A00002BF" w:usb1="38CF7CFA" w:usb2="00082016" w:usb3="00000000" w:csb0="00040001" w:csb1="00000000"/>
    <w:embedRegular r:id="rId7" w:fontKey="{5CEC895D-118E-4EDC-8B50-6E1462A9E3DA}"/>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6C36EAF">
        <w:pPr>
          <w:pStyle w:val="7"/>
          <w:jc w:val="center"/>
        </w:pPr>
        <w:r>
          <w:fldChar w:fldCharType="begin"/>
        </w:r>
        <w:r>
          <w:instrText xml:space="preserve">PAGE   \* MERGEFORMAT</w:instrText>
        </w:r>
        <w:r>
          <w:fldChar w:fldCharType="separate"/>
        </w:r>
        <w:r>
          <w:rPr>
            <w:lang w:val="zh-CN"/>
          </w:rPr>
          <w:t>13</w:t>
        </w:r>
        <w:r>
          <w:fldChar w:fldCharType="end"/>
        </w:r>
      </w:p>
    </w:sdtContent>
  </w:sdt>
  <w:p w14:paraId="096AD691">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571A21"/>
    <w:rsid w:val="006F7242"/>
    <w:rsid w:val="007B168A"/>
    <w:rsid w:val="008B2CFE"/>
    <w:rsid w:val="00D14946"/>
    <w:rsid w:val="00E33444"/>
    <w:rsid w:val="00F26FF6"/>
    <w:rsid w:val="011E0236"/>
    <w:rsid w:val="01610122"/>
    <w:rsid w:val="01B80F22"/>
    <w:rsid w:val="02331F5B"/>
    <w:rsid w:val="02510197"/>
    <w:rsid w:val="030F6088"/>
    <w:rsid w:val="036D1000"/>
    <w:rsid w:val="03EC461B"/>
    <w:rsid w:val="046B19E4"/>
    <w:rsid w:val="04820ADC"/>
    <w:rsid w:val="04FC7963"/>
    <w:rsid w:val="057E12A3"/>
    <w:rsid w:val="061A6258"/>
    <w:rsid w:val="064B71AE"/>
    <w:rsid w:val="064C13A1"/>
    <w:rsid w:val="07331C99"/>
    <w:rsid w:val="07397B77"/>
    <w:rsid w:val="07EB626D"/>
    <w:rsid w:val="084E1401"/>
    <w:rsid w:val="09A43944"/>
    <w:rsid w:val="09BD7BF9"/>
    <w:rsid w:val="0AD007F3"/>
    <w:rsid w:val="0AFC15E8"/>
    <w:rsid w:val="0B0E7513"/>
    <w:rsid w:val="0B3F14D4"/>
    <w:rsid w:val="0BAB6B6A"/>
    <w:rsid w:val="0C061FF2"/>
    <w:rsid w:val="0C7130B3"/>
    <w:rsid w:val="0CE42333"/>
    <w:rsid w:val="0D6B65B1"/>
    <w:rsid w:val="0DE46363"/>
    <w:rsid w:val="0E176739"/>
    <w:rsid w:val="0E1779E1"/>
    <w:rsid w:val="0E3C619F"/>
    <w:rsid w:val="0E6801EC"/>
    <w:rsid w:val="0EF32D02"/>
    <w:rsid w:val="0EFE4AC2"/>
    <w:rsid w:val="0F6F3B45"/>
    <w:rsid w:val="0FCD3553"/>
    <w:rsid w:val="0FDA2383"/>
    <w:rsid w:val="11170296"/>
    <w:rsid w:val="11A405D2"/>
    <w:rsid w:val="11B60016"/>
    <w:rsid w:val="12B8383C"/>
    <w:rsid w:val="13471461"/>
    <w:rsid w:val="13B90F01"/>
    <w:rsid w:val="141E2B33"/>
    <w:rsid w:val="14C73924"/>
    <w:rsid w:val="1530DC18"/>
    <w:rsid w:val="155E4C4D"/>
    <w:rsid w:val="16290DB7"/>
    <w:rsid w:val="164D0F49"/>
    <w:rsid w:val="16D276A1"/>
    <w:rsid w:val="16E318AE"/>
    <w:rsid w:val="17462648"/>
    <w:rsid w:val="181066D2"/>
    <w:rsid w:val="18177FE3"/>
    <w:rsid w:val="19224DCD"/>
    <w:rsid w:val="19442ADC"/>
    <w:rsid w:val="199944A6"/>
    <w:rsid w:val="19AD23A6"/>
    <w:rsid w:val="1A2B4F63"/>
    <w:rsid w:val="1A564145"/>
    <w:rsid w:val="1ACD60CD"/>
    <w:rsid w:val="1AD938CB"/>
    <w:rsid w:val="1AE2543D"/>
    <w:rsid w:val="1B9273FE"/>
    <w:rsid w:val="1C3B5CE8"/>
    <w:rsid w:val="1C490288"/>
    <w:rsid w:val="1C671E73"/>
    <w:rsid w:val="1D1125A5"/>
    <w:rsid w:val="1D322C47"/>
    <w:rsid w:val="1DC86C1B"/>
    <w:rsid w:val="1E6E5F01"/>
    <w:rsid w:val="1E934856"/>
    <w:rsid w:val="1F01174F"/>
    <w:rsid w:val="1F1840BF"/>
    <w:rsid w:val="20C067BC"/>
    <w:rsid w:val="224B494C"/>
    <w:rsid w:val="23111551"/>
    <w:rsid w:val="233174FD"/>
    <w:rsid w:val="23616034"/>
    <w:rsid w:val="23B73EA6"/>
    <w:rsid w:val="23D4607E"/>
    <w:rsid w:val="241E5A50"/>
    <w:rsid w:val="24264886"/>
    <w:rsid w:val="24480FA2"/>
    <w:rsid w:val="246663D3"/>
    <w:rsid w:val="2479676D"/>
    <w:rsid w:val="25227A45"/>
    <w:rsid w:val="258A1202"/>
    <w:rsid w:val="265A0047"/>
    <w:rsid w:val="269106A1"/>
    <w:rsid w:val="26AC3A6A"/>
    <w:rsid w:val="26B26BA7"/>
    <w:rsid w:val="26D50141"/>
    <w:rsid w:val="275B1FA9"/>
    <w:rsid w:val="27C923FA"/>
    <w:rsid w:val="281178FD"/>
    <w:rsid w:val="294855A0"/>
    <w:rsid w:val="29BB3FC4"/>
    <w:rsid w:val="2A007C29"/>
    <w:rsid w:val="2A871271"/>
    <w:rsid w:val="2ADA0E92"/>
    <w:rsid w:val="2AEA2DB3"/>
    <w:rsid w:val="2B62450B"/>
    <w:rsid w:val="2B9D7E25"/>
    <w:rsid w:val="2BC14CBA"/>
    <w:rsid w:val="2BE45A54"/>
    <w:rsid w:val="2C212804"/>
    <w:rsid w:val="2C365B84"/>
    <w:rsid w:val="2C7C7A3B"/>
    <w:rsid w:val="2C923702"/>
    <w:rsid w:val="2E20089A"/>
    <w:rsid w:val="2E24038A"/>
    <w:rsid w:val="2E861EE7"/>
    <w:rsid w:val="2EFC0D68"/>
    <w:rsid w:val="2F364819"/>
    <w:rsid w:val="2FD63906"/>
    <w:rsid w:val="31570A76"/>
    <w:rsid w:val="316D029A"/>
    <w:rsid w:val="318D3E35"/>
    <w:rsid w:val="327A0EC0"/>
    <w:rsid w:val="33BB5540"/>
    <w:rsid w:val="346C4839"/>
    <w:rsid w:val="35146474"/>
    <w:rsid w:val="369E4A52"/>
    <w:rsid w:val="36DE12F2"/>
    <w:rsid w:val="37215DAE"/>
    <w:rsid w:val="37F87CF5"/>
    <w:rsid w:val="38CA40DD"/>
    <w:rsid w:val="395104A1"/>
    <w:rsid w:val="395F2B56"/>
    <w:rsid w:val="3B09400D"/>
    <w:rsid w:val="3B5D312D"/>
    <w:rsid w:val="3B843AEA"/>
    <w:rsid w:val="3BBA0580"/>
    <w:rsid w:val="3BECE841"/>
    <w:rsid w:val="3C706E90"/>
    <w:rsid w:val="3CDE204C"/>
    <w:rsid w:val="3D363C36"/>
    <w:rsid w:val="3E067AAC"/>
    <w:rsid w:val="3E3F6B1A"/>
    <w:rsid w:val="3E636CAD"/>
    <w:rsid w:val="3E720C9E"/>
    <w:rsid w:val="3E9C3F6D"/>
    <w:rsid w:val="3ED2C1F7"/>
    <w:rsid w:val="3FB11C9A"/>
    <w:rsid w:val="3FF7797D"/>
    <w:rsid w:val="3FFF479F"/>
    <w:rsid w:val="401D10DD"/>
    <w:rsid w:val="40A75E1F"/>
    <w:rsid w:val="40DC2D46"/>
    <w:rsid w:val="41AF2209"/>
    <w:rsid w:val="423D13A8"/>
    <w:rsid w:val="424B1F31"/>
    <w:rsid w:val="431A7B56"/>
    <w:rsid w:val="43601655"/>
    <w:rsid w:val="458B6AE9"/>
    <w:rsid w:val="45950735"/>
    <w:rsid w:val="45E15804"/>
    <w:rsid w:val="464B69A4"/>
    <w:rsid w:val="46690BD8"/>
    <w:rsid w:val="46953E87"/>
    <w:rsid w:val="46B7486B"/>
    <w:rsid w:val="47132FF3"/>
    <w:rsid w:val="47501D98"/>
    <w:rsid w:val="47BB35B6"/>
    <w:rsid w:val="47D26417"/>
    <w:rsid w:val="47DB5B06"/>
    <w:rsid w:val="481822EA"/>
    <w:rsid w:val="48D013E2"/>
    <w:rsid w:val="49C10D2B"/>
    <w:rsid w:val="49F70BF1"/>
    <w:rsid w:val="4B4340EE"/>
    <w:rsid w:val="4BF06537"/>
    <w:rsid w:val="4C53598B"/>
    <w:rsid w:val="4D275349"/>
    <w:rsid w:val="4D9E1AAF"/>
    <w:rsid w:val="4F336227"/>
    <w:rsid w:val="503D507A"/>
    <w:rsid w:val="504B57F2"/>
    <w:rsid w:val="505E1082"/>
    <w:rsid w:val="51FA74D0"/>
    <w:rsid w:val="528A5B24"/>
    <w:rsid w:val="52A80CDA"/>
    <w:rsid w:val="52AA4A52"/>
    <w:rsid w:val="542F4D13"/>
    <w:rsid w:val="54E56216"/>
    <w:rsid w:val="550F5041"/>
    <w:rsid w:val="557770E7"/>
    <w:rsid w:val="55C31BDF"/>
    <w:rsid w:val="56277B56"/>
    <w:rsid w:val="574A40F1"/>
    <w:rsid w:val="57D91936"/>
    <w:rsid w:val="589C4E3D"/>
    <w:rsid w:val="59943D66"/>
    <w:rsid w:val="59B30318"/>
    <w:rsid w:val="59E051FD"/>
    <w:rsid w:val="59E6355E"/>
    <w:rsid w:val="59F974AC"/>
    <w:rsid w:val="5A184997"/>
    <w:rsid w:val="5A3F7C21"/>
    <w:rsid w:val="5AF07CA2"/>
    <w:rsid w:val="5B821531"/>
    <w:rsid w:val="5BFF6039"/>
    <w:rsid w:val="5C36606A"/>
    <w:rsid w:val="5C476399"/>
    <w:rsid w:val="5D76A616"/>
    <w:rsid w:val="5D7F20B9"/>
    <w:rsid w:val="5DAC7D0E"/>
    <w:rsid w:val="5DD76FBC"/>
    <w:rsid w:val="5DF254FF"/>
    <w:rsid w:val="5E4F2952"/>
    <w:rsid w:val="5ECA02C0"/>
    <w:rsid w:val="5F4F7089"/>
    <w:rsid w:val="5F98B5AF"/>
    <w:rsid w:val="5FFE8511"/>
    <w:rsid w:val="5FFEACE2"/>
    <w:rsid w:val="5FFF26CF"/>
    <w:rsid w:val="60330D2F"/>
    <w:rsid w:val="609D5BF6"/>
    <w:rsid w:val="60E455D3"/>
    <w:rsid w:val="61073070"/>
    <w:rsid w:val="61113EEE"/>
    <w:rsid w:val="61B9080E"/>
    <w:rsid w:val="61DF3FED"/>
    <w:rsid w:val="620F71E5"/>
    <w:rsid w:val="62A212A2"/>
    <w:rsid w:val="62AA63A9"/>
    <w:rsid w:val="63D95197"/>
    <w:rsid w:val="64267CB1"/>
    <w:rsid w:val="642B176B"/>
    <w:rsid w:val="643EE26D"/>
    <w:rsid w:val="650224CC"/>
    <w:rsid w:val="656019A0"/>
    <w:rsid w:val="65F242EE"/>
    <w:rsid w:val="662C07B9"/>
    <w:rsid w:val="666D7E19"/>
    <w:rsid w:val="66C32833"/>
    <w:rsid w:val="66C51A03"/>
    <w:rsid w:val="67862220"/>
    <w:rsid w:val="68376930"/>
    <w:rsid w:val="683F3494"/>
    <w:rsid w:val="68F91E38"/>
    <w:rsid w:val="69767E03"/>
    <w:rsid w:val="6A472936"/>
    <w:rsid w:val="6A99742E"/>
    <w:rsid w:val="6B3158B9"/>
    <w:rsid w:val="6BA02A3F"/>
    <w:rsid w:val="6C1E5A53"/>
    <w:rsid w:val="6C7F76DF"/>
    <w:rsid w:val="6CCC36A7"/>
    <w:rsid w:val="6DB63E53"/>
    <w:rsid w:val="6DD20F3C"/>
    <w:rsid w:val="6F435BBB"/>
    <w:rsid w:val="6F5C41AC"/>
    <w:rsid w:val="6FAF6C78"/>
    <w:rsid w:val="6FD66A2F"/>
    <w:rsid w:val="70187047"/>
    <w:rsid w:val="701B08E6"/>
    <w:rsid w:val="707A7747"/>
    <w:rsid w:val="709B37D5"/>
    <w:rsid w:val="71180B16"/>
    <w:rsid w:val="716167CC"/>
    <w:rsid w:val="718A7AD1"/>
    <w:rsid w:val="72A44BC2"/>
    <w:rsid w:val="72B55021"/>
    <w:rsid w:val="72F67375"/>
    <w:rsid w:val="7317C656"/>
    <w:rsid w:val="734ED73F"/>
    <w:rsid w:val="73B51DCA"/>
    <w:rsid w:val="73C82B32"/>
    <w:rsid w:val="73F94DAE"/>
    <w:rsid w:val="74220495"/>
    <w:rsid w:val="74421206"/>
    <w:rsid w:val="747D1B6F"/>
    <w:rsid w:val="748A32A9"/>
    <w:rsid w:val="749E5641"/>
    <w:rsid w:val="756B19C7"/>
    <w:rsid w:val="758B206A"/>
    <w:rsid w:val="76271066"/>
    <w:rsid w:val="76D7497B"/>
    <w:rsid w:val="7755292F"/>
    <w:rsid w:val="77FD8BE9"/>
    <w:rsid w:val="78000AED"/>
    <w:rsid w:val="78DD2BDC"/>
    <w:rsid w:val="78FE2B52"/>
    <w:rsid w:val="79055C6B"/>
    <w:rsid w:val="79A9BD3F"/>
    <w:rsid w:val="7B346CFF"/>
    <w:rsid w:val="7B776F12"/>
    <w:rsid w:val="7BAE6AB2"/>
    <w:rsid w:val="7BBD6CF5"/>
    <w:rsid w:val="7BC40083"/>
    <w:rsid w:val="7BFFFDD0"/>
    <w:rsid w:val="7C091F3A"/>
    <w:rsid w:val="7C336E5F"/>
    <w:rsid w:val="7C41299A"/>
    <w:rsid w:val="7C466CEA"/>
    <w:rsid w:val="7C8D4919"/>
    <w:rsid w:val="7CBE4AD3"/>
    <w:rsid w:val="7D7A5F86"/>
    <w:rsid w:val="7DA71A0B"/>
    <w:rsid w:val="7DB4431C"/>
    <w:rsid w:val="7DBFA938"/>
    <w:rsid w:val="7E4B683A"/>
    <w:rsid w:val="7E5E656D"/>
    <w:rsid w:val="7E8F2BCB"/>
    <w:rsid w:val="7E955D07"/>
    <w:rsid w:val="7EA5419C"/>
    <w:rsid w:val="7EAF0B77"/>
    <w:rsid w:val="7EFF23C0"/>
    <w:rsid w:val="7F37BB4E"/>
    <w:rsid w:val="7F7ECBA8"/>
    <w:rsid w:val="7FEF02F1"/>
    <w:rsid w:val="7FEF918E"/>
    <w:rsid w:val="7FF4FB6F"/>
    <w:rsid w:val="7FF7FF27"/>
    <w:rsid w:val="7FFDF714"/>
    <w:rsid w:val="979F164A"/>
    <w:rsid w:val="AF3FCD8C"/>
    <w:rsid w:val="AFBD20A9"/>
    <w:rsid w:val="B6DF05DC"/>
    <w:rsid w:val="B9FA2A43"/>
    <w:rsid w:val="BF7BA1E4"/>
    <w:rsid w:val="BFBAC612"/>
    <w:rsid w:val="BFDF04FA"/>
    <w:rsid w:val="BFE227EF"/>
    <w:rsid w:val="CBBFB975"/>
    <w:rsid w:val="CD73120F"/>
    <w:rsid w:val="CF2A1ABD"/>
    <w:rsid w:val="DA7D3CD9"/>
    <w:rsid w:val="DAED0ACC"/>
    <w:rsid w:val="DBDC0ADA"/>
    <w:rsid w:val="DEDE2B06"/>
    <w:rsid w:val="E16F465B"/>
    <w:rsid w:val="EBFA31C2"/>
    <w:rsid w:val="F3F4A11B"/>
    <w:rsid w:val="F9FD7907"/>
    <w:rsid w:val="FAEF933D"/>
    <w:rsid w:val="FB3A4A6A"/>
    <w:rsid w:val="FF6C4049"/>
    <w:rsid w:val="FF78F63F"/>
    <w:rsid w:val="FF8D2000"/>
    <w:rsid w:val="FFB3BAFA"/>
    <w:rsid w:val="FFDF8135"/>
    <w:rsid w:val="FFECE3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toc 3"/>
    <w:basedOn w:val="1"/>
    <w:next w:val="1"/>
    <w:qFormat/>
    <w:uiPriority w:val="0"/>
    <w:pPr>
      <w:ind w:left="840" w:leftChars="400"/>
    </w:pPr>
  </w:style>
  <w:style w:type="paragraph" w:styleId="6">
    <w:name w:val="Balloon Text"/>
    <w:basedOn w:val="1"/>
    <w:link w:val="25"/>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right" w:leader="dot" w:pos="7980"/>
        <w:tab w:val="right" w:leader="dot" w:pos="8190"/>
      </w:tabs>
    </w:pPr>
    <w:rPr>
      <w:rFonts w:ascii="Calibri" w:hAnsi="Calibri" w:eastAsia="仿宋_GB2312" w:cs="Times New Roman"/>
      <w:sz w:val="32"/>
    </w:rPr>
  </w:style>
  <w:style w:type="paragraph" w:styleId="10">
    <w:name w:val="toc 4"/>
    <w:basedOn w:val="1"/>
    <w:next w:val="1"/>
    <w:qFormat/>
    <w:uiPriority w:val="0"/>
    <w:pPr>
      <w:ind w:left="1260" w:leftChars="600"/>
    </w:pPr>
  </w:style>
  <w:style w:type="paragraph" w:styleId="11">
    <w:name w:val="toc 2"/>
    <w:basedOn w:val="1"/>
    <w:next w:val="1"/>
    <w:qFormat/>
    <w:uiPriority w:val="0"/>
    <w:pPr>
      <w:ind w:left="420" w:leftChars="200"/>
    </w:pPr>
  </w:style>
  <w:style w:type="paragraph" w:styleId="12">
    <w:name w:val="Normal (Web)"/>
    <w:basedOn w:val="1"/>
    <w:qFormat/>
    <w:uiPriority w:val="0"/>
    <w:pPr>
      <w:spacing w:before="0" w:beforeAutospacing="1" w:after="0" w:afterAutospacing="1"/>
      <w:ind w:left="0" w:right="0"/>
      <w:jc w:val="left"/>
    </w:pPr>
    <w:rPr>
      <w:kern w:val="0"/>
      <w:sz w:val="24"/>
      <w:lang w:val="en-US" w:eastAsia="zh-CN"/>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4">
    <w:name w:val="Body Text First Indent"/>
    <w:basedOn w:val="2"/>
    <w:qFormat/>
    <w:uiPriority w:val="0"/>
    <w:pPr>
      <w:spacing w:after="0"/>
      <w:ind w:firstLine="200" w:firstLineChars="200"/>
    </w:pPr>
  </w:style>
  <w:style w:type="paragraph" w:styleId="15">
    <w:name w:val="Body Text First Indent 2"/>
    <w:basedOn w:val="4"/>
    <w:qFormat/>
    <w:uiPriority w:val="0"/>
    <w:pPr>
      <w:ind w:firstLine="420" w:firstLineChars="200"/>
    </w:p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paragraph" w:customStyle="1" w:styleId="20">
    <w:name w:val="Comment Text"/>
    <w:basedOn w:val="1"/>
    <w:link w:val="27"/>
    <w:qFormat/>
    <w:uiPriority w:val="0"/>
    <w:pPr>
      <w:jc w:val="left"/>
    </w:pPr>
  </w:style>
  <w:style w:type="paragraph" w:customStyle="1" w:styleId="21">
    <w:name w:val="Comment Subject"/>
    <w:basedOn w:val="20"/>
    <w:next w:val="20"/>
    <w:link w:val="28"/>
    <w:qFormat/>
    <w:uiPriority w:val="0"/>
    <w:rPr>
      <w:b/>
      <w:bCs/>
    </w:rPr>
  </w:style>
  <w:style w:type="character" w:customStyle="1" w:styleId="22">
    <w:name w:val="Comment Reference"/>
    <w:basedOn w:val="18"/>
    <w:qFormat/>
    <w:uiPriority w:val="0"/>
    <w:rPr>
      <w:sz w:val="21"/>
      <w:szCs w:val="21"/>
    </w:rPr>
  </w:style>
  <w:style w:type="character" w:customStyle="1" w:styleId="23">
    <w:name w:val="fontstyle01"/>
    <w:qFormat/>
    <w:uiPriority w:val="0"/>
    <w:rPr>
      <w:rFonts w:ascii="仿宋_GB2312" w:hAnsi="仿宋_GB2312" w:eastAsia="仿宋_GB2312" w:cs="仿宋_GB2312"/>
      <w:color w:val="000000"/>
      <w:sz w:val="32"/>
      <w:szCs w:val="32"/>
    </w:rPr>
  </w:style>
  <w:style w:type="paragraph" w:customStyle="1" w:styleId="24">
    <w:name w:val="闻政-正文段落文字"/>
    <w:basedOn w:val="1"/>
    <w:qFormat/>
    <w:uiPriority w:val="3"/>
    <w:pPr>
      <w:spacing w:line="500" w:lineRule="exact"/>
      <w:ind w:firstLine="200"/>
    </w:pPr>
    <w:rPr>
      <w:kern w:val="0"/>
      <w:szCs w:val="28"/>
    </w:rPr>
  </w:style>
  <w:style w:type="character" w:customStyle="1" w:styleId="25">
    <w:name w:val="批注框文本 字符"/>
    <w:basedOn w:val="18"/>
    <w:link w:val="6"/>
    <w:qFormat/>
    <w:uiPriority w:val="0"/>
    <w:rPr>
      <w:rFonts w:ascii="Times New Roman" w:hAnsi="Times New Roman" w:eastAsia="宋体" w:cs="Times New Roman"/>
      <w:kern w:val="2"/>
      <w:sz w:val="18"/>
      <w:szCs w:val="18"/>
    </w:rPr>
  </w:style>
  <w:style w:type="character" w:customStyle="1" w:styleId="26">
    <w:name w:val="页眉 字符"/>
    <w:basedOn w:val="18"/>
    <w:link w:val="8"/>
    <w:qFormat/>
    <w:uiPriority w:val="0"/>
    <w:rPr>
      <w:rFonts w:ascii="Times New Roman" w:hAnsi="Times New Roman" w:eastAsia="宋体" w:cs="Times New Roman"/>
      <w:kern w:val="2"/>
      <w:sz w:val="18"/>
      <w:szCs w:val="18"/>
    </w:rPr>
  </w:style>
  <w:style w:type="character" w:customStyle="1" w:styleId="27">
    <w:name w:val="批注文字 字符"/>
    <w:basedOn w:val="18"/>
    <w:link w:val="20"/>
    <w:qFormat/>
    <w:uiPriority w:val="0"/>
    <w:rPr>
      <w:rFonts w:ascii="Times New Roman" w:hAnsi="Times New Roman" w:eastAsia="宋体" w:cs="Times New Roman"/>
      <w:kern w:val="2"/>
      <w:sz w:val="21"/>
      <w:szCs w:val="24"/>
    </w:rPr>
  </w:style>
  <w:style w:type="character" w:customStyle="1" w:styleId="28">
    <w:name w:val="批注主题 字符"/>
    <w:basedOn w:val="27"/>
    <w:link w:val="2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35</Pages>
  <Words>10046</Words>
  <Characters>10599</Characters>
  <Lines>58</Lines>
  <Paragraphs>16</Paragraphs>
  <TotalTime>6</TotalTime>
  <ScaleCrop>false</ScaleCrop>
  <LinksUpToDate>false</LinksUpToDate>
  <CharactersWithSpaces>10668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2023-03-09T21:13:00Z</dcterms:created>
  <dc:creator>审核人</dc:creator>
  <cp:lastModifiedBy>周丽君</cp:lastModifiedBy>
  <dcterms:modified xsi:type="dcterms:W3CDTF">2026-08-28T10:14:58Z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E2178318065446F998DE0962A8DC7C46_13</vt:lpwstr>
  </property>
  <property fmtid="{D5CDD505-2E9C-101B-9397-08002B2CF9AE}" pid="4" name="KSOTemplateDocerSaveRecord">
    <vt:lpwstr>eyJoZGlkIjoiMjEwMjVmNmU3OTQwZDBjNjI0ZTM3MTBmNDI0OGIzYzIiLCJ1c2VySWQiOiIyMDM3MTI1NTkifQ==</vt:lpwstr>
  </property>
</Properties>
</file>