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ackground w:color="ffffff">
    <v:background id="_x0000_s1025" filled="t"/>
  </w:background>
  <w:body>
    <w:p>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经营成本性项目支出绩效评价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eastAsia="仿宋_GB2312" w:cs="Times New Roman" w:hint="eastAsia"/>
          <w:kern w:val="0"/>
          <w:sz w:val="36"/>
          <w:szCs w:val="36"/>
          <w:lang w:val="en-US" w:eastAsia="zh-CN"/>
        </w:rPr>
        <w:t xml:space="preserve">5</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项目名称：经营成本性支</w:t>
      </w:r>
      <w:r>
        <w:rPr>
          <w:rFonts w:eastAsia="仿宋_GB2312" w:cs="Times New Roman" w:hint="eastAsia"/>
          <w:kern w:val="0"/>
          <w:sz w:val="36"/>
          <w:szCs w:val="36"/>
          <w:lang w:val="en-US" w:eastAsia="zh-CN"/>
        </w:rPr>
        <w:t xml:space="preserve">出</w:t>
      </w:r>
      <w:r>
        <w:rPr>
          <w:rFonts w:ascii="Times New Roman" w:eastAsia="仿宋_GB2312" w:hAnsi="Times New Roman" w:cs="Times New Roman" w:hint="default"/>
          <w:kern w:val="0"/>
          <w:sz w:val="36"/>
          <w:szCs w:val="36"/>
        </w:rPr>
        <w:t xml:space="preserve">项目</w:t>
      </w:r>
    </w:p>
    <w:p>
      <w:pPr>
        <w:spacing w:line="700" w:lineRule="exact"/>
        <w:ind w:left="1436" w:firstLine="0" w:leftChars="684" w:firstLineChars="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实施单位：新疆维吾尔自治区塔里木河流域喀什噶尔河水利管理中心</w:t>
      </w:r>
    </w:p>
    <w:p>
      <w:pPr>
        <w:spacing w:line="700" w:lineRule="exact"/>
        <w:jc w:val="left"/>
        <w:rPr>
          <w:rFonts w:eastAsia="仿宋_GB2312" w:cs="Times New Roman" w:hint="eastAsia"/>
          <w:kern w:val="0"/>
          <w:sz w:val="36"/>
          <w:szCs w:val="36"/>
          <w:lang w:eastAsia="zh-CN"/>
        </w:rPr>
      </w:pPr>
      <w:r>
        <w:rPr>
          <w:rFonts w:eastAsia="仿宋_GB2312" w:cs="Times New Roman" w:hint="eastAsia"/>
          <w:kern w:val="0"/>
          <w:sz w:val="36"/>
          <w:szCs w:val="36"/>
          <w:lang w:val="en-US" w:eastAsia="zh-CN"/>
        </w:rPr>
        <w:t xml:space="preserve">        </w:t>
      </w:r>
      <w:r>
        <w:rPr>
          <w:rFonts w:ascii="Times New Roman" w:eastAsia="仿宋_GB2312" w:hAnsi="Times New Roman" w:cs="Times New Roman" w:hint="default"/>
          <w:kern w:val="0"/>
          <w:sz w:val="36"/>
          <w:szCs w:val="36"/>
        </w:rPr>
        <w:t xml:space="preserve">主管部门：新疆维吾尔</w:t>
      </w:r>
      <w:r>
        <w:rPr>
          <w:rFonts w:ascii="Times New Roman" w:eastAsia="仿宋_GB2312" w:hAnsi="Times New Roman" w:cs="Times New Roman" w:hint="eastAsia"/>
          <w:kern w:val="0"/>
          <w:sz w:val="36"/>
          <w:szCs w:val="36"/>
        </w:rPr>
        <w:t xml:space="preserve">自治区塔里木河流域</w:t>
      </w:r>
      <w:r>
        <w:rPr>
          <w:rFonts w:eastAsia="仿宋_GB2312" w:cs="Times New Roman" w:hint="eastAsia"/>
          <w:kern w:val="0"/>
          <w:sz w:val="36"/>
          <w:szCs w:val="36"/>
          <w:lang w:eastAsia="zh-CN"/>
        </w:rPr>
        <w:t xml:space="preserve">管</w:t>
      </w:r>
    </w:p>
    <w:p>
      <w:pPr>
        <w:spacing w:line="700" w:lineRule="exact"/>
        <w:jc w:val="left"/>
        <w:rPr>
          <w:rFonts w:ascii="Times New Roman" w:eastAsia="仿宋_GB2312" w:hAnsi="Times New Roman" w:cs="Times New Roman" w:hint="default"/>
          <w:kern w:val="0"/>
          <w:sz w:val="36"/>
          <w:szCs w:val="36"/>
        </w:rPr>
      </w:pPr>
      <w:r>
        <w:rPr>
          <w:rFonts w:eastAsia="仿宋_GB2312" w:cs="Times New Roman" w:hint="eastAsia"/>
          <w:kern w:val="0"/>
          <w:sz w:val="36"/>
          <w:szCs w:val="36"/>
          <w:lang w:val="en-US" w:eastAsia="zh-CN"/>
        </w:rPr>
        <w:t xml:space="preserve">        </w:t>
      </w:r>
      <w:r>
        <w:rPr>
          <w:rFonts w:eastAsia="仿宋_GB2312" w:cs="Times New Roman" w:hint="eastAsia"/>
          <w:kern w:val="0"/>
          <w:sz w:val="36"/>
          <w:szCs w:val="36"/>
          <w:lang w:eastAsia="zh-CN"/>
        </w:rPr>
        <w:t xml:space="preserve">理局</w:t>
      </w:r>
      <w:r>
        <w:rPr>
          <w:rFonts w:eastAsia="仿宋_GB2312" w:cs="Times New Roman" w:hint="eastAsia"/>
          <w:kern w:val="0"/>
          <w:sz w:val="36"/>
          <w:szCs w:val="36"/>
          <w:lang w:val="en-US" w:eastAsia="zh-CN"/>
        </w:rPr>
        <w:t xml:space="preserve">             </w:t>
      </w:r>
    </w:p>
    <w:p>
      <w:pPr>
        <w:spacing w:line="700" w:lineRule="exact"/>
        <w:ind w:firstLine="1440" w:firstLine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eastAsia="zh-CN"/>
        </w:rPr>
        <w:t xml:space="preserve">：</w:t>
      </w:r>
      <w:r>
        <w:rPr>
          <w:rFonts w:ascii="Times New Roman" w:eastAsia="仿宋_GB2312" w:hAnsi="Times New Roman" w:cs="Times New Roman" w:hint="eastAsia"/>
          <w:kern w:val="0"/>
          <w:sz w:val="36"/>
          <w:szCs w:val="36"/>
          <w:lang w:eastAsia="zh-CN"/>
        </w:rPr>
        <w:t xml:space="preserve">艾沙</w:t>
      </w:r>
      <w:r>
        <w:rPr>
          <w:rFonts w:ascii="Times New Roman" w:eastAsia="仿宋_GB2312" w:hAnsi="Times New Roman" w:cs="Times New Roman" w:hint="eastAsia"/>
          <w:kern w:val="0"/>
          <w:sz w:val="36"/>
          <w:szCs w:val="36"/>
          <w:lang w:val="en-US" w:eastAsia="zh-CN"/>
        </w:rPr>
        <w:t xml:space="preserve">·依布拉音</w:t>
      </w:r>
    </w:p>
    <w:p>
      <w:pPr>
        <w:spacing w:line="700" w:lineRule="exact"/>
        <w:ind w:firstLine="1440" w:firstLineChars="400"/>
        <w:jc w:val="left"/>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2026</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3</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30</w:t>
      </w:r>
      <w:r>
        <w:rPr>
          <w:rFonts w:ascii="Times New Roman" w:eastAsia="仿宋_GB2312" w:hAnsi="Times New Roman" w:cs="Times New Roman" w:hint="default"/>
          <w:kern w:val="0"/>
          <w:sz w:val="36"/>
          <w:szCs w:val="36"/>
        </w:rPr>
        <w:t xml:space="preserve">日</w:t>
      </w:r>
    </w:p>
    <w:sdt>
      <w:sdtPr>
        <w:rPr>
          <w:rFonts w:ascii="宋体" w:eastAsia="宋体" w:hAnsi="宋体" w:cs="Times New Roman"/>
          <w:b/>
          <w:bCs/>
          <w:kern w:val="2"/>
          <w:sz w:val="44"/>
          <w:szCs w:val="44"/>
          <w:lang w:val="en-US" w:eastAsia="zh-CN" w:bidi="ar-SA"/>
        </w:rPr>
        <w:id w:val="147456767"/>
        <w15:color w:val="DBDBDB"/>
      </w:sdtPr>
      <w:sdtEndPr>
        <w:rPr>
          <w:rFonts w:ascii="Times New Roman" w:eastAsia="宋体" w:hAnsi="Times New Roman" w:cs="Times New Roman" w:hint="default"/>
          <w:b/>
          <w:bCs/>
          <w:kern w:val="2"/>
          <w:sz w:val="21"/>
          <w:szCs w:val="24"/>
          <w:lang w:val="en-US" w:eastAsia="zh-CN" w:bidi="ar-SA"/>
        </w:rPr>
      </w:sdtEndPr>
      <w:sdtContent>
        <w:p>
          <w:pPr>
            <w:spacing w:before="0" w:beforeLines="0" w:after="0" w:afterLines="0" w:line="240" w:lineRule="auto"/>
            <w:ind w:left="0" w:right="0" w:firstLine="0" w:leftChars="0" w:rightChars="0" w:firstLineChars="0"/>
            <w:jc w:val="center"/>
            <w:rPr>
              <w:b/>
              <w:bCs/>
              <w:sz w:val="44"/>
              <w:szCs w:val="44"/>
            </w:rPr>
          </w:pPr>
          <w:r>
            <w:rPr>
              <w:rFonts w:ascii="宋体" w:eastAsia="宋体" w:hAnsi="宋体"/>
              <w:b/>
              <w:bCs/>
              <w:sz w:val="44"/>
              <w:szCs w:val="44"/>
            </w:rPr>
            <w:t xml:space="preserve">目录</w:t>
          </w:r>
        </w:p>
        <w:p>
          <w:pPr>
            <w:pStyle w:val="TOC1"/>
            <w:tabs>
              <w:tab w:val="right" w:leader="middleDot" w:pos="8548"/>
              <w:tab w:val="clear" w:pos="7980"/>
              <w:tab w:val="clear" w:pos="8190"/>
            </w:tabs>
            <w:rPr>
              <w:rFonts w:ascii="仿宋_GB2312" w:eastAsia="仿宋_GB2312" w:hAnsi="仿宋_GB2312" w:cs="仿宋_GB2312" w:hint="eastAsia"/>
              <w:sz w:val="32"/>
              <w:szCs w:val="32"/>
            </w:rPr>
          </w:pPr>
          <w:r>
            <w:rPr>
              <w:rFonts w:hint="default"/>
            </w:rPr>
            <w:fldChar w:fldCharType="begin"/>
          </w:r>
          <w:r>
            <w:rPr>
              <w:rFonts w:hint="default"/>
            </w:rPr>
            <w:instrText xml:space="preserve">TOC \o "1-9" \h \u</w:instrText>
          </w:r>
          <w:r>
            <w:rPr>
              <w:rFonts w:hint="default"/>
            </w:rPr>
            <w:fldChar w:fldCharType="separate"/>
          </w:r>
          <w:hyperlink w:anchor="_Toc3458" w:history="1">
            <w:r>
              <w:rPr>
                <w:rFonts w:ascii="仿宋_GB2312" w:eastAsia="仿宋_GB2312" w:hAnsi="仿宋_GB2312" w:cs="仿宋_GB2312" w:hint="eastAsia"/>
                <w:bCs/>
                <w:sz w:val="32"/>
                <w:szCs w:val="32"/>
              </w:rPr>
              <w:t xml:space="preserve">一、基本情况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_Toc3458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6251" w:history="1">
            <w:r>
              <w:rPr>
                <w:rFonts w:ascii="仿宋_GB2312" w:eastAsia="仿宋_GB2312" w:hAnsi="仿宋_GB2312" w:cs="仿宋_GB2312" w:hint="eastAsia"/>
                <w:bCs/>
                <w:sz w:val="32"/>
                <w:szCs w:val="32"/>
              </w:rPr>
              <w:t xml:space="preserve">（一）项目概况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_Toc16251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1655" w:history="1">
            <w:r>
              <w:rPr>
                <w:rFonts w:ascii="仿宋_GB2312" w:eastAsia="仿宋_GB2312" w:hAnsi="仿宋_GB2312" w:cs="仿宋_GB2312" w:hint="eastAsia"/>
                <w:bCs/>
                <w:sz w:val="32"/>
                <w:szCs w:val="32"/>
              </w:rPr>
              <w:t xml:space="preserve">（二）项目绩效目标</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_Toc11655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5712" w:history="1">
            <w:r>
              <w:rPr>
                <w:rFonts w:ascii="仿宋_GB2312" w:eastAsia="仿宋_GB2312" w:hAnsi="仿宋_GB2312" w:cs="仿宋_GB2312" w:hint="eastAsia"/>
                <w:sz w:val="32"/>
                <w:szCs w:val="32"/>
              </w:rPr>
              <w:t xml:space="preserve">二、绩效评价工作开展情况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_Toc25712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3</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0967" w:history="1">
            <w:r>
              <w:rPr>
                <w:rFonts w:ascii="仿宋_GB2312" w:eastAsia="仿宋_GB2312" w:hAnsi="仿宋_GB2312" w:cs="仿宋_GB2312" w:hint="eastAsia"/>
                <w:bCs/>
                <w:sz w:val="32"/>
                <w:szCs w:val="32"/>
              </w:rPr>
              <w:t xml:space="preserve">（一）绩效评价目的、对象和范围</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_Toc20967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3</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9785" w:history="1">
            <w:r>
              <w:rPr>
                <w:rFonts w:ascii="仿宋_GB2312" w:eastAsia="仿宋_GB2312" w:hAnsi="仿宋_GB2312" w:cs="仿宋_GB2312" w:hint="eastAsia"/>
                <w:bCs/>
                <w:sz w:val="32"/>
                <w:szCs w:val="32"/>
              </w:rPr>
              <w:t xml:space="preserve">（二）绩效评价原则、评价指标体系（详情见表1）、评价方法、评价标准</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_Toc29785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6</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5544" w:history="1">
            <w:r>
              <w:rPr>
                <w:rFonts w:ascii="仿宋_GB2312" w:eastAsia="仿宋_GB2312" w:hAnsi="仿宋_GB2312" w:cs="仿宋_GB2312" w:hint="eastAsia"/>
                <w:spacing w:val="17"/>
                <w:sz w:val="32"/>
                <w:szCs w:val="32"/>
              </w:rPr>
              <w:t xml:space="preserve">（三）绩效评价工作过程</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_Toc5544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9</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9729" w:history="1">
            <w:r>
              <w:rPr>
                <w:rFonts w:ascii="仿宋_GB2312" w:eastAsia="仿宋_GB2312" w:hAnsi="仿宋_GB2312" w:cs="仿宋_GB2312" w:hint="eastAsia"/>
                <w:sz w:val="32"/>
                <w:szCs w:val="32"/>
              </w:rPr>
              <w:t xml:space="preserve">三、综合评价情况及评价结论（附相关评分表）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_Toc29729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344"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一</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评价情况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_Toc2344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6653"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二</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评价结论</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_Toc6653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453" w:history="1">
            <w:r>
              <w:rPr>
                <w:rFonts w:ascii="仿宋_GB2312" w:eastAsia="仿宋_GB2312" w:hAnsi="仿宋_GB2312" w:cs="仿宋_GB2312" w:hint="eastAsia"/>
                <w:sz w:val="32"/>
                <w:szCs w:val="32"/>
              </w:rPr>
              <w:t xml:space="preserve">四、绩效评价指标分析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_Toc1453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32318" w:history="1">
            <w:r>
              <w:rPr>
                <w:rFonts w:ascii="仿宋_GB2312" w:eastAsia="仿宋_GB2312" w:hAnsi="仿宋_GB2312" w:cs="仿宋_GB2312" w:hint="eastAsia"/>
                <w:sz w:val="32"/>
                <w:szCs w:val="32"/>
              </w:rPr>
              <w:t xml:space="preserve">（一）项目决策情况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_Toc32318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5505" w:history="1">
            <w:r>
              <w:rPr>
                <w:rFonts w:ascii="仿宋_GB2312" w:eastAsia="仿宋_GB2312" w:hAnsi="仿宋_GB2312" w:cs="仿宋_GB2312" w:hint="eastAsia"/>
                <w:sz w:val="32"/>
                <w:szCs w:val="32"/>
              </w:rPr>
              <w:t xml:space="preserve">（二）项目过程情况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_Toc25505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15</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8612" w:history="1">
            <w:r>
              <w:rPr>
                <w:rFonts w:ascii="仿宋_GB2312" w:eastAsia="仿宋_GB2312" w:hAnsi="仿宋_GB2312" w:cs="仿宋_GB2312" w:hint="eastAsia"/>
                <w:bCs/>
                <w:sz w:val="32"/>
                <w:szCs w:val="32"/>
              </w:rPr>
              <w:t xml:space="preserve">（三）项目产出</w:t>
            </w:r>
            <w:r>
              <w:rPr>
                <w:rFonts w:ascii="仿宋_GB2312" w:eastAsia="仿宋_GB2312" w:hAnsi="仿宋_GB2312" w:cs="仿宋_GB2312" w:hint="eastAsia"/>
                <w:bCs/>
                <w:sz w:val="32"/>
                <w:szCs w:val="32"/>
                <w:lang w:val="en-US" w:eastAsia="zh-CN"/>
              </w:rPr>
              <w:t xml:space="preserve">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_Toc8612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17</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8470" w:history="1">
            <w:r>
              <w:rPr>
                <w:rFonts w:ascii="仿宋_GB2312" w:eastAsia="仿宋_GB2312" w:hAnsi="仿宋_GB2312" w:cs="仿宋_GB2312" w:hint="eastAsia"/>
                <w:bCs/>
                <w:sz w:val="32"/>
                <w:szCs w:val="32"/>
                <w:lang w:val="en-US" w:eastAsia="zh-CN"/>
              </w:rPr>
              <w:t xml:space="preserve">（四）项目效益情况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_Toc18470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19</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1462" w:history="1">
            <w:r>
              <w:rPr>
                <w:rFonts w:ascii="仿宋_GB2312" w:eastAsia="仿宋_GB2312" w:hAnsi="仿宋_GB2312" w:cs="仿宋_GB2312" w:hint="eastAsia"/>
                <w:bCs w:val="0"/>
                <w:sz w:val="32"/>
                <w:szCs w:val="32"/>
                <w:lang w:val="en-US" w:eastAsia="zh-CN"/>
              </w:rPr>
              <w:t xml:space="preserve">五、</w:t>
            </w:r>
            <w:r>
              <w:rPr>
                <w:rFonts w:ascii="仿宋_GB2312" w:eastAsia="仿宋_GB2312" w:hAnsi="仿宋_GB2312" w:cs="仿宋_GB2312" w:hint="eastAsia"/>
                <w:bCs w:val="0"/>
                <w:sz w:val="32"/>
                <w:szCs w:val="32"/>
                <w:lang w:val="en-US"/>
              </w:rPr>
              <w:t xml:space="preserve">预算执行进度与绩效指标偏差</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_Toc21462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19</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8363" w:history="1">
            <w:r>
              <w:rPr>
                <w:rFonts w:ascii="仿宋_GB2312" w:eastAsia="仿宋_GB2312" w:hAnsi="仿宋_GB2312" w:cs="仿宋_GB2312" w:hint="eastAsia"/>
                <w:sz w:val="32"/>
                <w:szCs w:val="32"/>
                <w:lang w:val="en-US" w:eastAsia="zh-CN"/>
              </w:rPr>
              <w:t xml:space="preserve">六</w:t>
            </w:r>
            <w:r>
              <w:rPr>
                <w:rFonts w:ascii="仿宋_GB2312" w:hAnsi="仿宋_GB2312" w:cs="仿宋_GB2312" w:hint="eastAsia"/>
                <w:bCs/>
                <w:sz w:val="32"/>
                <w:szCs w:val="32"/>
                <w:lang w:val="en-US" w:eastAsia="zh-CN"/>
              </w:rPr>
              <w:t xml:space="preserve">、</w:t>
            </w:r>
            <w:r>
              <w:rPr>
                <w:rFonts w:ascii="仿宋_GB2312" w:eastAsia="仿宋_GB2312" w:hAnsi="仿宋_GB2312" w:cs="仿宋_GB2312" w:hint="eastAsia"/>
                <w:sz w:val="32"/>
                <w:szCs w:val="32"/>
              </w:rPr>
              <w:t xml:space="preserve">主要经验及做法、存在的问题及原因分析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_Toc18363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20</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2741" w:history="1">
            <w:r>
              <w:rPr>
                <w:rFonts w:ascii="仿宋_GB2312" w:eastAsia="仿宋_GB2312" w:hAnsi="仿宋_GB2312" w:cs="仿宋_GB2312" w:hint="eastAsia"/>
                <w:spacing w:val="-4"/>
                <w:sz w:val="32"/>
                <w:szCs w:val="32"/>
              </w:rPr>
              <w:t xml:space="preserve">（一）主要经验及做法</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_Toc22741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20</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7835" w:history="1">
            <w:r>
              <w:rPr>
                <w:rFonts w:ascii="仿宋_GB2312" w:eastAsia="仿宋_GB2312" w:hAnsi="仿宋_GB2312" w:cs="仿宋_GB2312" w:hint="eastAsia"/>
                <w:bCs/>
                <w:sz w:val="32"/>
                <w:szCs w:val="32"/>
              </w:rPr>
              <w:t xml:space="preserve">（二）存在的问题及原因分析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_Toc7835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20</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5529" w:history="1">
            <w:r>
              <w:rPr>
                <w:rFonts w:ascii="仿宋_GB2312" w:eastAsia="仿宋_GB2312" w:hAnsi="仿宋_GB2312" w:cs="仿宋_GB2312" w:hint="eastAsia"/>
                <w:sz w:val="32"/>
                <w:szCs w:val="32"/>
                <w:lang w:val="en-US" w:eastAsia="zh-CN"/>
              </w:rPr>
              <w:t xml:space="preserve">七.</w:t>
            </w:r>
            <w:r>
              <w:rPr>
                <w:rFonts w:ascii="仿宋_GB2312" w:eastAsia="仿宋_GB2312" w:hAnsi="仿宋_GB2312" w:cs="仿宋_GB2312" w:hint="eastAsia"/>
                <w:sz w:val="32"/>
                <w:szCs w:val="32"/>
              </w:rPr>
              <w:t xml:space="preserve">有关建议</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_Toc25529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21</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3065" w:history="1">
            <w:r>
              <w:rPr>
                <w:rFonts w:ascii="仿宋_GB2312" w:eastAsia="仿宋_GB2312" w:hAnsi="仿宋_GB2312" w:cs="仿宋_GB2312" w:hint="eastAsia"/>
                <w:sz w:val="32"/>
                <w:szCs w:val="32"/>
                <w:lang w:val="en-US" w:eastAsia="zh-CN"/>
              </w:rPr>
              <w:t xml:space="preserve">八</w:t>
            </w:r>
            <w:r>
              <w:rPr>
                <w:rFonts w:ascii="仿宋_GB2312" w:eastAsia="仿宋_GB2312" w:hAnsi="仿宋_GB2312" w:cs="仿宋_GB2312" w:hint="eastAsia"/>
                <w:bCs/>
                <w:sz w:val="32"/>
                <w:szCs w:val="32"/>
                <w:lang w:val="en-US" w:eastAsia="zh-CN"/>
              </w:rPr>
              <w:t xml:space="preserve">.</w:t>
            </w:r>
            <w:r>
              <w:rPr>
                <w:rFonts w:ascii="仿宋_GB2312" w:eastAsia="仿宋_GB2312" w:hAnsi="仿宋_GB2312" w:cs="仿宋_GB2312" w:hint="eastAsia"/>
                <w:sz w:val="32"/>
                <w:szCs w:val="32"/>
              </w:rPr>
              <w:t xml:space="preserve">其他需要说明的问题</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_Toc3065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22</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5260" w:history="1">
            <w:r>
              <w:rPr>
                <w:rFonts w:ascii="仿宋_GB2312" w:eastAsia="仿宋_GB2312" w:hAnsi="仿宋_GB2312" w:cs="仿宋_GB2312" w:hint="eastAsia"/>
                <w:sz w:val="32"/>
                <w:szCs w:val="32"/>
                <w:lang w:val="en-US" w:eastAsia="zh-CN"/>
              </w:rPr>
              <w:t xml:space="preserve">附件1</w:t>
            </w:r>
            <w:r>
              <w:rPr>
                <w:rFonts w:ascii="仿宋_GB2312" w:hAnsi="仿宋_GB2312" w:cs="仿宋_GB2312" w:hint="eastAsia"/>
                <w:sz w:val="32"/>
                <w:szCs w:val="32"/>
                <w:lang w:val="en-US" w:eastAsia="zh-CN"/>
              </w:rPr>
              <w:t xml:space="preserve"> 评价指标体系</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_Toc15260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23</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pPr>
          <w:hyperlink w:anchor="_Toc17917" w:history="1">
            <w:r>
              <w:rPr>
                <w:rFonts w:ascii="仿宋_GB2312" w:eastAsia="仿宋_GB2312" w:hAnsi="仿宋_GB2312" w:cs="仿宋_GB2312" w:hint="eastAsia"/>
                <w:bCs/>
                <w:i w:val="0"/>
                <w:iCs w:val="0"/>
                <w:kern w:val="0"/>
                <w:sz w:val="32"/>
                <w:szCs w:val="32"/>
                <w:lang w:val="en-US" w:eastAsia="zh-CN"/>
              </w:rPr>
              <w:t xml:space="preserve">附件2</w:t>
            </w:r>
            <w:r>
              <w:rPr>
                <w:rFonts w:ascii="仿宋_GB2312" w:hAnsi="仿宋_GB2312" w:cs="仿宋_GB2312" w:hint="eastAsia"/>
                <w:bCs/>
                <w:i w:val="0"/>
                <w:iCs w:val="0"/>
                <w:kern w:val="0"/>
                <w:sz w:val="32"/>
                <w:szCs w:val="32"/>
                <w:lang w:val="en-US" w:eastAsia="zh-CN"/>
              </w:rPr>
              <w:t xml:space="preserve"> 项目支出绩效自评表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_Toc17917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28</w:t>
            </w:r>
            <w:r>
              <w:rPr>
                <w:rFonts w:ascii="仿宋_GB2312" w:eastAsia="仿宋_GB2312" w:hAnsi="仿宋_GB2312" w:cs="仿宋_GB2312" w:hint="eastAsia"/>
                <w:sz w:val="32"/>
                <w:szCs w:val="32"/>
              </w:rPr>
              <w:fldChar w:fldCharType="end"/>
            </w:r>
          </w:hyperlink>
        </w:p>
        <w:p>
          <w:pPr>
            <w:rPr>
              <w:rFonts w:ascii="Times New Roman" w:eastAsia="宋体" w:hAnsi="Times New Roman" w:cs="Times New Roman" w:hint="default"/>
              <w:kern w:val="2"/>
              <w:sz w:val="21"/>
              <w:szCs w:val="24"/>
              <w:lang w:val="en-US" w:eastAsia="zh-CN" w:bidi="ar-SA"/>
            </w:rPr>
          </w:pPr>
          <w:r>
            <w:rPr>
              <w:rFonts w:hint="default"/>
            </w:rPr>
            <w:fldChar w:fldCharType="end"/>
          </w:r>
        </w:p>
      </w:sdtContent>
    </w:sdt>
    <w:p>
      <w:pPr>
        <w:rPr>
          <w:rFonts w:ascii="Times New Roman" w:eastAsia="宋体" w:hAnsi="Times New Roman" w:cs="Times New Roman" w:hint="default"/>
          <w:kern w:val="2"/>
          <w:sz w:val="21"/>
          <w:szCs w:val="24"/>
          <w:lang w:val="en-US" w:eastAsia="zh-CN" w:bidi="ar-SA"/>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bookmarkStart w:id="0" w:name="_Toc3458"/>
      <w:r>
        <w:rPr>
          <w:rFonts w:ascii="Times New Roman" w:eastAsia="黑体" w:hAnsi="Times New Roman" w:cs="Times New Roman" w:hint="default"/>
          <w:bCs/>
          <w:sz w:val="32"/>
          <w:szCs w:val="32"/>
        </w:rPr>
        <w:t xml:space="preserve">一、基本情况</w:t>
      </w:r>
      <w:bookmarkEnd w:id="0"/>
    </w:p>
    <w:p>
      <w:pPr>
        <w:spacing w:line="560" w:lineRule="exact"/>
        <w:ind w:firstLine="640" w:firstLineChars="200"/>
        <w:outlineLvl w:val="1"/>
        <w:rPr>
          <w:rFonts w:ascii="Times New Roman" w:eastAsia="楷体_GB2312" w:hAnsi="Times New Roman" w:cs="Times New Roman" w:hint="default"/>
          <w:b/>
          <w:bCs/>
          <w:sz w:val="32"/>
          <w:szCs w:val="32"/>
        </w:rPr>
      </w:pPr>
      <w:bookmarkStart w:id="1" w:name="_Toc16251"/>
      <w:r>
        <w:rPr>
          <w:rFonts w:ascii="Times New Roman" w:eastAsia="楷体_GB2312" w:hAnsi="Times New Roman" w:cs="Times New Roman" w:hint="default"/>
          <w:b/>
          <w:bCs/>
          <w:sz w:val="32"/>
          <w:szCs w:val="32"/>
        </w:rPr>
        <w:t xml:space="preserve">（一）项目概况</w:t>
      </w:r>
      <w:bookmarkEnd w:id="1"/>
    </w:p>
    <w:p>
      <w:pPr>
        <w:spacing w:line="560" w:lineRule="exact"/>
        <w:ind w:firstLine="640" w:firstLineChars="200"/>
        <w:outlineLvl w:val="2"/>
        <w:rPr>
          <w:rFonts w:ascii="Times New Roman" w:eastAsia="仿宋_GB2312" w:hAnsi="Times New Roman" w:cs="Times New Roman" w:hint="default"/>
          <w:b/>
          <w:bCs/>
          <w:sz w:val="32"/>
          <w:szCs w:val="32"/>
        </w:rPr>
      </w:pPr>
      <w:bookmarkStart w:id="2" w:name="_Toc14982"/>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bookmarkEnd w:id="2"/>
    </w:p>
    <w:p>
      <w:pPr>
        <w:spacing w:line="560" w:lineRule="exact"/>
        <w:ind w:firstLine="640" w:firstLineChars="200"/>
        <w:rPr>
          <w:rFonts w:ascii="Times New Roman" w:eastAsia="仿宋_GB2312" w:hAnsi="Times New Roman" w:cs="Times New Roman" w:hint="default"/>
          <w:sz w:val="32"/>
          <w:szCs w:val="32"/>
          <w:highlight w:val="none"/>
          <w:lang w:val="en-US" w:eastAsia="zh-CN"/>
        </w:rPr>
      </w:pPr>
      <w:bookmarkStart w:id="3" w:name="_Toc30961"/>
      <w:r>
        <w:rPr>
          <w:rFonts w:ascii="Times New Roman" w:eastAsia="仿宋_GB2312" w:hAnsi="Times New Roman" w:cs="Times New Roman" w:hint="default"/>
          <w:sz w:val="32"/>
          <w:szCs w:val="32"/>
          <w:highlight w:val="none"/>
          <w:lang w:val="en-US" w:eastAsia="zh-CN"/>
        </w:rPr>
        <w:t xml:space="preserve">根据自治区分类推进事业单位改革工作领导小组办公室《关于印发&lt;新疆维吾尔自治区水利厅所属事业单位分类改革方案&gt;的通知》（新事改办〔2014〕85号）及水利厅《关于新疆喀什噶尔河流域管理局机构编制方案的批复》（新水政治〔2016〕8号）文件,同意新疆喀什噶尔河流域管理局下设“新疆喀什噶尔河流域管理局水利管理中心”，为公益二类事业单位，机构规格相当科级，经费实行差额预算管理。</w:t>
      </w:r>
    </w:p>
    <w:p>
      <w:pPr>
        <w:spacing w:line="560" w:lineRule="exact"/>
        <w:ind w:firstLine="640" w:firstLineChars="200"/>
        <w:rPr>
          <w:rFonts w:ascii="仿宋_GB2312" w:eastAsia="仿宋_GB2312" w:hAnsi="仿宋_GB2312" w:cs="仿宋_GB2312" w:hint="eastAsia"/>
          <w:sz w:val="32"/>
          <w:szCs w:val="32"/>
          <w:highlight w:val="none"/>
          <w:lang w:val="en-US" w:eastAsia="zh-CN"/>
        </w:rPr>
      </w:pPr>
      <w:r>
        <w:rPr>
          <w:rFonts w:ascii="Times New Roman" w:eastAsia="仿宋" w:hAnsi="Times New Roman" w:cs="Times New Roman" w:hint="default"/>
          <w:sz w:val="32"/>
          <w:szCs w:val="32"/>
        </w:rPr>
        <w:t xml:space="preserve">2024年6月，按照中共新疆维吾尔自治区委员会机构编制委员会文件《自治区党委编委关于印发〈新疆维吾尔自治区塔里木河流域管理局及所属事业单位改革方案〉的通知》（新党编委〔2024〕106号）文件，将新疆喀什噶尔河流域管理</w:t>
      </w:r>
      <w:r>
        <w:rPr>
          <w:rFonts w:eastAsia="仿宋" w:cs="仿宋" w:hint="eastAsia"/>
          <w:sz w:val="32"/>
          <w:szCs w:val="32"/>
        </w:rPr>
        <w:t xml:space="preserve">局、新疆喀什噶尔河流域管理局水利管理中心整合，组建自治区塔里木河流域喀什噶尔河水利管理中心，隶属关系由自治区水利厅调整为自治区塔里木河流域管理局。</w:t>
      </w:r>
    </w:p>
    <w:p>
      <w:pPr>
        <w:pStyle w:val="Title"/>
        <w:numPr>
          <w:ilvl w:val="0"/>
          <w:numId w:val="0"/>
        </w:numPr>
        <w:spacing w:before="0" w:after="0" w:line="560" w:lineRule="exact"/>
        <w:ind w:left="0" w:firstLine="640" w:leftChars="0" w:firstLineChars="200"/>
        <w:jc w:val="both"/>
        <w:outlineLvl w:val="2"/>
        <w:rPr>
          <w:rFonts w:ascii="Times New Roman" w:eastAsia="仿宋_GB2312" w:hAnsi="Times New Roman" w:cs="Times New Roman" w:hint="default"/>
          <w:kern w:val="2"/>
          <w:lang w:val="en-US" w:eastAsia="zh-CN"/>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r>
        <w:rPr>
          <w:rFonts w:ascii="Times New Roman" w:eastAsia="仿宋_GB2312" w:hAnsi="Times New Roman" w:cs="Times New Roman" w:hint="eastAsia"/>
          <w:kern w:val="2"/>
          <w:lang w:val="en-US" w:eastAsia="zh-CN"/>
        </w:rPr>
        <w:t xml:space="preserve">及实施情况</w:t>
      </w:r>
      <w:bookmarkEnd w:id="3"/>
    </w:p>
    <w:p>
      <w:pPr>
        <w:spacing w:line="560" w:lineRule="exact"/>
        <w:ind w:firstLine="640" w:firstLineChars="200"/>
        <w:rPr>
          <w:rFonts w:ascii="Times New Roman" w:eastAsia="黑体" w:hAnsi="Times New Roman" w:cs="Times New Roman" w:hint="default"/>
          <w:sz w:val="32"/>
          <w:szCs w:val="32"/>
          <w:highlight w:val="yellow"/>
          <w:lang w:eastAsia="zh-CN"/>
        </w:rPr>
      </w:pPr>
      <w:r>
        <w:rPr>
          <w:rFonts w:ascii="Times New Roman" w:eastAsia="仿宋_GB2312" w:hAnsi="Times New Roman" w:cs="Times New Roman" w:hint="default"/>
          <w:sz w:val="32"/>
          <w:szCs w:val="32"/>
          <w:highlight w:val="none"/>
          <w:lang w:val="en-US" w:eastAsia="zh-CN"/>
        </w:rPr>
        <w:t xml:space="preserve">项目主要内容：</w:t>
      </w:r>
      <w:r>
        <w:rPr>
          <w:rFonts w:eastAsia="仿宋_GB2312" w:cs="Times New Roman" w:hint="eastAsia"/>
          <w:sz w:val="32"/>
          <w:szCs w:val="32"/>
          <w:highlight w:val="none"/>
          <w:lang w:val="en-US" w:eastAsia="zh-CN"/>
        </w:rPr>
        <w:t xml:space="preserve">发放单位2025年人员工资，</w:t>
      </w:r>
      <w:r>
        <w:rPr>
          <w:rFonts w:ascii="Times New Roman" w:eastAsia="仿宋_GB2312" w:hAnsi="Times New Roman" w:cs="Times New Roman" w:hint="default"/>
          <w:sz w:val="32"/>
          <w:szCs w:val="32"/>
        </w:rPr>
        <w:t xml:space="preserve">保障单位日常运转正常运行，确保单位退休人员南疆津贴、年底基础绩效奖、丧葬费、抚恤金、遗属费、取暖费等发放，保障了重点水工程安全度汛，应急抢险和水毁修复能够及时完成。</w:t>
      </w:r>
    </w:p>
    <w:p>
      <w:pPr>
        <w:spacing w:line="560" w:lineRule="exact"/>
        <w:ind w:firstLine="640" w:firstLineChars="200"/>
        <w:rPr>
          <w:rFonts w:ascii="Times New Roman" w:eastAsia="黑体" w:hAnsi="Times New Roman" w:cs="Times New Roman" w:hint="default"/>
          <w:sz w:val="32"/>
          <w:szCs w:val="32"/>
          <w:highlight w:val="yellow"/>
          <w:lang w:eastAsia="zh-CN"/>
        </w:rPr>
      </w:pPr>
      <w:r>
        <w:rPr>
          <w:rFonts w:ascii="Times New Roman" w:eastAsia="仿宋_GB2312" w:hAnsi="Times New Roman" w:cs="Times New Roman" w:hint="default"/>
          <w:sz w:val="32"/>
          <w:szCs w:val="32"/>
        </w:rPr>
        <w:t xml:space="preserve">项目实施情况：完成单位在职人员工资、奖金、绩效、社保经费，保障了单位日常运转正常运行，确保了单位退休人员南疆津贴、年底基础绩效奖、丧葬费、抚恤金、遗属费、取暖费等发放，保障了重点水工程安全度汛，应急抢险和水毁修复能够及时完成。</w:t>
      </w:r>
    </w:p>
    <w:p>
      <w:pPr>
        <w:spacing w:line="560" w:lineRule="exact"/>
        <w:ind w:firstLine="640" w:firstLineChars="200"/>
        <w:outlineLvl w:val="2"/>
        <w:rPr>
          <w:rFonts w:ascii="Times New Roman" w:eastAsia="仿宋_GB2312" w:hAnsi="Times New Roman" w:cs="Times New Roman" w:hint="default"/>
          <w:b/>
          <w:bCs/>
          <w:sz w:val="32"/>
          <w:szCs w:val="32"/>
        </w:rPr>
      </w:pPr>
      <w:bookmarkStart w:id="4" w:name="_Toc18357"/>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bookmarkEnd w:id="4"/>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 w:name="_Toc13131"/>
      <w:r>
        <w:rPr>
          <w:rFonts w:ascii="Times New Roman" w:eastAsia="仿宋_GB2312" w:hAnsi="Times New Roman" w:cs="Times New Roman" w:hint="default"/>
          <w:sz w:val="32"/>
          <w:szCs w:val="32"/>
          <w:highlight w:val="none"/>
          <w:lang w:val="en-US" w:eastAsia="zh-CN"/>
        </w:rPr>
        <w:t xml:space="preserve">（1）资金投入情况</w:t>
      </w:r>
      <w:bookmarkEnd w:id="5"/>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 w:hAnsi="Times New Roman" w:cs="仿宋" w:hint="eastAsia"/>
          <w:sz w:val="32"/>
          <w:szCs w:val="32"/>
          <w:lang w:val="en-US" w:eastAsia="zh-CN"/>
        </w:rPr>
        <w:t xml:space="preserve">2701.15</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全年预算数</w:t>
      </w:r>
      <w:r>
        <w:rPr>
          <w:rFonts w:ascii="Times New Roman" w:eastAsia="仿宋" w:hAnsi="Times New Roman" w:cs="仿宋" w:hint="eastAsia"/>
          <w:sz w:val="32"/>
          <w:szCs w:val="32"/>
          <w:lang w:val="en-US" w:eastAsia="zh-CN"/>
        </w:rPr>
        <w:t xml:space="preserve">2701.15</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6" w:name="_Toc18197"/>
      <w:r>
        <w:rPr>
          <w:rFonts w:ascii="Times New Roman" w:eastAsia="仿宋_GB2312" w:hAnsi="Times New Roman" w:cs="Times New Roman" w:hint="default"/>
          <w:sz w:val="32"/>
          <w:szCs w:val="32"/>
          <w:highlight w:val="none"/>
          <w:lang w:val="en-US" w:eastAsia="zh-CN"/>
        </w:rPr>
        <w:t xml:space="preserve">（2）资金使用情况</w:t>
      </w:r>
      <w:bookmarkEnd w:id="6"/>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ascii="Times New Roman" w:eastAsia="仿宋" w:hAnsi="Times New Roman" w:cs="仿宋" w:hint="eastAsia"/>
          <w:sz w:val="32"/>
          <w:szCs w:val="32"/>
          <w:lang w:val="en-US" w:eastAsia="zh-CN"/>
        </w:rPr>
        <w:t xml:space="preserve">2701.15</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，主要用于：单位2025年人员工资正常发放及日常工作运转，保障重点水工程安全度汛，应急抢险和水毁修复</w:t>
      </w:r>
      <w:r>
        <w:rPr>
          <w:rFonts w:eastAsia="仿宋_GB2312" w:cs="Times New Roman" w:hint="eastAsia"/>
          <w:sz w:val="32"/>
          <w:szCs w:val="32"/>
          <w:highlight w:val="none"/>
          <w:lang w:val="en-US" w:eastAsia="zh-CN"/>
        </w:rPr>
        <w:t xml:space="preserve">。</w:t>
      </w:r>
    </w:p>
    <w:p>
      <w:pPr>
        <w:spacing w:line="560" w:lineRule="exact"/>
        <w:ind w:firstLine="640" w:firstLineChars="200"/>
        <w:outlineLvl w:val="1"/>
        <w:rPr>
          <w:rFonts w:ascii="Times New Roman" w:eastAsia="楷体_GB2312" w:hAnsi="Times New Roman" w:cs="Times New Roman" w:hint="default"/>
          <w:b/>
          <w:bCs/>
          <w:sz w:val="32"/>
          <w:szCs w:val="32"/>
        </w:rPr>
      </w:pPr>
      <w:bookmarkStart w:id="7" w:name="_Toc11655"/>
      <w:r>
        <w:rPr>
          <w:rFonts w:ascii="Times New Roman" w:eastAsia="楷体_GB2312" w:hAnsi="Times New Roman" w:cs="Times New Roman" w:hint="default"/>
          <w:b/>
          <w:bCs/>
          <w:sz w:val="32"/>
          <w:szCs w:val="32"/>
        </w:rPr>
        <w:t xml:space="preserve">（二）项目绩效目标</w:t>
      </w:r>
      <w:bookmarkEnd w:id="7"/>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该项目总投资2701.15万元，其中财政资金0万元，其他资金2701.15万元。主要用于单位2025年人员工资正常发放及日常工作运转，延长工程使用寿命，消除工程运行隐患，确保2025年流域防洪、</w:t>
      </w:r>
      <w:r>
        <w:rPr>
          <w:rFonts w:eastAsia="仿宋_GB2312" w:cs="Times New Roman" w:hint="eastAsia"/>
          <w:sz w:val="32"/>
          <w:szCs w:val="32"/>
          <w:highlight w:val="none"/>
          <w:lang w:val="en-US" w:eastAsia="zh-CN"/>
        </w:rPr>
        <w:t xml:space="preserve">度汛</w:t>
      </w:r>
      <w:r>
        <w:rPr>
          <w:rFonts w:eastAsia="仿宋_GB2312" w:cs="Times New Roman" w:hint="eastAsia"/>
          <w:sz w:val="32"/>
          <w:szCs w:val="32"/>
          <w:highlight w:val="none"/>
          <w:lang w:val="en-US" w:eastAsia="zh-CN"/>
        </w:rPr>
        <w:t xml:space="preserve">、灌溉工作顺利完成，保障粮食安全，促进经济发展。</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阶段性目标</w:t>
      </w:r>
    </w:p>
    <w:p>
      <w:pPr>
        <w:spacing w:line="560" w:lineRule="exact"/>
        <w:ind w:firstLine="640" w:firstLineChars="200"/>
        <w:rPr>
          <w:rFonts w:ascii="Times New Roman" w:eastAsia="仿宋_GB2312" w:hAnsi="Times New Roman" w:cs="Times New Roman" w:hint="default"/>
          <w:sz w:val="32"/>
          <w:szCs w:val="32"/>
          <w:lang w:eastAsia="zh-CN"/>
        </w:rPr>
      </w:pPr>
      <w:r>
        <w:rPr>
          <w:rFonts w:ascii="Times New Roman" w:eastAsia="仿宋_GB2312" w:hAnsi="Times New Roman" w:cs="Times New Roman" w:hint="eastAsia"/>
          <w:sz w:val="32"/>
          <w:szCs w:val="32"/>
        </w:rPr>
        <w:t xml:space="preserve">阶段性目标围绕项目总体目标，按项目实施周期合理拆解，前期聚焦项目筹备与基础保障工作，完成方案细化、资源配置、前期调研等核心任务，确保项目具备实施条件；中期集中推进</w:t>
      </w:r>
      <w:r>
        <w:rPr>
          <w:rFonts w:ascii="Times New Roman" w:eastAsia="仿宋_GB2312" w:hAnsi="Times New Roman" w:cs="Times New Roman" w:hint="default"/>
          <w:sz w:val="32"/>
          <w:szCs w:val="32"/>
          <w:highlight w:val="none"/>
          <w:lang w:val="en-US" w:eastAsia="zh-CN"/>
        </w:rPr>
        <w:t xml:space="preserve">保障重点水工程安全度汛，应急抢险和水毁修复能够及时完成</w:t>
      </w:r>
      <w:r>
        <w:rPr>
          <w:rFonts w:ascii="Times New Roman" w:eastAsia="仿宋_GB2312" w:hAnsi="Times New Roman" w:cs="Times New Roman" w:hint="eastAsia"/>
          <w:sz w:val="32"/>
          <w:szCs w:val="32"/>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r>
        <w:rPr>
          <w:rFonts w:eastAsia="仿宋_GB2312" w:cs="Times New Roman" w:hint="eastAsia"/>
          <w:sz w:val="32"/>
          <w:szCs w:val="32"/>
          <w:lang w:val="en-US" w:eastAsia="zh-CN"/>
        </w:rPr>
        <w:t xml:space="preserve"> </w:t>
      </w:r>
    </w:p>
    <w:p>
      <w:pPr>
        <w:spacing w:line="560" w:lineRule="exact"/>
        <w:ind w:firstLine="640" w:firstLineChars="200"/>
        <w:outlineLvl w:val="0"/>
        <w:rPr>
          <w:rFonts w:ascii="Times New Roman" w:eastAsia="黑体" w:hAnsi="Times New Roman" w:cs="Times New Roman" w:hint="default"/>
          <w:sz w:val="32"/>
          <w:szCs w:val="32"/>
        </w:rPr>
      </w:pPr>
      <w:bookmarkStart w:id="8" w:name="_Toc25712"/>
      <w:r>
        <w:rPr>
          <w:rFonts w:ascii="Times New Roman" w:eastAsia="黑体" w:hAnsi="Times New Roman" w:cs="Times New Roman" w:hint="default"/>
          <w:sz w:val="32"/>
          <w:szCs w:val="32"/>
        </w:rPr>
        <w:t xml:space="preserve">二、绩效评价工作开展情况</w:t>
      </w:r>
      <w:bookmarkEnd w:id="8"/>
    </w:p>
    <w:p>
      <w:pPr>
        <w:spacing w:line="560" w:lineRule="exact"/>
        <w:ind w:firstLine="640" w:firstLineChars="200"/>
        <w:outlineLvl w:val="1"/>
        <w:rPr>
          <w:rFonts w:ascii="Times New Roman" w:eastAsia="楷体_GB2312" w:hAnsi="Times New Roman" w:cs="Times New Roman" w:hint="default"/>
          <w:b/>
          <w:bCs/>
          <w:sz w:val="32"/>
          <w:szCs w:val="32"/>
        </w:rPr>
      </w:pPr>
      <w:bookmarkStart w:id="9" w:name="_Toc20967"/>
      <w:r>
        <w:rPr>
          <w:rFonts w:ascii="Times New Roman" w:eastAsia="楷体_GB2312" w:hAnsi="Times New Roman" w:cs="Times New Roman" w:hint="default"/>
          <w:b/>
          <w:bCs/>
          <w:sz w:val="32"/>
          <w:szCs w:val="32"/>
        </w:rPr>
        <w:t xml:space="preserve">（一）绩效评价目的、对象和范围</w:t>
      </w:r>
      <w:bookmarkEnd w:id="9"/>
    </w:p>
    <w:p>
      <w:pPr>
        <w:spacing w:line="560" w:lineRule="exact"/>
        <w:ind w:firstLine="640" w:firstLineChars="200"/>
        <w:outlineLvl w:val="2"/>
        <w:rPr>
          <w:rFonts w:ascii="Times New Roman" w:eastAsia="仿宋_GB2312" w:hAnsi="Times New Roman" w:cs="Times New Roman" w:hint="default"/>
          <w:sz w:val="32"/>
          <w:szCs w:val="32"/>
        </w:rPr>
      </w:pPr>
      <w:bookmarkStart w:id="10" w:name="_Toc18967"/>
      <w:r>
        <w:rPr>
          <w:rFonts w:eastAsia="仿宋_GB2312" w:cs="Times New Roman" w:hint="eastAsia"/>
          <w:sz w:val="32"/>
          <w:szCs w:val="32"/>
          <w:lang w:val="en-US" w:eastAsia="zh-CN"/>
        </w:rPr>
        <w:t xml:space="preserve"> 1</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rPr>
        <w:t xml:space="preserve">绩效评价的目的</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1" w:name="_Toc17665"/>
      <w:r>
        <w:rPr>
          <w:rFonts w:ascii="Times New Roman" w:eastAsia="仿宋_GB2312" w:hAnsi="Times New Roman" w:cs="Times New Roman" w:hint="default"/>
          <w:sz w:val="32"/>
          <w:szCs w:val="32"/>
          <w:highlight w:val="none"/>
        </w:rPr>
        <w:t xml:space="preserve">（1）评估项目实施效果</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456"/>
      <w:r>
        <w:rPr>
          <w:rFonts w:ascii="Times New Roman" w:eastAsia="仿宋_GB2312" w:hAnsi="Times New Roman" w:cs="Times New Roman" w:hint="default"/>
          <w:sz w:val="32"/>
          <w:szCs w:val="32"/>
          <w:highlight w:val="none"/>
        </w:rPr>
        <w:t xml:space="preserve">（2）提升资源利用效率</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7051"/>
      <w:r>
        <w:rPr>
          <w:rFonts w:ascii="Times New Roman" w:eastAsia="仿宋_GB2312" w:hAnsi="Times New Roman" w:cs="Times New Roman" w:hint="default"/>
          <w:sz w:val="32"/>
          <w:szCs w:val="32"/>
          <w:highlight w:val="none"/>
        </w:rPr>
        <w:t xml:space="preserve">（3）强化项目管理责任</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19891"/>
      <w:r>
        <w:rPr>
          <w:rFonts w:ascii="Times New Roman" w:eastAsia="仿宋_GB2312" w:hAnsi="Times New Roman" w:cs="Times New Roman" w:hint="default"/>
          <w:sz w:val="32"/>
          <w:szCs w:val="32"/>
          <w:highlight w:val="none"/>
        </w:rPr>
        <w:t xml:space="preserve">（4）为决策提供支持</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0690"/>
      <w:r>
        <w:rPr>
          <w:rFonts w:ascii="Times New Roman" w:eastAsia="仿宋_GB2312" w:hAnsi="Times New Roman" w:cs="Times New Roman" w:hint="default"/>
          <w:sz w:val="32"/>
          <w:szCs w:val="32"/>
          <w:highlight w:val="none"/>
        </w:rPr>
        <w:t xml:space="preserve">（5）促进项目持续改进</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rPr>
      </w:pPr>
      <w:bookmarkStart w:id="16" w:name="_Toc5355"/>
      <w:r>
        <w:rPr>
          <w:rFonts w:ascii="Times New Roman" w:eastAsia="仿宋_GB2312" w:hAnsi="Times New Roman" w:cs="Times New Roman" w:hint="eastAsia"/>
          <w:b w:val="0"/>
          <w:bCs w:val="0"/>
          <w:lang w:val="en-US" w:eastAsia="zh-CN"/>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bookmarkEnd w:id="16"/>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default"/>
          <w:b w:val="0"/>
          <w:bCs w:val="0"/>
        </w:rPr>
        <w:t xml:space="preserve">经营成本性支</w:t>
      </w:r>
      <w:r>
        <w:rPr>
          <w:rFonts w:ascii="Times New Roman" w:eastAsia="仿宋_GB2312" w:hAnsi="Times New Roman" w:cs="Times New Roman" w:hint="eastAsia"/>
          <w:b w:val="0"/>
          <w:bCs w:val="0"/>
          <w:lang w:val="en-US" w:eastAsia="zh-CN"/>
        </w:rPr>
        <w:t xml:space="preserve">出</w:t>
      </w:r>
      <w:r>
        <w:rPr>
          <w:rFonts w:ascii="Times New Roman" w:eastAsia="仿宋_GB2312" w:hAnsi="Times New Roman" w:cs="Times New Roman" w:hint="default"/>
          <w:b w:val="0"/>
          <w:bCs w:val="0"/>
        </w:rPr>
        <w:t xml:space="preserve">项目及其预算执行情况</w:t>
      </w:r>
      <w:r>
        <w:rPr>
          <w:rFonts w:ascii="Times New Roman" w:eastAsia="仿宋_GB2312" w:hAnsi="Times New Roman" w:cs="Times New Roman" w:hint="default"/>
          <w:b w:val="0"/>
          <w:bCs w:val="0"/>
          <w:highlight w:val="none"/>
        </w:rPr>
        <w:t xml:space="preserve">。该项目由</w:t>
      </w:r>
      <w:r>
        <w:rPr>
          <w:rFonts w:ascii="Times New Roman" w:eastAsia="仿宋_GB2312" w:hAnsi="Times New Roman" w:cs="Times New Roman" w:hint="eastAsia"/>
          <w:b w:val="0"/>
          <w:bCs w:val="0"/>
          <w:highlight w:val="none"/>
          <w:lang w:eastAsia="zh-CN"/>
        </w:rPr>
        <w:t xml:space="preserve">新疆维吾尔自治区塔里木河流域喀什噶尔河水利管理中心</w:t>
      </w:r>
      <w:r>
        <w:rPr>
          <w:rFonts w:ascii="Times New Roman" w:eastAsia="仿宋_GB2312" w:hAnsi="Times New Roman" w:cs="Times New Roman" w:hint="default"/>
          <w:b w:val="0"/>
          <w:bCs w:val="0"/>
          <w:highlight w:val="none"/>
        </w:rPr>
        <w:t xml:space="preserve">负责实施，</w:t>
      </w:r>
      <w:r>
        <w:rPr>
          <w:rFonts w:ascii="Times New Roman" w:eastAsia="仿宋_GB2312" w:hAnsi="Times New Roman" w:cs="Times New Roman" w:hint="default"/>
          <w:b w:val="0"/>
          <w:bCs w:val="0"/>
        </w:rPr>
        <w:t xml:space="preserve">旨在</w:t>
      </w:r>
      <w:r>
        <w:rPr>
          <w:rFonts w:ascii="Times New Roman" w:eastAsia="仿宋_GB2312" w:hAnsi="Times New Roman" w:cs="Times New Roman" w:hint="eastAsia"/>
          <w:b w:val="0"/>
          <w:bCs w:val="0"/>
          <w:lang w:val="en-US" w:eastAsia="zh-CN"/>
        </w:rPr>
        <w:t xml:space="preserve">一是</w:t>
      </w:r>
      <w:r>
        <w:rPr>
          <w:rFonts w:ascii="Times New Roman" w:eastAsia="仿宋_GB2312" w:hAnsi="Times New Roman" w:cs="Times New Roman" w:hint="default"/>
          <w:b w:val="0"/>
          <w:bCs w:val="0"/>
        </w:rPr>
        <w:t xml:space="preserve">确保单位202</w:t>
      </w:r>
      <w:r>
        <w:rPr>
          <w:rFonts w:ascii="Times New Roman" w:eastAsia="仿宋_GB2312" w:hAnsi="Times New Roman" w:cs="Times New Roman" w:hint="eastAsia"/>
          <w:b w:val="0"/>
          <w:bCs w:val="0"/>
          <w:lang w:val="en-US" w:eastAsia="zh-CN"/>
        </w:rPr>
        <w:t xml:space="preserve">5</w:t>
      </w:r>
      <w:r>
        <w:rPr>
          <w:rFonts w:ascii="Times New Roman" w:eastAsia="仿宋_GB2312" w:hAnsi="Times New Roman" w:cs="Times New Roman" w:hint="default"/>
          <w:b w:val="0"/>
          <w:bCs w:val="0"/>
        </w:rPr>
        <w:t xml:space="preserve">年人员工资正常发放及日常工作运转；</w:t>
      </w:r>
      <w:r>
        <w:rPr>
          <w:rFonts w:ascii="Times New Roman" w:eastAsia="仿宋_GB2312" w:hAnsi="Times New Roman" w:cs="Times New Roman" w:hint="eastAsia"/>
          <w:b w:val="0"/>
          <w:bCs w:val="0"/>
          <w:lang w:val="en-US" w:eastAsia="zh-CN"/>
        </w:rPr>
        <w:t xml:space="preserve">二是</w:t>
      </w:r>
      <w:r>
        <w:rPr>
          <w:rFonts w:ascii="Times New Roman" w:eastAsia="仿宋_GB2312" w:hAnsi="Times New Roman" w:cs="Times New Roman" w:hint="default"/>
          <w:b w:val="0"/>
          <w:bCs w:val="0"/>
        </w:rPr>
        <w:t xml:space="preserve">保障重点水工程安全度汛，应急抢险和水毁修复能够及时完成，</w:t>
      </w:r>
      <w:r>
        <w:rPr>
          <w:rFonts w:ascii="Times New Roman" w:eastAsia="仿宋_GB2312" w:hAnsi="Times New Roman" w:cs="Times New Roman" w:hint="default"/>
          <w:b w:val="0"/>
          <w:bCs w:val="0"/>
          <w:lang w:val="en-US" w:eastAsia="zh-CN"/>
        </w:rPr>
        <w:t xml:space="preserve">达到农业灌溉正常供水，实现水利系统稳定运行的效果</w:t>
      </w:r>
      <w:r>
        <w:rPr>
          <w:rFonts w:ascii="Times New Roman" w:eastAsia="仿宋_GB2312" w:hAnsi="Times New Roman" w:cs="Times New Roman" w:hint="default"/>
          <w:b w:val="0"/>
          <w:bCs w:val="0"/>
        </w:rPr>
        <w:t xml:space="preserve">。项目预算涵盖从</w:t>
      </w:r>
      <w:r>
        <w:rPr>
          <w:rFonts w:ascii="Times New Roman" w:eastAsia="仿宋_GB2312" w:hAnsi="Times New Roman" w:cs="Times New Roman" w:hint="eastAsia"/>
          <w:b w:val="0"/>
          <w:bCs w:val="0"/>
          <w:lang w:val="en-US" w:eastAsia="zh-CN"/>
        </w:rPr>
        <w:t xml:space="preserve">2025年1月1日</w:t>
      </w:r>
      <w:r>
        <w:rPr>
          <w:rFonts w:ascii="Times New Roman" w:eastAsia="仿宋_GB2312" w:hAnsi="Times New Roman" w:cs="Times New Roman" w:hint="default"/>
          <w:b w:val="0"/>
          <w:bCs w:val="0"/>
        </w:rPr>
        <w:t xml:space="preserve">至</w:t>
      </w:r>
      <w:r>
        <w:rPr>
          <w:rFonts w:ascii="Times New Roman" w:eastAsia="仿宋_GB2312" w:hAnsi="Times New Roman" w:cs="Times New Roman" w:hint="eastAsia"/>
          <w:b w:val="0"/>
          <w:bCs w:val="0"/>
          <w:lang w:val="en-US" w:eastAsia="zh-CN"/>
        </w:rPr>
        <w:t xml:space="preserve">2025年12月31日</w:t>
      </w:r>
      <w:r>
        <w:rPr>
          <w:rFonts w:ascii="Times New Roman" w:eastAsia="仿宋_GB2312" w:hAnsi="Times New Roman" w:cs="Times New Roman" w:hint="default"/>
          <w:b w:val="0"/>
          <w:bCs w:val="0"/>
        </w:rPr>
        <w:t xml:space="preserve">的全部资金投入与支出，涉及资金总额</w:t>
      </w:r>
      <w:r>
        <w:rPr>
          <w:rFonts w:ascii="Times New Roman" w:eastAsia="仿宋_GB2312" w:hAnsi="Times New Roman" w:cs="Times New Roman" w:hint="default"/>
          <w:b w:val="0"/>
          <w:bCs w:val="0"/>
          <w:lang w:val="en-US" w:eastAsia="zh-CN"/>
        </w:rPr>
        <w:t xml:space="preserve">为</w:t>
      </w:r>
      <w:r>
        <w:rPr>
          <w:rFonts w:ascii="Times New Roman" w:eastAsia="仿宋_GB2312" w:hAnsi="Times New Roman" w:cs="Times New Roman" w:hint="eastAsia"/>
          <w:b w:val="0"/>
          <w:bCs w:val="0"/>
          <w:lang w:val="en-US" w:eastAsia="zh-CN"/>
        </w:rPr>
        <w:t xml:space="preserve">2701.15</w:t>
      </w:r>
      <w:r>
        <w:rPr>
          <w:rFonts w:ascii="Times New Roman" w:eastAsia="仿宋_GB2312" w:hAnsi="Times New Roman" w:cs="Times New Roman" w:hint="default"/>
          <w:b w:val="0"/>
          <w:bCs w:val="0"/>
          <w:lang w:val="en-US" w:eastAsia="zh-CN"/>
        </w:rPr>
        <w:t xml:space="preserve">万</w:t>
      </w:r>
      <w:r>
        <w:rPr>
          <w:rFonts w:ascii="Times New Roman" w:eastAsia="仿宋_GB2312" w:hAnsi="Times New Roman" w:cs="Times New Roman" w:hint="default"/>
          <w:b w:val="0"/>
          <w:bCs w:val="0"/>
        </w:rPr>
        <w:t xml:space="preserve">元。</w:t>
      </w:r>
    </w:p>
    <w:p>
      <w:pPr>
        <w:pStyle w:val="Title"/>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7" w:name="_Toc4258"/>
      <w:r>
        <w:rPr>
          <w:rFonts w:ascii="Times New Roman" w:eastAsia="仿宋_GB2312" w:hAnsi="Times New Roman" w:cs="Times New Roman" w:hint="eastAsia"/>
          <w:b w:val="0"/>
          <w:bCs w:val="0"/>
          <w:lang w:val="en-US" w:eastAsia="zh-CN"/>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绩效评价的范围</w:t>
      </w:r>
      <w:bookmarkEnd w:id="17"/>
      <w:r>
        <w:rPr>
          <w:rFonts w:ascii="Times New Roman" w:eastAsia="仿宋_GB2312" w:hAnsi="Times New Roman" w:cs="Times New Roman" w:hint="eastAsia"/>
          <w:b w:val="0"/>
          <w:bCs w:val="0"/>
          <w:lang w:val="en-US" w:eastAsia="zh-CN"/>
        </w:rPr>
        <w:t xml:space="preserve"> </w:t>
      </w:r>
    </w:p>
    <w:p>
      <w:pPr>
        <w:pStyle w:val="Title"/>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eastAsia"/>
          <w:b w:val="0"/>
          <w:bCs w:val="0"/>
          <w:kern w:val="28"/>
          <w:sz w:val="32"/>
          <w:szCs w:val="32"/>
          <w:highlight w:val="none"/>
          <w:lang w:val="en-US" w:eastAsia="zh-CN" w:bidi="ar-SA"/>
        </w:rPr>
      </w:pPr>
      <w:r>
        <w:rPr>
          <w:rFonts w:eastAsia="仿宋_GB2312" w:cs="Times New Roman" w:hint="eastAsia"/>
          <w:b w:val="0"/>
          <w:bCs w:val="0"/>
          <w:kern w:val="28"/>
          <w:sz w:val="32"/>
          <w:szCs w:val="32"/>
          <w:highlight w:val="none"/>
          <w:lang w:val="en-US" w:eastAsia="zh-CN" w:bidi="ar-SA"/>
        </w:rPr>
        <w:t xml:space="preserve">（1）</w:t>
      </w:r>
      <w:r>
        <w:rPr>
          <w:rFonts w:ascii="Times New Roman" w:eastAsia="仿宋_GB2312" w:hAnsi="Times New Roman" w:cs="Times New Roman" w:hint="default"/>
          <w:b w:val="0"/>
          <w:bCs w:val="0"/>
          <w:kern w:val="28"/>
          <w:sz w:val="32"/>
          <w:szCs w:val="32"/>
          <w:highlight w:val="none"/>
          <w:lang w:val="en-US" w:eastAsia="zh-CN" w:bidi="ar-SA"/>
        </w:rPr>
        <w:t xml:space="preserve">项目预算编制与执行：2024年6月，中共新疆维吾尔自治区委员会机构编制委员会文件《自治区党委编委关于印发〈新疆维吾尔自治区塔里木河流域管理局及所属事业单位改革方案〉的通知》（新党编委〔2024〕106号）文件，将新疆喀什噶尔河流域管理</w:t>
      </w:r>
      <w:r>
        <w:rPr>
          <w:rFonts w:ascii="Times New Roman" w:eastAsia="仿宋_GB2312" w:hAnsi="Times New Roman" w:cs="Times New Roman" w:hint="eastAsia"/>
          <w:b w:val="0"/>
          <w:bCs w:val="0"/>
          <w:kern w:val="28"/>
          <w:sz w:val="32"/>
          <w:szCs w:val="32"/>
          <w:highlight w:val="none"/>
          <w:lang w:val="en-US" w:eastAsia="zh-CN" w:bidi="ar-SA"/>
        </w:rPr>
        <w:t xml:space="preserve">局、新疆喀什噶尔河流域管理局水利管理中心整合，组建自治区塔里木河流域喀什噶尔河水利管理中心，隶属关系由自治区水利厅调整为自治区塔里木河流域管理局。同时，将新疆喀什地区盖孜库山河流域管理处及其现有121 名人员“连人带编”并入自治区塔里木河流域喀什噶尔河水利管理中心。</w:t>
      </w:r>
      <w:r>
        <w:rPr>
          <w:rFonts w:ascii="Times New Roman" w:eastAsia="仿宋_GB2312" w:hAnsi="Times New Roman" w:cs="Times New Roman" w:hint="eastAsia"/>
          <w:b w:val="0"/>
          <w:bCs w:val="0"/>
          <w:kern w:val="28"/>
          <w:sz w:val="32"/>
          <w:szCs w:val="32"/>
          <w:highlight w:val="none"/>
          <w:lang w:val="en-US" w:eastAsia="zh-CN" w:bidi="ar-SA"/>
        </w:rPr>
        <w:t xml:space="preserve">截至</w:t>
      </w:r>
      <w:r>
        <w:rPr>
          <w:rFonts w:ascii="Times New Roman" w:eastAsia="仿宋_GB2312" w:hAnsi="Times New Roman" w:cs="Times New Roman" w:hint="eastAsia"/>
          <w:b w:val="0"/>
          <w:bCs w:val="0"/>
          <w:kern w:val="28"/>
          <w:sz w:val="32"/>
          <w:szCs w:val="32"/>
          <w:highlight w:val="none"/>
          <w:lang w:val="en-US" w:eastAsia="zh-CN" w:bidi="ar-SA"/>
        </w:rPr>
        <w:t xml:space="preserve">2025年12月31日</w:t>
      </w:r>
      <w:r>
        <w:rPr>
          <w:rFonts w:ascii="Times New Roman" w:eastAsia="仿宋_GB2312" w:hAnsi="Times New Roman" w:cs="Times New Roman" w:hint="default"/>
          <w:b w:val="0"/>
          <w:bCs w:val="0"/>
          <w:kern w:val="28"/>
          <w:sz w:val="32"/>
          <w:szCs w:val="32"/>
          <w:highlight w:val="none"/>
          <w:lang w:val="en-US" w:eastAsia="zh-CN" w:bidi="ar-SA"/>
        </w:rPr>
        <w:t xml:space="preserve">，该项目全年执行数</w:t>
      </w:r>
      <w:r>
        <w:rPr>
          <w:rFonts w:ascii="Times New Roman" w:eastAsia="仿宋_GB2312" w:hAnsi="Times New Roman" w:cs="Times New Roman" w:hint="eastAsia"/>
          <w:b w:val="0"/>
          <w:bCs w:val="0"/>
          <w:kern w:val="28"/>
          <w:sz w:val="32"/>
          <w:szCs w:val="32"/>
          <w:highlight w:val="none"/>
          <w:lang w:val="en-US" w:eastAsia="zh-CN" w:bidi="ar-SA"/>
        </w:rPr>
        <w:t xml:space="preserve">2701.15</w:t>
      </w:r>
      <w:r>
        <w:rPr>
          <w:rFonts w:ascii="Times New Roman" w:eastAsia="仿宋_GB2312" w:hAnsi="Times New Roman" w:cs="Times New Roman" w:hint="default"/>
          <w:b w:val="0"/>
          <w:bCs w:val="0"/>
          <w:kern w:val="28"/>
          <w:sz w:val="32"/>
          <w:szCs w:val="32"/>
          <w:highlight w:val="none"/>
          <w:lang w:val="en-US" w:eastAsia="zh-CN" w:bidi="ar-SA"/>
        </w:rPr>
        <w:t xml:space="preserve">万元，预算执行率为</w:t>
      </w:r>
      <w:r>
        <w:rPr>
          <w:rFonts w:ascii="Times New Roman" w:eastAsia="仿宋_GB2312" w:hAnsi="Times New Roman" w:cs="Times New Roman" w:hint="eastAsia"/>
          <w:b w:val="0"/>
          <w:bCs w:val="0"/>
          <w:kern w:val="28"/>
          <w:sz w:val="32"/>
          <w:szCs w:val="32"/>
          <w:highlight w:val="none"/>
          <w:lang w:val="en-US" w:eastAsia="zh-CN" w:bidi="ar-SA"/>
        </w:rPr>
        <w:t xml:space="preserve">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（2）</w:t>
      </w:r>
      <w:r>
        <w:rPr>
          <w:rFonts w:ascii="Times New Roman" w:eastAsia="仿宋_GB2312" w:hAnsi="Times New Roman" w:cs="Times New Roman" w:hint="default"/>
          <w:b w:val="0"/>
          <w:bCs w:val="0"/>
          <w:kern w:val="28"/>
          <w:sz w:val="32"/>
          <w:szCs w:val="32"/>
          <w:highlight w:val="none"/>
          <w:lang w:val="en-US" w:eastAsia="zh-CN" w:bidi="ar-SA"/>
        </w:rPr>
        <w:t xml:space="preserve">资金管理：项目主要内容：</w:t>
      </w:r>
      <w:r>
        <w:rPr>
          <w:rFonts w:ascii="Times New Roman" w:eastAsia="仿宋_GB2312" w:hAnsi="Times New Roman" w:cs="Times New Roman" w:hint="eastAsia"/>
          <w:b w:val="0"/>
          <w:bCs w:val="0"/>
          <w:kern w:val="28"/>
          <w:sz w:val="32"/>
          <w:szCs w:val="32"/>
          <w:highlight w:val="none"/>
          <w:lang w:val="en-US" w:eastAsia="zh-CN" w:bidi="ar-SA"/>
        </w:rPr>
        <w:t xml:space="preserve">2025年单位水费资金预算合计2701.15万元，具体如下：人员类项目经费1332.16万元；运转类经费：机关运行经费898.08万元；项目类470.9万元。</w:t>
      </w:r>
      <w:r>
        <w:rPr>
          <w:rFonts w:ascii="仿宋_GB2312" w:eastAsia="仿宋_GB2312" w:hAnsi="仿宋_GB2312" w:cs="仿宋_GB2312" w:hint="eastAsia"/>
          <w:sz w:val="32"/>
          <w:szCs w:val="32"/>
          <w:highlight w:val="none"/>
          <w:lang w:val="en-US" w:eastAsia="zh-CN"/>
        </w:rPr>
        <w:t xml:space="preserve">各项开支严</w:t>
      </w:r>
      <w:r>
        <w:rPr>
          <w:rFonts w:ascii="Times New Roman" w:eastAsia="仿宋" w:hAnsi="Times New Roman" w:cs="仿宋" w:hint="eastAsia"/>
          <w:sz w:val="32"/>
          <w:szCs w:val="32"/>
          <w:highlight w:val="none"/>
          <w:lang w:val="en-US" w:eastAsia="zh-CN"/>
        </w:rPr>
        <w:t xml:space="preserve">格按照年初预算执行，确保预算的合规性和严密性。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（3）</w:t>
      </w:r>
      <w:r>
        <w:rPr>
          <w:rFonts w:ascii="Times New Roman" w:eastAsia="仿宋_GB2312" w:hAnsi="Times New Roman" w:cs="Times New Roman" w:hint="default"/>
          <w:b w:val="0"/>
          <w:bCs w:val="0"/>
          <w:kern w:val="28"/>
          <w:sz w:val="32"/>
          <w:szCs w:val="32"/>
          <w:highlight w:val="none"/>
          <w:lang w:val="en-US" w:eastAsia="zh-CN" w:bidi="ar-SA"/>
        </w:rPr>
        <w:t xml:space="preserve">项目实施进度与产出：</w:t>
      </w:r>
      <w:r>
        <w:rPr>
          <w:rFonts w:ascii="Times New Roman" w:eastAsia="仿宋_GB2312" w:hAnsi="Times New Roman" w:cs="Times New Roman" w:hint="eastAsia"/>
          <w:b w:val="0"/>
          <w:bCs w:val="0"/>
          <w:kern w:val="28"/>
          <w:sz w:val="32"/>
          <w:szCs w:val="32"/>
          <w:highlight w:val="none"/>
          <w:lang w:val="en-US" w:eastAsia="zh-CN" w:bidi="ar-SA"/>
        </w:rPr>
        <w:t xml:space="preserve">非财政拨款经营成本性支出</w:t>
      </w:r>
      <w:r>
        <w:rPr>
          <w:rFonts w:ascii="Times New Roman" w:eastAsia="仿宋_GB2312" w:hAnsi="Times New Roman" w:cs="Times New Roman" w:hint="default"/>
          <w:b w:val="0"/>
          <w:bCs w:val="0"/>
          <w:kern w:val="28"/>
          <w:sz w:val="32"/>
          <w:szCs w:val="32"/>
          <w:highlight w:val="none"/>
          <w:lang w:val="en-US" w:eastAsia="zh-CN" w:bidi="ar-SA"/>
        </w:rPr>
        <w:t xml:space="preserve">项目</w:t>
      </w:r>
      <w:r>
        <w:rPr>
          <w:rFonts w:ascii="Times New Roman" w:eastAsia="仿宋_GB2312" w:hAnsi="Times New Roman" w:cs="Times New Roman" w:hint="eastAsia"/>
          <w:b w:val="0"/>
          <w:bCs w:val="0"/>
          <w:kern w:val="28"/>
          <w:sz w:val="32"/>
          <w:szCs w:val="32"/>
          <w:highlight w:val="none"/>
          <w:lang w:val="en-US" w:eastAsia="zh-CN" w:bidi="ar-SA"/>
        </w:rPr>
        <w:t xml:space="preserve">严格</w:t>
      </w:r>
      <w:r>
        <w:rPr>
          <w:rFonts w:ascii="Times New Roman" w:eastAsia="仿宋_GB2312" w:hAnsi="Times New Roman" w:cs="Times New Roman" w:hint="default"/>
          <w:b w:val="0"/>
          <w:bCs w:val="0"/>
          <w:kern w:val="28"/>
          <w:sz w:val="32"/>
          <w:szCs w:val="32"/>
          <w:highlight w:val="none"/>
          <w:lang w:val="en-US" w:eastAsia="zh-CN" w:bidi="ar-SA"/>
        </w:rPr>
        <w:t xml:space="preserve">按照既定计划顺利推进，各项任务按时完成，以及项目产出的数量、质量和时效性符合预期。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（4）</w:t>
      </w:r>
      <w:r>
        <w:rPr>
          <w:rFonts w:ascii="Times New Roman" w:eastAsia="仿宋_GB2312" w:hAnsi="Times New Roman" w:cs="Times New Roman" w:hint="default"/>
          <w:b w:val="0"/>
          <w:bCs w:val="0"/>
          <w:kern w:val="28"/>
          <w:sz w:val="32"/>
          <w:szCs w:val="32"/>
          <w:highlight w:val="none"/>
          <w:lang w:val="en-US" w:eastAsia="zh-CN" w:bidi="ar-SA"/>
        </w:rPr>
        <w:t xml:space="preserve">社会影响</w:t>
      </w:r>
      <w:r>
        <w:rPr>
          <w:rFonts w:eastAsia="仿宋_GB2312" w:cs="Times New Roman" w:hint="eastAsia"/>
          <w:b w:val="0"/>
          <w:bCs w:val="0"/>
          <w:kern w:val="28"/>
          <w:sz w:val="32"/>
          <w:szCs w:val="32"/>
          <w:highlight w:val="none"/>
          <w:lang w:val="en-US" w:eastAsia="zh-CN" w:bidi="ar-SA"/>
        </w:rPr>
        <w:t xml:space="preserve">：稳定职工干部队伍，夯实水利管理人才支撑，提升公共服务效能，优化水利治理能力，提升水旱灾害防御能力，降低生态灾害风险。</w:t>
      </w:r>
    </w:p>
    <w:p>
      <w:pPr>
        <w:spacing w:line="560" w:lineRule="exact"/>
        <w:ind w:firstLine="640" w:firstLineChars="200"/>
        <w:outlineLvl w:val="1"/>
        <w:rPr>
          <w:rFonts w:ascii="Times New Roman" w:hAnsi="Times New Roman" w:cs="Times New Roman" w:hint="default"/>
        </w:rPr>
      </w:pPr>
      <w:bookmarkStart w:id="18" w:name="_Toc29785"/>
      <w:r>
        <w:rPr>
          <w:rFonts w:ascii="Times New Roman" w:eastAsia="楷体_GB2312" w:hAnsi="Times New Roman" w:cs="Times New Roman" w:hint="default"/>
          <w:b/>
          <w:bCs/>
          <w:sz w:val="32"/>
          <w:szCs w:val="32"/>
        </w:rPr>
        <w:t xml:space="preserve">（二）绩效评价原则、评价指标体系（详情见表1）、评价方法、评价标准。</w:t>
      </w:r>
      <w:bookmarkEnd w:id="18"/>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rPr>
      </w:pPr>
      <w:bookmarkStart w:id="19" w:name="_Toc22859"/>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bookmarkEnd w:id="19"/>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rPr>
      </w:pPr>
      <w:bookmarkStart w:id="20" w:name="_Toc31775"/>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bookmarkEnd w:id="20"/>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outlineLvl w:val="3"/>
        <w:rPr>
          <w:rFonts w:ascii="Times New Roman" w:eastAsia="仿宋_GB2312" w:hAnsi="Times New Roman" w:cs="Times New Roman" w:hint="default"/>
          <w:color w:val="000000"/>
          <w:spacing w:val="17"/>
          <w:sz w:val="32"/>
          <w:szCs w:val="32"/>
        </w:rPr>
      </w:pPr>
      <w:bookmarkStart w:id="21" w:name="_Toc22746"/>
      <w:r>
        <w:rPr>
          <w:rFonts w:ascii="Times New Roman" w:eastAsia="仿宋_GB2312" w:hAnsi="Times New Roman" w:cs="Times New Roman" w:hint="default"/>
          <w:color w:val="000000"/>
          <w:spacing w:val="17"/>
          <w:sz w:val="32"/>
          <w:szCs w:val="32"/>
        </w:rPr>
        <w:t xml:space="preserve">（1）确定评价指标</w:t>
      </w:r>
      <w:bookmarkEnd w:id="21"/>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outlineLvl w:val="3"/>
        <w:rPr>
          <w:rFonts w:ascii="Times New Roman" w:eastAsia="仿宋_GB2312" w:hAnsi="Times New Roman" w:cs="Times New Roman" w:hint="default"/>
          <w:color w:val="000000"/>
          <w:spacing w:val="17"/>
          <w:sz w:val="32"/>
          <w:szCs w:val="32"/>
        </w:rPr>
      </w:pPr>
      <w:bookmarkStart w:id="22" w:name="_Toc1142"/>
      <w:r>
        <w:rPr>
          <w:rFonts w:ascii="Times New Roman" w:eastAsia="仿宋_GB2312" w:hAnsi="Times New Roman" w:cs="Times New Roman" w:hint="default"/>
          <w:color w:val="000000"/>
          <w:spacing w:val="17"/>
          <w:sz w:val="32"/>
          <w:szCs w:val="32"/>
        </w:rPr>
        <w:t xml:space="preserve">（2）确定权重</w:t>
      </w:r>
      <w:bookmarkEnd w:id="22"/>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outlineLvl w:val="3"/>
        <w:rPr>
          <w:rFonts w:ascii="Times New Roman" w:eastAsia="仿宋_GB2312" w:hAnsi="Times New Roman" w:cs="Times New Roman" w:hint="default"/>
          <w:color w:val="000000"/>
          <w:spacing w:val="17"/>
          <w:sz w:val="32"/>
          <w:szCs w:val="32"/>
        </w:rPr>
      </w:pPr>
      <w:bookmarkStart w:id="23" w:name="_Toc18406"/>
      <w:r>
        <w:rPr>
          <w:rFonts w:ascii="Times New Roman" w:eastAsia="仿宋_GB2312" w:hAnsi="Times New Roman" w:cs="Times New Roman" w:hint="default"/>
          <w:color w:val="000000"/>
          <w:spacing w:val="17"/>
          <w:sz w:val="32"/>
          <w:szCs w:val="32"/>
        </w:rPr>
        <w:t xml:space="preserve">（3）确定指标标准值</w:t>
      </w:r>
      <w:bookmarkEnd w:id="23"/>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rPr>
      </w:pPr>
      <w:bookmarkStart w:id="24" w:name="_Toc18365"/>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bookmarkEnd w:id="24"/>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1</w:t>
      </w:r>
      <w:r>
        <w:rPr>
          <w:rFonts w:ascii="Times New Roman" w:eastAsia="仿宋_GB2312" w:hAnsi="Times New Roman" w:cs="Times New Roman" w:hint="default"/>
          <w:color w:val="000000"/>
          <w:spacing w:val="17"/>
          <w:sz w:val="32"/>
          <w:szCs w:val="32"/>
          <w:highlight w:val="none"/>
        </w:rPr>
        <w:t xml:space="preserve">）成本效益分析法。是指将投入与产出、效益进行关联性分析的方法。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2</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3</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4</w:t>
      </w:r>
      <w:r>
        <w:rPr>
          <w:rFonts w:ascii="Times New Roman" w:eastAsia="仿宋_GB2312" w:hAnsi="Times New Roman" w:cs="Times New Roman" w:hint="default"/>
          <w:color w:val="000000"/>
          <w:spacing w:val="17"/>
          <w:sz w:val="32"/>
          <w:szCs w:val="32"/>
          <w:highlight w:val="none"/>
        </w:rPr>
        <w:t xml:space="preserve">）最低成本法。是指在绩效目标确定的前提下，成本最小者为优的方法。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5</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6</w:t>
      </w:r>
      <w:r>
        <w:rPr>
          <w:rFonts w:ascii="Times New Roman" w:eastAsia="仿宋_GB2312" w:hAnsi="Times New Roman" w:cs="Times New Roman" w:hint="default"/>
          <w:color w:val="000000"/>
          <w:spacing w:val="17"/>
          <w:sz w:val="32"/>
          <w:szCs w:val="32"/>
          <w:highlight w:val="none"/>
        </w:rPr>
        <w:t xml:space="preserve">）标杆管理法。是指以国内外同行业中较高的绩效水平为标杆进行评判的方法。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7</w:t>
      </w:r>
      <w:r>
        <w:rPr>
          <w:rFonts w:ascii="Times New Roman" w:eastAsia="仿宋_GB2312" w:hAnsi="Times New Roman" w:cs="Times New Roman" w:hint="default"/>
          <w:color w:val="000000"/>
          <w:spacing w:val="17"/>
          <w:sz w:val="32"/>
          <w:szCs w:val="32"/>
          <w:highlight w:val="none"/>
        </w:rPr>
        <w:t xml:space="preserve">）其他评价方法。</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5"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5"/>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lang w:eastAsia="zh-CN"/>
        </w:rPr>
        <w:t xml:space="preserve">具体绩效评价标准解释如下：</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财政部门和预算部门确认或认可的其他标准。</w:t>
      </w:r>
    </w:p>
    <w:p>
      <w:pPr>
        <w:pStyle w:val="Title"/>
        <w:widowControl w:val="0"/>
        <w:spacing w:before="0" w:after="0" w:line="560" w:lineRule="exact"/>
        <w:ind w:firstLine="640" w:firstLineChars="200"/>
        <w:jc w:val="both"/>
        <w:outlineLvl w:val="9"/>
        <w:rPr>
          <w:rFonts w:hint="default"/>
        </w:rPr>
      </w:pPr>
      <w:r>
        <w:rPr>
          <w:rFonts w:ascii="Times New Roman" w:eastAsia="仿宋_GB2312" w:hAnsi="Times New Roman" w:cs="Times New Roman" w:hint="eastAsia"/>
          <w:b w:val="0"/>
          <w:bCs w:val="0"/>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numPr>
          <w:ilvl w:val="0"/>
          <w:numId w:val="1"/>
        </w:numPr>
        <w:spacing w:before="0" w:after="0" w:line="560" w:lineRule="exact"/>
        <w:ind w:firstLine="640" w:firstLineChars="200"/>
        <w:jc w:val="both"/>
        <w:outlineLvl w:val="1"/>
        <w:rPr>
          <w:rFonts w:ascii="Times New Roman" w:eastAsia="楷体" w:hAnsi="Times New Roman" w:cs="Times New Roman" w:hint="default"/>
          <w:color w:val="000000"/>
          <w:spacing w:val="17"/>
        </w:rPr>
      </w:pPr>
      <w:bookmarkStart w:id="26" w:name="_Toc5544"/>
      <w:r>
        <w:rPr>
          <w:rFonts w:ascii="Times New Roman" w:eastAsia="楷体" w:hAnsi="Times New Roman" w:cs="Times New Roman" w:hint="default"/>
          <w:color w:val="000000"/>
          <w:spacing w:val="17"/>
        </w:rPr>
        <w:t xml:space="preserve">绩效评价工作过程</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7"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8"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outlineLvl w:val="0"/>
        <w:rPr>
          <w:rFonts w:ascii="Times New Roman" w:eastAsia="黑体" w:hAnsi="Times New Roman" w:cs="Times New Roman" w:hint="default"/>
          <w:sz w:val="32"/>
          <w:szCs w:val="32"/>
        </w:rPr>
      </w:pPr>
      <w:bookmarkStart w:id="33" w:name="_Toc29729"/>
      <w:r>
        <w:rPr>
          <w:rFonts w:ascii="Times New Roman" w:eastAsia="黑体" w:hAnsi="Times New Roman" w:cs="Times New Roman" w:hint="default"/>
          <w:sz w:val="32"/>
          <w:szCs w:val="32"/>
        </w:rPr>
        <w:t xml:space="preserve">综合评价情况及评价结论（附相关评分表）</w:t>
      </w:r>
      <w:bookmarkEnd w:id="33"/>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4" w:name="_Toc2344"/>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bookmarkEnd w:id="34"/>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w:t>
      </w:r>
      <w:r>
        <w:rPr>
          <w:rFonts w:ascii="Times New Roman" w:eastAsia="仿宋_GB2312" w:hAnsi="Times New Roman" w:cs="Times New Roman" w:hint="default"/>
          <w:b w:val="0"/>
          <w:bCs w:val="0"/>
          <w:kern w:val="28"/>
          <w:sz w:val="32"/>
          <w:szCs w:val="32"/>
          <w:lang w:val="en-US" w:eastAsia="zh-CN" w:bidi="ar-SA"/>
        </w:rPr>
        <w:t xml:space="preserve">从项目目标的达成情况来看，经营成本性支出项目在确保单位202</w:t>
      </w:r>
      <w:r>
        <w:rPr>
          <w:rFonts w:eastAsia="仿宋_GB2312" w:cs="Times New Roman" w:hint="eastAsia"/>
          <w:b w:val="0"/>
          <w:bCs w:val="0"/>
          <w:kern w:val="28"/>
          <w:sz w:val="32"/>
          <w:szCs w:val="32"/>
          <w:lang w:val="en-US" w:eastAsia="zh-CN" w:bidi="ar-SA"/>
        </w:rPr>
        <w:t xml:space="preserve">5</w:t>
      </w:r>
      <w:r>
        <w:rPr>
          <w:rFonts w:ascii="Times New Roman" w:eastAsia="仿宋_GB2312" w:hAnsi="Times New Roman" w:cs="Times New Roman" w:hint="default"/>
          <w:b w:val="0"/>
          <w:bCs w:val="0"/>
          <w:kern w:val="28"/>
          <w:sz w:val="32"/>
          <w:szCs w:val="32"/>
          <w:lang w:val="en-US" w:eastAsia="zh-CN" w:bidi="ar-SA"/>
        </w:rPr>
        <w:t xml:space="preserve">年人员工资正常发放及日常工作运转等方面表现出色，达到了预期的标准与要求。同时，项目也在保障重点水工程安全度汛，应急抢险和水毁修复能够及时完成，避免或降低流域人民生命财产损失环节取得了显著的成效，如</w:t>
      </w:r>
      <w:r>
        <w:rPr>
          <w:rFonts w:ascii="Times New Roman" w:eastAsia="仿宋_GB2312" w:hAnsi="Times New Roman" w:cs="Times New Roman" w:hint="eastAsia"/>
          <w:b w:val="0"/>
          <w:bCs w:val="0"/>
          <w:kern w:val="28"/>
          <w:sz w:val="32"/>
          <w:szCs w:val="32"/>
          <w:lang w:val="en-US" w:eastAsia="zh-CN" w:bidi="ar-SA"/>
        </w:rPr>
        <w:t xml:space="preserve">一是单位本年度工作考核中优秀等次，二是本年度供水工作有序进行，无水使用安全隐患问题，</w:t>
      </w:r>
      <w:r>
        <w:rPr>
          <w:rFonts w:ascii="Times New Roman" w:eastAsia="仿宋_GB2312" w:hAnsi="Times New Roman" w:cs="Times New Roman" w:hint="default"/>
          <w:b w:val="0"/>
          <w:bCs w:val="0"/>
          <w:kern w:val="28"/>
          <w:sz w:val="32"/>
          <w:szCs w:val="32"/>
          <w:lang w:val="en-US" w:eastAsia="zh-CN" w:bidi="ar-SA"/>
        </w:rPr>
        <w:t xml:space="preserve">水旱灾害防御工作底线不断稳固</w:t>
      </w:r>
      <w:r>
        <w:rPr>
          <w:rFonts w:ascii="Times New Roman" w:eastAsia="仿宋_GB2312" w:hAnsi="Times New Roman" w:cs="Times New Roman" w:hint="eastAsia"/>
          <w:b w:val="0"/>
          <w:bCs w:val="0"/>
          <w:kern w:val="28"/>
          <w:sz w:val="32"/>
          <w:szCs w:val="32"/>
          <w:lang w:val="en-US" w:eastAsia="zh-CN" w:bidi="ar-SA"/>
        </w:rPr>
        <w:t xml:space="preserve">。</w:t>
      </w:r>
      <w:r>
        <w:rPr>
          <w:rFonts w:ascii="Times New Roman" w:eastAsia="仿宋_GB2312" w:hAnsi="Times New Roman" w:cs="Times New Roman" w:hint="default"/>
          <w:sz w:val="32"/>
          <w:szCs w:val="32"/>
          <w:highlight w:val="none"/>
        </w:rPr>
        <w:t xml:space="preserve">产出成果上，</w:t>
      </w:r>
      <w:r>
        <w:rPr>
          <w:rFonts w:eastAsia="仿宋_GB2312" w:cs="Times New Roman" w:hint="eastAsia"/>
          <w:sz w:val="32"/>
          <w:szCs w:val="32"/>
          <w:highlight w:val="none"/>
          <w:lang w:eastAsia="zh-CN"/>
        </w:rPr>
        <w:t xml:space="preserve">发放</w:t>
      </w:r>
      <w:r>
        <w:rPr>
          <w:rFonts w:eastAsia="仿宋_GB2312" w:cs="Times New Roman" w:hint="eastAsia"/>
          <w:sz w:val="32"/>
          <w:szCs w:val="32"/>
          <w:highlight w:val="none"/>
          <w:lang w:val="en-US" w:eastAsia="zh-CN"/>
        </w:rPr>
        <w:t xml:space="preserve">156人</w:t>
      </w:r>
      <w:r>
        <w:rPr>
          <w:rFonts w:eastAsia="仿宋_GB2312" w:cs="Times New Roman" w:hint="eastAsia"/>
          <w:sz w:val="32"/>
          <w:szCs w:val="32"/>
          <w:highlight w:val="none"/>
          <w:lang w:eastAsia="zh-CN"/>
        </w:rPr>
        <w:t xml:space="preserve">工资</w:t>
      </w:r>
      <w:r>
        <w:rPr>
          <w:rFonts w:eastAsia="仿宋_GB2312" w:cs="Times New Roman" w:hint="eastAsia"/>
          <w:sz w:val="32"/>
          <w:szCs w:val="32"/>
          <w:highlight w:val="none"/>
          <w:lang w:val="en-US" w:eastAsia="zh-CN"/>
        </w:rPr>
        <w:t xml:space="preserve">12次，保障了单位11辆车正常运行，采购防洪物资2次，水毁修复覆盖率达到95%，</w:t>
      </w:r>
      <w:r>
        <w:rPr>
          <w:rFonts w:ascii="Times New Roman" w:eastAsia="仿宋_GB2312" w:hAnsi="Times New Roman" w:cs="Times New Roman" w:hint="default"/>
          <w:sz w:val="32"/>
          <w:szCs w:val="32"/>
          <w:highlight w:val="none"/>
        </w:rPr>
        <w:t xml:space="preserve">项目产出数量满足计划要求，质量符合相关标准规范，产出时效与成本控制均达到预期目标，综合效益方面，</w:t>
      </w:r>
      <w:r>
        <w:rPr>
          <w:rFonts w:eastAsia="仿宋_GB2312" w:cs="Times New Roman" w:hint="eastAsia"/>
          <w:sz w:val="32"/>
          <w:szCs w:val="32"/>
          <w:highlight w:val="none"/>
          <w:lang w:eastAsia="zh-CN"/>
        </w:rPr>
        <w:t xml:space="preserve">项目在社会效益上发挥了积极作用，具体表现在，如防洪预警发布率稳定达到</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b w:val="0"/>
          <w:bCs w:val="0"/>
          <w:kern w:val="28"/>
          <w:sz w:val="32"/>
          <w:szCs w:val="32"/>
          <w:lang w:val="en-US" w:eastAsia="zh-CN" w:bidi="ar-SA"/>
        </w:rPr>
        <w:t xml:space="preserve">避免或降低流域人民生命财产损失环节取得了显著的成效</w:t>
      </w:r>
      <w:r>
        <w:rPr>
          <w:rFonts w:ascii="Times New Roman" w:eastAsia="仿宋_GB2312" w:hAnsi="Times New Roman" w:cs="Times New Roman" w:hint="eastAsia"/>
          <w:b w:val="0"/>
          <w:bCs w:val="0"/>
          <w:kern w:val="28"/>
          <w:sz w:val="32"/>
          <w:szCs w:val="32"/>
          <w:lang w:val="en-US" w:eastAsia="zh-CN" w:bidi="ar-SA"/>
        </w:rPr>
        <w:t xml:space="preserve">，</w:t>
      </w:r>
      <w:r>
        <w:rPr>
          <w:rFonts w:ascii="Times New Roman" w:eastAsia="仿宋_GB2312" w:hAnsi="Times New Roman" w:cs="Times New Roman" w:hint="default"/>
          <w:sz w:val="32"/>
          <w:szCs w:val="32"/>
          <w:highlight w:val="none"/>
        </w:rPr>
        <w:t xml:space="preserve">整体实现了项目预期的实施价值。</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5" w:name="_Toc6653"/>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bookmarkEnd w:id="35"/>
    </w:p>
    <w:p>
      <w:pPr>
        <w:pStyle w:val="Title"/>
        <w:widowControl w:val="0"/>
        <w:spacing w:before="0" w:after="0" w:line="560" w:lineRule="exact"/>
        <w:ind w:firstLine="600" w:firstLineChars="200"/>
        <w:jc w:val="both"/>
        <w:outlineLvl w:val="9"/>
        <w:rPr>
          <w:rFonts w:ascii="Times New Roman" w:eastAsia="仿宋_GB2312" w:hAnsi="Times New Roman" w:cs="Times New Roman" w:hint="default"/>
          <w:b w:val="0"/>
          <w:bCs w:val="0"/>
          <w:sz w:val="30"/>
          <w:szCs w:val="30"/>
          <w:highlight w:val="none"/>
          <w:lang w:eastAsia="zh-CN"/>
        </w:rPr>
      </w:pPr>
      <w:r>
        <w:rPr>
          <w:rFonts w:ascii="Times New Roman" w:eastAsia="仿宋_GB2312" w:hAnsi="Times New Roman" w:cs="Times New Roman" w:hint="default"/>
          <w:b w:val="0"/>
          <w:bCs w:val="0"/>
          <w:sz w:val="30"/>
          <w:szCs w:val="30"/>
        </w:rPr>
        <w:t xml:space="preserve">运用绩效评价组制定的评价指标体系以及财政部《项目支出绩效评价管理办法》（财预〔2020〕10号）文件的评分标准，通过数据采集、</w:t>
      </w:r>
      <w:r>
        <w:rPr>
          <w:rFonts w:ascii="Times New Roman" w:eastAsia="仿宋_GB2312" w:hAnsi="Times New Roman" w:cs="Times New Roman" w:hint="default"/>
          <w:b w:val="0"/>
          <w:bCs w:val="0"/>
          <w:sz w:val="30"/>
          <w:szCs w:val="30"/>
          <w:highlight w:val="none"/>
        </w:rPr>
        <w:t xml:space="preserve">问卷调查及访谈等方式，对本项目进行客观评价，最终评分结果：总得分为 </w:t>
      </w:r>
      <w:r>
        <w:rPr>
          <w:rFonts w:ascii="Times New Roman" w:eastAsia="仿宋_GB2312" w:hAnsi="Times New Roman" w:cs="Times New Roman" w:hint="eastAsia"/>
          <w:b w:val="0"/>
          <w:bCs w:val="0"/>
          <w:sz w:val="30"/>
          <w:szCs w:val="30"/>
          <w:highlight w:val="none"/>
          <w:lang w:val="en-US" w:eastAsia="zh-CN"/>
        </w:rPr>
        <w:t xml:space="preserve">100</w:t>
      </w:r>
      <w:r>
        <w:rPr>
          <w:rFonts w:ascii="Times New Roman" w:eastAsia="仿宋_GB2312" w:hAnsi="Times New Roman" w:cs="Times New Roman" w:hint="default"/>
          <w:b w:val="0"/>
          <w:bCs w:val="0"/>
          <w:sz w:val="30"/>
          <w:szCs w:val="30"/>
          <w:highlight w:val="none"/>
        </w:rPr>
        <w:t xml:space="preserve">分，属于“优”。其中，项目决策类指标权重为20分，得分为</w:t>
      </w:r>
      <w:r>
        <w:rPr>
          <w:rFonts w:ascii="Times New Roman" w:eastAsia="仿宋_GB2312" w:hAnsi="Times New Roman" w:cs="Times New Roman" w:hint="eastAsia"/>
          <w:b w:val="0"/>
          <w:bCs w:val="0"/>
          <w:sz w:val="30"/>
          <w:szCs w:val="30"/>
          <w:highlight w:val="none"/>
          <w:lang w:val="en-US" w:eastAsia="zh-CN"/>
        </w:rPr>
        <w:t xml:space="preserve">20</w:t>
      </w:r>
      <w:r>
        <w:rPr>
          <w:rFonts w:ascii="Times New Roman" w:eastAsia="仿宋_GB2312" w:hAnsi="Times New Roman" w:cs="Times New Roman" w:hint="default"/>
          <w:b w:val="0"/>
          <w:bCs w:val="0"/>
          <w:sz w:val="30"/>
          <w:szCs w:val="30"/>
          <w:highlight w:val="none"/>
        </w:rPr>
        <w:t xml:space="preserve">分，得分率为</w:t>
      </w:r>
      <w:r>
        <w:rPr>
          <w:rFonts w:ascii="Times New Roman" w:eastAsia="仿宋_GB2312" w:hAnsi="Times New Roman" w:cs="Times New Roman" w:hint="eastAsia"/>
          <w:b w:val="0"/>
          <w:bCs w:val="0"/>
          <w:sz w:val="30"/>
          <w:szCs w:val="30"/>
          <w:highlight w:val="none"/>
          <w:lang w:val="en-US" w:eastAsia="zh-CN"/>
        </w:rPr>
        <w:t xml:space="preserve">100</w:t>
      </w:r>
      <w:r>
        <w:rPr>
          <w:rFonts w:ascii="Times New Roman" w:eastAsia="仿宋_GB2312" w:hAnsi="Times New Roman" w:cs="Times New Roman" w:hint="default"/>
          <w:b w:val="0"/>
          <w:bCs w:val="0"/>
          <w:sz w:val="30"/>
          <w:szCs w:val="30"/>
          <w:highlight w:val="none"/>
        </w:rPr>
        <w:t xml:space="preserve">%。项目过程类指标权重为20分，得分为</w:t>
      </w:r>
      <w:r>
        <w:rPr>
          <w:rFonts w:ascii="Times New Roman" w:eastAsia="仿宋_GB2312" w:hAnsi="Times New Roman" w:cs="Times New Roman" w:hint="eastAsia"/>
          <w:b w:val="0"/>
          <w:bCs w:val="0"/>
          <w:sz w:val="30"/>
          <w:szCs w:val="30"/>
          <w:highlight w:val="none"/>
          <w:lang w:val="en-US" w:eastAsia="zh-CN"/>
        </w:rPr>
        <w:t xml:space="preserve">20</w:t>
      </w:r>
      <w:r>
        <w:rPr>
          <w:rFonts w:ascii="Times New Roman" w:eastAsia="仿宋_GB2312" w:hAnsi="Times New Roman" w:cs="Times New Roman" w:hint="default"/>
          <w:b w:val="0"/>
          <w:bCs w:val="0"/>
          <w:sz w:val="30"/>
          <w:szCs w:val="30"/>
          <w:highlight w:val="none"/>
        </w:rPr>
        <w:t xml:space="preserve">分，得分率为</w:t>
      </w:r>
      <w:r>
        <w:rPr>
          <w:rFonts w:ascii="Times New Roman" w:eastAsia="仿宋_GB2312" w:hAnsi="Times New Roman" w:cs="Times New Roman" w:hint="eastAsia"/>
          <w:b w:val="0"/>
          <w:bCs w:val="0"/>
          <w:sz w:val="30"/>
          <w:szCs w:val="30"/>
          <w:highlight w:val="none"/>
          <w:lang w:val="en-US" w:eastAsia="zh-CN"/>
        </w:rPr>
        <w:t xml:space="preserve">100</w:t>
      </w:r>
      <w:r>
        <w:rPr>
          <w:rFonts w:ascii="Times New Roman" w:eastAsia="仿宋_GB2312" w:hAnsi="Times New Roman" w:cs="Times New Roman" w:hint="default"/>
          <w:b w:val="0"/>
          <w:bCs w:val="0"/>
          <w:sz w:val="30"/>
          <w:szCs w:val="30"/>
          <w:highlight w:val="none"/>
        </w:rPr>
        <w:t xml:space="preserve">%。项目产出类指标权重为40分，得分为</w:t>
      </w:r>
      <w:r>
        <w:rPr>
          <w:rFonts w:ascii="Times New Roman" w:eastAsia="仿宋_GB2312" w:hAnsi="Times New Roman" w:cs="Times New Roman" w:hint="eastAsia"/>
          <w:b w:val="0"/>
          <w:bCs w:val="0"/>
          <w:sz w:val="30"/>
          <w:szCs w:val="30"/>
          <w:highlight w:val="none"/>
          <w:lang w:val="en-US" w:eastAsia="zh-CN"/>
        </w:rPr>
        <w:t xml:space="preserve">40</w:t>
      </w:r>
      <w:r>
        <w:rPr>
          <w:rFonts w:ascii="Times New Roman" w:eastAsia="仿宋_GB2312" w:hAnsi="Times New Roman" w:cs="Times New Roman" w:hint="default"/>
          <w:b w:val="0"/>
          <w:bCs w:val="0"/>
          <w:sz w:val="30"/>
          <w:szCs w:val="30"/>
          <w:highlight w:val="none"/>
        </w:rPr>
        <w:t xml:space="preserve">分，得分率为</w:t>
      </w:r>
      <w:r>
        <w:rPr>
          <w:rFonts w:ascii="Times New Roman" w:eastAsia="仿宋_GB2312" w:hAnsi="Times New Roman" w:cs="Times New Roman" w:hint="eastAsia"/>
          <w:b w:val="0"/>
          <w:bCs w:val="0"/>
          <w:sz w:val="30"/>
          <w:szCs w:val="30"/>
          <w:highlight w:val="none"/>
          <w:lang w:val="en-US" w:eastAsia="zh-CN"/>
        </w:rPr>
        <w:t xml:space="preserve">100</w:t>
      </w:r>
      <w:r>
        <w:rPr>
          <w:rFonts w:ascii="Times New Roman" w:eastAsia="仿宋_GB2312" w:hAnsi="Times New Roman" w:cs="Times New Roman" w:hint="default"/>
          <w:b w:val="0"/>
          <w:bCs w:val="0"/>
          <w:sz w:val="30"/>
          <w:szCs w:val="30"/>
          <w:highlight w:val="none"/>
        </w:rPr>
        <w:t xml:space="preserve">%。项目效益类指标权重为20分，得分为</w:t>
      </w:r>
      <w:r>
        <w:rPr>
          <w:rFonts w:ascii="Times New Roman" w:eastAsia="仿宋_GB2312" w:hAnsi="Times New Roman" w:cs="Times New Roman" w:hint="eastAsia"/>
          <w:b w:val="0"/>
          <w:bCs w:val="0"/>
          <w:sz w:val="30"/>
          <w:szCs w:val="30"/>
          <w:highlight w:val="none"/>
          <w:lang w:val="en-US" w:eastAsia="zh-CN"/>
        </w:rPr>
        <w:t xml:space="preserve">20</w:t>
      </w:r>
      <w:r>
        <w:rPr>
          <w:rFonts w:ascii="Times New Roman" w:eastAsia="仿宋_GB2312" w:hAnsi="Times New Roman" w:cs="Times New Roman" w:hint="default"/>
          <w:b w:val="0"/>
          <w:bCs w:val="0"/>
          <w:sz w:val="30"/>
          <w:szCs w:val="30"/>
          <w:highlight w:val="none"/>
        </w:rPr>
        <w:t xml:space="preserve">分，得分率为</w:t>
      </w:r>
      <w:r>
        <w:rPr>
          <w:rFonts w:ascii="Times New Roman" w:eastAsia="仿宋_GB2312" w:hAnsi="Times New Roman" w:cs="Times New Roman" w:hint="eastAsia"/>
          <w:b w:val="0"/>
          <w:bCs w:val="0"/>
          <w:sz w:val="30"/>
          <w:szCs w:val="30"/>
          <w:highlight w:val="none"/>
          <w:lang w:val="en-US" w:eastAsia="zh-CN"/>
        </w:rPr>
        <w:t xml:space="preserve">100</w:t>
      </w:r>
      <w:r>
        <w:rPr>
          <w:rFonts w:ascii="Times New Roman" w:eastAsia="仿宋_GB2312" w:hAnsi="Times New Roman" w:cs="Times New Roman" w:hint="default"/>
          <w:b w:val="0"/>
          <w:bCs w:val="0"/>
          <w:sz w:val="30"/>
          <w:szCs w:val="30"/>
          <w:highlight w:val="none"/>
        </w:rPr>
        <w:t xml:space="preserve">%。具体打分情况详见：附件1综合评分表</w:t>
      </w:r>
      <w:r>
        <w:rPr>
          <w:rFonts w:ascii="Times New Roman" w:eastAsia="仿宋_GB2312" w:hAnsi="Times New Roman" w:cs="Times New Roman" w:hint="default"/>
          <w:b w:val="0"/>
          <w:bCs w:val="0"/>
          <w:sz w:val="30"/>
          <w:szCs w:val="3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5CF74CE0">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r>
      <w:tr w14:paraId="0AF25F4D">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lang w:val="en-US" w:eastAsia="zh-CN" w:bidi="ar-SA"/>
              </w:rPr>
            </w:pPr>
            <w:r>
              <w:rPr>
                <w:rFonts w:ascii="Times New Roman" w:eastAsia="仿宋_GB2312" w:hAnsi="Times New Roman" w:cs="Times New Roman" w:hint="default"/>
                <w:color w:val="000000"/>
                <w:sz w:val="21"/>
                <w:szCs w:val="21"/>
                <w:lang w:val="en-US" w:eastAsia="zh-CN"/>
              </w:rPr>
              <w:t xml:space="preserve">20</w:t>
            </w:r>
          </w:p>
        </w:tc>
      </w:tr>
      <w:tr w14:paraId="1608B420">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lang w:val="en-US" w:eastAsia="zh-CN" w:bidi="ar-SA"/>
              </w:rPr>
            </w:pPr>
            <w:r>
              <w:rPr>
                <w:rFonts w:ascii="Times New Roman" w:eastAsia="仿宋_GB2312" w:hAnsi="Times New Roman" w:cs="Times New Roman" w:hint="default"/>
                <w:color w:val="000000"/>
                <w:sz w:val="21"/>
                <w:szCs w:val="21"/>
                <w:lang w:val="en-US" w:eastAsia="zh-CN"/>
              </w:rPr>
              <w:t xml:space="preserve">20</w:t>
            </w:r>
          </w:p>
        </w:tc>
      </w:tr>
      <w:tr w14:paraId="4DEA94C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lang w:val="en-US" w:eastAsia="zh-CN" w:bidi="ar-SA"/>
              </w:rPr>
            </w:pPr>
            <w:r>
              <w:rPr>
                <w:rFonts w:ascii="Times New Roman" w:eastAsia="仿宋_GB2312" w:hAnsi="Times New Roman" w:cs="Times New Roman" w:hint="default"/>
                <w:color w:val="000000"/>
                <w:sz w:val="21"/>
                <w:szCs w:val="21"/>
                <w:lang w:val="en-US" w:eastAsia="zh-CN"/>
              </w:rPr>
              <w:t xml:space="preserve">40</w:t>
            </w:r>
          </w:p>
        </w:tc>
      </w:tr>
      <w:tr w14:paraId="3AD5F779">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kern w:val="2"/>
                <w:sz w:val="21"/>
                <w:szCs w:val="21"/>
                <w:lang w:val="en-US" w:eastAsia="zh-CN" w:bidi="ar-SA"/>
              </w:rPr>
            </w:pPr>
            <w:r>
              <w:rPr>
                <w:rFonts w:ascii="Times New Roman" w:eastAsia="仿宋_GB2312" w:hAnsi="Times New Roman" w:cs="Times New Roman" w:hint="default"/>
                <w:color w:val="000000"/>
                <w:sz w:val="21"/>
                <w:szCs w:val="21"/>
                <w:lang w:val="en-US" w:eastAsia="zh-CN"/>
              </w:rPr>
              <w:t xml:space="preserve">20</w:t>
            </w:r>
          </w:p>
        </w:tc>
      </w:tr>
      <w:tr w14:paraId="4805BCB3">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kern w:val="2"/>
                <w:sz w:val="21"/>
                <w:szCs w:val="21"/>
                <w:lang w:val="en-US" w:eastAsia="zh-CN" w:bidi="ar-SA"/>
              </w:rPr>
            </w:pPr>
            <w:r>
              <w:rPr>
                <w:rFonts w:ascii="Times New Roman" w:eastAsia="仿宋_GB2312" w:hAnsi="Times New Roman" w:cs="Times New Roman" w:hint="default"/>
                <w:b/>
                <w:bCs/>
                <w:color w:val="000000"/>
                <w:sz w:val="21"/>
                <w:szCs w:val="21"/>
                <w:lang w:val="en-US" w:eastAsia="zh-CN"/>
              </w:rPr>
              <w:t xml:space="preserve">100</w:t>
            </w:r>
          </w:p>
        </w:tc>
      </w:tr>
    </w:tbl>
    <w:p>
      <w:pPr>
        <w:spacing w:line="560" w:lineRule="exact"/>
        <w:ind w:firstLine="640" w:firstLineChars="200"/>
        <w:outlineLvl w:val="0"/>
        <w:rPr>
          <w:rFonts w:ascii="Times New Roman" w:eastAsia="黑体" w:hAnsi="Times New Roman" w:cs="Times New Roman" w:hint="default"/>
          <w:sz w:val="32"/>
          <w:szCs w:val="32"/>
        </w:rPr>
      </w:pPr>
      <w:bookmarkStart w:id="36" w:name="_Toc1453"/>
      <w:r>
        <w:rPr>
          <w:rFonts w:ascii="Times New Roman" w:eastAsia="黑体" w:hAnsi="Times New Roman" w:cs="Times New Roman" w:hint="default"/>
          <w:sz w:val="32"/>
          <w:szCs w:val="32"/>
        </w:rPr>
        <w:t xml:space="preserve">四、绩效评价指标分析</w:t>
      </w:r>
      <w:bookmarkEnd w:id="36"/>
    </w:p>
    <w:p>
      <w:pPr>
        <w:pStyle w:val="Title"/>
        <w:spacing w:before="0" w:after="0" w:line="560" w:lineRule="exact"/>
        <w:ind w:firstLine="640" w:firstLineChars="200"/>
        <w:jc w:val="both"/>
        <w:outlineLvl w:val="1"/>
        <w:rPr>
          <w:rFonts w:ascii="Times New Roman" w:eastAsia="楷体_GB2312" w:hAnsi="Times New Roman" w:cs="Times New Roman" w:hint="default"/>
        </w:rPr>
      </w:pPr>
      <w:bookmarkStart w:id="37" w:name="_Toc32318"/>
      <w:r>
        <w:rPr>
          <w:rFonts w:ascii="Times New Roman" w:eastAsia="楷体_GB2312" w:hAnsi="Times New Roman" w:cs="Times New Roman" w:hint="default"/>
        </w:rPr>
        <w:t xml:space="preserve">（一）项目决策情况</w:t>
      </w:r>
      <w:bookmarkEnd w:id="3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项目决策类指标包括项目立项、绩效目标和资金投入三方面的内容，由6个三级指标构成，权重分值为20分，实际得分20分，得分率为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lang w:val="en-US" w:eastAsia="zh-CN"/>
        </w:rPr>
      </w:pPr>
      <w:bookmarkStart w:id="38" w:name="_Toc24345"/>
      <w:r>
        <w:rPr>
          <w:rFonts w:ascii="Times New Roman" w:eastAsia="仿宋_GB2312" w:hAnsi="Times New Roman" w:cs="Times New Roman" w:hint="default"/>
          <w:b/>
          <w:bCs/>
          <w:sz w:val="32"/>
          <w:szCs w:val="32"/>
          <w:lang w:val="en-US" w:eastAsia="zh-CN"/>
        </w:rPr>
        <w:t xml:space="preserve">1.项目立项</w:t>
      </w:r>
      <w:bookmarkEnd w:id="38"/>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39" w:name="_Toc9358"/>
      <w:r>
        <w:rPr>
          <w:rFonts w:ascii="Times New Roman" w:eastAsia="仿宋_GB2312" w:hAnsi="Times New Roman" w:cs="Times New Roman" w:hint="default"/>
          <w:sz w:val="32"/>
          <w:szCs w:val="32"/>
          <w:lang w:val="en-US" w:eastAsia="zh-CN"/>
        </w:rPr>
        <w:t xml:space="preserve">（1）立项依据充分性</w:t>
      </w:r>
      <w:bookmarkEnd w:id="39"/>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40" w:name="_Toc1295"/>
      <w:r>
        <w:rPr>
          <w:rFonts w:ascii="Times New Roman" w:eastAsia="仿宋_GB2312" w:hAnsi="Times New Roman" w:cs="Times New Roman" w:hint="default"/>
          <w:sz w:val="32"/>
          <w:szCs w:val="32"/>
          <w:lang w:val="en-US" w:eastAsia="zh-CN"/>
        </w:rPr>
        <w:t xml:space="preserve">（2）立项程序规范性</w:t>
      </w:r>
      <w:bookmarkEnd w:id="40"/>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lang w:val="en-US" w:eastAsia="zh-CN"/>
        </w:rPr>
      </w:pPr>
      <w:bookmarkStart w:id="41" w:name="_Toc22045"/>
      <w:r>
        <w:rPr>
          <w:rFonts w:ascii="Times New Roman" w:eastAsia="仿宋_GB2312" w:hAnsi="Times New Roman" w:cs="Times New Roman" w:hint="default"/>
          <w:b/>
          <w:bCs/>
          <w:sz w:val="32"/>
          <w:szCs w:val="32"/>
          <w:lang w:val="en-US" w:eastAsia="zh-CN"/>
        </w:rPr>
        <w:t xml:space="preserve">2.绩效目标</w:t>
      </w:r>
      <w:bookmarkEnd w:id="41"/>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42" w:name="_Toc15281"/>
      <w:r>
        <w:rPr>
          <w:rFonts w:ascii="Times New Roman" w:eastAsia="仿宋_GB2312" w:hAnsi="Times New Roman" w:cs="Times New Roman" w:hint="default"/>
          <w:sz w:val="32"/>
          <w:szCs w:val="32"/>
          <w:lang w:val="en-US" w:eastAsia="zh-CN"/>
        </w:rPr>
        <w:t xml:space="preserve">（1）绩效目标合理性</w:t>
      </w:r>
      <w:bookmarkEnd w:id="42"/>
      <w:r>
        <w:rPr>
          <w:rFonts w:eastAsia="仿宋_GB2312" w:cs="Times New Roman" w:hint="eastAsia"/>
          <w:sz w:val="32"/>
          <w:szCs w:val="32"/>
          <w:lang w:val="en-US" w:eastAsia="zh-CN"/>
        </w:rPr>
        <w:t xml:space="preserve"> </w:t>
      </w:r>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本项目</w:t>
      </w:r>
      <w:r>
        <w:rPr>
          <w:rFonts w:eastAsia="仿宋_GB2312" w:cs="Times New Roman" w:hint="eastAsia"/>
          <w:sz w:val="32"/>
          <w:szCs w:val="32"/>
          <w:lang w:val="en-US" w:eastAsia="zh-CN"/>
        </w:rPr>
        <w:t xml:space="preserve">结合</w:t>
      </w:r>
      <w:r>
        <w:rPr>
          <w:rFonts w:ascii="Times New Roman" w:eastAsia="仿宋_GB2312" w:hAnsi="Times New Roman" w:cs="Times New Roman" w:hint="default"/>
          <w:sz w:val="32"/>
          <w:szCs w:val="32"/>
          <w:lang w:val="en-US"/>
        </w:rPr>
        <w:t xml:space="preserve">民生服务类</w:t>
      </w:r>
      <w:r>
        <w:rPr>
          <w:rFonts w:eastAsia="仿宋_GB2312" w:cs="Times New Roman" w:hint="eastAsia"/>
          <w:sz w:val="32"/>
          <w:szCs w:val="32"/>
          <w:lang w:val="en-US" w:eastAsia="zh-CN"/>
        </w:rPr>
        <w:t xml:space="preserve">实际</w:t>
      </w:r>
      <w:r>
        <w:rPr>
          <w:rFonts w:ascii="Times New Roman" w:eastAsia="仿宋_GB2312" w:hAnsi="Times New Roman" w:cs="Times New Roman" w:hint="default"/>
          <w:sz w:val="32"/>
          <w:szCs w:val="32"/>
          <w:lang w:val="en-US"/>
        </w:rPr>
        <w:t xml:space="preserve">，</w:t>
      </w:r>
      <w:r>
        <w:rPr>
          <w:rFonts w:eastAsia="仿宋_GB2312" w:cs="Times New Roman" w:hint="eastAsia"/>
          <w:sz w:val="32"/>
          <w:szCs w:val="32"/>
          <w:lang w:val="en-US" w:eastAsia="zh-CN"/>
        </w:rPr>
        <w:t xml:space="preserve">围绕“紧密围绕喀什噶尔河水利管理中心核心职能</w:t>
      </w:r>
      <w:r>
        <w:rPr>
          <w:rFonts w:ascii="Times New Roman" w:eastAsia="仿宋_GB2312" w:hAnsi="Times New Roman" w:cs="Times New Roman" w:hint="default"/>
          <w:sz w:val="32"/>
          <w:szCs w:val="32"/>
          <w:lang w:val="en-US"/>
        </w:rPr>
        <w:t xml:space="preserve">，</w:t>
      </w:r>
      <w:r>
        <w:rPr>
          <w:rFonts w:eastAsia="仿宋_GB2312" w:cs="Times New Roman" w:hint="eastAsia"/>
          <w:sz w:val="32"/>
          <w:szCs w:val="32"/>
          <w:lang w:val="en-US" w:eastAsia="zh-CN"/>
        </w:rPr>
        <w:t xml:space="preserve">资金</w:t>
      </w:r>
      <w:r>
        <w:rPr>
          <w:rFonts w:ascii="Times New Roman" w:eastAsia="仿宋_GB2312" w:hAnsi="Times New Roman" w:cs="Times New Roman" w:hint="default"/>
          <w:sz w:val="32"/>
          <w:szCs w:val="32"/>
          <w:lang w:val="en-US"/>
        </w:rPr>
        <w:t xml:space="preserve">主要用于单位2025年人员工资正常发放及日常工作运转，</w:t>
      </w:r>
      <w:r>
        <w:rPr>
          <w:rFonts w:eastAsia="仿宋_GB2312" w:cs="Times New Roman" w:hint="eastAsia"/>
          <w:sz w:val="32"/>
          <w:szCs w:val="32"/>
          <w:lang w:val="en-US" w:eastAsia="zh-CN"/>
        </w:rPr>
        <w:t xml:space="preserve">延长工程使用寿命，消除工程运行隐患，确保2025年流域防洪、度汛、灌溉工作顺利完成，保障粮食安全，促进经济发展”设定绩效目标，具体明确了“</w:t>
      </w:r>
      <w:r>
        <w:rPr>
          <w:rFonts w:ascii="Times New Roman" w:eastAsia="仿宋_GB2312" w:hAnsi="Times New Roman" w:cs="Times New Roman" w:hint="eastAsia"/>
          <w:b w:val="0"/>
          <w:bCs w:val="0"/>
          <w:kern w:val="28"/>
          <w:sz w:val="32"/>
          <w:szCs w:val="32"/>
          <w:highlight w:val="none"/>
          <w:lang w:val="en-US" w:eastAsia="zh-CN" w:bidi="ar-SA"/>
        </w:rPr>
        <w:t xml:space="preserve">发放2025年人员工资</w:t>
      </w:r>
      <w:r>
        <w:rPr>
          <w:rFonts w:eastAsia="仿宋_GB2312" w:cs="Times New Roman" w:hint="eastAsia"/>
          <w:b w:val="0"/>
          <w:bCs w:val="0"/>
          <w:kern w:val="28"/>
          <w:sz w:val="32"/>
          <w:szCs w:val="32"/>
          <w:highlight w:val="none"/>
          <w:lang w:val="en-US" w:eastAsia="zh-CN" w:bidi="ar-SA"/>
        </w:rPr>
        <w:t xml:space="preserve">12次</w:t>
      </w:r>
      <w:r>
        <w:rPr>
          <w:rFonts w:ascii="Times New Roman" w:eastAsia="仿宋_GB2312" w:hAnsi="Times New Roman" w:cs="Times New Roman" w:hint="eastAsia"/>
          <w:b w:val="0"/>
          <w:bCs w:val="0"/>
          <w:kern w:val="28"/>
          <w:sz w:val="32"/>
          <w:szCs w:val="32"/>
          <w:highlight w:val="none"/>
          <w:lang w:val="en-US" w:eastAsia="zh-CN" w:bidi="ar-SA"/>
        </w:rPr>
        <w:t xml:space="preserve">，保障了单位11辆车正常运行，</w:t>
      </w:r>
      <w:r>
        <w:rPr>
          <w:rFonts w:eastAsia="仿宋_GB2312" w:cs="Times New Roman" w:hint="eastAsia"/>
          <w:b w:val="0"/>
          <w:bCs w:val="0"/>
          <w:kern w:val="28"/>
          <w:sz w:val="32"/>
          <w:szCs w:val="32"/>
          <w:highlight w:val="none"/>
          <w:lang w:val="en-US" w:eastAsia="zh-CN" w:bidi="ar-SA"/>
        </w:rPr>
        <w:t xml:space="preserve">防洪物资采购2批，水毁修复覆盖率达到95%，</w:t>
      </w:r>
      <w:r>
        <w:rPr>
          <w:rFonts w:ascii="Times New Roman" w:eastAsia="仿宋_GB2312" w:hAnsi="Times New Roman" w:cs="Times New Roman" w:hint="eastAsia"/>
          <w:b w:val="0"/>
          <w:bCs w:val="0"/>
          <w:kern w:val="28"/>
          <w:sz w:val="32"/>
          <w:szCs w:val="32"/>
          <w:highlight w:val="none"/>
          <w:lang w:val="en-US" w:eastAsia="zh-CN" w:bidi="ar-SA"/>
        </w:rPr>
        <w:t xml:space="preserve">确保了2025年流域防洪、度汛、灌溉工作顺利完成，保障了粮食安全，促进经济发展。”的核心内容</w:t>
      </w:r>
      <w:r>
        <w:rPr>
          <w:rFonts w:eastAsia="仿宋_GB2312" w:cs="Times New Roman" w:hint="eastAsia"/>
          <w:b w:val="0"/>
          <w:bCs w:val="0"/>
          <w:kern w:val="28"/>
          <w:sz w:val="32"/>
          <w:szCs w:val="32"/>
          <w:highlight w:val="none"/>
          <w:lang w:val="en-US" w:eastAsia="zh-CN" w:bidi="ar-SA"/>
        </w:rPr>
        <w:t xml:space="preserve">。</w:t>
      </w:r>
      <w:r>
        <w:rPr>
          <w:rFonts w:ascii="Times New Roman" w:eastAsia="仿宋_GB2312" w:hAnsi="Times New Roman" w:cs="Times New Roman" w:hint="default"/>
          <w:b w:val="0"/>
          <w:bCs w:val="0"/>
          <w:kern w:val="28"/>
          <w:sz w:val="32"/>
          <w:szCs w:val="32"/>
          <w:highlight w:val="none"/>
          <w:lang w:val="en-US" w:bidi="ar-SA"/>
        </w:rPr>
        <w:t xml:space="preserve">目标</w:t>
      </w:r>
      <w:r>
        <w:rPr>
          <w:rFonts w:ascii="Times New Roman" w:eastAsia="仿宋_GB2312" w:hAnsi="Times New Roman" w:cs="Times New Roman" w:hint="default"/>
          <w:sz w:val="32"/>
          <w:szCs w:val="32"/>
          <w:lang w:val="en-US"/>
        </w:rPr>
        <w:t xml:space="preserve">设定依据充分，既参考了</w:t>
      </w:r>
      <w:r>
        <w:rPr>
          <w:rFonts w:ascii="Times New Roman" w:eastAsia="仿宋_GB2312" w:hAnsi="Times New Roman" w:cs="Times New Roman" w:hint="default"/>
          <w:b w:val="0"/>
          <w:bCs w:val="0"/>
          <w:kern w:val="28"/>
          <w:sz w:val="32"/>
          <w:szCs w:val="32"/>
          <w:highlight w:val="none"/>
          <w:lang w:val="en-US" w:eastAsia="zh-CN" w:bidi="ar-SA"/>
        </w:rPr>
        <w:t xml:space="preserve">2024年6月，按照中共新疆维吾尔自治区委员会机构编制委员会文件《自治区党委编委关于印发〈新疆维吾尔自治区塔里木河流域管理局及所属事业单位改革方案〉的通知》（新党编委〔2024〕106号）文件，</w:t>
      </w:r>
      <w:r>
        <w:rPr>
          <w:rFonts w:ascii="Times New Roman" w:eastAsia="仿宋_GB2312" w:hAnsi="Times New Roman" w:cs="Times New Roman" w:hint="default"/>
          <w:sz w:val="32"/>
          <w:szCs w:val="32"/>
          <w:lang w:val="en-US"/>
        </w:rPr>
        <w:t xml:space="preserve">又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w:t>
      </w:r>
      <w:r>
        <w:rPr>
          <w:rFonts w:ascii="Times New Roman" w:eastAsia="仿宋_GB2312" w:hAnsi="Times New Roman" w:cs="Times New Roman" w:hint="default"/>
          <w:sz w:val="32"/>
          <w:szCs w:val="32"/>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43" w:name="_Toc12145"/>
      <w:r>
        <w:rPr>
          <w:rFonts w:ascii="Times New Roman" w:eastAsia="仿宋_GB2312" w:hAnsi="Times New Roman" w:cs="Times New Roman" w:hint="default"/>
          <w:sz w:val="32"/>
          <w:szCs w:val="32"/>
          <w:lang w:val="en-US" w:eastAsia="zh-CN"/>
        </w:rPr>
        <w:t xml:space="preserve">（2）绩效指标明确性</w:t>
      </w:r>
      <w:bookmarkEnd w:id="43"/>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项目将总体绩效目标细化分解为【具体指标，如：数量指标“</w:t>
      </w:r>
      <w:r>
        <w:rPr>
          <w:rFonts w:eastAsia="仿宋_GB2312" w:cs="Times New Roman" w:hint="eastAsia"/>
          <w:sz w:val="32"/>
          <w:szCs w:val="32"/>
          <w:lang w:val="en-US" w:eastAsia="zh-CN"/>
        </w:rPr>
        <w:t xml:space="preserve">人员工资发放次数为12次</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工资发放人数为150人</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公务保障用车数量为11辆车</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防洪物资采购=2批</w:t>
      </w:r>
      <w:r>
        <w:rPr>
          <w:rFonts w:ascii="Times New Roman" w:eastAsia="仿宋_GB2312" w:hAnsi="Times New Roman" w:cs="Times New Roman" w:hint="default"/>
          <w:sz w:val="32"/>
          <w:szCs w:val="32"/>
          <w:lang w:val="en-US" w:eastAsia="zh-CN"/>
        </w:rPr>
        <w:t xml:space="preserve">”、质量指标“</w:t>
      </w:r>
      <w:r>
        <w:rPr>
          <w:rFonts w:ascii="Times New Roman" w:eastAsia="仿宋_GB2312" w:hAnsi="Times New Roman" w:cs="Times New Roman" w:hint="eastAsia"/>
          <w:sz w:val="32"/>
          <w:szCs w:val="32"/>
          <w:lang w:val="en-US" w:eastAsia="zh-CN"/>
        </w:rPr>
        <w:t xml:space="preserve">水毁修复覆盖率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发放准确率</w:t>
      </w:r>
      <w:r>
        <w:rPr>
          <w:rFonts w:eastAsia="仿宋_GB2312"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防洪物资采购质量验收合格率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时效指标“工资发放及时率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，防洪物资采购及时率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项目完工及时率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效益指标“</w:t>
      </w:r>
      <w:r>
        <w:rPr>
          <w:rFonts w:ascii="Times New Roman" w:eastAsia="仿宋_GB2312" w:hAnsi="Times New Roman" w:cs="Times New Roman" w:hint="eastAsia"/>
          <w:sz w:val="32"/>
          <w:szCs w:val="32"/>
          <w:lang w:val="en-US" w:eastAsia="zh-CN"/>
        </w:rPr>
        <w:t xml:space="preserve">防洪预警发布率</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”】等可量化、可衡量的三级指标，每个指标均明确了具体指标值（如：“</w:t>
      </w:r>
      <w:r>
        <w:rPr>
          <w:rFonts w:ascii="Times New Roman" w:eastAsia="仿宋_GB2312" w:hAnsi="Times New Roman" w:cs="Times New Roman" w:hint="eastAsia"/>
          <w:sz w:val="32"/>
          <w:szCs w:val="32"/>
          <w:lang w:val="en-US" w:eastAsia="zh-CN"/>
        </w:rPr>
        <w:t xml:space="preserve">发放准确率</w:t>
      </w:r>
      <w:r>
        <w:rPr>
          <w:rFonts w:ascii="Times New Roman" w:eastAsia="仿宋_GB2312" w:hAnsi="Times New Roman" w:cs="Times New Roman" w:hint="default"/>
          <w:sz w:val="32"/>
          <w:szCs w:val="32"/>
          <w:lang w:val="en-US" w:eastAsia="zh-CN"/>
        </w:rPr>
        <w:t xml:space="preserve">≥9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防洪物资采</w:t>
      </w:r>
      <w:r>
        <w:rPr>
          <w:rFonts w:eastAsia="仿宋_GB2312" w:cs="Times New Roman" w:hint="eastAsia"/>
          <w:sz w:val="32"/>
          <w:szCs w:val="32"/>
          <w:lang w:val="en-US" w:eastAsia="zh-CN"/>
        </w:rPr>
        <w:t xml:space="preserve">购质量验收合格率</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95%</w:t>
      </w:r>
      <w:r>
        <w:rPr>
          <w:rFonts w:ascii="Times New Roman" w:eastAsia="仿宋_GB2312" w:hAnsi="Times New Roman" w:cs="Times New Roman" w:hint="default"/>
          <w:sz w:val="32"/>
          <w:szCs w:val="32"/>
          <w:lang w:val="en-US" w:eastAsia="zh-CN"/>
        </w:rPr>
        <w:t xml:space="preserve">”），且指标值与项目目标任务数一一对应（如：“</w:t>
      </w:r>
      <w:r>
        <w:rPr>
          <w:rFonts w:eastAsia="仿宋_GB2312" w:cs="Times New Roman" w:hint="eastAsia"/>
          <w:sz w:val="32"/>
          <w:szCs w:val="32"/>
          <w:lang w:val="en-US" w:eastAsia="zh-CN"/>
        </w:rPr>
        <w:t xml:space="preserve">正常发放人员工资12次</w:t>
      </w:r>
      <w:r>
        <w:rPr>
          <w:rFonts w:ascii="Times New Roman" w:eastAsia="仿宋_GB2312" w:hAnsi="Times New Roman" w:cs="Times New Roman" w:hint="default"/>
          <w:sz w:val="32"/>
          <w:szCs w:val="32"/>
          <w:lang w:val="en-US" w:eastAsia="zh-CN"/>
        </w:rPr>
        <w:t xml:space="preserve">”对应数量指标“</w:t>
      </w:r>
      <w:r>
        <w:rPr>
          <w:rFonts w:eastAsia="仿宋_GB2312" w:cs="Times New Roman" w:hint="eastAsia"/>
          <w:sz w:val="32"/>
          <w:szCs w:val="32"/>
          <w:lang w:val="en-US" w:eastAsia="zh-CN"/>
        </w:rPr>
        <w:t xml:space="preserve">人员工资发放次数为12次</w:t>
      </w:r>
      <w:r>
        <w:rPr>
          <w:rFonts w:ascii="Times New Roman" w:eastAsia="仿宋_GB2312" w:hAnsi="Times New Roman" w:cs="Times New Roman" w:hint="default"/>
          <w:sz w:val="32"/>
          <w:szCs w:val="32"/>
          <w:lang w:val="en-US" w:eastAsia="zh-CN"/>
        </w:rPr>
        <w:t xml:space="preserve">”）。指标设定清晰无歧义，既涵盖了产出</w:t>
      </w:r>
      <w:r>
        <w:rPr>
          <w:rFonts w:eastAsia="仿宋_GB2312" w:cs="Times New Roman" w:hint="eastAsia"/>
          <w:sz w:val="32"/>
          <w:szCs w:val="32"/>
          <w:lang w:val="en-US" w:eastAsia="zh-CN"/>
        </w:rPr>
        <w:t xml:space="preserve">指标</w:t>
      </w:r>
      <w:r>
        <w:rPr>
          <w:rFonts w:ascii="Times New Roman" w:eastAsia="仿宋_GB2312" w:hAnsi="Times New Roman" w:cs="Times New Roman" w:hint="default"/>
          <w:sz w:val="32"/>
          <w:szCs w:val="32"/>
          <w:lang w:val="en-US" w:eastAsia="zh-CN"/>
        </w:rPr>
        <w:t xml:space="preserve">（如：</w:t>
      </w:r>
      <w:r>
        <w:rPr>
          <w:rFonts w:eastAsia="仿宋_GB2312" w:cs="Times New Roman" w:hint="eastAsia"/>
          <w:sz w:val="32"/>
          <w:szCs w:val="32"/>
          <w:lang w:val="en-US" w:eastAsia="zh-CN"/>
        </w:rPr>
        <w:t xml:space="preserve">防洪物资采购次数、公务用车保障数量</w:t>
      </w:r>
      <w:r>
        <w:rPr>
          <w:rFonts w:ascii="Times New Roman" w:eastAsia="仿宋_GB2312" w:hAnsi="Times New Roman" w:cs="Times New Roman" w:hint="default"/>
          <w:sz w:val="32"/>
          <w:szCs w:val="32"/>
          <w:lang w:val="en-US" w:eastAsia="zh-CN"/>
        </w:rPr>
        <w:t xml:space="preserve">），也覆盖了</w:t>
      </w:r>
      <w:r>
        <w:rPr>
          <w:rFonts w:eastAsia="仿宋_GB2312" w:cs="Times New Roman" w:hint="eastAsia"/>
          <w:sz w:val="32"/>
          <w:szCs w:val="32"/>
          <w:lang w:val="en-US" w:eastAsia="zh-CN"/>
        </w:rPr>
        <w:t xml:space="preserve">效益指标</w:t>
      </w:r>
      <w:r>
        <w:rPr>
          <w:rFonts w:ascii="Times New Roman" w:eastAsia="仿宋_GB2312" w:hAnsi="Times New Roman" w:cs="Times New Roman" w:hint="default"/>
          <w:sz w:val="32"/>
          <w:szCs w:val="32"/>
          <w:lang w:val="en-US" w:eastAsia="zh-CN"/>
        </w:rPr>
        <w:t xml:space="preserve">（如：</w:t>
      </w:r>
      <w:r>
        <w:rPr>
          <w:rFonts w:eastAsia="仿宋_GB2312" w:cs="Times New Roman" w:hint="eastAsia"/>
          <w:sz w:val="32"/>
          <w:szCs w:val="32"/>
          <w:lang w:val="en-US" w:eastAsia="zh-CN"/>
        </w:rPr>
        <w:t xml:space="preserve">防洪预警发布率</w:t>
      </w:r>
      <w:r>
        <w:rPr>
          <w:rFonts w:ascii="Times New Roman" w:eastAsia="仿宋_GB2312" w:hAnsi="Times New Roman" w:cs="Times New Roman" w:hint="default"/>
          <w:sz w:val="32"/>
          <w:szCs w:val="32"/>
          <w:lang w:val="en-US" w:eastAsia="zh-CN"/>
        </w:rPr>
        <w:t xml:space="preserve">），满足评分标准中“指标细化分解、可衡量、与任务数对应”的要求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lang w:val="en-US" w:eastAsia="zh-CN"/>
        </w:rPr>
      </w:pPr>
      <w:bookmarkStart w:id="44" w:name="_Toc6828"/>
      <w:r>
        <w:rPr>
          <w:rFonts w:ascii="Times New Roman" w:eastAsia="仿宋_GB2312" w:hAnsi="Times New Roman" w:cs="Times New Roman" w:hint="default"/>
          <w:b/>
          <w:bCs/>
          <w:sz w:val="32"/>
          <w:szCs w:val="32"/>
          <w:lang w:val="en-US" w:eastAsia="zh-CN"/>
        </w:rPr>
        <w:t xml:space="preserve">3.资金投入</w:t>
      </w:r>
      <w:bookmarkEnd w:id="44"/>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45" w:name="_Toc10680"/>
      <w:r>
        <w:rPr>
          <w:rFonts w:ascii="Times New Roman" w:eastAsia="仿宋_GB2312" w:hAnsi="Times New Roman" w:cs="Times New Roman" w:hint="default"/>
          <w:sz w:val="32"/>
          <w:szCs w:val="32"/>
          <w:lang w:val="en-US" w:eastAsia="zh-CN"/>
        </w:rPr>
        <w:t xml:space="preserve">（1）预算编制科学性</w:t>
      </w:r>
      <w:bookmarkEnd w:id="45"/>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ascii="Times New Roman" w:eastAsia="仿宋_GB2312" w:hAnsi="Times New Roman" w:cs="Times New Roman" w:hint="default"/>
          <w:kern w:val="2"/>
          <w:sz w:val="32"/>
          <w:szCs w:val="32"/>
          <w:highlight w:val="none"/>
          <w:lang w:val="en-US" w:eastAsia="zh-CN" w:bidi="ar-SA"/>
        </w:rPr>
        <w:t xml:space="preserve">2701.15</w:t>
      </w:r>
      <w:r>
        <w:rPr>
          <w:rFonts w:ascii="Times New Roman" w:eastAsia="仿宋_GB2312" w:hAnsi="Times New Roman" w:cs="Times New Roman" w:hint="default"/>
          <w:sz w:val="32"/>
          <w:szCs w:val="32"/>
          <w:highlight w:val="none"/>
          <w:lang w:eastAsia="zh-CN"/>
        </w:rPr>
        <w:t xml:space="preserve">万元。预算编制过程经过业务科室、财务部门双重审核，无漏项、超项情况，预算内容与项目“</w:t>
      </w:r>
      <w:r>
        <w:rPr>
          <w:rFonts w:eastAsia="仿宋_GB2312" w:cs="Times New Roman" w:hint="eastAsia"/>
          <w:sz w:val="32"/>
          <w:szCs w:val="32"/>
          <w:highlight w:val="none"/>
          <w:lang w:eastAsia="zh-CN"/>
        </w:rPr>
        <w:t xml:space="preserve">保障单位人员工资及单位正常运转等</w:t>
      </w:r>
      <w:r>
        <w:rPr>
          <w:rFonts w:ascii="Times New Roman" w:eastAsia="仿宋_GB2312" w:hAnsi="Times New Roman" w:cs="Times New Roman" w:hint="default"/>
          <w:sz w:val="32"/>
          <w:szCs w:val="32"/>
          <w:highlight w:val="none"/>
          <w:lang w:eastAsia="zh-CN"/>
        </w:rPr>
        <w:t xml:space="preserve">核心任务”完全匹配，资金额度与各阶段工作任务量精准适配，符合评分标准中“经过科学论证、内容与项目匹配、额度依据充分、与工作任务匹配”的全部评价要点</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6" w:name="_Toc24011"/>
      <w:r>
        <w:rPr>
          <w:rFonts w:ascii="Times New Roman" w:eastAsia="仿宋_GB2312" w:hAnsi="Times New Roman" w:cs="Times New Roman" w:hint="default"/>
          <w:sz w:val="32"/>
          <w:szCs w:val="32"/>
          <w:highlight w:val="none"/>
          <w:lang w:val="en-US" w:eastAsia="zh-CN"/>
        </w:rPr>
        <w:t xml:space="preserve">（2）资金分配合理性</w:t>
      </w:r>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Title"/>
        <w:numPr>
          <w:ilvl w:val="0"/>
          <w:numId w:val="3"/>
        </w:numPr>
        <w:spacing w:before="0" w:after="0" w:line="560" w:lineRule="exact"/>
        <w:ind w:firstLine="640" w:firstLineChars="200"/>
        <w:jc w:val="both"/>
        <w:outlineLvl w:val="1"/>
        <w:rPr>
          <w:rFonts w:ascii="Times New Roman" w:eastAsia="楷体" w:hAnsi="Times New Roman" w:cs="Times New Roman" w:hint="default"/>
        </w:rPr>
      </w:pPr>
      <w:bookmarkStart w:id="47" w:name="_Toc25505"/>
      <w:r>
        <w:rPr>
          <w:rFonts w:ascii="Times New Roman" w:eastAsia="楷体" w:hAnsi="Times New Roman" w:cs="Times New Roman" w:hint="default"/>
        </w:rPr>
        <w:t xml:space="preserve">项目过程情况</w:t>
      </w:r>
      <w:bookmarkEnd w:id="4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w:t>
      </w:r>
      <w:r>
        <w:rPr>
          <w:rFonts w:ascii="Times New Roman" w:eastAsia="仿宋_GB2312" w:hAnsi="Times New Roman" w:cs="Times New Roman" w:hint="default"/>
          <w:sz w:val="32"/>
          <w:szCs w:val="32"/>
          <w:highlight w:val="none"/>
          <w:lang w:val="en-US" w:eastAsia="zh-CN"/>
        </w:rPr>
        <w:t xml:space="preserve">实际得</w:t>
      </w:r>
      <w:r>
        <w:rPr>
          <w:rFonts w:ascii="Times New Roman" w:eastAsia="仿宋_GB2312" w:hAnsi="Times New Roman" w:cs="Times New Roman" w:hint="default"/>
          <w:sz w:val="32"/>
          <w:szCs w:val="32"/>
          <w:lang w:val="en-US" w:eastAsia="zh-CN"/>
        </w:rPr>
        <w:t xml:space="preserve">分</w:t>
      </w:r>
      <w:r>
        <w:rPr>
          <w:rFonts w:ascii="Times New Roman" w:eastAsia="仿宋_GB2312" w:hAnsi="Times New Roman"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w:t>
      </w:r>
      <w:r>
        <w:rPr>
          <w:rFonts w:ascii="Times New Roman" w:eastAsia="仿宋_GB2312" w:hAnsi="Times New Roman" w:cs="Times New Roman" w:hint="default"/>
          <w:sz w:val="32"/>
          <w:szCs w:val="32"/>
          <w:highlight w:val="none"/>
          <w:lang w:val="en-US" w:eastAsia="zh-CN"/>
        </w:rPr>
        <w:t xml:space="preserve">分率</w:t>
      </w:r>
      <w:r>
        <w:rPr>
          <w:rFonts w:ascii="Times New Roman" w:eastAsia="仿宋_GB2312" w:hAnsi="Times New Roman" w:cs="Times New Roman" w:hint="default"/>
          <w:sz w:val="32"/>
          <w:szCs w:val="32"/>
          <w:lang w:val="en-US" w:eastAsia="zh-CN"/>
        </w:rPr>
        <w:t xml:space="preserve">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lang w:val="en-US" w:eastAsia="zh-CN"/>
        </w:rPr>
      </w:pPr>
      <w:bookmarkStart w:id="48" w:name="_Toc23265"/>
      <w:r>
        <w:rPr>
          <w:rFonts w:ascii="Times New Roman" w:eastAsia="仿宋_GB2312" w:hAnsi="Times New Roman" w:cs="Times New Roman" w:hint="default"/>
          <w:b/>
          <w:bCs/>
          <w:sz w:val="32"/>
          <w:szCs w:val="32"/>
          <w:lang w:val="en-US" w:eastAsia="zh-CN"/>
        </w:rPr>
        <w:t xml:space="preserve">1.资金管理</w:t>
      </w:r>
      <w:bookmarkEnd w:id="48"/>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49" w:name="_Toc19976"/>
      <w:r>
        <w:rPr>
          <w:rFonts w:ascii="Times New Roman" w:eastAsia="仿宋_GB2312" w:hAnsi="Times New Roman" w:cs="Times New Roman" w:hint="default"/>
          <w:sz w:val="32"/>
          <w:szCs w:val="32"/>
          <w:lang w:val="en-US" w:eastAsia="zh-CN"/>
        </w:rPr>
        <w:t xml:space="preserve">（1）资金到位率</w:t>
      </w:r>
      <w:bookmarkEnd w:id="49"/>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本</w:t>
      </w:r>
      <w:r>
        <w:rPr>
          <w:rFonts w:ascii="Times New Roman" w:eastAsia="仿宋_GB2312" w:hAnsi="Times New Roman" w:cs="Times New Roman" w:hint="default"/>
          <w:sz w:val="32"/>
          <w:szCs w:val="32"/>
          <w:highlight w:val="none"/>
          <w:lang w:val="en-US" w:eastAsia="zh-CN"/>
        </w:rPr>
        <w:t xml:space="preserve">项目总投资</w:t>
      </w:r>
      <w:r>
        <w:rPr>
          <w:rFonts w:ascii="Times New Roman" w:eastAsia="仿宋_GB2312" w:hAnsi="Times New Roman" w:cs="Times New Roman" w:hint="eastAsia"/>
          <w:sz w:val="32"/>
          <w:szCs w:val="32"/>
          <w:highlight w:val="none"/>
          <w:lang w:val="en-US" w:eastAsia="zh-CN"/>
        </w:rPr>
        <w:t xml:space="preserve">2701.15</w:t>
      </w:r>
      <w:r>
        <w:rPr>
          <w:rFonts w:ascii="Times New Roman" w:eastAsia="仿宋_GB2312" w:hAnsi="Times New Roman" w:cs="Times New Roman" w:hint="default"/>
          <w:sz w:val="32"/>
          <w:szCs w:val="32"/>
          <w:highlight w:val="none"/>
          <w:lang w:val="en-US" w:eastAsia="zh-CN"/>
        </w:rPr>
        <w:t xml:space="preserve">万元，实际到位资金</w:t>
      </w:r>
      <w:r>
        <w:rPr>
          <w:rFonts w:ascii="Times New Roman" w:eastAsia="仿宋_GB2312" w:hAnsi="Times New Roman" w:cs="Times New Roman" w:hint="eastAsia"/>
          <w:sz w:val="32"/>
          <w:szCs w:val="32"/>
          <w:highlight w:val="none"/>
          <w:lang w:val="en-US" w:eastAsia="zh-CN"/>
        </w:rPr>
        <w:t xml:space="preserve">2701.15</w:t>
      </w:r>
      <w:r>
        <w:rPr>
          <w:rFonts w:eastAsia="仿宋_GB2312" w:cs="Times New Roman" w:hint="eastAsia"/>
          <w:sz w:val="32"/>
          <w:szCs w:val="32"/>
          <w:highlight w:val="none"/>
          <w:lang w:val="en-US" w:eastAsia="zh-CN"/>
        </w:rPr>
        <w:t xml:space="preserve">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0" w:name="_Toc20558"/>
      <w:r>
        <w:rPr>
          <w:rFonts w:ascii="Times New Roman" w:eastAsia="仿宋_GB2312" w:hAnsi="Times New Roman" w:cs="Times New Roman" w:hint="default"/>
          <w:sz w:val="32"/>
          <w:szCs w:val="32"/>
          <w:highlight w:val="none"/>
          <w:lang w:val="en-US" w:eastAsia="zh-CN"/>
        </w:rPr>
        <w:t xml:space="preserve">（2）预算执行率</w:t>
      </w:r>
      <w:bookmarkEnd w:id="50"/>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w:t>
      </w:r>
      <w:r>
        <w:rPr>
          <w:rFonts w:ascii="Times New Roman" w:eastAsia="仿宋_GB2312" w:hAnsi="Times New Roman" w:cs="Times New Roman" w:hint="eastAsia"/>
          <w:sz w:val="32"/>
          <w:szCs w:val="32"/>
          <w:highlight w:val="none"/>
          <w:lang w:val="en-US" w:eastAsia="zh-CN"/>
        </w:rPr>
        <w:t xml:space="preserve">2701.15</w:t>
      </w:r>
      <w:r>
        <w:rPr>
          <w:rFonts w:eastAsia="仿宋_GB2312" w:cs="Times New Roman" w:hint="eastAsia"/>
          <w:sz w:val="32"/>
          <w:szCs w:val="32"/>
          <w:highlight w:val="none"/>
          <w:lang w:val="en-US" w:eastAsia="zh-CN"/>
        </w:rPr>
        <w:t xml:space="preserve">万元，全年实际</w:t>
      </w:r>
      <w:r>
        <w:rPr>
          <w:rFonts w:eastAsia="仿宋_GB2312"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2701.15</w:t>
      </w:r>
      <w:r>
        <w:rPr>
          <w:rFonts w:eastAsia="仿宋_GB2312"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eastAsia="仿宋_GB2312"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bookmarkStart w:id="51" w:name="_Toc17145"/>
      <w:r>
        <w:rPr>
          <w:rFonts w:ascii="Times New Roman" w:eastAsia="仿宋_GB2312" w:hAnsi="Times New Roman" w:cs="Times New Roman" w:hint="default"/>
          <w:sz w:val="32"/>
          <w:szCs w:val="32"/>
          <w:lang w:val="en-US" w:eastAsia="zh-CN"/>
        </w:rPr>
        <w:t xml:space="preserve">（3）资金使用合规性</w:t>
      </w:r>
      <w:bookmarkEnd w:id="51"/>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2"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2"/>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3" w:name="_Toc470"/>
      <w:r>
        <w:rPr>
          <w:rFonts w:ascii="Times New Roman" w:eastAsia="仿宋_GB2312" w:hAnsi="Times New Roman" w:cs="Times New Roman" w:hint="default"/>
          <w:sz w:val="32"/>
          <w:szCs w:val="32"/>
          <w:highlight w:val="none"/>
          <w:lang w:val="en-US" w:eastAsia="zh-CN"/>
        </w:rPr>
        <w:t xml:space="preserve">（1）管理制度健全性</w:t>
      </w:r>
      <w:bookmarkEnd w:id="53"/>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4" w:name="_Toc29107"/>
      <w:r>
        <w:rPr>
          <w:rFonts w:ascii="Times New Roman" w:eastAsia="仿宋_GB2312" w:hAnsi="Times New Roman" w:cs="Times New Roman" w:hint="default"/>
          <w:sz w:val="32"/>
          <w:szCs w:val="32"/>
          <w:highlight w:val="none"/>
          <w:lang w:eastAsia="zh-CN"/>
        </w:rPr>
        <w:t xml:space="preserve">项目实施单位已制定《</w:t>
      </w:r>
      <w:r>
        <w:rPr>
          <w:rFonts w:eastAsia="仿宋_GB2312" w:cs="Times New Roman" w:hint="eastAsia"/>
          <w:sz w:val="32"/>
          <w:szCs w:val="32"/>
          <w:highlight w:val="none"/>
          <w:lang w:eastAsia="zh-CN"/>
        </w:rPr>
        <w:t xml:space="preserve">财务核算管理办法</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eastAsia="zh-CN"/>
        </w:rPr>
        <w:t xml:space="preserve">资金审批管理办法</w:t>
      </w:r>
      <w:r>
        <w:rPr>
          <w:rFonts w:ascii="Times New Roman" w:eastAsia="仿宋_GB2312" w:hAnsi="Times New Roman" w:cs="Times New Roman" w:hint="default"/>
          <w:sz w:val="32"/>
          <w:szCs w:val="32"/>
          <w:highlight w:val="none"/>
          <w:lang w:eastAsia="zh-CN"/>
        </w:rPr>
        <w:t xml:space="preserve">》等一系列专项制度，制度体系覆盖项目策划、实施、监控、收尾全流程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bookmarkEnd w:id="54"/>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项目实施全过程严格执行各项管理制度，执行效果显著：①严格遵守法律法规及管理规定；②验收报告、</w:t>
      </w:r>
      <w:r>
        <w:rPr>
          <w:rFonts w:ascii="Times New Roman" w:eastAsia="仿宋_GB2312" w:hAnsi="Times New Roman" w:cs="Times New Roman" w:hint="eastAsia"/>
          <w:sz w:val="32"/>
          <w:szCs w:val="32"/>
          <w:lang w:eastAsia="zh-CN"/>
        </w:rPr>
        <w:t xml:space="preserve">防洪物资采购材料</w:t>
      </w:r>
      <w:r>
        <w:rPr>
          <w:rFonts w:ascii="Times New Roman" w:eastAsia="仿宋_GB2312" w:hAnsi="Times New Roman" w:cs="Times New Roman" w:hint="default"/>
          <w:sz w:val="32"/>
          <w:szCs w:val="32"/>
          <w:lang w:eastAsia="zh-CN"/>
        </w:rPr>
        <w:t xml:space="preserve">、财务凭证等资料齐全，均按要求及时归档</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numPr>
          <w:ilvl w:val="0"/>
          <w:numId w:val="0"/>
        </w:numPr>
        <w:spacing w:line="560" w:lineRule="exact"/>
        <w:ind w:firstLine="320" w:firstLineChars="100"/>
        <w:outlineLvl w:val="1"/>
        <w:rPr>
          <w:rFonts w:ascii="Times New Roman" w:eastAsia="楷体_GB2312" w:hAnsi="Times New Roman" w:cs="Times New Roman" w:hint="default"/>
          <w:b/>
          <w:bCs/>
          <w:sz w:val="32"/>
          <w:szCs w:val="32"/>
        </w:rPr>
      </w:pPr>
      <w:bookmarkStart w:id="55" w:name="_Toc8612"/>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三</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bookmarkEnd w:id="55"/>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w:t>
      </w:r>
      <w:r>
        <w:rPr>
          <w:rFonts w:ascii="Times New Roman" w:eastAsia="仿宋_GB2312" w:hAnsi="Times New Roman" w:cs="Times New Roman" w:hint="default"/>
          <w:sz w:val="32"/>
          <w:szCs w:val="32"/>
          <w:highlight w:val="none"/>
          <w:lang w:val="en-US" w:eastAsia="zh-CN"/>
        </w:rPr>
        <w:t xml:space="preserve">产出成本</w:t>
      </w:r>
      <w:r>
        <w:rPr>
          <w:rFonts w:ascii="Times New Roman" w:eastAsia="仿宋_GB2312" w:hAnsi="Times New Roman" w:cs="Times New Roman" w:hint="default"/>
          <w:sz w:val="32"/>
          <w:szCs w:val="32"/>
          <w:lang w:val="en-US" w:eastAsia="zh-CN"/>
        </w:rPr>
        <w:t xml:space="preserve">四方面的内容，由</w:t>
      </w:r>
      <w:r>
        <w:rPr>
          <w:rFonts w:eastAsia="仿宋_GB2312" w:cs="Times New Roman" w:hint="eastAsia"/>
          <w:sz w:val="32"/>
          <w:szCs w:val="32"/>
          <w:lang w:val="en-US" w:eastAsia="zh-CN"/>
        </w:rPr>
        <w:t xml:space="preserve">13</w:t>
      </w:r>
      <w:r>
        <w:rPr>
          <w:rFonts w:ascii="Times New Roman" w:eastAsia="仿宋_GB2312" w:hAnsi="Times New Roman" w:cs="Times New Roman" w:hint="default"/>
          <w:sz w:val="32"/>
          <w:szCs w:val="32"/>
          <w:lang w:val="en-US" w:eastAsia="zh-CN"/>
        </w:rPr>
        <w:t xml:space="preserve">个三级指标构成，权重分为40分，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40</w:t>
      </w:r>
      <w:r>
        <w:rPr>
          <w:rFonts w:eastAsia="仿宋_GB2312" w:cs="Times New Roman" w:hint="default"/>
          <w:sz w:val="32"/>
          <w:szCs w:val="32"/>
          <w:highlight w:val="none"/>
          <w:lang w:val="en-US" w:eastAsia="zh-CN"/>
        </w:rPr>
        <w:t xml:space="preserve">分</w:t>
      </w:r>
      <w:r>
        <w:rPr>
          <w:rFonts w:ascii="Times New Roman" w:eastAsia="仿宋_GB2312" w:hAnsi="Times New Roman" w:cs="Times New Roman" w:hint="default"/>
          <w:sz w:val="32"/>
          <w:szCs w:val="32"/>
          <w:highlight w:val="none"/>
          <w:lang w:val="en-US" w:eastAsia="zh-CN"/>
        </w:rPr>
        <w:t xml:space="preserve">，得分率</w:t>
      </w:r>
      <w:r>
        <w:rPr>
          <w:rFonts w:ascii="Times New Roman" w:eastAsia="仿宋_GB2312" w:hAnsi="Times New Roman" w:cs="Times New Roman" w:hint="default"/>
          <w:sz w:val="32"/>
          <w:szCs w:val="32"/>
          <w:lang w:val="en-US" w:eastAsia="zh-CN"/>
        </w:rPr>
        <w:t xml:space="preserve">为</w:t>
      </w:r>
      <w:r>
        <w:rPr>
          <w:rFonts w:eastAsia="仿宋_GB2312"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9"/>
        <w:rPr>
          <w:rFonts w:ascii="Times New Roman" w:eastAsia="仿宋_GB2312" w:hAnsi="Times New Roman" w:cs="Times New Roman" w:hint="default"/>
          <w:sz w:val="32"/>
          <w:szCs w:val="32"/>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lang w:val="en-US" w:eastAsia="zh-CN"/>
        </w:rPr>
        <w:t xml:space="preserve">实际完成率</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数量指标1：人员工资发放次数，指标值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：工资发放人数，指标值</w:t>
      </w:r>
      <w:r>
        <w:rPr>
          <w:rFonts w:eastAsia="仿宋_GB2312" w:cs="Times New Roman" w:hint="eastAsia"/>
          <w:sz w:val="32"/>
          <w:szCs w:val="32"/>
          <w:highlight w:val="none"/>
          <w:lang w:val="en-US" w:eastAsia="zh-CN"/>
        </w:rPr>
        <w:t xml:space="preserve">:&gt;150人</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:156人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104</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做预算时</w:t>
      </w:r>
      <w:r>
        <w:rPr>
          <w:rFonts w:ascii="Times New Roman" w:eastAsia="仿宋_GB2312" w:hAnsi="Times New Roman" w:cs="Times New Roman" w:hint="eastAsia"/>
          <w:sz w:val="32"/>
          <w:szCs w:val="32"/>
          <w:highlight w:val="none"/>
          <w:lang w:val="en-US" w:eastAsia="zh-CN"/>
        </w:rPr>
        <w:t xml:space="preserve">，未能精准预算人数，计划工资发放人150人，实际工资发放人数156人；改进措施：今后提前精准人员变动情况，严格按照人事批复及实际在岗人数做好经费测算。</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公务保障用车数量</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:=11辆</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11</w:t>
      </w:r>
      <w:r>
        <w:rPr>
          <w:rFonts w:ascii="Times New Roman" w:eastAsia="仿宋_GB2312" w:hAnsi="Times New Roman" w:cs="Times New Roman" w:hint="eastAsia"/>
          <w:sz w:val="32"/>
          <w:szCs w:val="32"/>
          <w:highlight w:val="none"/>
          <w:lang w:eastAsia="zh-CN"/>
        </w:rPr>
        <w:t xml:space="preserve">辆</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防洪物资采购</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数量</w:t>
      </w:r>
      <w:r>
        <w:rPr>
          <w:rFonts w:ascii="Times New Roman" w:eastAsia="仿宋_GB2312" w:hAnsi="Times New Roman" w:cs="Times New Roman" w:hint="eastAsia"/>
          <w:sz w:val="32"/>
          <w:szCs w:val="32"/>
          <w:highlight w:val="none"/>
          <w:lang w:val="en-US" w:eastAsia="zh-CN"/>
        </w:rPr>
        <w:t xml:space="preserve">指标5：水毁修复覆盖率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指标1：发放准确率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指标2：防洪物资采购质量验收合格率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指标1：工资发放及时率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指标</w:t>
      </w:r>
      <w:r>
        <w:rPr>
          <w:rFonts w:eastAsia="仿宋_GB2312" w:cs="Times New Roman" w:hint="eastAsia"/>
          <w:sz w:val="32"/>
          <w:szCs w:val="32"/>
          <w:highlight w:val="none"/>
          <w:lang w:val="en-US" w:eastAsia="zh-CN"/>
        </w:rPr>
        <w:t xml:space="preserve">2：防洪物资采购及</w:t>
      </w:r>
      <w:r>
        <w:rPr>
          <w:rFonts w:ascii="Times New Roman" w:eastAsia="仿宋_GB2312" w:hAnsi="Times New Roman" w:cs="Times New Roman" w:hint="eastAsia"/>
          <w:sz w:val="32"/>
          <w:szCs w:val="32"/>
          <w:highlight w:val="none"/>
          <w:lang w:val="en-US" w:eastAsia="zh-CN"/>
        </w:rPr>
        <w:t xml:space="preserve">时率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指标3：项目完工及时率</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9"/>
        <w:rPr>
          <w:rFonts w:hint="default"/>
          <w:lang w:val="en-US" w:eastAsia="zh-CN"/>
        </w:rPr>
      </w:pPr>
      <w:r>
        <w:rPr>
          <w:rFonts w:eastAsia="仿宋_GB2312" w:cs="Times New Roman" w:hint="eastAsia"/>
          <w:sz w:val="32"/>
          <w:szCs w:val="32"/>
          <w:highlight w:val="none"/>
          <w:lang w:val="en-US" w:eastAsia="zh-CN"/>
        </w:rPr>
        <w:t xml:space="preserve">该指标满分为</w:t>
      </w:r>
      <w:r>
        <w:rPr>
          <w:rFonts w:ascii="Times New Roman" w:eastAsia="仿宋_GB2312" w:hAnsi="Times New Roman" w:cs="Times New Roman" w:hint="eastAsia"/>
          <w:sz w:val="32"/>
          <w:szCs w:val="32"/>
          <w:highlight w:val="none"/>
          <w:lang w:val="en-US" w:eastAsia="zh-CN"/>
        </w:rPr>
        <w:t xml:space="preserve">10分，根据评分标准得10</w:t>
      </w:r>
      <w:r>
        <w:rPr>
          <w:rFonts w:eastAsia="仿宋_GB2312" w:cs="Times New Roman" w:hint="eastAsia"/>
          <w:sz w:val="32"/>
          <w:szCs w:val="32"/>
          <w:highlight w:val="none"/>
          <w:lang w:val="en-US" w:eastAsia="zh-CN"/>
        </w:rPr>
        <w:t xml:space="preserve">分。</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指标1：人员工资支出</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1332.17</w:t>
      </w:r>
      <w:r>
        <w:rPr>
          <w:rFonts w:ascii="Times New Roman" w:eastAsia="仿宋_GB2312" w:hAnsi="Times New Roman" w:cs="Times New Roman" w:hint="default"/>
          <w:sz w:val="32"/>
          <w:szCs w:val="32"/>
          <w:highlight w:val="none"/>
          <w:lang w:val="en-US" w:eastAsia="zh-CN"/>
        </w:rPr>
        <w:t xml:space="preserve">万元，实际完成值：</w:t>
      </w:r>
      <w:r>
        <w:rPr>
          <w:rFonts w:ascii="Times New Roman" w:eastAsia="仿宋_GB2312" w:hAnsi="Times New Roman" w:cs="Times New Roman" w:hint="eastAsia"/>
          <w:sz w:val="32"/>
          <w:szCs w:val="32"/>
          <w:highlight w:val="none"/>
          <w:lang w:val="en-US" w:eastAsia="zh-CN"/>
        </w:rPr>
        <w:t xml:space="preserve">1332.17万元</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：单位日常运转经费支出</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898.08</w:t>
      </w:r>
      <w:r>
        <w:rPr>
          <w:rFonts w:ascii="Times New Roman" w:eastAsia="仿宋_GB2312" w:hAnsi="Times New Roman" w:cs="Times New Roman" w:hint="default"/>
          <w:sz w:val="32"/>
          <w:szCs w:val="32"/>
          <w:highlight w:val="none"/>
          <w:lang w:val="en-US" w:eastAsia="zh-CN"/>
        </w:rPr>
        <w:t xml:space="preserve">万元，实际完成值：</w:t>
      </w:r>
      <w:r>
        <w:rPr>
          <w:rFonts w:ascii="Times New Roman" w:eastAsia="仿宋_GB2312" w:hAnsi="Times New Roman" w:cs="Times New Roman" w:hint="eastAsia"/>
          <w:sz w:val="32"/>
          <w:szCs w:val="32"/>
          <w:highlight w:val="none"/>
          <w:lang w:val="en-US" w:eastAsia="zh-CN"/>
        </w:rPr>
        <w:t xml:space="preserve">898.08万元</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：应急抢险及其他项目经费支出</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470.90</w:t>
      </w:r>
      <w:r>
        <w:rPr>
          <w:rFonts w:ascii="Times New Roman" w:eastAsia="仿宋_GB2312" w:hAnsi="Times New Roman" w:cs="Times New Roman" w:hint="default"/>
          <w:sz w:val="32"/>
          <w:szCs w:val="32"/>
          <w:highlight w:val="none"/>
          <w:lang w:val="en-US" w:eastAsia="zh-CN"/>
        </w:rPr>
        <w:t xml:space="preserve">万元，实际完成值：</w:t>
      </w:r>
      <w:r>
        <w:rPr>
          <w:rFonts w:ascii="Times New Roman" w:eastAsia="仿宋_GB2312" w:hAnsi="Times New Roman" w:cs="Times New Roman" w:hint="eastAsia"/>
          <w:sz w:val="32"/>
          <w:szCs w:val="32"/>
          <w:highlight w:val="none"/>
          <w:lang w:val="en-US" w:eastAsia="zh-CN"/>
        </w:rPr>
        <w:t xml:space="preserve">470.90万元</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w:t>
      </w:r>
      <w:r>
        <w:rPr>
          <w:rFonts w:eastAsia="仿宋_GB2312" w:cs="Times New Roman" w:hint="default"/>
          <w:sz w:val="32"/>
          <w:szCs w:val="32"/>
          <w:highlight w:val="none"/>
          <w:lang w:val="en-US" w:eastAsia="zh-CN"/>
        </w:rPr>
        <w:t xml:space="preserve">，本项目计划总成本为</w:t>
      </w:r>
      <w:r>
        <w:rPr>
          <w:rFonts w:ascii="Times New Roman" w:eastAsia="仿宋_GB2312" w:hAnsi="Times New Roman" w:cs="Times New Roman" w:hint="eastAsia"/>
          <w:sz w:val="32"/>
          <w:szCs w:val="32"/>
          <w:highlight w:val="none"/>
          <w:lang w:val="en-US" w:eastAsia="zh-CN"/>
        </w:rPr>
        <w:t xml:space="preserve">2701.15</w:t>
      </w:r>
      <w:r>
        <w:rPr>
          <w:rFonts w:eastAsia="仿宋_GB2312" w:cs="Times New Roman" w:hint="default"/>
          <w:sz w:val="32"/>
          <w:szCs w:val="32"/>
          <w:highlight w:val="none"/>
          <w:lang w:val="en-US" w:eastAsia="zh-CN"/>
        </w:rPr>
        <w:t xml:space="preserve">万元，实际发生总成本为</w:t>
      </w:r>
      <w:r>
        <w:rPr>
          <w:rFonts w:ascii="Times New Roman" w:eastAsia="仿宋_GB2312" w:hAnsi="Times New Roman" w:cs="Times New Roman" w:hint="eastAsia"/>
          <w:sz w:val="32"/>
          <w:szCs w:val="32"/>
          <w:highlight w:val="none"/>
          <w:lang w:val="en-US" w:eastAsia="zh-CN"/>
        </w:rPr>
        <w:t xml:space="preserve">2701.15</w:t>
      </w:r>
      <w:r>
        <w:rPr>
          <w:rFonts w:eastAsia="仿宋_GB2312" w:cs="Times New Roman" w:hint="default"/>
          <w:sz w:val="32"/>
          <w:szCs w:val="32"/>
          <w:highlight w:val="none"/>
          <w:lang w:val="en-US" w:eastAsia="zh-CN"/>
        </w:rPr>
        <w:t xml:space="preserve">万元，成本节约率为</w:t>
      </w:r>
      <w:r>
        <w:rPr>
          <w:rFonts w:eastAsia="仿宋_GB2312" w:cs="Times New Roman" w:hint="eastAsia"/>
          <w:sz w:val="32"/>
          <w:szCs w:val="32"/>
          <w:highlight w:val="none"/>
          <w:lang w:val="en-US" w:eastAsia="zh-CN"/>
        </w:rPr>
        <w:t xml:space="preserve">0</w:t>
      </w:r>
      <w:r>
        <w:rPr>
          <w:rFonts w:eastAsia="仿宋_GB2312" w:cs="Times New Roman" w:hint="default"/>
          <w:sz w:val="32"/>
          <w:szCs w:val="32"/>
          <w:highlight w:val="none"/>
          <w:lang w:val="en-US" w:eastAsia="zh-CN"/>
        </w:rPr>
        <w:t xml:space="preserve">%，未发生任何超支情况</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numPr>
          <w:ilvl w:val="0"/>
          <w:numId w:val="0"/>
        </w:numPr>
        <w:spacing w:line="560" w:lineRule="exact"/>
        <w:ind w:firstLine="640" w:firstLineChars="200"/>
        <w:outlineLvl w:val="1"/>
        <w:rPr>
          <w:rFonts w:ascii="Times New Roman" w:eastAsia="楷体_GB2312" w:hAnsi="Times New Roman" w:cs="Times New Roman" w:hint="default"/>
          <w:b/>
          <w:bCs/>
          <w:sz w:val="32"/>
          <w:szCs w:val="32"/>
          <w:lang w:val="en-US" w:eastAsia="zh-CN"/>
        </w:rPr>
      </w:pPr>
      <w:bookmarkStart w:id="56" w:name="_Toc18470"/>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个三级指标构成，</w:t>
      </w:r>
      <w:bookmarkStart w:id="57" w:name="_GoBack"/>
      <w:bookmarkEnd w:id="57"/>
      <w:r>
        <w:rPr>
          <w:rFonts w:ascii="Times New Roman" w:eastAsia="仿宋_GB2312" w:hAnsi="Times New Roman" w:cs="Times New Roman" w:hint="default"/>
          <w:sz w:val="32"/>
          <w:szCs w:val="32"/>
          <w:highlight w:val="none"/>
          <w:lang w:val="en-US" w:eastAsia="zh-CN"/>
        </w:rPr>
        <w:t xml:space="preserve">权重分为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firstLineChars="200"/>
        <w:textAlignment w:val="auto"/>
        <w:outlineLvl w:val="2"/>
        <w:rPr>
          <w:rFonts w:ascii="Times New Roman" w:eastAsia="仿宋_GB2312" w:hAnsi="Times New Roman" w:cs="Times New Roman" w:hint="default"/>
          <w:color w:val="FF0000"/>
          <w:sz w:val="32"/>
          <w:szCs w:val="32"/>
          <w:highlight w:val="none"/>
          <w:lang w:val="en-US" w:eastAsia="zh-CN"/>
        </w:rPr>
      </w:pPr>
      <w:bookmarkStart w:id="58" w:name="_Toc21198"/>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bookmarkEnd w:id="5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①社会效益指标：</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防洪预警预报发布率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该指标满分为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eastAsia"/>
          <w:sz w:val="32"/>
          <w:szCs w:val="32"/>
          <w:highlight w:val="none"/>
          <w:lang w:val="en-US" w:eastAsia="zh-CN"/>
        </w:rPr>
        <w:t xml:space="preserve">分，根据评分标准得</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eastAsia"/>
          <w:sz w:val="32"/>
          <w:szCs w:val="32"/>
          <w:highlight w:val="none"/>
          <w:lang w:val="en-US" w:eastAsia="zh-CN"/>
        </w:rPr>
        <w:t xml:space="preserve">分。</w:t>
      </w:r>
    </w:p>
    <w:p>
      <w:pPr>
        <w:spacing w:line="560" w:lineRule="exact"/>
        <w:ind w:firstLine="640" w:firstLineChars="200"/>
        <w:outlineLvl w:val="0"/>
        <w:rPr>
          <w:rFonts w:ascii="黑体" w:eastAsia="黑体" w:hAnsi="黑体" w:cs="黑体" w:hint="default"/>
          <w:b w:val="0"/>
          <w:bCs w:val="0"/>
          <w:sz w:val="32"/>
          <w:szCs w:val="32"/>
          <w:lang w:val="en-US" w:eastAsia="zh-CN"/>
        </w:rPr>
      </w:pPr>
      <w:bookmarkStart w:id="59" w:name="_Toc21462"/>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59"/>
      <w:r>
        <w:rPr>
          <w:rFonts w:ascii="黑体" w:eastAsia="黑体" w:hAnsi="黑体" w:cs="黑体" w:hint="eastAsia"/>
          <w:b w:val="0"/>
          <w:bCs w:val="0"/>
          <w:sz w:val="32"/>
          <w:szCs w:val="32"/>
          <w:lang w:val="en-US" w:eastAsia="zh-CN"/>
        </w:rPr>
        <w:t xml:space="preserve">绩效指标偏差</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仿宋_GB2312" w:eastAsia="仿宋_GB2312" w:hAnsi="仿宋_GB2312" w:cs="仿宋_GB2312" w:hint="eastAsia"/>
          <w:b w:val="0"/>
          <w:bCs w:val="0"/>
          <w:sz w:val="32"/>
          <w:szCs w:val="32"/>
          <w:highlight w:val="none"/>
          <w:lang w:val="en-US" w:eastAsia="zh-CN"/>
        </w:rPr>
        <w:t xml:space="preserve">2025年</w:t>
      </w:r>
      <w:r>
        <w:rPr>
          <w:rFonts w:ascii="仿宋_GB2312" w:eastAsia="仿宋_GB2312" w:hAnsi="仿宋_GB2312" w:cs="仿宋_GB2312" w:hint="eastAsia"/>
          <w:b w:val="0"/>
          <w:bCs w:val="0"/>
          <w:sz w:val="32"/>
          <w:szCs w:val="32"/>
          <w:highlight w:val="none"/>
        </w:rPr>
        <w:t xml:space="preserve">项目年初预算</w:t>
      </w:r>
      <w:r>
        <w:rPr>
          <w:rFonts w:ascii="Times New Roman" w:eastAsia="仿宋_GB2312" w:hAnsi="Times New Roman" w:cs="Times New Roman" w:hint="eastAsia"/>
          <w:sz w:val="32"/>
          <w:szCs w:val="32"/>
          <w:highlight w:val="none"/>
          <w:lang w:val="en-US" w:eastAsia="zh-CN"/>
        </w:rPr>
        <w:t xml:space="preserve">2701.15</w:t>
      </w:r>
      <w:r>
        <w:rPr>
          <w:rFonts w:ascii="仿宋_GB2312" w:eastAsia="仿宋_GB2312" w:hAnsi="仿宋_GB2312" w:cs="仿宋_GB2312" w:hint="eastAsia"/>
          <w:b w:val="0"/>
          <w:bCs w:val="0"/>
          <w:sz w:val="32"/>
          <w:szCs w:val="32"/>
          <w:highlight w:val="none"/>
        </w:rPr>
        <w:t xml:space="preserve">万元，全年预算</w:t>
      </w:r>
      <w:r>
        <w:rPr>
          <w:rFonts w:ascii="Times New Roman" w:eastAsia="仿宋_GB2312" w:hAnsi="Times New Roman" w:cs="Times New Roman" w:hint="eastAsia"/>
          <w:sz w:val="32"/>
          <w:szCs w:val="32"/>
          <w:highlight w:val="none"/>
          <w:lang w:val="en-US" w:eastAsia="zh-CN"/>
        </w:rPr>
        <w:t xml:space="preserve">2701.15</w:t>
      </w:r>
      <w:r>
        <w:rPr>
          <w:rFonts w:ascii="Times New Roman" w:eastAsia="仿宋_GB2312" w:hAnsi="Times New Roman" w:cs="Times New Roman" w:hint="eastAsia"/>
          <w:b w:val="0"/>
          <w:bCs w:val="0"/>
          <w:kern w:val="28"/>
          <w:sz w:val="32"/>
          <w:szCs w:val="32"/>
          <w:lang w:val="en-US" w:eastAsia="zh-CN" w:bidi="ar-SA"/>
        </w:rPr>
        <w:t xml:space="preserve">万元，实际支出2701.15万元，预算执行率为100%，项目绩效指标总体完成率为100.29%，</w:t>
      </w:r>
      <w:r>
        <w:rPr>
          <w:rFonts w:ascii="Times New Roman" w:eastAsia="仿宋_GB2312" w:hAnsi="Times New Roman" w:cs="Times New Roman" w:hint="eastAsia"/>
          <w:b w:val="0"/>
          <w:bCs w:val="0"/>
          <w:kern w:val="28"/>
          <w:sz w:val="32"/>
          <w:szCs w:val="32"/>
          <w:lang w:val="en-US" w:bidi="ar-SA"/>
        </w:rPr>
        <w:t xml:space="preserve">总体</w:t>
      </w:r>
      <w:r>
        <w:rPr>
          <w:rFonts w:ascii="Times New Roman" w:eastAsia="仿宋_GB2312" w:hAnsi="Times New Roman" w:cs="Times New Roman" w:hint="eastAsia"/>
          <w:b w:val="0"/>
          <w:bCs w:val="0"/>
          <w:kern w:val="28"/>
          <w:sz w:val="32"/>
          <w:szCs w:val="32"/>
          <w:lang w:val="en-US" w:eastAsia="zh-CN" w:bidi="ar-SA"/>
        </w:rPr>
        <w:t xml:space="preserve">偏差率为0.29%，</w:t>
      </w:r>
      <w:r>
        <w:rPr>
          <w:rFonts w:ascii="仿宋_GB2312" w:eastAsia="仿宋_GB2312" w:hAnsi="仿宋_GB2312" w:cs="仿宋_GB2312" w:hint="eastAsia"/>
          <w:b w:val="0"/>
          <w:bCs w:val="0"/>
          <w:sz w:val="32"/>
          <w:szCs w:val="32"/>
          <w:highlight w:val="none"/>
        </w:rPr>
        <w:t xml:space="preserve">偏差</w:t>
      </w:r>
      <w:r>
        <w:rPr>
          <w:rFonts w:ascii="仿宋_GB2312" w:eastAsia="仿宋_GB2312" w:hAnsi="仿宋_GB2312" w:cs="仿宋_GB2312" w:hint="eastAsia"/>
          <w:b w:val="0"/>
          <w:bCs w:val="0"/>
          <w:sz w:val="32"/>
          <w:szCs w:val="32"/>
          <w:highlight w:val="none"/>
        </w:rPr>
        <w:t xml:space="preserve">原因</w:t>
      </w:r>
      <w:r>
        <w:rPr>
          <w:rFonts w:eastAsia="仿宋_GB2312" w:cs="Times New Roman" w:hint="eastAsia"/>
          <w:sz w:val="32"/>
          <w:szCs w:val="32"/>
          <w:highlight w:val="none"/>
          <w:lang w:eastAsia="zh-CN"/>
        </w:rPr>
        <w:t xml:space="preserve">做预算时</w:t>
      </w:r>
      <w:r>
        <w:rPr>
          <w:rFonts w:ascii="Times New Roman" w:eastAsia="仿宋_GB2312" w:hAnsi="Times New Roman" w:cs="Times New Roman" w:hint="eastAsia"/>
          <w:sz w:val="32"/>
          <w:szCs w:val="32"/>
          <w:highlight w:val="none"/>
          <w:lang w:val="en-US" w:eastAsia="zh-CN"/>
        </w:rPr>
        <w:t xml:space="preserve">，未能精准预算人数，计划工资发放人150人，实际工资发放人数156人；改进措施：今后提前精准人员变动情况，严格按照人事批复及实际在岗人数做好经费测算。</w:t>
      </w:r>
    </w:p>
    <w:p>
      <w:pPr>
        <w:spacing w:line="560" w:lineRule="exact"/>
        <w:ind w:firstLine="640" w:firstLineChars="200"/>
        <w:outlineLvl w:val="0"/>
        <w:rPr>
          <w:rStyle w:val="fontstyle01"/>
          <w:rFonts w:ascii="Times New Roman" w:hAnsi="Times New Roman" w:cs="Times New Roman" w:hint="default"/>
          <w:color w:val="auto"/>
        </w:rPr>
      </w:pPr>
      <w:bookmarkStart w:id="60" w:name="_Toc18363"/>
      <w:r>
        <w:rPr>
          <w:rFonts w:eastAsia="黑体" w:cs="Times New Roman" w:hint="eastAsia"/>
          <w:sz w:val="32"/>
          <w:szCs w:val="32"/>
          <w:lang w:val="en-US" w:eastAsia="zh-CN"/>
        </w:rPr>
        <w:t xml:space="preserve">六</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bookmarkEnd w:id="60"/>
    </w:p>
    <w:p>
      <w:pPr>
        <w:spacing w:line="560" w:lineRule="exact"/>
        <w:ind w:firstLine="640" w:firstLineChars="200"/>
        <w:outlineLvl w:val="1"/>
        <w:rPr>
          <w:rFonts w:ascii="Times New Roman" w:eastAsia="楷体" w:hAnsi="Times New Roman" w:cs="Times New Roman" w:hint="default"/>
          <w:b/>
          <w:spacing w:val="-4"/>
          <w:sz w:val="32"/>
          <w:szCs w:val="32"/>
        </w:rPr>
      </w:pPr>
      <w:bookmarkStart w:id="61" w:name="_Toc22741"/>
      <w:r>
        <w:rPr>
          <w:rFonts w:ascii="Times New Roman" w:eastAsia="楷体" w:hAnsi="Times New Roman" w:cs="Times New Roman" w:hint="default"/>
          <w:b/>
          <w:spacing w:val="-4"/>
          <w:sz w:val="32"/>
          <w:szCs w:val="32"/>
        </w:rPr>
        <w:t xml:space="preserve">（一）主要经验及做法</w:t>
      </w:r>
      <w:bookmarkEnd w:id="61"/>
    </w:p>
    <w:p>
      <w:pPr>
        <w:pStyle w:val="Title"/>
        <w:spacing w:before="0" w:after="0" w:line="560" w:lineRule="exact"/>
        <w:ind w:firstLine="640" w:firstLineChars="200"/>
        <w:jc w:val="left"/>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pPr>
        <w:pStyle w:val="Title"/>
        <w:spacing w:before="0" w:after="0" w:line="560" w:lineRule="exact"/>
        <w:ind w:firstLine="640" w:firstLineChars="200"/>
        <w:jc w:val="left"/>
        <w:outlineLvl w:val="9"/>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sz w:val="32"/>
          <w:szCs w:val="32"/>
        </w:rPr>
        <w:t xml:space="preserve">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pPr>
        <w:keepNext/>
        <w:keepLines/>
        <w:numPr>
          <w:ilvl w:val="0"/>
          <w:numId w:val="4"/>
        </w:numPr>
        <w:spacing w:line="560" w:lineRule="exact"/>
        <w:ind w:firstLine="640" w:firstLineChars="200"/>
        <w:outlineLvl w:val="1"/>
        <w:rPr>
          <w:rFonts w:ascii="Times New Roman" w:eastAsia="楷体_GB2312" w:hAnsi="Times New Roman" w:cs="Times New Roman" w:hint="default"/>
          <w:b/>
          <w:bCs/>
          <w:sz w:val="32"/>
          <w:szCs w:val="32"/>
        </w:rPr>
      </w:pPr>
      <w:bookmarkStart w:id="62" w:name="_Toc7835"/>
      <w:r>
        <w:rPr>
          <w:rFonts w:ascii="Times New Roman" w:eastAsia="楷体_GB2312" w:hAnsi="Times New Roman" w:cs="Times New Roman" w:hint="default"/>
          <w:b/>
          <w:bCs/>
          <w:sz w:val="32"/>
          <w:szCs w:val="32"/>
        </w:rPr>
        <w:t xml:space="preserve">存在的问题及原因分析</w:t>
      </w:r>
      <w:bookmarkEnd w:id="62"/>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outlineLvl w:val="0"/>
        <w:rPr>
          <w:rFonts w:ascii="Times New Roman" w:eastAsia="黑体" w:hAnsi="Times New Roman" w:cs="Times New Roman" w:hint="default"/>
          <w:sz w:val="32"/>
          <w:szCs w:val="32"/>
        </w:rPr>
      </w:pPr>
      <w:bookmarkStart w:id="63" w:name="_Toc25529"/>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bookmarkEnd w:id="63"/>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9"/>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outlineLvl w:val="0"/>
        <w:rPr>
          <w:rFonts w:ascii="Times New Roman" w:eastAsia="黑体" w:hAnsi="Times New Roman" w:cs="Times New Roman" w:hint="default"/>
          <w:sz w:val="32"/>
          <w:szCs w:val="32"/>
        </w:rPr>
      </w:pPr>
      <w:bookmarkStart w:id="64" w:name="_Toc3065"/>
      <w:r>
        <w:rPr>
          <w:rFonts w:eastAsia="黑体" w:cs="Times New Roman" w:hint="eastAsia"/>
          <w:sz w:val="32"/>
          <w:szCs w:val="32"/>
          <w:lang w:val="en-US" w:eastAsia="zh-CN"/>
        </w:rPr>
        <w:t xml:space="preserve">八</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65" w:name="page8"/>
      <w:bookmarkEnd w:id="65"/>
      <w:r>
        <w:rPr>
          <w:rFonts w:ascii="Times New Roman" w:eastAsia="黑体" w:hAnsi="Times New Roman" w:cs="Times New Roman" w:hint="default"/>
          <w:sz w:val="32"/>
          <w:szCs w:val="32"/>
        </w:rPr>
        <w:t xml:space="preserve">明的问题</w:t>
      </w:r>
      <w:bookmarkEnd w:id="64"/>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640" w:leftChars="0" w:firstLineChars="200"/>
        <w:rPr>
          <w:rFonts w:ascii="Times New Roman" w:eastAsia="仿宋_GB2312" w:hAnsi="Times New Roman" w:cs="Times New Roman" w:hint="eastAsia"/>
          <w:b/>
          <w:bCs/>
          <w:color w:val="FF0000"/>
          <w:sz w:val="32"/>
          <w:szCs w:val="32"/>
          <w:lang w:eastAsia="zh-CN"/>
        </w:rPr>
      </w:pPr>
    </w:p>
    <w:p>
      <w:pPr>
        <w:spacing w:line="600" w:lineRule="exact"/>
        <w:rPr>
          <w:rFonts w:ascii="Times New Roman" w:eastAsia="黑体" w:hAnsi="Times New Roman" w:cs="Times New Roman" w:hint="eastAsia"/>
          <w:sz w:val="32"/>
          <w:szCs w:val="32"/>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lang w:val="en-US" w:eastAsia="zh-CN"/>
        </w:rPr>
      </w:pPr>
      <w:bookmarkStart w:id="66" w:name="_Toc15260"/>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6"/>
      <w:r>
        <w:rPr>
          <w:rFonts w:eastAsia="黑体" w:cs="Times New Roman" w:hint="eastAsia"/>
          <w:sz w:val="32"/>
          <w:szCs w:val="32"/>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rPr>
      </w:pPr>
      <w:bookmarkStart w:id="67" w:name="_Toc26499_WPSOffice_Level2"/>
      <w:bookmarkStart w:id="68" w:name="_Toc30064_WPSOffice_Level1"/>
      <w:r>
        <w:rPr>
          <w:rFonts w:ascii="仿宋_GB2312" w:eastAsia="仿宋_GB2312" w:hAnsi="仿宋_GB2312" w:cs="仿宋_GB2312" w:hint="default"/>
          <w:b/>
          <w:bCs/>
          <w:sz w:val="28"/>
          <w:szCs w:val="40"/>
        </w:rPr>
        <w:t xml:space="preserve">经营成本性支</w:t>
      </w:r>
      <w:r>
        <w:rPr>
          <w:rFonts w:ascii="仿宋_GB2312" w:eastAsia="仿宋_GB2312" w:hAnsi="仿宋_GB2312" w:cs="仿宋_GB2312" w:hint="eastAsia"/>
          <w:b/>
          <w:bCs/>
          <w:sz w:val="28"/>
          <w:szCs w:val="40"/>
          <w:lang w:val="en-US" w:eastAsia="zh-CN"/>
        </w:rPr>
        <w:t xml:space="preserve">出</w:t>
      </w:r>
      <w:r>
        <w:rPr>
          <w:rFonts w:ascii="仿宋_GB2312" w:eastAsia="仿宋_GB2312" w:hAnsi="仿宋_GB2312" w:cs="仿宋_GB2312" w:hint="default"/>
          <w:b/>
          <w:bCs/>
          <w:sz w:val="28"/>
          <w:szCs w:val="40"/>
        </w:rPr>
        <w:t xml:space="preserve">项目</w:t>
      </w:r>
      <w:r>
        <w:rPr>
          <w:rFonts w:ascii="仿宋_GB2312" w:eastAsia="仿宋_GB2312" w:hAnsi="仿宋_GB2312" w:cs="仿宋_GB2312" w:hint="eastAsia"/>
          <w:b/>
          <w:bCs/>
          <w:sz w:val="28"/>
          <w:szCs w:val="40"/>
        </w:rPr>
        <w:t xml:space="preserve">绩效评价指标体系</w:t>
      </w:r>
      <w:bookmarkEnd w:id="67"/>
      <w:bookmarkEnd w:id="68"/>
    </w:p>
    <w:tbl>
      <w:tblPr>
        <w:tblStyle w:val="NormalTable"/>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259E70FA">
        <w:tblPrEx>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2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14:paraId="5B89584B">
        <w:tblPrEx>
          <w:tblW w:w="12683" w:type="dxa"/>
          <w:jc w:val="center"/>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w:t>
            </w: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ascii="Times New Roman" w:eastAsia="仿宋_GB2312" w:hAnsi="Times New Roman" w:cs="Times New Roman" w:hint="default"/>
                <w:color w:val="000000"/>
                <w:kern w:val="0"/>
                <w:sz w:val="18"/>
                <w:szCs w:val="18"/>
              </w:rPr>
              <w:t xml:space="preserve">属于部门</w:t>
            </w:r>
            <w:r>
              <w:rPr>
                <w:rFonts w:ascii="Times New Roman" w:eastAsia="仿宋_GB2312" w:hAnsi="Times New Roman" w:cs="Times New Roman" w:hint="default"/>
                <w:color w:val="000000"/>
                <w:kern w:val="0"/>
                <w:sz w:val="18"/>
                <w:szCs w:val="18"/>
              </w:rPr>
              <w:t xml:space="preserve">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eastAsia="仿宋_GB2312" w:cs="Times New Roman" w:hint="eastAsia"/>
                <w:b/>
                <w:bCs/>
                <w:color w:val="000000"/>
                <w:kern w:val="0"/>
                <w:sz w:val="18"/>
                <w:szCs w:val="18"/>
                <w:lang w:val="en-US" w:eastAsia="zh-CN"/>
              </w:rPr>
              <w:t xml:space="preserve">3</w:t>
            </w:r>
          </w:p>
        </w:tc>
      </w:tr>
      <w:tr w14:paraId="44CAE39B">
        <w:tblPrEx>
          <w:tblW w:w="12683" w:type="dxa"/>
          <w:jc w:val="center"/>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eastAsia="仿宋_GB2312" w:cs="Times New Roman" w:hint="eastAsia"/>
                <w:b/>
                <w:bCs/>
                <w:color w:val="000000"/>
                <w:kern w:val="0"/>
                <w:sz w:val="18"/>
                <w:szCs w:val="18"/>
                <w:lang w:val="en-US" w:eastAsia="zh-CN"/>
              </w:rPr>
              <w:t xml:space="preserve">3</w:t>
            </w:r>
          </w:p>
        </w:tc>
      </w:tr>
      <w:tr w14:paraId="3C60D97C">
        <w:tblPrEx>
          <w:tblW w:w="12683" w:type="dxa"/>
          <w:jc w:val="center"/>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22"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both"/>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      3</w:t>
            </w:r>
          </w:p>
        </w:tc>
      </w:tr>
      <w:tr w14:paraId="1E58B544">
        <w:tblPrEx>
          <w:tblW w:w="12683" w:type="dxa"/>
          <w:jc w:val="center"/>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eastAsia="仿宋_GB2312" w:cs="Times New Roman" w:hint="eastAsia"/>
                <w:b/>
                <w:bCs/>
                <w:color w:val="000000"/>
                <w:kern w:val="0"/>
                <w:sz w:val="18"/>
                <w:szCs w:val="18"/>
                <w:lang w:val="en-US" w:eastAsia="zh-CN"/>
              </w:rPr>
              <w:t xml:space="preserve">3</w:t>
            </w:r>
          </w:p>
        </w:tc>
      </w:tr>
      <w:tr w14:paraId="7B7C84A3">
        <w:tblPrEx>
          <w:tblW w:w="12683" w:type="dxa"/>
          <w:jc w:val="center"/>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293DB61C">
        <w:tblPrEx>
          <w:tblW w:w="12683" w:type="dxa"/>
          <w:jc w:val="center"/>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6A053173">
        <w:tblPrEx>
          <w:tblW w:w="12683" w:type="dxa"/>
          <w:jc w:val="center"/>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6B99C8C7">
        <w:tblPrEx>
          <w:tblW w:w="12683" w:type="dxa"/>
          <w:jc w:val="center"/>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1903A659">
        <w:tblPrEx>
          <w:tblW w:w="12683" w:type="dxa"/>
          <w:jc w:val="center"/>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390C5DE6">
        <w:tblPrEx>
          <w:tblW w:w="12683" w:type="dxa"/>
          <w:jc w:val="center"/>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6538D3A2">
        <w:tblPrEx>
          <w:tblW w:w="12683" w:type="dxa"/>
          <w:jc w:val="center"/>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14:paraId="674E943E">
        <w:tblPrEx>
          <w:tblW w:w="12683" w:type="dxa"/>
          <w:jc w:val="center"/>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14:paraId="3A51EC80">
        <w:tblPrEx>
          <w:tblW w:w="12683" w:type="dxa"/>
          <w:jc w:val="center"/>
          <w:tblLayout w:type="fixed"/>
          <w:tblCellMar>
            <w:top w:w="0" w:type="dxa"/>
            <w:left w:w="108" w:type="dxa"/>
            <w:bottom w:w="0" w:type="dxa"/>
            <w:right w:w="108" w:type="dxa"/>
          </w:tblCellMar>
        </w:tblPrEx>
        <w:trPr>
          <w:trHeight w:val="1718"/>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14:paraId="24E67797">
        <w:tblPrEx>
          <w:tblW w:w="12683" w:type="dxa"/>
          <w:jc w:val="center"/>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14:paraId="0760637C">
        <w:tblPrEx>
          <w:tblW w:w="12683" w:type="dxa"/>
          <w:jc w:val="center"/>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14:paraId="2FF7B753">
        <w:tblPrEx>
          <w:tblW w:w="12683" w:type="dxa"/>
          <w:jc w:val="center"/>
          <w:tblLayout w:type="fixed"/>
          <w:tblCellMar>
            <w:top w:w="0" w:type="dxa"/>
            <w:left w:w="108" w:type="dxa"/>
            <w:bottom w:w="0" w:type="dxa"/>
            <w:right w:w="108" w:type="dxa"/>
          </w:tblCellMar>
        </w:tblPrEx>
        <w:trPr>
          <w:trHeight w:val="889"/>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20</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20</w:t>
            </w:r>
          </w:p>
        </w:tc>
      </w:tr>
      <w:tr w14:paraId="42309CA5">
        <w:tblPrEx>
          <w:tblW w:w="12683" w:type="dxa"/>
          <w:jc w:val="center"/>
          <w:tblLayout w:type="fixed"/>
          <w:tblCellMar>
            <w:top w:w="0" w:type="dxa"/>
            <w:left w:w="108" w:type="dxa"/>
            <w:bottom w:w="0" w:type="dxa"/>
            <w:right w:w="108" w:type="dxa"/>
          </w:tblCellMar>
        </w:tblPrEx>
        <w:trPr>
          <w:trHeight w:val="591"/>
          <w:jc w:val="center"/>
        </w:trPr>
        <w:tc>
          <w:tcPr>
            <w:tcW w:w="10018" w:type="dxa"/>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yellow"/>
              </w:rPr>
            </w:pPr>
            <w:r>
              <w:rPr>
                <w:rFonts w:eastAsia="仿宋_GB2312" w:cs="Times New Roman" w:hint="eastAsia"/>
                <w:b/>
                <w:bCs/>
                <w:color w:val="000000"/>
                <w:kern w:val="0"/>
                <w:sz w:val="18"/>
                <w:szCs w:val="18"/>
                <w:lang w:val="en-US" w:eastAsia="zh-CN"/>
              </w:rPr>
              <w:t xml:space="preserve">100</w:t>
            </w:r>
          </w:p>
        </w:tc>
      </w:tr>
    </w:tbl>
    <w:p>
      <w:pPr>
        <w:rPr>
          <w:rFonts w:ascii="Times New Roman" w:hAnsi="Times New Roman" w:cs="Times New Roman" w:hint="default"/>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u w:val="none"/>
          <w:lang w:val="en-US" w:eastAsia="zh-CN"/>
        </w:rPr>
      </w:pPr>
      <w:bookmarkStart w:id="69" w:name="_Toc17917"/>
      <w:r>
        <w:rPr>
          <w:rFonts w:ascii="黑体" w:eastAsia="黑体" w:hAnsi="黑体" w:cs="黑体" w:hint="eastAsia"/>
          <w:b/>
          <w:bCs/>
          <w:i w:val="0"/>
          <w:iCs w:val="0"/>
          <w:color w:val="000000"/>
          <w:kern w:val="0"/>
          <w:sz w:val="32"/>
          <w:szCs w:val="32"/>
          <w:u w:val="none"/>
          <w:lang w:val="en-US" w:eastAsia="zh-CN"/>
        </w:rPr>
        <w:t xml:space="preserve">附件2</w:t>
      </w:r>
      <w:bookmarkEnd w:id="69"/>
      <w:r>
        <w:rPr>
          <w:rFonts w:ascii="黑体" w:eastAsia="黑体" w:hAnsi="黑体" w:cs="黑体" w:hint="eastAsia"/>
          <w:b/>
          <w:bCs/>
          <w:i w:val="0"/>
          <w:iCs w:val="0"/>
          <w:color w:val="000000"/>
          <w:kern w:val="0"/>
          <w:sz w:val="32"/>
          <w:szCs w:val="32"/>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1438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047"/>
        <w:gridCol w:w="906"/>
        <w:gridCol w:w="1683"/>
        <w:gridCol w:w="192"/>
        <w:gridCol w:w="731"/>
        <w:gridCol w:w="457"/>
        <w:gridCol w:w="855"/>
        <w:gridCol w:w="788"/>
        <w:gridCol w:w="205"/>
        <w:gridCol w:w="620"/>
        <w:gridCol w:w="919"/>
        <w:gridCol w:w="180"/>
        <w:gridCol w:w="813"/>
        <w:gridCol w:w="750"/>
        <w:gridCol w:w="167"/>
        <w:gridCol w:w="640"/>
        <w:gridCol w:w="637"/>
        <w:gridCol w:w="188"/>
        <w:gridCol w:w="1687"/>
      </w:tblGrid>
      <w:tr w14:paraId="46F3251A">
        <w:tblPrEx>
          <w:tblW w:w="1438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19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项目名称</w:t>
            </w:r>
          </w:p>
        </w:tc>
        <w:tc>
          <w:tcPr>
            <w:tcW w:w="12418"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经营成本性项目</w:t>
            </w:r>
          </w:p>
        </w:tc>
      </w:tr>
      <w:tr w14:paraId="405FC7B6">
        <w:tblPrEx>
          <w:tblW w:w="14382" w:type="dxa"/>
          <w:tblInd w:w="0" w:type="dxa"/>
          <w:shd w:val="clear" w:color="auto" w:fill="auto"/>
          <w:tblLayout w:type="fixed"/>
          <w:tblCellMar>
            <w:top w:w="0" w:type="dxa"/>
            <w:left w:w="108" w:type="dxa"/>
            <w:bottom w:w="0" w:type="dxa"/>
            <w:right w:w="108" w:type="dxa"/>
          </w:tblCellMar>
        </w:tblPrEx>
        <w:trPr>
          <w:trHeight w:val="288"/>
        </w:trPr>
        <w:tc>
          <w:tcPr>
            <w:tcW w:w="19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主管部门</w:t>
            </w:r>
          </w:p>
        </w:tc>
        <w:tc>
          <w:tcPr>
            <w:tcW w:w="58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新疆维吾尔自治区水利厅</w:t>
            </w:r>
          </w:p>
        </w:tc>
        <w:tc>
          <w:tcPr>
            <w:tcW w:w="17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实施单位</w:t>
            </w:r>
          </w:p>
        </w:tc>
        <w:tc>
          <w:tcPr>
            <w:tcW w:w="4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新疆维吾尔自治区塔里木河流域喀什噶尔河水利管理</w:t>
            </w:r>
          </w:p>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中心</w:t>
            </w:r>
          </w:p>
        </w:tc>
      </w:tr>
      <w:tr w14:paraId="45AA284A">
        <w:tblPrEx>
          <w:tblW w:w="14382" w:type="dxa"/>
          <w:tblInd w:w="0" w:type="dxa"/>
          <w:shd w:val="clear" w:color="auto" w:fill="auto"/>
          <w:tblLayout w:type="fixed"/>
          <w:tblCellMar>
            <w:top w:w="0" w:type="dxa"/>
            <w:left w:w="108" w:type="dxa"/>
            <w:bottom w:w="0" w:type="dxa"/>
            <w:right w:w="108" w:type="dxa"/>
          </w:tblCellMar>
        </w:tblPrEx>
        <w:trPr>
          <w:trHeight w:val="288"/>
        </w:trPr>
        <w:tc>
          <w:tcPr>
            <w:tcW w:w="19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项目资金</w:t>
            </w:r>
            <w:r>
              <w:rPr>
                <w:rFonts w:ascii="方正仿宋_GBK" w:eastAsia="方正仿宋_GBK" w:hAnsi="方正仿宋_GBK" w:cs="方正仿宋_GBK" w:hint="eastAsia"/>
                <w:i w:val="0"/>
                <w:iCs w:val="0"/>
                <w:color w:val="000000"/>
                <w:kern w:val="0"/>
                <w:sz w:val="18"/>
                <w:szCs w:val="18"/>
                <w:u w:val="none"/>
                <w:lang w:val="en-US" w:eastAsia="zh-CN"/>
              </w:rPr>
              <w:br/>
            </w:r>
            <w:r>
              <w:rPr>
                <w:rFonts w:ascii="方正仿宋_GBK" w:eastAsia="方正仿宋_GBK" w:hAnsi="方正仿宋_GBK" w:cs="方正仿宋_GBK" w:hint="eastAsia"/>
                <w:i w:val="0"/>
                <w:iCs w:val="0"/>
                <w:color w:val="000000"/>
                <w:kern w:val="0"/>
                <w:sz w:val="18"/>
                <w:szCs w:val="18"/>
                <w:u w:val="none"/>
                <w:lang w:val="en-US" w:eastAsia="zh-CN"/>
              </w:rPr>
              <w:t xml:space="preserve">（万元）</w:t>
            </w:r>
          </w:p>
        </w:tc>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资金来源</w:t>
            </w:r>
          </w:p>
        </w:tc>
        <w:tc>
          <w:tcPr>
            <w:tcW w:w="13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年初预算数</w:t>
            </w: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全年预算数</w:t>
            </w:r>
          </w:p>
        </w:tc>
        <w:tc>
          <w:tcPr>
            <w:tcW w:w="17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全年执行数</w:t>
            </w:r>
          </w:p>
        </w:tc>
        <w:tc>
          <w:tcPr>
            <w:tcW w:w="1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分值权重</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执行率</w:t>
            </w: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得分</w:t>
            </w:r>
          </w:p>
        </w:tc>
      </w:tr>
      <w:tr w14:paraId="49095DF9">
        <w:tblPrEx>
          <w:tblW w:w="14382" w:type="dxa"/>
          <w:tblInd w:w="0" w:type="dxa"/>
          <w:shd w:val="clear" w:color="auto" w:fill="auto"/>
          <w:tblLayout w:type="fixed"/>
          <w:tblCellMar>
            <w:top w:w="0" w:type="dxa"/>
            <w:left w:w="108" w:type="dxa"/>
            <w:bottom w:w="0" w:type="dxa"/>
            <w:right w:w="108" w:type="dxa"/>
          </w:tblCellMar>
        </w:tblPrEx>
        <w:trPr>
          <w:trHeight w:val="288"/>
        </w:trPr>
        <w:tc>
          <w:tcPr>
            <w:tcW w:w="19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年度资金总额</w:t>
            </w:r>
          </w:p>
        </w:tc>
        <w:tc>
          <w:tcPr>
            <w:tcW w:w="13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2701.15</w:t>
            </w: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2701.15</w:t>
            </w:r>
          </w:p>
        </w:tc>
        <w:tc>
          <w:tcPr>
            <w:tcW w:w="17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2701.15</w:t>
            </w:r>
          </w:p>
        </w:tc>
        <w:tc>
          <w:tcPr>
            <w:tcW w:w="1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color w:val="000000"/>
                <w:kern w:val="0"/>
                <w:sz w:val="18"/>
                <w:szCs w:val="18"/>
                <w:u w:val="none"/>
                <w:lang w:val="en-US" w:eastAsia="zh-CN"/>
              </w:rPr>
              <w:t xml:space="preserve">10</w:t>
            </w: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color w:val="000000"/>
                <w:kern w:val="0"/>
                <w:sz w:val="18"/>
                <w:szCs w:val="18"/>
                <w:u w:val="none"/>
                <w:lang w:val="en-US" w:eastAsia="zh-CN"/>
              </w:rPr>
              <w:t xml:space="preserve">100.0%</w:t>
            </w: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color w:val="000000"/>
                <w:kern w:val="0"/>
                <w:sz w:val="18"/>
                <w:szCs w:val="18"/>
                <w:u w:val="none"/>
                <w:lang w:val="en-US" w:eastAsia="zh-CN"/>
              </w:rPr>
              <w:t xml:space="preserve">10</w:t>
            </w:r>
          </w:p>
        </w:tc>
      </w:tr>
      <w:tr w14:paraId="7B276AB1">
        <w:tblPrEx>
          <w:tblW w:w="14382" w:type="dxa"/>
          <w:tblInd w:w="0" w:type="dxa"/>
          <w:shd w:val="clear" w:color="auto" w:fill="auto"/>
          <w:tblLayout w:type="fixed"/>
          <w:tblCellMar>
            <w:top w:w="0" w:type="dxa"/>
            <w:left w:w="108" w:type="dxa"/>
            <w:bottom w:w="0" w:type="dxa"/>
            <w:right w:w="108" w:type="dxa"/>
          </w:tblCellMar>
        </w:tblPrEx>
        <w:trPr>
          <w:trHeight w:val="288"/>
        </w:trPr>
        <w:tc>
          <w:tcPr>
            <w:tcW w:w="19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其中：当年财政拨款</w:t>
            </w:r>
          </w:p>
        </w:tc>
        <w:tc>
          <w:tcPr>
            <w:tcW w:w="13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8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7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r>
      <w:tr w14:paraId="0251D850">
        <w:tblPrEx>
          <w:tblW w:w="14382" w:type="dxa"/>
          <w:tblInd w:w="0" w:type="dxa"/>
          <w:shd w:val="clear" w:color="auto" w:fill="auto"/>
          <w:tblLayout w:type="fixed"/>
          <w:tblCellMar>
            <w:top w:w="0" w:type="dxa"/>
            <w:left w:w="108" w:type="dxa"/>
            <w:bottom w:w="0" w:type="dxa"/>
            <w:right w:w="108" w:type="dxa"/>
          </w:tblCellMar>
        </w:tblPrEx>
        <w:trPr>
          <w:trHeight w:val="288"/>
        </w:trPr>
        <w:tc>
          <w:tcPr>
            <w:tcW w:w="19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2589" w:type="dxa"/>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其他资金</w:t>
            </w:r>
          </w:p>
        </w:tc>
        <w:tc>
          <w:tcPr>
            <w:tcW w:w="1380" w:type="dxa"/>
            <w:gridSpan w:val="3"/>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color w:val="000000"/>
                <w:kern w:val="0"/>
                <w:sz w:val="18"/>
                <w:szCs w:val="18"/>
                <w:u w:val="none"/>
                <w:lang w:val="en-US" w:eastAsia="zh-CN"/>
              </w:rPr>
              <w:t xml:space="preserve">2701.15</w:t>
            </w:r>
          </w:p>
        </w:tc>
        <w:tc>
          <w:tcPr>
            <w:tcW w:w="1848" w:type="dxa"/>
            <w:gridSpan w:val="3"/>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color w:val="000000"/>
                <w:kern w:val="0"/>
                <w:sz w:val="18"/>
                <w:szCs w:val="18"/>
                <w:u w:val="none"/>
                <w:lang w:val="en-US" w:eastAsia="zh-CN"/>
              </w:rPr>
              <w:t xml:space="preserve">2701.15</w:t>
            </w:r>
          </w:p>
        </w:tc>
        <w:tc>
          <w:tcPr>
            <w:tcW w:w="1719" w:type="dxa"/>
            <w:gridSpan w:val="3"/>
            <w:tcBorders>
              <w:top w:val="single" w:sz="4" w:space="0" w:color="000000"/>
              <w:left w:val="single" w:sz="4" w:space="0" w:color="000000"/>
              <w:bottom w:val="nil"/>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4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r>
      <w:tr w14:paraId="16476F80">
        <w:tblPrEx>
          <w:tblW w:w="14382" w:type="dxa"/>
          <w:tblInd w:w="0" w:type="dxa"/>
          <w:shd w:val="clear" w:color="auto" w:fill="auto"/>
          <w:tblLayout w:type="fixed"/>
          <w:tblCellMar>
            <w:top w:w="0" w:type="dxa"/>
            <w:left w:w="108" w:type="dxa"/>
            <w:bottom w:w="0" w:type="dxa"/>
            <w:right w:w="108" w:type="dxa"/>
          </w:tblCellMar>
        </w:tblPrEx>
        <w:trPr>
          <w:trHeight w:val="90"/>
        </w:trPr>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年度总体目标</w:t>
            </w:r>
          </w:p>
        </w:tc>
        <w:tc>
          <w:tcPr>
            <w:tcW w:w="858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总体目标</w:t>
            </w:r>
          </w:p>
        </w:tc>
        <w:tc>
          <w:tcPr>
            <w:tcW w:w="4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kern w:val="0"/>
                <w:sz w:val="18"/>
                <w:szCs w:val="18"/>
                <w:u w:val="none"/>
                <w:lang w:val="en-US" w:eastAsia="zh-CN"/>
              </w:rPr>
              <w:t xml:space="preserve">总体目标完成情况</w:t>
            </w:r>
          </w:p>
        </w:tc>
      </w:tr>
      <w:tr w14:paraId="13A92939">
        <w:tblPrEx>
          <w:tblW w:w="14382" w:type="dxa"/>
          <w:tblInd w:w="0" w:type="dxa"/>
          <w:shd w:val="clear" w:color="auto" w:fill="auto"/>
          <w:tblLayout w:type="fixed"/>
          <w:tblCellMar>
            <w:top w:w="0" w:type="dxa"/>
            <w:left w:w="108" w:type="dxa"/>
            <w:bottom w:w="0" w:type="dxa"/>
            <w:right w:w="108" w:type="dxa"/>
          </w:tblCellMar>
        </w:tblPrEx>
        <w:trPr>
          <w:trHeight w:val="1163"/>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sz w:val="18"/>
                <w:szCs w:val="18"/>
                <w:u w:val="none"/>
              </w:rPr>
            </w:pPr>
          </w:p>
        </w:tc>
        <w:tc>
          <w:tcPr>
            <w:tcW w:w="8583" w:type="dxa"/>
            <w:gridSpan w:val="12"/>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方正仿宋_GBK" w:eastAsia="方正仿宋_GBK" w:hAnsi="方正仿宋_GBK" w:cs="方正仿宋_GBK" w:hint="eastAsia"/>
                <w:i w:val="0"/>
                <w:iCs w:val="0"/>
                <w:color w:val="000000"/>
                <w:sz w:val="18"/>
                <w:szCs w:val="18"/>
                <w:u w:val="none"/>
              </w:rPr>
            </w:pPr>
            <w:r>
              <w:rPr>
                <w:rFonts w:ascii="方正仿宋_GBK" w:eastAsia="方正仿宋_GBK" w:hAnsi="方正仿宋_GBK" w:cs="方正仿宋_GBK" w:hint="eastAsia"/>
                <w:i w:val="0"/>
                <w:iCs w:val="0"/>
                <w:color w:val="000000"/>
                <w:sz w:val="18"/>
                <w:szCs w:val="18"/>
                <w:u w:val="none"/>
              </w:rPr>
              <w:t xml:space="preserve">该项目总投资2701.15万元，其中财政资金0万元，其他资金2701.15万元。主要用于单位2025年人员工资正常发放及日常工作运转，延长工程使用寿命，消除工程运行隐患，确保2025年流域防洪、</w:t>
            </w:r>
            <w:r>
              <w:rPr>
                <w:rFonts w:ascii="方正仿宋_GBK" w:eastAsia="方正仿宋_GBK" w:hAnsi="方正仿宋_GBK" w:cs="方正仿宋_GBK" w:hint="eastAsia"/>
                <w:i w:val="0"/>
                <w:iCs w:val="0"/>
                <w:color w:val="000000"/>
                <w:sz w:val="18"/>
                <w:szCs w:val="18"/>
                <w:u w:val="none"/>
              </w:rPr>
              <w:t xml:space="preserve">度汛</w:t>
            </w:r>
            <w:r>
              <w:rPr>
                <w:rFonts w:ascii="方正仿宋_GBK" w:eastAsia="方正仿宋_GBK" w:hAnsi="方正仿宋_GBK" w:cs="方正仿宋_GBK" w:hint="eastAsia"/>
                <w:i w:val="0"/>
                <w:iCs w:val="0"/>
                <w:color w:val="000000"/>
                <w:sz w:val="18"/>
                <w:szCs w:val="18"/>
                <w:u w:val="none"/>
              </w:rPr>
              <w:t xml:space="preserve">、灌溉工作顺利完成，保障粮食安全，促进经济发展。</w:t>
            </w:r>
          </w:p>
        </w:tc>
        <w:tc>
          <w:tcPr>
            <w:tcW w:w="4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方正仿宋_GBK" w:eastAsia="方正仿宋_GBK" w:hAnsi="方正仿宋_GBK" w:cs="方正仿宋_GBK" w:hint="eastAsia"/>
                <w:i w:val="0"/>
                <w:iCs w:val="0"/>
                <w:color w:val="000000"/>
                <w:sz w:val="18"/>
                <w:szCs w:val="18"/>
                <w:u w:val="none"/>
                <w:lang w:eastAsia="zh-CN"/>
              </w:rPr>
            </w:pPr>
            <w:r>
              <w:rPr>
                <w:rFonts w:ascii="方正仿宋_GBK" w:eastAsia="方正仿宋_GBK" w:hAnsi="方正仿宋_GBK" w:cs="方正仿宋_GBK" w:hint="eastAsia"/>
                <w:i w:val="0"/>
                <w:iCs w:val="0"/>
                <w:color w:val="000000"/>
                <w:sz w:val="18"/>
                <w:szCs w:val="18"/>
                <w:u w:val="none"/>
                <w:lang w:eastAsia="zh-CN"/>
              </w:rPr>
              <w:t xml:space="preserve">主要用于单位发放</w:t>
            </w:r>
            <w:r>
              <w:rPr>
                <w:rFonts w:ascii="方正仿宋_GBK" w:eastAsia="方正仿宋_GBK" w:hAnsi="方正仿宋_GBK" w:cs="方正仿宋_GBK" w:hint="eastAsia"/>
                <w:i w:val="0"/>
                <w:iCs w:val="0"/>
                <w:color w:val="000000"/>
                <w:sz w:val="18"/>
                <w:szCs w:val="18"/>
                <w:u w:val="none"/>
                <w:lang w:val="en-US" w:eastAsia="zh-CN"/>
              </w:rPr>
              <w:t xml:space="preserve">2025年人员工资，正常发放人员工资12次及日常工作运转，保障了单位11辆车正常运行，采购防洪预警发布率95%，确保了2025年流域防洪、度汛、灌溉工作顺利完成，保障了粮食安全，促进经济发展。</w:t>
            </w:r>
          </w:p>
        </w:tc>
      </w:tr>
      <w:tr w14:paraId="55B0173C">
        <w:tblPrEx>
          <w:tblW w:w="14382" w:type="dxa"/>
          <w:tblInd w:w="0" w:type="dxa"/>
          <w:shd w:val="clear" w:color="auto" w:fill="auto"/>
          <w:tblLayout w:type="fixed"/>
          <w:tblCellMar>
            <w:top w:w="0" w:type="dxa"/>
            <w:left w:w="108" w:type="dxa"/>
            <w:bottom w:w="0" w:type="dxa"/>
            <w:right w:w="108" w:type="dxa"/>
          </w:tblCellMar>
        </w:tblPrEx>
        <w:trPr>
          <w:trHeight w:val="948"/>
        </w:trPr>
        <w:tc>
          <w:tcPr>
            <w:tcW w:w="917" w:type="dxa"/>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sz w:val="18"/>
                <w:szCs w:val="18"/>
                <w:u w:val="none"/>
                <w:lang w:val="en-US" w:eastAsia="zh-CN"/>
              </w:rPr>
              <w:t xml:space="preserve">绩效指标</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一级指标</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二级指标</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三级指标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指标值</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指标值设置依据</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上年完成值</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指标分值权重</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指标赋分规则</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佐证资料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指标实际完成值</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完成率</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指标得分</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偏差原因分析及改进措施</w:t>
            </w:r>
          </w:p>
        </w:tc>
      </w:tr>
      <w:tr w14:paraId="737D34DC">
        <w:tblPrEx>
          <w:tblW w:w="14382" w:type="dxa"/>
          <w:tblInd w:w="0" w:type="dxa"/>
          <w:shd w:val="clear" w:color="auto" w:fill="auto"/>
          <w:tblLayout w:type="fixed"/>
          <w:tblCellMar>
            <w:top w:w="0" w:type="dxa"/>
            <w:left w:w="108" w:type="dxa"/>
            <w:bottom w:w="0" w:type="dxa"/>
            <w:right w:w="108" w:type="dxa"/>
          </w:tblCellMar>
        </w:tblPrEx>
        <w:trPr>
          <w:trHeight w:val="381"/>
        </w:trPr>
        <w:tc>
          <w:tcPr>
            <w:tcW w:w="917"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产出指标</w:t>
            </w:r>
          </w:p>
        </w:tc>
        <w:tc>
          <w:tcPr>
            <w:tcW w:w="906" w:type="dxa"/>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数量指标</w:t>
            </w:r>
          </w:p>
        </w:tc>
        <w:tc>
          <w:tcPr>
            <w:tcW w:w="1875" w:type="dxa"/>
            <w:gridSpan w:val="2"/>
            <w:tcBorders>
              <w:top w:val="single" w:sz="4" w:space="0" w:color="000000"/>
              <w:left w:val="nil"/>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人员工资发放次数</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=12次</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8</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=12次</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8</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r>
      <w:tr w14:paraId="463A0BFF">
        <w:tblPrEx>
          <w:tblW w:w="14382" w:type="dxa"/>
          <w:tblInd w:w="0" w:type="dxa"/>
          <w:shd w:val="clear" w:color="auto" w:fill="auto"/>
          <w:tblLayout w:type="fixed"/>
          <w:tblCellMar>
            <w:top w:w="0" w:type="dxa"/>
            <w:left w:w="108" w:type="dxa"/>
            <w:bottom w:w="0" w:type="dxa"/>
            <w:right w:w="108" w:type="dxa"/>
          </w:tblCellMar>
        </w:tblPrEx>
        <w:trPr>
          <w:trHeight w:val="2736"/>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工资发放人数</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&gt;150人</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=156人</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104%</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1.92</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default"/>
                <w:i w:val="0"/>
                <w:iCs w:val="0"/>
                <w:color w:val="000000"/>
                <w:kern w:val="2"/>
                <w:sz w:val="18"/>
                <w:szCs w:val="18"/>
                <w:u w:val="none"/>
                <w:lang w:val="en-US" w:eastAsia="zh-CN" w:bidi="ar-SA"/>
              </w:rPr>
              <w:t xml:space="preserve">偏差原因：</w:t>
            </w:r>
            <w:r>
              <w:rPr>
                <w:rFonts w:ascii="方正仿宋_GBK" w:eastAsia="方正仿宋_GBK" w:hAnsi="方正仿宋_GBK" w:cs="方正仿宋_GBK" w:hint="eastAsia"/>
                <w:i w:val="0"/>
                <w:iCs w:val="0"/>
                <w:color w:val="000000"/>
                <w:kern w:val="2"/>
                <w:sz w:val="18"/>
                <w:szCs w:val="18"/>
                <w:u w:val="none"/>
                <w:lang w:val="en-US" w:eastAsia="zh-CN" w:bidi="ar-SA"/>
              </w:rPr>
              <w:t xml:space="preserve">做预算时，未能精准预算人数，计划工资发放人150人，实际工资发放人数156人；改进措施：今后提前精准人员变动情况，严格按照人事批复及实际在岗人数做好经费测算。</w:t>
            </w:r>
          </w:p>
          <w:p>
            <w:pPr>
              <w:keepNext w:val="0"/>
              <w:keepLines w:val="0"/>
              <w:widowControl/>
              <w:suppressLineNumbers w:val="0"/>
              <w:jc w:val="both"/>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r>
      <w:tr w14:paraId="2984EA7E">
        <w:tblPrEx>
          <w:tblW w:w="14382" w:type="dxa"/>
          <w:tblInd w:w="0" w:type="dxa"/>
          <w:shd w:val="clear" w:color="auto" w:fill="auto"/>
          <w:tblLayout w:type="fixed"/>
          <w:tblCellMar>
            <w:top w:w="0" w:type="dxa"/>
            <w:left w:w="108" w:type="dxa"/>
            <w:bottom w:w="0" w:type="dxa"/>
            <w:right w:w="108" w:type="dxa"/>
          </w:tblCellMar>
        </w:tblPrEx>
        <w:trPr>
          <w:trHeight w:val="55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公务保障用车数量</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=11辆</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=11辆</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68F7A216">
        <w:tblPrEx>
          <w:tblW w:w="14382" w:type="dxa"/>
          <w:tblInd w:w="0" w:type="dxa"/>
          <w:shd w:val="clear" w:color="auto" w:fill="auto"/>
          <w:tblLayout w:type="fixed"/>
          <w:tblCellMar>
            <w:top w:w="0" w:type="dxa"/>
            <w:left w:w="108" w:type="dxa"/>
            <w:bottom w:w="0" w:type="dxa"/>
            <w:right w:w="108" w:type="dxa"/>
          </w:tblCellMar>
        </w:tblPrEx>
        <w:trPr>
          <w:trHeight w:val="90"/>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防洪物资采购</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=2批</w:t>
            </w:r>
          </w:p>
        </w:tc>
        <w:tc>
          <w:tcPr>
            <w:tcW w:w="1312" w:type="dxa"/>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w:t>
            </w:r>
          </w:p>
        </w:tc>
        <w:tc>
          <w:tcPr>
            <w:tcW w:w="919"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=2批</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3A0746C2">
        <w:tblPrEx>
          <w:tblW w:w="14382" w:type="dxa"/>
          <w:tblInd w:w="0" w:type="dxa"/>
          <w:shd w:val="clear" w:color="auto" w:fill="auto"/>
          <w:tblLayout w:type="fixed"/>
          <w:tblCellMar>
            <w:top w:w="0" w:type="dxa"/>
            <w:left w:w="108" w:type="dxa"/>
            <w:bottom w:w="0" w:type="dxa"/>
            <w:right w:w="108" w:type="dxa"/>
          </w:tblCellMar>
        </w:tblPrEx>
        <w:trPr>
          <w:trHeight w:val="533"/>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水毁修复覆盖率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2</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0EB464E8">
        <w:tblPrEx>
          <w:tblW w:w="14382" w:type="dxa"/>
          <w:tblInd w:w="0" w:type="dxa"/>
          <w:shd w:val="clear" w:color="auto" w:fill="auto"/>
          <w:tblLayout w:type="fixed"/>
          <w:tblCellMar>
            <w:top w:w="0" w:type="dxa"/>
            <w:left w:w="108" w:type="dxa"/>
            <w:bottom w:w="0" w:type="dxa"/>
            <w:right w:w="108" w:type="dxa"/>
          </w:tblCellMar>
        </w:tblPrEx>
        <w:trPr>
          <w:trHeight w:val="409"/>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发放准确率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41F41D5D">
        <w:tblPrEx>
          <w:tblW w:w="14382" w:type="dxa"/>
          <w:tblInd w:w="0" w:type="dxa"/>
          <w:shd w:val="clear" w:color="auto" w:fill="auto"/>
          <w:tblLayout w:type="fixed"/>
          <w:tblCellMar>
            <w:top w:w="0" w:type="dxa"/>
            <w:left w:w="108" w:type="dxa"/>
            <w:bottom w:w="0" w:type="dxa"/>
            <w:right w:w="108" w:type="dxa"/>
          </w:tblCellMar>
        </w:tblPrEx>
        <w:trPr>
          <w:trHeight w:val="441"/>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防洪物资采购质量验收合格率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5</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5</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1D27AD4A">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时效指标</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工资发放及时率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6</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6</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4CC1E552">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防洪物资采购及时率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3</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3</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370CC798">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项目完工及时率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3</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3</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179C763B">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val="restart"/>
            <w:tcBorders>
              <w:top w:val="single" w:sz="4" w:space="0" w:color="000000"/>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成本指标</w:t>
            </w:r>
          </w:p>
        </w:tc>
        <w:tc>
          <w:tcPr>
            <w:tcW w:w="906" w:type="dxa"/>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经济成本指标</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人员工资支出</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&lt;=1332.17万元</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8</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原始凭证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=1332.17万元</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8</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2C2C0B87">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单位日常运转经费支出</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&lt;=898.08万元</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6</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原始凭证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=898.08万元</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6</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2B70E336">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vMerge/>
            <w:tcBorders>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906" w:type="dxa"/>
            <w:vMerge/>
            <w:tcBorders>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站点及水利设施维修项目经费支出</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&lt;=470.90万元</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6</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原始凭证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=470.90万元</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6</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14DED4FD">
        <w:tblPrEx>
          <w:tblW w:w="14382" w:type="dxa"/>
          <w:tblInd w:w="0" w:type="dxa"/>
          <w:shd w:val="clear" w:color="auto" w:fill="auto"/>
          <w:tblLayout w:type="fixed"/>
          <w:tblCellMar>
            <w:top w:w="0" w:type="dxa"/>
            <w:left w:w="108" w:type="dxa"/>
            <w:bottom w:w="0" w:type="dxa"/>
            <w:right w:w="108" w:type="dxa"/>
          </w:tblCellMar>
        </w:tblPrEx>
        <w:trPr>
          <w:trHeight w:val="464"/>
        </w:trPr>
        <w:tc>
          <w:tcPr>
            <w:tcW w:w="917" w:type="dxa"/>
            <w:vMerge/>
            <w:tcBorders>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效益指标</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社会效益指标</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left"/>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防洪预警预报发布率</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&gt;=95%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计划标准</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w:t>
            </w: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30</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按照完成比例赋分</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工作资料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=95%</w:t>
            </w: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iCs w:val="0"/>
                <w:color w:val="000000"/>
                <w:kern w:val="2"/>
                <w:sz w:val="18"/>
                <w:szCs w:val="18"/>
                <w:u w:val="none"/>
                <w:lang w:val="en-US" w:eastAsia="zh-CN" w:bidi="ar-SA"/>
              </w:rPr>
              <w:t xml:space="preserve">100%</w:t>
            </w: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ind w:left="0" w:right="0" w:firstLine="0" w:leftChars="0" w:rightChars="0" w:firstLineChars="0"/>
              <w:jc w:val="center"/>
              <w:textAlignment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r>
              <w:rPr>
                <w:rFonts w:ascii="方正仿宋_GBK" w:eastAsia="方正仿宋_GBK" w:hAnsi="方正仿宋_GBK" w:cs="方正仿宋_GBK" w:hint="eastAsia"/>
                <w:i w:val="0"/>
                <w:color w:val="000000"/>
                <w:kern w:val="0"/>
                <w:sz w:val="18"/>
                <w:szCs w:val="18"/>
                <w:u w:val="none"/>
                <w:lang w:val="en-US" w:eastAsia="zh-CN"/>
              </w:rPr>
              <w:t xml:space="preserve">30</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right="0" w:firstLine="0" w:leftChars="0" w:rightChars="0" w:firstLineChars="0"/>
              <w:jc w:val="center"/>
              <w:outlineLvl w:val="9"/>
              <w:rPr>
                <w:rFonts w:ascii="方正仿宋_GBK" w:eastAsia="方正仿宋_GBK" w:hAnsi="方正仿宋_GBK" w:cs="方正仿宋_GBK" w:hint="eastAsia"/>
                <w:i w:val="0"/>
                <w:iCs w:val="0"/>
                <w:color w:val="000000"/>
                <w:kern w:val="2"/>
                <w:sz w:val="18"/>
                <w:szCs w:val="18"/>
                <w:u w:val="none"/>
                <w:lang w:val="en-US" w:eastAsia="zh-CN" w:bidi="ar-SA"/>
              </w:rPr>
            </w:pPr>
          </w:p>
        </w:tc>
      </w:tr>
      <w:tr w14:paraId="12446686">
        <w:tblPrEx>
          <w:tblW w:w="14382" w:type="dxa"/>
          <w:tblInd w:w="0" w:type="dxa"/>
          <w:shd w:val="clear" w:color="auto" w:fill="auto"/>
          <w:tblLayout w:type="fixed"/>
          <w:tblCellMar>
            <w:top w:w="0" w:type="dxa"/>
            <w:left w:w="108" w:type="dxa"/>
            <w:bottom w:w="0" w:type="dxa"/>
            <w:right w:w="108" w:type="dxa"/>
          </w:tblCellMar>
        </w:tblPrEx>
        <w:trPr>
          <w:trHeight w:val="288"/>
        </w:trPr>
        <w:tc>
          <w:tcPr>
            <w:tcW w:w="4745" w:type="dxa"/>
            <w:gridSpan w:val="5"/>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12" w:type="dxa"/>
            <w:gridSpan w:val="2"/>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u w:val="none"/>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89.92</w:t>
            </w:r>
          </w:p>
        </w:tc>
        <w:tc>
          <w:tcPr>
            <w:tcW w:w="1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r>
    </w:tbl>
    <w:p>
      <w:pPr>
        <w:rPr>
          <w:rFonts w:ascii="仿宋_GB2312" w:eastAsia="仿宋_GB2312" w:hAnsi="仿宋_GB2312" w:cs="仿宋_GB2312" w:hint="default"/>
          <w:i w:val="0"/>
          <w:iCs w:val="0"/>
          <w:color w:val="000000"/>
          <w:kern w:val="2"/>
          <w:sz w:val="18"/>
          <w:szCs w:val="18"/>
          <w:u w:val="none"/>
          <w:lang w:val="en-US" w:eastAsia="zh-CN" w:bidi="ar-SA"/>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Bold r:id="rId1" w:subsetted="1" w:fontKey="{C7A3BDF1-E692-4D59-A958-B21F41ED566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9C7001F1-703E-4ACA-9647-053A7051E724}"/>
    <w:embedBold r:id="rId3" w:subsetted="1" w:fontKey="{8E988AA2-6D3B-48BB-99CF-BCA2FAEF01AA}"/>
  </w:font>
  <w:font w:name="Calibri">
    <w:panose1 w:val="020F0502020204030204"/>
    <w:charset w:val="00"/>
    <w:family w:val="swiss"/>
    <w:pitch w:val="default"/>
    <w:sig w:usb0="E4002EFF" w:usb1="C200247B" w:usb2="00000009" w:usb3="00000000" w:csb0="200001FF" w:csb1="00000000"/>
    <w:embedRegular r:id="rId4" w:subsetted="1" w:fontKey="{67670927-EC83-41D9-878E-3A319EBFEC00}"/>
  </w:font>
  <w:font w:name="仿宋_GB2312">
    <w:panose1 w:val="02010609030101010101"/>
    <w:charset w:val="86"/>
    <w:family w:val="modern"/>
    <w:pitch w:val="default"/>
    <w:sig w:usb0="00000001" w:usb1="080E0000" w:usb2="00000000" w:usb3="00000000" w:csb0="00040000" w:csb1="00000000"/>
    <w:embedRegular r:id="rId5" w:fontKey="{8DE47C12-03DF-4B96-BDE5-CA97E006A5A1}"/>
    <w:embedBold r:id="rId6" w:fontKey="{A56EFA61-B65C-496E-A0D5-F6C57C46397F}"/>
  </w:font>
  <w:font w:name="Calibri Light">
    <w:panose1 w:val="020F0302020204030204"/>
    <w:charset w:val="00"/>
    <w:family w:val="modern"/>
    <w:pitch w:val="default"/>
    <w:sig w:usb0="E4002EFF" w:usb1="C200247B" w:usb2="00000009" w:usb3="00000000" w:csb0="200001FF" w:csb1="00000000"/>
    <w:embedRegular r:id="rId7" w:subsetted="1" w:fontKey="{25FD8E24-70FB-4942-91E2-BB1A0070F41D}"/>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embedRegular r:id="rId8" w:fontKey="{3A8441C1-825C-4D31-A5B4-1E39A73298EE}"/>
  </w:font>
  <w:font w:name="方正仿宋_GBK">
    <w:panose1 w:val="02000000000000000000"/>
    <w:charset w:val="86"/>
    <w:family w:val="auto"/>
    <w:pitch w:val="default"/>
    <w:sig w:usb0="A00002BF" w:usb1="38CF7CFA" w:usb2="00082016" w:usb3="00000000" w:csb0="00040001" w:csb1="00000000"/>
    <w:embedRegular r:id="rId9" w:fontKey="{42299A3C-A99D-4169-AF6C-CBC786D253C4}"/>
  </w:font>
  <w:font w:name="楷体_GB2312">
    <w:panose1 w:val="02010609030101010101"/>
    <w:charset w:val="86"/>
    <w:family w:val="auto"/>
    <w:pitch w:val="default"/>
    <w:sig w:usb0="00000001" w:usb1="080E0000" w:usb2="00000000" w:usb3="00000000" w:csb0="00040000" w:csb1="00000000"/>
    <w:embedBold r:id="rId10" w:fontKey="{E3617313-F4D1-4A87-9394-8EEA13545839}"/>
  </w:font>
  <w:font w:name="仿宋">
    <w:panose1 w:val="02010609060101010101"/>
    <w:charset w:val="86"/>
    <w:family w:val="auto"/>
    <w:pitch w:val="default"/>
    <w:sig w:usb0="800002BF" w:usb1="38CF7CFA" w:usb2="00000016" w:usb3="00000000" w:csb0="00040001" w:csb1="00000000"/>
    <w:embedRegular r:id="rId11" w:subsetted="1" w:fontKey="{958D4271-787E-48CB-AACF-38D079C67B5C}"/>
  </w:font>
  <w:font w:name="楷体">
    <w:panose1 w:val="02010609060101010101"/>
    <w:charset w:val="86"/>
    <w:family w:val="roman"/>
    <w:pitch w:val="default"/>
    <w:sig w:usb0="800002BF" w:usb1="38CF7CFA" w:usb2="00000016" w:usb3="00000000" w:csb0="00040001" w:csb1="00000000"/>
    <w:embedRegular r:id="rId12" w:subsetted="1" w:fontKey="{8057C798-8C41-4DBC-8294-6556AF97F19E}"/>
    <w:embedBold r:id="rId13" w:subsetted="1" w:fontKey="{41F2C7FF-E451-4B39-AE28-DB344D891E0C}"/>
  </w:font>
  <w:font w:name="方正小标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t xml:space="preserve">1</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9379A8"/>
    <w:multiLevelType w:val="singleLevel"/>
    <w:tmpl w:val="FF9379A8"/>
    <w:name w:val="Numbered_d9a039a7-8799-4be1-bce9-da4c4731eb16"/>
    <w:lvl w:ilvl="0">
      <w:start w:val="2"/>
      <w:numFmt w:val="chineseCounting"/>
      <w:suff w:val="nothing"/>
      <w:lvlText w:val="（%1）"/>
      <w:lvlJc w:val="left"/>
      <w:rPr>
        <w:rFonts w:hint="eastAsia"/>
      </w:rPr>
    </w:lvl>
  </w:abstractNum>
  <w:abstractNum w:abstractNumId="1">
    <w:nsid w:val="116B29BF"/>
    <w:multiLevelType w:val="singleLevel"/>
    <w:tmpl w:val="116B29BF"/>
    <w:name w:val="Numbered_87a09dbe-42e1-42ff-ac3f-61050195a133"/>
    <w:lvl w:ilvl="0">
      <w:start w:val="3"/>
      <w:numFmt w:val="chineseCounting"/>
      <w:suff w:val="nothing"/>
      <w:lvlText w:val="%1、"/>
      <w:lvlJc w:val="left"/>
      <w:rPr>
        <w:rFonts w:hint="eastAsia"/>
      </w:rPr>
    </w:lvl>
  </w:abstractNum>
  <w:abstractNum w:abstractNumId="2">
    <w:nsid w:val="27813159"/>
    <w:multiLevelType w:val="singleLevel"/>
    <w:tmpl w:val="27813159"/>
    <w:name w:val="Numbered_84e6dff8-51e0-436c-a04e-8c0a12db0ac4"/>
    <w:lvl w:ilvl="0">
      <w:start w:val="3"/>
      <w:numFmt w:val="chineseCounting"/>
      <w:suff w:val="nothing"/>
      <w:lvlText w:val="（%1）"/>
      <w:lvlJc w:val="left"/>
      <w:rPr>
        <w:rFonts w:hint="eastAsia"/>
      </w:rPr>
    </w:lvl>
  </w:abstractNum>
  <w:abstractNum w:abstractNumId="3">
    <w:nsid w:val="6FAA0AB1"/>
    <w:multiLevelType w:val="singleLevel"/>
    <w:tmpl w:val="6FAA0AB1"/>
    <w:name w:val="Numbered_d172a8f2-d85d-4656-b3b6-66282665ca25"/>
    <w:lvl w:ilvl="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417B77"/>
    <w:rsid w:val="006F7242"/>
    <w:rsid w:val="007B168A"/>
    <w:rsid w:val="008B2CFE"/>
    <w:rsid w:val="00D14946"/>
    <w:rsid w:val="00F26FF6"/>
    <w:rsid w:val="011E0236"/>
    <w:rsid w:val="01610122"/>
    <w:rsid w:val="01B80F22"/>
    <w:rsid w:val="02510197"/>
    <w:rsid w:val="030F6088"/>
    <w:rsid w:val="036D1000"/>
    <w:rsid w:val="03EC461B"/>
    <w:rsid w:val="04820ADC"/>
    <w:rsid w:val="04B425C4"/>
    <w:rsid w:val="04FC7963"/>
    <w:rsid w:val="057E12A3"/>
    <w:rsid w:val="064C13A1"/>
    <w:rsid w:val="07397B77"/>
    <w:rsid w:val="07EB626D"/>
    <w:rsid w:val="084E1401"/>
    <w:rsid w:val="0AD007F3"/>
    <w:rsid w:val="0AFC15E8"/>
    <w:rsid w:val="0B0E7513"/>
    <w:rsid w:val="0B3F14D4"/>
    <w:rsid w:val="0BAB6B6A"/>
    <w:rsid w:val="0BDB1103"/>
    <w:rsid w:val="0C061FF2"/>
    <w:rsid w:val="0CE42333"/>
    <w:rsid w:val="0DE46363"/>
    <w:rsid w:val="0E3C619F"/>
    <w:rsid w:val="0E6801EC"/>
    <w:rsid w:val="0EFE4AC2"/>
    <w:rsid w:val="0F6F3B45"/>
    <w:rsid w:val="11170296"/>
    <w:rsid w:val="11B60016"/>
    <w:rsid w:val="13471461"/>
    <w:rsid w:val="13B90F01"/>
    <w:rsid w:val="141E2B33"/>
    <w:rsid w:val="155E4C4D"/>
    <w:rsid w:val="15C46285"/>
    <w:rsid w:val="16290DB7"/>
    <w:rsid w:val="164D0F49"/>
    <w:rsid w:val="16D276A1"/>
    <w:rsid w:val="16E318AE"/>
    <w:rsid w:val="17462648"/>
    <w:rsid w:val="1763586C"/>
    <w:rsid w:val="181066D2"/>
    <w:rsid w:val="18143491"/>
    <w:rsid w:val="18177FE3"/>
    <w:rsid w:val="199944A6"/>
    <w:rsid w:val="19AD23A6"/>
    <w:rsid w:val="1A2B4F63"/>
    <w:rsid w:val="1A564145"/>
    <w:rsid w:val="1AD938CB"/>
    <w:rsid w:val="1AE2543D"/>
    <w:rsid w:val="1C671E73"/>
    <w:rsid w:val="1D1125A5"/>
    <w:rsid w:val="1D322C47"/>
    <w:rsid w:val="1E6E5F01"/>
    <w:rsid w:val="1E934856"/>
    <w:rsid w:val="1EE2425F"/>
    <w:rsid w:val="1F1840BF"/>
    <w:rsid w:val="20C067BC"/>
    <w:rsid w:val="23111551"/>
    <w:rsid w:val="23616034"/>
    <w:rsid w:val="23D4607E"/>
    <w:rsid w:val="241E5A50"/>
    <w:rsid w:val="24264886"/>
    <w:rsid w:val="24480FA2"/>
    <w:rsid w:val="246663D3"/>
    <w:rsid w:val="25227A45"/>
    <w:rsid w:val="258A1202"/>
    <w:rsid w:val="26AC3A6A"/>
    <w:rsid w:val="26B26BA7"/>
    <w:rsid w:val="27066912"/>
    <w:rsid w:val="27486482"/>
    <w:rsid w:val="27AD03A5"/>
    <w:rsid w:val="27C923FA"/>
    <w:rsid w:val="281178FD"/>
    <w:rsid w:val="28A87343"/>
    <w:rsid w:val="294855A0"/>
    <w:rsid w:val="2ADA0E92"/>
    <w:rsid w:val="2AEA2DB3"/>
    <w:rsid w:val="2B9D7E25"/>
    <w:rsid w:val="2BE45A54"/>
    <w:rsid w:val="2C212804"/>
    <w:rsid w:val="2C7C7A3B"/>
    <w:rsid w:val="2C923702"/>
    <w:rsid w:val="2E20089A"/>
    <w:rsid w:val="2E861EE7"/>
    <w:rsid w:val="2EFC0D68"/>
    <w:rsid w:val="2F364819"/>
    <w:rsid w:val="2FD63906"/>
    <w:rsid w:val="30544BE1"/>
    <w:rsid w:val="31570A76"/>
    <w:rsid w:val="31604E45"/>
    <w:rsid w:val="316D029A"/>
    <w:rsid w:val="34336FAF"/>
    <w:rsid w:val="346C4839"/>
    <w:rsid w:val="35146474"/>
    <w:rsid w:val="36DE12F2"/>
    <w:rsid w:val="36E5781D"/>
    <w:rsid w:val="371E2EBE"/>
    <w:rsid w:val="37215DAE"/>
    <w:rsid w:val="37F87CF5"/>
    <w:rsid w:val="38CA40DD"/>
    <w:rsid w:val="395104A1"/>
    <w:rsid w:val="395F2B56"/>
    <w:rsid w:val="3A1B0664"/>
    <w:rsid w:val="3B5D312D"/>
    <w:rsid w:val="3BBA0580"/>
    <w:rsid w:val="3BECE841"/>
    <w:rsid w:val="3C706E90"/>
    <w:rsid w:val="3CDE204C"/>
    <w:rsid w:val="3D363C36"/>
    <w:rsid w:val="3E2550F6"/>
    <w:rsid w:val="3E636CAD"/>
    <w:rsid w:val="3E720C9E"/>
    <w:rsid w:val="3E9C3F6D"/>
    <w:rsid w:val="3FB11C9A"/>
    <w:rsid w:val="3FF7797D"/>
    <w:rsid w:val="3FFF479F"/>
    <w:rsid w:val="401D10DD"/>
    <w:rsid w:val="406E00C4"/>
    <w:rsid w:val="40DC2D46"/>
    <w:rsid w:val="41AC774B"/>
    <w:rsid w:val="41AF2209"/>
    <w:rsid w:val="424B1F31"/>
    <w:rsid w:val="431A7B56"/>
    <w:rsid w:val="43601655"/>
    <w:rsid w:val="43D43577"/>
    <w:rsid w:val="448A77DA"/>
    <w:rsid w:val="458B6AE9"/>
    <w:rsid w:val="45E15804"/>
    <w:rsid w:val="464B69A4"/>
    <w:rsid w:val="46690BD8"/>
    <w:rsid w:val="46953E87"/>
    <w:rsid w:val="47132FF3"/>
    <w:rsid w:val="47501D98"/>
    <w:rsid w:val="47BB35B6"/>
    <w:rsid w:val="47D26417"/>
    <w:rsid w:val="47DB5B06"/>
    <w:rsid w:val="48D013E2"/>
    <w:rsid w:val="497F1DAA"/>
    <w:rsid w:val="49C10D2B"/>
    <w:rsid w:val="49F70BF1"/>
    <w:rsid w:val="4B33126C"/>
    <w:rsid w:val="4B4340EE"/>
    <w:rsid w:val="4BA32825"/>
    <w:rsid w:val="4BF06537"/>
    <w:rsid w:val="4C94656E"/>
    <w:rsid w:val="4D9E1AAF"/>
    <w:rsid w:val="4ED35EDF"/>
    <w:rsid w:val="4F336227"/>
    <w:rsid w:val="503D507A"/>
    <w:rsid w:val="504B57F2"/>
    <w:rsid w:val="505E1082"/>
    <w:rsid w:val="51291C37"/>
    <w:rsid w:val="513E5B47"/>
    <w:rsid w:val="517F0E48"/>
    <w:rsid w:val="51FA74D0"/>
    <w:rsid w:val="528A5B24"/>
    <w:rsid w:val="52AA4A52"/>
    <w:rsid w:val="53ED493E"/>
    <w:rsid w:val="54E56216"/>
    <w:rsid w:val="550F5041"/>
    <w:rsid w:val="55EB1ADB"/>
    <w:rsid w:val="56277B56"/>
    <w:rsid w:val="574A40F1"/>
    <w:rsid w:val="57D91936"/>
    <w:rsid w:val="589C4E3D"/>
    <w:rsid w:val="59943D66"/>
    <w:rsid w:val="59E051FD"/>
    <w:rsid w:val="59E6355E"/>
    <w:rsid w:val="59F62CA4"/>
    <w:rsid w:val="59F974AC"/>
    <w:rsid w:val="5A184997"/>
    <w:rsid w:val="5A3F7C21"/>
    <w:rsid w:val="5B821531"/>
    <w:rsid w:val="5BFF6039"/>
    <w:rsid w:val="5C476399"/>
    <w:rsid w:val="5D76A616"/>
    <w:rsid w:val="5D7F20B9"/>
    <w:rsid w:val="5DAC7D0E"/>
    <w:rsid w:val="5DF254FF"/>
    <w:rsid w:val="5E4F2952"/>
    <w:rsid w:val="5F0C33D8"/>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F242EE"/>
    <w:rsid w:val="666D7E19"/>
    <w:rsid w:val="66B06886"/>
    <w:rsid w:val="66C51A03"/>
    <w:rsid w:val="67BC2292"/>
    <w:rsid w:val="68355FA4"/>
    <w:rsid w:val="68376930"/>
    <w:rsid w:val="683F3494"/>
    <w:rsid w:val="68F91E38"/>
    <w:rsid w:val="69767E03"/>
    <w:rsid w:val="6A99742E"/>
    <w:rsid w:val="6B3158B9"/>
    <w:rsid w:val="6BA02A3F"/>
    <w:rsid w:val="6C1E5A53"/>
    <w:rsid w:val="6C7F76DF"/>
    <w:rsid w:val="6CD17D59"/>
    <w:rsid w:val="6D144001"/>
    <w:rsid w:val="6DD20F3C"/>
    <w:rsid w:val="6F5C41AC"/>
    <w:rsid w:val="6FAF6C78"/>
    <w:rsid w:val="6FD66A2F"/>
    <w:rsid w:val="701B08E6"/>
    <w:rsid w:val="707A7747"/>
    <w:rsid w:val="716167CC"/>
    <w:rsid w:val="718A7AD1"/>
    <w:rsid w:val="726376B6"/>
    <w:rsid w:val="72A44BC2"/>
    <w:rsid w:val="72F67375"/>
    <w:rsid w:val="7317C656"/>
    <w:rsid w:val="734ED73F"/>
    <w:rsid w:val="73C82B32"/>
    <w:rsid w:val="73F94DAE"/>
    <w:rsid w:val="74220495"/>
    <w:rsid w:val="747D1B6F"/>
    <w:rsid w:val="749E5641"/>
    <w:rsid w:val="756B19C7"/>
    <w:rsid w:val="758B206A"/>
    <w:rsid w:val="759926FC"/>
    <w:rsid w:val="76271066"/>
    <w:rsid w:val="7755292F"/>
    <w:rsid w:val="77FD8BE9"/>
    <w:rsid w:val="78000AED"/>
    <w:rsid w:val="78C80335"/>
    <w:rsid w:val="78DD2BDC"/>
    <w:rsid w:val="78FE2B52"/>
    <w:rsid w:val="79055C6B"/>
    <w:rsid w:val="7983686A"/>
    <w:rsid w:val="79A9BD3F"/>
    <w:rsid w:val="7B346CFF"/>
    <w:rsid w:val="7B776F12"/>
    <w:rsid w:val="7B9526A8"/>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s>
  <w:docVars>
    <w:docVar w:name="commondata" w:val="eyJoZGlkIjoiMTdiOGM5NzlhN2JhOTc3OTljZTBmY2FhN2MzNTk3ODE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qFormat="1"/>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unhideWhenUsed/>
    <w:qFormat/>
  </w:style>
  <w:style w:type="table" w:default="1" w:styleId="NormalTable">
    <w:name w:val="Normal Table"/>
    <w:uiPriority w:val="99"/>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List">
    <w:name w:val="List"/>
    <w:basedOn w:val="Normal"/>
    <w:qFormat/>
    <w:pPr>
      <w:widowControl/>
      <w:adjustRightInd w:val="0"/>
      <w:snapToGrid w:val="0"/>
      <w:spacing w:line="312" w:lineRule="auto"/>
      <w:jc w:val="center"/>
    </w:pPr>
    <w:rPr>
      <w:rFonts w:ascii="黑体" w:eastAsia="黑体" w:cs="宋体"/>
      <w:snapToGrid w:val="0"/>
      <w:kern w:val="0"/>
      <w:sz w:val="24"/>
    </w:r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character" w:customStyle="1" w:styleId="font51">
    <w:name w:val="font5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仿宋_GB2312" w:eastAsia="仿宋_GB2312" w:cs="仿宋_GB2312" w:hint="eastAsia"/>
      <w:color w:val="000000"/>
      <w:sz w:val="18"/>
      <w:szCs w:val="18"/>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numbering" Target="numbering.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12" Type="http://schemas.openxmlformats.org/officeDocument/2006/relationships/font" Target="fonts/font12.odttf"/><Relationship Id="rId13" Type="http://schemas.openxmlformats.org/officeDocument/2006/relationships/font" Target="fonts/font13.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13725</Words>
  <Characters>14520</Characters>
  <Application>WPS Office_12.1.0.25225_F1E327BC-269C-435d-A152-05C5408002CA</Application>
  <DocSecurity>0</DocSecurity>
  <Lines>58</Lines>
  <Paragraphs>16</Paragraphs>
  <ScaleCrop>false</ScaleCrop>
  <LinksUpToDate>false</LinksUpToDate>
  <CharactersWithSpaces>14638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Bae.</cp:lastModifiedBy>
  <cp:revision>2</cp:revision>
  <cp:lastPrinted>2026-04-01T09:32:00Z</cp:lastPrinted>
  <dcterms:created xsi:type="dcterms:W3CDTF">2023-03-08T13:13:00Z</dcterms:created>
  <dcterms:modified xsi:type="dcterms:W3CDTF">2026-04-02T11:03:28Z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744449EDA06F41698C92129A9C523357_13</vt:lpwstr>
  </property>
  <property fmtid="{D5CDD505-2E9C-101B-9397-08002B2CF9AE}" pid="4" name="KSOTemplateDocerSaveRecord">
    <vt:lpwstr>eyJoZGlkIjoiN2VlNzM2NDNmY2NkNDYwY2YwYTFkYzExOWUyMjRiOGIiLCJ1c2VySWQiOiIxNTE0NDUzMzczIn0_x003D_</vt:lpwstr>
  </property>
</Properties>
</file>