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黑体" w:eastAsia="黑体" w:hAnsi="黑体" w:cs="黑体" w:hint="eastAsia"/>
          <w:b/>
          <w:kern w:val="0"/>
          <w:sz w:val="32"/>
          <w:szCs w:val="32"/>
          <w:highlight w:val="none"/>
          <w:lang w:eastAsia="zh-CN"/>
        </w:rPr>
      </w:pPr>
    </w:p>
    <w:p>
      <w:pPr>
        <w:spacing w:line="540" w:lineRule="exact"/>
        <w:jc w:val="left"/>
        <w:rPr>
          <w:rFonts w:ascii="黑体" w:eastAsia="黑体" w:hAnsi="黑体" w:cs="黑体" w:hint="eastAsia"/>
          <w:b/>
          <w:kern w:val="0"/>
          <w:sz w:val="32"/>
          <w:szCs w:val="32"/>
          <w:highlight w:val="none"/>
          <w:lang w:eastAsia="zh-CN"/>
        </w:rPr>
      </w:pPr>
    </w:p>
    <w:p>
      <w:pPr>
        <w:spacing w:line="540" w:lineRule="exact"/>
        <w:jc w:val="left"/>
        <w:rPr>
          <w:rFonts w:ascii="黑体" w:eastAsia="黑体" w:hAnsi="黑体" w:cs="黑体" w:hint="eastAsia"/>
          <w:b/>
          <w:kern w:val="0"/>
          <w:sz w:val="32"/>
          <w:szCs w:val="32"/>
          <w:highlight w:val="none"/>
          <w:lang w:val="en-US" w:eastAsia="zh-CN"/>
        </w:rPr>
      </w:pPr>
      <w:r>
        <w:rPr>
          <w:rFonts w:ascii="黑体" w:eastAsia="黑体" w:hAnsi="黑体" w:cs="黑体" w:hint="eastAsia"/>
          <w:b/>
          <w:kern w:val="0"/>
          <w:sz w:val="32"/>
          <w:szCs w:val="32"/>
          <w:highlight w:val="none"/>
          <w:lang w:eastAsia="zh-CN"/>
        </w:rPr>
        <w:t xml:space="preserve">附件</w:t>
      </w:r>
      <w:r>
        <w:rPr>
          <w:rFonts w:ascii="黑体" w:eastAsia="黑体" w:hAnsi="黑体" w:cs="黑体" w:hint="eastAsia"/>
          <w:b/>
          <w:kern w:val="0"/>
          <w:sz w:val="32"/>
          <w:szCs w:val="32"/>
          <w:highlight w:val="none"/>
          <w:lang w:val="en-US" w:eastAsia="zh-CN"/>
        </w:rPr>
        <w:t xml:space="preserve">2</w:t>
      </w:r>
    </w:p>
    <w:p>
      <w:pPr>
        <w:spacing w:line="540" w:lineRule="exact"/>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方正小标宋_GBK" w:hAnsi="Times New Roman" w:cs="Times New Roman" w:hint="default"/>
          <w:kern w:val="0"/>
          <w:sz w:val="48"/>
          <w:szCs w:val="48"/>
          <w:highlight w:val="none"/>
        </w:rPr>
      </w:pPr>
      <w:r>
        <w:rPr>
          <w:rFonts w:ascii="Times New Roman" w:eastAsia="方正小标宋_GBK" w:hAnsi="Times New Roman" w:cs="Times New Roman" w:hint="default"/>
          <w:kern w:val="0"/>
          <w:sz w:val="48"/>
          <w:szCs w:val="48"/>
          <w:highlight w:val="none"/>
        </w:rPr>
        <w:t xml:space="preserve">经营成本性项目支出绩效评价</w:t>
      </w:r>
    </w:p>
    <w:p>
      <w:pPr>
        <w:spacing w:line="540" w:lineRule="exact"/>
        <w:jc w:val="center"/>
        <w:rPr>
          <w:rFonts w:ascii="Times New Roman" w:eastAsia="方正小标宋_GBK" w:hAnsi="Times New Roman" w:cs="Times New Roman" w:hint="default"/>
          <w:kern w:val="0"/>
          <w:sz w:val="48"/>
          <w:szCs w:val="48"/>
          <w:highlight w:val="none"/>
        </w:rPr>
      </w:pPr>
      <w:r>
        <w:rPr>
          <w:rFonts w:ascii="Times New Roman" w:eastAsia="方正小标宋_GBK" w:hAnsi="Times New Roman" w:cs="Times New Roman" w:hint="default"/>
          <w:kern w:val="0"/>
          <w:sz w:val="48"/>
          <w:szCs w:val="48"/>
          <w:highlight w:val="none"/>
        </w:rPr>
        <w:t xml:space="preserve">报告</w:t>
      </w:r>
    </w:p>
    <w:p>
      <w:pPr>
        <w:spacing w:line="540" w:lineRule="exact"/>
        <w:jc w:val="center"/>
        <w:rPr>
          <w:rFonts w:ascii="Times New Roman" w:eastAsia="华文中宋" w:hAnsi="Times New Roman" w:cs="Times New Roman" w:hint="default"/>
          <w:b/>
          <w:kern w:val="0"/>
          <w:sz w:val="52"/>
          <w:szCs w:val="52"/>
          <w:highlight w:val="none"/>
        </w:rPr>
      </w:pPr>
    </w:p>
    <w:p>
      <w:pPr>
        <w:spacing w:line="540" w:lineRule="exact"/>
        <w:jc w:val="center"/>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（202</w:t>
      </w:r>
      <w:r>
        <w:rPr>
          <w:rFonts w:eastAsia="仿宋_GB2312" w:cs="Times New Roman" w:hint="eastAsia"/>
          <w:kern w:val="0"/>
          <w:sz w:val="36"/>
          <w:szCs w:val="36"/>
          <w:highlight w:val="none"/>
          <w:lang w:val="en-US" w:eastAsia="zh-CN"/>
        </w:rPr>
        <w:t xml:space="preserve">5</w:t>
      </w:r>
      <w:r>
        <w:rPr>
          <w:rFonts w:ascii="Times New Roman" w:eastAsia="仿宋_GB2312" w:hAnsi="Times New Roman" w:cs="Times New Roman" w:hint="default"/>
          <w:kern w:val="0"/>
          <w:sz w:val="36"/>
          <w:szCs w:val="36"/>
          <w:highlight w:val="none"/>
        </w:rPr>
        <w:t xml:space="preserve">年度）</w:t>
      </w: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700" w:lineRule="exact"/>
        <w:ind w:firstLine="1440" w:firstLineChars="400"/>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项目名称：经营成本性项目</w:t>
      </w:r>
    </w:p>
    <w:p>
      <w:pPr>
        <w:spacing w:line="700" w:lineRule="exact"/>
        <w:ind w:left="1436" w:firstLine="0" w:leftChars="684" w:firstLineChars="0"/>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实施单位（公章）：</w:t>
      </w:r>
      <w:r>
        <w:rPr>
          <w:rFonts w:eastAsia="仿宋_GB2312" w:cs="Times New Roman" w:hint="eastAsia"/>
          <w:kern w:val="0"/>
          <w:sz w:val="36"/>
          <w:szCs w:val="36"/>
          <w:highlight w:val="none"/>
          <w:lang w:val="en-US" w:eastAsia="zh-CN"/>
        </w:rPr>
        <w:t xml:space="preserve">新疆维吾尔自治区塔里木河流域开都孔雀河水利管理中心</w:t>
      </w:r>
    </w:p>
    <w:p>
      <w:pPr>
        <w:spacing w:line="700" w:lineRule="exact"/>
        <w:ind w:firstLine="1440" w:firstLineChars="400"/>
        <w:jc w:val="left"/>
        <w:rPr>
          <w:rFonts w:ascii="Times New Roman" w:eastAsia="仿宋_GB2312" w:hAnsi="Times New Roman" w:cs="Times New Roman" w:hint="default"/>
          <w:kern w:val="0"/>
          <w:sz w:val="36"/>
          <w:szCs w:val="36"/>
          <w:highlight w:val="none"/>
        </w:rPr>
      </w:pPr>
      <w:r>
        <w:rPr>
          <w:rFonts w:ascii="Times New Roman" w:eastAsia="仿宋_GB2312" w:hAnsi="Times New Roman" w:cs="Times New Roman" w:hint="default"/>
          <w:kern w:val="0"/>
          <w:sz w:val="36"/>
          <w:szCs w:val="36"/>
          <w:highlight w:val="none"/>
        </w:rPr>
        <w:t xml:space="preserve">主管部门（公章）：</w:t>
      </w:r>
      <w:r>
        <w:rPr>
          <w:rFonts w:eastAsia="仿宋_GB2312" w:cs="Times New Roman" w:hint="eastAsia"/>
          <w:kern w:val="0"/>
          <w:sz w:val="36"/>
          <w:szCs w:val="36"/>
          <w:highlight w:val="none"/>
          <w:lang w:val="en-US" w:eastAsia="zh-CN"/>
        </w:rPr>
        <w:t xml:space="preserve">新疆维吾尔自治区水利厅</w:t>
      </w:r>
    </w:p>
    <w:p>
      <w:pPr>
        <w:spacing w:line="700" w:lineRule="exact"/>
        <w:ind w:firstLine="1440" w:firstLineChars="400"/>
        <w:jc w:val="left"/>
        <w:rPr>
          <w:rFonts w:ascii="Times New Roman" w:eastAsia="仿宋_GB2312" w:hAnsi="Times New Roman" w:cs="Times New Roman" w:hint="default"/>
          <w:kern w:val="0"/>
          <w:sz w:val="36"/>
          <w:szCs w:val="36"/>
          <w:highlight w:val="none"/>
          <w:lang w:val="en-US" w:eastAsia="zh-CN"/>
        </w:rPr>
      </w:pPr>
      <w:r>
        <w:rPr>
          <w:rFonts w:ascii="Times New Roman" w:eastAsia="仿宋_GB2312" w:hAnsi="Times New Roman" w:cs="Times New Roman" w:hint="default"/>
          <w:kern w:val="0"/>
          <w:sz w:val="36"/>
          <w:szCs w:val="36"/>
          <w:highlight w:val="none"/>
        </w:rPr>
        <w:t xml:space="preserve">项目负责人（签章）：</w:t>
      </w:r>
      <w:r>
        <w:rPr>
          <w:rFonts w:eastAsia="仿宋_GB2312" w:cs="Times New Roman" w:hint="eastAsia"/>
          <w:kern w:val="0"/>
          <w:sz w:val="36"/>
          <w:szCs w:val="36"/>
          <w:highlight w:val="none"/>
          <w:lang w:val="en-US" w:eastAsia="zh-CN"/>
        </w:rPr>
        <w:t xml:space="preserve">邹建</w:t>
      </w:r>
    </w:p>
    <w:p>
      <w:pPr>
        <w:spacing w:line="700" w:lineRule="exact"/>
        <w:ind w:firstLine="1440" w:firstLineChars="400"/>
        <w:jc w:val="left"/>
        <w:rPr>
          <w:rFonts w:ascii="Times New Roman" w:eastAsia="仿宋_GB2312" w:hAnsi="Times New Roman" w:cs="Times New Roman" w:hint="default"/>
          <w:kern w:val="0"/>
          <w:sz w:val="30"/>
          <w:szCs w:val="30"/>
          <w:highlight w:val="none"/>
        </w:rPr>
      </w:pPr>
      <w:r>
        <w:rPr>
          <w:rFonts w:ascii="Times New Roman" w:eastAsia="仿宋_GB2312" w:hAnsi="Times New Roman" w:cs="Times New Roman" w:hint="default"/>
          <w:kern w:val="0"/>
          <w:sz w:val="36"/>
          <w:szCs w:val="36"/>
          <w:highlight w:val="none"/>
        </w:rPr>
        <w:t xml:space="preserve">填报时间：</w:t>
      </w:r>
      <w:r>
        <w:rPr>
          <w:rFonts w:eastAsia="仿宋_GB2312" w:cs="Times New Roman" w:hint="eastAsia"/>
          <w:kern w:val="0"/>
          <w:sz w:val="36"/>
          <w:szCs w:val="36"/>
          <w:highlight w:val="none"/>
          <w:lang w:val="en-US" w:eastAsia="zh-CN"/>
        </w:rPr>
        <w:t xml:space="preserve">2026</w:t>
      </w:r>
      <w:r>
        <w:rPr>
          <w:rFonts w:ascii="Times New Roman" w:eastAsia="仿宋_GB2312" w:hAnsi="Times New Roman" w:cs="Times New Roman" w:hint="default"/>
          <w:kern w:val="0"/>
          <w:sz w:val="36"/>
          <w:szCs w:val="36"/>
          <w:highlight w:val="none"/>
        </w:rPr>
        <w:t xml:space="preserve">年</w:t>
      </w:r>
      <w:r>
        <w:rPr>
          <w:rFonts w:eastAsia="仿宋_GB2312" w:cs="Times New Roman" w:hint="eastAsia"/>
          <w:kern w:val="0"/>
          <w:sz w:val="36"/>
          <w:szCs w:val="36"/>
          <w:highlight w:val="none"/>
          <w:lang w:val="en-US" w:eastAsia="zh-CN"/>
        </w:rPr>
        <w:t xml:space="preserve">3</w:t>
      </w:r>
      <w:r>
        <w:rPr>
          <w:rFonts w:ascii="Times New Roman" w:eastAsia="仿宋_GB2312" w:hAnsi="Times New Roman" w:cs="Times New Roman" w:hint="default"/>
          <w:kern w:val="0"/>
          <w:sz w:val="36"/>
          <w:szCs w:val="36"/>
          <w:highlight w:val="none"/>
        </w:rPr>
        <w:t xml:space="preserve">月</w:t>
      </w:r>
      <w:r>
        <w:rPr>
          <w:rFonts w:eastAsia="仿宋_GB2312" w:cs="Times New Roman" w:hint="eastAsia"/>
          <w:kern w:val="0"/>
          <w:sz w:val="36"/>
          <w:szCs w:val="36"/>
          <w:highlight w:val="none"/>
          <w:lang w:val="en-US" w:eastAsia="zh-CN"/>
        </w:rPr>
        <w:t xml:space="preserve">27</w:t>
      </w:r>
      <w:r>
        <w:rPr>
          <w:rFonts w:ascii="Times New Roman" w:eastAsia="仿宋_GB2312" w:hAnsi="Times New Roman" w:cs="Times New Roman" w:hint="default"/>
          <w:kern w:val="0"/>
          <w:sz w:val="36"/>
          <w:szCs w:val="36"/>
          <w:highlight w:val="none"/>
        </w:rPr>
        <w:t xml:space="preserve">日</w:t>
      </w:r>
    </w:p>
    <w:p>
      <w:pPr>
        <w:spacing w:line="540" w:lineRule="exact"/>
        <w:jc w:val="center"/>
        <w:rPr>
          <w:rFonts w:ascii="Times New Roman" w:eastAsia="仿宋_GB2312" w:hAnsi="Times New Roman" w:cs="Times New Roman" w:hint="default"/>
          <w:kern w:val="0"/>
          <w:sz w:val="30"/>
          <w:szCs w:val="30"/>
          <w:highlight w:val="none"/>
        </w:rPr>
      </w:pPr>
    </w:p>
    <w:sdt>
      <w:sdtPr>
        <w:rPr>
          <w:rFonts w:ascii="宋体" w:eastAsia="宋体" w:hAnsi="宋体" w:cs="Times New Roman"/>
          <w:b/>
          <w:bCs/>
          <w:kern w:val="2"/>
          <w:sz w:val="44"/>
          <w:szCs w:val="44"/>
          <w:highlight w:val="none"/>
          <w:lang w:val="en-US" w:eastAsia="zh-CN" w:bidi="ar-SA"/>
        </w:rPr>
        <w:id w:val="147456767"/>
        <w:docPartObj>
          <w:docPartGallery w:val="Table of Contents"/>
          <w:docPartUnique/>
        </w:docPartObj>
        <w15:color w:val="DBDBDB"/>
      </w:sdtPr>
      <w:sdtEndPr>
        <w:rPr>
          <w:rFonts w:ascii="Times New Roman" w:eastAsia="宋体" w:hAnsi="Times New Roman" w:cs="Times New Roman" w:hint="default"/>
          <w:b/>
          <w:bCs/>
          <w:kern w:val="2"/>
          <w:sz w:val="21"/>
          <w:szCs w:val="24"/>
          <w:highlight w:val="none"/>
          <w:lang w:val="en-US" w:eastAsia="zh-CN" w:bidi="ar-SA"/>
        </w:rPr>
      </w:sdtEndPr>
      <w:sdtContent>
        <w:p>
          <w:pPr>
            <w:spacing w:before="0" w:beforeLines="0" w:after="0" w:afterLines="0" w:line="240" w:lineRule="auto"/>
            <w:ind w:left="0" w:right="0" w:firstLine="0" w:leftChars="0" w:rightChars="0" w:firstLineChars="0"/>
            <w:jc w:val="center"/>
            <w:rPr>
              <w:b/>
              <w:bCs/>
              <w:sz w:val="44"/>
              <w:szCs w:val="44"/>
              <w:highlight w:val="none"/>
            </w:rPr>
          </w:pPr>
          <w:bookmarkStart w:id="0" w:name="_GoBack"/>
          <w:bookmarkEnd w:id="0"/>
          <w:r>
            <w:rPr>
              <w:rFonts w:ascii="宋体" w:eastAsia="宋体" w:hAnsi="宋体"/>
              <w:b/>
              <w:bCs/>
              <w:sz w:val="44"/>
              <w:szCs w:val="44"/>
              <w:highlight w:val="none"/>
            </w:rPr>
            <w:t xml:space="preserve">目录</w:t>
          </w:r>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r>
            <w:rPr>
              <w:rFonts w:hint="default"/>
              <w:highlight w:val="none"/>
            </w:rPr>
            <w:fldChar w:fldCharType="begin"/>
          </w:r>
          <w:r>
            <w:rPr>
              <w:rFonts w:hint="default"/>
              <w:highlight w:val="none"/>
            </w:rPr>
            <w:instrText xml:space="preserve">TOC \o "1-9" \h \u</w:instrText>
          </w:r>
          <w:r>
            <w:rPr>
              <w:rFonts w:hint="default"/>
              <w:highlight w:val="none"/>
            </w:rPr>
            <w:fldChar w:fldCharType="separate"/>
          </w:r>
          <w:hyperlink w:anchor="_Toc3458" w:history="1">
            <w:r>
              <w:rPr>
                <w:rFonts w:ascii="仿宋_GB2312" w:eastAsia="仿宋_GB2312" w:hAnsi="仿宋_GB2312" w:cs="仿宋_GB2312" w:hint="eastAsia"/>
                <w:bCs/>
                <w:sz w:val="32"/>
                <w:szCs w:val="32"/>
                <w:highlight w:val="none"/>
              </w:rPr>
              <w:t xml:space="preserve">一、基本情况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_Toc3458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16251" w:history="1">
            <w:r>
              <w:rPr>
                <w:rFonts w:ascii="仿宋_GB2312" w:eastAsia="仿宋_GB2312" w:hAnsi="仿宋_GB2312" w:cs="仿宋_GB2312" w:hint="eastAsia"/>
                <w:bCs/>
                <w:sz w:val="32"/>
                <w:szCs w:val="32"/>
                <w:highlight w:val="none"/>
              </w:rPr>
              <w:t xml:space="preserve">（一）项目概况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_Toc16251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11655" w:history="1">
            <w:r>
              <w:rPr>
                <w:rFonts w:ascii="仿宋_GB2312" w:eastAsia="仿宋_GB2312" w:hAnsi="仿宋_GB2312" w:cs="仿宋_GB2312" w:hint="eastAsia"/>
                <w:bCs/>
                <w:sz w:val="32"/>
                <w:szCs w:val="32"/>
                <w:highlight w:val="none"/>
              </w:rPr>
              <w:t xml:space="preserve">（二）项目绩效目标</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_Toc11655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5712" w:history="1">
            <w:r>
              <w:rPr>
                <w:rFonts w:ascii="仿宋_GB2312" w:eastAsia="仿宋_GB2312" w:hAnsi="仿宋_GB2312" w:cs="仿宋_GB2312" w:hint="eastAsia"/>
                <w:sz w:val="32"/>
                <w:szCs w:val="32"/>
                <w:highlight w:val="none"/>
              </w:rPr>
              <w:t xml:space="preserve">二、绩效评价工作开展情况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_Toc25712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3</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0967" w:history="1">
            <w:r>
              <w:rPr>
                <w:rFonts w:ascii="仿宋_GB2312" w:eastAsia="仿宋_GB2312" w:hAnsi="仿宋_GB2312" w:cs="仿宋_GB2312" w:hint="eastAsia"/>
                <w:bCs/>
                <w:sz w:val="32"/>
                <w:szCs w:val="32"/>
                <w:highlight w:val="none"/>
              </w:rPr>
              <w:t xml:space="preserve">（一）绩效评价目的、对象和范围</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_Toc20967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3</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9785" w:history="1">
            <w:r>
              <w:rPr>
                <w:rFonts w:ascii="仿宋_GB2312" w:eastAsia="仿宋_GB2312" w:hAnsi="仿宋_GB2312" w:cs="仿宋_GB2312" w:hint="eastAsia"/>
                <w:bCs/>
                <w:sz w:val="32"/>
                <w:szCs w:val="32"/>
                <w:highlight w:val="none"/>
              </w:rPr>
              <w:t xml:space="preserve">（二）绩效评价原则、评价指标体系（详情见表1）、评价方法、评价标准</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_Toc29785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5</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5544" w:history="1">
            <w:r>
              <w:rPr>
                <w:rFonts w:ascii="仿宋_GB2312" w:eastAsia="仿宋_GB2312" w:hAnsi="仿宋_GB2312" w:cs="仿宋_GB2312" w:hint="eastAsia"/>
                <w:spacing w:val="17"/>
                <w:sz w:val="32"/>
                <w:szCs w:val="32"/>
                <w:highlight w:val="none"/>
              </w:rPr>
              <w:t xml:space="preserve">（三）绩效评价工作过程</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_Toc5544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9</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9729" w:history="1">
            <w:r>
              <w:rPr>
                <w:rFonts w:ascii="仿宋_GB2312" w:eastAsia="仿宋_GB2312" w:hAnsi="仿宋_GB2312" w:cs="仿宋_GB2312" w:hint="eastAsia"/>
                <w:sz w:val="32"/>
                <w:szCs w:val="32"/>
                <w:highlight w:val="none"/>
              </w:rPr>
              <w:t xml:space="preserve">三、综合评价情况及评价结论（附相关评分表）</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_Toc29729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10</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344" w:history="1">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一</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评价情况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_Toc2344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10</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6653" w:history="1">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二</w:t>
            </w:r>
            <w:r>
              <w:rPr>
                <w:rFonts w:ascii="仿宋_GB2312" w:eastAsia="仿宋_GB2312" w:hAnsi="仿宋_GB2312" w:cs="仿宋_GB2312" w:hint="eastAsia"/>
                <w:sz w:val="32"/>
                <w:szCs w:val="32"/>
                <w:highlight w:val="none"/>
                <w:lang w:eastAsia="zh-CN"/>
              </w:rPr>
              <w:t xml:space="preserve">）</w:t>
            </w:r>
            <w:r>
              <w:rPr>
                <w:rFonts w:ascii="仿宋_GB2312" w:eastAsia="仿宋_GB2312" w:hAnsi="仿宋_GB2312" w:cs="仿宋_GB2312" w:hint="eastAsia"/>
                <w:sz w:val="32"/>
                <w:szCs w:val="32"/>
                <w:highlight w:val="none"/>
                <w:lang w:val="en-US" w:eastAsia="zh-CN"/>
              </w:rPr>
              <w:t xml:space="preserve">评价结论</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_Toc6653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11</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453" w:history="1">
            <w:r>
              <w:rPr>
                <w:rFonts w:ascii="仿宋_GB2312" w:eastAsia="仿宋_GB2312" w:hAnsi="仿宋_GB2312" w:cs="仿宋_GB2312" w:hint="eastAsia"/>
                <w:sz w:val="32"/>
                <w:szCs w:val="32"/>
                <w:highlight w:val="none"/>
              </w:rPr>
              <w:t xml:space="preserve">四、绩效评价指标分析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_Toc1453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11</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32318" w:history="1">
            <w:r>
              <w:rPr>
                <w:rFonts w:ascii="仿宋_GB2312" w:eastAsia="仿宋_GB2312" w:hAnsi="仿宋_GB2312" w:cs="仿宋_GB2312" w:hint="eastAsia"/>
                <w:sz w:val="32"/>
                <w:szCs w:val="32"/>
                <w:highlight w:val="none"/>
              </w:rPr>
              <w:t xml:space="preserve">（一）项目决策情况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_Toc32318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11</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5505" w:history="1">
            <w:r>
              <w:rPr>
                <w:rFonts w:ascii="仿宋_GB2312" w:eastAsia="仿宋_GB2312" w:hAnsi="仿宋_GB2312" w:cs="仿宋_GB2312" w:hint="eastAsia"/>
                <w:sz w:val="32"/>
                <w:szCs w:val="32"/>
                <w:highlight w:val="none"/>
              </w:rPr>
              <w:t xml:space="preserve">（二）项目过程情况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_Toc25505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15</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8612" w:history="1">
            <w:r>
              <w:rPr>
                <w:rFonts w:ascii="仿宋_GB2312" w:eastAsia="仿宋_GB2312" w:hAnsi="仿宋_GB2312" w:cs="仿宋_GB2312" w:hint="eastAsia"/>
                <w:bCs/>
                <w:sz w:val="32"/>
                <w:szCs w:val="32"/>
                <w:highlight w:val="none"/>
              </w:rPr>
              <w:t xml:space="preserve">（三）项目产出</w:t>
            </w:r>
            <w:r>
              <w:rPr>
                <w:rFonts w:ascii="仿宋_GB2312" w:eastAsia="仿宋_GB2312" w:hAnsi="仿宋_GB2312" w:cs="仿宋_GB2312" w:hint="eastAsia"/>
                <w:bCs/>
                <w:sz w:val="32"/>
                <w:szCs w:val="32"/>
                <w:highlight w:val="none"/>
                <w:lang w:val="en-US" w:eastAsia="zh-CN"/>
              </w:rPr>
              <w:t xml:space="preserve">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_Toc8612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16</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18470" w:history="1">
            <w:r>
              <w:rPr>
                <w:rFonts w:ascii="仿宋_GB2312" w:eastAsia="仿宋_GB2312" w:hAnsi="仿宋_GB2312" w:cs="仿宋_GB2312" w:hint="eastAsia"/>
                <w:bCs/>
                <w:sz w:val="32"/>
                <w:szCs w:val="32"/>
                <w:highlight w:val="none"/>
                <w:lang w:val="en-US" w:eastAsia="zh-CN"/>
              </w:rPr>
              <w:t xml:space="preserve">（四）项目效益情况</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_Toc18470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17</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1462" w:history="1">
            <w:r>
              <w:rPr>
                <w:rFonts w:ascii="仿宋_GB2312" w:eastAsia="仿宋_GB2312" w:hAnsi="仿宋_GB2312" w:cs="仿宋_GB2312" w:hint="eastAsia"/>
                <w:bCs w:val="0"/>
                <w:sz w:val="32"/>
                <w:szCs w:val="32"/>
                <w:highlight w:val="none"/>
                <w:lang w:val="en-US" w:eastAsia="zh-CN"/>
              </w:rPr>
              <w:t xml:space="preserve">五、</w:t>
            </w:r>
            <w:r>
              <w:rPr>
                <w:rFonts w:ascii="仿宋_GB2312" w:eastAsia="仿宋_GB2312" w:hAnsi="仿宋_GB2312" w:cs="仿宋_GB2312" w:hint="eastAsia"/>
                <w:bCs w:val="0"/>
                <w:sz w:val="32"/>
                <w:szCs w:val="32"/>
                <w:highlight w:val="none"/>
                <w:lang w:val="en-US"/>
              </w:rPr>
              <w:t xml:space="preserve">预算执行进度与绩效指标偏差</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_Toc21462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18</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8363" w:history="1">
            <w:r>
              <w:rPr>
                <w:rFonts w:ascii="仿宋_GB2312" w:eastAsia="仿宋_GB2312" w:hAnsi="仿宋_GB2312" w:cs="仿宋_GB2312" w:hint="eastAsia"/>
                <w:sz w:val="32"/>
                <w:szCs w:val="32"/>
                <w:highlight w:val="none"/>
                <w:lang w:val="en-US" w:eastAsia="zh-CN"/>
              </w:rPr>
              <w:t xml:space="preserve">六</w:t>
            </w:r>
            <w:r>
              <w:rPr>
                <w:rFonts w:ascii="仿宋_GB2312" w:hAnsi="仿宋_GB2312" w:cs="仿宋_GB2312" w:hint="eastAsia"/>
                <w:bCs/>
                <w:sz w:val="32"/>
                <w:szCs w:val="32"/>
                <w:highlight w:val="none"/>
                <w:lang w:val="en-US" w:eastAsia="zh-CN"/>
              </w:rPr>
              <w:t xml:space="preserve">、</w:t>
            </w:r>
            <w:r>
              <w:rPr>
                <w:rFonts w:ascii="仿宋_GB2312" w:eastAsia="仿宋_GB2312" w:hAnsi="仿宋_GB2312" w:cs="仿宋_GB2312" w:hint="eastAsia"/>
                <w:sz w:val="32"/>
                <w:szCs w:val="32"/>
                <w:highlight w:val="none"/>
              </w:rPr>
              <w:t xml:space="preserve">主要经验及做法、存在的问题及原因分析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_Toc18363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18</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22741" w:history="1">
            <w:r>
              <w:rPr>
                <w:rFonts w:ascii="仿宋_GB2312" w:eastAsia="仿宋_GB2312" w:hAnsi="仿宋_GB2312" w:cs="仿宋_GB2312" w:hint="eastAsia"/>
                <w:spacing w:val="-4"/>
                <w:sz w:val="32"/>
                <w:szCs w:val="32"/>
                <w:highlight w:val="none"/>
              </w:rPr>
              <w:t xml:space="preserve">（一）主要经验及做法</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_Toc22741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18</w:t>
            </w:r>
            <w:r>
              <w:rPr>
                <w:rFonts w:ascii="仿宋_GB2312" w:eastAsia="仿宋_GB2312" w:hAnsi="仿宋_GB2312" w:cs="仿宋_GB2312" w:hint="eastAsia"/>
                <w:sz w:val="32"/>
                <w:szCs w:val="32"/>
                <w:highlight w:val="none"/>
              </w:rPr>
              <w:fldChar w:fldCharType="end"/>
            </w:r>
          </w:hyperlink>
        </w:p>
        <w:p>
          <w:pPr>
            <w:pStyle w:val="TOC2"/>
            <w:tabs>
              <w:tab w:val="right" w:leader="middleDot" w:pos="8548"/>
            </w:tabs>
            <w:rPr>
              <w:rFonts w:ascii="仿宋_GB2312" w:eastAsia="仿宋_GB2312" w:hAnsi="仿宋_GB2312" w:cs="仿宋_GB2312" w:hint="eastAsia"/>
              <w:sz w:val="32"/>
              <w:szCs w:val="32"/>
              <w:highlight w:val="none"/>
            </w:rPr>
          </w:pPr>
          <w:hyperlink w:anchor="_Toc7835" w:history="1">
            <w:r>
              <w:rPr>
                <w:rFonts w:ascii="仿宋_GB2312" w:eastAsia="仿宋_GB2312" w:hAnsi="仿宋_GB2312" w:cs="仿宋_GB2312" w:hint="eastAsia"/>
                <w:bCs/>
                <w:sz w:val="32"/>
                <w:szCs w:val="32"/>
                <w:highlight w:val="none"/>
              </w:rPr>
              <w:t xml:space="preserve">（二）存在的问题及原因分析</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_Toc7835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18</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25529" w:history="1">
            <w:r>
              <w:rPr>
                <w:rFonts w:ascii="仿宋_GB2312" w:eastAsia="仿宋_GB2312" w:hAnsi="仿宋_GB2312" w:cs="仿宋_GB2312" w:hint="eastAsia"/>
                <w:sz w:val="32"/>
                <w:szCs w:val="32"/>
                <w:highlight w:val="none"/>
                <w:lang w:val="en-US" w:eastAsia="zh-CN"/>
              </w:rPr>
              <w:t xml:space="preserve">七.</w:t>
            </w:r>
            <w:r>
              <w:rPr>
                <w:rFonts w:ascii="仿宋_GB2312" w:eastAsia="仿宋_GB2312" w:hAnsi="仿宋_GB2312" w:cs="仿宋_GB2312" w:hint="eastAsia"/>
                <w:sz w:val="32"/>
                <w:szCs w:val="32"/>
                <w:highlight w:val="none"/>
              </w:rPr>
              <w:t xml:space="preserve">有关建议</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_Toc25529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19</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3065" w:history="1">
            <w:r>
              <w:rPr>
                <w:rFonts w:ascii="仿宋_GB2312" w:eastAsia="仿宋_GB2312" w:hAnsi="仿宋_GB2312" w:cs="仿宋_GB2312" w:hint="eastAsia"/>
                <w:sz w:val="32"/>
                <w:szCs w:val="32"/>
                <w:highlight w:val="none"/>
                <w:lang w:val="en-US" w:eastAsia="zh-CN"/>
              </w:rPr>
              <w:t xml:space="preserve">八</w:t>
            </w:r>
            <w:r>
              <w:rPr>
                <w:rFonts w:ascii="仿宋_GB2312" w:eastAsia="仿宋_GB2312" w:hAnsi="仿宋_GB2312" w:cs="仿宋_GB2312" w:hint="eastAsia"/>
                <w:bCs/>
                <w:sz w:val="32"/>
                <w:szCs w:val="32"/>
                <w:highlight w:val="none"/>
                <w:lang w:val="en-US" w:eastAsia="zh-CN"/>
              </w:rPr>
              <w:t xml:space="preserve">.</w:t>
            </w:r>
            <w:r>
              <w:rPr>
                <w:rFonts w:ascii="仿宋_GB2312" w:eastAsia="仿宋_GB2312" w:hAnsi="仿宋_GB2312" w:cs="仿宋_GB2312" w:hint="eastAsia"/>
                <w:sz w:val="32"/>
                <w:szCs w:val="32"/>
                <w:highlight w:val="none"/>
              </w:rPr>
              <w:t xml:space="preserve">其他需要说明的问题</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_Toc3065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20</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rFonts w:ascii="仿宋_GB2312" w:eastAsia="仿宋_GB2312" w:hAnsi="仿宋_GB2312" w:cs="仿宋_GB2312" w:hint="eastAsia"/>
              <w:sz w:val="32"/>
              <w:szCs w:val="32"/>
              <w:highlight w:val="none"/>
            </w:rPr>
          </w:pPr>
          <w:hyperlink w:anchor="_Toc15260" w:history="1">
            <w:r>
              <w:rPr>
                <w:rFonts w:ascii="仿宋_GB2312" w:eastAsia="仿宋_GB2312" w:hAnsi="仿宋_GB2312" w:cs="仿宋_GB2312" w:hint="eastAsia"/>
                <w:sz w:val="32"/>
                <w:szCs w:val="32"/>
                <w:highlight w:val="none"/>
                <w:lang w:val="en-US" w:eastAsia="zh-CN"/>
              </w:rPr>
              <w:t xml:space="preserve">附件1</w:t>
            </w:r>
            <w:r>
              <w:rPr>
                <w:rFonts w:ascii="仿宋_GB2312" w:hAnsi="仿宋_GB2312" w:cs="仿宋_GB2312" w:hint="eastAsia"/>
                <w:sz w:val="32"/>
                <w:szCs w:val="32"/>
                <w:highlight w:val="none"/>
                <w:lang w:val="en-US" w:eastAsia="zh-CN"/>
              </w:rPr>
              <w:t xml:space="preserve"> 评价指标体系</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_Toc15260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21</w:t>
            </w:r>
            <w:r>
              <w:rPr>
                <w:rFonts w:ascii="仿宋_GB2312" w:eastAsia="仿宋_GB2312" w:hAnsi="仿宋_GB2312" w:cs="仿宋_GB2312" w:hint="eastAsia"/>
                <w:sz w:val="32"/>
                <w:szCs w:val="32"/>
                <w:highlight w:val="none"/>
              </w:rPr>
              <w:fldChar w:fldCharType="end"/>
            </w:r>
          </w:hyperlink>
        </w:p>
        <w:p>
          <w:pPr>
            <w:pStyle w:val="TOC1"/>
            <w:tabs>
              <w:tab w:val="right" w:leader="middleDot" w:pos="8548"/>
              <w:tab w:val="clear" w:pos="7980"/>
              <w:tab w:val="clear" w:pos="8190"/>
            </w:tabs>
            <w:rPr>
              <w:highlight w:val="none"/>
            </w:rPr>
          </w:pPr>
          <w:hyperlink w:anchor="_Toc17917" w:history="1">
            <w:r>
              <w:rPr>
                <w:rFonts w:ascii="仿宋_GB2312" w:eastAsia="仿宋_GB2312" w:hAnsi="仿宋_GB2312" w:cs="仿宋_GB2312" w:hint="eastAsia"/>
                <w:bCs/>
                <w:i w:val="0"/>
                <w:iCs w:val="0"/>
                <w:kern w:val="0"/>
                <w:sz w:val="32"/>
                <w:szCs w:val="32"/>
                <w:highlight w:val="none"/>
                <w:lang w:val="en-US" w:eastAsia="zh-CN"/>
              </w:rPr>
              <w:t xml:space="preserve">附件2</w:t>
            </w:r>
            <w:r>
              <w:rPr>
                <w:rFonts w:ascii="仿宋_GB2312" w:hAnsi="仿宋_GB2312" w:cs="仿宋_GB2312" w:hint="eastAsia"/>
                <w:bCs/>
                <w:i w:val="0"/>
                <w:iCs w:val="0"/>
                <w:kern w:val="0"/>
                <w:sz w:val="32"/>
                <w:szCs w:val="32"/>
                <w:highlight w:val="none"/>
                <w:lang w:val="en-US" w:eastAsia="zh-CN"/>
              </w:rPr>
              <w:t xml:space="preserve"> 项目支出绩效自评表</w:t>
            </w:r>
            <w:r>
              <w:rPr>
                <w:rFonts w:ascii="仿宋_GB2312" w:eastAsia="仿宋_GB2312" w:hAnsi="仿宋_GB2312" w:cs="仿宋_GB2312" w:hint="eastAsia"/>
                <w:sz w:val="32"/>
                <w:szCs w:val="32"/>
                <w:highlight w:val="none"/>
              </w:rPr>
              <w:tab/>
            </w:r>
            <w:r>
              <w:rPr>
                <w:rFonts w:ascii="仿宋_GB2312" w:eastAsia="仿宋_GB2312" w:hAnsi="仿宋_GB2312" w:cs="仿宋_GB2312" w:hint="eastAsia"/>
                <w:sz w:val="32"/>
                <w:szCs w:val="32"/>
                <w:highlight w:val="none"/>
              </w:rPr>
              <w:fldChar w:fldCharType="begin"/>
            </w:r>
            <w:r>
              <w:rPr>
                <w:rFonts w:ascii="仿宋_GB2312" w:eastAsia="仿宋_GB2312" w:hAnsi="仿宋_GB2312" w:cs="仿宋_GB2312" w:hint="eastAsia"/>
                <w:sz w:val="32"/>
                <w:szCs w:val="32"/>
                <w:highlight w:val="none"/>
              </w:rPr>
              <w:instrText xml:space="preserve"> PAGEREF _Toc17917 \h </w:instrText>
            </w:r>
            <w:r>
              <w:rPr>
                <w:rFonts w:ascii="仿宋_GB2312" w:eastAsia="仿宋_GB2312" w:hAnsi="仿宋_GB2312" w:cs="仿宋_GB2312" w:hint="eastAsia"/>
                <w:sz w:val="32"/>
                <w:szCs w:val="32"/>
                <w:highlight w:val="none"/>
              </w:rPr>
              <w:fldChar w:fldCharType="separate"/>
            </w:r>
            <w:r>
              <w:rPr>
                <w:rFonts w:ascii="仿宋_GB2312" w:eastAsia="仿宋_GB2312" w:hAnsi="仿宋_GB2312" w:cs="仿宋_GB2312" w:hint="eastAsia"/>
                <w:sz w:val="32"/>
                <w:szCs w:val="32"/>
                <w:highlight w:val="none"/>
              </w:rPr>
              <w:t xml:space="preserve">26</w:t>
            </w:r>
            <w:r>
              <w:rPr>
                <w:rFonts w:ascii="仿宋_GB2312" w:eastAsia="仿宋_GB2312" w:hAnsi="仿宋_GB2312" w:cs="仿宋_GB2312" w:hint="eastAsia"/>
                <w:sz w:val="32"/>
                <w:szCs w:val="32"/>
                <w:highlight w:val="none"/>
              </w:rPr>
              <w:fldChar w:fldCharType="end"/>
            </w:r>
          </w:hyperlink>
        </w:p>
        <w:p>
          <w:pPr>
            <w:rPr>
              <w:rFonts w:ascii="Times New Roman" w:eastAsia="宋体" w:hAnsi="Times New Roman" w:cs="Times New Roman" w:hint="default"/>
              <w:kern w:val="2"/>
              <w:sz w:val="21"/>
              <w:szCs w:val="24"/>
              <w:highlight w:val="none"/>
              <w:lang w:val="en-US" w:eastAsia="zh-CN" w:bidi="ar-SA"/>
            </w:rPr>
          </w:pPr>
          <w:r>
            <w:rPr>
              <w:rFonts w:hint="default"/>
              <w:highlight w:val="none"/>
            </w:rPr>
            <w:fldChar w:fldCharType="end"/>
          </w:r>
        </w:p>
      </w:sdtContent>
    </w:sdt>
    <w:p>
      <w:pPr>
        <w:rPr>
          <w:rFonts w:ascii="Times New Roman" w:eastAsia="宋体" w:hAnsi="Times New Roman" w:cs="Times New Roman" w:hint="default"/>
          <w:kern w:val="2"/>
          <w:sz w:val="21"/>
          <w:szCs w:val="24"/>
          <w:highlight w:val="none"/>
          <w:lang w:val="en-US" w:eastAsia="zh-CN" w:bidi="ar-SA"/>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rPr>
          <w:rFonts w:ascii="Times New Roman" w:eastAsia="仿宋_GB2312" w:hAnsi="Times New Roman" w:cs="Times New Roman" w:hint="default"/>
          <w:kern w:val="0"/>
          <w:sz w:val="30"/>
          <w:szCs w:val="30"/>
          <w:highlight w:val="none"/>
        </w:rPr>
      </w:pPr>
    </w:p>
    <w:p>
      <w:pPr>
        <w:spacing w:line="540" w:lineRule="exact"/>
        <w:jc w:val="center"/>
        <w:rPr>
          <w:rFonts w:ascii="Times New Roman" w:eastAsia="仿宋_GB2312" w:hAnsi="Times New Roman" w:cs="Times New Roman" w:hint="default"/>
          <w:kern w:val="0"/>
          <w:sz w:val="30"/>
          <w:szCs w:val="30"/>
          <w:highlight w:val="none"/>
        </w:rPr>
      </w:pPr>
    </w:p>
    <w:p>
      <w:pPr>
        <w:spacing w:line="540" w:lineRule="exact"/>
        <w:rPr>
          <w:rStyle w:val="Strong"/>
          <w:rFonts w:ascii="Times New Roman" w:eastAsia="黑体" w:hAnsi="Times New Roman" w:cs="Times New Roman" w:hint="default"/>
          <w:b w:val="0"/>
          <w:spacing w:val="-4"/>
          <w:sz w:val="32"/>
          <w:szCs w:val="32"/>
          <w:highlight w:val="none"/>
        </w:rPr>
      </w:pPr>
    </w:p>
    <w:p>
      <w:pPr>
        <w:spacing w:line="540" w:lineRule="exact"/>
        <w:ind w:firstLine="640"/>
        <w:rPr>
          <w:rStyle w:val="Strong"/>
          <w:rFonts w:ascii="Times New Roman" w:eastAsia="黑体" w:hAnsi="Times New Roman" w:cs="Times New Roman" w:hint="default"/>
          <w:b w:val="0"/>
          <w:spacing w:val="-4"/>
          <w:sz w:val="32"/>
          <w:szCs w:val="32"/>
          <w:highlight w:val="none"/>
        </w:rPr>
      </w:pPr>
    </w:p>
    <w:p>
      <w:pPr>
        <w:spacing w:line="540" w:lineRule="exact"/>
        <w:rPr>
          <w:rStyle w:val="Strong"/>
          <w:rFonts w:ascii="Times New Roman" w:eastAsia="黑体" w:hAnsi="Times New Roman" w:cs="Times New Roman" w:hint="default"/>
          <w:b w:val="0"/>
          <w:spacing w:val="-4"/>
          <w:sz w:val="32"/>
          <w:szCs w:val="32"/>
          <w:highlight w:val="none"/>
        </w:rPr>
      </w:pPr>
    </w:p>
    <w:p>
      <w:pPr>
        <w:spacing w:line="560" w:lineRule="exact"/>
        <w:ind w:firstLine="640" w:firstLineChars="200"/>
        <w:rPr>
          <w:rFonts w:ascii="Times New Roman" w:eastAsia="黑体" w:hAnsi="Times New Roman" w:cs="Times New Roman" w:hint="default"/>
          <w:bCs/>
          <w:sz w:val="32"/>
          <w:szCs w:val="32"/>
          <w:highlight w:val="none"/>
        </w:rPr>
        <w:sectPr>
          <w:pgSz w:w="11906" w:h="16838" w:orient="portrait"/>
          <w:pgMar w:top="1440" w:right="1558" w:bottom="1440" w:left="1800" w:header="851" w:footer="992" w:gutter="0"/>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highlight w:val="none"/>
        </w:rPr>
      </w:pPr>
      <w:bookmarkStart w:id="1" w:name="_Toc3458"/>
      <w:r>
        <w:rPr>
          <w:rFonts w:ascii="Times New Roman" w:eastAsia="黑体" w:hAnsi="Times New Roman" w:cs="Times New Roman" w:hint="default"/>
          <w:bCs/>
          <w:sz w:val="32"/>
          <w:szCs w:val="32"/>
          <w:highlight w:val="none"/>
        </w:rPr>
        <w:t xml:space="preserve">一、基本情况</w:t>
      </w:r>
      <w:bookmarkEnd w:id="1"/>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2" w:name="_Toc16251"/>
      <w:r>
        <w:rPr>
          <w:rFonts w:ascii="Times New Roman" w:eastAsia="楷体_GB2312" w:hAnsi="Times New Roman" w:cs="Times New Roman" w:hint="default"/>
          <w:b/>
          <w:bCs/>
          <w:sz w:val="32"/>
          <w:szCs w:val="32"/>
          <w:highlight w:val="none"/>
        </w:rPr>
        <w:t xml:space="preserve">（一）项目概况</w:t>
      </w:r>
      <w:bookmarkEnd w:id="2"/>
    </w:p>
    <w:p>
      <w:pPr>
        <w:spacing w:line="560" w:lineRule="exact"/>
        <w:ind w:firstLine="640" w:firstLineChars="200"/>
        <w:outlineLvl w:val="2"/>
        <w:rPr>
          <w:rFonts w:ascii="Times New Roman" w:eastAsia="仿宋_GB2312" w:hAnsi="Times New Roman" w:cs="Times New Roman" w:hint="default"/>
          <w:b/>
          <w:bCs/>
          <w:sz w:val="32"/>
          <w:szCs w:val="32"/>
          <w:highlight w:val="none"/>
        </w:rPr>
      </w:pPr>
      <w:bookmarkStart w:id="3" w:name="_Toc14982"/>
      <w:r>
        <w:rPr>
          <w:rFonts w:ascii="Times New Roman" w:eastAsia="仿宋_GB2312" w:hAnsi="Times New Roman" w:cs="Times New Roman" w:hint="default"/>
          <w:b/>
          <w:bCs/>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项目背景</w:t>
      </w:r>
      <w:bookmarkEnd w:id="3"/>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b w:val="0"/>
          <w:bCs w:val="0"/>
          <w:kern w:val="2"/>
          <w:sz w:val="32"/>
          <w:szCs w:val="32"/>
          <w:highlight w:val="none"/>
          <w:lang w:val="en-US" w:eastAsia="zh-CN" w:bidi="ar-SA"/>
        </w:rPr>
      </w:pPr>
      <w:bookmarkStart w:id="4" w:name="_Toc30961"/>
      <w:r>
        <w:rPr>
          <w:rFonts w:ascii="Times New Roman" w:eastAsia="仿宋_GB2312" w:hAnsi="Times New Roman" w:cs="Times New Roman" w:hint="default"/>
          <w:b w:val="0"/>
          <w:bCs w:val="0"/>
          <w:kern w:val="2"/>
          <w:sz w:val="32"/>
          <w:szCs w:val="32"/>
          <w:highlight w:val="none"/>
          <w:lang w:val="en-US" w:eastAsia="zh-CN" w:bidi="ar-SA"/>
        </w:rPr>
        <w:t xml:space="preserve">按照中央经济工作会议、中央农村工作会议、自治区经济工作会议精神，加大对水利基础设施的投入。根据《关于同意州级水管体制改革实施方案的批复》文件精神，项目总预算</w:t>
      </w:r>
      <w:r>
        <w:rPr>
          <w:rFonts w:ascii="Times New Roman" w:eastAsia="仿宋_GB2312" w:hAnsi="Times New Roman" w:cs="Times New Roman" w:hint="eastAsia"/>
          <w:b w:val="0"/>
          <w:bCs w:val="0"/>
          <w:kern w:val="2"/>
          <w:sz w:val="32"/>
          <w:szCs w:val="32"/>
          <w:highlight w:val="none"/>
          <w:lang w:val="en-US" w:eastAsia="zh-CN" w:bidi="ar-SA"/>
        </w:rPr>
        <w:t xml:space="preserve">1454</w:t>
      </w:r>
      <w:r>
        <w:rPr>
          <w:rFonts w:ascii="Times New Roman" w:eastAsia="仿宋_GB2312" w:hAnsi="Times New Roman" w:cs="Times New Roman" w:hint="default"/>
          <w:b w:val="0"/>
          <w:bCs w:val="0"/>
          <w:kern w:val="2"/>
          <w:sz w:val="32"/>
          <w:szCs w:val="32"/>
          <w:highlight w:val="none"/>
          <w:lang w:val="en-US" w:eastAsia="zh-CN" w:bidi="ar-SA"/>
        </w:rPr>
        <w:t xml:space="preserve">万元。塔里木河流域开都孔雀河水利管理中心所辖的库塔干渠东干渠（上段）工程全长43.459公里，建成于2004年7月，建设投资10355.87万元，库塔干渠东干渠肩负着第二师塔垦区和尉犁县的农业灌溉输水任务，是兵团和孔雀河下游农业供水的主要通道。同时是向塔河下游以及孔雀河下游生态输水的重要通道，肩负着生态输水，保护下游生态环境的重要任务。该工程每年的维修养护是实现以上功能的安全保障</w:t>
      </w:r>
      <w:r>
        <w:rPr>
          <w:rFonts w:ascii="Times New Roman" w:eastAsia="仿宋_GB2312" w:hAnsi="Times New Roman" w:cs="Times New Roman" w:hint="eastAsia"/>
          <w:b w:val="0"/>
          <w:bCs w:val="0"/>
          <w:kern w:val="2"/>
          <w:sz w:val="32"/>
          <w:szCs w:val="32"/>
          <w:highlight w:val="none"/>
          <w:lang w:val="en-US" w:eastAsia="zh-CN" w:bidi="ar-SA"/>
        </w:rPr>
        <w:t xml:space="preserve">。</w:t>
      </w:r>
    </w:p>
    <w:p>
      <w:pPr>
        <w:pStyle w:val="Title"/>
        <w:numPr>
          <w:ilvl w:val="0"/>
          <w:numId w:val="0"/>
        </w:numPr>
        <w:spacing w:before="0" w:after="0" w:line="560" w:lineRule="exact"/>
        <w:ind w:left="0" w:firstLine="640" w:leftChars="0" w:firstLineChars="200"/>
        <w:jc w:val="both"/>
        <w:outlineLvl w:val="2"/>
        <w:rPr>
          <w:rFonts w:ascii="Times New Roman" w:eastAsia="仿宋_GB2312" w:hAnsi="Times New Roman" w:cs="Times New Roman" w:hint="default"/>
          <w:kern w:val="2"/>
          <w:highlight w:val="none"/>
          <w:lang w:val="en-US" w:eastAsia="zh-CN"/>
        </w:rPr>
      </w:pPr>
      <w:r>
        <w:rPr>
          <w:rFonts w:ascii="Times New Roman" w:eastAsia="仿宋_GB2312" w:hAnsi="Times New Roman" w:cs="Times New Roman" w:hint="default"/>
          <w:kern w:val="2"/>
          <w:highlight w:val="none"/>
          <w:lang w:val="en-US" w:eastAsia="zh-CN"/>
        </w:rPr>
        <w:t xml:space="preserve">2.</w:t>
      </w:r>
      <w:r>
        <w:rPr>
          <w:rFonts w:ascii="Times New Roman" w:eastAsia="仿宋_GB2312" w:hAnsi="Times New Roman" w:cs="Times New Roman" w:hint="default"/>
          <w:kern w:val="2"/>
          <w:highlight w:val="none"/>
        </w:rPr>
        <w:t xml:space="preserve">项目主要内容</w:t>
      </w:r>
      <w:r>
        <w:rPr>
          <w:rFonts w:ascii="Times New Roman" w:eastAsia="仿宋_GB2312" w:hAnsi="Times New Roman" w:cs="Times New Roman" w:hint="eastAsia"/>
          <w:kern w:val="2"/>
          <w:highlight w:val="none"/>
          <w:lang w:val="en-US" w:eastAsia="zh-CN"/>
        </w:rPr>
        <w:t xml:space="preserve">及实施情况</w:t>
      </w:r>
      <w:bookmarkEnd w:id="4"/>
    </w:p>
    <w:p>
      <w:pPr>
        <w:spacing w:line="560" w:lineRule="exact"/>
        <w:ind w:firstLine="640" w:firstLineChars="200"/>
        <w:rPr>
          <w:rFonts w:ascii="Times New Roman" w:eastAsia="黑体"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val="en-US" w:eastAsia="zh-CN"/>
        </w:rPr>
        <w:t xml:space="preserve">项目主要内容：经营成本性项目所需经费为确保水库工程各项工作正常运转，保证水库工程安全运行管理，提高下游灌区生态供水保证率；维修养护计划对塔里木河流域开都孔雀河水利管理中心所辖的希尼尔水库及库塔干渠东干渠工程进行维修养护。改善库区及所辖灌区生态环境。对水库除险加固工程进行验收准备，确保水库在职人员工资、绩效工资、年度考核奖及核增绩效等正常发放，确保人员队伍稳定。</w:t>
      </w:r>
    </w:p>
    <w:p>
      <w:pPr>
        <w:spacing w:line="560" w:lineRule="exact"/>
        <w:ind w:firstLine="640" w:firstLineChars="200"/>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lang w:val="en-US" w:eastAsia="zh-CN"/>
        </w:rPr>
        <w:t xml:space="preserve">项目实施情况</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本</w:t>
      </w:r>
      <w:r>
        <w:rPr>
          <w:rFonts w:ascii="Times New Roman" w:eastAsia="仿宋_GB2312" w:hAnsi="Times New Roman" w:cs="Times New Roman" w:hint="default"/>
          <w:sz w:val="32"/>
          <w:szCs w:val="32"/>
          <w:highlight w:val="none"/>
        </w:rPr>
        <w:t xml:space="preserve">项目</w:t>
      </w:r>
      <w:r>
        <w:rPr>
          <w:rFonts w:eastAsia="仿宋_GB2312" w:cs="Times New Roman" w:hint="eastAsia"/>
          <w:sz w:val="32"/>
          <w:szCs w:val="32"/>
          <w:highlight w:val="none"/>
          <w:lang w:val="en-US" w:eastAsia="zh-CN"/>
        </w:rPr>
        <w:t xml:space="preserve">已支出资金1454万元，预算执行率为100%。1.已完成2项对</w:t>
      </w:r>
      <w:r>
        <w:rPr>
          <w:rFonts w:ascii="Times New Roman" w:eastAsia="仿宋_GB2312" w:hAnsi="Times New Roman" w:cs="Times New Roman" w:hint="default"/>
          <w:sz w:val="32"/>
          <w:szCs w:val="32"/>
          <w:highlight w:val="none"/>
        </w:rPr>
        <w:t xml:space="preserve">希尼尔水库及库塔干渠东干渠工程的维修养护</w:t>
      </w:r>
      <w:r>
        <w:rPr>
          <w:rFonts w:eastAsia="仿宋_GB2312" w:cs="Times New Roman" w:hint="eastAsia"/>
          <w:sz w:val="32"/>
          <w:szCs w:val="32"/>
          <w:highlight w:val="none"/>
          <w:lang w:val="en-US" w:eastAsia="zh-CN"/>
        </w:rPr>
        <w:t xml:space="preserve">项目</w:t>
      </w:r>
      <w:r>
        <w:rPr>
          <w:rFonts w:ascii="Times New Roman" w:eastAsia="仿宋_GB2312" w:hAnsi="Times New Roman" w:cs="Times New Roman" w:hint="default"/>
          <w:sz w:val="32"/>
          <w:szCs w:val="32"/>
          <w:highlight w:val="none"/>
        </w:rPr>
        <w:t xml:space="preserve">，改善了库区及所辖灌区生态环境。</w:t>
      </w:r>
      <w:r>
        <w:rPr>
          <w:rFonts w:eastAsia="仿宋_GB2312" w:cs="Times New Roman" w:hint="eastAsia"/>
          <w:sz w:val="32"/>
          <w:szCs w:val="32"/>
          <w:highlight w:val="none"/>
          <w:lang w:val="en-US" w:eastAsia="zh-CN"/>
        </w:rPr>
        <w:t xml:space="preserve">2.通过发放2025年单位人员工资</w:t>
      </w:r>
      <w:r>
        <w:rPr>
          <w:rFonts w:ascii="Times New Roman" w:eastAsia="仿宋_GB2312" w:hAnsi="Times New Roman" w:cs="Times New Roman" w:hint="default"/>
          <w:sz w:val="32"/>
          <w:szCs w:val="32"/>
          <w:highlight w:val="none"/>
        </w:rPr>
        <w:t xml:space="preserve">、绩效工资、年度考核奖</w:t>
      </w:r>
      <w:r>
        <w:rPr>
          <w:rFonts w:eastAsia="仿宋_GB2312" w:cs="Times New Roman" w:hint="eastAsia"/>
          <w:sz w:val="32"/>
          <w:szCs w:val="32"/>
          <w:highlight w:val="none"/>
          <w:lang w:val="en-US" w:eastAsia="zh-CN"/>
        </w:rPr>
        <w:t xml:space="preserve">等，已发放工资12次，工资发放完成率100%，保证单位职工的收入稳定</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严格按照政府采购相关规定完成了2025年办公设备、公务用车运行维护费、互联网接入服务费、审计服务、水闸安全监测等货物、工程、服务的采购，保障了单位工作的正常开展。</w:t>
      </w:r>
    </w:p>
    <w:p>
      <w:pPr>
        <w:spacing w:line="560" w:lineRule="exact"/>
        <w:ind w:firstLine="640" w:firstLineChars="200"/>
        <w:outlineLvl w:val="2"/>
        <w:rPr>
          <w:rFonts w:ascii="Times New Roman" w:eastAsia="仿宋_GB2312" w:hAnsi="Times New Roman" w:cs="Times New Roman" w:hint="default"/>
          <w:b/>
          <w:bCs/>
          <w:sz w:val="32"/>
          <w:szCs w:val="32"/>
          <w:highlight w:val="none"/>
        </w:rPr>
      </w:pPr>
      <w:bookmarkStart w:id="5" w:name="_Toc18357"/>
      <w:r>
        <w:rPr>
          <w:rFonts w:ascii="Times New Roman" w:eastAsia="仿宋_GB2312" w:hAnsi="Times New Roman" w:cs="Times New Roman" w:hint="default"/>
          <w:b/>
          <w:bCs/>
          <w:sz w:val="32"/>
          <w:szCs w:val="32"/>
          <w:highlight w:val="none"/>
        </w:rPr>
        <w:t xml:space="preserve">3</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bCs/>
          <w:sz w:val="32"/>
          <w:szCs w:val="32"/>
          <w:highlight w:val="none"/>
        </w:rPr>
        <w:t xml:space="preserve">资金投入和使用情况</w:t>
      </w:r>
      <w:bookmarkEnd w:id="5"/>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6" w:name="_Toc13131"/>
      <w:r>
        <w:rPr>
          <w:rFonts w:ascii="Times New Roman" w:eastAsia="仿宋_GB2312" w:hAnsi="Times New Roman" w:cs="Times New Roman" w:hint="default"/>
          <w:sz w:val="32"/>
          <w:szCs w:val="32"/>
          <w:highlight w:val="none"/>
          <w:lang w:val="en-US" w:eastAsia="zh-CN"/>
        </w:rPr>
        <w:t xml:space="preserve">（1）资金投入情况</w:t>
      </w:r>
      <w:bookmarkEnd w:id="6"/>
    </w:p>
    <w:p>
      <w:pPr>
        <w:shd w:val="clear" w:color="auto" w:fill="auto"/>
        <w:spacing w:line="600" w:lineRule="exact"/>
        <w:ind w:firstLine="640" w:firstLineChars="200"/>
        <w:outlineLvl w:val="9"/>
        <w:rPr>
          <w:rFonts w:ascii="Times New Roman" w:eastAsia="仿宋_GB2312" w:hAnsi="Times New Roman" w:cs="Times New Roman" w:hint="default"/>
          <w:color w:val="FF0000"/>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ascii="Times New Roman" w:eastAsia="仿宋_GB2312" w:hAnsi="Times New Roman" w:cs="Times New Roman" w:hint="eastAsia"/>
          <w:sz w:val="32"/>
          <w:szCs w:val="32"/>
          <w:highlight w:val="none"/>
          <w:lang w:val="en-US" w:eastAsia="zh-CN"/>
        </w:rPr>
        <w:t xml:space="preserve">1454</w:t>
      </w:r>
      <w:r>
        <w:rPr>
          <w:rFonts w:ascii="Times New Roman" w:eastAsia="仿宋_GB2312" w:hAnsi="Times New Roman" w:cs="Times New Roman" w:hint="default"/>
          <w:sz w:val="32"/>
          <w:szCs w:val="32"/>
          <w:highlight w:val="none"/>
          <w:lang w:val="en-US" w:eastAsia="zh-CN"/>
        </w:rPr>
        <w:t xml:space="preserve">万元，全年预算数</w:t>
      </w:r>
      <w:r>
        <w:rPr>
          <w:rFonts w:ascii="Times New Roman" w:eastAsia="仿宋_GB2312" w:hAnsi="Times New Roman" w:cs="Times New Roman" w:hint="eastAsia"/>
          <w:sz w:val="32"/>
          <w:szCs w:val="32"/>
          <w:highlight w:val="none"/>
          <w:lang w:val="en-US" w:eastAsia="zh-CN"/>
        </w:rPr>
        <w:t xml:space="preserve">1454</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eastAsia="仿宋_GB2312" w:cs="Times New Roman" w:hint="eastAsia"/>
          <w:sz w:val="32"/>
          <w:szCs w:val="32"/>
          <w:highlight w:val="none"/>
          <w:lang w:val="en-US" w:eastAsia="zh-CN"/>
        </w:rPr>
        <w:t xml:space="preserve">其他资金1454万元</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7" w:name="_Toc18197"/>
      <w:r>
        <w:rPr>
          <w:rFonts w:ascii="Times New Roman" w:eastAsia="仿宋_GB2312" w:hAnsi="Times New Roman" w:cs="Times New Roman" w:hint="default"/>
          <w:sz w:val="32"/>
          <w:szCs w:val="32"/>
          <w:highlight w:val="none"/>
          <w:lang w:val="en-US" w:eastAsia="zh-CN"/>
        </w:rPr>
        <w:t xml:space="preserve">（2）资金使用情况</w:t>
      </w:r>
      <w:bookmarkEnd w:id="7"/>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截至</w:t>
      </w:r>
      <w:r>
        <w:rPr>
          <w:rFonts w:eastAsia="仿宋_GB2312" w:cs="Times New Roman" w:hint="eastAsia"/>
          <w:sz w:val="32"/>
          <w:szCs w:val="32"/>
          <w:highlight w:val="none"/>
          <w:lang w:val="en-US" w:eastAsia="zh-CN"/>
        </w:rPr>
        <w:t xml:space="preserve">2025年12月31日</w:t>
      </w:r>
      <w:r>
        <w:rPr>
          <w:rFonts w:ascii="Times New Roman" w:eastAsia="仿宋_GB2312" w:hAnsi="Times New Roman" w:cs="Times New Roman" w:hint="default"/>
          <w:sz w:val="32"/>
          <w:szCs w:val="32"/>
          <w:highlight w:val="none"/>
          <w:lang w:val="en-US" w:eastAsia="zh-CN"/>
        </w:rPr>
        <w:t xml:space="preserve">，该项目全年执行数</w:t>
      </w:r>
      <w:r>
        <w:rPr>
          <w:rFonts w:ascii="Times New Roman" w:eastAsia="仿宋_GB2312" w:hAnsi="Times New Roman" w:cs="Times New Roman" w:hint="eastAsia"/>
          <w:sz w:val="32"/>
          <w:szCs w:val="32"/>
          <w:highlight w:val="none"/>
          <w:lang w:val="en-US" w:eastAsia="zh-CN"/>
        </w:rPr>
        <w:t xml:space="preserve">1454</w:t>
      </w:r>
      <w:r>
        <w:rPr>
          <w:rFonts w:ascii="Times New Roman" w:eastAsia="仿宋_GB2312" w:hAnsi="Times New Roman" w:cs="Times New Roman" w:hint="default"/>
          <w:sz w:val="32"/>
          <w:szCs w:val="32"/>
          <w:highlight w:val="none"/>
          <w:lang w:val="en-US" w:eastAsia="zh-CN"/>
        </w:rPr>
        <w:t xml:space="preserve">万元，预算执行率为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hint="eastAsia"/>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主要用于：</w:t>
      </w:r>
      <w:r>
        <w:rPr>
          <w:rFonts w:ascii="Times New Roman" w:eastAsia="仿宋_GB2312" w:hAnsi="Times New Roman" w:cs="Times New Roman" w:hint="eastAsia"/>
          <w:sz w:val="32"/>
          <w:szCs w:val="32"/>
          <w:highlight w:val="none"/>
          <w:lang w:val="en-US" w:eastAsia="zh-CN"/>
        </w:rPr>
        <w:t xml:space="preserve">1.已完成2项</w:t>
      </w:r>
      <w:r>
        <w:rPr>
          <w:rFonts w:eastAsia="仿宋_GB2312" w:cs="Times New Roman" w:hint="eastAsia"/>
          <w:sz w:val="32"/>
          <w:szCs w:val="32"/>
          <w:highlight w:val="none"/>
          <w:lang w:val="en-US" w:eastAsia="zh-CN"/>
        </w:rPr>
        <w:t xml:space="preserve">对</w:t>
      </w:r>
      <w:r>
        <w:rPr>
          <w:rFonts w:ascii="Times New Roman" w:eastAsia="仿宋_GB2312" w:hAnsi="Times New Roman" w:cs="Times New Roman" w:hint="default"/>
          <w:sz w:val="32"/>
          <w:szCs w:val="32"/>
          <w:highlight w:val="none"/>
          <w:lang w:val="en-US" w:eastAsia="zh-CN"/>
        </w:rPr>
        <w:t xml:space="preserve">希尼尔水库及库塔干渠东干渠工程的维修养护</w:t>
      </w:r>
      <w:r>
        <w:rPr>
          <w:rFonts w:ascii="Times New Roman" w:eastAsia="仿宋_GB2312" w:hAnsi="Times New Roman" w:cs="Times New Roman" w:hint="eastAsia"/>
          <w:sz w:val="32"/>
          <w:szCs w:val="32"/>
          <w:highlight w:val="none"/>
          <w:lang w:val="en-US" w:eastAsia="zh-CN"/>
        </w:rPr>
        <w:t xml:space="preserve">项目</w:t>
      </w:r>
      <w:r>
        <w:rPr>
          <w:rFonts w:ascii="Times New Roman" w:eastAsia="仿宋_GB2312" w:hAnsi="Times New Roman" w:cs="Times New Roman" w:hint="default"/>
          <w:sz w:val="32"/>
          <w:szCs w:val="32"/>
          <w:highlight w:val="none"/>
          <w:lang w:val="en-US" w:eastAsia="zh-CN"/>
        </w:rPr>
        <w:t xml:space="preserve">，改善了库区及所辖灌区生态环境。</w:t>
      </w:r>
      <w:r>
        <w:rPr>
          <w:rFonts w:ascii="Times New Roman" w:eastAsia="仿宋_GB2312" w:hAnsi="Times New Roman" w:cs="Times New Roman" w:hint="eastAsia"/>
          <w:sz w:val="32"/>
          <w:szCs w:val="32"/>
          <w:highlight w:val="none"/>
          <w:lang w:val="en-US" w:eastAsia="zh-CN"/>
        </w:rPr>
        <w:t xml:space="preserve">2.通过发放2025年单位人员工资</w:t>
      </w:r>
      <w:r>
        <w:rPr>
          <w:rFonts w:ascii="Times New Roman" w:eastAsia="仿宋_GB2312" w:hAnsi="Times New Roman" w:cs="Times New Roman" w:hint="default"/>
          <w:sz w:val="32"/>
          <w:szCs w:val="32"/>
          <w:highlight w:val="none"/>
          <w:lang w:val="en-US" w:eastAsia="zh-CN"/>
        </w:rPr>
        <w:t xml:space="preserve">、绩效工资、年度考核奖</w:t>
      </w:r>
      <w:r>
        <w:rPr>
          <w:rFonts w:ascii="Times New Roman" w:eastAsia="仿宋_GB2312" w:hAnsi="Times New Roman" w:cs="Times New Roman" w:hint="eastAsia"/>
          <w:sz w:val="32"/>
          <w:szCs w:val="32"/>
          <w:highlight w:val="none"/>
          <w:lang w:val="en-US" w:eastAsia="zh-CN"/>
        </w:rPr>
        <w:t xml:space="preserve">等，已发放工资12次，工资发放完成率100%，保证单位职工的收入稳定</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val="en-US" w:eastAsia="zh-CN"/>
        </w:rPr>
        <w:t xml:space="preserve">严格按照政府采购相关规定完成了2025年办公设备、公务用车运行维护费、互联网接入服务费、审计服务、水闸安全监测等货物、工程、服务的采购，保障了单位工作的正常开展。</w:t>
      </w:r>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8" w:name="_Toc11655"/>
      <w:r>
        <w:rPr>
          <w:rFonts w:ascii="Times New Roman" w:eastAsia="楷体_GB2312" w:hAnsi="Times New Roman" w:cs="Times New Roman" w:hint="default"/>
          <w:b/>
          <w:bCs/>
          <w:sz w:val="32"/>
          <w:szCs w:val="32"/>
          <w:highlight w:val="none"/>
        </w:rPr>
        <w:t xml:space="preserve">（二）项目绩效目标</w:t>
      </w:r>
      <w:bookmarkEnd w:id="8"/>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总体目标</w:t>
      </w:r>
    </w:p>
    <w:p>
      <w:pPr>
        <w:spacing w:line="560" w:lineRule="exact"/>
        <w:ind w:firstLine="640" w:firstLineChars="200"/>
        <w:rPr>
          <w:rFonts w:ascii="Times New Roman" w:eastAsia="黑体" w:hAnsi="Times New Roman" w:cs="Times New Roman" w:hint="default"/>
          <w:b w:val="0"/>
          <w:bCs/>
          <w:highlight w:val="none"/>
          <w:lang w:eastAsia="zh-CN"/>
        </w:rPr>
      </w:pPr>
      <w:r>
        <w:rPr>
          <w:rFonts w:ascii="Times New Roman" w:eastAsia="仿宋_GB2312" w:hAnsi="Times New Roman" w:cs="Times New Roman" w:hint="default"/>
          <w:sz w:val="32"/>
          <w:szCs w:val="32"/>
          <w:highlight w:val="none"/>
          <w:lang w:eastAsia="zh-CN"/>
        </w:rPr>
        <w:t xml:space="preserve">2025年度，该项目各项预期目标已100%完成：完成了希尼尔水库及库塔干渠东干渠工程的维修养护，改善了库区及所辖灌区生态环境。足额发放了水库在职人员工资、绩效工资、年度考核奖。严格按照政府采购相关规定完成了2025年办公设备、公务用车运行维护费、互联网接入服务费、审计服务、水闸安全监测等货物、工程、服务的采购，保障了单位工作的正常开展。</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阶段性目标</w:t>
      </w:r>
    </w:p>
    <w:p>
      <w:pPr>
        <w:spacing w:line="560" w:lineRule="exact"/>
        <w:ind w:firstLine="640" w:firstLineChars="20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eastAsia"/>
          <w:sz w:val="32"/>
          <w:szCs w:val="32"/>
          <w:highlight w:val="none"/>
        </w:rPr>
        <w:t xml:space="preserve">阶段性目标围绕项目总体目标，按项目实施周期合理拆解，前期聚焦项目筹备与基础保障工作，完成方案细化、资源配置、前期调研等核心任务，确保项目具备实施条件；中期集中推进希尼尔水库及库塔干渠东干渠工程的维修养护，改善了库区及所辖灌区生态环境等关键工作，稳步达成阶段性产出数量与质量要求；后期重点完成成果整合、资料归档、验收收尾等工作，同步开展效果自评与反馈收集，各阶段均严格把控进度节点、质量标准与预算执行，确保有序衔接、逐步落地总体目标。</w:t>
      </w:r>
    </w:p>
    <w:p>
      <w:pPr>
        <w:spacing w:line="560" w:lineRule="exact"/>
        <w:ind w:firstLine="640" w:firstLineChars="200"/>
        <w:outlineLvl w:val="0"/>
        <w:rPr>
          <w:rFonts w:ascii="Times New Roman" w:eastAsia="黑体" w:hAnsi="Times New Roman" w:cs="Times New Roman" w:hint="default"/>
          <w:sz w:val="32"/>
          <w:szCs w:val="32"/>
          <w:highlight w:val="none"/>
        </w:rPr>
      </w:pPr>
      <w:bookmarkStart w:id="9" w:name="_Toc25712"/>
      <w:r>
        <w:rPr>
          <w:rFonts w:ascii="Times New Roman" w:eastAsia="黑体" w:hAnsi="Times New Roman" w:cs="Times New Roman" w:hint="default"/>
          <w:sz w:val="32"/>
          <w:szCs w:val="32"/>
          <w:highlight w:val="none"/>
        </w:rPr>
        <w:t xml:space="preserve">二、绩效评价工作开展情况</w:t>
      </w:r>
      <w:bookmarkEnd w:id="9"/>
    </w:p>
    <w:p>
      <w:pPr>
        <w:spacing w:line="560" w:lineRule="exact"/>
        <w:ind w:firstLine="640" w:firstLineChars="200"/>
        <w:outlineLvl w:val="1"/>
        <w:rPr>
          <w:rFonts w:ascii="Times New Roman" w:eastAsia="楷体_GB2312" w:hAnsi="Times New Roman" w:cs="Times New Roman" w:hint="default"/>
          <w:b/>
          <w:bCs/>
          <w:sz w:val="32"/>
          <w:szCs w:val="32"/>
          <w:highlight w:val="none"/>
        </w:rPr>
      </w:pPr>
      <w:bookmarkStart w:id="10" w:name="_Toc20967"/>
      <w:r>
        <w:rPr>
          <w:rFonts w:ascii="Times New Roman" w:eastAsia="楷体_GB2312" w:hAnsi="Times New Roman" w:cs="Times New Roman" w:hint="default"/>
          <w:b/>
          <w:bCs/>
          <w:sz w:val="32"/>
          <w:szCs w:val="32"/>
          <w:highlight w:val="none"/>
        </w:rPr>
        <w:t xml:space="preserve">（一）绩效评价目的、对象和范围</w:t>
      </w:r>
      <w:bookmarkEnd w:id="10"/>
    </w:p>
    <w:p>
      <w:pPr>
        <w:spacing w:line="560" w:lineRule="exact"/>
        <w:ind w:firstLine="640" w:firstLineChars="200"/>
        <w:outlineLvl w:val="2"/>
        <w:rPr>
          <w:rFonts w:ascii="Times New Roman" w:eastAsia="仿宋_GB2312" w:hAnsi="Times New Roman" w:cs="Times New Roman" w:hint="default"/>
          <w:sz w:val="32"/>
          <w:szCs w:val="32"/>
          <w:highlight w:val="none"/>
        </w:rPr>
      </w:pPr>
      <w:bookmarkStart w:id="11" w:name="_Toc18967"/>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绩效评价的目的</w:t>
      </w:r>
      <w:bookmarkEnd w:id="1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2" w:name="_Toc17665"/>
      <w:r>
        <w:rPr>
          <w:rFonts w:ascii="Times New Roman" w:eastAsia="仿宋_GB2312" w:hAnsi="Times New Roman" w:cs="Times New Roman" w:hint="default"/>
          <w:sz w:val="32"/>
          <w:szCs w:val="32"/>
          <w:highlight w:val="none"/>
        </w:rPr>
        <w:t xml:space="preserve">（1）评估项目实施效果</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通过对项目预算执行情况及各项绩效目标达成程度的系统性分析，全面、客观地评估项目在预定周期内的实施效果，包括经济效益等多维度指标，为项目后续的改进与优化提供科学依据。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3" w:name="_Toc1456"/>
      <w:r>
        <w:rPr>
          <w:rFonts w:ascii="Times New Roman" w:eastAsia="仿宋_GB2312" w:hAnsi="Times New Roman" w:cs="Times New Roman" w:hint="default"/>
          <w:sz w:val="32"/>
          <w:szCs w:val="32"/>
          <w:highlight w:val="none"/>
        </w:rPr>
        <w:t xml:space="preserve">（2）提升资源利用效率</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4" w:name="_Toc7051"/>
      <w:r>
        <w:rPr>
          <w:rFonts w:ascii="Times New Roman" w:eastAsia="仿宋_GB2312" w:hAnsi="Times New Roman" w:cs="Times New Roman" w:hint="default"/>
          <w:sz w:val="32"/>
          <w:szCs w:val="32"/>
          <w:highlight w:val="none"/>
        </w:rPr>
        <w:t xml:space="preserve">（3）强化项目管理责任</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5" w:name="_Toc19891"/>
      <w:r>
        <w:rPr>
          <w:rFonts w:ascii="Times New Roman" w:eastAsia="仿宋_GB2312" w:hAnsi="Times New Roman" w:cs="Times New Roman" w:hint="default"/>
          <w:sz w:val="32"/>
          <w:szCs w:val="32"/>
          <w:highlight w:val="none"/>
        </w:rPr>
        <w:t xml:space="preserve">（4）为决策提供支持</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3"/>
        <w:rPr>
          <w:rFonts w:ascii="Times New Roman" w:eastAsia="仿宋_GB2312" w:hAnsi="Times New Roman" w:cs="Times New Roman" w:hint="default"/>
          <w:sz w:val="32"/>
          <w:szCs w:val="32"/>
          <w:highlight w:val="none"/>
        </w:rPr>
      </w:pPr>
      <w:bookmarkStart w:id="16" w:name="_Toc10690"/>
      <w:r>
        <w:rPr>
          <w:rFonts w:ascii="Times New Roman" w:eastAsia="仿宋_GB2312" w:hAnsi="Times New Roman" w:cs="Times New Roman" w:hint="default"/>
          <w:sz w:val="32"/>
          <w:szCs w:val="32"/>
          <w:highlight w:val="none"/>
        </w:rPr>
        <w:t xml:space="preserve">（5）促进项目持续改进</w:t>
      </w:r>
      <w:bookmarkEnd w:id="1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17" w:name="_Toc5355"/>
      <w:r>
        <w:rPr>
          <w:rFonts w:ascii="Times New Roman" w:eastAsia="仿宋_GB2312" w:hAnsi="Times New Roman" w:cs="Times New Roman" w:hint="eastAsia"/>
          <w:b w:val="0"/>
          <w:bCs w:val="0"/>
          <w:highlight w:val="none"/>
          <w:lang w:val="en-US" w:eastAsia="zh-CN"/>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绩效评价的对象</w:t>
      </w:r>
      <w:bookmarkEnd w:id="17"/>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本项目预算绩效评价报告的评价对象是经营成本性项目及其预算执行情况。该项目由</w:t>
      </w:r>
      <w:r>
        <w:rPr>
          <w:rFonts w:ascii="Times New Roman" w:eastAsia="仿宋_GB2312" w:hAnsi="Times New Roman" w:cs="Times New Roman" w:hint="eastAsia"/>
          <w:b w:val="0"/>
          <w:bCs w:val="0"/>
          <w:highlight w:val="none"/>
          <w:lang w:val="en-US" w:eastAsia="zh-CN"/>
        </w:rPr>
        <w:t xml:space="preserve">新疆维吾尔自治区塔里木河流域开都孔雀河水利管理中心</w:t>
      </w:r>
      <w:r>
        <w:rPr>
          <w:rFonts w:ascii="Times New Roman" w:eastAsia="仿宋_GB2312" w:hAnsi="Times New Roman" w:cs="Times New Roman" w:hint="default"/>
          <w:b w:val="0"/>
          <w:bCs w:val="0"/>
          <w:highlight w:val="none"/>
        </w:rPr>
        <w:t xml:space="preserve">负责实施，旨在通过对</w:t>
      </w:r>
      <w:r>
        <w:rPr>
          <w:rFonts w:ascii="Times New Roman" w:eastAsia="仿宋_GB2312" w:hAnsi="Times New Roman" w:cs="Times New Roman" w:hint="eastAsia"/>
          <w:b w:val="0"/>
          <w:bCs w:val="0"/>
          <w:highlight w:val="none"/>
          <w:lang w:val="en-US" w:eastAsia="zh-CN"/>
        </w:rPr>
        <w:t xml:space="preserve">开都孔雀河水利管理中心</w:t>
      </w:r>
      <w:r>
        <w:rPr>
          <w:rFonts w:ascii="Times New Roman" w:eastAsia="仿宋_GB2312" w:hAnsi="Times New Roman" w:cs="Times New Roman" w:hint="default"/>
          <w:b w:val="0"/>
          <w:bCs w:val="0"/>
          <w:highlight w:val="none"/>
        </w:rPr>
        <w:t xml:space="preserve">所辖的希尼尔水库及库塔干渠东干渠工程进行维修养护。改善库区及所辖灌区生态环境。对水库除险加固工程进行验收准备，确保水库在职人员工资、绩效工资、年度考核奖及核增绩效等正常发放。确保水库工程各项工作正常运转，保证水库工程安全运行管理，提高下游灌区生态供水保证率。项目预算涵盖从</w:t>
      </w:r>
      <w:r>
        <w:rPr>
          <w:rFonts w:ascii="Times New Roman" w:eastAsia="仿宋_GB2312" w:hAnsi="Times New Roman" w:cs="Times New Roman" w:hint="eastAsia"/>
          <w:b w:val="0"/>
          <w:bCs w:val="0"/>
          <w:highlight w:val="none"/>
          <w:lang w:val="en-US" w:eastAsia="zh-CN"/>
        </w:rPr>
        <w:t xml:space="preserve">2025年1月1日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2025年12月31日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1454</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18" w:name="_Toc4258"/>
      <w:r>
        <w:rPr>
          <w:rFonts w:ascii="Times New Roman" w:eastAsia="仿宋_GB2312" w:hAnsi="Times New Roman" w:cs="Times New Roman" w:hint="eastAsia"/>
          <w:b w:val="0"/>
          <w:bCs w:val="0"/>
          <w:highlight w:val="none"/>
          <w:lang w:val="en-US" w:eastAsia="zh-CN"/>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绩效评价的范围</w:t>
      </w:r>
      <w:bookmarkEnd w:id="18"/>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1"/>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bookmarkStart w:id="19" w:name="_Toc29785"/>
    </w:p>
    <w:p>
      <w:pPr>
        <w:pStyle w:val="Title"/>
        <w:widowControl w:val="0"/>
        <w:numPr>
          <w:ilvl w:val="0"/>
          <w:numId w:val="0"/>
        </w:numPr>
        <w:spacing w:before="0" w:after="0" w:line="560" w:lineRule="exact"/>
        <w:jc w:val="both"/>
        <w:outlineLvl w:val="9"/>
        <w:rPr>
          <w:rFonts w:ascii="Times New Roman" w:hAnsi="Times New Roman" w:cs="Times New Roman" w:hint="default"/>
          <w:highlight w:val="none"/>
        </w:rPr>
      </w:pPr>
      <w:r>
        <w:rPr>
          <w:rFonts w:ascii="Times New Roman" w:eastAsia="楷体_GB2312" w:hAnsi="Times New Roman" w:cs="Times New Roman" w:hint="default"/>
          <w:b/>
          <w:bCs/>
          <w:sz w:val="32"/>
          <w:szCs w:val="32"/>
          <w:highlight w:val="none"/>
        </w:rPr>
        <w:t xml:space="preserve">（二）绩效评价原则、评价指标体系（详情见表1）、评价方法、评价标准。</w:t>
      </w:r>
      <w:bookmarkEnd w:id="19"/>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0" w:name="_Toc22859"/>
      <w:r>
        <w:rPr>
          <w:rFonts w:ascii="Times New Roman" w:eastAsia="仿宋_GB2312" w:hAnsi="Times New Roman" w:cs="Times New Roman" w:hint="default"/>
          <w:b w:val="0"/>
          <w:bCs w:val="0"/>
          <w:highlight w:val="none"/>
        </w:rPr>
        <w:t xml:space="preserve">1</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绩效评价原则</w:t>
      </w:r>
      <w:bookmarkEnd w:id="20"/>
    </w:p>
    <w:p>
      <w:pPr>
        <w:spacing w:line="560" w:lineRule="exact"/>
        <w:ind w:firstLine="640" w:firstLineChars="200"/>
        <w:rPr>
          <w:rFonts w:ascii="Times New Roman" w:eastAsia="仿宋_GB2312" w:hAnsi="Times New Roman" w:cs="Times New Roman" w:hint="default"/>
          <w:color w:val="000000"/>
          <w:sz w:val="32"/>
          <w:szCs w:val="32"/>
          <w:highlight w:val="none"/>
        </w:rPr>
      </w:pPr>
      <w:r>
        <w:rPr>
          <w:rFonts w:ascii="Times New Roman" w:eastAsia="仿宋_GB2312" w:hAnsi="Times New Roman" w:cs="Times New Roman" w:hint="default"/>
          <w:color w:val="000000"/>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（4）公开透明。绩效评价结果应依法依规公开，并自觉接受社会监督。</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1" w:name="_Toc31775"/>
      <w:r>
        <w:rPr>
          <w:rFonts w:ascii="Times New Roman" w:eastAsia="仿宋_GB2312" w:hAnsi="Times New Roman" w:cs="Times New Roman" w:hint="default"/>
          <w:b w:val="0"/>
          <w:bCs w:val="0"/>
          <w:highlight w:val="none"/>
        </w:rPr>
        <w:t xml:space="preserve">2</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评价指标体系</w:t>
      </w:r>
      <w:bookmarkEnd w:id="21"/>
    </w:p>
    <w:p>
      <w:pPr>
        <w:spacing w:line="560" w:lineRule="exact"/>
        <w:ind w:firstLine="640" w:firstLineChars="200"/>
        <w:rPr>
          <w:rFonts w:ascii="Times New Roman"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2" w:name="_Toc22746"/>
      <w:r>
        <w:rPr>
          <w:rFonts w:ascii="Times New Roman" w:eastAsia="仿宋_GB2312" w:hAnsi="Times New Roman" w:cs="Times New Roman" w:hint="default"/>
          <w:color w:val="000000"/>
          <w:spacing w:val="17"/>
          <w:sz w:val="32"/>
          <w:szCs w:val="32"/>
          <w:highlight w:val="none"/>
        </w:rPr>
        <w:t xml:space="preserve">（1）确定评价指标</w:t>
      </w:r>
      <w:bookmarkEnd w:id="22"/>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3" w:name="_Toc1142"/>
      <w:r>
        <w:rPr>
          <w:rFonts w:ascii="Times New Roman" w:eastAsia="仿宋_GB2312" w:hAnsi="Times New Roman" w:cs="Times New Roman" w:hint="default"/>
          <w:color w:val="000000"/>
          <w:spacing w:val="17"/>
          <w:sz w:val="32"/>
          <w:szCs w:val="32"/>
          <w:highlight w:val="none"/>
        </w:rPr>
        <w:t xml:space="preserve">（2）确定权重</w:t>
      </w:r>
      <w:bookmarkEnd w:id="23"/>
    </w:p>
    <w:p>
      <w:pPr>
        <w:spacing w:line="560" w:lineRule="exact"/>
        <w:ind w:firstLine="640" w:firstLineChars="200"/>
        <w:rPr>
          <w:rFonts w:ascii="Times New Roman" w:eastAsia="仿宋_GB2312" w:hAnsi="Times New Roman" w:cs="Times New Roman" w:hint="default"/>
          <w:color w:val="FF0000"/>
          <w:spacing w:val="17"/>
          <w:sz w:val="32"/>
          <w:szCs w:val="32"/>
          <w:highlight w:val="none"/>
          <w:lang w:eastAsia="zh-CN"/>
        </w:rPr>
      </w:pPr>
      <w:r>
        <w:rPr>
          <w:rFonts w:ascii="Times New Roman" w:eastAsia="仿宋_GB2312" w:hAnsi="Times New Roman" w:cs="Times New Roman" w:hint="default"/>
          <w:color w:val="000000"/>
          <w:spacing w:val="17"/>
          <w:sz w:val="32"/>
          <w:szCs w:val="32"/>
          <w:highlight w:val="none"/>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outlineLvl w:val="3"/>
        <w:rPr>
          <w:rFonts w:ascii="Times New Roman" w:eastAsia="仿宋_GB2312" w:hAnsi="Times New Roman" w:cs="Times New Roman" w:hint="default"/>
          <w:color w:val="000000"/>
          <w:spacing w:val="17"/>
          <w:sz w:val="32"/>
          <w:szCs w:val="32"/>
          <w:highlight w:val="none"/>
        </w:rPr>
      </w:pPr>
      <w:bookmarkStart w:id="24" w:name="_Toc18406"/>
      <w:r>
        <w:rPr>
          <w:rFonts w:ascii="Times New Roman" w:eastAsia="仿宋_GB2312" w:hAnsi="Times New Roman" w:cs="Times New Roman" w:hint="default"/>
          <w:color w:val="000000"/>
          <w:spacing w:val="17"/>
          <w:sz w:val="32"/>
          <w:szCs w:val="32"/>
          <w:highlight w:val="none"/>
        </w:rPr>
        <w:t xml:space="preserve">（3）确定指标标准值</w:t>
      </w:r>
      <w:bookmarkEnd w:id="24"/>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kern w:val="2"/>
          <w:highlight w:val="none"/>
        </w:rPr>
      </w:pPr>
      <w:r>
        <w:rPr>
          <w:rFonts w:ascii="Times New Roman" w:eastAsia="仿宋_GB2312" w:hAnsi="Times New Roman" w:cs="Times New Roman" w:hint="default"/>
          <w:b w:val="0"/>
          <w:bCs w:val="0"/>
          <w:color w:val="000000"/>
          <w:spacing w:val="17"/>
          <w:kern w:val="2"/>
          <w:highlight w:val="none"/>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highlight w:val="none"/>
        </w:rPr>
      </w:pPr>
      <w:r>
        <w:rPr>
          <w:rFonts w:ascii="Times New Roman" w:eastAsia="仿宋_GB2312" w:hAnsi="Times New Roman" w:cs="Times New Roman" w:hint="default"/>
          <w:b w:val="0"/>
          <w:bCs w:val="0"/>
          <w:color w:val="000000"/>
          <w:spacing w:val="17"/>
          <w:highlight w:val="none"/>
        </w:rPr>
        <w:t xml:space="preserve">具体评价指标体系详情见附件1</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5" w:name="_Toc18365"/>
      <w:r>
        <w:rPr>
          <w:rFonts w:ascii="Times New Roman" w:eastAsia="仿宋_GB2312" w:hAnsi="Times New Roman" w:cs="Times New Roman" w:hint="default"/>
          <w:b w:val="0"/>
          <w:bCs w:val="0"/>
          <w:highlight w:val="none"/>
        </w:rPr>
        <w:t xml:space="preserve">3</w:t>
      </w:r>
      <w:r>
        <w:rPr>
          <w:rFonts w:ascii="Times New Roman" w:eastAsia="仿宋_GB2312" w:hAnsi="Times New Roman" w:cs="Times New Roman" w:hint="default"/>
          <w:b w:val="0"/>
          <w:bCs w:val="0"/>
          <w:highlight w:val="none"/>
          <w:lang w:val="en-US" w:eastAsia="zh-CN"/>
        </w:rPr>
        <w:t xml:space="preserve">.</w:t>
      </w:r>
      <w:r>
        <w:rPr>
          <w:rFonts w:ascii="Times New Roman" w:eastAsia="仿宋_GB2312" w:hAnsi="Times New Roman" w:cs="Times New Roman" w:hint="default"/>
          <w:b w:val="0"/>
          <w:bCs w:val="0"/>
          <w:highlight w:val="none"/>
        </w:rPr>
        <w:t xml:space="preserve">绩效评价方法</w:t>
      </w:r>
      <w:bookmarkEnd w:id="25"/>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1</w:t>
      </w:r>
      <w:r>
        <w:rPr>
          <w:rFonts w:ascii="Times New Roman" w:eastAsia="仿宋_GB2312" w:hAnsi="Times New Roman" w:cs="Times New Roman" w:hint="default"/>
          <w:color w:val="000000"/>
          <w:spacing w:val="17"/>
          <w:sz w:val="32"/>
          <w:szCs w:val="32"/>
          <w:highlight w:val="none"/>
        </w:rPr>
        <w:t xml:space="preserve">）成本效益分析法。是指将投入与产出、效益进行关联性分析的方法。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2</w:t>
      </w:r>
      <w:r>
        <w:rPr>
          <w:rFonts w:ascii="Times New Roman" w:eastAsia="仿宋_GB2312" w:hAnsi="Times New Roman" w:cs="Times New Roman" w:hint="default"/>
          <w:color w:val="000000"/>
          <w:spacing w:val="17"/>
          <w:sz w:val="32"/>
          <w:szCs w:val="32"/>
          <w:highlight w:val="none"/>
        </w:rPr>
        <w:t xml:space="preserve">）比较法。是指将实施情况与绩效目标、历史情况、不同部门和地区同类支出情况进行比较的方法。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3</w:t>
      </w:r>
      <w:r>
        <w:rPr>
          <w:rFonts w:ascii="Times New Roman" w:eastAsia="仿宋_GB2312" w:hAnsi="Times New Roman" w:cs="Times New Roman" w:hint="default"/>
          <w:color w:val="000000"/>
          <w:spacing w:val="17"/>
          <w:sz w:val="32"/>
          <w:szCs w:val="32"/>
          <w:highlight w:val="none"/>
        </w:rPr>
        <w:t xml:space="preserve">）因素分析法。是指综合分析影响绩效目标实现、实施效果的内外部因素的方法。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4</w:t>
      </w:r>
      <w:r>
        <w:rPr>
          <w:rFonts w:ascii="Times New Roman" w:eastAsia="仿宋_GB2312" w:hAnsi="Times New Roman" w:cs="Times New Roman" w:hint="default"/>
          <w:color w:val="000000"/>
          <w:spacing w:val="17"/>
          <w:sz w:val="32"/>
          <w:szCs w:val="32"/>
          <w:highlight w:val="none"/>
        </w:rPr>
        <w:t xml:space="preserve">）最低成本法。是指在绩效目标确定的前提下，成本最小者为优的方法。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5</w:t>
      </w:r>
      <w:r>
        <w:rPr>
          <w:rFonts w:ascii="Times New Roman" w:eastAsia="仿宋_GB2312" w:hAnsi="Times New Roman" w:cs="Times New Roman" w:hint="default"/>
          <w:color w:val="000000"/>
          <w:spacing w:val="17"/>
          <w:sz w:val="32"/>
          <w:szCs w:val="32"/>
          <w:highlight w:val="none"/>
        </w:rPr>
        <w:t xml:space="preserve">）公众评判法。是指通过专家评估、公众问卷及抽样调查等方式进行评判的方法。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6</w:t>
      </w:r>
      <w:r>
        <w:rPr>
          <w:rFonts w:ascii="Times New Roman" w:eastAsia="仿宋_GB2312" w:hAnsi="Times New Roman" w:cs="Times New Roman" w:hint="default"/>
          <w:color w:val="000000"/>
          <w:spacing w:val="17"/>
          <w:sz w:val="32"/>
          <w:szCs w:val="32"/>
          <w:highlight w:val="none"/>
        </w:rPr>
        <w:t xml:space="preserve">）标杆管理法。是指以国内外同行业中较高的绩效水平为标杆进行评判的方法。</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7</w:t>
      </w:r>
      <w:r>
        <w:rPr>
          <w:rFonts w:ascii="Times New Roman" w:eastAsia="仿宋_GB2312" w:hAnsi="Times New Roman" w:cs="Times New Roman" w:hint="default"/>
          <w:color w:val="000000"/>
          <w:spacing w:val="17"/>
          <w:sz w:val="32"/>
          <w:szCs w:val="32"/>
          <w:highlight w:val="none"/>
        </w:rPr>
        <w:t xml:space="preserve">）其他评价方法。</w:t>
      </w:r>
    </w:p>
    <w:p>
      <w:pPr>
        <w:pStyle w:val="Title"/>
        <w:widowControl w:val="0"/>
        <w:spacing w:before="0" w:after="0" w:line="560" w:lineRule="exact"/>
        <w:ind w:firstLine="640" w:firstLineChars="200"/>
        <w:jc w:val="both"/>
        <w:outlineLvl w:val="2"/>
        <w:rPr>
          <w:rFonts w:ascii="Times New Roman" w:eastAsia="仿宋_GB2312" w:hAnsi="Times New Roman" w:cs="Times New Roman" w:hint="default"/>
          <w:b w:val="0"/>
          <w:bCs w:val="0"/>
          <w:highlight w:val="none"/>
        </w:rPr>
      </w:pPr>
      <w:bookmarkStart w:id="26" w:name="_Toc21230"/>
      <w:r>
        <w:rPr>
          <w:rFonts w:ascii="Times New Roman" w:eastAsia="仿宋_GB2312" w:hAnsi="Times New Roman" w:cs="Times New Roman" w:hint="default"/>
          <w:b w:val="0"/>
          <w:bCs w:val="0"/>
          <w:highlight w:val="none"/>
        </w:rPr>
        <w:t xml:space="preserve">4</w:t>
      </w:r>
      <w:r>
        <w:rPr>
          <w:rFonts w:ascii="Times New Roman" w:eastAsia="仿宋_GB2312" w:hAnsi="Times New Roman" w:cs="Times New Roman" w:hint="default"/>
          <w:b/>
          <w:bCs/>
          <w:sz w:val="32"/>
          <w:szCs w:val="32"/>
          <w:highlight w:val="none"/>
          <w:lang w:val="en-US" w:eastAsia="zh-CN"/>
        </w:rPr>
        <w:t xml:space="preserve">.</w:t>
      </w:r>
      <w:r>
        <w:rPr>
          <w:rFonts w:ascii="Times New Roman" w:eastAsia="仿宋_GB2312" w:hAnsi="Times New Roman" w:cs="Times New Roman" w:hint="default"/>
          <w:b w:val="0"/>
          <w:bCs w:val="0"/>
          <w:highlight w:val="none"/>
        </w:rPr>
        <w:t xml:space="preserve">评价标准</w:t>
      </w:r>
      <w:bookmarkEnd w:id="26"/>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绩效评价标准通常包括计划标准、行业标准、历史标准等，用于对绩效指标完成情况进行比较、分析、评价。</w:t>
      </w:r>
      <w:r>
        <w:rPr>
          <w:rFonts w:ascii="Times New Roman" w:eastAsia="仿宋_GB2312" w:hAnsi="Times New Roman" w:cs="Times New Roman" w:hint="eastAsia"/>
          <w:b w:val="0"/>
          <w:bCs w:val="0"/>
          <w:highlight w:val="none"/>
          <w:lang w:eastAsia="zh-CN"/>
        </w:rPr>
        <w:t xml:space="preserve">具体绩效评价标准解释如下：</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1</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计划标准。指以预先制定的目标、计划、预算、定额等作为评价标准。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2</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行业标准。指参照国家公布的行业指标数据制定的评价标准。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3</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历史标准。指参照历史数据制定的评价标准，为体现绩效改进的原则，在可实现的条件下应当确定相对较高的评价标准。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lang w:val="en-US" w:eastAsia="zh-CN"/>
        </w:rPr>
        <w:t xml:space="preserve">4</w:t>
      </w:r>
      <w:r>
        <w:rPr>
          <w:rFonts w:ascii="Times New Roman" w:eastAsia="仿宋_GB2312" w:hAnsi="Times New Roman" w:cs="Times New Roman" w:hint="default"/>
          <w:b w:val="0"/>
          <w:bCs w:val="0"/>
          <w:highlight w:val="none"/>
          <w:lang w:eastAsia="zh-CN"/>
        </w:rPr>
        <w:t xml:space="preserve">）</w:t>
      </w:r>
      <w:r>
        <w:rPr>
          <w:rFonts w:ascii="Times New Roman" w:eastAsia="仿宋_GB2312" w:hAnsi="Times New Roman" w:cs="Times New Roman" w:hint="default"/>
          <w:b w:val="0"/>
          <w:bCs w:val="0"/>
          <w:highlight w:val="none"/>
        </w:rPr>
        <w:t xml:space="preserve">财政部门和预算部门确认或认可的其他标准。</w:t>
      </w:r>
    </w:p>
    <w:p>
      <w:pPr>
        <w:pStyle w:val="Title"/>
        <w:widowControl w:val="0"/>
        <w:spacing w:before="0" w:after="0" w:line="560" w:lineRule="exact"/>
        <w:ind w:firstLine="640" w:firstLineChars="200"/>
        <w:jc w:val="both"/>
        <w:outlineLvl w:val="9"/>
        <w:rPr>
          <w:rFonts w:hint="default"/>
          <w:highlight w:val="none"/>
        </w:rPr>
      </w:pPr>
      <w:r>
        <w:rPr>
          <w:rFonts w:ascii="Times New Roman" w:eastAsia="仿宋_GB2312" w:hAnsi="Times New Roman" w:cs="Times New Roman" w:hint="eastAsia"/>
          <w:b w:val="0"/>
          <w:bCs w:val="0"/>
          <w:highlight w:val="none"/>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pStyle w:val="Title"/>
        <w:numPr>
          <w:ilvl w:val="0"/>
          <w:numId w:val="2"/>
        </w:numPr>
        <w:spacing w:before="0" w:after="0" w:line="560" w:lineRule="exact"/>
        <w:ind w:firstLine="640" w:firstLineChars="200"/>
        <w:jc w:val="both"/>
        <w:outlineLvl w:val="1"/>
        <w:rPr>
          <w:rFonts w:ascii="Times New Roman" w:eastAsia="楷体" w:hAnsi="Times New Roman" w:cs="Times New Roman" w:hint="default"/>
          <w:color w:val="000000"/>
          <w:spacing w:val="17"/>
          <w:highlight w:val="none"/>
        </w:rPr>
      </w:pPr>
      <w:bookmarkStart w:id="27" w:name="_Toc5544"/>
      <w:r>
        <w:rPr>
          <w:rFonts w:ascii="Times New Roman" w:eastAsia="楷体" w:hAnsi="Times New Roman" w:cs="Times New Roman" w:hint="default"/>
          <w:color w:val="000000"/>
          <w:spacing w:val="17"/>
          <w:highlight w:val="none"/>
        </w:rPr>
        <w:t xml:space="preserve">绩效评价工作过程</w:t>
      </w:r>
      <w:bookmarkEnd w:id="2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rPr>
      </w:pPr>
      <w:bookmarkStart w:id="28" w:name="_Toc21316"/>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前期准备与规划</w:t>
      </w:r>
      <w:bookmarkEnd w:id="28"/>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w:t>
      </w:r>
      <w:r>
        <w:rPr>
          <w:rFonts w:eastAsia="仿宋_GB2312" w:cs="Times New Roman" w:hint="eastAsia"/>
          <w:sz w:val="32"/>
          <w:szCs w:val="32"/>
          <w:highlight w:val="none"/>
          <w:lang w:val="en-US" w:eastAsia="zh-CN"/>
        </w:rPr>
        <w:t xml:space="preserve">成员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29" w:name="_Toc12550"/>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0" w:name="_Toc7217"/>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1" w:name="_Toc13512"/>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bookmarkEnd w:id="3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2" w:name="_Toc26222"/>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bookmarkEnd w:id="32"/>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2"/>
        <w:rPr>
          <w:rFonts w:ascii="Times New Roman" w:eastAsia="仿宋_GB2312" w:hAnsi="Times New Roman" w:cs="Times New Roman" w:hint="default"/>
          <w:sz w:val="32"/>
          <w:szCs w:val="32"/>
          <w:highlight w:val="none"/>
          <w:lang w:eastAsia="zh-CN"/>
        </w:rPr>
      </w:pPr>
      <w:bookmarkStart w:id="33" w:name="_Toc554"/>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outlineLvl w:val="0"/>
        <w:rPr>
          <w:rFonts w:ascii="Times New Roman" w:eastAsia="黑体" w:hAnsi="Times New Roman" w:cs="Times New Roman" w:hint="default"/>
          <w:sz w:val="32"/>
          <w:szCs w:val="32"/>
          <w:highlight w:val="none"/>
        </w:rPr>
      </w:pPr>
      <w:bookmarkStart w:id="34" w:name="_Toc29729"/>
      <w:r>
        <w:rPr>
          <w:rFonts w:ascii="Times New Roman" w:eastAsia="黑体" w:hAnsi="Times New Roman" w:cs="Times New Roman" w:hint="default"/>
          <w:sz w:val="32"/>
          <w:szCs w:val="32"/>
          <w:highlight w:val="none"/>
        </w:rPr>
        <w:t xml:space="preserve">综合评价情况及评价结论（附相关评分表）</w:t>
      </w:r>
      <w:bookmarkEnd w:id="34"/>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highlight w:val="none"/>
          <w:lang w:val="en-US" w:eastAsia="zh-CN"/>
        </w:rPr>
      </w:pPr>
      <w:bookmarkStart w:id="35" w:name="_Toc2344"/>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一</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评价情况</w:t>
      </w:r>
      <w:bookmarkEnd w:id="35"/>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项目在经济效益上发挥了积极作用，具体效益表现，如：设备正常运转率方面的提升，为项目的利益相关者带来了实实在在的利益。整体实现了项目预期的实施价值。</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1"/>
        <w:rPr>
          <w:rFonts w:ascii="Times New Roman" w:eastAsia="楷体_GB2312" w:hAnsi="Times New Roman" w:cs="Times New Roman" w:hint="default"/>
          <w:highlight w:val="none"/>
          <w:lang w:val="en-US" w:eastAsia="zh-CN"/>
        </w:rPr>
      </w:pPr>
      <w:bookmarkStart w:id="36" w:name="_Toc6653"/>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二</w:t>
      </w:r>
      <w:r>
        <w:rPr>
          <w:rFonts w:ascii="Times New Roman" w:eastAsia="楷体_GB2312" w:hAnsi="Times New Roman" w:cs="Times New Roman" w:hint="default"/>
          <w:highlight w:val="none"/>
          <w:lang w:eastAsia="zh-CN"/>
        </w:rPr>
        <w:t xml:space="preserve">）</w:t>
      </w:r>
      <w:r>
        <w:rPr>
          <w:rFonts w:ascii="Times New Roman" w:eastAsia="楷体_GB2312" w:hAnsi="Times New Roman" w:cs="Times New Roman" w:hint="default"/>
          <w:highlight w:val="none"/>
          <w:lang w:val="en-US" w:eastAsia="zh-CN"/>
        </w:rPr>
        <w:t xml:space="preserve">评价结论</w:t>
      </w:r>
      <w:bookmarkEnd w:id="36"/>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分，属于“优”。其中，项目决策类指标权重为20分，得分为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w:t>
      </w:r>
      <w:r>
        <w:rPr>
          <w:rFonts w:ascii="Times New Roman" w:eastAsia="仿宋_GB2312" w:hAnsi="Times New Roman" w:cs="Times New Roman" w:hint="eastAsia"/>
          <w:b w:val="0"/>
          <w:bCs w:val="0"/>
          <w:highlight w:val="none"/>
          <w:lang w:val="en-US" w:eastAsia="zh-CN"/>
        </w:rPr>
        <w:t xml:space="preserve">下</w:t>
      </w:r>
      <w:r>
        <w:rPr>
          <w:rFonts w:ascii="Times New Roman" w:eastAsia="仿宋_GB2312" w:hAnsi="Times New Roman" w:cs="Times New Roman" w:hint="default"/>
          <w:b w:val="0"/>
          <w:bCs w:val="0"/>
          <w:highlight w:val="none"/>
        </w:rPr>
        <w:t xml:space="preserve">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highlight w:val="none"/>
        </w:rPr>
      </w:pPr>
    </w:p>
    <w:p>
      <w:pPr>
        <w:pStyle w:val="Title"/>
        <w:keepNext w:val="0"/>
        <w:keepLines w:val="0"/>
        <w:pageBreakBefore w:val="0"/>
        <w:widowControl/>
        <w:kinsoku/>
        <w:wordWrap/>
        <w:overflowPunct/>
        <w:topLinePunct w:val="0"/>
        <w:autoSpaceDE/>
        <w:autoSpaceDN/>
        <w:bidi w:val="0"/>
        <w:adjustRightInd/>
        <w:snapToGrid/>
        <w:spacing w:before="0" w:after="0"/>
        <w:textAlignment w:val="auto"/>
        <w:outlineLvl w:val="9"/>
        <w:rPr>
          <w:rFonts w:ascii="Times New Roman" w:eastAsia="仿宋_GB2312" w:hAnsi="Times New Roman" w:cs="Times New Roman" w:hint="default"/>
          <w:sz w:val="21"/>
          <w:szCs w:val="21"/>
          <w:highlight w:val="none"/>
        </w:rPr>
      </w:pPr>
      <w:r>
        <w:rPr>
          <w:rFonts w:ascii="Times New Roman" w:eastAsia="仿宋_GB2312" w:hAnsi="Times New Roman" w:cs="Times New Roman" w:hint="default"/>
          <w:sz w:val="21"/>
          <w:szCs w:val="21"/>
          <w:highlight w:val="none"/>
        </w:rPr>
        <w:t xml:space="preserve">表1综合评分表</w:t>
      </w:r>
    </w:p>
    <w:tbl>
      <w:tblPr>
        <w:tblStyle w:val="NormalTable"/>
        <w:tblW w:w="7583" w:type="dxa"/>
        <w:jc w:val="center"/>
        <w:tblLayout w:type="fixed"/>
        <w:tblCellMar>
          <w:top w:w="0" w:type="dxa"/>
          <w:left w:w="108" w:type="dxa"/>
          <w:bottom w:w="0" w:type="dxa"/>
          <w:right w:w="108" w:type="dxa"/>
        </w:tblCellMar>
      </w:tblPr>
      <w:tblGrid>
        <w:gridCol w:w="3137"/>
        <w:gridCol w:w="2168"/>
        <w:gridCol w:w="2278"/>
      </w:tblGrid>
      <w:tr w14:paraId="2B3B8631">
        <w:tblPrEx>
          <w:tblW w:w="7583" w:type="dxa"/>
          <w:jc w:val="center"/>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得分</w:t>
            </w:r>
          </w:p>
        </w:tc>
      </w:tr>
      <w:tr w14:paraId="7D7F1F52">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16E5F2B7">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4149D59A">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40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40</w:t>
            </w:r>
          </w:p>
        </w:tc>
      </w:tr>
      <w:tr w14:paraId="11D22472">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rPr>
            </w:pPr>
            <w:r>
              <w:rPr>
                <w:rFonts w:ascii="Times New Roman" w:eastAsia="仿宋_GB2312" w:hAnsi="Times New Roman" w:cs="Times New Roman" w:hint="default"/>
                <w:color w:val="000000"/>
                <w:sz w:val="21"/>
                <w:szCs w:val="21"/>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ascii="Times New Roman" w:eastAsia="仿宋_GB2312" w:hAnsi="Times New Roman" w:cs="Times New Roman" w:hint="default"/>
                <w:color w:val="000000"/>
                <w:sz w:val="21"/>
                <w:szCs w:val="21"/>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highlight w:val="none"/>
                <w:lang w:val="en-US" w:eastAsia="zh-CN"/>
              </w:rPr>
            </w:pPr>
            <w:r>
              <w:rPr>
                <w:rFonts w:eastAsia="仿宋_GB2312" w:cs="Times New Roman" w:hint="eastAsia"/>
                <w:color w:val="000000"/>
                <w:sz w:val="21"/>
                <w:szCs w:val="21"/>
                <w:highlight w:val="none"/>
                <w:lang w:val="en-US" w:eastAsia="zh-CN"/>
              </w:rPr>
              <w:t xml:space="preserve">20</w:t>
            </w:r>
          </w:p>
        </w:tc>
      </w:tr>
      <w:tr w14:paraId="1ED4F1A4">
        <w:tblPrEx>
          <w:tblW w:w="7583" w:type="dxa"/>
          <w:jc w:val="center"/>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rPr>
            </w:pPr>
            <w:r>
              <w:rPr>
                <w:rFonts w:ascii="Times New Roman" w:eastAsia="仿宋_GB2312" w:hAnsi="Times New Roman" w:cs="Times New Roman" w:hint="default"/>
                <w:b/>
                <w:bCs/>
                <w:color w:val="000000"/>
                <w:sz w:val="21"/>
                <w:szCs w:val="21"/>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ascii="Times New Roman" w:eastAsia="仿宋_GB2312" w:hAnsi="Times New Roman" w:cs="Times New Roman" w:hint="default"/>
                <w:b/>
                <w:bCs/>
                <w:color w:val="000000"/>
                <w:sz w:val="21"/>
                <w:szCs w:val="21"/>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highlight w:val="none"/>
                <w:lang w:val="en-US" w:eastAsia="zh-CN"/>
              </w:rPr>
            </w:pPr>
            <w:r>
              <w:rPr>
                <w:rFonts w:eastAsia="仿宋_GB2312" w:cs="Times New Roman" w:hint="eastAsia"/>
                <w:b/>
                <w:bCs/>
                <w:color w:val="000000"/>
                <w:sz w:val="21"/>
                <w:szCs w:val="21"/>
                <w:highlight w:val="none"/>
                <w:lang w:val="en-US" w:eastAsia="zh-CN"/>
              </w:rPr>
              <w:t xml:space="preserve">100</w:t>
            </w:r>
          </w:p>
        </w:tc>
      </w:tr>
    </w:tbl>
    <w:p>
      <w:pPr>
        <w:spacing w:line="560" w:lineRule="exact"/>
        <w:ind w:firstLine="640" w:firstLineChars="200"/>
        <w:outlineLvl w:val="0"/>
        <w:rPr>
          <w:rFonts w:ascii="Times New Roman" w:eastAsia="黑体" w:hAnsi="Times New Roman" w:cs="Times New Roman" w:hint="default"/>
          <w:sz w:val="32"/>
          <w:szCs w:val="32"/>
          <w:highlight w:val="none"/>
        </w:rPr>
      </w:pPr>
      <w:bookmarkStart w:id="37" w:name="_Toc1453"/>
      <w:r>
        <w:rPr>
          <w:rFonts w:ascii="Times New Roman" w:eastAsia="黑体" w:hAnsi="Times New Roman" w:cs="Times New Roman" w:hint="default"/>
          <w:sz w:val="32"/>
          <w:szCs w:val="32"/>
          <w:highlight w:val="none"/>
        </w:rPr>
        <w:t xml:space="preserve">四、绩效评价指标分析</w:t>
      </w:r>
      <w:bookmarkEnd w:id="37"/>
    </w:p>
    <w:p>
      <w:pPr>
        <w:pStyle w:val="Title"/>
        <w:spacing w:before="0" w:after="0" w:line="560" w:lineRule="exact"/>
        <w:ind w:firstLine="640" w:firstLineChars="200"/>
        <w:jc w:val="both"/>
        <w:outlineLvl w:val="1"/>
        <w:rPr>
          <w:rFonts w:ascii="Times New Roman" w:eastAsia="楷体_GB2312" w:hAnsi="Times New Roman" w:cs="Times New Roman" w:hint="default"/>
          <w:highlight w:val="none"/>
        </w:rPr>
      </w:pPr>
      <w:bookmarkStart w:id="38" w:name="_Toc32318"/>
      <w:r>
        <w:rPr>
          <w:rFonts w:ascii="Times New Roman" w:eastAsia="楷体_GB2312" w:hAnsi="Times New Roman" w:cs="Times New Roman" w:hint="default"/>
          <w:highlight w:val="none"/>
        </w:rPr>
        <w:t xml:space="preserve">（一）项目决策情况</w:t>
      </w:r>
      <w:bookmarkEnd w:id="38"/>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ascii="Times New Roman" w:eastAsia="仿宋_GB2312" w:hAnsi="Times New Roman"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39" w:name="_Toc24345"/>
      <w:r>
        <w:rPr>
          <w:rFonts w:ascii="Times New Roman" w:eastAsia="仿宋_GB2312" w:hAnsi="Times New Roman" w:cs="Times New Roman" w:hint="default"/>
          <w:b/>
          <w:bCs/>
          <w:sz w:val="32"/>
          <w:szCs w:val="32"/>
          <w:highlight w:val="none"/>
          <w:lang w:val="en-US" w:eastAsia="zh-CN"/>
        </w:rPr>
        <w:t xml:space="preserve">1.项目立项</w:t>
      </w:r>
      <w:bookmarkEnd w:id="39"/>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0" w:name="_Toc9358"/>
      <w:r>
        <w:rPr>
          <w:rFonts w:ascii="Times New Roman" w:eastAsia="仿宋_GB2312" w:hAnsi="Times New Roman" w:cs="Times New Roman" w:hint="default"/>
          <w:sz w:val="32"/>
          <w:szCs w:val="32"/>
          <w:highlight w:val="none"/>
          <w:lang w:val="en-US" w:eastAsia="zh-CN"/>
        </w:rPr>
        <w:t xml:space="preserve">（1）立项依据充分性</w:t>
      </w:r>
      <w:bookmarkEnd w:id="40"/>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1" w:name="_Toc1295"/>
      <w:r>
        <w:rPr>
          <w:rFonts w:ascii="Times New Roman" w:eastAsia="仿宋_GB2312" w:hAnsi="Times New Roman" w:cs="Times New Roman" w:hint="default"/>
          <w:sz w:val="32"/>
          <w:szCs w:val="32"/>
          <w:highlight w:val="none"/>
          <w:lang w:val="en-US" w:eastAsia="zh-CN"/>
        </w:rPr>
        <w:t xml:space="preserve">（2）立项程序规范性</w:t>
      </w:r>
      <w:bookmarkEnd w:id="41"/>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项目申请、设立过程符合相关要求，</w:t>
      </w:r>
      <w:r>
        <w:rPr>
          <w:rFonts w:ascii="Times New Roman" w:eastAsia="仿宋_GB2312" w:hAnsi="Times New Roman" w:cs="Times New Roman" w:hint="default"/>
          <w:sz w:val="32"/>
          <w:szCs w:val="32"/>
          <w:highlight w:val="none"/>
        </w:rPr>
        <w:t xml:space="preserve">严格按照审批流程准备符合要求的文件、材料；</w:t>
      </w:r>
      <w:r>
        <w:rPr>
          <w:rFonts w:ascii="Times New Roman" w:eastAsia="仿宋_GB2312" w:hAnsi="Times New Roman" w:cs="Times New Roman" w:hint="default"/>
          <w:sz w:val="32"/>
          <w:szCs w:val="32"/>
          <w:highlight w:val="none"/>
          <w:lang w:val="en-US" w:eastAsia="zh-CN"/>
        </w:rPr>
        <w:t xml:space="preserve">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2" w:name="_Toc22045"/>
      <w:r>
        <w:rPr>
          <w:rFonts w:ascii="Times New Roman" w:eastAsia="仿宋_GB2312" w:hAnsi="Times New Roman" w:cs="Times New Roman" w:hint="default"/>
          <w:b/>
          <w:bCs/>
          <w:sz w:val="32"/>
          <w:szCs w:val="32"/>
          <w:highlight w:val="none"/>
          <w:lang w:val="en-US" w:eastAsia="zh-CN"/>
        </w:rPr>
        <w:t xml:space="preserve">2.绩效目标</w:t>
      </w:r>
      <w:bookmarkEnd w:id="42"/>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3" w:name="_Toc15281"/>
      <w:r>
        <w:rPr>
          <w:rFonts w:ascii="Times New Roman" w:eastAsia="仿宋_GB2312" w:hAnsi="Times New Roman" w:cs="Times New Roman" w:hint="default"/>
          <w:sz w:val="32"/>
          <w:szCs w:val="32"/>
          <w:highlight w:val="none"/>
          <w:lang w:val="en-US" w:eastAsia="zh-CN"/>
        </w:rPr>
        <w:t xml:space="preserve">（1）绩效目标合理性</w:t>
      </w:r>
      <w:bookmarkEnd w:id="43"/>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rPr>
        <w:t xml:space="preserve">本项目结合</w:t>
      </w:r>
      <w:r>
        <w:rPr>
          <w:rFonts w:eastAsia="仿宋_GB2312" w:cs="Times New Roman" w:hint="eastAsia"/>
          <w:sz w:val="32"/>
          <w:szCs w:val="32"/>
          <w:highlight w:val="none"/>
          <w:lang w:val="en-US" w:eastAsia="zh-CN"/>
        </w:rPr>
        <w:t xml:space="preserve">水库日常维修养护项目工程建设类实际</w:t>
      </w:r>
      <w:r>
        <w:rPr>
          <w:rFonts w:ascii="Times New Roman" w:eastAsia="仿宋_GB2312" w:hAnsi="Times New Roman" w:cs="Times New Roman" w:hint="default"/>
          <w:sz w:val="32"/>
          <w:szCs w:val="32"/>
          <w:highlight w:val="none"/>
          <w:lang w:val="en-US"/>
        </w:rPr>
        <w:t xml:space="preserve">，围绕“</w:t>
      </w:r>
      <w:r>
        <w:rPr>
          <w:rFonts w:ascii="Times New Roman" w:eastAsia="仿宋_GB2312" w:hAnsi="Times New Roman" w:cs="Times New Roman" w:hint="default"/>
          <w:sz w:val="32"/>
          <w:szCs w:val="32"/>
          <w:highlight w:val="none"/>
          <w:lang w:val="en-US" w:eastAsia="zh-CN"/>
        </w:rPr>
        <w:t xml:space="preserve">确保水库工程各项工作正常运转，保证水库工程安全运行管理，提高下游灌区生态供水保证率；维修养护计划对塔里木河流域开都孔雀河水利管理中心所辖的希尼尔水库及库塔干渠东干渠工程进行维修养护。改善库区及所辖灌区生态环境。对水库除险加固工程进行验收准备</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rPr>
        <w:t xml:space="preserve">水库日常维修养护项目</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rPr>
        <w:t xml:space="preserve">设定绩效目标，具体明确了“</w:t>
      </w:r>
      <w:r>
        <w:rPr>
          <w:rFonts w:eastAsia="仿宋_GB2312" w:cs="Times New Roman" w:hint="eastAsia"/>
          <w:sz w:val="32"/>
          <w:szCs w:val="32"/>
          <w:highlight w:val="none"/>
          <w:lang w:val="en-US" w:eastAsia="zh-CN"/>
        </w:rPr>
        <w:t xml:space="preserve">2025</w:t>
      </w:r>
      <w:r>
        <w:rPr>
          <w:rFonts w:ascii="Times New Roman" w:eastAsia="仿宋_GB2312" w:hAnsi="Times New Roman" w:cs="Times New Roman" w:hint="default"/>
          <w:sz w:val="32"/>
          <w:szCs w:val="32"/>
          <w:highlight w:val="none"/>
          <w:lang w:val="en-US"/>
        </w:rPr>
        <w:t xml:space="preserve">年度完成</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rPr>
        <w:t xml:space="preserve">项任务、达成改善库区及所辖灌区生态环境效果”的核心内容。目标设定依据充分，既参考了</w:t>
      </w:r>
      <w:r>
        <w:rPr>
          <w:rFonts w:ascii="Times New Roman" w:eastAsia="仿宋_GB2312" w:hAnsi="Times New Roman" w:cs="Times New Roman" w:hint="eastAsia"/>
          <w:sz w:val="32"/>
          <w:szCs w:val="32"/>
          <w:highlight w:val="none"/>
          <w:lang w:val="en-US" w:eastAsia="zh-CN"/>
        </w:rPr>
        <w:t xml:space="preserve">水库工程设施设备现状</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eastAsia"/>
          <w:sz w:val="32"/>
          <w:szCs w:val="32"/>
          <w:highlight w:val="none"/>
          <w:lang w:val="en-US" w:eastAsia="zh-CN"/>
        </w:rPr>
        <w:t xml:space="preserve">运行年限</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eastAsia"/>
          <w:sz w:val="32"/>
          <w:szCs w:val="32"/>
          <w:highlight w:val="none"/>
          <w:lang w:val="en-US" w:eastAsia="zh-CN"/>
        </w:rPr>
        <w:t xml:space="preserve">病害隐患及安全度汛要求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eastAsia"/>
          <w:sz w:val="32"/>
          <w:szCs w:val="32"/>
          <w:highlight w:val="none"/>
          <w:lang w:val="en-US" w:eastAsia="zh-CN"/>
        </w:rPr>
        <w:t xml:space="preserve">历年维修养护工作量</w:t>
      </w:r>
      <w:r>
        <w:rPr>
          <w:rFonts w:ascii="Times New Roman" w:eastAsia="仿宋_GB2312" w:hAnsi="Times New Roman" w:cs="Times New Roman" w:hint="default"/>
          <w:sz w:val="32"/>
          <w:szCs w:val="32"/>
          <w:highlight w:val="none"/>
          <w:lang w:val="en-US"/>
        </w:rPr>
        <w:t xml:space="preserve">，又匹配了部门年度工作重点，未超出项目实施的技术、资源、时间约束。绩效目标与项目实际工作内容高度相关（如：“水库日常维修养护”目标直接服务于“改善库区及所辖灌区生态环境效果”的工作核心），且预算资金与目标投资额精准匹配完全符合评分标准中“目标有依据、与实际相关、效益符合正常业绩水平、与预算匹配”的评价要点，</w:t>
      </w:r>
      <w:r>
        <w:rPr>
          <w:rFonts w:ascii="Times New Roman" w:eastAsia="仿宋_GB2312" w:hAnsi="Times New Roman" w:cs="Times New Roman" w:hint="default"/>
          <w:sz w:val="32"/>
          <w:szCs w:val="32"/>
          <w:highlight w:val="none"/>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4" w:name="_Toc12145"/>
      <w:r>
        <w:rPr>
          <w:rFonts w:ascii="Times New Roman" w:eastAsia="仿宋_GB2312" w:hAnsi="Times New Roman" w:cs="Times New Roman" w:hint="default"/>
          <w:sz w:val="32"/>
          <w:szCs w:val="32"/>
          <w:highlight w:val="none"/>
          <w:lang w:val="en-US" w:eastAsia="zh-CN"/>
        </w:rPr>
        <w:t xml:space="preserve">（2）绩效指标明确性</w:t>
      </w:r>
      <w:bookmarkEnd w:id="44"/>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项目将总体绩效目标细化分解为数量指标“</w:t>
      </w:r>
      <w:r>
        <w:rPr>
          <w:rFonts w:eastAsia="仿宋_GB2312" w:cs="Times New Roman" w:hint="eastAsia"/>
          <w:sz w:val="32"/>
          <w:szCs w:val="32"/>
          <w:highlight w:val="none"/>
          <w:lang w:val="en-US" w:eastAsia="zh-CN"/>
        </w:rPr>
        <w:t xml:space="preserve">发放工资12次</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设备购置33个</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工资发放人数25人、基础设施维修工程1项、网络信息化服务工程1项</w:t>
      </w:r>
      <w:r>
        <w:rPr>
          <w:rFonts w:ascii="Times New Roman" w:eastAsia="仿宋_GB2312" w:hAnsi="Times New Roman" w:cs="Times New Roman" w:hint="default"/>
          <w:sz w:val="32"/>
          <w:szCs w:val="32"/>
          <w:highlight w:val="none"/>
          <w:lang w:val="en-US" w:eastAsia="zh-CN"/>
        </w:rPr>
        <w:t xml:space="preserve">”、质量指标“</w:t>
      </w:r>
      <w:r>
        <w:rPr>
          <w:rFonts w:eastAsia="仿宋_GB2312" w:cs="Times New Roman" w:hint="eastAsia"/>
          <w:sz w:val="32"/>
          <w:szCs w:val="32"/>
          <w:highlight w:val="none"/>
          <w:lang w:val="en-US" w:eastAsia="zh-CN"/>
        </w:rPr>
        <w:t xml:space="preserve">项目资金支付率</w:t>
      </w:r>
      <w:r>
        <w:rPr>
          <w:rFonts w:ascii="Times New Roman" w:eastAsia="仿宋_GB2312" w:hAnsi="Times New Roman" w:cs="Times New Roman" w:hint="default"/>
          <w:sz w:val="32"/>
          <w:szCs w:val="32"/>
          <w:highlight w:val="none"/>
          <w:lang w:val="en-US" w:eastAsia="zh-CN"/>
        </w:rPr>
        <w:t xml:space="preserve">≥9</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、工程验收合格率</w:t>
      </w:r>
      <w:r>
        <w:rPr>
          <w:rFonts w:ascii="Times New Roman" w:eastAsia="仿宋_GB2312" w:hAnsi="Times New Roman" w:cs="Times New Roman" w:hint="default"/>
          <w:sz w:val="32"/>
          <w:szCs w:val="32"/>
          <w:highlight w:val="none"/>
          <w:lang w:val="en-US" w:eastAsia="zh-CN"/>
        </w:rPr>
        <w:t xml:space="preserve">≥9</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、设备验收合格率</w:t>
      </w:r>
      <w:r>
        <w:rPr>
          <w:rFonts w:ascii="Times New Roman" w:eastAsia="仿宋_GB2312" w:hAnsi="Times New Roman" w:cs="Times New Roman" w:hint="default"/>
          <w:sz w:val="32"/>
          <w:szCs w:val="32"/>
          <w:highlight w:val="none"/>
          <w:lang w:val="en-US" w:eastAsia="zh-CN"/>
        </w:rPr>
        <w:t xml:space="preserve">≥9</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%”、效益指标“设备正常运转率≥95%”等可量化、可衡量的三级指标，每个指标均明确了具体指标值（如：“设备正常运行率≥95%”“</w:t>
      </w:r>
      <w:r>
        <w:rPr>
          <w:rFonts w:eastAsia="仿宋_GB2312" w:cs="Times New Roman" w:hint="eastAsia"/>
          <w:sz w:val="32"/>
          <w:szCs w:val="32"/>
          <w:highlight w:val="none"/>
          <w:lang w:val="en-US" w:eastAsia="zh-CN"/>
        </w:rPr>
        <w:t xml:space="preserve">项目资金支付率</w:t>
      </w:r>
      <w:r>
        <w:rPr>
          <w:rFonts w:ascii="Times New Roman" w:eastAsia="仿宋_GB2312" w:hAnsi="Times New Roman" w:cs="Times New Roman" w:hint="default"/>
          <w:sz w:val="32"/>
          <w:szCs w:val="32"/>
          <w:highlight w:val="none"/>
          <w:lang w:val="en-US" w:eastAsia="zh-CN"/>
        </w:rPr>
        <w:t xml:space="preserve">≥9</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%”），且指标值与项目目标任务数一一对应（如：“完成</w:t>
      </w:r>
      <w:r>
        <w:rPr>
          <w:rFonts w:eastAsia="仿宋_GB2312" w:cs="Times New Roman" w:hint="eastAsia"/>
          <w:sz w:val="32"/>
          <w:szCs w:val="32"/>
          <w:highlight w:val="none"/>
          <w:lang w:val="en-US" w:eastAsia="zh-CN"/>
        </w:rPr>
        <w:t xml:space="preserve">2项</w:t>
      </w:r>
      <w:r>
        <w:rPr>
          <w:rFonts w:ascii="Times New Roman" w:eastAsia="仿宋_GB2312" w:hAnsi="Times New Roman" w:cs="Times New Roman" w:hint="default"/>
          <w:sz w:val="32"/>
          <w:szCs w:val="32"/>
          <w:highlight w:val="none"/>
          <w:lang w:val="en-US" w:eastAsia="zh-CN"/>
        </w:rPr>
        <w:t xml:space="preserve">水库日常维修养护项目”对应数量指标“水库日常维修养护项目</w:t>
      </w:r>
      <w:r>
        <w:rPr>
          <w:rFonts w:ascii="Times New Roman" w:eastAsia="仿宋_GB2312" w:hAnsi="Times New Roman" w:cs="Times New Roman" w:hint="eastAsia"/>
          <w:sz w:val="32"/>
          <w:szCs w:val="32"/>
          <w:highlight w:val="none"/>
          <w:lang w:val="en-US" w:eastAsia="zh-CN"/>
        </w:rPr>
        <w:t xml:space="preserve">2项</w:t>
      </w:r>
      <w:r>
        <w:rPr>
          <w:rFonts w:ascii="Times New Roman" w:eastAsia="仿宋_GB2312" w:hAnsi="Times New Roman" w:cs="Times New Roman" w:hint="default"/>
          <w:sz w:val="32"/>
          <w:szCs w:val="32"/>
          <w:highlight w:val="none"/>
          <w:lang w:val="en-US" w:eastAsia="zh-CN"/>
        </w:rPr>
        <w:t xml:space="preserve">”）。指标设定清晰无歧义，既涵盖了产出</w:t>
      </w:r>
      <w:r>
        <w:rPr>
          <w:rFonts w:eastAsia="仿宋_GB2312" w:cs="Times New Roman" w:hint="eastAsia"/>
          <w:sz w:val="32"/>
          <w:szCs w:val="32"/>
          <w:highlight w:val="none"/>
          <w:lang w:val="en-US" w:eastAsia="zh-CN"/>
        </w:rPr>
        <w:t xml:space="preserve">指标</w:t>
      </w:r>
      <w:r>
        <w:rPr>
          <w:rFonts w:ascii="Times New Roman" w:eastAsia="仿宋_GB2312" w:hAnsi="Times New Roman" w:cs="Times New Roman" w:hint="default"/>
          <w:sz w:val="32"/>
          <w:szCs w:val="32"/>
          <w:highlight w:val="none"/>
          <w:lang w:val="en-US" w:eastAsia="zh-CN"/>
        </w:rPr>
        <w:t xml:space="preserve">（如：</w:t>
      </w:r>
      <w:r>
        <w:rPr>
          <w:rFonts w:eastAsia="仿宋_GB2312" w:cs="Times New Roman" w:hint="eastAsia"/>
          <w:sz w:val="32"/>
          <w:szCs w:val="32"/>
          <w:highlight w:val="none"/>
          <w:lang w:val="en-US" w:eastAsia="zh-CN"/>
        </w:rPr>
        <w:t xml:space="preserve">发放工资次数</w:t>
      </w:r>
      <w:r>
        <w:rPr>
          <w:rFonts w:ascii="Times New Roman" w:eastAsia="仿宋_GB2312" w:hAnsi="Times New Roman" w:cs="Times New Roman" w:hint="default"/>
          <w:sz w:val="32"/>
          <w:szCs w:val="32"/>
          <w:highlight w:val="none"/>
          <w:lang w:val="en-US" w:eastAsia="zh-CN"/>
        </w:rPr>
        <w:t xml:space="preserve">、设备购置数量（个）），也覆盖了</w:t>
      </w:r>
      <w:r>
        <w:rPr>
          <w:rFonts w:eastAsia="仿宋_GB2312" w:cs="Times New Roman" w:hint="eastAsia"/>
          <w:sz w:val="32"/>
          <w:szCs w:val="32"/>
          <w:highlight w:val="none"/>
          <w:lang w:val="en-US" w:eastAsia="zh-CN"/>
        </w:rPr>
        <w:t xml:space="preserve">效益指标</w:t>
      </w:r>
      <w:r>
        <w:rPr>
          <w:rFonts w:ascii="Times New Roman" w:eastAsia="仿宋_GB2312" w:hAnsi="Times New Roman" w:cs="Times New Roman" w:hint="default"/>
          <w:sz w:val="32"/>
          <w:szCs w:val="32"/>
          <w:highlight w:val="none"/>
          <w:lang w:val="en-US" w:eastAsia="zh-CN"/>
        </w:rPr>
        <w:t xml:space="preserve">（如：设备正常运行率），满足评分标准中“指标细化分解、可衡量、与任务数对应”的要求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5" w:name="_Toc6828"/>
      <w:r>
        <w:rPr>
          <w:rFonts w:ascii="Times New Roman" w:eastAsia="仿宋_GB2312" w:hAnsi="Times New Roman" w:cs="Times New Roman" w:hint="default"/>
          <w:b/>
          <w:bCs/>
          <w:sz w:val="32"/>
          <w:szCs w:val="32"/>
          <w:highlight w:val="none"/>
          <w:lang w:val="en-US" w:eastAsia="zh-CN"/>
        </w:rPr>
        <w:t xml:space="preserve">3.资金投入</w:t>
      </w:r>
      <w:bookmarkEnd w:id="45"/>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6" w:name="_Toc10680"/>
      <w:r>
        <w:rPr>
          <w:rFonts w:ascii="Times New Roman" w:eastAsia="仿宋_GB2312" w:hAnsi="Times New Roman" w:cs="Times New Roman" w:hint="default"/>
          <w:sz w:val="32"/>
          <w:szCs w:val="32"/>
          <w:highlight w:val="none"/>
          <w:lang w:val="en-US" w:eastAsia="zh-CN"/>
        </w:rPr>
        <w:t xml:space="preserve">（1）预算编制科学性</w:t>
      </w:r>
      <w:bookmarkEnd w:id="46"/>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eastAsia="zh-CN"/>
        </w:rPr>
        <w:t xml:space="preserve">本项目预算编制以“精准测算、按需配置”为原则，结合项目实施方案及具体任务清单开展，参考既往同类项目支出水平及当前物价水平，测算支出</w:t>
      </w:r>
      <w:r>
        <w:rPr>
          <w:rFonts w:eastAsia="仿宋_GB2312" w:cs="Times New Roman" w:hint="eastAsia"/>
          <w:sz w:val="32"/>
          <w:szCs w:val="32"/>
          <w:highlight w:val="none"/>
          <w:lang w:val="en-US" w:eastAsia="zh-CN"/>
        </w:rPr>
        <w:t xml:space="preserve">1454</w:t>
      </w:r>
      <w:r>
        <w:rPr>
          <w:rFonts w:ascii="Times New Roman" w:eastAsia="仿宋_GB2312" w:hAnsi="Times New Roman" w:cs="Times New Roman" w:hint="default"/>
          <w:sz w:val="32"/>
          <w:szCs w:val="32"/>
          <w:highlight w:val="none"/>
          <w:lang w:eastAsia="zh-CN"/>
        </w:rPr>
        <w:t xml:space="preserve">万元。在预算编制过程中，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47" w:name="_Toc24011"/>
      <w:r>
        <w:rPr>
          <w:rFonts w:ascii="Times New Roman" w:eastAsia="仿宋_GB2312" w:hAnsi="Times New Roman" w:cs="Times New Roman" w:hint="default"/>
          <w:sz w:val="32"/>
          <w:szCs w:val="32"/>
          <w:highlight w:val="none"/>
          <w:lang w:val="en-US" w:eastAsia="zh-CN"/>
        </w:rPr>
        <w:t xml:space="preserve">（2）资金分配合理性</w:t>
      </w:r>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Title"/>
        <w:numPr>
          <w:ilvl w:val="0"/>
          <w:numId w:val="4"/>
        </w:numPr>
        <w:spacing w:before="0" w:after="0" w:line="560" w:lineRule="exact"/>
        <w:ind w:firstLine="640" w:firstLineChars="200"/>
        <w:jc w:val="both"/>
        <w:outlineLvl w:val="1"/>
        <w:rPr>
          <w:rFonts w:ascii="Times New Roman" w:eastAsia="楷体" w:hAnsi="Times New Roman" w:cs="Times New Roman" w:hint="default"/>
          <w:highlight w:val="none"/>
        </w:rPr>
      </w:pPr>
      <w:bookmarkStart w:id="48" w:name="_Toc25505"/>
      <w:r>
        <w:rPr>
          <w:rFonts w:ascii="Times New Roman" w:eastAsia="楷体" w:hAnsi="Times New Roman" w:cs="Times New Roman" w:hint="default"/>
          <w:highlight w:val="none"/>
        </w:rPr>
        <w:t xml:space="preserve">项目过程情况</w:t>
      </w:r>
      <w:bookmarkEnd w:id="48"/>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项目过程类指标包括资金管理和组织实施两方面的内容，由5个三级指标构成，权重分值为20分，实际得分</w:t>
      </w:r>
      <w:r>
        <w:rPr>
          <w:rFonts w:ascii="Times New Roman" w:eastAsia="仿宋_GB2312" w:hAnsi="Times New Roman"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bookmarkStart w:id="49" w:name="_Toc23265"/>
      <w:r>
        <w:rPr>
          <w:rFonts w:ascii="Times New Roman" w:eastAsia="仿宋_GB2312" w:hAnsi="Times New Roman" w:cs="Times New Roman" w:hint="default"/>
          <w:b/>
          <w:bCs/>
          <w:sz w:val="32"/>
          <w:szCs w:val="32"/>
          <w:highlight w:val="none"/>
          <w:lang w:val="en-US" w:eastAsia="zh-CN"/>
        </w:rPr>
        <w:t xml:space="preserve">1.资金管理</w:t>
      </w:r>
      <w:bookmarkEnd w:id="49"/>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0" w:name="_Toc19976"/>
      <w:r>
        <w:rPr>
          <w:rFonts w:ascii="Times New Roman" w:eastAsia="仿宋_GB2312" w:hAnsi="Times New Roman" w:cs="Times New Roman" w:hint="default"/>
          <w:sz w:val="32"/>
          <w:szCs w:val="32"/>
          <w:highlight w:val="none"/>
          <w:lang w:val="en-US" w:eastAsia="zh-CN"/>
        </w:rPr>
        <w:t xml:space="preserve">（1）资金到位率</w:t>
      </w:r>
      <w:bookmarkEnd w:id="50"/>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1454</w:t>
      </w:r>
      <w:r>
        <w:rPr>
          <w:rFonts w:ascii="Times New Roman" w:eastAsia="仿宋_GB2312" w:hAnsi="Times New Roman" w:cs="Times New Roman" w:hint="default"/>
          <w:sz w:val="32"/>
          <w:szCs w:val="32"/>
          <w:highlight w:val="none"/>
          <w:lang w:val="en-US" w:eastAsia="zh-CN"/>
        </w:rPr>
        <w:t xml:space="preserve">万元，实际到位资金</w:t>
      </w:r>
      <w:r>
        <w:rPr>
          <w:rFonts w:eastAsia="仿宋_GB2312" w:cs="Times New Roman" w:hint="eastAsia"/>
          <w:sz w:val="32"/>
          <w:szCs w:val="32"/>
          <w:highlight w:val="none"/>
          <w:lang w:val="en-US" w:eastAsia="zh-CN"/>
        </w:rPr>
        <w:t xml:space="preserve">1454万元，资金</w:t>
      </w:r>
      <w:r>
        <w:rPr>
          <w:rFonts w:ascii="Times New Roman" w:eastAsia="仿宋_GB2312" w:hAnsi="Times New Roman" w:cs="Times New Roman" w:hint="default"/>
          <w:sz w:val="32"/>
          <w:szCs w:val="32"/>
          <w:highlight w:val="none"/>
          <w:lang w:val="en-US" w:eastAsia="zh-CN"/>
        </w:rPr>
        <w:t xml:space="preserve">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1" w:name="_Toc20558"/>
      <w:r>
        <w:rPr>
          <w:rFonts w:ascii="Times New Roman" w:eastAsia="仿宋_GB2312" w:hAnsi="Times New Roman" w:cs="Times New Roman" w:hint="default"/>
          <w:sz w:val="32"/>
          <w:szCs w:val="32"/>
          <w:highlight w:val="none"/>
          <w:lang w:val="en-US" w:eastAsia="zh-CN"/>
        </w:rPr>
        <w:t xml:space="preserve">（2）预算执行率</w:t>
      </w:r>
      <w:bookmarkEnd w:id="51"/>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本项目全年预算1454万元，全年实际</w:t>
      </w:r>
      <w:r>
        <w:rPr>
          <w:rFonts w:ascii="Times New Roman" w:eastAsia="仿宋_GB2312" w:hAnsi="Times New Roman" w:cs="Times New Roman" w:hint="default"/>
          <w:sz w:val="32"/>
          <w:szCs w:val="32"/>
          <w:highlight w:val="none"/>
          <w:lang w:val="en-US" w:eastAsia="zh-CN"/>
        </w:rPr>
        <w:t xml:space="preserve">支出</w:t>
      </w:r>
      <w:r>
        <w:rPr>
          <w:rFonts w:eastAsia="仿宋_GB2312" w:cs="Times New Roman" w:hint="eastAsia"/>
          <w:sz w:val="32"/>
          <w:szCs w:val="32"/>
          <w:highlight w:val="none"/>
          <w:lang w:val="en-US" w:eastAsia="zh-CN"/>
        </w:rPr>
        <w:t xml:space="preserve">1454</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eastAsia="仿宋_GB2312" w:cs="Times New Roman" w:hint="eastAsia"/>
          <w:sz w:val="32"/>
          <w:szCs w:val="32"/>
          <w:highlight w:val="none"/>
          <w:lang w:val="en-US" w:eastAsia="zh-CN"/>
        </w:rPr>
        <w:t xml:space="preserve">，该指标满分为4分，根据评分标准得4分。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2" w:name="_Toc17145"/>
      <w:r>
        <w:rPr>
          <w:rFonts w:ascii="Times New Roman" w:eastAsia="仿宋_GB2312" w:hAnsi="Times New Roman" w:cs="Times New Roman" w:hint="default"/>
          <w:sz w:val="32"/>
          <w:szCs w:val="32"/>
          <w:highlight w:val="none"/>
          <w:lang w:val="en-US" w:eastAsia="zh-CN"/>
        </w:rPr>
        <w:t xml:space="preserve">（3）资金使用合规性</w:t>
      </w:r>
      <w:bookmarkEnd w:id="52"/>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bookmarkStart w:id="53" w:name="_Toc6256"/>
      <w:r>
        <w:rPr>
          <w:rFonts w:ascii="Times New Roman" w:eastAsia="仿宋_GB2312" w:hAnsi="Times New Roman" w:cs="Times New Roman" w:hint="default"/>
          <w:sz w:val="32"/>
          <w:szCs w:val="32"/>
          <w:highlight w:val="none"/>
          <w:lang w:eastAsia="zh-CN"/>
        </w:rPr>
        <w:t xml:space="preserve">项目资金使用严格遵守</w:t>
      </w:r>
      <w:r>
        <w:rPr>
          <w:rFonts w:ascii="Times New Roman" w:eastAsia="仿宋_GB2312" w:hAnsi="Times New Roman" w:cs="Times New Roman" w:hint="default"/>
          <w:sz w:val="32"/>
          <w:szCs w:val="32"/>
          <w:highlight w:val="none"/>
          <w:lang w:eastAsia="zh-CN"/>
        </w:rPr>
        <w:t xml:space="preserve">《中华人民共和国预算法》</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事业单位财务规则</w:t>
      </w:r>
      <w:r>
        <w:rPr>
          <w:rFonts w:ascii="Times New Roman" w:eastAsia="仿宋_GB2312" w:hAnsi="Times New Roman" w:cs="Times New Roman" w:hint="default"/>
          <w:sz w:val="32"/>
          <w:szCs w:val="32"/>
          <w:highlight w:val="none"/>
          <w:lang w:eastAsia="zh-CN"/>
        </w:rPr>
        <w:t xml:space="preserve">》等法律法规及财务制度，全程规范可控：①资金拨付均履行“申请-审核-审批”流程，附完整的合同、发票、验收单等佐证资料，</w:t>
      </w:r>
      <w:r>
        <w:rPr>
          <w:rFonts w:eastAsia="仿宋_GB2312" w:cs="Times New Roman" w:hint="eastAsia"/>
          <w:sz w:val="32"/>
          <w:szCs w:val="32"/>
          <w:highlight w:val="none"/>
          <w:lang w:val="en-US" w:eastAsia="zh-CN"/>
        </w:rPr>
        <w:t xml:space="preserve">不存在</w:t>
      </w:r>
      <w:r>
        <w:rPr>
          <w:rFonts w:ascii="Times New Roman" w:eastAsia="仿宋_GB2312" w:hAnsi="Times New Roman" w:cs="Times New Roman" w:hint="default"/>
          <w:sz w:val="32"/>
          <w:szCs w:val="32"/>
          <w:highlight w:val="none"/>
          <w:lang w:eastAsia="zh-CN"/>
        </w:rPr>
        <w:t xml:space="preserve">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2.组织实施</w:t>
      </w:r>
      <w:bookmarkEnd w:id="53"/>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bookmarkStart w:id="54" w:name="_Toc470"/>
      <w:r>
        <w:rPr>
          <w:rFonts w:ascii="Times New Roman" w:eastAsia="仿宋_GB2312" w:hAnsi="Times New Roman" w:cs="Times New Roman" w:hint="default"/>
          <w:sz w:val="32"/>
          <w:szCs w:val="32"/>
          <w:highlight w:val="none"/>
          <w:lang w:val="en-US" w:eastAsia="zh-CN"/>
        </w:rPr>
        <w:t xml:space="preserve">（1）管理制度健全性</w:t>
      </w:r>
      <w:bookmarkEnd w:id="54"/>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eastAsia="zh-CN"/>
        </w:rPr>
      </w:pPr>
      <w:bookmarkStart w:id="55" w:name="_Toc29107"/>
      <w:r>
        <w:rPr>
          <w:rFonts w:ascii="Times New Roman" w:eastAsia="仿宋_GB2312" w:hAnsi="Times New Roman" w:cs="Times New Roman" w:hint="default"/>
          <w:sz w:val="32"/>
          <w:szCs w:val="32"/>
          <w:highlight w:val="none"/>
          <w:lang w:eastAsia="zh-CN"/>
        </w:rPr>
        <w:t xml:space="preserve">项目实施单位已制定《</w:t>
      </w:r>
      <w:r>
        <w:rPr>
          <w:rFonts w:eastAsia="仿宋_GB2312" w:cs="Times New Roman" w:hint="eastAsia"/>
          <w:sz w:val="32"/>
          <w:szCs w:val="32"/>
          <w:highlight w:val="none"/>
          <w:lang w:val="en-US" w:eastAsia="zh-CN"/>
        </w:rPr>
        <w:t xml:space="preserve">合同</w:t>
      </w:r>
      <w:r>
        <w:rPr>
          <w:rFonts w:ascii="Times New Roman" w:eastAsia="仿宋_GB2312" w:hAnsi="Times New Roman" w:cs="Times New Roman" w:hint="default"/>
          <w:sz w:val="32"/>
          <w:szCs w:val="32"/>
          <w:highlight w:val="none"/>
          <w:lang w:eastAsia="zh-CN"/>
        </w:rPr>
        <w:t xml:space="preserve">管理办法》《财务管理</w:t>
      </w:r>
      <w:r>
        <w:rPr>
          <w:rFonts w:eastAsia="仿宋_GB2312" w:cs="Times New Roman" w:hint="eastAsia"/>
          <w:sz w:val="32"/>
          <w:szCs w:val="32"/>
          <w:highlight w:val="none"/>
          <w:lang w:val="en-US" w:eastAsia="zh-CN"/>
        </w:rPr>
        <w:t xml:space="preserve">办法</w:t>
      </w:r>
      <w:r>
        <w:rPr>
          <w:rFonts w:ascii="Times New Roman" w:eastAsia="仿宋_GB2312" w:hAnsi="Times New Roman" w:cs="Times New Roman" w:hint="default"/>
          <w:sz w:val="32"/>
          <w:szCs w:val="32"/>
          <w:highlight w:val="none"/>
          <w:lang w:eastAsia="zh-CN"/>
        </w:rPr>
        <w:t xml:space="preserve">》等一系列专项制度，制度体系覆盖项目策划、实施、监控、收尾全流程</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业务管理制度明确了各部门职责分工（如：业务科室负责项目实施、财务科室负责资金管理）</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shd w:val="clear" w:color="auto" w:fill="auto"/>
        <w:spacing w:line="600" w:lineRule="exact"/>
        <w:ind w:firstLine="640" w:firstLineChars="200"/>
        <w:outlineLvl w:val="3"/>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（2）制度执行有效性</w:t>
      </w:r>
      <w:bookmarkEnd w:id="55"/>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outlineLvl w:val="2"/>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eastAsia="zh-CN"/>
        </w:rPr>
        <w:t xml:space="preserve">项目实施全过程严格执行各项管理制度，执行效果显著：①严格遵守法律法规及管理规定；②项目合同书、</w:t>
      </w:r>
      <w:r>
        <w:rPr>
          <w:rFonts w:eastAsia="仿宋_GB2312" w:cs="Times New Roman" w:hint="eastAsia"/>
          <w:sz w:val="32"/>
          <w:szCs w:val="32"/>
          <w:highlight w:val="none"/>
          <w:lang w:val="en-US" w:eastAsia="zh-CN"/>
        </w:rPr>
        <w:t xml:space="preserve">项目验收鉴定书</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val="en-US" w:eastAsia="zh-CN"/>
        </w:rPr>
        <w:t xml:space="preserve">设备</w:t>
      </w:r>
      <w:r>
        <w:rPr>
          <w:rFonts w:ascii="Times New Roman" w:eastAsia="仿宋_GB2312" w:hAnsi="Times New Roman" w:cs="Times New Roman" w:hint="default"/>
          <w:sz w:val="32"/>
          <w:szCs w:val="32"/>
          <w:highlight w:val="none"/>
          <w:lang w:eastAsia="zh-CN"/>
        </w:rPr>
        <w:t xml:space="preserve">验收</w:t>
      </w:r>
      <w:r>
        <w:rPr>
          <w:rFonts w:eastAsia="仿宋_GB2312" w:cs="Times New Roman" w:hint="eastAsia"/>
          <w:sz w:val="32"/>
          <w:szCs w:val="32"/>
          <w:highlight w:val="none"/>
          <w:lang w:val="en-US" w:eastAsia="zh-CN"/>
        </w:rPr>
        <w:t xml:space="preserve">单</w:t>
      </w:r>
      <w:r>
        <w:rPr>
          <w:rFonts w:ascii="Times New Roman" w:eastAsia="仿宋_GB2312" w:hAnsi="Times New Roman" w:cs="Times New Roman" w:hint="default"/>
          <w:sz w:val="32"/>
          <w:szCs w:val="32"/>
          <w:highlight w:val="none"/>
          <w:lang w:eastAsia="zh-CN"/>
        </w:rPr>
        <w:t xml:space="preserve">、财务凭证等资料齐全，均按要求及时归档</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③人员、场地、设备等实施条件全部落实到位，满足项目实施需求。制度执行无偏差，有效保障了项目按计划推进，符合评分标准中“遵守相关规定、调整手续完备、资料齐全归档、实施条件落实”的要求</w:t>
      </w:r>
      <w:r>
        <w:rPr>
          <w:rFonts w:ascii="Times New Roman" w:eastAsia="仿宋_GB2312" w:hAnsi="Times New Roman" w:cs="Times New Roman" w:hint="default"/>
          <w:sz w:val="32"/>
          <w:szCs w:val="32"/>
          <w:highlight w:val="none"/>
          <w:lang w:val="en-US"/>
        </w:rPr>
        <w:t xml:space="preserve">，</w:t>
      </w:r>
      <w:r>
        <w:rPr>
          <w:rFonts w:ascii="Times New Roman" w:eastAsia="仿宋_GB2312" w:hAnsi="Times New Roman" w:cs="Times New Roman" w:hint="default"/>
          <w:sz w:val="32"/>
          <w:szCs w:val="32"/>
          <w:highlight w:val="none"/>
          <w:lang w:val="en-US" w:eastAsia="zh-CN"/>
        </w:rPr>
        <w:t xml:space="preserve">故得满分。</w:t>
      </w:r>
    </w:p>
    <w:p>
      <w:pPr>
        <w:pStyle w:val="BodyTextFirstIndent"/>
        <w:numPr>
          <w:ilvl w:val="0"/>
          <w:numId w:val="0"/>
        </w:numPr>
        <w:spacing w:line="560" w:lineRule="exact"/>
        <w:ind w:firstLine="320" w:firstLineChars="100"/>
        <w:outlineLvl w:val="1"/>
        <w:rPr>
          <w:rFonts w:ascii="Times New Roman" w:eastAsia="楷体_GB2312" w:hAnsi="Times New Roman" w:cs="Times New Roman" w:hint="default"/>
          <w:b/>
          <w:bCs/>
          <w:sz w:val="32"/>
          <w:szCs w:val="32"/>
          <w:highlight w:val="none"/>
        </w:rPr>
      </w:pPr>
      <w:bookmarkStart w:id="56" w:name="_Toc8612"/>
      <w:r>
        <w:rPr>
          <w:rFonts w:eastAsia="楷体_GB2312" w:cs="Times New Roman" w:hint="eastAsia"/>
          <w:b/>
          <w:bCs/>
          <w:sz w:val="32"/>
          <w:szCs w:val="32"/>
          <w:highlight w:val="none"/>
          <w:lang w:eastAsia="zh-CN"/>
        </w:rPr>
        <w:t xml:space="preserve">（</w:t>
      </w:r>
      <w:r>
        <w:rPr>
          <w:rFonts w:eastAsia="楷体_GB2312" w:cs="Times New Roman" w:hint="eastAsia"/>
          <w:b/>
          <w:bCs/>
          <w:sz w:val="32"/>
          <w:szCs w:val="32"/>
          <w:highlight w:val="none"/>
          <w:lang w:val="en-US" w:eastAsia="zh-CN"/>
        </w:rPr>
        <w:t xml:space="preserve">三</w:t>
      </w:r>
      <w:r>
        <w:rPr>
          <w:rFonts w:eastAsia="楷体_GB2312" w:cs="Times New Roman" w:hint="eastAsia"/>
          <w:b/>
          <w:bCs/>
          <w:sz w:val="32"/>
          <w:szCs w:val="32"/>
          <w:highlight w:val="none"/>
          <w:lang w:eastAsia="zh-CN"/>
        </w:rPr>
        <w:t xml:space="preserve">）</w:t>
      </w:r>
      <w:r>
        <w:rPr>
          <w:rFonts w:ascii="Times New Roman" w:eastAsia="楷体_GB2312" w:hAnsi="Times New Roman" w:cs="Times New Roman" w:hint="default"/>
          <w:b/>
          <w:bCs/>
          <w:sz w:val="32"/>
          <w:szCs w:val="32"/>
          <w:highlight w:val="none"/>
        </w:rPr>
        <w:t xml:space="preserve">项目产出</w:t>
      </w:r>
      <w:r>
        <w:rPr>
          <w:rFonts w:ascii="Times New Roman" w:eastAsia="楷体_GB2312" w:hAnsi="Times New Roman" w:cs="Times New Roman" w:hint="default"/>
          <w:b/>
          <w:bCs/>
          <w:sz w:val="32"/>
          <w:szCs w:val="32"/>
          <w:highlight w:val="none"/>
          <w:lang w:val="en-US" w:eastAsia="zh-CN"/>
        </w:rPr>
        <w:t xml:space="preserve">情况</w:t>
      </w:r>
      <w:bookmarkEnd w:id="56"/>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项目产出类指标包括产出数量、产出质量、产出时效、产出成本四方面的内容，由</w:t>
      </w:r>
      <w:r>
        <w:rPr>
          <w:rFonts w:eastAsia="仿宋_GB2312" w:cs="Times New Roman" w:hint="eastAsia"/>
          <w:sz w:val="32"/>
          <w:szCs w:val="32"/>
          <w:highlight w:val="none"/>
          <w:lang w:val="en-US" w:eastAsia="zh-CN"/>
        </w:rPr>
        <w:t xml:space="preserve">11</w:t>
      </w:r>
      <w:r>
        <w:rPr>
          <w:rFonts w:ascii="Times New Roman" w:eastAsia="仿宋_GB2312" w:hAnsi="Times New Roman" w:cs="Times New Roman" w:hint="default"/>
          <w:sz w:val="32"/>
          <w:szCs w:val="32"/>
          <w:highlight w:val="none"/>
          <w:lang w:val="en-US" w:eastAsia="zh-CN"/>
        </w:rPr>
        <w:t xml:space="preserve">个三级指标构成，权重分为40分，实际得分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1</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实际完成率</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数量指标1：发放工资次数，指标值：</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12次</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：设备购置数量（个），指标值：</w:t>
      </w:r>
      <w:r>
        <w:rPr>
          <w:rFonts w:eastAsia="仿宋_GB2312" w:cs="Times New Roman" w:hint="eastAsia"/>
          <w:sz w:val="32"/>
          <w:szCs w:val="32"/>
          <w:highlight w:val="none"/>
          <w:lang w:val="en-US" w:eastAsia="zh-CN"/>
        </w:rPr>
        <w:t xml:space="preserve">&gt;=33个</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33个</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：水库日常维修养护项目，指标值：</w:t>
      </w:r>
      <w:r>
        <w:rPr>
          <w:rFonts w:eastAsia="仿宋_GB2312" w:cs="Times New Roman" w:hint="eastAsia"/>
          <w:sz w:val="32"/>
          <w:szCs w:val="32"/>
          <w:highlight w:val="none"/>
          <w:lang w:val="en-US" w:eastAsia="zh-CN"/>
        </w:rPr>
        <w:t xml:space="preserve">=2项</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2项</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：工资发放人数，指标值：</w:t>
      </w:r>
      <w:r>
        <w:rPr>
          <w:rFonts w:eastAsia="仿宋_GB2312" w:cs="Times New Roman" w:hint="eastAsia"/>
          <w:sz w:val="32"/>
          <w:szCs w:val="32"/>
          <w:highlight w:val="none"/>
          <w:lang w:val="en-US" w:eastAsia="zh-CN"/>
        </w:rPr>
        <w:t xml:space="preserve">&gt;=25人</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25人</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：基础设施维修工程，指标值：</w:t>
      </w:r>
      <w:r>
        <w:rPr>
          <w:rFonts w:eastAsia="仿宋_GB2312" w:cs="Times New Roman" w:hint="eastAsia"/>
          <w:sz w:val="32"/>
          <w:szCs w:val="32"/>
          <w:highlight w:val="none"/>
          <w:lang w:val="en-US" w:eastAsia="zh-CN"/>
        </w:rPr>
        <w:t xml:space="preserve">=1项</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1项</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数量指标</w:t>
      </w:r>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rPr>
        <w:t xml:space="preserve">：网络信息化服务工程，指标值：</w:t>
      </w:r>
      <w:r>
        <w:rPr>
          <w:rFonts w:eastAsia="仿宋_GB2312" w:cs="Times New Roman" w:hint="eastAsia"/>
          <w:sz w:val="32"/>
          <w:szCs w:val="32"/>
          <w:highlight w:val="none"/>
          <w:lang w:val="en-US" w:eastAsia="zh-CN"/>
        </w:rPr>
        <w:t xml:space="preserve">=1项</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1项</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rPr>
      </w:pP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2</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质量达标率</w:t>
      </w:r>
      <w:r>
        <w:rPr>
          <w:rFonts w:ascii="Times New Roman" w:eastAsia="仿宋_GB2312" w:hAnsi="Times New Roman" w:cs="Times New Roman" w:hint="default"/>
          <w:sz w:val="32"/>
          <w:szCs w:val="32"/>
          <w:highlight w:val="none"/>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质量</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：项目资金支付率，指标值：</w:t>
      </w:r>
      <w:r>
        <w:rPr>
          <w:rFonts w:eastAsia="仿宋_GB2312" w:cs="Times New Roman" w:hint="eastAsia"/>
          <w:sz w:val="32"/>
          <w:szCs w:val="32"/>
          <w:highlight w:val="none"/>
          <w:lang w:val="en-US" w:eastAsia="zh-CN"/>
        </w:rPr>
        <w:t xml:space="preserve">&gt;=95%</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质量</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：工程验收合格率，指标值：</w:t>
      </w:r>
      <w:r>
        <w:rPr>
          <w:rFonts w:eastAsia="仿宋_GB2312" w:cs="Times New Roman" w:hint="eastAsia"/>
          <w:sz w:val="32"/>
          <w:szCs w:val="32"/>
          <w:highlight w:val="none"/>
          <w:lang w:val="en-US" w:eastAsia="zh-CN"/>
        </w:rPr>
        <w:t xml:space="preserve">&gt;=95%</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hint="eastAsia"/>
          <w:highlight w:val="none"/>
          <w:lang w:val="en-US" w:eastAsia="zh-CN"/>
        </w:rPr>
      </w:pPr>
      <w:r>
        <w:rPr>
          <w:rFonts w:ascii="Times New Roman" w:eastAsia="仿宋_GB2312" w:hAnsi="Times New Roman" w:cs="Times New Roman" w:hint="eastAsia"/>
          <w:sz w:val="32"/>
          <w:szCs w:val="32"/>
          <w:highlight w:val="none"/>
          <w:lang w:val="en-US" w:eastAsia="zh-CN"/>
        </w:rPr>
        <w:t xml:space="preserve">质量</w:t>
      </w: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：设备验收合格率，指标值：</w:t>
      </w:r>
      <w:r>
        <w:rPr>
          <w:rFonts w:eastAsia="仿宋_GB2312" w:cs="Times New Roman" w:hint="eastAsia"/>
          <w:sz w:val="32"/>
          <w:szCs w:val="32"/>
          <w:highlight w:val="none"/>
          <w:lang w:val="en-US" w:eastAsia="zh-CN"/>
        </w:rPr>
        <w:t xml:space="preserve">&gt;=95%</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hint="default"/>
          <w:highlight w:val="none"/>
          <w:lang w:val="en-US" w:eastAsia="zh-CN"/>
        </w:rPr>
      </w:pPr>
      <w:r>
        <w:rPr>
          <w:rFonts w:eastAsia="仿宋_GB2312" w:cs="Times New Roman" w:hint="eastAsia"/>
          <w:sz w:val="32"/>
          <w:szCs w:val="32"/>
          <w:highlight w:val="none"/>
          <w:lang w:val="en-US" w:eastAsia="zh-CN"/>
        </w:rPr>
        <w:t xml:space="preserve">该指标满分为10分，根据评分标准得10分。</w:t>
      </w:r>
    </w:p>
    <w:p>
      <w:pPr>
        <w:pStyle w:val="BodyTextFirstIndent"/>
        <w:numPr>
          <w:ilvl w:val="0"/>
          <w:numId w:val="0"/>
        </w:numPr>
        <w:spacing w:line="560" w:lineRule="exact"/>
        <w:ind w:firstLine="640" w:firstLineChars="200"/>
        <w:outlineLvl w:val="1"/>
        <w:rPr>
          <w:rFonts w:ascii="Times New Roman" w:eastAsia="楷体_GB2312" w:hAnsi="Times New Roman" w:cs="Times New Roman" w:hint="default"/>
          <w:b/>
          <w:bCs/>
          <w:sz w:val="32"/>
          <w:szCs w:val="32"/>
          <w:highlight w:val="none"/>
          <w:lang w:val="en-US" w:eastAsia="zh-CN"/>
        </w:rPr>
      </w:pPr>
      <w:bookmarkStart w:id="57" w:name="_Toc18470"/>
      <w:r>
        <w:rPr>
          <w:rFonts w:eastAsia="楷体_GB2312" w:cs="Times New Roman" w:hint="eastAsia"/>
          <w:b/>
          <w:bCs/>
          <w:sz w:val="32"/>
          <w:szCs w:val="32"/>
          <w:highlight w:val="none"/>
          <w:lang w:val="en-US" w:eastAsia="zh-CN"/>
        </w:rPr>
        <w:t xml:space="preserve">（四）</w:t>
      </w:r>
      <w:r>
        <w:rPr>
          <w:rFonts w:ascii="Times New Roman" w:eastAsia="楷体_GB2312" w:hAnsi="Times New Roman" w:cs="Times New Roman" w:hint="default"/>
          <w:b/>
          <w:bCs/>
          <w:sz w:val="32"/>
          <w:szCs w:val="32"/>
          <w:highlight w:val="none"/>
          <w:lang w:val="en-US" w:eastAsia="zh-CN"/>
        </w:rPr>
        <w:t xml:space="preserve">项目效益情况</w:t>
      </w:r>
      <w:bookmarkEnd w:id="57"/>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项目效益类指标包括项目实施效益和满意度两方面的内容，由</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%。具体效益指标及满意度指标完成情况如下：</w:t>
      </w:r>
    </w:p>
    <w:p>
      <w:pPr>
        <w:shd w:val="clear" w:color="auto" w:fill="auto"/>
        <w:spacing w:line="600" w:lineRule="exact"/>
        <w:ind w:firstLine="640" w:firstLineChars="200"/>
        <w:outlineLvl w:val="2"/>
        <w:rPr>
          <w:rFonts w:ascii="Times New Roman" w:eastAsia="仿宋_GB2312" w:hAnsi="Times New Roman" w:cs="Times New Roman" w:hint="default"/>
          <w:color w:val="FF0000"/>
          <w:sz w:val="32"/>
          <w:szCs w:val="32"/>
          <w:highlight w:val="none"/>
          <w:lang w:val="en-US" w:eastAsia="zh-CN"/>
        </w:rPr>
      </w:pPr>
      <w:bookmarkStart w:id="58" w:name="_Toc21198"/>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lang w:val="en-US" w:eastAsia="zh-CN"/>
        </w:rPr>
        <w:t xml:space="preserve">实施效益</w:t>
      </w:r>
      <w:bookmarkEnd w:id="58"/>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经济效益指标：</w:t>
      </w:r>
    </w:p>
    <w:p>
      <w:pPr>
        <w:shd w:val="clear" w:color="auto" w:fill="auto"/>
        <w:spacing w:line="600" w:lineRule="exact"/>
        <w:ind w:firstLine="640" w:firstLineChars="200"/>
        <w:outlineLvl w:val="9"/>
        <w:rPr>
          <w:rFonts w:ascii="Times New Roman" w:eastAsia="仿宋_GB2312" w:hAnsi="Times New Roman" w:cs="Times New Roman" w:hint="eastAsia"/>
          <w:sz w:val="32"/>
          <w:szCs w:val="32"/>
          <w:highlight w:val="none"/>
          <w:lang w:val="en-US" w:eastAsia="zh-CN"/>
        </w:rPr>
      </w:pPr>
      <w:r>
        <w:rPr>
          <w:rFonts w:eastAsia="仿宋_GB2312" w:cs="Times New Roman" w:hint="eastAsia"/>
          <w:sz w:val="32"/>
          <w:szCs w:val="32"/>
          <w:highlight w:val="none"/>
          <w:lang w:val="en-US" w:eastAsia="zh-CN"/>
        </w:rPr>
        <w:t xml:space="preserve">指标1：设备正常运转率，</w:t>
      </w:r>
      <w:r>
        <w:rPr>
          <w:rFonts w:ascii="Times New Roman" w:eastAsia="仿宋_GB2312" w:hAnsi="Times New Roman" w:cs="Times New Roman" w:hint="default"/>
          <w:sz w:val="32"/>
          <w:szCs w:val="32"/>
          <w:highlight w:val="none"/>
        </w:rPr>
        <w:t xml:space="preserve">指标值：</w:t>
      </w:r>
      <w:r>
        <w:rPr>
          <w:rFonts w:eastAsia="仿宋_GB2312" w:cs="Times New Roman" w:hint="eastAsia"/>
          <w:sz w:val="32"/>
          <w:szCs w:val="32"/>
          <w:highlight w:val="none"/>
          <w:lang w:val="en-US" w:eastAsia="zh-CN"/>
        </w:rPr>
        <w:t xml:space="preserve">&gt;=95%</w:t>
      </w:r>
      <w:r>
        <w:rPr>
          <w:rFonts w:ascii="Times New Roman" w:eastAsia="仿宋_GB2312" w:hAnsi="Times New Roman" w:cs="Times New Roman" w:hint="default"/>
          <w:sz w:val="32"/>
          <w:szCs w:val="32"/>
          <w:highlight w:val="none"/>
        </w:rPr>
        <w:t xml:space="preserve">，实际完成值：</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eastAsia"/>
          <w:sz w:val="32"/>
          <w:szCs w:val="32"/>
          <w:highlight w:val="none"/>
          <w:lang w:val="en-US" w:eastAsia="zh-CN"/>
        </w:rPr>
        <w:t xml:space="preserve">。</w:t>
      </w:r>
    </w:p>
    <w:p>
      <w:pPr>
        <w:shd w:val="clear" w:color="auto" w:fill="auto"/>
        <w:spacing w:line="600" w:lineRule="exact"/>
        <w:ind w:firstLine="640" w:firstLineChars="200"/>
        <w:outlineLvl w:val="9"/>
        <w:rPr>
          <w:rFonts w:hint="default"/>
          <w:highlight w:val="none"/>
          <w:lang w:val="en-US" w:eastAsia="zh-CN"/>
        </w:rPr>
      </w:pPr>
      <w:r>
        <w:rPr>
          <w:rFonts w:eastAsia="仿宋_GB2312" w:cs="Times New Roman" w:hint="eastAsia"/>
          <w:sz w:val="32"/>
          <w:szCs w:val="32"/>
          <w:highlight w:val="none"/>
          <w:lang w:val="en-US" w:eastAsia="zh-CN"/>
        </w:rPr>
        <w:t xml:space="preserve">该指标满分为20分，根据评分标准得20分。</w:t>
      </w:r>
    </w:p>
    <w:p>
      <w:pPr>
        <w:spacing w:line="560" w:lineRule="exact"/>
        <w:ind w:firstLine="640" w:firstLineChars="200"/>
        <w:outlineLvl w:val="0"/>
        <w:rPr>
          <w:rFonts w:ascii="黑体" w:eastAsia="黑体" w:hAnsi="黑体" w:cs="黑体" w:hint="default"/>
          <w:b w:val="0"/>
          <w:bCs w:val="0"/>
          <w:sz w:val="32"/>
          <w:szCs w:val="32"/>
          <w:highlight w:val="none"/>
          <w:lang w:val="en-US" w:eastAsia="zh-CN"/>
        </w:rPr>
      </w:pPr>
      <w:bookmarkStart w:id="59" w:name="_Toc21462"/>
      <w:r>
        <w:rPr>
          <w:rFonts w:ascii="黑体" w:eastAsia="黑体" w:hAnsi="黑体" w:cs="黑体" w:hint="eastAsia"/>
          <w:b w:val="0"/>
          <w:bCs w:val="0"/>
          <w:sz w:val="32"/>
          <w:szCs w:val="32"/>
          <w:highlight w:val="none"/>
          <w:lang w:val="en-US" w:eastAsia="zh-CN"/>
        </w:rPr>
        <w:t xml:space="preserve">五、</w:t>
      </w:r>
      <w:r>
        <w:rPr>
          <w:rFonts w:ascii="黑体" w:eastAsia="黑体" w:hAnsi="黑体" w:cs="黑体" w:hint="eastAsia"/>
          <w:b w:val="0"/>
          <w:bCs w:val="0"/>
          <w:sz w:val="32"/>
          <w:szCs w:val="32"/>
          <w:highlight w:val="none"/>
          <w:lang w:val="en-US"/>
        </w:rPr>
        <w:t xml:space="preserve">预算执行进度与</w:t>
      </w:r>
      <w:bookmarkEnd w:id="59"/>
      <w:r>
        <w:rPr>
          <w:rFonts w:ascii="黑体" w:eastAsia="黑体" w:hAnsi="黑体" w:cs="黑体" w:hint="eastAsia"/>
          <w:b w:val="0"/>
          <w:bCs w:val="0"/>
          <w:sz w:val="32"/>
          <w:szCs w:val="32"/>
          <w:highlight w:val="none"/>
          <w:lang w:val="en-US" w:eastAsia="zh-CN"/>
        </w:rPr>
        <w:t xml:space="preserve">绩效指标偏差</w:t>
      </w:r>
    </w:p>
    <w:p>
      <w:pPr>
        <w:pStyle w:val="闻政-正文段落文字"/>
        <w:spacing w:line="560" w:lineRule="exact"/>
        <w:ind w:firstLine="640"/>
        <w:rPr>
          <w:rFonts w:ascii="仿宋_GB2312" w:eastAsia="仿宋_GB2312" w:hAnsi="仿宋_GB2312" w:cs="仿宋_GB2312" w:hint="eastAsia"/>
          <w:b w:val="0"/>
          <w:bCs w:val="0"/>
          <w:sz w:val="32"/>
          <w:szCs w:val="32"/>
          <w:highlight w:val="none"/>
        </w:rPr>
      </w:pPr>
      <w:r>
        <w:rPr>
          <w:rFonts w:ascii="仿宋_GB2312" w:eastAsia="仿宋_GB2312" w:hAnsi="仿宋_GB2312" w:cs="仿宋_GB2312" w:hint="eastAsia"/>
          <w:b w:val="0"/>
          <w:bCs w:val="0"/>
          <w:sz w:val="32"/>
          <w:szCs w:val="32"/>
          <w:highlight w:val="none"/>
          <w:lang w:val="en-US" w:eastAsia="zh-CN"/>
        </w:rPr>
        <w:t xml:space="preserve">经营成本性</w:t>
      </w:r>
      <w:r>
        <w:rPr>
          <w:rFonts w:ascii="仿宋_GB2312" w:eastAsia="仿宋_GB2312" w:hAnsi="仿宋_GB2312" w:cs="仿宋_GB2312" w:hint="eastAsia"/>
          <w:b w:val="0"/>
          <w:bCs w:val="0"/>
          <w:sz w:val="32"/>
          <w:szCs w:val="32"/>
          <w:highlight w:val="none"/>
        </w:rPr>
        <w:t xml:space="preserve">项目年初预算</w:t>
      </w:r>
      <w:r>
        <w:rPr>
          <w:rFonts w:eastAsia="仿宋_GB2312" w:cs="Times New Roman" w:hint="eastAsia"/>
          <w:sz w:val="32"/>
          <w:szCs w:val="32"/>
          <w:highlight w:val="none"/>
          <w:lang w:val="en-US" w:eastAsia="zh-CN"/>
        </w:rPr>
        <w:t xml:space="preserve">1454</w:t>
      </w:r>
      <w:r>
        <w:rPr>
          <w:rFonts w:ascii="仿宋_GB2312" w:eastAsia="仿宋_GB2312" w:hAnsi="仿宋_GB2312" w:cs="仿宋_GB2312" w:hint="eastAsia"/>
          <w:b w:val="0"/>
          <w:bCs w:val="0"/>
          <w:sz w:val="32"/>
          <w:szCs w:val="32"/>
          <w:highlight w:val="none"/>
        </w:rPr>
        <w:t xml:space="preserve">万元，全年预算</w:t>
      </w:r>
      <w:r>
        <w:rPr>
          <w:rFonts w:eastAsia="仿宋_GB2312" w:cs="Times New Roman" w:hint="eastAsia"/>
          <w:sz w:val="32"/>
          <w:szCs w:val="32"/>
          <w:highlight w:val="none"/>
          <w:lang w:val="en-US" w:eastAsia="zh-CN"/>
        </w:rPr>
        <w:t xml:space="preserve">1454</w:t>
      </w:r>
      <w:r>
        <w:rPr>
          <w:rFonts w:ascii="仿宋_GB2312" w:eastAsia="仿宋_GB2312" w:hAnsi="仿宋_GB2312" w:cs="仿宋_GB2312" w:hint="eastAsia"/>
          <w:b w:val="0"/>
          <w:bCs w:val="0"/>
          <w:sz w:val="32"/>
          <w:szCs w:val="32"/>
          <w:highlight w:val="none"/>
        </w:rPr>
        <w:t xml:space="preserve">万元，实际支出</w:t>
      </w:r>
      <w:r>
        <w:rPr>
          <w:rFonts w:eastAsia="仿宋_GB2312" w:cs="Times New Roman" w:hint="eastAsia"/>
          <w:sz w:val="32"/>
          <w:szCs w:val="32"/>
          <w:highlight w:val="none"/>
          <w:lang w:val="en-US" w:eastAsia="zh-CN"/>
        </w:rPr>
        <w:t xml:space="preserve">1454</w:t>
      </w:r>
      <w:r>
        <w:rPr>
          <w:rFonts w:ascii="仿宋_GB2312" w:eastAsia="仿宋_GB2312" w:hAnsi="仿宋_GB2312" w:cs="仿宋_GB2312" w:hint="eastAsia"/>
          <w:b w:val="0"/>
          <w:bCs w:val="0"/>
          <w:sz w:val="32"/>
          <w:szCs w:val="32"/>
          <w:highlight w:val="none"/>
        </w:rPr>
        <w:t xml:space="preserve">万元，预算执行率为</w:t>
      </w:r>
      <w:r>
        <w:rPr>
          <w:rFonts w:eastAsia="仿宋_GB2312" w:cs="Times New Roman" w:hint="eastAsia"/>
          <w:sz w:val="32"/>
          <w:szCs w:val="32"/>
          <w:highlight w:val="none"/>
          <w:lang w:val="en-US" w:eastAsia="zh-CN"/>
        </w:rPr>
        <w:t xml:space="preserve">100</w:t>
      </w:r>
      <w:r>
        <w:rPr>
          <w:rFonts w:ascii="仿宋_GB2312" w:eastAsia="仿宋_GB2312" w:hAnsi="仿宋_GB2312" w:cs="仿宋_GB2312" w:hint="eastAsia"/>
          <w:b w:val="0"/>
          <w:bCs w:val="0"/>
          <w:sz w:val="32"/>
          <w:szCs w:val="32"/>
          <w:highlight w:val="none"/>
        </w:rPr>
        <w:t xml:space="preserve">%，项目绩效指标总体完成率为</w:t>
      </w:r>
      <w:r>
        <w:rPr>
          <w:rFonts w:ascii="仿宋_GB2312" w:eastAsia="仿宋_GB2312" w:hAnsi="仿宋_GB2312" w:cs="仿宋_GB2312" w:hint="eastAsia"/>
          <w:b w:val="0"/>
          <w:bCs w:val="0"/>
          <w:sz w:val="32"/>
          <w:szCs w:val="32"/>
          <w:highlight w:val="none"/>
          <w:lang w:val="en-US" w:eastAsia="zh-CN"/>
        </w:rPr>
        <w:t xml:space="preserve">100</w:t>
      </w:r>
      <w:r>
        <w:rPr>
          <w:rFonts w:ascii="仿宋_GB2312" w:eastAsia="仿宋_GB2312" w:hAnsi="仿宋_GB2312" w:cs="仿宋_GB2312" w:hint="eastAsia"/>
          <w:b w:val="0"/>
          <w:bCs w:val="0"/>
          <w:sz w:val="32"/>
          <w:szCs w:val="32"/>
          <w:highlight w:val="none"/>
        </w:rPr>
        <w:t xml:space="preserve">%，</w:t>
      </w:r>
      <w:r>
        <w:rPr>
          <w:rFonts w:ascii="仿宋_GB2312" w:eastAsia="仿宋_GB2312" w:hAnsi="仿宋_GB2312" w:cs="仿宋_GB2312" w:hint="eastAsia"/>
          <w:b w:val="0"/>
          <w:bCs w:val="0"/>
          <w:sz w:val="32"/>
          <w:szCs w:val="32"/>
          <w:highlight w:val="none"/>
        </w:rPr>
        <w:t xml:space="preserve">总体</w:t>
      </w:r>
      <w:r>
        <w:rPr>
          <w:rFonts w:ascii="仿宋_GB2312" w:eastAsia="仿宋_GB2312" w:hAnsi="仿宋_GB2312" w:cs="仿宋_GB2312" w:hint="eastAsia"/>
          <w:b w:val="0"/>
          <w:bCs w:val="0"/>
          <w:sz w:val="32"/>
          <w:szCs w:val="32"/>
          <w:highlight w:val="none"/>
        </w:rPr>
        <w:t xml:space="preserve">偏差率为</w:t>
      </w:r>
      <w:r>
        <w:rPr>
          <w:rFonts w:ascii="仿宋_GB2312" w:eastAsia="仿宋_GB2312" w:hAnsi="仿宋_GB2312" w:cs="仿宋_GB2312" w:hint="eastAsia"/>
          <w:b w:val="0"/>
          <w:bCs w:val="0"/>
          <w:sz w:val="32"/>
          <w:szCs w:val="32"/>
          <w:highlight w:val="none"/>
          <w:lang w:val="en-US" w:eastAsia="zh-CN"/>
        </w:rPr>
        <w:t xml:space="preserve">0</w:t>
      </w:r>
      <w:r>
        <w:rPr>
          <w:rFonts w:ascii="仿宋_GB2312" w:eastAsia="仿宋_GB2312" w:hAnsi="仿宋_GB2312" w:cs="仿宋_GB2312" w:hint="eastAsia"/>
          <w:b w:val="0"/>
          <w:bCs w:val="0"/>
          <w:sz w:val="32"/>
          <w:szCs w:val="32"/>
          <w:highlight w:val="none"/>
        </w:rPr>
        <w:t xml:space="preserve">%</w:t>
      </w:r>
      <w:r>
        <w:rPr>
          <w:rFonts w:ascii="仿宋_GB2312" w:eastAsia="仿宋_GB2312" w:hAnsi="仿宋_GB2312" w:cs="仿宋_GB2312" w:hint="eastAsia"/>
          <w:b w:val="0"/>
          <w:bCs w:val="0"/>
          <w:sz w:val="32"/>
          <w:szCs w:val="32"/>
          <w:highlight w:val="none"/>
          <w:lang w:eastAsia="zh-CN"/>
        </w:rPr>
        <w:t xml:space="preserve">，</w:t>
      </w:r>
      <w:r>
        <w:rPr>
          <w:rFonts w:ascii="仿宋_GB2312" w:eastAsia="仿宋_GB2312" w:hAnsi="仿宋_GB2312" w:cs="仿宋_GB2312" w:hint="eastAsia"/>
          <w:b w:val="0"/>
          <w:bCs w:val="0"/>
          <w:sz w:val="32"/>
          <w:szCs w:val="32"/>
          <w:highlight w:val="none"/>
        </w:rPr>
        <w:t xml:space="preserve">偏差</w:t>
      </w:r>
      <w:r>
        <w:rPr>
          <w:rFonts w:ascii="仿宋_GB2312" w:eastAsia="仿宋_GB2312" w:hAnsi="仿宋_GB2312" w:cs="仿宋_GB2312" w:hint="eastAsia"/>
          <w:b w:val="0"/>
          <w:bCs w:val="0"/>
          <w:sz w:val="32"/>
          <w:szCs w:val="32"/>
          <w:highlight w:val="none"/>
        </w:rPr>
        <w:t xml:space="preserve">原因</w:t>
      </w:r>
      <w:r>
        <w:rPr>
          <w:rFonts w:eastAsia="仿宋_GB2312" w:cs="Times New Roman" w:hint="eastAsia"/>
          <w:sz w:val="32"/>
          <w:szCs w:val="32"/>
          <w:highlight w:val="none"/>
          <w:lang w:val="en-US" w:eastAsia="zh-CN"/>
        </w:rPr>
        <w:t xml:space="preserve">无</w:t>
      </w:r>
      <w:r>
        <w:rPr>
          <w:rFonts w:ascii="仿宋_GB2312" w:eastAsia="仿宋_GB2312" w:hAnsi="仿宋_GB2312" w:cs="仿宋_GB2312" w:hint="eastAsia"/>
          <w:b w:val="0"/>
          <w:bCs w:val="0"/>
          <w:sz w:val="32"/>
          <w:szCs w:val="32"/>
          <w:highlight w:val="none"/>
        </w:rPr>
        <w:t xml:space="preserve">，</w:t>
      </w:r>
      <w:r>
        <w:rPr>
          <w:rFonts w:ascii="仿宋_GB2312" w:eastAsia="仿宋_GB2312" w:hAnsi="仿宋_GB2312" w:cs="仿宋_GB2312" w:hint="eastAsia"/>
          <w:b w:val="0"/>
          <w:bCs w:val="0"/>
          <w:sz w:val="32"/>
          <w:szCs w:val="32"/>
          <w:highlight w:val="none"/>
        </w:rPr>
        <w:t xml:space="preserve">改进</w:t>
      </w:r>
      <w:r>
        <w:rPr>
          <w:rFonts w:ascii="仿宋_GB2312" w:eastAsia="仿宋_GB2312" w:hAnsi="仿宋_GB2312" w:cs="仿宋_GB2312" w:hint="eastAsia"/>
          <w:b w:val="0"/>
          <w:bCs w:val="0"/>
          <w:sz w:val="32"/>
          <w:szCs w:val="32"/>
          <w:highlight w:val="none"/>
        </w:rPr>
        <w:t xml:space="preserve">措施</w:t>
      </w:r>
      <w:r>
        <w:rPr>
          <w:rFonts w:eastAsia="仿宋_GB2312" w:cs="Times New Roman" w:hint="eastAsia"/>
          <w:sz w:val="32"/>
          <w:szCs w:val="32"/>
          <w:highlight w:val="none"/>
          <w:lang w:val="en-US" w:eastAsia="zh-CN"/>
        </w:rPr>
        <w:t xml:space="preserve">无</w:t>
      </w:r>
      <w:r>
        <w:rPr>
          <w:rFonts w:ascii="仿宋_GB2312" w:eastAsia="仿宋_GB2312" w:hAnsi="仿宋_GB2312" w:cs="仿宋_GB2312" w:hint="eastAsia"/>
          <w:b w:val="0"/>
          <w:bCs w:val="0"/>
          <w:sz w:val="32"/>
          <w:szCs w:val="32"/>
          <w:highlight w:val="none"/>
        </w:rPr>
        <w:t xml:space="preserve">。</w:t>
      </w:r>
    </w:p>
    <w:p>
      <w:pPr>
        <w:spacing w:line="560" w:lineRule="exact"/>
        <w:ind w:firstLine="640" w:firstLineChars="200"/>
        <w:outlineLvl w:val="0"/>
        <w:rPr>
          <w:rStyle w:val="fontstyle01"/>
          <w:rFonts w:ascii="Times New Roman" w:hAnsi="Times New Roman" w:cs="Times New Roman" w:hint="default"/>
          <w:color w:val="auto"/>
          <w:highlight w:val="none"/>
        </w:rPr>
      </w:pPr>
      <w:bookmarkStart w:id="60" w:name="_Toc18363"/>
      <w:r>
        <w:rPr>
          <w:rFonts w:eastAsia="黑体" w:cs="Times New Roman" w:hint="eastAsia"/>
          <w:sz w:val="32"/>
          <w:szCs w:val="32"/>
          <w:highlight w:val="none"/>
          <w:lang w:val="en-US" w:eastAsia="zh-CN"/>
        </w:rPr>
        <w:t xml:space="preserve">六</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主要经验及做法、存在的问题及原因分析</w:t>
      </w:r>
      <w:bookmarkEnd w:id="60"/>
    </w:p>
    <w:p>
      <w:pPr>
        <w:spacing w:line="560" w:lineRule="exact"/>
        <w:ind w:firstLine="640" w:firstLineChars="200"/>
        <w:outlineLvl w:val="1"/>
        <w:rPr>
          <w:rFonts w:ascii="Times New Roman" w:eastAsia="楷体" w:hAnsi="Times New Roman" w:cs="Times New Roman" w:hint="default"/>
          <w:b/>
          <w:spacing w:val="-4"/>
          <w:sz w:val="32"/>
          <w:szCs w:val="32"/>
          <w:highlight w:val="none"/>
        </w:rPr>
      </w:pPr>
      <w:bookmarkStart w:id="61" w:name="_Toc22741"/>
      <w:r>
        <w:rPr>
          <w:rFonts w:ascii="Times New Roman" w:eastAsia="楷体" w:hAnsi="Times New Roman" w:cs="Times New Roman" w:hint="default"/>
          <w:b/>
          <w:spacing w:val="-4"/>
          <w:sz w:val="32"/>
          <w:szCs w:val="32"/>
          <w:highlight w:val="none"/>
        </w:rPr>
        <w:t xml:space="preserve">（一）主要经验及做法</w:t>
      </w:r>
      <w:bookmarkEnd w:id="61"/>
    </w:p>
    <w:p>
      <w:pPr>
        <w:spacing w:line="560" w:lineRule="exact"/>
        <w:ind w:firstLine="640" w:firstLineChars="200"/>
        <w:rPr>
          <w:rFonts w:ascii="Times New Roman" w:eastAsia="仿宋_GB2312" w:hAnsi="Times New Roman" w:cs="Times New Roman" w:hint="default"/>
          <w:sz w:val="32"/>
          <w:szCs w:val="32"/>
          <w:highlight w:val="none"/>
        </w:rPr>
      </w:pPr>
      <w:bookmarkStart w:id="62" w:name="_Toc7835"/>
      <w:r>
        <w:rPr>
          <w:rFonts w:ascii="Times New Roman" w:eastAsia="仿宋_GB2312" w:hAnsi="Times New Roman" w:cs="Times New Roman" w:hint="default"/>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highlight w:val="none"/>
        </w:rPr>
      </w:pPr>
      <w:r>
        <w:rPr>
          <w:rFonts w:ascii="Times New Roman" w:eastAsia="仿宋_GB2312" w:hAnsi="Times New Roman" w:cs="Times New Roman" w:hint="default"/>
          <w:b w:val="0"/>
          <w:bCs w:val="0"/>
          <w:kern w:val="2"/>
          <w:highlight w:val="none"/>
        </w:rPr>
        <w:t xml:space="preserve">严格坚持先做事、后验收、再拨付的原则，</w:t>
      </w:r>
      <w:r>
        <w:rPr>
          <w:rFonts w:ascii="Times New Roman" w:eastAsia="仿宋_GB2312" w:hAnsi="Times New Roman" w:cs="Times New Roman" w:hint="eastAsia"/>
          <w:b w:val="0"/>
          <w:bCs w:val="0"/>
          <w:kern w:val="2"/>
          <w:highlight w:val="none"/>
          <w:lang w:eastAsia="zh-CN"/>
        </w:rPr>
        <w:t xml:space="preserve">杜绝</w:t>
      </w:r>
      <w:r>
        <w:rPr>
          <w:rFonts w:ascii="Times New Roman" w:eastAsia="仿宋_GB2312" w:hAnsi="Times New Roman" w:cs="Times New Roman" w:hint="default"/>
          <w:b w:val="0"/>
          <w:bCs w:val="0"/>
          <w:kern w:val="2"/>
          <w:highlight w:val="none"/>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5"/>
        </w:numPr>
        <w:spacing w:line="560" w:lineRule="exact"/>
        <w:ind w:firstLine="640" w:firstLineChars="200"/>
        <w:outlineLvl w:val="1"/>
        <w:rPr>
          <w:rFonts w:ascii="Times New Roman" w:eastAsia="楷体_GB2312" w:hAnsi="Times New Roman" w:cs="Times New Roman" w:hint="default"/>
          <w:b/>
          <w:bCs/>
          <w:sz w:val="32"/>
          <w:szCs w:val="32"/>
          <w:highlight w:val="none"/>
        </w:rPr>
      </w:pPr>
      <w:r>
        <w:rPr>
          <w:rFonts w:ascii="Times New Roman" w:eastAsia="楷体_GB2312" w:hAnsi="Times New Roman" w:cs="Times New Roman" w:hint="default"/>
          <w:b/>
          <w:bCs/>
          <w:sz w:val="32"/>
          <w:szCs w:val="32"/>
          <w:highlight w:val="none"/>
        </w:rPr>
        <w:t xml:space="preserve">存在的问题及原因分析</w:t>
      </w:r>
      <w:bookmarkEnd w:id="62"/>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outlineLvl w:val="0"/>
        <w:rPr>
          <w:rFonts w:ascii="Times New Roman" w:eastAsia="黑体" w:hAnsi="Times New Roman" w:cs="Times New Roman" w:hint="default"/>
          <w:sz w:val="32"/>
          <w:szCs w:val="32"/>
          <w:highlight w:val="none"/>
        </w:rPr>
      </w:pPr>
      <w:bookmarkStart w:id="63" w:name="_Toc25529"/>
      <w:r>
        <w:rPr>
          <w:rFonts w:eastAsia="黑体" w:cs="Times New Roman" w:hint="eastAsia"/>
          <w:sz w:val="32"/>
          <w:szCs w:val="32"/>
          <w:highlight w:val="none"/>
          <w:lang w:val="en-US" w:eastAsia="zh-CN"/>
        </w:rPr>
        <w:t xml:space="preserve">七</w:t>
      </w:r>
      <w:r>
        <w:rPr>
          <w:rFonts w:ascii="Times New Roman" w:eastAsia="黑体" w:hAnsi="Times New Roman" w:cs="Times New Roman" w:hint="default"/>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有关建议</w:t>
      </w:r>
      <w:bookmarkEnd w:id="63"/>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color="auto" w:fill="auto"/>
        <w:spacing w:line="600" w:lineRule="exact"/>
        <w:ind w:firstLine="640" w:firstLineChars="200"/>
        <w:outlineLvl w:val="9"/>
        <w:rPr>
          <w:rFonts w:ascii="Times New Roman" w:hAnsi="Times New Roman" w:cs="Times New Roman" w:hint="default"/>
          <w:sz w:val="22"/>
          <w:szCs w:val="28"/>
          <w:highlight w:val="none"/>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highlight w:val="none"/>
        </w:rPr>
        <w:t xml:space="preserve">。</w:t>
      </w:r>
    </w:p>
    <w:p>
      <w:pPr>
        <w:shd w:val="clear" w:color="auto" w:fill="auto"/>
        <w:spacing w:line="600" w:lineRule="exact"/>
        <w:ind w:firstLine="640" w:firstLineChars="200"/>
        <w:outlineLvl w:val="9"/>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outlineLvl w:val="0"/>
        <w:rPr>
          <w:rFonts w:ascii="Times New Roman" w:eastAsia="黑体" w:hAnsi="Times New Roman" w:cs="Times New Roman" w:hint="default"/>
          <w:sz w:val="32"/>
          <w:szCs w:val="32"/>
          <w:highlight w:val="none"/>
        </w:rPr>
      </w:pPr>
      <w:bookmarkStart w:id="64" w:name="_Toc3065"/>
      <w:r>
        <w:rPr>
          <w:rFonts w:eastAsia="黑体" w:cs="Times New Roman" w:hint="eastAsia"/>
          <w:sz w:val="32"/>
          <w:szCs w:val="32"/>
          <w:highlight w:val="none"/>
          <w:lang w:val="en-US" w:eastAsia="zh-CN"/>
        </w:rPr>
        <w:t xml:space="preserve">八</w:t>
      </w:r>
      <w:r>
        <w:rPr>
          <w:rFonts w:ascii="Times New Roman" w:eastAsia="仿宋_GB2312" w:hAnsi="Times New Roman" w:cs="Times New Roman" w:hint="default"/>
          <w:b/>
          <w:bCs/>
          <w:sz w:val="32"/>
          <w:szCs w:val="32"/>
          <w:highlight w:val="none"/>
          <w:lang w:val="en-US" w:eastAsia="zh-CN"/>
        </w:rPr>
        <w:t xml:space="preserve">.</w:t>
      </w:r>
      <w:r>
        <w:rPr>
          <w:rFonts w:ascii="Times New Roman" w:eastAsia="黑体" w:hAnsi="Times New Roman" w:cs="Times New Roman" w:hint="default"/>
          <w:sz w:val="32"/>
          <w:szCs w:val="32"/>
          <w:highlight w:val="none"/>
        </w:rPr>
        <w:t xml:space="preserve">其他需要说</w:t>
      </w:r>
      <w:bookmarkStart w:id="65" w:name="page8"/>
      <w:bookmarkEnd w:id="65"/>
      <w:r>
        <w:rPr>
          <w:rFonts w:ascii="Times New Roman" w:eastAsia="黑体" w:hAnsi="Times New Roman" w:cs="Times New Roman" w:hint="default"/>
          <w:sz w:val="32"/>
          <w:szCs w:val="32"/>
          <w:highlight w:val="none"/>
        </w:rPr>
        <w:t xml:space="preserve">明的问题</w:t>
      </w:r>
      <w:bookmarkEnd w:id="64"/>
    </w:p>
    <w:p>
      <w:pPr>
        <w:pStyle w:val="BodyTextFirstIndent2"/>
        <w:spacing w:after="0" w:line="560" w:lineRule="exact"/>
        <w:ind w:left="0" w:firstLine="640" w:leftChars="0"/>
        <w:rPr>
          <w:rFonts w:ascii="Times New Roman" w:eastAsia="仿宋_GB2312" w:hAnsi="Times New Roman"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本项目无其他需说明的问题。</w:t>
      </w:r>
    </w:p>
    <w:p>
      <w:pPr>
        <w:pStyle w:val="BodyTextFirstIndent2"/>
        <w:spacing w:after="0" w:line="560" w:lineRule="exact"/>
        <w:ind w:left="0" w:firstLine="640" w:leftChars="0" w:firstLineChars="200"/>
        <w:rPr>
          <w:rFonts w:ascii="Times New Roman" w:eastAsia="仿宋_GB2312" w:hAnsi="Times New Roman" w:cs="Times New Roman" w:hint="eastAsia"/>
          <w:b/>
          <w:bCs/>
          <w:color w:val="FF0000"/>
          <w:sz w:val="32"/>
          <w:szCs w:val="32"/>
          <w:highlight w:val="none"/>
          <w:lang w:eastAsia="zh-CN"/>
        </w:rPr>
      </w:pPr>
    </w:p>
    <w:p>
      <w:pPr>
        <w:pStyle w:val="BodyTextFirstIndent2"/>
        <w:spacing w:after="0" w:line="560" w:lineRule="exact"/>
        <w:ind w:left="0" w:firstLine="640" w:leftChars="0" w:firstLineChars="200"/>
        <w:rPr>
          <w:rFonts w:ascii="Times New Roman" w:eastAsia="仿宋_GB2312" w:hAnsi="Times New Roman" w:cs="Times New Roman" w:hint="eastAsia"/>
          <w:b/>
          <w:bCs/>
          <w:color w:val="FF0000"/>
          <w:sz w:val="32"/>
          <w:szCs w:val="32"/>
          <w:highlight w:val="none"/>
          <w:lang w:eastAsia="zh-CN"/>
        </w:rPr>
      </w:pPr>
    </w:p>
    <w:p>
      <w:pPr>
        <w:pStyle w:val="BodyTextFirstIndent2"/>
        <w:spacing w:after="0" w:line="560" w:lineRule="exact"/>
        <w:ind w:left="0" w:firstLine="0" w:leftChars="0" w:firstLineChars="0"/>
        <w:rPr>
          <w:rFonts w:ascii="Times New Roman" w:eastAsia="仿宋_GB2312" w:hAnsi="Times New Roman" w:cs="Times New Roman" w:hint="eastAsia"/>
          <w:b/>
          <w:bCs/>
          <w:color w:val="FF0000"/>
          <w:sz w:val="32"/>
          <w:szCs w:val="32"/>
          <w:highlight w:val="none"/>
          <w:lang w:eastAsia="zh-CN"/>
        </w:rPr>
      </w:pPr>
    </w:p>
    <w:p>
      <w:pPr>
        <w:pStyle w:val="BodyTextFirstIndent2"/>
        <w:spacing w:after="0" w:line="560" w:lineRule="exact"/>
        <w:ind w:left="0" w:firstLine="0" w:leftChars="0" w:firstLineChars="0"/>
        <w:rPr>
          <w:rFonts w:ascii="Times New Roman" w:eastAsia="仿宋_GB2312" w:hAnsi="Times New Roman" w:cs="Times New Roman" w:hint="default"/>
          <w:sz w:val="32"/>
          <w:szCs w:val="32"/>
          <w:highlight w:val="none"/>
        </w:rPr>
      </w:pPr>
    </w:p>
    <w:p>
      <w:pPr>
        <w:spacing w:line="600" w:lineRule="exact"/>
        <w:rPr>
          <w:rFonts w:ascii="Times New Roman" w:eastAsia="黑体" w:hAnsi="Times New Roman" w:cs="Times New Roman" w:hint="eastAsia"/>
          <w:sz w:val="32"/>
          <w:szCs w:val="32"/>
          <w:highlight w:val="none"/>
          <w:lang w:val="en-US" w:eastAsia="zh-CN"/>
        </w:rPr>
        <w:sectPr>
          <w:footerReference w:type="default" r:id="rId4"/>
          <w:pgSz w:w="11906" w:h="16838" w:orient="portrait"/>
          <w:pgMar w:top="1440" w:right="1558" w:bottom="1440" w:left="1800" w:header="851" w:footer="992" w:gutter="0"/>
          <w:pgNumType w:start="1"/>
          <w:cols w:num="1" w:space="425">
            <w:col w:w="8548" w:space="425"/>
          </w:cols>
          <w:docGrid w:type="lines" w:linePitch="312" w:charSpace="0"/>
        </w:sectPr>
      </w:pPr>
    </w:p>
    <w:p>
      <w:pPr>
        <w:spacing w:line="600" w:lineRule="exact"/>
        <w:outlineLvl w:val="0"/>
        <w:rPr>
          <w:rFonts w:eastAsia="黑体" w:cs="Times New Roman" w:hint="default"/>
          <w:sz w:val="32"/>
          <w:szCs w:val="32"/>
          <w:highlight w:val="none"/>
          <w:lang w:val="en-US" w:eastAsia="zh-CN"/>
        </w:rPr>
      </w:pPr>
      <w:bookmarkStart w:id="66" w:name="_Toc15260"/>
      <w:r>
        <w:rPr>
          <w:rFonts w:ascii="Times New Roman" w:eastAsia="黑体" w:hAnsi="Times New Roman" w:cs="Times New Roman" w:hint="eastAsia"/>
          <w:sz w:val="32"/>
          <w:szCs w:val="32"/>
          <w:highlight w:val="none"/>
          <w:lang w:val="en-US" w:eastAsia="zh-CN"/>
        </w:rPr>
        <w:t xml:space="preserve">附件</w:t>
      </w:r>
      <w:r>
        <w:rPr>
          <w:rFonts w:eastAsia="黑体" w:cs="Times New Roman" w:hint="eastAsia"/>
          <w:sz w:val="32"/>
          <w:szCs w:val="32"/>
          <w:highlight w:val="none"/>
          <w:lang w:val="en-US" w:eastAsia="zh-CN"/>
        </w:rPr>
        <w:t xml:space="preserve">1</w:t>
      </w:r>
      <w:bookmarkEnd w:id="66"/>
      <w:r>
        <w:rPr>
          <w:rFonts w:eastAsia="黑体" w:cs="Times New Roman" w:hint="eastAsia"/>
          <w:sz w:val="32"/>
          <w:szCs w:val="32"/>
          <w:highlight w:val="none"/>
          <w:lang w:val="en-US" w:eastAsia="zh-CN"/>
        </w:rPr>
        <w:t xml:space="preserve">评价指标体系</w:t>
      </w:r>
    </w:p>
    <w:p>
      <w:pPr>
        <w:pStyle w:val="闻政-正文段落文字"/>
        <w:ind w:firstLine="562"/>
        <w:jc w:val="center"/>
        <w:rPr>
          <w:rFonts w:ascii="仿宋_GB2312" w:eastAsia="仿宋_GB2312" w:hAnsi="仿宋_GB2312" w:cs="仿宋_GB2312" w:hint="eastAsia"/>
          <w:sz w:val="28"/>
          <w:szCs w:val="40"/>
          <w:highlight w:val="none"/>
        </w:rPr>
      </w:pPr>
      <w:bookmarkStart w:id="67" w:name="_Toc30064_WPSOffice_Level1"/>
      <w:bookmarkStart w:id="68" w:name="_Toc26499_WPSOffice_Level2"/>
      <w:r>
        <w:rPr>
          <w:rFonts w:ascii="仿宋_GB2312" w:eastAsia="仿宋_GB2312" w:hAnsi="仿宋_GB2312" w:cs="仿宋_GB2312" w:hint="eastAsia"/>
          <w:b/>
          <w:bCs/>
          <w:sz w:val="28"/>
          <w:szCs w:val="40"/>
          <w:highlight w:val="none"/>
          <w:lang w:val="en-US" w:eastAsia="zh-CN"/>
        </w:rPr>
        <w:t xml:space="preserve">经营成本性</w:t>
      </w:r>
      <w:r>
        <w:rPr>
          <w:rFonts w:ascii="仿宋_GB2312" w:eastAsia="仿宋_GB2312" w:hAnsi="仿宋_GB2312" w:cs="仿宋_GB2312" w:hint="eastAsia"/>
          <w:b/>
          <w:bCs/>
          <w:sz w:val="28"/>
          <w:szCs w:val="40"/>
          <w:highlight w:val="none"/>
        </w:rPr>
        <w:t xml:space="preserve">项目绩效评价指标体系</w:t>
      </w:r>
      <w:bookmarkEnd w:id="67"/>
      <w:bookmarkEnd w:id="68"/>
    </w:p>
    <w:tbl>
      <w:tblPr>
        <w:tblStyle w:val="NormalTable"/>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Grid>
        <w:gridCol w:w="1002"/>
        <w:gridCol w:w="997"/>
        <w:gridCol w:w="1071"/>
        <w:gridCol w:w="1725"/>
        <w:gridCol w:w="5224"/>
        <w:gridCol w:w="1299"/>
        <w:gridCol w:w="1365"/>
      </w:tblGrid>
      <w:tr w14:paraId="4509323A">
        <w:tblPrEx>
          <w:tblW w:w="4474"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Ex>
        <w:trPr>
          <w:trHeight w:val="552"/>
          <w:tblHeader/>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一级指标</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指标解释</w:t>
            </w:r>
          </w:p>
        </w:tc>
        <w:tc>
          <w:tcPr>
            <w:tcW w:w="205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得分</w:t>
            </w:r>
          </w:p>
        </w:tc>
      </w:tr>
      <w:tr w14:paraId="7ED49604">
        <w:tblPrEx>
          <w:tblW w:w="4474" w:type="pct"/>
          <w:jc w:val="center"/>
          <w:tblCellMar>
            <w:top w:w="0" w:type="dxa"/>
            <w:left w:w="108" w:type="dxa"/>
            <w:bottom w:w="0" w:type="dxa"/>
            <w:right w:w="108" w:type="dxa"/>
          </w:tblCellMar>
        </w:tblPrEx>
        <w:trPr>
          <w:trHeight w:val="2919"/>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决策</w:t>
            </w: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项目立项是否符合法律法规、相关政策、发展规划以及部门职责，用以反映和考核项目立项依据情况。</w:t>
            </w:r>
          </w:p>
        </w:tc>
        <w:tc>
          <w:tcPr>
            <w:tcW w:w="2058"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②项目立项是否符合行业发展规划和政策要求；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③项目立项是否与部门职责范围相符，</w:t>
            </w:r>
            <w:r>
              <w:rPr>
                <w:rFonts w:ascii="Times New Roman" w:eastAsia="仿宋_GB2312" w:hAnsi="Times New Roman" w:cs="Times New Roman" w:hint="default"/>
                <w:color w:val="000000"/>
                <w:kern w:val="0"/>
                <w:sz w:val="18"/>
                <w:szCs w:val="18"/>
                <w:highlight w:val="none"/>
              </w:rPr>
              <w:t xml:space="preserve">属于部门</w:t>
            </w:r>
            <w:r>
              <w:rPr>
                <w:rFonts w:ascii="Times New Roman" w:eastAsia="仿宋_GB2312" w:hAnsi="Times New Roman" w:cs="Times New Roman" w:hint="default"/>
                <w:color w:val="000000"/>
                <w:kern w:val="0"/>
                <w:sz w:val="18"/>
                <w:szCs w:val="18"/>
                <w:highlight w:val="none"/>
              </w:rPr>
              <w:t xml:space="preserve">履职所需；</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03BD5035">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项目申请、设立过程是否符合相关要求，用以反映和考核项目立项的规范情况。</w:t>
            </w:r>
          </w:p>
        </w:tc>
        <w:tc>
          <w:tcPr>
            <w:tcW w:w="2058"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①项目是否按照规定的程序申请设立；</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②审批文件、材料是否符合相关要求；</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4E975E38">
        <w:tblPrEx>
          <w:tblW w:w="4474" w:type="pct"/>
          <w:jc w:val="center"/>
          <w:tblCellMar>
            <w:top w:w="0" w:type="dxa"/>
            <w:left w:w="108" w:type="dxa"/>
            <w:bottom w:w="0" w:type="dxa"/>
            <w:right w:w="108" w:type="dxa"/>
          </w:tblCellMar>
        </w:tblPrEx>
        <w:trPr>
          <w:trHeight w:val="9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项目所设定的绩效目标是否依据充分，是否符合客观实际，用以反映和考核项目绩效目标与项目实施的相符情况。</w:t>
            </w:r>
          </w:p>
        </w:tc>
        <w:tc>
          <w:tcPr>
            <w:tcW w:w="2058" w:type="pct"/>
            <w:shd w:val="clear" w:color="000000"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（如未设定预算绩效目标，也可考核其他工作任务目标）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①项目是否有绩效目标；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②项目绩效目标与实际工作内容是否具有相关性；</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6712C054">
        <w:tblPrEx>
          <w:tblW w:w="4474" w:type="pct"/>
          <w:jc w:val="center"/>
          <w:tblCellMar>
            <w:top w:w="0" w:type="dxa"/>
            <w:left w:w="108" w:type="dxa"/>
            <w:bottom w:w="0" w:type="dxa"/>
            <w:right w:w="108" w:type="dxa"/>
          </w:tblCellMar>
        </w:tblPrEx>
        <w:trPr>
          <w:trHeight w:val="1464"/>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依据绩效目标设定的绩效指标是否清晰、细化、可衡量等，用以反映和考核项目绩效目标的明细化情况。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①是否将项目绩效目标细化分解为具体的绩效指标；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②是否通过清晰、可衡量的指标值予以体现；</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③是否与项目目标任务数或计划数相对应。</w:t>
            </w:r>
            <w:r>
              <w:rPr>
                <w:rFonts w:ascii="Times New Roman" w:eastAsia="仿宋_GB2312" w:hAnsi="Times New Roman" w:cs="Times New Roman" w:hint="default"/>
                <w:color w:val="000000"/>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3</w:t>
            </w:r>
          </w:p>
        </w:tc>
      </w:tr>
      <w:tr w14:paraId="49D38069">
        <w:tblPrEx>
          <w:tblW w:w="4474" w:type="pct"/>
          <w:jc w:val="center"/>
          <w:tblCellMar>
            <w:top w:w="0" w:type="dxa"/>
            <w:left w:w="108" w:type="dxa"/>
            <w:bottom w:w="0" w:type="dxa"/>
            <w:right w:w="108" w:type="dxa"/>
          </w:tblCellMar>
        </w:tblPrEx>
        <w:trPr>
          <w:trHeight w:val="1942"/>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项目预算编制是否经过科学论证、有明确标准，资金额度与年度目标是否相适应，用以反映和考核项目预算编制的科学性、合理性情况。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①预算编制是否经过科学论证；</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②预算内容与项目内容是否匹配；</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③预算额度测算依据是否充分，是否按照标准编制；</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1F79BEAE">
        <w:tblPrEx>
          <w:tblW w:w="4474" w:type="pct"/>
          <w:jc w:val="center"/>
          <w:tblCellMar>
            <w:top w:w="0" w:type="dxa"/>
            <w:left w:w="108" w:type="dxa"/>
            <w:bottom w:w="0" w:type="dxa"/>
            <w:right w:w="108" w:type="dxa"/>
          </w:tblCellMar>
        </w:tblPrEx>
        <w:trPr>
          <w:trHeight w:val="170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项目预算资金分配是否有测算依据，与补助单位或地方实际是否相适应，用以反映和考核项目预算资金分配的科学性、合理性情况。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①预算资金分配依据是否充分；</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652092E8">
        <w:tblPrEx>
          <w:tblW w:w="4474" w:type="pct"/>
          <w:jc w:val="center"/>
          <w:tblCellMar>
            <w:top w:w="0" w:type="dxa"/>
            <w:left w:w="108" w:type="dxa"/>
            <w:bottom w:w="0" w:type="dxa"/>
            <w:right w:w="108" w:type="dxa"/>
          </w:tblCellMar>
        </w:tblPrEx>
        <w:trPr>
          <w:trHeight w:val="1415"/>
          <w:jc w:val="center"/>
        </w:trPr>
        <w:tc>
          <w:tcPr>
            <w:tcW w:w="395" w:type="pct"/>
            <w:vMerge w:val="restar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p>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实际到位资金与预算资金的比率，用以反映和考核资金落实情况对项目实施的总体保障程度。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22513411">
        <w:tblPrEx>
          <w:tblW w:w="4474" w:type="pct"/>
          <w:jc w:val="center"/>
          <w:tblCellMar>
            <w:top w:w="0" w:type="dxa"/>
            <w:left w:w="108" w:type="dxa"/>
            <w:bottom w:w="0" w:type="dxa"/>
            <w:right w:w="108" w:type="dxa"/>
          </w:tblCellMar>
        </w:tblPrEx>
        <w:trPr>
          <w:trHeight w:val="1320"/>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项目预算资金是否按照计划执行，用以反映或考核项目预算执行情况。</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预算执行率=（实际支出资金/实际到位资金）×100%。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013378EF">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项目资金使用是否符合相关的财务管理制度规定，用以反映和考核项目资金的规范运行情况。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②资金的拨付是否有完整的审批程序和手续；</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③是否符合项目预算批复或合同规定的用途；</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784EDD01">
        <w:tblPrEx>
          <w:tblW w:w="4474" w:type="pct"/>
          <w:jc w:val="center"/>
          <w:tblCellMar>
            <w:top w:w="0" w:type="dxa"/>
            <w:left w:w="108" w:type="dxa"/>
            <w:bottom w:w="0" w:type="dxa"/>
            <w:right w:w="108" w:type="dxa"/>
          </w:tblCellMar>
        </w:tblPrEx>
        <w:trPr>
          <w:trHeight w:val="1797"/>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项目实施单位的财务和业务管理制度是否健全，用以反映和考核财务和业务管理制度对项目顺利实施的保障情况。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①是否已制定或具有相应的财务和业务管理制度；</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5A76D954">
        <w:tblPrEx>
          <w:tblW w:w="4474" w:type="pct"/>
          <w:jc w:val="center"/>
          <w:tblCellMar>
            <w:top w:w="0" w:type="dxa"/>
            <w:left w:w="108" w:type="dxa"/>
            <w:bottom w:w="0" w:type="dxa"/>
            <w:right w:w="108" w:type="dxa"/>
          </w:tblCellMar>
        </w:tblPrEx>
        <w:trPr>
          <w:trHeight w:val="1769"/>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项目实施是否符合相关管理规定，用以反映和考核相关管理制度的有效执行情况。</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评价要点：</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①是否遵守相关法律法规和相关管理规定；</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②项目调整及支出调整手续是否完备；</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eastAsia="zh-CN"/>
              </w:rPr>
            </w:pPr>
            <w:r>
              <w:rPr>
                <w:rFonts w:eastAsia="仿宋_GB2312" w:cs="Times New Roman" w:hint="eastAsia"/>
                <w:b/>
                <w:bCs/>
                <w:color w:val="000000"/>
                <w:kern w:val="0"/>
                <w:sz w:val="18"/>
                <w:szCs w:val="18"/>
                <w:highlight w:val="none"/>
                <w:lang w:val="en-US" w:eastAsia="zh-CN"/>
              </w:rPr>
              <w:t xml:space="preserve">4</w:t>
            </w:r>
          </w:p>
        </w:tc>
      </w:tr>
      <w:tr w14:paraId="3A93EDAC">
        <w:tblPrEx>
          <w:tblW w:w="4474" w:type="pct"/>
          <w:jc w:val="center"/>
          <w:tblCellMar>
            <w:top w:w="0" w:type="dxa"/>
            <w:left w:w="108" w:type="dxa"/>
            <w:bottom w:w="0" w:type="dxa"/>
            <w:right w:w="108" w:type="dxa"/>
          </w:tblCellMar>
        </w:tblPrEx>
        <w:trPr>
          <w:trHeight w:val="1917"/>
          <w:jc w:val="center"/>
        </w:trPr>
        <w:tc>
          <w:tcPr>
            <w:tcW w:w="395"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项目实施的实际产出数与计划产出数的比率，用以反映和考核项目产出数量目标的实现程度。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实际完成率=（实际产出数/计划产出数）×100%。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45BD19AA">
        <w:tblPrEx>
          <w:tblW w:w="4474" w:type="pct"/>
          <w:jc w:val="center"/>
          <w:tblCellMar>
            <w:top w:w="0" w:type="dxa"/>
            <w:left w:w="108" w:type="dxa"/>
            <w:bottom w:w="0" w:type="dxa"/>
            <w:right w:w="108" w:type="dxa"/>
          </w:tblCellMar>
        </w:tblPrEx>
        <w:trPr>
          <w:trHeight w:val="1718"/>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项目完成的质量达标产出数与实际产出数的比率，用以反映和考核项目产出质量目标的实现程度。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37681149">
        <w:tblPrEx>
          <w:tblW w:w="4474" w:type="pct"/>
          <w:jc w:val="center"/>
          <w:tblCellMar>
            <w:top w:w="0" w:type="dxa"/>
            <w:left w:w="108" w:type="dxa"/>
            <w:bottom w:w="0" w:type="dxa"/>
            <w:right w:w="108" w:type="dxa"/>
          </w:tblCellMar>
        </w:tblPrEx>
        <w:trPr>
          <w:trHeight w:val="1506"/>
          <w:jc w:val="center"/>
        </w:trPr>
        <w:tc>
          <w:tcPr>
            <w:tcW w:w="395" w:type="pct"/>
            <w:vMerge/>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项目实际完成时间与计划完成时间的比较，用以反映和考核项目产出时效目标的实现程度。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29C74CAF">
        <w:tblPrEx>
          <w:tblW w:w="4474" w:type="pct"/>
          <w:jc w:val="center"/>
          <w:tblCellMar>
            <w:top w:w="0" w:type="dxa"/>
            <w:left w:w="108" w:type="dxa"/>
            <w:bottom w:w="0" w:type="dxa"/>
            <w:right w:w="108" w:type="dxa"/>
          </w:tblCellMar>
        </w:tblPrEx>
        <w:trPr>
          <w:trHeight w:val="2076"/>
          <w:jc w:val="center"/>
        </w:trPr>
        <w:tc>
          <w:tcPr>
            <w:tcW w:w="395" w:type="pct"/>
            <w:vMerge/>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完成项目计划工作目标的实际节约成本与计划成本的比率，用以反映和考核项目的成本节约程度。</w:t>
            </w:r>
          </w:p>
        </w:tc>
        <w:tc>
          <w:tcPr>
            <w:tcW w:w="2058" w:type="pct"/>
            <w:shd w:val="clear" w:color="000000"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成本节约率=[（计划成本-实际成本）/计划成本]×100%。</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000000"/>
                <w:kern w:val="0"/>
                <w:sz w:val="18"/>
                <w:szCs w:val="18"/>
                <w:highlight w:val="none"/>
              </w:rPr>
              <w:br/>
            </w:r>
            <w:r>
              <w:rPr>
                <w:rFonts w:ascii="Times New Roman" w:eastAsia="仿宋_GB2312" w:hAnsi="Times New Roman" w:cs="Times New Roman" w:hint="default"/>
                <w:color w:val="000000"/>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rPr>
            </w:pPr>
            <w:r>
              <w:rPr>
                <w:rFonts w:ascii="Times New Roman" w:eastAsia="仿宋_GB2312" w:hAnsi="Times New Roman" w:cs="Times New Roman" w:hint="default"/>
                <w:b/>
                <w:bCs/>
                <w:color w:val="000000"/>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w:t>
            </w:r>
          </w:p>
        </w:tc>
      </w:tr>
      <w:tr w14:paraId="6AF2EC55">
        <w:tblPrEx>
          <w:tblW w:w="4474" w:type="pct"/>
          <w:jc w:val="center"/>
          <w:tblCellMar>
            <w:top w:w="0" w:type="dxa"/>
            <w:left w:w="108" w:type="dxa"/>
            <w:bottom w:w="0" w:type="dxa"/>
            <w:right w:w="108" w:type="dxa"/>
          </w:tblCellMar>
        </w:tblPrEx>
        <w:trPr>
          <w:trHeight w:val="889"/>
          <w:jc w:val="center"/>
        </w:trPr>
        <w:tc>
          <w:tcPr>
            <w:tcW w:w="395"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效益</w:t>
            </w:r>
          </w:p>
        </w:tc>
        <w:tc>
          <w:tcPr>
            <w:tcW w:w="393"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项目效益</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项目实施所产生的效益。</w:t>
            </w:r>
          </w:p>
        </w:tc>
        <w:tc>
          <w:tcPr>
            <w:tcW w:w="2058" w:type="pct"/>
            <w:shd w:val="clear" w:color="auto" w:fill="FFFFFF"/>
            <w:vAlign w:val="center"/>
          </w:tcPr>
          <w:p>
            <w:pPr>
              <w:widowControl/>
              <w:spacing w:line="0" w:lineRule="atLeast"/>
              <w:rPr>
                <w:rFonts w:ascii="Times New Roman" w:eastAsia="仿宋_GB2312" w:hAnsi="Times New Roman" w:cs="Times New Roman" w:hint="default"/>
                <w:color w:val="000000"/>
                <w:kern w:val="0"/>
                <w:sz w:val="18"/>
                <w:szCs w:val="18"/>
                <w:highlight w:val="none"/>
              </w:rPr>
            </w:pPr>
            <w:r>
              <w:rPr>
                <w:rFonts w:ascii="Times New Roman" w:eastAsia="仿宋_GB2312" w:hAnsi="Times New Roman" w:cs="Times New Roman" w:hint="default"/>
                <w:color w:val="000000"/>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20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20</w:t>
            </w:r>
          </w:p>
        </w:tc>
      </w:tr>
      <w:tr w14:paraId="3C993937">
        <w:tblPrEx>
          <w:tblW w:w="4474" w:type="pct"/>
          <w:jc w:val="center"/>
          <w:tblCellMar>
            <w:top w:w="0" w:type="dxa"/>
            <w:left w:w="108" w:type="dxa"/>
            <w:bottom w:w="0" w:type="dxa"/>
            <w:right w:w="108" w:type="dxa"/>
          </w:tblCellMar>
        </w:tblPrEx>
        <w:trPr>
          <w:trHeight w:val="591"/>
          <w:jc w:val="center"/>
        </w:trPr>
        <w:tc>
          <w:tcPr>
            <w:tcW w:w="3949" w:type="pct"/>
            <w:gridSpan w:val="5"/>
            <w:shd w:val="clear" w:color="auto" w:fill="FFFFFF"/>
            <w:vAlign w:val="center"/>
          </w:tcPr>
          <w:p>
            <w:pPr>
              <w:widowControl/>
              <w:spacing w:line="0" w:lineRule="atLeast"/>
              <w:jc w:val="center"/>
              <w:rPr>
                <w:rFonts w:ascii="Times New Roman" w:eastAsia="仿宋_GB2312" w:hAnsi="Times New Roman" w:cs="Times New Roman" w:hint="eastAsia"/>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合计</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000000"/>
                <w:kern w:val="0"/>
                <w:sz w:val="18"/>
                <w:szCs w:val="18"/>
                <w:highlight w:val="none"/>
                <w:lang w:val="en-US" w:eastAsia="zh-CN"/>
              </w:rPr>
            </w:pPr>
            <w:r>
              <w:rPr>
                <w:rFonts w:eastAsia="仿宋_GB2312" w:cs="Times New Roman" w:hint="eastAsia"/>
                <w:b/>
                <w:bCs/>
                <w:color w:val="000000"/>
                <w:kern w:val="0"/>
                <w:sz w:val="18"/>
                <w:szCs w:val="18"/>
                <w:highlight w:val="none"/>
                <w:lang w:val="en-US" w:eastAsia="zh-CN"/>
              </w:rPr>
              <w:t xml:space="preserve">100</w:t>
            </w:r>
          </w:p>
        </w:tc>
      </w:tr>
    </w:tbl>
    <w:p>
      <w:pPr>
        <w:rPr>
          <w:rFonts w:ascii="Times New Roman" w:hAnsi="Times New Roman" w:cs="Times New Roman" w:hint="default"/>
          <w:highlight w:val="none"/>
        </w:rPr>
        <w:sectPr>
          <w:pgSz w:w="16838" w:h="11906" w:orient="landscape"/>
          <w:pgMar w:top="1800" w:right="1440" w:bottom="1558" w:left="1440" w:header="851" w:footer="992" w:gutter="0"/>
          <w:cols w:num="1" w:space="425">
            <w:col w:w="13958" w:space="425"/>
          </w:cols>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outlineLvl w:val="0"/>
        <w:rPr>
          <w:rFonts w:ascii="黑体" w:eastAsia="黑体" w:hAnsi="黑体" w:cs="黑体" w:hint="default"/>
          <w:b/>
          <w:bCs/>
          <w:i w:val="0"/>
          <w:iCs w:val="0"/>
          <w:color w:val="000000"/>
          <w:kern w:val="0"/>
          <w:sz w:val="32"/>
          <w:szCs w:val="32"/>
          <w:highlight w:val="none"/>
          <w:u w:val="none"/>
          <w:lang w:val="en-US" w:eastAsia="zh-CN"/>
        </w:rPr>
      </w:pPr>
      <w:bookmarkStart w:id="69" w:name="_Toc17917"/>
      <w:r>
        <w:rPr>
          <w:rFonts w:ascii="黑体" w:eastAsia="黑体" w:hAnsi="黑体" w:cs="黑体" w:hint="eastAsia"/>
          <w:b/>
          <w:bCs/>
          <w:i w:val="0"/>
          <w:iCs w:val="0"/>
          <w:color w:val="000000"/>
          <w:kern w:val="0"/>
          <w:sz w:val="32"/>
          <w:szCs w:val="32"/>
          <w:highlight w:val="none"/>
          <w:u w:val="none"/>
          <w:lang w:val="en-US" w:eastAsia="zh-CN"/>
        </w:rPr>
        <w:t xml:space="preserve">附件2</w:t>
      </w:r>
      <w:bookmarkEnd w:id="69"/>
      <w:r>
        <w:rPr>
          <w:rFonts w:ascii="黑体" w:eastAsia="黑体" w:hAnsi="黑体" w:cs="黑体" w:hint="eastAsia"/>
          <w:b/>
          <w:bCs/>
          <w:i w:val="0"/>
          <w:iCs w:val="0"/>
          <w:color w:val="000000"/>
          <w:kern w:val="0"/>
          <w:sz w:val="32"/>
          <w:szCs w:val="32"/>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_GB2312" w:eastAsia="仿宋_GB2312" w:hAnsi="仿宋_GB2312" w:cs="仿宋_GB2312" w:hint="eastAsia"/>
          <w:b/>
          <w:bCs/>
          <w:i w:val="0"/>
          <w:iCs w:val="0"/>
          <w:color w:val="000000"/>
          <w:kern w:val="0"/>
          <w:sz w:val="28"/>
          <w:szCs w:val="28"/>
          <w:highlight w:val="none"/>
          <w:u w:val="none"/>
          <w:lang w:val="en-US" w:eastAsia="zh-CN"/>
        </w:rPr>
      </w:pPr>
      <w:r>
        <w:rPr>
          <w:rFonts w:ascii="仿宋_GB2312" w:eastAsia="仿宋_GB2312" w:hAnsi="仿宋_GB2312" w:cs="仿宋_GB2312" w:hint="eastAsia"/>
          <w:b/>
          <w:bCs/>
          <w:i w:val="0"/>
          <w:iCs w:val="0"/>
          <w:color w:val="000000"/>
          <w:kern w:val="0"/>
          <w:sz w:val="28"/>
          <w:szCs w:val="28"/>
          <w:highlight w:val="none"/>
          <w:u w:val="none"/>
          <w:lang w:val="en-US" w:eastAsia="zh-CN"/>
        </w:rPr>
        <w:t xml:space="preserve">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Times New Roman" w:eastAsia="仿宋_GB2312" w:hAnsi="Times New Roman" w:cs="Times New Roman" w:hint="default"/>
          <w:b/>
          <w:bCs/>
          <w:i w:val="0"/>
          <w:iCs w:val="0"/>
          <w:color w:val="000000"/>
          <w:kern w:val="0"/>
          <w:sz w:val="22"/>
          <w:szCs w:val="22"/>
          <w:highlight w:val="none"/>
          <w:u w:val="none"/>
          <w:lang w:val="en-US" w:eastAsia="zh-CN"/>
        </w:rPr>
      </w:pPr>
      <w:r>
        <w:rPr>
          <w:rFonts w:ascii="Times New Roman" w:eastAsia="仿宋_GB2312" w:hAnsi="Times New Roman" w:cs="Times New Roman" w:hint="default"/>
          <w:b/>
          <w:bCs/>
          <w:i w:val="0"/>
          <w:iCs w:val="0"/>
          <w:color w:val="000000"/>
          <w:kern w:val="0"/>
          <w:sz w:val="22"/>
          <w:szCs w:val="22"/>
          <w:highlight w:val="none"/>
          <w:u w:val="none"/>
          <w:lang w:val="en-US" w:eastAsia="zh-CN"/>
        </w:rPr>
        <w:t xml:space="preserve">（202</w:t>
      </w:r>
      <w:r>
        <w:rPr>
          <w:rFonts w:eastAsia="仿宋_GB2312" w:cs="Times New Roman" w:hint="eastAsia"/>
          <w:b/>
          <w:bCs/>
          <w:i w:val="0"/>
          <w:iCs w:val="0"/>
          <w:color w:val="000000"/>
          <w:kern w:val="0"/>
          <w:sz w:val="22"/>
          <w:szCs w:val="22"/>
          <w:highlight w:val="none"/>
          <w:u w:val="none"/>
          <w:lang w:val="en-US" w:eastAsia="zh-CN"/>
        </w:rPr>
        <w:t xml:space="preserve">5</w:t>
      </w:r>
      <w:r>
        <w:rPr>
          <w:rFonts w:ascii="Times New Roman" w:eastAsia="仿宋_GB2312" w:hAnsi="Times New Roman" w:cs="Times New Roman" w:hint="default"/>
          <w:b/>
          <w:bCs/>
          <w:i w:val="0"/>
          <w:iCs w:val="0"/>
          <w:color w:val="000000"/>
          <w:kern w:val="0"/>
          <w:sz w:val="22"/>
          <w:szCs w:val="22"/>
          <w:highlight w:val="none"/>
          <w:u w:val="none"/>
          <w:lang w:val="en-US" w:eastAsia="zh-CN"/>
        </w:rPr>
        <w:t xml:space="preserve">年度）</w:t>
      </w:r>
    </w:p>
    <w:tbl>
      <w:tblPr>
        <w:tblStyle w:val="NormalTable"/>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
      <w:tblGrid>
        <w:gridCol w:w="917"/>
        <w:gridCol w:w="1293"/>
        <w:gridCol w:w="1310"/>
        <w:gridCol w:w="1035"/>
        <w:gridCol w:w="1140"/>
        <w:gridCol w:w="1162"/>
        <w:gridCol w:w="924"/>
        <w:gridCol w:w="836"/>
        <w:gridCol w:w="882"/>
        <w:gridCol w:w="777"/>
        <w:gridCol w:w="1032"/>
        <w:gridCol w:w="828"/>
        <w:gridCol w:w="748"/>
        <w:gridCol w:w="1290"/>
      </w:tblGrid>
      <w:tr w14:paraId="5860E6DF">
        <w:tblPrEx>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Layout w:type="fixed"/>
          <w:tblCellMar>
            <w:top w:w="0" w:type="dxa"/>
            <w:left w:w="108" w:type="dxa"/>
            <w:bottom w:w="0" w:type="dxa"/>
            <w:right w:w="108" w:type="dxa"/>
          </w:tblCellMar>
        </w:tblPrEx>
        <w:trPr>
          <w:trHeight w:val="288"/>
        </w:trPr>
        <w:tc>
          <w:tcPr>
            <w:tcW w:w="7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项目名称</w:t>
            </w:r>
          </w:p>
        </w:tc>
        <w:tc>
          <w:tcPr>
            <w:tcW w:w="422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宋体" w:eastAsia="宋体" w:hAnsi="宋体" w:cs="宋体" w:hint="eastAsia"/>
                <w:i w:val="0"/>
                <w:iCs w:val="0"/>
                <w:caps w:val="0"/>
                <w:color w:val="333333"/>
                <w:spacing w:val="0"/>
                <w:sz w:val="21"/>
                <w:szCs w:val="21"/>
                <w:highlight w:val="none"/>
                <w:shd w:val="clear" w:color="auto" w:fill="FFFFFF"/>
              </w:rPr>
              <w:t xml:space="preserve">经营成本性项目</w:t>
            </w:r>
          </w:p>
        </w:tc>
      </w:tr>
      <w:tr w14:paraId="266D8B7F">
        <w:tblPrEx>
          <w:tblW w:w="5000" w:type="pct"/>
          <w:tblInd w:w="0" w:type="dxa"/>
          <w:shd w:val="clear" w:color="auto" w:fill="auto"/>
          <w:tblLayout w:type="fixed"/>
          <w:tblCellMar>
            <w:top w:w="0" w:type="dxa"/>
            <w:left w:w="108" w:type="dxa"/>
            <w:bottom w:w="0" w:type="dxa"/>
            <w:right w:w="108" w:type="dxa"/>
          </w:tblCellMar>
        </w:tblPrEx>
        <w:trPr>
          <w:trHeight w:val="506"/>
        </w:trPr>
        <w:tc>
          <w:tcPr>
            <w:tcW w:w="77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主管部门</w:t>
            </w:r>
          </w:p>
        </w:tc>
        <w:tc>
          <w:tcPr>
            <w:tcW w:w="196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新疆塔里木河流域管理局</w:t>
            </w:r>
          </w:p>
        </w:tc>
        <w:tc>
          <w:tcPr>
            <w:tcW w:w="6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实施单位</w:t>
            </w:r>
          </w:p>
        </w:tc>
        <w:tc>
          <w:tcPr>
            <w:tcW w:w="164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6"/>
                <w:szCs w:val="16"/>
                <w:highlight w:val="none"/>
                <w:u w:val="none"/>
                <w:lang w:val="en-US" w:eastAsia="zh-CN"/>
              </w:rPr>
              <w:t xml:space="preserve">新疆维吾尔自治区塔里木河流域开都孔雀河水利管理中心</w:t>
            </w:r>
          </w:p>
        </w:tc>
      </w:tr>
      <w:tr w14:paraId="4935923B">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项目资金</w:t>
            </w:r>
            <w:r>
              <w:rPr>
                <w:rFonts w:ascii="仿宋_GB2312" w:eastAsia="仿宋_GB2312" w:hAnsi="仿宋_GB2312" w:cs="仿宋_GB2312" w:hint="eastAsia"/>
                <w:i w:val="0"/>
                <w:iCs w:val="0"/>
                <w:color w:val="000000"/>
                <w:kern w:val="0"/>
                <w:sz w:val="18"/>
                <w:szCs w:val="18"/>
                <w:highlight w:val="none"/>
                <w:u w:val="none"/>
                <w:lang w:val="en-US" w:eastAsia="zh-CN"/>
              </w:rPr>
              <w:br/>
            </w:r>
            <w:r>
              <w:rPr>
                <w:rFonts w:ascii="仿宋_GB2312" w:eastAsia="仿宋_GB2312" w:hAnsi="仿宋_GB2312" w:cs="仿宋_GB2312" w:hint="eastAsia"/>
                <w:i w:val="0"/>
                <w:iCs w:val="0"/>
                <w:color w:val="000000"/>
                <w:kern w:val="0"/>
                <w:sz w:val="18"/>
                <w:szCs w:val="18"/>
                <w:highlight w:val="none"/>
                <w:u w:val="none"/>
                <w:lang w:val="en-US" w:eastAsia="zh-CN"/>
              </w:rPr>
              <w:t xml:space="preserve">（万元）</w:t>
            </w: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资金来源</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年初预算数</w:t>
            </w:r>
          </w:p>
        </w:tc>
        <w:tc>
          <w:tcPr>
            <w:tcW w:w="7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全年预算数</w:t>
            </w:r>
          </w:p>
        </w:tc>
        <w:tc>
          <w:tcPr>
            <w:tcW w:w="6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全年执行数</w:t>
            </w:r>
          </w:p>
        </w:tc>
        <w:tc>
          <w:tcPr>
            <w:tcW w:w="6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分值权重</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执行率</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得分</w:t>
            </w:r>
          </w:p>
        </w:tc>
      </w:tr>
      <w:tr w14:paraId="1D4BA42D">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年度资金总额</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1454</w:t>
            </w:r>
          </w:p>
        </w:tc>
        <w:tc>
          <w:tcPr>
            <w:tcW w:w="7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1454</w:t>
            </w:r>
          </w:p>
        </w:tc>
        <w:tc>
          <w:tcPr>
            <w:tcW w:w="6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1454</w:t>
            </w:r>
          </w:p>
        </w:tc>
        <w:tc>
          <w:tcPr>
            <w:tcW w:w="6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w:t>
            </w: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w:t>
            </w:r>
          </w:p>
        </w:tc>
      </w:tr>
      <w:tr w14:paraId="44116439">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2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其中：当年财政拨款</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73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60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6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1EC8B1E9">
        <w:tblPrEx>
          <w:tblW w:w="5000" w:type="pct"/>
          <w:tblInd w:w="0" w:type="dxa"/>
          <w:shd w:val="clear" w:color="auto" w:fill="auto"/>
          <w:tblLayout w:type="fixed"/>
          <w:tblCellMar>
            <w:top w:w="0" w:type="dxa"/>
            <w:left w:w="108" w:type="dxa"/>
            <w:bottom w:w="0" w:type="dxa"/>
            <w:right w:w="108" w:type="dxa"/>
          </w:tblCellMar>
        </w:tblPrEx>
        <w:trPr>
          <w:trHeight w:val="288"/>
        </w:trPr>
        <w:tc>
          <w:tcPr>
            <w:tcW w:w="779"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826" w:type="pct"/>
            <w:gridSpan w:val="2"/>
            <w:tcBorders>
              <w:top w:val="single" w:sz="4" w:space="0" w:color="000000"/>
              <w:left w:val="single" w:sz="4" w:space="0" w:color="000000"/>
              <w:bottom w:val="nil"/>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其他资金</w:t>
            </w:r>
          </w:p>
        </w:tc>
        <w:tc>
          <w:tcPr>
            <w:tcW w:w="402" w:type="pct"/>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1454</w:t>
            </w:r>
          </w:p>
        </w:tc>
        <w:tc>
          <w:tcPr>
            <w:tcW w:w="736"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1454</w:t>
            </w:r>
          </w:p>
        </w:tc>
        <w:tc>
          <w:tcPr>
            <w:tcW w:w="606" w:type="pct"/>
            <w:gridSpan w:val="2"/>
            <w:tcBorders>
              <w:top w:val="single" w:sz="4" w:space="0" w:color="000000"/>
              <w:left w:val="single" w:sz="4" w:space="0" w:color="000000"/>
              <w:bottom w:val="nil"/>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1454</w:t>
            </w:r>
          </w:p>
        </w:tc>
        <w:tc>
          <w:tcPr>
            <w:tcW w:w="63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556"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508D5FBD">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年度总体目标</w:t>
            </w:r>
          </w:p>
        </w:tc>
        <w:tc>
          <w:tcPr>
            <w:tcW w:w="3027" w:type="pct"/>
            <w:gridSpan w:val="8"/>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总体目标</w:t>
            </w:r>
          </w:p>
        </w:tc>
        <w:tc>
          <w:tcPr>
            <w:tcW w:w="164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总体目标完成情况</w:t>
            </w:r>
          </w:p>
        </w:tc>
      </w:tr>
      <w:tr w14:paraId="3D99EA72">
        <w:tblPrEx>
          <w:tblW w:w="5000" w:type="pct"/>
          <w:tblInd w:w="0" w:type="dxa"/>
          <w:shd w:val="clear" w:color="auto" w:fill="auto"/>
          <w:tblLayout w:type="fixed"/>
          <w:tblCellMar>
            <w:top w:w="0" w:type="dxa"/>
            <w:left w:w="108" w:type="dxa"/>
            <w:bottom w:w="0" w:type="dxa"/>
            <w:right w:w="108" w:type="dxa"/>
          </w:tblCellMar>
        </w:tblPrEx>
        <w:trPr>
          <w:trHeight w:val="590"/>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3027" w:type="pct"/>
            <w:gridSpan w:val="8"/>
            <w:tcBorders>
              <w:top w:val="single" w:sz="4" w:space="0" w:color="000000"/>
              <w:left w:val="single" w:sz="4" w:space="0" w:color="000000"/>
              <w:bottom w:val="single" w:sz="4" w:space="0" w:color="000000"/>
              <w:right w:val="single" w:sz="4" w:space="0" w:color="000000"/>
            </w:tcBorders>
            <w:shd w:val="clear" w:color="auto" w:fill="auto"/>
            <w:vAlign w:val="top"/>
          </w:tcPr>
          <w:p>
            <w:pPr>
              <w:jc w:val="left"/>
              <w:rPr>
                <w:rFonts w:ascii="仿宋_GB2312" w:eastAsia="仿宋_GB2312" w:hAnsi="仿宋_GB2312" w:cs="仿宋_GB2312" w:hint="eastAsia"/>
                <w:i w:val="0"/>
                <w:iCs w:val="0"/>
                <w:color w:val="000000"/>
                <w:sz w:val="18"/>
                <w:szCs w:val="18"/>
                <w:highlight w:val="none"/>
                <w:u w:val="none"/>
              </w:rPr>
            </w:pPr>
            <w:r>
              <w:rPr>
                <w:rFonts w:ascii="宋体" w:eastAsia="宋体" w:hAnsi="宋体" w:cs="宋体" w:hint="eastAsia"/>
                <w:i w:val="0"/>
                <w:iCs w:val="0"/>
                <w:caps w:val="0"/>
                <w:color w:val="333333"/>
                <w:spacing w:val="0"/>
                <w:sz w:val="18"/>
                <w:szCs w:val="18"/>
                <w:highlight w:val="none"/>
                <w:shd w:val="clear" w:color="auto" w:fill="FFFFFF"/>
              </w:rPr>
              <w:t xml:space="preserve">通过对希尼尔水库管理局所辖的希尼尔水库及库塔干渠东干渠工程进行维修养护，改善库区及所辖灌区生态环境。确保水库在职人员工资、绩效工资、年度考核奖及核增绩效等正常发放。严格按照政府采购相关规定完成2025年办公设备、公务用车运行维护费、互联网接入服务费、审计服务、水闸安全监测等货物、工程、服务的采购，保证单位工作的正常开展。</w:t>
            </w:r>
          </w:p>
        </w:tc>
        <w:tc>
          <w:tcPr>
            <w:tcW w:w="1648"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3"/>
                <w:szCs w:val="13"/>
                <w:highlight w:val="none"/>
                <w:u w:val="none"/>
              </w:rPr>
              <w:t xml:space="preserve">2025年度，该项目各项预期目标已100%完成：完成了希尼尔水库及库塔干渠东干渠工程的维修养护，改善了库区及所辖灌区生态环境。足额发放了水库在职人员工资、绩效工资、年度考核奖。严格按照政府采购相关规定完成了2025年办公设备、公务用车运行维护费、互联网接入服务费、审计服务、水闸安全监测等货物、工程、服务的采购，保障了单位工作的正常开展。</w:t>
            </w:r>
          </w:p>
        </w:tc>
      </w:tr>
      <w:tr w14:paraId="08DA9020">
        <w:tblPrEx>
          <w:tblW w:w="5000" w:type="pct"/>
          <w:tblInd w:w="0" w:type="dxa"/>
          <w:shd w:val="clear" w:color="auto" w:fill="auto"/>
          <w:tblLayout w:type="fixed"/>
          <w:tblCellMar>
            <w:top w:w="0" w:type="dxa"/>
            <w:left w:w="108" w:type="dxa"/>
            <w:bottom w:w="0" w:type="dxa"/>
            <w:right w:w="108" w:type="dxa"/>
          </w:tblCellMar>
        </w:tblPrEx>
        <w:trPr>
          <w:trHeight w:val="600"/>
        </w:trPr>
        <w:tc>
          <w:tcPr>
            <w:tcW w:w="3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绩效指标</w:t>
            </w: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一级指标</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二级指标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三级指标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指标值</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指标值设置依据</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上年完成值</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指标分值权重</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指标赋分规则</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佐证资料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指标实际完成值</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完成率</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指标得分</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偏差原因分析及改进措施</w:t>
            </w:r>
          </w:p>
        </w:tc>
      </w:tr>
      <w:tr w14:paraId="460D8B9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val="restart"/>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产出指标</w:t>
            </w:r>
          </w:p>
        </w:tc>
        <w:tc>
          <w:tcPr>
            <w:tcW w:w="462"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数量指标</w:t>
            </w:r>
          </w:p>
        </w:tc>
        <w:tc>
          <w:tcPr>
            <w:tcW w:w="364" w:type="pct"/>
            <w:tcBorders>
              <w:top w:val="single" w:sz="4" w:space="0" w:color="000000"/>
              <w:left w:val="nil"/>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发放工资次数</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=12次</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=12次</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正式资料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48D9EA15">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数量指标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设备购置数量（个）</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&gt;=33个</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=33个</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E8C24E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数量指标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水库日常维修养护项目</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=2项</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=2项</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6DE8DC4A">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数量指标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工资发放人数</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eastAsia="zh-CN"/>
              </w:rPr>
            </w:pPr>
            <w:r>
              <w:rPr>
                <w:rFonts w:ascii="仿宋_GB2312" w:eastAsia="仿宋_GB2312" w:hAnsi="仿宋_GB2312" w:cs="仿宋_GB2312" w:hint="eastAsia"/>
                <w:i w:val="0"/>
                <w:iCs w:val="0"/>
                <w:color w:val="000000"/>
                <w:sz w:val="18"/>
                <w:szCs w:val="18"/>
                <w:highlight w:val="none"/>
                <w:u w:val="none"/>
              </w:rPr>
              <w:t xml:space="preserve">&gt;=</w:t>
            </w:r>
            <w:r>
              <w:rPr>
                <w:rFonts w:ascii="仿宋_GB2312" w:eastAsia="仿宋_GB2312" w:hAnsi="仿宋_GB2312" w:cs="仿宋_GB2312" w:hint="eastAsia"/>
                <w:i w:val="0"/>
                <w:iCs w:val="0"/>
                <w:color w:val="000000"/>
                <w:sz w:val="18"/>
                <w:szCs w:val="18"/>
                <w:highlight w:val="none"/>
                <w:u w:val="none"/>
                <w:lang w:val="en-US" w:eastAsia="zh-CN"/>
              </w:rPr>
              <w:t xml:space="preserve">25人</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=25</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1C64A181">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数量指标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基础设施维修工程</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=1项</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=1项</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B44D0D1">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数量指标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网络信息化服务工程</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=1项</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=1项</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正式资料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5</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22944AD8">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质量指标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项目资金支付率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&gt;=95%</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=95%</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571F8E2D">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质量指标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工程验收合格率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&gt;=95%</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=95%</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3B32BCBF">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质量指标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设备验收合格率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&gt;=95%</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=95%</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50F2FB32">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kern w:val="0"/>
                <w:sz w:val="18"/>
                <w:szCs w:val="18"/>
                <w:highlight w:val="none"/>
                <w:u w:val="none"/>
                <w:lang w:val="en-US" w:eastAsia="zh-CN"/>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时效指标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项目计划开工时间</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=1月</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=1月</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highlight w:val="none"/>
                <w:u w:val="none"/>
              </w:rPr>
            </w:pPr>
          </w:p>
        </w:tc>
      </w:tr>
      <w:tr w14:paraId="11227A5E">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62" w:type="pct"/>
            <w:tcBorders>
              <w:top w:val="single" w:sz="4" w:space="0" w:color="000000"/>
              <w:left w:val="single" w:sz="4" w:space="0" w:color="000000"/>
              <w:bottom w:val="nil"/>
              <w:right w:val="single" w:sz="4" w:space="0" w:color="000000"/>
            </w:tcBorders>
            <w:shd w:val="clear" w:color="auto" w:fill="auto"/>
            <w:noWrap w:val="1"/>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时效指标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项目计划完工时间</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=12月</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left"/>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=12月</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6</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b/>
                <w:bCs/>
                <w:i w:val="0"/>
                <w:iCs w:val="0"/>
                <w:color w:val="000000"/>
                <w:sz w:val="18"/>
                <w:szCs w:val="18"/>
                <w:highlight w:val="none"/>
                <w:u w:val="none"/>
              </w:rPr>
            </w:pPr>
          </w:p>
        </w:tc>
      </w:tr>
      <w:tr w14:paraId="74E33592">
        <w:tblPrEx>
          <w:tblW w:w="5000" w:type="pct"/>
          <w:tblInd w:w="0" w:type="dxa"/>
          <w:shd w:val="clear" w:color="auto" w:fill="auto"/>
          <w:tblLayout w:type="fixed"/>
          <w:tblCellMar>
            <w:top w:w="0" w:type="dxa"/>
            <w:left w:w="108" w:type="dxa"/>
            <w:bottom w:w="0" w:type="dxa"/>
            <w:right w:w="108" w:type="dxa"/>
          </w:tblCellMar>
        </w:tblPrEx>
        <w:trPr>
          <w:trHeight w:val="288"/>
        </w:trPr>
        <w:tc>
          <w:tcPr>
            <w:tcW w:w="323" w:type="pct"/>
            <w:vMerge/>
            <w:tcBorders>
              <w:top w:val="single" w:sz="4" w:space="0" w:color="000000"/>
              <w:left w:val="single" w:sz="4" w:space="0" w:color="000000"/>
              <w:bottom w:val="single" w:sz="4" w:space="0" w:color="000000"/>
              <w:right w:val="single" w:sz="4" w:space="0" w:color="000000"/>
            </w:tcBorders>
            <w:shd w:val="clear" w:color="auto" w:fill="auto"/>
            <w:noWrap w:val="1"/>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55"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效益指标</w:t>
            </w:r>
          </w:p>
        </w:tc>
        <w:tc>
          <w:tcPr>
            <w:tcW w:w="462" w:type="pct"/>
            <w:tcBorders>
              <w:top w:val="single" w:sz="4" w:space="0" w:color="000000"/>
              <w:left w:val="single" w:sz="4" w:space="0" w:color="000000"/>
              <w:bottom w:val="single" w:sz="4" w:space="0" w:color="000000"/>
              <w:right w:val="single" w:sz="4" w:space="0" w:color="000000"/>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经济效益指标</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设备正常运转率</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rPr>
              <w:t xml:space="preserve">&gt;=95%</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计划标准</w:t>
            </w: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sz w:val="18"/>
                <w:szCs w:val="18"/>
                <w:highlight w:val="none"/>
                <w:u w:val="none"/>
                <w:lang w:val="en-US" w:eastAsia="zh-CN"/>
              </w:rPr>
              <w:t xml:space="preserve">=95%</w:t>
            </w: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30</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rPr>
              <w:t xml:space="preserve">按照完成比例赋分</w:t>
            </w: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工作资料</w:t>
            </w: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30</w:t>
            </w: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kern w:val="2"/>
                <w:sz w:val="18"/>
                <w:szCs w:val="18"/>
                <w:highlight w:val="none"/>
                <w:u w:val="none"/>
                <w:lang w:val="en-US" w:eastAsia="zh-CN" w:bidi="ar-SA"/>
              </w:rPr>
            </w:pPr>
            <w:r>
              <w:rPr>
                <w:rFonts w:ascii="仿宋_GB2312" w:eastAsia="仿宋_GB2312" w:hAnsi="仿宋_GB2312" w:cs="仿宋_GB2312" w:hint="eastAsia"/>
                <w:i w:val="0"/>
                <w:iCs w:val="0"/>
                <w:color w:val="000000"/>
                <w:sz w:val="18"/>
                <w:szCs w:val="18"/>
                <w:highlight w:val="none"/>
                <w:u w:val="none"/>
                <w:lang w:val="en-US" w:eastAsia="zh-CN"/>
              </w:rPr>
              <w:t xml:space="preserve">30</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r>
      <w:tr w14:paraId="15F31AC0">
        <w:tblPrEx>
          <w:tblW w:w="5000" w:type="pct"/>
          <w:tblInd w:w="0" w:type="dxa"/>
          <w:shd w:val="clear" w:color="auto" w:fill="auto"/>
          <w:tblLayout w:type="fixed"/>
          <w:tblCellMar>
            <w:top w:w="0" w:type="dxa"/>
            <w:left w:w="108" w:type="dxa"/>
            <w:bottom w:w="0" w:type="dxa"/>
            <w:right w:w="108" w:type="dxa"/>
          </w:tblCellMar>
        </w:tblPrEx>
        <w:trPr>
          <w:trHeight w:val="288"/>
        </w:trPr>
        <w:tc>
          <w:tcPr>
            <w:tcW w:w="1606" w:type="pct"/>
            <w:gridSpan w:val="4"/>
            <w:tcBorders>
              <w:top w:val="single" w:sz="4" w:space="0" w:color="000000"/>
              <w:left w:val="single" w:sz="4" w:space="0" w:color="000000"/>
              <w:bottom w:val="single" w:sz="4" w:space="0" w:color="000000"/>
              <w:right w:val="nil"/>
            </w:tcBorders>
            <w:shd w:val="clear" w:color="auto" w:fill="auto"/>
            <w:vAlign w:val="center"/>
          </w:tcPr>
          <w:p>
            <w:pPr>
              <w:keepNext w:val="0"/>
              <w:keepLines w:val="0"/>
              <w:widowControl/>
              <w:suppressLineNumbers w:val="0"/>
              <w:jc w:val="center"/>
              <w:textAlignment w:val="center"/>
              <w:rPr>
                <w:rFonts w:ascii="仿宋_GB2312" w:eastAsia="仿宋_GB2312" w:hAnsi="仿宋_GB2312" w:cs="仿宋_GB2312" w:hint="eastAsia"/>
                <w:i w:val="0"/>
                <w:iCs w:val="0"/>
                <w:color w:val="000000"/>
                <w:sz w:val="18"/>
                <w:szCs w:val="18"/>
                <w:highlight w:val="none"/>
                <w:u w:val="none"/>
              </w:rPr>
            </w:pPr>
            <w:r>
              <w:rPr>
                <w:rFonts w:ascii="仿宋_GB2312" w:eastAsia="仿宋_GB2312" w:hAnsi="仿宋_GB2312" w:cs="仿宋_GB2312" w:hint="eastAsia"/>
                <w:i w:val="0"/>
                <w:iCs w:val="0"/>
                <w:color w:val="000000"/>
                <w:kern w:val="0"/>
                <w:sz w:val="18"/>
                <w:szCs w:val="18"/>
                <w:highlight w:val="none"/>
                <w:u w:val="none"/>
                <w:lang w:val="en-US" w:eastAsia="zh-CN"/>
              </w:rPr>
              <w:t xml:space="preserve">总分</w:t>
            </w:r>
          </w:p>
        </w:tc>
        <w:tc>
          <w:tcPr>
            <w:tcW w:w="402"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410" w:type="pct"/>
            <w:tcBorders>
              <w:top w:val="single" w:sz="4" w:space="0" w:color="000000"/>
              <w:left w:val="nil"/>
              <w:bottom w:val="single" w:sz="4" w:space="0" w:color="000000"/>
              <w:right w:val="single" w:sz="4" w:space="0" w:color="000000"/>
            </w:tcBorders>
            <w:shd w:val="clear" w:color="auto" w:fill="auto"/>
            <w:vAlign w:val="center"/>
          </w:tcPr>
          <w:p>
            <w:pPr>
              <w:rPr>
                <w:rFonts w:ascii="仿宋_GB2312" w:eastAsia="仿宋_GB2312" w:hAnsi="仿宋_GB2312" w:cs="仿宋_GB2312" w:hint="eastAsia"/>
                <w:b/>
                <w:bCs/>
                <w:i w:val="0"/>
                <w:iCs w:val="0"/>
                <w:color w:val="000000"/>
                <w:sz w:val="18"/>
                <w:szCs w:val="18"/>
                <w:highlight w:val="none"/>
                <w:u w:val="none"/>
              </w:rPr>
            </w:pPr>
          </w:p>
        </w:tc>
        <w:tc>
          <w:tcPr>
            <w:tcW w:w="32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95"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311"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eastAsia"/>
                <w:i w:val="0"/>
                <w:iCs w:val="0"/>
                <w:color w:val="000000"/>
                <w:sz w:val="18"/>
                <w:szCs w:val="18"/>
                <w:highlight w:val="none"/>
                <w:u w:val="none"/>
              </w:rPr>
            </w:pPr>
          </w:p>
        </w:tc>
        <w:tc>
          <w:tcPr>
            <w:tcW w:w="27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c>
          <w:tcPr>
            <w:tcW w:w="36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default"/>
                <w:i w:val="0"/>
                <w:iCs w:val="0"/>
                <w:color w:val="000000"/>
                <w:sz w:val="18"/>
                <w:szCs w:val="18"/>
                <w:highlight w:val="none"/>
                <w:u w:val="none"/>
                <w:lang w:val="en-US" w:eastAsia="zh-CN"/>
              </w:rPr>
            </w:pPr>
          </w:p>
        </w:tc>
        <w:tc>
          <w:tcPr>
            <w:tcW w:w="292"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c>
          <w:tcPr>
            <w:tcW w:w="263" w:type="pct"/>
            <w:tcBorders>
              <w:top w:val="single" w:sz="4" w:space="0" w:color="000000"/>
              <w:left w:val="single" w:sz="4" w:space="0" w:color="000000"/>
              <w:bottom w:val="single" w:sz="4" w:space="0" w:color="000000"/>
              <w:right w:val="single" w:sz="4" w:space="0" w:color="000000"/>
            </w:tcBorders>
            <w:shd w:val="clear" w:color="auto" w:fill="auto"/>
            <w:vAlign w:val="center"/>
          </w:tcPr>
          <w:p>
            <w:pPr>
              <w:jc w:val="center"/>
              <w:rPr>
                <w:rFonts w:ascii="仿宋_GB2312" w:eastAsia="仿宋_GB2312" w:hAnsi="仿宋_GB2312" w:cs="仿宋_GB2312" w:hint="default"/>
                <w:i w:val="0"/>
                <w:iCs w:val="0"/>
                <w:color w:val="000000"/>
                <w:sz w:val="18"/>
                <w:szCs w:val="18"/>
                <w:highlight w:val="none"/>
                <w:u w:val="none"/>
                <w:lang w:val="en-US" w:eastAsia="zh-CN"/>
              </w:rPr>
            </w:pPr>
            <w:r>
              <w:rPr>
                <w:rFonts w:ascii="仿宋_GB2312" w:eastAsia="仿宋_GB2312" w:hAnsi="仿宋_GB2312" w:cs="仿宋_GB2312" w:hint="eastAsia"/>
                <w:i w:val="0"/>
                <w:iCs w:val="0"/>
                <w:color w:val="000000"/>
                <w:sz w:val="18"/>
                <w:szCs w:val="18"/>
                <w:highlight w:val="none"/>
                <w:u w:val="none"/>
                <w:lang w:val="en-US" w:eastAsia="zh-CN"/>
              </w:rPr>
              <w:t xml:space="preserve">100</w:t>
            </w:r>
          </w:p>
        </w:tc>
        <w:tc>
          <w:tcPr>
            <w:tcW w:w="454" w:type="pct"/>
            <w:tcBorders>
              <w:top w:val="single" w:sz="4" w:space="0" w:color="000000"/>
              <w:left w:val="single" w:sz="4" w:space="0" w:color="000000"/>
              <w:bottom w:val="single" w:sz="4" w:space="0" w:color="000000"/>
              <w:right w:val="single" w:sz="4" w:space="0" w:color="000000"/>
            </w:tcBorders>
            <w:shd w:val="clear" w:color="auto" w:fill="auto"/>
            <w:vAlign w:val="center"/>
          </w:tcPr>
          <w:p>
            <w:pPr>
              <w:rPr>
                <w:rFonts w:ascii="仿宋_GB2312" w:eastAsia="仿宋_GB2312" w:hAnsi="仿宋_GB2312" w:cs="仿宋_GB2312" w:hint="eastAsia"/>
                <w:i w:val="0"/>
                <w:iCs w:val="0"/>
                <w:color w:val="000000"/>
                <w:sz w:val="18"/>
                <w:szCs w:val="18"/>
                <w:highlight w:val="none"/>
                <w:u w:val="none"/>
              </w:rPr>
            </w:pPr>
          </w:p>
        </w:tc>
      </w:tr>
    </w:tbl>
    <w:p>
      <w:pPr>
        <w:rPr>
          <w:rFonts w:ascii="Times New Roman" w:hAnsi="Times New Roman" w:cs="Times New Roman" w:hint="default"/>
          <w:highlight w:val="none"/>
        </w:rPr>
      </w:pPr>
    </w:p>
    <w:sectPr>
      <w:pgSz w:w="16838" w:h="11906" w:orient="landscape"/>
      <w:pgMar w:top="1800" w:right="1440" w:bottom="1558" w:left="1440" w:header="851" w:footer="992" w:gutter="0"/>
      <w:cols w:num="1" w:space="425">
        <w:col w:w="13958"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embedRegular r:id="rId1" w:subsetted="1" w:fontKey="{B1CA6AFF-1479-4435-AB31-64C2A60F6811}"/>
    <w:embedBold r:id="rId2" w:subsetted="1" w:fontKey="{A2624DAF-A8A8-490B-84EE-D9B3D6ECC2E7}"/>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3" w:subsetted="1" w:fontKey="{1F7CDDFA-C081-4675-BD78-44D3F2671E28}"/>
    <w:embedBold r:id="rId4" w:subsetted="1" w:fontKey="{C879642C-6C40-4E27-ACCD-0DF4358D29C4}"/>
  </w:font>
  <w:font w:name="Calibri">
    <w:panose1 w:val="020F0502020204030204"/>
    <w:charset w:val="00"/>
    <w:family w:val="swiss"/>
    <w:pitch w:val="default"/>
    <w:sig w:usb0="E4002EFF" w:usb1="C200247B" w:usb2="00000009" w:usb3="00000000" w:csb0="200001FF" w:csb1="00000000"/>
    <w:embedRegular r:id="rId5" w:subsetted="1" w:fontKey="{D0AA47E3-03D4-4D73-B638-F1F26A09ECFE}"/>
  </w:font>
  <w:font w:name="仿宋_GB2312">
    <w:panose1 w:val="02010609030101010101"/>
    <w:charset w:val="86"/>
    <w:family w:val="modern"/>
    <w:pitch w:val="default"/>
    <w:sig w:usb0="00000001" w:usb1="080E0000" w:usb2="00000000" w:usb3="00000000" w:csb0="00040000" w:csb1="00000000"/>
    <w:embedRegular r:id="rId6" w:fontKey="{B621D3DD-CD2C-46E3-9A71-F4DA349F0183}"/>
    <w:embedBold r:id="rId7" w:fontKey="{C3B4E843-6561-4FDF-9957-C4DE05DF5F23}"/>
  </w:font>
  <w:font w:name="Calibri Light">
    <w:panose1 w:val="020F03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2016" w:usb3="00000000" w:csb0="00040001" w:csb1="00000000"/>
    <w:embedRegular r:id="rId8" w:fontKey="{ED413A16-79F6-4B91-AD36-43C45F4B4EC6}"/>
  </w:font>
  <w:font w:name="楷体_GB2312">
    <w:altName w:val="楷体"/>
    <w:panose1 w:val="02010609030101010101"/>
    <w:charset w:val="86"/>
    <w:family w:val="auto"/>
    <w:pitch w:val="default"/>
    <w:sig w:usb0="00000000" w:usb1="00000000" w:usb2="00000000" w:usb3="00000000" w:csb0="00040000" w:csb1="00000000"/>
    <w:embedBold r:id="rId9" w:fontKey="{8315EA77-79BA-411B-83ED-3D2D65F9582A}"/>
  </w:font>
  <w:font w:name="楷体">
    <w:panose1 w:val="02010609060101010101"/>
    <w:charset w:val="86"/>
    <w:family w:val="auto"/>
    <w:pitch w:val="default"/>
    <w:sig w:usb0="800002BF" w:usb1="38CF7CFA" w:usb2="00000016" w:usb3="00000000" w:csb0="00040001" w:csb1="00000000"/>
    <w:embedRegular r:id="rId10" w:subsetted="1" w:fontKey="{FF350FED-A0B6-40CE-8346-EAC0EA3754A0}"/>
    <w:embedBold r:id="rId11" w:subsetted="1" w:fontKey="{F3B611BC-C965-4086-8FF0-4D3DAA5E5DDA}"/>
  </w:font>
  <w:font w:name="方正仿宋_GBK">
    <w:panose1 w:val="02000000000000000000"/>
    <w:charset w:val="86"/>
    <w:family w:val="auto"/>
    <w:pitch w:val="default"/>
    <w:sig w:usb0="A00002BF" w:usb1="38CF7CFA" w:usb2="00082016" w:usb3="00000000" w:csb0="00040001" w:csb1="00000000"/>
  </w:font>
  <w:font w:name="方正小标宋">
    <w:charset w:val="01"/>
    <w:family w:val="auto"/>
    <w:pitch w:val="default"/>
  </w:font>
  <w:font w:name="仿宋">
    <w:charset w:val="01"/>
    <w:family w:val="auto"/>
    <w:pitch w:val="default"/>
  </w:font>
  <w:font w:name="方正仿宋">
    <w:charset w:val="01"/>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4CD2B0F"/>
    <w:multiLevelType w:val="singleLevel"/>
    <w:tmpl w:val="F4CD2B0F"/>
    <w:name w:val="Numbered_10c63e74-35b0-4ec2-a327-b08b01cda74b"/>
    <w:lvl w:ilvl="0">
      <w:start w:val="1"/>
      <w:numFmt w:val="decimal"/>
      <w:suff w:val="nothing"/>
      <w:lvlText w:val="（%1）"/>
      <w:lvlJc w:val="left"/>
    </w:lvl>
  </w:abstractNum>
  <w:abstractNum w:abstractNumId="1">
    <w:nsid w:val="FF9379A8"/>
    <w:multiLevelType w:val="singleLevel"/>
    <w:tmpl w:val="FF9379A8"/>
    <w:name w:val="Numbered_068ca226-3651-4a57-a580-241a664643e4"/>
    <w:lvl w:ilvl="0">
      <w:start w:val="2"/>
      <w:numFmt w:val="chineseCounting"/>
      <w:suff w:val="nothing"/>
      <w:lvlText w:val="（%1）"/>
      <w:lvlJc w:val="left"/>
      <w:rPr>
        <w:rFonts w:hint="eastAsia"/>
      </w:rPr>
    </w:lvl>
  </w:abstractNum>
  <w:abstractNum w:abstractNumId="2">
    <w:nsid w:val="116B29BF"/>
    <w:multiLevelType w:val="singleLevel"/>
    <w:tmpl w:val="116B29BF"/>
    <w:name w:val="Numbered_391be04d-8151-4c8c-8bf2-db9b5190ce50"/>
    <w:lvl w:ilvl="0">
      <w:start w:val="3"/>
      <w:numFmt w:val="chineseCounting"/>
      <w:suff w:val="nothing"/>
      <w:lvlText w:val="%1、"/>
      <w:lvlJc w:val="left"/>
      <w:rPr>
        <w:rFonts w:hint="eastAsia"/>
      </w:rPr>
    </w:lvl>
  </w:abstractNum>
  <w:abstractNum w:abstractNumId="3">
    <w:nsid w:val="27813159"/>
    <w:multiLevelType w:val="singleLevel"/>
    <w:tmpl w:val="27813159"/>
    <w:name w:val="Numbered_7af668c7-ecf8-4135-b8bd-4e6a5874b565"/>
    <w:lvl w:ilvl="0">
      <w:start w:val="3"/>
      <w:numFmt w:val="chineseCounting"/>
      <w:suff w:val="nothing"/>
      <w:lvlText w:val="（%1）"/>
      <w:lvlJc w:val="left"/>
      <w:rPr>
        <w:rFonts w:hint="eastAsia"/>
      </w:rPr>
    </w:lvl>
  </w:abstractNum>
  <w:abstractNum w:abstractNumId="4">
    <w:nsid w:val="6FAA0AB1"/>
    <w:multiLevelType w:val="singleLevel"/>
    <w:tmpl w:val="6FAA0AB1"/>
    <w:name w:val="Numbered_cc50046e-9eac-4f86-aa4e-2291e39caf22"/>
    <w:lvl w:ilvl="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6C4049"/>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 w:val="FFEFD7EE"/>
    <w:rsid w:val="006F7242"/>
    <w:rsid w:val="007B168A"/>
    <w:rsid w:val="008B2CFE"/>
    <w:rsid w:val="00D14946"/>
    <w:rsid w:val="00F26FF6"/>
    <w:rsid w:val="011E0236"/>
    <w:rsid w:val="013374F6"/>
    <w:rsid w:val="01610122"/>
    <w:rsid w:val="01B80F22"/>
    <w:rsid w:val="02510197"/>
    <w:rsid w:val="030F6088"/>
    <w:rsid w:val="036D1000"/>
    <w:rsid w:val="03EA093F"/>
    <w:rsid w:val="03EC461B"/>
    <w:rsid w:val="04820ADC"/>
    <w:rsid w:val="04C41B07"/>
    <w:rsid w:val="04FC7963"/>
    <w:rsid w:val="057E12A3"/>
    <w:rsid w:val="05CE26E1"/>
    <w:rsid w:val="064C13A1"/>
    <w:rsid w:val="064C6F32"/>
    <w:rsid w:val="07397B77"/>
    <w:rsid w:val="07EB626D"/>
    <w:rsid w:val="084E1401"/>
    <w:rsid w:val="0A9D6857"/>
    <w:rsid w:val="0AD007F3"/>
    <w:rsid w:val="0AFC15E8"/>
    <w:rsid w:val="0B0E7513"/>
    <w:rsid w:val="0B3B0118"/>
    <w:rsid w:val="0B3F14D4"/>
    <w:rsid w:val="0BA06B70"/>
    <w:rsid w:val="0BAB6B6A"/>
    <w:rsid w:val="0C061FF2"/>
    <w:rsid w:val="0CE42333"/>
    <w:rsid w:val="0DE46363"/>
    <w:rsid w:val="0DE51689"/>
    <w:rsid w:val="0E3C619F"/>
    <w:rsid w:val="0E6801EC"/>
    <w:rsid w:val="0EFE4AC2"/>
    <w:rsid w:val="0F1617B2"/>
    <w:rsid w:val="0F6F3B45"/>
    <w:rsid w:val="10C259A9"/>
    <w:rsid w:val="11170296"/>
    <w:rsid w:val="11616F26"/>
    <w:rsid w:val="11B60016"/>
    <w:rsid w:val="128711A6"/>
    <w:rsid w:val="13471461"/>
    <w:rsid w:val="13B90F01"/>
    <w:rsid w:val="141E2B33"/>
    <w:rsid w:val="15084E5D"/>
    <w:rsid w:val="15281505"/>
    <w:rsid w:val="155E4C4D"/>
    <w:rsid w:val="15F26053"/>
    <w:rsid w:val="16290DB7"/>
    <w:rsid w:val="164D0F49"/>
    <w:rsid w:val="16D276A1"/>
    <w:rsid w:val="16E318AE"/>
    <w:rsid w:val="17462648"/>
    <w:rsid w:val="175E3771"/>
    <w:rsid w:val="181066D2"/>
    <w:rsid w:val="18177FE3"/>
    <w:rsid w:val="1857623B"/>
    <w:rsid w:val="187C2B91"/>
    <w:rsid w:val="18AD3ACE"/>
    <w:rsid w:val="19294CAE"/>
    <w:rsid w:val="199944A6"/>
    <w:rsid w:val="19AD23A6"/>
    <w:rsid w:val="1A2B4F63"/>
    <w:rsid w:val="1A564145"/>
    <w:rsid w:val="1AD938CB"/>
    <w:rsid w:val="1AE2543D"/>
    <w:rsid w:val="1C671E73"/>
    <w:rsid w:val="1CB26F49"/>
    <w:rsid w:val="1D1125A5"/>
    <w:rsid w:val="1D322C47"/>
    <w:rsid w:val="1D4B7538"/>
    <w:rsid w:val="1E6E5F01"/>
    <w:rsid w:val="1E934856"/>
    <w:rsid w:val="1F1840BF"/>
    <w:rsid w:val="1F614E87"/>
    <w:rsid w:val="1FA914DE"/>
    <w:rsid w:val="20246A20"/>
    <w:rsid w:val="20C067BC"/>
    <w:rsid w:val="21103494"/>
    <w:rsid w:val="214D6B5B"/>
    <w:rsid w:val="225923FE"/>
    <w:rsid w:val="23111551"/>
    <w:rsid w:val="23616034"/>
    <w:rsid w:val="23D4607E"/>
    <w:rsid w:val="241E5A50"/>
    <w:rsid w:val="24264886"/>
    <w:rsid w:val="242B4345"/>
    <w:rsid w:val="24480FA2"/>
    <w:rsid w:val="246663D3"/>
    <w:rsid w:val="25227A45"/>
    <w:rsid w:val="258A1202"/>
    <w:rsid w:val="26395A48"/>
    <w:rsid w:val="26AC3A6A"/>
    <w:rsid w:val="26B26BA7"/>
    <w:rsid w:val="2736472C"/>
    <w:rsid w:val="27813D8D"/>
    <w:rsid w:val="27C923FA"/>
    <w:rsid w:val="27F01148"/>
    <w:rsid w:val="281178FD"/>
    <w:rsid w:val="287C5FF1"/>
    <w:rsid w:val="28E17FB9"/>
    <w:rsid w:val="294855A0"/>
    <w:rsid w:val="29E37051"/>
    <w:rsid w:val="2ADA0E92"/>
    <w:rsid w:val="2ADD7941"/>
    <w:rsid w:val="2AEA2DB3"/>
    <w:rsid w:val="2B9D7E25"/>
    <w:rsid w:val="2BE45A54"/>
    <w:rsid w:val="2C212804"/>
    <w:rsid w:val="2C7C7A3B"/>
    <w:rsid w:val="2C923702"/>
    <w:rsid w:val="2CDD399D"/>
    <w:rsid w:val="2DAA74E0"/>
    <w:rsid w:val="2E20089A"/>
    <w:rsid w:val="2E861EE7"/>
    <w:rsid w:val="2ECF3EDD"/>
    <w:rsid w:val="2EFC0D68"/>
    <w:rsid w:val="2F364819"/>
    <w:rsid w:val="2F8432AD"/>
    <w:rsid w:val="2FD63906"/>
    <w:rsid w:val="31570A76"/>
    <w:rsid w:val="316D029A"/>
    <w:rsid w:val="31794ADD"/>
    <w:rsid w:val="32123232"/>
    <w:rsid w:val="333F62DC"/>
    <w:rsid w:val="345F1E12"/>
    <w:rsid w:val="346C4839"/>
    <w:rsid w:val="346F4A1E"/>
    <w:rsid w:val="34CB4D49"/>
    <w:rsid w:val="35146474"/>
    <w:rsid w:val="35541B4A"/>
    <w:rsid w:val="36AA7E4E"/>
    <w:rsid w:val="36DE12F2"/>
    <w:rsid w:val="36E63358"/>
    <w:rsid w:val="37215DAE"/>
    <w:rsid w:val="37D43925"/>
    <w:rsid w:val="37F87CF5"/>
    <w:rsid w:val="38CA40DD"/>
    <w:rsid w:val="395104A1"/>
    <w:rsid w:val="3952059E"/>
    <w:rsid w:val="395F2B56"/>
    <w:rsid w:val="3A243BC8"/>
    <w:rsid w:val="3AF4722E"/>
    <w:rsid w:val="3B41789D"/>
    <w:rsid w:val="3B5D312D"/>
    <w:rsid w:val="3BBA0580"/>
    <w:rsid w:val="3BC753A2"/>
    <w:rsid w:val="3BECE841"/>
    <w:rsid w:val="3C2F65BB"/>
    <w:rsid w:val="3C6F4416"/>
    <w:rsid w:val="3C706E90"/>
    <w:rsid w:val="3CDE204C"/>
    <w:rsid w:val="3D363C36"/>
    <w:rsid w:val="3E636CAD"/>
    <w:rsid w:val="3E720C9E"/>
    <w:rsid w:val="3E9C3F6D"/>
    <w:rsid w:val="3FB11C9A"/>
    <w:rsid w:val="3FF7797D"/>
    <w:rsid w:val="3FFF479F"/>
    <w:rsid w:val="401D10DD"/>
    <w:rsid w:val="40DC2D46"/>
    <w:rsid w:val="41AF2209"/>
    <w:rsid w:val="42274887"/>
    <w:rsid w:val="424B1F31"/>
    <w:rsid w:val="431A7B56"/>
    <w:rsid w:val="43601655"/>
    <w:rsid w:val="43610FE3"/>
    <w:rsid w:val="442C7D6A"/>
    <w:rsid w:val="44A9498E"/>
    <w:rsid w:val="458B6AE9"/>
    <w:rsid w:val="45BF3CB0"/>
    <w:rsid w:val="45E15804"/>
    <w:rsid w:val="464B69A4"/>
    <w:rsid w:val="46690BD8"/>
    <w:rsid w:val="46953E87"/>
    <w:rsid w:val="47132FF3"/>
    <w:rsid w:val="47501D98"/>
    <w:rsid w:val="47BB35B6"/>
    <w:rsid w:val="47D26417"/>
    <w:rsid w:val="47DB5B06"/>
    <w:rsid w:val="48D013E2"/>
    <w:rsid w:val="49942410"/>
    <w:rsid w:val="49C10D2B"/>
    <w:rsid w:val="49F70BF1"/>
    <w:rsid w:val="4A061452"/>
    <w:rsid w:val="4A0E2ED6"/>
    <w:rsid w:val="4A34494D"/>
    <w:rsid w:val="4B4340EE"/>
    <w:rsid w:val="4BF06537"/>
    <w:rsid w:val="4CA71A74"/>
    <w:rsid w:val="4D926213"/>
    <w:rsid w:val="4D9E1AAF"/>
    <w:rsid w:val="4DB5070E"/>
    <w:rsid w:val="4DD6676E"/>
    <w:rsid w:val="4F336227"/>
    <w:rsid w:val="4FE64D80"/>
    <w:rsid w:val="503D507A"/>
    <w:rsid w:val="504B57F2"/>
    <w:rsid w:val="505E1082"/>
    <w:rsid w:val="50611110"/>
    <w:rsid w:val="51FA74D0"/>
    <w:rsid w:val="526A58E8"/>
    <w:rsid w:val="528A5B24"/>
    <w:rsid w:val="52AA4A52"/>
    <w:rsid w:val="53F97D4D"/>
    <w:rsid w:val="54A139F0"/>
    <w:rsid w:val="54DF6C31"/>
    <w:rsid w:val="54E56216"/>
    <w:rsid w:val="5507676C"/>
    <w:rsid w:val="550F5041"/>
    <w:rsid w:val="562249A5"/>
    <w:rsid w:val="56277B56"/>
    <w:rsid w:val="574A40F1"/>
    <w:rsid w:val="57D91936"/>
    <w:rsid w:val="589C4E3D"/>
    <w:rsid w:val="59943D66"/>
    <w:rsid w:val="59E051FD"/>
    <w:rsid w:val="59E6355E"/>
    <w:rsid w:val="59F974AC"/>
    <w:rsid w:val="59FE1A69"/>
    <w:rsid w:val="5A184997"/>
    <w:rsid w:val="5A3F7C21"/>
    <w:rsid w:val="5B821531"/>
    <w:rsid w:val="5BFF6039"/>
    <w:rsid w:val="5C476399"/>
    <w:rsid w:val="5D76A616"/>
    <w:rsid w:val="5D7F20B9"/>
    <w:rsid w:val="5DAC7D0E"/>
    <w:rsid w:val="5DF254FF"/>
    <w:rsid w:val="5E4F2952"/>
    <w:rsid w:val="5ED31A7F"/>
    <w:rsid w:val="5F98B5AF"/>
    <w:rsid w:val="5FFE8511"/>
    <w:rsid w:val="5FFEACE2"/>
    <w:rsid w:val="60045DAB"/>
    <w:rsid w:val="609D5BF6"/>
    <w:rsid w:val="60E455D3"/>
    <w:rsid w:val="61073070"/>
    <w:rsid w:val="61113EEE"/>
    <w:rsid w:val="61B9080E"/>
    <w:rsid w:val="61D75313"/>
    <w:rsid w:val="61DF3FED"/>
    <w:rsid w:val="62A212A2"/>
    <w:rsid w:val="62AA63A9"/>
    <w:rsid w:val="63D95197"/>
    <w:rsid w:val="642B176B"/>
    <w:rsid w:val="643EE26D"/>
    <w:rsid w:val="650224CC"/>
    <w:rsid w:val="656019A0"/>
    <w:rsid w:val="65F242EE"/>
    <w:rsid w:val="666D7E19"/>
    <w:rsid w:val="66C51A03"/>
    <w:rsid w:val="68376930"/>
    <w:rsid w:val="683F3494"/>
    <w:rsid w:val="68F91E38"/>
    <w:rsid w:val="69767E03"/>
    <w:rsid w:val="69A004D5"/>
    <w:rsid w:val="6A99742E"/>
    <w:rsid w:val="6AC6241B"/>
    <w:rsid w:val="6B3158B9"/>
    <w:rsid w:val="6B3A6449"/>
    <w:rsid w:val="6B5021AC"/>
    <w:rsid w:val="6B954F04"/>
    <w:rsid w:val="6BA02A3F"/>
    <w:rsid w:val="6C1E5A53"/>
    <w:rsid w:val="6C7F76DF"/>
    <w:rsid w:val="6CD03767"/>
    <w:rsid w:val="6DD20F3C"/>
    <w:rsid w:val="6F4D4C8B"/>
    <w:rsid w:val="6F5C41AC"/>
    <w:rsid w:val="6FAF6C78"/>
    <w:rsid w:val="6FD66A2F"/>
    <w:rsid w:val="701B08E6"/>
    <w:rsid w:val="707A7747"/>
    <w:rsid w:val="707B75D6"/>
    <w:rsid w:val="716167CC"/>
    <w:rsid w:val="718A7AD1"/>
    <w:rsid w:val="724D63AB"/>
    <w:rsid w:val="72A44BC2"/>
    <w:rsid w:val="72E84F1B"/>
    <w:rsid w:val="72F67375"/>
    <w:rsid w:val="7317C656"/>
    <w:rsid w:val="734ED73F"/>
    <w:rsid w:val="73560E80"/>
    <w:rsid w:val="73C82B32"/>
    <w:rsid w:val="73F94DAE"/>
    <w:rsid w:val="74220495"/>
    <w:rsid w:val="747D1B6F"/>
    <w:rsid w:val="749E5641"/>
    <w:rsid w:val="74DE53B4"/>
    <w:rsid w:val="75335C8E"/>
    <w:rsid w:val="756B19C7"/>
    <w:rsid w:val="758B206A"/>
    <w:rsid w:val="761B32A4"/>
    <w:rsid w:val="76271066"/>
    <w:rsid w:val="7755292F"/>
    <w:rsid w:val="77F713BF"/>
    <w:rsid w:val="77FD8BE9"/>
    <w:rsid w:val="78000AED"/>
    <w:rsid w:val="78064823"/>
    <w:rsid w:val="78DD2BDC"/>
    <w:rsid w:val="78FE2B52"/>
    <w:rsid w:val="79055C6B"/>
    <w:rsid w:val="79A9BD3F"/>
    <w:rsid w:val="7B346CFF"/>
    <w:rsid w:val="7B7315D6"/>
    <w:rsid w:val="7B776F12"/>
    <w:rsid w:val="7B790106"/>
    <w:rsid w:val="7BBD6CF5"/>
    <w:rsid w:val="7BC40083"/>
    <w:rsid w:val="7BFFFDD0"/>
    <w:rsid w:val="7C091F3A"/>
    <w:rsid w:val="7C336E5F"/>
    <w:rsid w:val="7C466CEA"/>
    <w:rsid w:val="7C8D4919"/>
    <w:rsid w:val="7C920B48"/>
    <w:rsid w:val="7CB33EE6"/>
    <w:rsid w:val="7CBE4AD3"/>
    <w:rsid w:val="7CD168F7"/>
    <w:rsid w:val="7D7A5F86"/>
    <w:rsid w:val="7DA71A0B"/>
    <w:rsid w:val="7E4B683A"/>
    <w:rsid w:val="7E5E656D"/>
    <w:rsid w:val="7E8F2BCB"/>
    <w:rsid w:val="7E955D07"/>
    <w:rsid w:val="7EA5419C"/>
    <w:rsid w:val="7EAF0B77"/>
    <w:rsid w:val="7ECB53F6"/>
    <w:rsid w:val="7F37BB4E"/>
    <w:rsid w:val="7FEF918E"/>
    <w:rsid w:val="7FF4FB6F"/>
    <w:rsid w:val="7FF7FF27"/>
    <w:rsid w:val="7FFDF714"/>
  </w:rsids>
  <w:docVars>
    <w:docVar w:name="commondata" w:val="eyJoZGlkIjoiMTdiOGM5NzlhN2JhOTc3OTljZTBmY2FhN2MzNTk3ODE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qFormat="1"/>
    <w:lsdException w:name="toc 2" w:semiHidden="0" w:uiPriority="0" w:unhideWhenUsed="0" w:qFormat="1"/>
    <w:lsdException w:name="toc 3" w:semiHidden="0" w:uiPriority="0" w:unhideWhenUsed="0" w:qFormat="1"/>
    <w:lsdException w:name="toc 4" w:semiHidden="0" w:uiPriority="0" w:unhideWhenUsed="0" w:qFormat="1"/>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DefaultParagraphFont">
    <w:name w:val="Default Paragraph Font"/>
    <w:uiPriority w:val="1"/>
    <w:semiHidden/>
    <w:unhideWhenUsed/>
    <w:qFormat/>
  </w:style>
  <w:style w:type="table" w:default="1" w:styleId="NormalTable">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qFormat/>
    <w:pPr>
      <w:spacing w:after="120"/>
    </w:pPr>
  </w:style>
  <w:style w:type="paragraph" w:styleId="CommentText">
    <w:name w:val="Comment Text"/>
    <w:basedOn w:val="Normal"/>
    <w:link w:val="批注文字字符"/>
    <w:qFormat/>
    <w:pPr>
      <w:jc w:val="left"/>
    </w:pPr>
  </w:style>
  <w:style w:type="paragraph" w:styleId="BodyTextIndent">
    <w:name w:val="Body Text Indent"/>
    <w:basedOn w:val="Normal"/>
    <w:qFormat/>
    <w:pPr>
      <w:spacing w:after="120"/>
      <w:ind w:left="420" w:leftChars="200"/>
    </w:pPr>
    <w:rPr>
      <w:rFonts w:ascii="Calibri" w:hAnsi="Calibri"/>
    </w:rPr>
  </w:style>
  <w:style w:type="paragraph" w:styleId="TOC3">
    <w:name w:val="TOC 3"/>
    <w:basedOn w:val="Normal"/>
    <w:next w:val="Normal"/>
    <w:qFormat/>
    <w:pPr>
      <w:ind w:left="840" w:leftChars="400"/>
    </w:p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qFormat/>
    <w:pPr>
      <w:tabs>
        <w:tab w:val="right" w:leader="dot" w:pos="7980"/>
        <w:tab w:val="right" w:leader="dot" w:pos="8190"/>
      </w:tabs>
    </w:pPr>
    <w:rPr>
      <w:rFonts w:ascii="Calibri" w:eastAsia="仿宋_GB2312" w:hAnsi="Calibri" w:cs="Times New Roman"/>
      <w:sz w:val="32"/>
    </w:rPr>
  </w:style>
  <w:style w:type="paragraph" w:styleId="TOC4">
    <w:name w:val="TOC 4"/>
    <w:basedOn w:val="Normal"/>
    <w:next w:val="Normal"/>
    <w:qFormat/>
    <w:pPr>
      <w:ind w:left="1260" w:leftChars="600"/>
    </w:pPr>
  </w:style>
  <w:style w:type="paragraph" w:styleId="TOC2">
    <w:name w:val="TOC 2"/>
    <w:basedOn w:val="Normal"/>
    <w:next w:val="Normal"/>
    <w:qFormat/>
    <w:pPr>
      <w:ind w:left="420" w:leftChars="200"/>
    </w:p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style>
  <w:style w:type="paragraph" w:styleId="BodyTextFirstIndent2">
    <w:name w:val="Body Text First Indent 2"/>
    <w:basedOn w:val="BodyTextIndent"/>
    <w:qFormat/>
    <w:pPr>
      <w:ind w:firstLine="420" w:firstLineChars="200"/>
    </w:p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customXml" Target="../customXml/item1.xml"/><Relationship Id="rId4" Type="http://schemas.openxmlformats.org/officeDocument/2006/relationships/footer" Target="footer1.xml"/><Relationship Id="rId5" Type="http://schemas.openxmlformats.org/officeDocument/2006/relationships/theme" Target="theme/theme1.xml"/><Relationship Id="rId6" Type="http://schemas.openxmlformats.org/officeDocument/2006/relationships/styles" Target="styles.xml"/><Relationship Id="rId7" Type="http://schemas.openxmlformats.org/officeDocument/2006/relationships/numbering" Target="numbering.xml"/><Relationship Id="rId8"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 Id="rId10" Type="http://schemas.openxmlformats.org/officeDocument/2006/relationships/font" Target="fonts/font10.odttf"/><Relationship Id="rId11" Type="http://schemas.openxmlformats.org/officeDocument/2006/relationships/font" Target="fonts/font11.odttf"/><Relationship Id="rId2" Type="http://schemas.openxmlformats.org/officeDocument/2006/relationships/font" Target="fonts/font2.odttf"/><Relationship Id="rId3" Type="http://schemas.openxmlformats.org/officeDocument/2006/relationships/font" Target="fonts/font3.odttf"/><Relationship Id="rId4" Type="http://schemas.openxmlformats.org/officeDocument/2006/relationships/font" Target="fonts/font4.odttf"/><Relationship Id="rId5" Type="http://schemas.openxmlformats.org/officeDocument/2006/relationships/font" Target="fonts/font5.odttf"/><Relationship Id="rId6" Type="http://schemas.openxmlformats.org/officeDocument/2006/relationships/font" Target="fonts/font6.odttf"/><Relationship Id="rId7" Type="http://schemas.openxmlformats.org/officeDocument/2006/relationships/font" Target="fonts/font7.odttf"/><Relationship Id="rId8" Type="http://schemas.openxmlformats.org/officeDocument/2006/relationships/font" Target="fonts/font8.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xmlns="http://schemas.wps.cn/vas-ai-hub/contract-review">
    <reviewItem xmlns="http://schemas.wps.cn/vas-ai-hub/contract-review">
      <errorID xmlns="http://schemas.wps.cn/vas-ai-hub/contract-review">45e20d72-937f-4962-8472-4de0c102f286</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3E9A9918</paraID>
      <start xmlns="http://schemas.wps.cn/vas-ai-hub/contract-review">8</start>
      <end xmlns="http://schemas.wps.cn/vas-ai-hub/contract-review">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1b9dd8c3-a43b-48a0-9cc1-f978e3708480</errorID>
      <errorWord xmlns="http://schemas.wps.cn/vas-ai-hub/contract-review">截止</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截至</item>
      </candidateList>
      <explain xmlns="http://schemas.wps.cn/vas-ai-hub/contract-review">存在发音相同字词的误用。</explain>
      <paraID xmlns="http://schemas.wps.cn/vas-ai-hub/contract-review"> 457426D</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e8ba54ce-baa7-475d-99c6-233192aa3e54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30279065</paraID>
      <start xmlns="http://schemas.wps.cn/vas-ai-hub/contract-review">7</start>
      <end xmlns="http://schemas.wps.cn/vas-ai-hub/contract-review">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4306161c-cc73-4d5d-899b-3ad7778cbc8d</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3321091D</paraID>
      <start xmlns="http://schemas.wps.cn/vas-ai-hub/contract-review">44</start>
      <end xmlns="http://schemas.wps.cn/vas-ai-hub/contract-review">45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1a4917e4-f86b-4557-91f3-ca5ca0cb3e8f</errorID>
      <errorWord xmlns="http://schemas.wps.cn/vas-ai-hub/contract-review">有效</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高效</item>
      </candidateList>
      <explain xmlns="http://schemas.wps.cn/vas-ai-hub/contract-review"/>
      <paraID xmlns="http://schemas.wps.cn/vas-ai-hub/contract-review">16346F89</paraID>
      <start xmlns="http://schemas.wps.cn/vas-ai-hub/contract-review">50</start>
      <end xmlns="http://schemas.wps.cn/vas-ai-hub/contract-review">52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c85b7490-1c65-4ecf-938c-361167504336</errorID>
      <errorWord xmlns="http://schemas.wps.cn/vas-ai-hub/contract-review">的</errorWord>
      <group xmlns="http://schemas.wps.cn/vas-ai-hub/contract-review">L1_Word</group>
      <groupName xmlns="http://schemas.wps.cn/vas-ai-hub/contract-review">字词问题</groupName>
      <ability xmlns="http://schemas.wps.cn/vas-ai-hub/contract-review">L2_DDD</ability>
      <abilityName xmlns="http://schemas.wps.cn/vas-ai-hub/contract-review">的地得用法</abilityName>
      <candidateList xmlns="http://schemas.wps.cn/vas-ai-hub/contract-review">
        <item xmlns="http://schemas.wps.cn/vas-ai-hub/contract-review">地</item>
      </candidateList>
      <explain xmlns="http://schemas.wps.cn/vas-ai-hub/contract-review">“地”常用于连接修饰语与动词性中心语，表示动作的方式、状态或程度。</explain>
      <paraID xmlns="http://schemas.wps.cn/vas-ai-hub/contract-review">5A220F80</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d0b10219-06b7-4896-b8ef-b9804418d9ad</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65871231</paraID>
      <start xmlns="http://schemas.wps.cn/vas-ai-hub/contract-review">167</start>
      <end xmlns="http://schemas.wps.cn/vas-ai-hub/contract-review">168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8a165de5-83d3-4926-81f9-b6f81efde2f4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65871231</paraID>
      <start xmlns="http://schemas.wps.cn/vas-ai-hub/contract-review">254</start>
      <end xmlns="http://schemas.wps.cn/vas-ai-hub/contract-review">256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512c3262-c393-45c8-8d64-c2a71901a756</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6F9EC0D6</paraID>
      <start xmlns="http://schemas.wps.cn/vas-ai-hub/contract-review">93</start>
      <end xmlns="http://schemas.wps.cn/vas-ai-hub/contract-review">94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5106591d-84f4-4d63-9b9c-587b5ad5e130</errorID>
      <errorWord xmlns="http://schemas.wps.cn/vas-ai-hub/contract-review">预算法</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中华人民共和国预算法</item>
      </candidateList>
      <explain xmlns="http://schemas.wps.cn/vas-ai-hub/contract-review">当前法律法规名称使用简称，请注意是否应当使用全称。</explain>
      <paraID xmlns="http://schemas.wps.cn/vas-ai-hub/contract-review">5AAC8898</paraID>
      <start xmlns="http://schemas.wps.cn/vas-ai-hub/contract-review">11</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2a2b42f8-295c-4512-b805-342bdf713b4d</errorID>
      <errorWord xmlns="http://schemas.wps.cn/vas-ai-hub/contract-review">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全过</item>
      </candidateList>
      <explain xmlns="http://schemas.wps.cn/vas-ai-hub/contract-review"/>
      <paraID xmlns="http://schemas.wps.cn/vas-ai-hub/contract-review">5AAC8898</paraID>
      <start xmlns="http://schemas.wps.cn/vas-ai-hub/contract-review">52</start>
      <end xmlns="http://schemas.wps.cn/vas-ai-hub/contract-review">53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bcf2854b-01f9-46a4-9fca-3eebda9ffc02</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70</start>
      <end xmlns="http://schemas.wps.cn/vas-ai-hub/contract-review">71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703f9911-f9f8-4187-b3bf-1ce8c553e755</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5AAC8898</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55349a2b-6432-44f7-adbb-f8ff1519a86f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3ad2527a-4be4-4184-813e-2fe945cbfedf</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38E5CE84</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d6f0377f-83ac-4598-a2be-86396db3c124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7f59fd71-1dc0-4fcd-9797-1deeb8024d07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2ED61372</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72eec153-67b9-4cdc-8b85-102bda3291c8</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f8ebcd7f-be01-44ad-a3fc-14814c04d595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4CFBFDBB</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7f5001ba-3d96-49a1-91ae-d78203439ab5</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12</start>
      <end xmlns="http://schemas.wps.cn/vas-ai-hub/contract-review">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bbab4c98-490f-4c70-a6c1-2be9fa30d637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10209780</paraID>
      <start xmlns="http://schemas.wps.cn/vas-ai-hub/contract-review">19</start>
      <end xmlns="http://schemas.wps.cn/vas-ai-hub/contract-review">21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afdb7b20-ca68-4fd4-896b-a09588671cff</errorID>
      <errorWord xmlns="http://schemas.wps.cn/vas-ai-hub/contract-review">六.</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六、</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5DED8768</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b715000d-26c2-4fd1-96d5-7ba5b49311f7</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；在</item>
      </candidateList>
      <explain xmlns="http://schemas.wps.cn/vas-ai-hub/contract-review"/>
      <paraID xmlns="http://schemas.wps.cn/vas-ai-hub/contract-review">33C5EBC0</paraID>
      <start xmlns="http://schemas.wps.cn/vas-ai-hub/contract-review">90</start>
      <end xmlns="http://schemas.wps.cn/vas-ai-hub/contract-review">91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e4d8f088-dd4b-423c-b02f-2c3af50e4835</errorID>
      <errorWord xmlns="http://schemas.wps.cn/vas-ai-hub/contract-review">评价</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评</item>
      </candidateList>
      <explain xmlns="http://schemas.wps.cn/vas-ai-hub/contract-review"/>
      <paraID xmlns="http://schemas.wps.cn/vas-ai-hub/contract-review">47643AFE</paraID>
      <start xmlns="http://schemas.wps.cn/vas-ai-hub/contract-review">83</start>
      <end xmlns="http://schemas.wps.cn/vas-ai-hub/contract-review">85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304693bf-2643-47f6-bf50-3ab183a10772</errorID>
      <errorWord xmlns="http://schemas.wps.cn/vas-ai-hub/contract-review">七.</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七、</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581D1A14</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70b33c7f-3821-4ab4-9635-e406abb915eb</errorID>
      <errorWord xmlns="http://schemas.wps.cn/vas-ai-hub/contract-review">八.</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八、</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3AB05DC2</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ba137ec8-6bd5-41cd-8e96-8147271f926c</errorID>
      <errorWord xmlns="http://schemas.wps.cn/vas-ai-hub/contract-review">的明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“的”常用于连接修饰语与名词性中心语，表示属性、所属或描述。</explain>
      <paraID xmlns="http://schemas.wps.cn/vas-ai-hub/contract-review">5E2A108D</paraID>
      <start xmlns="http://schemas.wps.cn/vas-ai-hub/contract-review">39</start>
      <end xmlns="http://schemas.wps.cn/vas-ai-hub/contract-review">41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f57871fa-7967-47ef-bd89-2ff13260ef7d</errorID>
      <errorWord xmlns="http://schemas.wps.cn/vas-ai-hub/contract-review">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数量</item>
      </candidateList>
      <explain xmlns="http://schemas.wps.cn/vas-ai-hub/contract-review"/>
      <paraID xmlns="http://schemas.wps.cn/vas-ai-hub/contract-review">4FDCCD34</paraID>
      <start xmlns="http://schemas.wps.cn/vas-ai-hub/contract-review">30</start>
      <end xmlns="http://schemas.wps.cn/vas-ai-hub/contract-review">31</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4fef7e59-228d-47c7-affd-4d9e70818096</errorID>
      <errorWord xmlns="http://schemas.wps.cn/vas-ai-hub/contract-review">位</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位在</item>
      </candidateList>
      <explain xmlns="http://schemas.wps.cn/vas-ai-hub/contract-review"/>
      <paraID xmlns="http://schemas.wps.cn/vas-ai-hub/contract-review">14FE6675</paraID>
      <start xmlns="http://schemas.wps.cn/vas-ai-hub/contract-review">54</start>
      <end xmlns="http://schemas.wps.cn/vas-ai-hub/contract-review">55</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098f5e91-fa11-413b-836c-246af5bba9a8}">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31</Pages>
  <Words>10315</Words>
  <Characters>10675</Characters>
  <Application>WPS Office_12.1.0.25225_F1E327BC-269C-435d-A152-05C5408002CA</Application>
  <DocSecurity>0</DocSecurity>
  <Lines>58</Lines>
  <Paragraphs>16</Paragraphs>
  <ScaleCrop>false</ScaleCrop>
  <LinksUpToDate>false</LinksUpToDate>
  <CharactersWithSpaces>10746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Bae.</cp:lastModifiedBy>
  <cp:revision>2</cp:revision>
  <dcterms:created xsi:type="dcterms:W3CDTF">2023-03-08T21:13:00Z</dcterms:created>
  <dcterms:modified xsi:type="dcterms:W3CDTF">2026-04-03T02:23:34Z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C9CCAF7507304EBDA80520B6F1431465_13</vt:lpwstr>
  </property>
  <property fmtid="{D5CDD505-2E9C-101B-9397-08002B2CF9AE}" pid="4" name="KSOTemplateDocerSaveRecord">
    <vt:lpwstr>eyJoZGlkIjoiN2VlNzM2NDNmY2NkNDYwY2YwYTFkYzExOWUyMjRiOGIiLCJ1c2VySWQiOiIxNTE0NDUzMzczIn0_x003D_</vt:lpwstr>
  </property>
</Properties>
</file>