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hint="eastAsia"/>
          <w:kern w:val="0"/>
          <w:sz w:val="48"/>
          <w:szCs w:val="48"/>
        </w:rPr>
        <w:t xml:space="preserve">财政</w:t>
      </w:r>
      <w:r>
        <w:rPr>
          <w:rFonts w:eastAsia="方正小标宋_GBK"/>
          <w:kern w:val="0"/>
          <w:sz w:val="48"/>
          <w:szCs w:val="48"/>
        </w:rPr>
        <w:t xml:space="preserve">资金项目支出绩效评价</w:t>
      </w:r>
    </w:p>
    <w:p>
      <w:pPr>
        <w:spacing w:line="540" w:lineRule="exact"/>
        <w:jc w:val="center"/>
        <w:rPr>
          <w:rFonts w:eastAsia="方正小标宋_GBK"/>
          <w:kern w:val="0"/>
          <w:sz w:val="48"/>
          <w:szCs w:val="48"/>
        </w:rPr>
      </w:pPr>
      <w:r>
        <w:rPr>
          <w:rFonts w:eastAsia="方正小标宋_GBK"/>
          <w:kern w:val="0"/>
          <w:sz w:val="48"/>
          <w:szCs w:val="48"/>
        </w:rPr>
        <w:t xml:space="preserve">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 202</w:t>
      </w:r>
      <w:r>
        <w:rPr>
          <w:rFonts w:eastAsia="仿宋_GB2312" w:hint="eastAsia"/>
          <w:kern w:val="0"/>
          <w:sz w:val="36"/>
          <w:szCs w:val="36"/>
          <w:lang w:val="en-US" w:eastAsia="zh-CN"/>
        </w:rPr>
        <w:t xml:space="preserve">5</w:t>
      </w:r>
      <w:r>
        <w:rPr>
          <w:rFonts w:eastAsia="仿宋_GB2312"/>
          <w:kern w:val="0"/>
          <w:sz w:val="36"/>
          <w:szCs w:val="36"/>
        </w:rPr>
        <w:t xml:space="preserve">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jc w:val="both"/>
        <w:outlineLvl w:val="9"/>
        <w:rPr>
          <w:rFonts w:ascii="Times New Roman" w:eastAsia="仿宋_GB2312" w:hAnsi="Times New Roman" w:hint="default"/>
          <w:b w:val="0"/>
          <w:bCs w:val="0"/>
          <w:kern w:val="0"/>
          <w:sz w:val="36"/>
          <w:szCs w:val="36"/>
          <w:lang w:val="en-US" w:eastAsia="zh-CN"/>
        </w:rPr>
      </w:pPr>
      <w:bookmarkStart w:id="0" w:name="_Toc32735"/>
      <w:bookmarkStart w:id="1" w:name="_Toc12833"/>
      <w:r>
        <w:rPr>
          <w:rFonts w:ascii="Times New Roman" w:eastAsia="仿宋_GB2312" w:hAnsi="Times New Roman"/>
          <w:b w:val="0"/>
          <w:bCs w:val="0"/>
          <w:kern w:val="0"/>
          <w:sz w:val="36"/>
          <w:szCs w:val="36"/>
        </w:rPr>
        <w:t xml:space="preserve">项目名称：</w:t>
      </w:r>
      <w:r>
        <w:rPr>
          <w:rFonts w:ascii="Times New Roman" w:eastAsia="仿宋_GB2312" w:hAnsi="Times New Roman" w:hint="eastAsia"/>
          <w:b w:val="0"/>
          <w:bCs w:val="0"/>
          <w:kern w:val="0"/>
          <w:sz w:val="36"/>
          <w:szCs w:val="36"/>
          <w:highlight w:val="none"/>
          <w:lang w:val="en-US" w:eastAsia="zh-CN"/>
        </w:rPr>
        <w:t xml:space="preserve">自治区水利发展资金</w:t>
      </w:r>
      <w:bookmarkEnd w:id="0"/>
      <w:bookmarkEnd w:id="1"/>
    </w:p>
    <w:p>
      <w:pPr>
        <w:spacing w:line="700" w:lineRule="exact"/>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自治区水利</w:t>
      </w:r>
      <w:r>
        <w:rPr>
          <w:rFonts w:eastAsia="仿宋_GB2312" w:hint="eastAsia"/>
          <w:kern w:val="0"/>
          <w:sz w:val="36"/>
          <w:szCs w:val="36"/>
          <w:lang w:val="en-US" w:eastAsia="zh-CN"/>
        </w:rPr>
        <w:t xml:space="preserve">科技发展</w:t>
      </w:r>
      <w:r>
        <w:rPr>
          <w:rFonts w:eastAsia="仿宋_GB2312" w:hint="eastAsia"/>
          <w:kern w:val="0"/>
          <w:sz w:val="36"/>
          <w:szCs w:val="36"/>
        </w:rPr>
        <w:t xml:space="preserve">中心</w:t>
      </w:r>
    </w:p>
    <w:p>
      <w:pPr>
        <w:spacing w:line="700" w:lineRule="exact"/>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新疆维吾尔自治区水利厅</w:t>
      </w:r>
    </w:p>
    <w:p>
      <w:pPr>
        <w:spacing w:line="700" w:lineRule="exact"/>
        <w:jc w:val="left"/>
        <w:rPr>
          <w:rFonts w:eastAsia="仿宋_GB2312" w:hint="default"/>
          <w:kern w:val="0"/>
          <w:sz w:val="36"/>
          <w:szCs w:val="36"/>
          <w:lang w:val="en-US" w:eastAsia="zh-CN"/>
        </w:rPr>
      </w:pPr>
      <w:r>
        <w:rPr>
          <w:rFonts w:eastAsia="仿宋_GB2312"/>
          <w:kern w:val="0"/>
          <w:sz w:val="36"/>
          <w:szCs w:val="36"/>
        </w:rPr>
        <w:t xml:space="preserve">项目负责人（签章）：</w:t>
      </w:r>
      <w:r>
        <w:rPr>
          <w:rFonts w:eastAsia="仿宋_GB2312" w:hint="eastAsia"/>
          <w:kern w:val="0"/>
          <w:sz w:val="36"/>
          <w:szCs w:val="36"/>
          <w:lang w:val="en-US" w:eastAsia="zh-CN"/>
        </w:rPr>
        <w:t xml:space="preserve">肖玉健</w:t>
      </w:r>
    </w:p>
    <w:p>
      <w:pPr>
        <w:spacing w:line="700" w:lineRule="exact"/>
        <w:jc w:val="left"/>
        <w:rPr>
          <w:rFonts w:eastAsia="仿宋_GB2312"/>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w:t>
      </w:r>
      <w:r>
        <w:rPr>
          <w:rFonts w:eastAsia="仿宋_GB2312" w:hint="eastAsia"/>
          <w:kern w:val="0"/>
          <w:sz w:val="36"/>
          <w:szCs w:val="36"/>
          <w:lang w:val="en-US" w:eastAsia="zh-CN"/>
        </w:rPr>
        <w:t xml:space="preserve">6</w:t>
      </w:r>
      <w:r>
        <w:rPr>
          <w:rFonts w:eastAsia="仿宋_GB2312" w:hint="eastAsia"/>
          <w:kern w:val="0"/>
          <w:sz w:val="36"/>
          <w:szCs w:val="36"/>
        </w:rPr>
        <w:t xml:space="preserve">年</w:t>
      </w:r>
      <w:r>
        <w:rPr>
          <w:rFonts w:eastAsia="仿宋_GB2312" w:hint="eastAsia"/>
          <w:kern w:val="0"/>
          <w:sz w:val="36"/>
          <w:szCs w:val="36"/>
          <w:lang w:val="en-US" w:eastAsia="zh-CN"/>
        </w:rPr>
        <w:t xml:space="preserve">3</w:t>
      </w:r>
      <w:r>
        <w:rPr>
          <w:rFonts w:eastAsia="仿宋_GB2312" w:hint="eastAsia"/>
          <w:kern w:val="0"/>
          <w:sz w:val="36"/>
          <w:szCs w:val="36"/>
        </w:rPr>
        <w:t xml:space="preserve">月</w:t>
      </w:r>
      <w:r>
        <w:rPr>
          <w:rFonts w:eastAsia="仿宋_GB2312" w:hint="eastAsia"/>
          <w:kern w:val="0"/>
          <w:sz w:val="36"/>
          <w:szCs w:val="36"/>
          <w:lang w:val="en-US" w:eastAsia="zh-CN"/>
        </w:rPr>
        <w:t xml:space="preserve">24</w:t>
      </w:r>
      <w:r>
        <w:rPr>
          <w:rFonts w:eastAsia="仿宋_GB2312" w:hint="eastAsia"/>
          <w:kern w:val="0"/>
          <w:sz w:val="36"/>
          <w:szCs w:val="36"/>
        </w:rPr>
        <w:t xml:space="preserve">日</w:t>
      </w:r>
    </w:p>
    <w:p>
      <w:pPr>
        <w:spacing w:line="540" w:lineRule="exact"/>
        <w:rPr>
          <w:rStyle w:val="Strong"/>
          <w:rFonts w:eastAsia="黑体"/>
          <w:b w:val="0"/>
          <w:spacing w:val="-4"/>
          <w:sz w:val="32"/>
          <w:szCs w:val="32"/>
        </w:rPr>
      </w:pPr>
    </w:p>
    <w:p>
      <w:pPr>
        <w:spacing w:line="540" w:lineRule="exact"/>
        <w:ind w:firstLine="640"/>
        <w:rPr>
          <w:rStyle w:val="Strong"/>
          <w:rFonts w:eastAsia="黑体"/>
          <w:b w:val="0"/>
          <w:spacing w:val="-4"/>
          <w:sz w:val="32"/>
          <w:szCs w:val="32"/>
        </w:rPr>
      </w:pPr>
    </w:p>
    <w:p>
      <w:pPr>
        <w:pStyle w:val="BodyText"/>
        <w:rPr>
          <w:rStyle w:val="Strong"/>
          <w:rFonts w:eastAsia="黑体"/>
          <w:b w:val="0"/>
          <w:spacing w:val="-4"/>
          <w:sz w:val="32"/>
          <w:szCs w:val="32"/>
        </w:rPr>
      </w:pPr>
    </w:p>
    <w:p>
      <w:pPr>
        <w:pStyle w:val="BodyText"/>
        <w:rPr>
          <w:rStyle w:val="Strong"/>
          <w:rFonts w:eastAsia="黑体"/>
          <w:b w:val="0"/>
          <w:spacing w:val="-4"/>
          <w:sz w:val="32"/>
          <w:szCs w:val="32"/>
        </w:rPr>
      </w:pPr>
    </w:p>
    <w:p>
      <w:pPr>
        <w:pStyle w:val="BodyText"/>
        <w:rPr>
          <w:rStyle w:val="Strong"/>
          <w:rFonts w:eastAsia="黑体"/>
          <w:b w:val="0"/>
          <w:spacing w:val="-4"/>
          <w:sz w:val="32"/>
          <w:szCs w:val="32"/>
        </w:rPr>
      </w:pPr>
    </w:p>
    <w:p>
      <w:pPr>
        <w:spacing w:line="560" w:lineRule="exact"/>
        <w:ind w:firstLine="0" w:firstLineChars="0"/>
        <w:rPr>
          <w:rFonts w:eastAsia="黑体"/>
          <w:bCs/>
          <w:sz w:val="32"/>
          <w:szCs w:val="32"/>
        </w:rPr>
        <w:sectPr>
          <w:footerReference w:type="default" r:id="rId3"/>
          <w:pgSz w:w="11906" w:h="16838" w:orient="portrait"/>
          <w:pgMar w:top="1440" w:right="1558" w:bottom="1440" w:left="1800" w:header="851" w:footer="992" w:gutter="0"/>
          <w:cols w:num="1" w:space="425">
            <w:col w:w="8548" w:space="425"/>
          </w:cols>
          <w:docGrid w:type="lines" w:linePitch="312" w:charSpace="0"/>
        </w:sectPr>
      </w:pPr>
    </w:p>
    <w:sdt>
      <w:sdtPr>
        <w:rPr>
          <w:rFonts w:ascii="宋体" w:eastAsia="宋体" w:hAnsi="宋体" w:cs="Times New Roman"/>
          <w:kern w:val="2"/>
          <w:sz w:val="21"/>
          <w:szCs w:val="24"/>
          <w:lang w:val="en-US" w:eastAsia="zh-CN" w:bidi="ar-SA"/>
        </w:rPr>
        <w:id w:val="147451079"/>
        <w:docPartObj>
          <w:docPartGallery w:val="Table of Contents"/>
          <w:docPartUnique/>
        </w:docPartObj>
        <w15:color w:val="DBDBDB"/>
      </w:sdtPr>
      <w:sdtEndPr>
        <w:rPr>
          <w:rFonts w:ascii="仿宋_GB2312" w:eastAsia="仿宋_GB2312" w:hAnsi="仿宋_GB2312" w:cs="仿宋_GB2312" w:hint="eastAsia"/>
          <w:bCs/>
          <w:kern w:val="2"/>
          <w:sz w:val="21"/>
          <w:szCs w:val="32"/>
          <w:lang w:val="en-US" w:eastAsia="zh-CN" w:bidi="ar-SA"/>
        </w:rPr>
      </w:sdtEndPr>
      <w:sdtContent>
        <w:p>
          <w:pPr>
            <w:spacing w:before="0" w:beforeLines="0" w:after="0" w:afterLines="0" w:line="240" w:lineRule="auto"/>
            <w:ind w:left="0" w:right="0" w:firstLine="0" w:leftChars="0" w:rightChars="0" w:firstLineChars="0"/>
            <w:jc w:val="center"/>
            <w:rPr>
              <w:rFonts w:ascii="宋体" w:eastAsia="宋体" w:hAnsi="宋体"/>
              <w:b/>
              <w:bCs/>
              <w:sz w:val="44"/>
              <w:szCs w:val="44"/>
            </w:rPr>
          </w:pPr>
          <w:r>
            <w:rPr>
              <w:rFonts w:ascii="宋体" w:eastAsia="宋体" w:hAnsi="宋体"/>
              <w:b/>
              <w:bCs/>
              <w:sz w:val="44"/>
              <w:szCs w:val="44"/>
            </w:rPr>
            <w:t xml:space="preserve">目录</w:t>
          </w:r>
        </w:p>
        <w:p>
          <w:pPr>
            <w:pStyle w:val="TOC1"/>
            <w:tabs>
              <w:tab w:val="right" w:leader="middleDot" w:pos="8548"/>
            </w:tabs>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lang w:val="en-US" w:eastAsia="zh-CN"/>
            </w:rPr>
            <w:fldChar w:fldCharType="begin"/>
          </w:r>
          <w:r>
            <w:rPr>
              <w:rFonts w:ascii="仿宋_GB2312" w:eastAsia="仿宋_GB2312" w:hAnsi="仿宋_GB2312" w:cs="仿宋_GB2312" w:hint="eastAsia"/>
              <w:bCs/>
              <w:sz w:val="32"/>
              <w:szCs w:val="32"/>
              <w:lang w:val="en-US" w:eastAsia="zh-CN"/>
            </w:rPr>
            <w:instrText xml:space="preserve">TOC \o "1-2" \h \u</w:instrText>
          </w:r>
          <w:r>
            <w:rPr>
              <w:rFonts w:ascii="仿宋_GB2312" w:eastAsia="仿宋_GB2312" w:hAnsi="仿宋_GB2312" w:cs="仿宋_GB2312" w:hint="eastAsia"/>
              <w:bCs/>
              <w:sz w:val="32"/>
              <w:szCs w:val="32"/>
              <w:lang w:val="en-US" w:eastAsia="zh-CN"/>
            </w:rPr>
            <w:fldChar w:fldCharType="separate"/>
          </w:r>
          <w:hyperlink w:anchor="_Toc29377" w:history="1">
            <w:r>
              <w:rPr>
                <w:rFonts w:ascii="仿宋_GB2312" w:eastAsia="仿宋_GB2312" w:hAnsi="仿宋_GB2312" w:cs="仿宋_GB2312" w:hint="eastAsia"/>
                <w:bCs/>
                <w:sz w:val="32"/>
                <w:szCs w:val="32"/>
              </w:rPr>
              <w:t xml:space="preserve">一、基本情况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_Toc29377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1078" w:history="1">
            <w:r>
              <w:rPr>
                <w:rFonts w:ascii="仿宋_GB2312" w:eastAsia="仿宋_GB2312" w:hAnsi="仿宋_GB2312" w:cs="仿宋_GB2312" w:hint="eastAsia"/>
                <w:bCs/>
                <w:sz w:val="32"/>
                <w:szCs w:val="32"/>
              </w:rPr>
              <w:t xml:space="preserve">（一）项目概况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_Toc31078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21960" w:history="1">
            <w:r>
              <w:rPr>
                <w:rFonts w:ascii="仿宋_GB2312" w:eastAsia="仿宋_GB2312" w:hAnsi="仿宋_GB2312" w:cs="仿宋_GB2312" w:hint="eastAsia"/>
                <w:bCs/>
                <w:sz w:val="32"/>
                <w:szCs w:val="32"/>
              </w:rPr>
              <w:t xml:space="preserve">（二）项目绩效目标</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_Toc21960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14883" w:history="1">
            <w:r>
              <w:rPr>
                <w:rFonts w:ascii="仿宋_GB2312" w:eastAsia="仿宋_GB2312" w:hAnsi="仿宋_GB2312" w:cs="仿宋_GB2312" w:hint="eastAsia"/>
                <w:bCs/>
                <w:sz w:val="32"/>
                <w:szCs w:val="32"/>
              </w:rPr>
              <w:t xml:space="preserve">二、绩效评价工作开展情况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_Toc14883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20" w:history="1">
            <w:r>
              <w:rPr>
                <w:rFonts w:ascii="仿宋_GB2312" w:eastAsia="仿宋_GB2312" w:hAnsi="仿宋_GB2312" w:cs="仿宋_GB2312" w:hint="eastAsia"/>
                <w:bCs/>
                <w:sz w:val="32"/>
                <w:szCs w:val="32"/>
              </w:rPr>
              <w:t xml:space="preserve">（一）绩效评价目的、对象和范围</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_Toc320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27982" w:history="1">
            <w:r>
              <w:rPr>
                <w:rFonts w:ascii="仿宋_GB2312" w:eastAsia="仿宋_GB2312" w:hAnsi="仿宋_GB2312" w:cs="仿宋_GB2312" w:hint="eastAsia"/>
                <w:bCs/>
                <w:sz w:val="32"/>
                <w:szCs w:val="32"/>
              </w:rPr>
              <w:t xml:space="preserve">（二）绩效评价原则、评价指标体系（详情见表1）、评价方法、评价标准。</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_Toc27982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6</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19240" w:history="1">
            <w:r>
              <w:rPr>
                <w:rFonts w:ascii="仿宋_GB2312" w:eastAsia="仿宋_GB2312" w:hAnsi="仿宋_GB2312" w:cs="仿宋_GB2312" w:hint="eastAsia"/>
                <w:bCs/>
                <w:sz w:val="32"/>
                <w:szCs w:val="32"/>
              </w:rPr>
              <w:t xml:space="preserve">（三）绩效评价工作过程</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_Toc19240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9</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2779" w:history="1">
            <w:r>
              <w:rPr>
                <w:rFonts w:ascii="仿宋_GB2312" w:eastAsia="仿宋_GB2312" w:hAnsi="仿宋_GB2312" w:cs="仿宋_GB2312" w:hint="eastAsia"/>
                <w:bCs/>
                <w:sz w:val="32"/>
                <w:szCs w:val="32"/>
              </w:rPr>
              <w:t xml:space="preserve">三、综合评价情况及评价结论（附相关评分表）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_Toc22779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lang w:val="en-US" w:eastAsia="zh-CN"/>
            </w:rPr>
          </w:pPr>
          <w:hyperlink w:anchor="_Toc20747" w:history="1">
            <w:r>
              <w:rPr>
                <w:rFonts w:ascii="仿宋_GB2312" w:eastAsia="仿宋_GB2312" w:hAnsi="仿宋_GB2312" w:cs="仿宋_GB2312" w:hint="eastAsia"/>
                <w:sz w:val="32"/>
                <w:szCs w:val="32"/>
                <w:lang w:val="en-US" w:eastAsia="zh-CN"/>
              </w:rPr>
              <w:t xml:space="preserve">（一）评价情况</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fldChar w:fldCharType="begin"/>
            </w:r>
            <w:r>
              <w:rPr>
                <w:rFonts w:ascii="仿宋_GB2312" w:eastAsia="仿宋_GB2312" w:hAnsi="仿宋_GB2312" w:cs="仿宋_GB2312" w:hint="eastAsia"/>
                <w:sz w:val="32"/>
                <w:szCs w:val="32"/>
                <w:lang w:val="en-US" w:eastAsia="zh-CN"/>
              </w:rPr>
              <w:instrText xml:space="preserve"> PAGEREF _Toc20747 \h </w:instrText>
            </w:r>
            <w:r>
              <w:rPr>
                <w:rFonts w:ascii="仿宋_GB2312" w:eastAsia="仿宋_GB2312" w:hAnsi="仿宋_GB2312" w:cs="仿宋_GB2312" w:hint="eastAsia"/>
                <w:sz w:val="32"/>
                <w:szCs w:val="32"/>
                <w:lang w:val="en-US" w:eastAsia="zh-CN"/>
              </w:rPr>
              <w:fldChar w:fldCharType="separate"/>
            </w:r>
            <w:r>
              <w:rPr>
                <w:rFonts w:ascii="仿宋_GB2312" w:eastAsia="仿宋_GB2312" w:hAnsi="仿宋_GB2312" w:cs="仿宋_GB2312" w:hint="eastAsia"/>
                <w:sz w:val="32"/>
                <w:szCs w:val="32"/>
                <w:lang w:val="en-US" w:eastAsia="zh-CN"/>
              </w:rPr>
              <w:t xml:space="preserve">11</w:t>
            </w:r>
            <w:r>
              <w:rPr>
                <w:rFonts w:ascii="仿宋_GB2312" w:eastAsia="仿宋_GB2312" w:hAnsi="仿宋_GB2312" w:cs="仿宋_GB2312" w:hint="eastAsia"/>
                <w:sz w:val="32"/>
                <w:szCs w:val="32"/>
                <w:lang w:val="en-US" w:eastAsia="zh-CN"/>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2049" w:history="1">
            <w:r>
              <w:rPr>
                <w:rFonts w:ascii="仿宋_GB2312" w:eastAsia="仿宋_GB2312" w:hAnsi="仿宋_GB2312" w:cs="仿宋_GB2312" w:hint="eastAsia"/>
                <w:sz w:val="32"/>
                <w:szCs w:val="32"/>
                <w:lang w:val="en-US" w:eastAsia="zh-CN"/>
              </w:rPr>
              <w:t xml:space="preserve">（二）评价结论</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fldChar w:fldCharType="begin"/>
            </w:r>
            <w:r>
              <w:rPr>
                <w:rFonts w:ascii="仿宋_GB2312" w:eastAsia="仿宋_GB2312" w:hAnsi="仿宋_GB2312" w:cs="仿宋_GB2312" w:hint="eastAsia"/>
                <w:sz w:val="32"/>
                <w:szCs w:val="32"/>
                <w:lang w:val="en-US" w:eastAsia="zh-CN"/>
              </w:rPr>
              <w:instrText xml:space="preserve"> PAGEREF _Toc32049 \h </w:instrText>
            </w:r>
            <w:r>
              <w:rPr>
                <w:rFonts w:ascii="仿宋_GB2312" w:eastAsia="仿宋_GB2312" w:hAnsi="仿宋_GB2312" w:cs="仿宋_GB2312" w:hint="eastAsia"/>
                <w:sz w:val="32"/>
                <w:szCs w:val="32"/>
                <w:lang w:val="en-US" w:eastAsia="zh-CN"/>
              </w:rPr>
              <w:fldChar w:fldCharType="separate"/>
            </w:r>
            <w:r>
              <w:rPr>
                <w:rFonts w:ascii="仿宋_GB2312" w:eastAsia="仿宋_GB2312" w:hAnsi="仿宋_GB2312" w:cs="仿宋_GB2312" w:hint="eastAsia"/>
                <w:sz w:val="32"/>
                <w:szCs w:val="32"/>
                <w:lang w:val="en-US" w:eastAsia="zh-CN"/>
              </w:rPr>
              <w:t xml:space="preserve">11</w:t>
            </w:r>
            <w:r>
              <w:rPr>
                <w:rFonts w:ascii="仿宋_GB2312" w:eastAsia="仿宋_GB2312" w:hAnsi="仿宋_GB2312" w:cs="仿宋_GB2312" w:hint="eastAsia"/>
                <w:sz w:val="32"/>
                <w:szCs w:val="32"/>
                <w:lang w:val="en-US" w:eastAsia="zh-CN"/>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4339" w:history="1">
            <w:r>
              <w:rPr>
                <w:rFonts w:ascii="仿宋_GB2312" w:eastAsia="仿宋_GB2312" w:hAnsi="仿宋_GB2312" w:cs="仿宋_GB2312" w:hint="eastAsia"/>
                <w:bCs/>
                <w:sz w:val="32"/>
                <w:szCs w:val="32"/>
              </w:rPr>
              <w:t xml:space="preserve">四、绩效评价指标分析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_Toc4339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12</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9837" w:history="1">
            <w:r>
              <w:rPr>
                <w:rFonts w:ascii="仿宋_GB2312" w:eastAsia="仿宋_GB2312" w:hAnsi="仿宋_GB2312" w:cs="仿宋_GB2312" w:hint="default"/>
                <w:sz w:val="32"/>
                <w:szCs w:val="32"/>
              </w:rPr>
              <w:t xml:space="preserve">（一）项目决策情况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_Toc19837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2063" w:history="1">
            <w:r>
              <w:rPr>
                <w:rFonts w:ascii="仿宋_GB2312" w:eastAsia="仿宋_GB2312" w:hAnsi="仿宋_GB2312" w:cs="仿宋_GB2312" w:hint="eastAsia"/>
                <w:sz w:val="32"/>
                <w:szCs w:val="32"/>
              </w:rPr>
              <w:t xml:space="preserve">（二）项目过程情况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_Toc12063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15</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152"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三</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rPr>
              <w:t xml:space="preserve">项目产出情况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_Toc2152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17</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0257" w:history="1">
            <w:r>
              <w:rPr>
                <w:rFonts w:ascii="仿宋_GB2312" w:eastAsia="仿宋_GB2312" w:hAnsi="仿宋_GB2312" w:cs="仿宋_GB2312" w:hint="eastAsia"/>
                <w:sz w:val="32"/>
                <w:szCs w:val="32"/>
                <w:lang w:val="en-US" w:eastAsia="zh-CN"/>
              </w:rPr>
              <w:t xml:space="preserve">（四）项目效益情况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_Toc30257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9056" w:history="1">
            <w:r>
              <w:rPr>
                <w:rFonts w:ascii="仿宋_GB2312" w:eastAsia="仿宋_GB2312" w:hAnsi="仿宋_GB2312" w:cs="仿宋_GB2312" w:hint="eastAsia"/>
                <w:bCs/>
                <w:sz w:val="32"/>
                <w:szCs w:val="32"/>
                <w:lang w:val="en-US" w:eastAsia="zh-CN"/>
              </w:rPr>
              <w:t xml:space="preserve">五、</w:t>
            </w:r>
            <w:r>
              <w:rPr>
                <w:rFonts w:ascii="仿宋_GB2312" w:eastAsia="仿宋_GB2312" w:hAnsi="仿宋_GB2312" w:cs="仿宋_GB2312" w:hint="eastAsia"/>
                <w:bCs/>
                <w:sz w:val="32"/>
                <w:szCs w:val="32"/>
                <w:lang w:val="en-US"/>
              </w:rPr>
              <w:t xml:space="preserve">预算执行进度与</w:t>
            </w:r>
            <w:r>
              <w:rPr>
                <w:rFonts w:ascii="仿宋_GB2312" w:eastAsia="仿宋_GB2312" w:hAnsi="仿宋_GB2312" w:cs="仿宋_GB2312" w:hint="eastAsia"/>
                <w:bCs/>
                <w:sz w:val="32"/>
                <w:szCs w:val="32"/>
                <w:lang w:val="en-US" w:eastAsia="zh-CN"/>
              </w:rPr>
              <w:t xml:space="preserve">绩效指标偏差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_Toc9056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19</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19941" w:history="1">
            <w:r>
              <w:rPr>
                <w:rFonts w:ascii="仿宋_GB2312" w:eastAsia="仿宋_GB2312" w:hAnsi="仿宋_GB2312" w:cs="仿宋_GB2312" w:hint="eastAsia"/>
                <w:bCs/>
                <w:sz w:val="32"/>
                <w:szCs w:val="32"/>
              </w:rPr>
              <w:t xml:space="preserve">六、主要经验及做法、存在的问题及原因分析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_Toc19941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19</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pacing w:val="-4"/>
              <w:sz w:val="32"/>
              <w:szCs w:val="32"/>
            </w:rPr>
          </w:pPr>
          <w:hyperlink w:anchor="_Toc14091" w:history="1">
            <w:r>
              <w:rPr>
                <w:rFonts w:ascii="仿宋_GB2312" w:eastAsia="仿宋_GB2312" w:hAnsi="仿宋_GB2312" w:cs="仿宋_GB2312" w:hint="eastAsia"/>
                <w:spacing w:val="-4"/>
                <w:sz w:val="32"/>
                <w:szCs w:val="32"/>
              </w:rPr>
              <w:t xml:space="preserve">（一）主要经验及做法</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fldChar w:fldCharType="begin"/>
            </w:r>
            <w:r>
              <w:rPr>
                <w:rFonts w:ascii="仿宋_GB2312" w:eastAsia="仿宋_GB2312" w:hAnsi="仿宋_GB2312" w:cs="仿宋_GB2312" w:hint="eastAsia"/>
                <w:spacing w:val="-4"/>
                <w:sz w:val="32"/>
                <w:szCs w:val="32"/>
              </w:rPr>
              <w:instrText xml:space="preserve"> PAGEREF _Toc14091 \h </w:instrText>
            </w:r>
            <w:r>
              <w:rPr>
                <w:rFonts w:ascii="仿宋_GB2312" w:eastAsia="仿宋_GB2312" w:hAnsi="仿宋_GB2312" w:cs="仿宋_GB2312" w:hint="eastAsia"/>
                <w:spacing w:val="-4"/>
                <w:sz w:val="32"/>
                <w:szCs w:val="32"/>
              </w:rPr>
              <w:fldChar w:fldCharType="separate"/>
            </w:r>
            <w:r>
              <w:rPr>
                <w:rFonts w:ascii="仿宋_GB2312" w:eastAsia="仿宋_GB2312" w:hAnsi="仿宋_GB2312" w:cs="仿宋_GB2312" w:hint="eastAsia"/>
                <w:spacing w:val="-4"/>
                <w:sz w:val="32"/>
                <w:szCs w:val="32"/>
              </w:rPr>
              <w:t xml:space="preserve">19</w:t>
            </w:r>
            <w:r>
              <w:rPr>
                <w:rFonts w:ascii="仿宋_GB2312" w:eastAsia="仿宋_GB2312" w:hAnsi="仿宋_GB2312" w:cs="仿宋_GB2312" w:hint="eastAsia"/>
                <w:spacing w:val="-4"/>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1189" w:history="1">
            <w:r>
              <w:rPr>
                <w:rFonts w:ascii="仿宋_GB2312" w:eastAsia="仿宋_GB2312" w:hAnsi="仿宋_GB2312" w:cs="仿宋_GB2312" w:hint="eastAsia"/>
                <w:spacing w:val="-4"/>
                <w:sz w:val="32"/>
                <w:szCs w:val="32"/>
              </w:rPr>
              <w:t xml:space="preserve">（二）存在的问题及原因分析</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fldChar w:fldCharType="begin"/>
            </w:r>
            <w:r>
              <w:rPr>
                <w:rFonts w:ascii="仿宋_GB2312" w:eastAsia="仿宋_GB2312" w:hAnsi="仿宋_GB2312" w:cs="仿宋_GB2312" w:hint="eastAsia"/>
                <w:spacing w:val="-4"/>
                <w:sz w:val="32"/>
                <w:szCs w:val="32"/>
              </w:rPr>
              <w:instrText xml:space="preserve"> PAGEREF _Toc1189 \h </w:instrText>
            </w:r>
            <w:r>
              <w:rPr>
                <w:rFonts w:ascii="仿宋_GB2312" w:eastAsia="仿宋_GB2312" w:hAnsi="仿宋_GB2312" w:cs="仿宋_GB2312" w:hint="eastAsia"/>
                <w:spacing w:val="-4"/>
                <w:sz w:val="32"/>
                <w:szCs w:val="32"/>
              </w:rPr>
              <w:fldChar w:fldCharType="separate"/>
            </w:r>
            <w:r>
              <w:rPr>
                <w:rFonts w:ascii="仿宋_GB2312" w:eastAsia="仿宋_GB2312" w:hAnsi="仿宋_GB2312" w:cs="仿宋_GB2312" w:hint="eastAsia"/>
                <w:spacing w:val="-4"/>
                <w:sz w:val="32"/>
                <w:szCs w:val="32"/>
              </w:rPr>
              <w:t xml:space="preserve">20</w:t>
            </w:r>
            <w:r>
              <w:rPr>
                <w:rFonts w:ascii="仿宋_GB2312" w:eastAsia="仿宋_GB2312" w:hAnsi="仿宋_GB2312" w:cs="仿宋_GB2312" w:hint="eastAsia"/>
                <w:spacing w:val="-4"/>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30503" w:history="1">
            <w:r>
              <w:rPr>
                <w:rFonts w:ascii="仿宋_GB2312" w:eastAsia="仿宋_GB2312" w:hAnsi="仿宋_GB2312" w:cs="仿宋_GB2312" w:hint="eastAsia"/>
                <w:bCs/>
                <w:sz w:val="32"/>
                <w:szCs w:val="32"/>
              </w:rPr>
              <w:t xml:space="preserve">七、</w:t>
            </w:r>
            <w:r>
              <w:rPr>
                <w:rFonts w:ascii="仿宋_GB2312" w:eastAsia="仿宋_GB2312" w:hAnsi="仿宋_GB2312" w:cs="仿宋_GB2312" w:hint="eastAsia"/>
                <w:bCs/>
                <w:sz w:val="32"/>
                <w:szCs w:val="32"/>
              </w:rPr>
              <w:t xml:space="preserve">有关建议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_Toc30503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20</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7235" w:history="1">
            <w:r>
              <w:rPr>
                <w:rFonts w:ascii="仿宋_GB2312" w:eastAsia="仿宋_GB2312" w:hAnsi="仿宋_GB2312" w:cs="仿宋_GB2312" w:hint="eastAsia"/>
                <w:bCs/>
                <w:sz w:val="32"/>
                <w:szCs w:val="32"/>
              </w:rPr>
              <w:t xml:space="preserve">八、其他需要说明的问题</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_Toc27235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20</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3130" w:history="1">
            <w:r>
              <w:rPr>
                <w:rFonts w:ascii="仿宋_GB2312" w:eastAsia="仿宋_GB2312" w:hAnsi="仿宋_GB2312" w:cs="仿宋_GB2312" w:hint="eastAsia"/>
                <w:bCs/>
                <w:sz w:val="32"/>
                <w:szCs w:val="32"/>
                <w:lang w:val="en-US" w:eastAsia="zh-CN"/>
              </w:rPr>
              <w:t xml:space="preserve">附件1评价指标体系</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_Toc23130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21</w:t>
            </w:r>
            <w:r>
              <w:rPr>
                <w:rFonts w:ascii="仿宋_GB2312" w:eastAsia="仿宋_GB2312" w:hAnsi="仿宋_GB2312" w:cs="仿宋_GB2312" w:hint="eastAsia"/>
                <w:bCs/>
                <w:sz w:val="32"/>
                <w:szCs w:val="32"/>
              </w:rPr>
              <w:fldChar w:fldCharType="end"/>
            </w:r>
          </w:hyperlink>
        </w:p>
        <w:p>
          <w:pPr>
            <w:pStyle w:val="TOC1"/>
            <w:tabs>
              <w:tab w:val="right" w:leader="middleDot" w:pos="8548"/>
            </w:tabs>
          </w:pPr>
          <w:hyperlink w:anchor="_Toc28580" w:history="1">
            <w:r>
              <w:rPr>
                <w:rFonts w:ascii="仿宋_GB2312" w:eastAsia="仿宋_GB2312" w:hAnsi="仿宋_GB2312" w:cs="仿宋_GB2312" w:hint="eastAsia"/>
                <w:bCs/>
                <w:sz w:val="32"/>
                <w:szCs w:val="32"/>
                <w:lang w:val="en-US" w:eastAsia="zh-CN"/>
              </w:rPr>
              <w:t xml:space="preserve">附件2项目支出绩效自评表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_Toc28580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25</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kern w:val="2"/>
              <w:sz w:val="21"/>
              <w:szCs w:val="32"/>
              <w:lang w:val="en-US" w:eastAsia="zh-CN" w:bidi="ar-SA"/>
            </w:rPr>
          </w:pPr>
          <w:r>
            <w:rPr>
              <w:rFonts w:ascii="仿宋_GB2312" w:eastAsia="仿宋_GB2312" w:hAnsi="仿宋_GB2312" w:cs="仿宋_GB2312" w:hint="eastAsia"/>
              <w:bCs/>
              <w:szCs w:val="32"/>
              <w:lang w:val="en-US" w:eastAsia="zh-CN"/>
            </w:rPr>
            <w:fldChar w:fldCharType="end"/>
          </w:r>
        </w:p>
      </w:sdtContent>
    </w:sdt>
    <w:p>
      <w:pPr>
        <w:rPr>
          <w:rFonts w:hint="eastAsia"/>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pStyle w:val="Heading1"/>
        <w:keepNext w:val="0"/>
        <w:keepLines w:val="0"/>
        <w:pageBreakBefore w:val="0"/>
        <w:widowControl w:val="0"/>
        <w:kinsoku/>
        <w:wordWrap w:val="0"/>
        <w:overflowPunct/>
        <w:topLinePunct/>
        <w:autoSpaceDE/>
        <w:autoSpaceDN/>
        <w:bidi w:val="0"/>
        <w:adjustRightInd/>
        <w:snapToGrid/>
        <w:spacing w:before="0" w:beforeLines="0" w:after="0" w:afterLines="0" w:line="560" w:lineRule="exact"/>
        <w:ind w:firstLine="640" w:leftChars="0" w:firstLineChars="200"/>
        <w:jc w:val="both"/>
        <w:textAlignment w:val="auto"/>
        <w:rPr>
          <w:rFonts w:ascii="黑体" w:eastAsia="黑体" w:hAnsi="黑体" w:cs="黑体" w:hint="eastAsia"/>
          <w:b w:val="0"/>
          <w:bCs/>
          <w:sz w:val="32"/>
          <w:szCs w:val="32"/>
        </w:rPr>
      </w:pPr>
      <w:bookmarkStart w:id="2" w:name="_Toc29377"/>
      <w:r>
        <w:rPr>
          <w:rFonts w:ascii="黑体" w:eastAsia="黑体" w:hAnsi="黑体" w:cs="黑体" w:hint="eastAsia"/>
          <w:b w:val="0"/>
          <w:bCs/>
          <w:sz w:val="32"/>
          <w:szCs w:val="32"/>
          <w:lang w:val="en-US" w:eastAsia="zh-CN"/>
        </w:rPr>
        <w:t xml:space="preserve">一、</w:t>
      </w:r>
      <w:r>
        <w:rPr>
          <w:rFonts w:ascii="黑体" w:eastAsia="黑体" w:hAnsi="黑体" w:cs="黑体" w:hint="eastAsia"/>
          <w:b w:val="0"/>
          <w:bCs/>
          <w:sz w:val="32"/>
          <w:szCs w:val="32"/>
        </w:rPr>
        <w:t xml:space="preserve">基本情况</w:t>
      </w:r>
      <w:bookmarkEnd w:id="2"/>
      <w:bookmarkStart w:id="3" w:name="_Toc31078"/>
      <w:bookmarkStart w:id="4" w:name="_Toc30595"/>
    </w:p>
    <w:p>
      <w:pPr>
        <w:pStyle w:val="Heading1"/>
        <w:keepNext w:val="0"/>
        <w:keepLines w:val="0"/>
        <w:pageBreakBefore w:val="0"/>
        <w:widowControl w:val="0"/>
        <w:numPr>
          <w:numId w:val="0"/>
        </w:numPr>
        <w:kinsoku/>
        <w:wordWrap w:val="0"/>
        <w:overflowPunct/>
        <w:topLinePunct/>
        <w:autoSpaceDE/>
        <w:autoSpaceDN/>
        <w:bidi w:val="0"/>
        <w:adjustRightInd/>
        <w:snapToGrid/>
        <w:spacing w:before="0" w:beforeLines="0" w:after="0" w:afterLines="0" w:line="560" w:lineRule="exact"/>
        <w:ind w:firstLine="640" w:leftChars="0" w:firstLineChars="200"/>
        <w:jc w:val="both"/>
        <w:textAlignment w:val="auto"/>
        <w:rPr>
          <w:rFonts w:ascii="Times New Roman" w:eastAsia="楷体_GB2312" w:hAnsi="Times New Roman" w:cs="Times New Roman" w:hint="eastAsia"/>
          <w:b/>
          <w:bCs/>
          <w:sz w:val="32"/>
          <w:szCs w:val="32"/>
        </w:rPr>
      </w:pPr>
      <w:r>
        <w:rPr>
          <w:rFonts w:ascii="Times New Roman" w:eastAsia="楷体_GB2312" w:hAnsi="Times New Roman" w:cs="Times New Roman" w:hint="eastAsia"/>
          <w:b/>
          <w:bCs/>
          <w:sz w:val="32"/>
          <w:szCs w:val="32"/>
        </w:rPr>
        <w:t xml:space="preserve">（一）项目概况</w:t>
      </w:r>
      <w:bookmarkEnd w:id="3"/>
      <w:bookmarkEnd w:id="4"/>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2"/>
        <w:rPr>
          <w:rFonts w:ascii="Times New Roman" w:eastAsia="仿宋_GB2312" w:hAnsi="Times New Roman" w:cs="Times New Roman" w:hint="eastAsia"/>
          <w:b/>
          <w:bCs/>
          <w:sz w:val="32"/>
          <w:szCs w:val="32"/>
        </w:rPr>
      </w:pPr>
      <w:bookmarkStart w:id="5" w:name="_Toc13721"/>
      <w:r>
        <w:rPr>
          <w:rFonts w:ascii="Times New Roman" w:eastAsia="仿宋_GB2312" w:hAnsi="Times New Roman" w:cs="Times New Roman" w:hint="eastAsia"/>
          <w:b/>
          <w:bCs/>
          <w:sz w:val="32"/>
          <w:szCs w:val="32"/>
        </w:rPr>
        <w:t xml:space="preserve">1、项目背景</w:t>
      </w:r>
      <w:bookmarkEnd w:id="5"/>
    </w:p>
    <w:p>
      <w:pPr>
        <w:pStyle w:val="正文1"/>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eastAsia"/>
          <w:b w:val="0"/>
          <w:sz w:val="24"/>
          <w:szCs w:val="24"/>
          <w:u w:val="single"/>
          <w:lang w:val="en-US" w:eastAsia="zh-CN"/>
        </w:rPr>
      </w:pPr>
      <w:r>
        <w:rPr>
          <w:rFonts w:ascii="仿宋_GB2312" w:eastAsia="仿宋_GB2312" w:hAnsi="仿宋_GB2312" w:cs="仿宋_GB2312" w:hint="eastAsia"/>
          <w:b w:val="0"/>
          <w:sz w:val="32"/>
          <w:szCs w:val="32"/>
          <w:u w:val="none"/>
          <w:lang w:val="en-US" w:eastAsia="zh-CN"/>
        </w:rPr>
        <w:t xml:space="preserve">新疆维吾尔自治区水利科技发展中心是自治区一类事业单位，行使自治区水利厅网络安全与信息化领导小组办公室的职能，统筹自治区信息化的综合管理工作。主要承担全区水利信息化规划、设计、建设、运维及行业管理等工作。负责制定全区水利网信技术标准和规章制度，编制全区水利信息化综合规划和专项规划，对全区水利信息化工程建设进行协调指导、监督管理及质量评估；负责全区传统水利信息化和智慧水利建设相关基础算力设施及通信网络、天空地水工监测体系、水利数据归集管理、应用支撑服务、水利模型和知识库、应用系统等的信息应用建设与运行维护工作。此外，中心还承担了编制全区水利科技推广规划、计划；水利科技信息的收集、整理和发布；组织水利技术交流、产品推介、科技展览、科技培训、技术咨询等推广活动；开展重大水利关键性技术引进、试验、示范及适应技术的组装、集成与推广；参与科技推广示范基地的建设和管理。指导下级水利科技推广站、群众性科技组织和水利技术人员进行水利科技推广工作等职能。</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eastAsia"/>
          <w:kern w:val="2"/>
        </w:rPr>
      </w:pPr>
      <w:bookmarkStart w:id="6" w:name="_Toc30067"/>
      <w:r>
        <w:rPr>
          <w:rFonts w:ascii="Times New Roman" w:eastAsia="仿宋_GB2312" w:hAnsi="Times New Roman" w:cs="Times New Roman" w:hint="eastAsia"/>
          <w:kern w:val="2"/>
          <w:lang w:val="en-US" w:eastAsia="zh-CN"/>
        </w:rPr>
        <w:t xml:space="preserve">2、</w:t>
      </w:r>
      <w:r>
        <w:rPr>
          <w:rFonts w:ascii="Times New Roman" w:eastAsia="仿宋_GB2312" w:hAnsi="Times New Roman" w:cs="Times New Roman" w:hint="eastAsia"/>
          <w:kern w:val="2"/>
        </w:rPr>
        <w:t xml:space="preserve">项目主要内容</w:t>
      </w:r>
      <w:r>
        <w:rPr>
          <w:rFonts w:ascii="Times New Roman" w:eastAsia="仿宋_GB2312" w:hAnsi="Times New Roman" w:cs="Times New Roman" w:hint="eastAsia"/>
          <w:kern w:val="2"/>
          <w:lang w:val="en-US" w:eastAsia="zh-CN"/>
        </w:rPr>
        <w:t xml:space="preserve">及实施情况</w:t>
      </w:r>
      <w:r>
        <w:rPr>
          <w:rFonts w:ascii="Times New Roman" w:eastAsia="仿宋_GB2312" w:hAnsi="Times New Roman" w:cs="Times New Roman" w:hint="eastAsia"/>
          <w:kern w:val="2"/>
        </w:rPr>
        <w:t xml:space="preserve">：</w:t>
      </w:r>
      <w:bookmarkEnd w:id="6"/>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sz w:val="32"/>
          <w:szCs w:val="32"/>
          <w:lang w:val="en-US"/>
        </w:rPr>
      </w:pPr>
      <w:r>
        <w:rPr>
          <w:rFonts w:eastAsia="仿宋_GB2312" w:hint="eastAsia"/>
          <w:sz w:val="32"/>
          <w:szCs w:val="32"/>
        </w:rPr>
        <w:t xml:space="preserve">本项目主要包括：1.</w:t>
      </w:r>
      <w:r>
        <w:rPr>
          <w:rFonts w:eastAsia="仿宋_GB2312" w:hint="eastAsia"/>
          <w:sz w:val="32"/>
          <w:szCs w:val="32"/>
          <w:lang w:val="en-US" w:eastAsia="zh-CN"/>
        </w:rPr>
        <w:t xml:space="preserve">电</w:t>
      </w:r>
      <w:r>
        <w:rPr>
          <w:rFonts w:eastAsia="仿宋_GB2312" w:hint="eastAsia"/>
          <w:sz w:val="32"/>
          <w:szCs w:val="32"/>
        </w:rPr>
        <w:t xml:space="preserve">费，预算</w:t>
      </w:r>
      <w:r>
        <w:rPr>
          <w:rFonts w:eastAsia="仿宋_GB2312" w:hint="eastAsia"/>
          <w:sz w:val="32"/>
          <w:szCs w:val="32"/>
          <w:lang w:val="en-US" w:eastAsia="zh-CN"/>
        </w:rPr>
        <w:t xml:space="preserve">10</w:t>
      </w:r>
      <w:r>
        <w:rPr>
          <w:rFonts w:eastAsia="仿宋_GB2312" w:hint="eastAsia"/>
          <w:sz w:val="32"/>
          <w:szCs w:val="32"/>
        </w:rPr>
        <w:t xml:space="preserve">万元，包括</w:t>
      </w:r>
      <w:r>
        <w:rPr>
          <w:rFonts w:eastAsia="仿宋_GB2312" w:hint="eastAsia"/>
          <w:sz w:val="32"/>
          <w:szCs w:val="32"/>
          <w:lang w:val="en-US" w:eastAsia="zh-CN"/>
        </w:rPr>
        <w:t xml:space="preserve">水利厅中心机房、数据机房及网络信息中心办公用电</w:t>
      </w:r>
      <w:r>
        <w:rPr>
          <w:rFonts w:eastAsia="仿宋_GB2312" w:hint="eastAsia"/>
          <w:sz w:val="32"/>
          <w:szCs w:val="32"/>
        </w:rPr>
        <w:t xml:space="preserve">。2.差旅费，预算</w:t>
      </w:r>
      <w:r>
        <w:rPr>
          <w:rFonts w:eastAsia="仿宋_GB2312" w:hint="eastAsia"/>
          <w:sz w:val="32"/>
          <w:szCs w:val="32"/>
          <w:lang w:val="en-US" w:eastAsia="zh-CN"/>
        </w:rPr>
        <w:t xml:space="preserve">5</w:t>
      </w:r>
      <w:r>
        <w:rPr>
          <w:rFonts w:eastAsia="仿宋_GB2312" w:hint="eastAsia"/>
          <w:sz w:val="32"/>
          <w:szCs w:val="32"/>
        </w:rPr>
        <w:t xml:space="preserve">万元</w:t>
      </w:r>
      <w:r>
        <w:rPr>
          <w:rFonts w:eastAsia="仿宋_GB2312" w:hint="eastAsia"/>
          <w:sz w:val="32"/>
          <w:szCs w:val="32"/>
          <w:lang w:eastAsia="zh-CN"/>
        </w:rPr>
        <w:t xml:space="preserve">，</w:t>
      </w:r>
      <w:r>
        <w:rPr>
          <w:rFonts w:eastAsia="仿宋_GB2312" w:hint="eastAsia"/>
          <w:sz w:val="32"/>
          <w:szCs w:val="32"/>
          <w:lang w:val="en-US" w:eastAsia="zh-CN"/>
        </w:rPr>
        <w:t xml:space="preserve">根据业务范围和工作计划安排，用于全疆水利信息化建设和网络安全的技术指导及帮扶。</w:t>
      </w:r>
      <w:r>
        <w:rPr>
          <w:rFonts w:eastAsia="仿宋_GB2312" w:hint="eastAsia"/>
          <w:sz w:val="32"/>
          <w:szCs w:val="32"/>
        </w:rPr>
        <w:t xml:space="preserve">3.</w:t>
      </w:r>
      <w:r>
        <w:rPr>
          <w:rFonts w:eastAsia="仿宋_GB2312" w:hint="eastAsia"/>
          <w:sz w:val="32"/>
          <w:szCs w:val="32"/>
          <w:lang w:val="en-US" w:eastAsia="zh-CN"/>
        </w:rPr>
        <w:t xml:space="preserve">维修护费，预算3万元，用于机房和办公设备的零星维修养护。4.</w:t>
      </w:r>
      <w:r>
        <w:rPr>
          <w:rFonts w:eastAsia="仿宋_GB2312" w:hint="default"/>
          <w:sz w:val="32"/>
          <w:szCs w:val="32"/>
          <w:lang w:val="en-US" w:eastAsia="zh-CN"/>
        </w:rPr>
        <w:t xml:space="preserve">业务委托费</w:t>
      </w:r>
      <w:r>
        <w:rPr>
          <w:rFonts w:eastAsia="仿宋_GB2312" w:hint="eastAsia"/>
          <w:sz w:val="32"/>
          <w:szCs w:val="32"/>
          <w:lang w:val="en-US" w:eastAsia="zh-CN"/>
        </w:rPr>
        <w:t xml:space="preserve">，预算</w:t>
      </w:r>
      <w:r>
        <w:rPr>
          <w:rFonts w:eastAsia="仿宋_GB2312" w:hint="default"/>
          <w:sz w:val="32"/>
          <w:szCs w:val="32"/>
          <w:lang w:val="en-US" w:eastAsia="zh-CN"/>
        </w:rPr>
        <w:t xml:space="preserve">5万元</w:t>
      </w:r>
      <w:r>
        <w:rPr>
          <w:rFonts w:eastAsia="仿宋_GB2312" w:hint="eastAsia"/>
          <w:sz w:val="32"/>
          <w:szCs w:val="32"/>
          <w:lang w:val="en-US" w:eastAsia="zh-CN"/>
        </w:rPr>
        <w:t xml:space="preserve">，用于政务公开服务等</w:t>
      </w:r>
      <w:r>
        <w:rPr>
          <w:rFonts w:ascii="Times New Roman" w:eastAsia="仿宋_GB2312" w:hAnsi="Times New Roman" w:cs="Times New Roman" w:hint="eastAsia"/>
          <w:sz w:val="28"/>
          <w:szCs w:val="28"/>
          <w:lang w:val="en-US" w:eastAsia="zh-CN"/>
        </w:rPr>
        <w:t xml:space="preserve">。</w:t>
      </w:r>
      <w:r>
        <w:rPr>
          <w:rFonts w:eastAsia="仿宋_GB2312" w:hint="eastAsia"/>
          <w:sz w:val="32"/>
          <w:szCs w:val="32"/>
          <w:lang w:val="en-US" w:eastAsia="zh-CN"/>
        </w:rPr>
        <w:t xml:space="preserve">5.</w:t>
      </w:r>
      <w:r>
        <w:rPr>
          <w:rFonts w:eastAsia="仿宋_GB2312" w:hint="default"/>
          <w:sz w:val="32"/>
          <w:szCs w:val="32"/>
          <w:lang w:val="en-US" w:eastAsia="zh-CN"/>
        </w:rPr>
        <w:t xml:space="preserve">其他商品和服务支出</w:t>
      </w:r>
      <w:r>
        <w:rPr>
          <w:rFonts w:eastAsia="仿宋_GB2312" w:hint="eastAsia"/>
          <w:sz w:val="32"/>
          <w:szCs w:val="32"/>
          <w:lang w:val="en-US" w:eastAsia="zh-CN"/>
        </w:rPr>
        <w:t xml:space="preserve">，预算</w:t>
      </w:r>
      <w:r>
        <w:rPr>
          <w:rFonts w:eastAsia="仿宋_GB2312" w:hint="default"/>
          <w:sz w:val="32"/>
          <w:szCs w:val="32"/>
          <w:lang w:val="en-US" w:eastAsia="zh-CN"/>
        </w:rPr>
        <w:t xml:space="preserve">2万元</w:t>
      </w:r>
      <w:r>
        <w:rPr>
          <w:rFonts w:eastAsia="仿宋_GB2312" w:hint="eastAsia"/>
          <w:sz w:val="32"/>
          <w:szCs w:val="32"/>
          <w:lang w:val="en-US" w:eastAsia="zh-CN"/>
        </w:rPr>
        <w:t xml:space="preserve">，用于零星维修及其他支出。</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sz w:val="32"/>
          <w:szCs w:val="32"/>
        </w:rPr>
      </w:pPr>
      <w:r>
        <w:rPr>
          <w:rFonts w:eastAsia="仿宋_GB2312"/>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2"/>
        <w:rPr>
          <w:rFonts w:ascii="Times New Roman" w:eastAsia="仿宋_GB2312" w:hAnsi="Times New Roman" w:cs="Times New Roman" w:hint="eastAsia"/>
          <w:b/>
          <w:bCs/>
          <w:sz w:val="32"/>
          <w:szCs w:val="32"/>
        </w:rPr>
      </w:pPr>
      <w:bookmarkStart w:id="7" w:name="_Toc835"/>
      <w:r>
        <w:rPr>
          <w:rFonts w:ascii="Times New Roman" w:eastAsia="仿宋_GB2312" w:hAnsi="Times New Roman" w:cs="Times New Roman" w:hint="eastAsia"/>
          <w:b/>
          <w:bCs/>
          <w:sz w:val="32"/>
          <w:szCs w:val="32"/>
        </w:rPr>
        <w:t xml:space="preserve">3、资金投入和使用情况</w:t>
      </w:r>
      <w:bookmarkEnd w:id="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（1）资金</w:t>
      </w:r>
      <w:r>
        <w:rPr>
          <w:rFonts w:ascii="Times New Roman" w:eastAsia="仿宋_GB2312" w:hAnsi="Times New Roman" w:cs="Times New Roman" w:hint="default"/>
          <w:sz w:val="32"/>
          <w:szCs w:val="32"/>
        </w:rPr>
        <w:t xml:space="preserve">投入</w:t>
      </w:r>
      <w:r>
        <w:rPr>
          <w:rFonts w:ascii="仿宋_GB2312" w:eastAsia="仿宋_GB2312" w:hAnsi="仿宋_GB2312" w:cs="仿宋_GB2312" w:hint="eastAsia"/>
          <w:sz w:val="32"/>
          <w:szCs w:val="32"/>
        </w:rPr>
        <w:t xml:space="preserve">情况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该项目年初预算数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万元，全年预算数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万元，实际总投入</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万元，该项目资金已全部落实到位，资金来源为财政</w:t>
      </w:r>
      <w:r>
        <w:rPr>
          <w:rFonts w:eastAsia="仿宋_GB2312" w:cs="Times New Roman" w:hint="default"/>
          <w:sz w:val="32"/>
          <w:szCs w:val="32"/>
          <w:lang w:val="en-US" w:eastAsia="zh-CN"/>
        </w:rPr>
        <w:t xml:space="preserve">拨款资金</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（2）资金使用情况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w:t>
      </w:r>
      <w:r>
        <w:rPr>
          <w:rFonts w:ascii="Times New Roman" w:eastAsia="仿宋_GB2312" w:hAnsi="Times New Roman" w:cs="Times New Roman" w:hint="default"/>
          <w:sz w:val="32"/>
          <w:szCs w:val="32"/>
        </w:rPr>
        <w:t xml:space="preserve">全年预算数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万元，全年执行数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万元，预算执行率为</w:t>
      </w:r>
      <w:r>
        <w:rPr>
          <w:rFonts w:ascii="Times New Roman" w:eastAsia="仿宋_GB2312" w:hAnsi="Times New Roman" w:cs="Times New Roman" w:hint="default"/>
          <w:sz w:val="32"/>
          <w:szCs w:val="32"/>
          <w:lang w:val="en-US" w:eastAsia="zh-CN"/>
        </w:rPr>
        <w:t xml:space="preserve">100</w:t>
      </w:r>
      <w:r>
        <w:rPr>
          <w:rFonts w:ascii="Times New Roman" w:eastAsia="仿宋_GB2312" w:hAnsi="Times New Roman" w:cs="Times New Roman" w:hint="default"/>
          <w:sz w:val="32"/>
          <w:szCs w:val="32"/>
        </w:rPr>
        <w:t xml:space="preserve">%，主要</w:t>
      </w:r>
      <w:r>
        <w:rPr>
          <w:rFonts w:eastAsia="仿宋_GB2312" w:cs="Times New Roman" w:hint="eastAsia"/>
          <w:sz w:val="32"/>
          <w:szCs w:val="32"/>
          <w:lang w:val="en-US" w:eastAsia="zh-CN"/>
        </w:rPr>
        <w:t xml:space="preserve">用于</w:t>
      </w:r>
      <w:r>
        <w:rPr>
          <w:rFonts w:ascii="Times New Roman" w:eastAsia="仿宋_GB2312" w:hAnsi="Times New Roman" w:cs="Times New Roman" w:hint="default"/>
          <w:sz w:val="32"/>
          <w:szCs w:val="32"/>
        </w:rPr>
        <w:t xml:space="preserve">：</w:t>
      </w:r>
      <w:r>
        <w:rPr>
          <w:rFonts w:ascii="Times New Roman" w:eastAsia="仿宋_GB2312" w:hAnsi="Times New Roman" w:cs="Times New Roman" w:hint="default"/>
          <w:sz w:val="32"/>
          <w:szCs w:val="32"/>
          <w:lang w:val="en-US" w:eastAsia="zh-CN"/>
        </w:rPr>
        <w:t xml:space="preserve">电费、</w:t>
      </w:r>
      <w:r>
        <w:rPr>
          <w:rFonts w:ascii="Times New Roman" w:eastAsia="仿宋_GB2312" w:hAnsi="Times New Roman" w:cs="Times New Roman" w:hint="default"/>
          <w:sz w:val="32"/>
          <w:szCs w:val="32"/>
        </w:rPr>
        <w:t xml:space="preserve">差旅费、维修护费</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委托业务费、其他商品和服务支出</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lang w:val="en-US" w:eastAsia="zh-CN"/>
        </w:rPr>
        <w:t xml:space="preserve">电费</w:t>
      </w:r>
      <w:r>
        <w:rPr>
          <w:rFonts w:ascii="Times New Roman" w:eastAsia="仿宋_GB2312" w:hAnsi="Times New Roman" w:cs="Times New Roman" w:hint="default"/>
          <w:sz w:val="32"/>
          <w:szCs w:val="32"/>
        </w:rPr>
        <w:t xml:space="preserve">，年初预算</w:t>
      </w:r>
      <w:r>
        <w:rPr>
          <w:rFonts w:ascii="Times New Roman" w:eastAsia="仿宋_GB2312" w:hAnsi="Times New Roman" w:cs="Times New Roman" w:hint="default"/>
          <w:sz w:val="32"/>
          <w:szCs w:val="32"/>
          <w:lang w:val="en-US" w:eastAsia="zh-CN"/>
        </w:rPr>
        <w:t xml:space="preserve">10</w:t>
      </w:r>
      <w:r>
        <w:rPr>
          <w:rFonts w:ascii="Times New Roman" w:eastAsia="仿宋_GB2312" w:hAnsi="Times New Roman" w:cs="Times New Roman" w:hint="default"/>
          <w:sz w:val="32"/>
          <w:szCs w:val="32"/>
        </w:rPr>
        <w:t xml:space="preserve">元，主要</w:t>
      </w:r>
      <w:r>
        <w:rPr>
          <w:rFonts w:ascii="Times New Roman" w:eastAsia="仿宋_GB2312" w:hAnsi="Times New Roman" w:cs="Times New Roman" w:hint="default"/>
          <w:sz w:val="32"/>
          <w:szCs w:val="32"/>
          <w:lang w:val="en-US" w:eastAsia="zh-CN"/>
        </w:rPr>
        <w:t xml:space="preserve">用于水利厅中心机房、数据机房及网络信息中心办公用电，支出10万元</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2.差旅费，预算</w:t>
      </w:r>
      <w:r>
        <w:rPr>
          <w:rFonts w:ascii="Times New Roman" w:eastAsia="仿宋_GB2312" w:hAnsi="Times New Roman" w:cs="Times New Roman" w:hint="default"/>
          <w:sz w:val="32"/>
          <w:szCs w:val="32"/>
          <w:lang w:val="en-US" w:eastAsia="zh-CN"/>
        </w:rPr>
        <w:t xml:space="preserve">5</w:t>
      </w:r>
      <w:r>
        <w:rPr>
          <w:rFonts w:ascii="Times New Roman" w:eastAsia="仿宋_GB2312" w:hAnsi="Times New Roman" w:cs="Times New Roman" w:hint="default"/>
          <w:sz w:val="32"/>
          <w:szCs w:val="32"/>
        </w:rPr>
        <w:t xml:space="preserve">万元，主要用于对水利厅直属单位</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rPr>
        <w:t xml:space="preserve">地州水利局进行水利信息化工作指导、网络安全监督</w:t>
      </w:r>
      <w:r>
        <w:rPr>
          <w:rFonts w:eastAsia="仿宋_GB2312" w:cs="Times New Roman" w:hint="eastAsia"/>
          <w:sz w:val="32"/>
          <w:szCs w:val="32"/>
          <w:lang w:val="en-US" w:eastAsia="zh-CN"/>
        </w:rPr>
        <w:t xml:space="preserve">和</w:t>
      </w:r>
      <w:r>
        <w:rPr>
          <w:rFonts w:ascii="Times New Roman" w:eastAsia="仿宋_GB2312" w:hAnsi="Times New Roman" w:cs="Times New Roman" w:hint="default"/>
          <w:sz w:val="32"/>
          <w:szCs w:val="32"/>
        </w:rPr>
        <w:t xml:space="preserve">技术帮扶，支出</w:t>
      </w:r>
      <w:r>
        <w:rPr>
          <w:rFonts w:ascii="Times New Roman" w:eastAsia="仿宋_GB2312" w:hAnsi="Times New Roman" w:cs="Times New Roman" w:hint="default"/>
          <w:sz w:val="32"/>
          <w:szCs w:val="32"/>
          <w:lang w:val="en-US" w:eastAsia="zh-CN"/>
        </w:rPr>
        <w:t xml:space="preserve">5</w:t>
      </w:r>
      <w:r>
        <w:rPr>
          <w:rFonts w:ascii="Times New Roman" w:eastAsia="仿宋_GB2312" w:hAnsi="Times New Roman" w:cs="Times New Roman" w:hint="default"/>
          <w:sz w:val="32"/>
          <w:szCs w:val="32"/>
        </w:rPr>
        <w:t xml:space="preserve">万元</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default"/>
          <w:sz w:val="32"/>
          <w:szCs w:val="32"/>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3.维修护费，预算</w:t>
      </w:r>
      <w:r>
        <w:rPr>
          <w:rFonts w:ascii="Times New Roman" w:eastAsia="仿宋_GB2312" w:hAnsi="Times New Roman" w:cs="Times New Roman" w:hint="default"/>
          <w:sz w:val="32"/>
          <w:szCs w:val="32"/>
          <w:lang w:val="en-US" w:eastAsia="zh-CN"/>
        </w:rPr>
        <w:t xml:space="preserve">3</w:t>
      </w:r>
      <w:r>
        <w:rPr>
          <w:rFonts w:ascii="Times New Roman" w:eastAsia="仿宋_GB2312" w:hAnsi="Times New Roman" w:cs="Times New Roman" w:hint="default"/>
          <w:sz w:val="32"/>
          <w:szCs w:val="32"/>
        </w:rPr>
        <w:t xml:space="preserve">万元，</w:t>
      </w:r>
      <w:r>
        <w:rPr>
          <w:rFonts w:ascii="Times New Roman" w:eastAsia="仿宋_GB2312" w:hAnsi="Times New Roman" w:cs="Times New Roman" w:hint="default"/>
          <w:sz w:val="32"/>
          <w:szCs w:val="32"/>
          <w:lang w:val="en-US" w:eastAsia="zh-CN"/>
        </w:rPr>
        <w:t xml:space="preserve">主要用于</w:t>
      </w:r>
      <w:r>
        <w:rPr>
          <w:rFonts w:ascii="Times New Roman" w:eastAsia="仿宋_GB2312" w:hAnsi="Times New Roman" w:cs="Times New Roman" w:hint="default"/>
          <w:sz w:val="32"/>
          <w:szCs w:val="32"/>
        </w:rPr>
        <w:t xml:space="preserve">网信中心终端、打印机的维修、维护；机房网络设备、</w:t>
      </w:r>
      <w:r>
        <w:rPr>
          <w:rFonts w:ascii="Times New Roman" w:eastAsia="仿宋_GB2312" w:hAnsi="Times New Roman" w:cs="Times New Roman" w:hint="default"/>
          <w:sz w:val="32"/>
          <w:szCs w:val="32"/>
          <w:lang w:val="en-US" w:eastAsia="zh-CN"/>
        </w:rPr>
        <w:t xml:space="preserve">线路、</w:t>
      </w:r>
      <w:r>
        <w:rPr>
          <w:rFonts w:ascii="Times New Roman" w:eastAsia="仿宋_GB2312" w:hAnsi="Times New Roman" w:cs="Times New Roman" w:hint="default"/>
          <w:sz w:val="32"/>
          <w:szCs w:val="32"/>
        </w:rPr>
        <w:t xml:space="preserve">安全设备的零星维修；机房电源、空调等的零星维修</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rPr>
        <w:t xml:space="preserve">支出</w:t>
      </w:r>
      <w:r>
        <w:rPr>
          <w:rFonts w:ascii="Times New Roman" w:eastAsia="仿宋_GB2312" w:hAnsi="Times New Roman" w:cs="Times New Roman" w:hint="default"/>
          <w:sz w:val="32"/>
          <w:szCs w:val="32"/>
          <w:lang w:val="en-US" w:eastAsia="zh-CN"/>
        </w:rPr>
        <w:t xml:space="preserve">3</w:t>
      </w:r>
      <w:r>
        <w:rPr>
          <w:rFonts w:ascii="Times New Roman" w:eastAsia="仿宋_GB2312" w:hAnsi="Times New Roman" w:cs="Times New Roman" w:hint="default"/>
          <w:sz w:val="32"/>
          <w:szCs w:val="32"/>
        </w:rPr>
        <w:t xml:space="preserve">万元。</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eastAsia"/>
          <w:sz w:val="28"/>
          <w:szCs w:val="28"/>
          <w:lang w:val="en-US" w:eastAsia="zh-CN"/>
        </w:rPr>
      </w:pPr>
      <w:r>
        <w:rPr>
          <w:rFonts w:eastAsia="仿宋_GB2312" w:hint="eastAsia"/>
          <w:sz w:val="32"/>
          <w:szCs w:val="32"/>
          <w:lang w:val="en-US" w:eastAsia="zh-CN"/>
        </w:rPr>
        <w:t xml:space="preserve">4.</w:t>
      </w:r>
      <w:r>
        <w:rPr>
          <w:rFonts w:eastAsia="仿宋_GB2312" w:hint="default"/>
          <w:sz w:val="32"/>
          <w:szCs w:val="32"/>
          <w:lang w:val="en-US" w:eastAsia="zh-CN"/>
        </w:rPr>
        <w:t xml:space="preserve">业务委托费</w:t>
      </w:r>
      <w:r>
        <w:rPr>
          <w:rFonts w:eastAsia="仿宋_GB2312" w:hint="eastAsia"/>
          <w:sz w:val="32"/>
          <w:szCs w:val="32"/>
          <w:lang w:val="en-US" w:eastAsia="zh-CN"/>
        </w:rPr>
        <w:t xml:space="preserve">，预算</w:t>
      </w:r>
      <w:r>
        <w:rPr>
          <w:rFonts w:eastAsia="仿宋_GB2312" w:hint="default"/>
          <w:sz w:val="32"/>
          <w:szCs w:val="32"/>
          <w:lang w:val="en-US" w:eastAsia="zh-CN"/>
        </w:rPr>
        <w:t xml:space="preserve">5万元</w:t>
      </w:r>
      <w:r>
        <w:rPr>
          <w:rFonts w:eastAsia="仿宋_GB2312" w:hint="eastAsia"/>
          <w:sz w:val="32"/>
          <w:szCs w:val="32"/>
          <w:lang w:val="en-US" w:eastAsia="zh-CN"/>
        </w:rPr>
        <w:t xml:space="preserve">，用于政务公开服务等，支出5万元</w:t>
      </w:r>
      <w:r>
        <w:rPr>
          <w:rFonts w:ascii="Times New Roman" w:eastAsia="仿宋_GB2312" w:hAnsi="Times New Roman" w:cs="Times New Roman" w:hint="eastAsia"/>
          <w:sz w:val="28"/>
          <w:szCs w:val="28"/>
          <w:lang w:val="en-US" w:eastAsia="zh-CN"/>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sz w:val="32"/>
          <w:szCs w:val="32"/>
          <w:lang w:val="en-US"/>
        </w:rPr>
      </w:pPr>
      <w:r>
        <w:rPr>
          <w:rFonts w:eastAsia="仿宋_GB2312" w:hint="eastAsia"/>
          <w:sz w:val="32"/>
          <w:szCs w:val="32"/>
          <w:lang w:val="en-US" w:eastAsia="zh-CN"/>
        </w:rPr>
        <w:t xml:space="preserve">5.</w:t>
      </w:r>
      <w:r>
        <w:rPr>
          <w:rFonts w:eastAsia="仿宋_GB2312" w:hint="default"/>
          <w:sz w:val="32"/>
          <w:szCs w:val="32"/>
          <w:lang w:val="en-US" w:eastAsia="zh-CN"/>
        </w:rPr>
        <w:t xml:space="preserve">其他商品和服务支出</w:t>
      </w:r>
      <w:r>
        <w:rPr>
          <w:rFonts w:eastAsia="仿宋_GB2312" w:hint="eastAsia"/>
          <w:sz w:val="32"/>
          <w:szCs w:val="32"/>
          <w:lang w:val="en-US" w:eastAsia="zh-CN"/>
        </w:rPr>
        <w:t xml:space="preserve">，预算</w:t>
      </w:r>
      <w:r>
        <w:rPr>
          <w:rFonts w:eastAsia="仿宋_GB2312" w:hint="default"/>
          <w:sz w:val="32"/>
          <w:szCs w:val="32"/>
          <w:lang w:val="en-US" w:eastAsia="zh-CN"/>
        </w:rPr>
        <w:t xml:space="preserve">2万元</w:t>
      </w:r>
      <w:r>
        <w:rPr>
          <w:rFonts w:eastAsia="仿宋_GB2312" w:hint="eastAsia"/>
          <w:sz w:val="32"/>
          <w:szCs w:val="32"/>
          <w:lang w:val="en-US" w:eastAsia="zh-CN"/>
        </w:rPr>
        <w:t xml:space="preserve">，用于零星维修及其他支出，支出2万元。</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8" w:name="_Toc32426"/>
      <w:bookmarkStart w:id="9" w:name="_Toc21960"/>
      <w:r>
        <w:rPr>
          <w:rFonts w:ascii="Times New Roman" w:eastAsia="楷体_GB2312" w:hAnsi="Times New Roman" w:cs="Times New Roman" w:hint="eastAsia"/>
          <w:b/>
          <w:bCs/>
          <w:sz w:val="32"/>
          <w:szCs w:val="32"/>
        </w:rPr>
        <w:t xml:space="preserve">（二）项目绩效目标</w:t>
      </w:r>
      <w:bookmarkEnd w:id="8"/>
      <w:bookmarkEnd w:id="9"/>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eastAsia"/>
          <w:sz w:val="32"/>
          <w:szCs w:val="32"/>
        </w:rPr>
      </w:pPr>
      <w:bookmarkStart w:id="10" w:name="_Toc14119"/>
      <w:r>
        <w:rPr>
          <w:rFonts w:ascii="Times New Roman" w:eastAsia="仿宋_GB2312" w:hAnsi="Times New Roman" w:cs="Times New Roman" w:hint="eastAsia"/>
          <w:sz w:val="32"/>
          <w:szCs w:val="32"/>
        </w:rPr>
        <w:t xml:space="preserve">1</w:t>
      </w:r>
      <w:r>
        <w:rPr>
          <w:rFonts w:eastAsia="仿宋_GB2312" w:cs="Times New Roman" w:hint="eastAsia"/>
          <w:sz w:val="32"/>
          <w:szCs w:val="32"/>
          <w:lang w:eastAsia="zh-CN"/>
        </w:rPr>
        <w:t xml:space="preserve">.</w:t>
      </w:r>
      <w:r>
        <w:rPr>
          <w:rFonts w:ascii="Times New Roman" w:eastAsia="仿宋_GB2312" w:hAnsi="Times New Roman" w:cs="Times New Roman" w:hint="eastAsia"/>
          <w:sz w:val="32"/>
          <w:szCs w:val="32"/>
        </w:rPr>
        <w:t xml:space="preserve">总体目标</w:t>
      </w:r>
      <w:bookmarkEnd w:id="10"/>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eastAsia"/>
          <w:sz w:val="32"/>
          <w:szCs w:val="32"/>
        </w:rPr>
      </w:pPr>
      <w:r>
        <w:rPr>
          <w:rFonts w:eastAsia="仿宋_GB2312" w:hint="eastAsia"/>
          <w:sz w:val="32"/>
          <w:szCs w:val="32"/>
        </w:rPr>
        <w:t xml:space="preserve">通过本项目，实现2025年水利厅电子政务、网站、OA、异地视频会商系统正常运行；保证机房设备正常运行；做好水利厅直属各单位的网络安全检查和监督指导。</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rPr>
      </w:pPr>
      <w:bookmarkStart w:id="11" w:name="_Toc519"/>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rPr>
        <w:t xml:space="preserve">阶段性目标</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rPr>
        <w:t xml:space="preserve">本项目主要保证水利厅正常运行提供信息化支撑保障，阶段工作内容包括以下：</w:t>
      </w:r>
      <w:r>
        <w:rPr>
          <w:rFonts w:ascii="仿宋_GB2312" w:eastAsia="仿宋_GB2312" w:hAnsi="仿宋_GB2312" w:cs="仿宋_GB2312" w:hint="eastAsia"/>
          <w:sz w:val="32"/>
          <w:szCs w:val="32"/>
          <w:lang w:val="en-US" w:eastAsia="zh-CN"/>
        </w:rPr>
        <w:t xml:space="preserve">保证</w:t>
      </w:r>
      <w:r>
        <w:rPr>
          <w:rFonts w:ascii="仿宋_GB2312" w:eastAsia="仿宋_GB2312" w:hAnsi="仿宋_GB2312" w:cs="仿宋_GB2312" w:hint="eastAsia"/>
          <w:sz w:val="32"/>
          <w:szCs w:val="32"/>
        </w:rPr>
        <w:t xml:space="preserve">机房设备正常运行；</w:t>
      </w:r>
      <w:r>
        <w:rPr>
          <w:rFonts w:ascii="仿宋_GB2312" w:eastAsia="仿宋_GB2312" w:hAnsi="仿宋_GB2312" w:cs="仿宋_GB2312" w:hint="eastAsia"/>
          <w:sz w:val="32"/>
          <w:szCs w:val="32"/>
          <w:lang w:val="en-US" w:eastAsia="zh-CN"/>
        </w:rPr>
        <w:t xml:space="preserve">保证OA、网站、微信公众号正常</w:t>
      </w:r>
      <w:r>
        <w:rPr>
          <w:rFonts w:ascii="仿宋_GB2312" w:eastAsia="仿宋_GB2312" w:hAnsi="仿宋_GB2312" w:cs="仿宋_GB2312" w:hint="eastAsia"/>
          <w:sz w:val="32"/>
          <w:szCs w:val="32"/>
        </w:rPr>
        <w:t xml:space="preserve">；视频会议设备</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rPr>
        <w:t xml:space="preserve">综治视联网</w:t>
      </w:r>
      <w:r>
        <w:rPr>
          <w:rFonts w:ascii="仿宋_GB2312" w:eastAsia="仿宋_GB2312" w:hAnsi="仿宋_GB2312" w:cs="仿宋_GB2312" w:hint="eastAsia"/>
          <w:sz w:val="32"/>
          <w:szCs w:val="32"/>
          <w:lang w:val="en-US" w:eastAsia="zh-CN"/>
        </w:rPr>
        <w:t xml:space="preserve">正常运行</w:t>
      </w:r>
      <w:r>
        <w:rPr>
          <w:rFonts w:ascii="仿宋_GB2312" w:eastAsia="仿宋_GB2312" w:hAnsi="仿宋_GB2312" w:cs="仿宋_GB2312" w:hint="eastAsia"/>
          <w:sz w:val="32"/>
          <w:szCs w:val="32"/>
          <w:lang w:eastAsia="zh-CN"/>
        </w:rPr>
        <w:t xml:space="preserve">；对水利厅直属单位进行网络安全监督</w:t>
      </w:r>
      <w:r>
        <w:rPr>
          <w:rFonts w:ascii="仿宋_GB2312" w:eastAsia="仿宋_GB2312" w:hAnsi="仿宋_GB2312" w:cs="仿宋_GB2312" w:hint="eastAsia"/>
          <w:sz w:val="32"/>
          <w:szCs w:val="32"/>
          <w:lang w:val="en-US" w:eastAsia="zh-CN"/>
        </w:rPr>
        <w:t xml:space="preserve">检查</w:t>
      </w:r>
      <w:r>
        <w:rPr>
          <w:rFonts w:ascii="仿宋_GB2312" w:eastAsia="仿宋_GB2312" w:hAnsi="仿宋_GB2312" w:cs="仿宋_GB2312" w:hint="eastAsia"/>
          <w:sz w:val="32"/>
          <w:szCs w:val="32"/>
          <w:lang w:eastAsia="zh-CN"/>
        </w:rPr>
        <w:t xml:space="preserve">，对地州水利局进行技术帮扶。</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0"/>
        <w:rPr>
          <w:rFonts w:ascii="Times New Roman" w:eastAsia="黑体" w:hAnsi="Times New Roman" w:cs="Times New Roman" w:hint="eastAsia"/>
          <w:sz w:val="32"/>
          <w:szCs w:val="32"/>
        </w:rPr>
      </w:pPr>
      <w:bookmarkStart w:id="12" w:name="_Toc14883"/>
      <w:bookmarkStart w:id="13" w:name="_Toc9996"/>
      <w:r>
        <w:rPr>
          <w:rFonts w:ascii="Times New Roman" w:eastAsia="黑体" w:hAnsi="Times New Roman" w:cs="Times New Roman" w:hint="eastAsia"/>
          <w:sz w:val="32"/>
          <w:szCs w:val="32"/>
        </w:rPr>
        <w:t xml:space="preserve">二、绩效评价工作开展情况</w:t>
      </w:r>
      <w:bookmarkEnd w:id="12"/>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14" w:name="_Toc320"/>
      <w:bookmarkStart w:id="15" w:name="_Toc16127"/>
      <w:r>
        <w:rPr>
          <w:rFonts w:ascii="Times New Roman" w:eastAsia="楷体_GB2312" w:hAnsi="Times New Roman" w:cs="Times New Roman" w:hint="eastAsia"/>
          <w:b/>
          <w:bCs/>
          <w:sz w:val="32"/>
          <w:szCs w:val="32"/>
        </w:rPr>
        <w:t xml:space="preserve">（一）绩效评价目的、对象和范围</w:t>
      </w:r>
      <w:bookmarkEnd w:id="14"/>
      <w:bookmarkEnd w:id="15"/>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eastAsia"/>
          <w:b w:val="0"/>
          <w:bCs w:val="0"/>
          <w:sz w:val="32"/>
          <w:szCs w:val="32"/>
          <w:lang w:val="en-US" w:eastAsia="zh-CN"/>
        </w:rPr>
      </w:pPr>
      <w:bookmarkStart w:id="16" w:name="_Toc23124"/>
      <w:r>
        <w:rPr>
          <w:rFonts w:ascii="Times New Roman" w:eastAsia="仿宋_GB2312" w:hAnsi="Times New Roman" w:cs="Times New Roman" w:hint="eastAsia"/>
          <w:b w:val="0"/>
          <w:bCs w:val="0"/>
          <w:sz w:val="32"/>
          <w:szCs w:val="32"/>
          <w:lang w:val="en-US" w:eastAsia="zh-CN"/>
        </w:rPr>
        <w:t xml:space="preserve">1、绩效评价的完整性</w:t>
      </w:r>
      <w:bookmarkEnd w:id="16"/>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rPr>
      </w:pPr>
      <w:r>
        <w:rPr>
          <w:rFonts w:ascii="仿宋_GB2312" w:eastAsia="仿宋_GB2312" w:hAnsi="仿宋_GB2312" w:cs="仿宋_GB2312" w:hint="default"/>
          <w:sz w:val="32"/>
          <w:szCs w:val="32"/>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hint="eastAsia"/>
          <w:lang w:val="en-US" w:eastAsia="zh-CN"/>
        </w:rPr>
      </w:pPr>
      <w:r>
        <w:rPr>
          <w:rFonts w:ascii="仿宋_GB2312" w:eastAsia="仿宋_GB2312" w:hAnsi="仿宋_GB2312" w:cs="仿宋_GB2312" w:hint="default"/>
          <w:sz w:val="32"/>
          <w:szCs w:val="32"/>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bookmarkStart w:id="17" w:name="_Toc13880"/>
      <w:r>
        <w:rPr>
          <w:rFonts w:ascii="Times New Roman" w:eastAsia="仿宋_GB2312" w:hAnsi="Times New Roman" w:hint="eastAsia"/>
          <w:b w:val="0"/>
          <w:bCs w:val="0"/>
          <w:lang w:val="en-US" w:eastAsia="zh-CN"/>
        </w:rPr>
        <w:t xml:space="preserve">2、</w:t>
      </w:r>
      <w:r>
        <w:rPr>
          <w:rFonts w:ascii="Times New Roman" w:eastAsia="仿宋_GB2312" w:hAnsi="Times New Roman" w:hint="eastAsia"/>
          <w:b w:val="0"/>
          <w:bCs w:val="0"/>
        </w:rPr>
        <w:t xml:space="preserve">绩效评价的目的</w:t>
      </w:r>
      <w:bookmarkEnd w:id="1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（1）评估项目实施效果</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（2）提升资源利用效率</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（3）强化项目管理责任</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（4）为决策提供支持</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（5）促进项目持续改进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方正仿宋_GBK" w:cs="方正仿宋_GBK"/>
          <w:sz w:val="32"/>
          <w:szCs w:val="32"/>
        </w:rPr>
      </w:pPr>
      <w:r>
        <w:rPr>
          <w:rFonts w:eastAsia="仿宋_GB2312"/>
          <w:sz w:val="32"/>
          <w:szCs w:val="32"/>
        </w:rPr>
        <w:t xml:space="preserve">综合来看，通过开展有效的财政支出绩效评价管理，</w:t>
      </w:r>
      <w:r>
        <w:rPr>
          <w:rFonts w:eastAsia="仿宋_GB2312" w:hint="eastAsia"/>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bookmarkStart w:id="18" w:name="_Toc21140"/>
      <w:r>
        <w:rPr>
          <w:rFonts w:ascii="Times New Roman" w:eastAsia="仿宋_GB2312" w:hAnsi="Times New Roman" w:hint="eastAsia"/>
          <w:b w:val="0"/>
          <w:bCs w:val="0"/>
          <w:lang w:val="en-US" w:eastAsia="zh-CN"/>
        </w:rPr>
        <w:t xml:space="preserve">3</w:t>
      </w:r>
      <w:r>
        <w:rPr>
          <w:rFonts w:ascii="Times New Roman" w:eastAsia="仿宋_GB2312" w:hAnsi="Times New Roman" w:hint="eastAsia"/>
          <w:b w:val="0"/>
          <w:bCs w:val="0"/>
        </w:rPr>
        <w:t xml:space="preserve">、绩效评价的对象</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自治区</w:t>
      </w:r>
      <w:r>
        <w:rPr>
          <w:rFonts w:ascii="Times New Roman" w:eastAsia="仿宋_GB2312" w:hAnsi="Times New Roman" w:cs="Times New Roman" w:hint="eastAsia"/>
          <w:b w:val="0"/>
          <w:bCs w:val="0"/>
          <w:highlight w:val="none"/>
        </w:rPr>
        <w:t xml:space="preserve">水利发展资金</w:t>
      </w:r>
      <w:r>
        <w:rPr>
          <w:rFonts w:ascii="Times New Roman" w:eastAsia="仿宋_GB2312" w:hAnsi="Times New Roman" w:cs="Times New Roman" w:hint="eastAsia"/>
          <w:b w:val="0"/>
          <w:bCs w:val="0"/>
          <w:highlight w:val="none"/>
          <w:lang w:val="en-US" w:eastAsia="zh-CN"/>
        </w:rPr>
        <w:t xml:space="preserve">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自治区水利科技发展中心</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rPr>
        <w:t xml:space="preserve">实现2025年水利厅电子政务、网站、OA、异地视频会商系统正常运行；保证机房设备正常运行；做好水利厅直属各单位的网络安全检查和监督指导</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2025年1月</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2025年12月</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25</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eastAsia"/>
          <w:b w:val="0"/>
          <w:bCs w:val="0"/>
          <w:sz w:val="32"/>
          <w:szCs w:val="32"/>
          <w:lang w:val="en-US" w:eastAsia="zh-CN"/>
        </w:rPr>
      </w:pPr>
      <w:bookmarkStart w:id="19" w:name="_Toc88"/>
      <w:r>
        <w:rPr>
          <w:rFonts w:ascii="Times New Roman" w:eastAsia="仿宋_GB2312" w:hAnsi="Times New Roman" w:cs="Times New Roman" w:hint="eastAsia"/>
          <w:b w:val="0"/>
          <w:bCs w:val="0"/>
          <w:sz w:val="32"/>
          <w:szCs w:val="32"/>
          <w:lang w:val="en-US" w:eastAsia="zh-CN"/>
        </w:rPr>
        <w:t xml:space="preserve">4、绩效评价的范围</w:t>
      </w:r>
      <w:bookmarkEnd w:id="1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w:t>
      </w:r>
      <w:r>
        <w:rPr>
          <w:rFonts w:ascii="Times New Roman" w:eastAsia="仿宋_GB2312" w:hAnsi="Times New Roman" w:cs="Times New Roman" w:hint="default"/>
          <w:b w:val="0"/>
          <w:bCs w:val="0"/>
          <w:i w:val="0"/>
          <w:iCs w:val="0"/>
          <w:sz w:val="32"/>
          <w:szCs w:val="32"/>
          <w:highlight w:val="none"/>
          <w:u w:val="none"/>
        </w:rPr>
        <w:t xml:space="preserve">有效提高水利厅信息系统网络安全</w:t>
      </w:r>
      <w:r>
        <w:rPr>
          <w:rFonts w:ascii="Times New Roman" w:eastAsia="仿宋_GB2312" w:hAnsi="Times New Roman" w:cs="Times New Roman" w:hint="default"/>
          <w:b w:val="0"/>
          <w:bCs w:val="0"/>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20" w:name="_Toc30131"/>
      <w:bookmarkStart w:id="21" w:name="_Toc27982"/>
      <w:r>
        <w:rPr>
          <w:rFonts w:ascii="Times New Roman" w:eastAsia="楷体_GB2312" w:hAnsi="Times New Roman" w:cs="Times New Roman" w:hint="eastAsia"/>
          <w:b/>
          <w:bCs/>
          <w:sz w:val="32"/>
          <w:szCs w:val="32"/>
        </w:rPr>
        <w:t xml:space="preserve">（二）绩效评价原则、评价指标体系（详情见表1）、评价方法、评价标准。</w:t>
      </w:r>
      <w:bookmarkEnd w:id="20"/>
      <w:bookmarkEnd w:id="21"/>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2" w:name="_Toc17436"/>
      <w:r>
        <w:rPr>
          <w:rFonts w:ascii="Times New Roman" w:eastAsia="仿宋_GB2312" w:hAnsi="Times New Roman" w:cs="Times New Roman" w:hint="eastAsia"/>
          <w:b w:val="0"/>
          <w:bCs w:val="0"/>
        </w:rPr>
        <w:t xml:space="preserve">1</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eastAsia"/>
          <w:b w:val="0"/>
          <w:bCs w:val="0"/>
        </w:rPr>
        <w:t xml:space="preserve">绩效评价原则</w:t>
      </w:r>
      <w:bookmarkEnd w:id="22"/>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本次项目绩效评价遵循以下基本原则：</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3" w:name="_Toc3624"/>
      <w:r>
        <w:rPr>
          <w:rFonts w:ascii="Times New Roman" w:eastAsia="仿宋_GB2312" w:hAnsi="Times New Roman" w:cs="Times New Roman" w:hint="eastAsia"/>
          <w:b w:val="0"/>
          <w:bCs w:val="0"/>
        </w:rPr>
        <w:t xml:space="preserve">2</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eastAsia"/>
          <w:b w:val="0"/>
          <w:bCs w:val="0"/>
        </w:rPr>
        <w:t xml:space="preserve">评价指标体系</w:t>
      </w:r>
      <w:bookmarkEnd w:id="23"/>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绩效评价框架是开展绩效评价的核心。绩效评价框架包括评价准则、关键评价问题、评价指标、数据来源、数据收集方法等。指标体系建立过程如下：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（1）确定评价指标</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（2）确定权重</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eastAsia"/>
          <w:b w:val="0"/>
          <w:bCs w:val="0"/>
          <w:highlight w:val="none"/>
        </w:rPr>
        <w:t xml:space="preserve">确定各个指标相对于项目总体绩效的权重分值。在绩效评价指标体系中，项目决策权重为20分，项目过程权重为20分，项目产出权重为40分，项目效益权重为20分。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（3）确定指标标准值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4" w:name="_Toc3615"/>
      <w:r>
        <w:rPr>
          <w:rFonts w:ascii="Times New Roman" w:eastAsia="仿宋_GB2312" w:hAnsi="Times New Roman" w:cs="Times New Roman" w:hint="eastAsia"/>
          <w:b w:val="0"/>
          <w:bCs w:val="0"/>
        </w:rPr>
        <w:t xml:space="preserve">3、绩效评价方法</w:t>
      </w:r>
      <w:bookmarkEnd w:id="24"/>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绩效评价从项目决策、项目过程、项目产出、项目效益四个维度进行评价。评价对象为项目目标实施情况，评价核心为资金的支出完成情况和项目的产出效益。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eastAsia="仿宋_GB2312"/>
          <w:color w:val="000000"/>
          <w:spacing w:val="17"/>
          <w:sz w:val="32"/>
          <w:szCs w:val="32"/>
        </w:rPr>
      </w:pPr>
      <w:r>
        <w:rPr>
          <w:rFonts w:ascii="Times New Roman" w:eastAsia="仿宋_GB2312" w:hAnsi="Times New Roman" w:cs="Times New Roman" w:hint="default"/>
          <w:b w:val="0"/>
          <w:bCs w:val="0"/>
          <w:highlight w:val="none"/>
        </w:rPr>
        <w:t xml:space="preserve">本次评价指标中，既有定性指标又有定量指标，各类指标因考核内容不同和客观标准不同存在较大差异，因此核定具体指标时采用了不同方法，具体评价方法如下：</w:t>
      </w:r>
      <w:r>
        <w:rPr>
          <w:rFonts w:eastAsia="仿宋_GB2312"/>
          <w:color w:val="000000"/>
          <w:spacing w:val="17"/>
          <w:sz w:val="32"/>
          <w:szCs w:val="32"/>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（1）比较法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eastAsia="仿宋_GB2312" w:hint="default"/>
          <w:kern w:val="28"/>
          <w:sz w:val="32"/>
          <w:szCs w:val="32"/>
          <w:highlight w:val="none"/>
          <w:lang w:val="en-US" w:eastAsia="zh-CN"/>
        </w:rPr>
        <w:t xml:space="preserve">是指将实施情况与绩效目标、历史情况、不同部门和地区同类支出情况进行比较的方法。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（2）因素分析法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highlight w:val="none"/>
          <w:lang w:val="en-US" w:eastAsia="zh-CN"/>
        </w:rPr>
      </w:pPr>
      <w:bookmarkStart w:id="25" w:name="_Toc14871"/>
      <w:r>
        <w:rPr>
          <w:rFonts w:ascii="Times New Roman" w:eastAsia="仿宋_GB2312" w:hAnsi="Times New Roman" w:cs="Times New Roman" w:hint="eastAsia"/>
          <w:b w:val="0"/>
          <w:bCs w:val="0"/>
          <w:highlight w:val="none"/>
          <w:lang w:val="en-US" w:eastAsia="zh-CN"/>
        </w:rPr>
        <w:t xml:space="preserve">4、评价标准</w:t>
      </w:r>
      <w:bookmarkEnd w:id="25"/>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绩效评价标准通常包括计划标准、行业标准、历史标准等，用于对绩效指标完成情况进行比较、分析、评价。</w:t>
      </w:r>
      <w:r>
        <w:rPr>
          <w:rFonts w:eastAsia="仿宋_GB2312" w:hint="eastAsia"/>
          <w:kern w:val="28"/>
          <w:sz w:val="32"/>
          <w:szCs w:val="32"/>
          <w:highlight w:val="none"/>
          <w:lang w:val="en-US" w:eastAsia="zh-CN"/>
        </w:rPr>
        <w:t xml:space="preserve">具体绩效评价标准解释如下：</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bookmarkStart w:id="26" w:name="_Toc31464"/>
      <w:bookmarkStart w:id="27" w:name="_Toc17882"/>
      <w:r>
        <w:rPr>
          <w:rFonts w:ascii="Times New Roman" w:eastAsia="仿宋_GB2312" w:hAnsi="Times New Roman" w:cs="Times New Roman" w:hint="eastAsia"/>
          <w:b w:val="0"/>
          <w:bCs w:val="0"/>
          <w:kern w:val="28"/>
          <w:sz w:val="32"/>
          <w:szCs w:val="32"/>
          <w:highlight w:val="none"/>
          <w:lang w:val="en-US" w:eastAsia="zh-CN" w:bidi="ar-SA"/>
        </w:rPr>
        <w:t xml:space="preserve">（1）计划标准：指以预先制定的目标、计划、预算、定额等作为评价标准。</w:t>
      </w:r>
      <w:bookmarkEnd w:id="26"/>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bookmarkStart w:id="28" w:name="_Toc2318"/>
      <w:bookmarkStart w:id="29" w:name="_Toc5633"/>
      <w:r>
        <w:rPr>
          <w:rFonts w:ascii="Times New Roman" w:eastAsia="仿宋_GB2312" w:hAnsi="Times New Roman" w:cs="Times New Roman" w:hint="eastAsia"/>
          <w:b w:val="0"/>
          <w:bCs w:val="0"/>
          <w:kern w:val="28"/>
          <w:sz w:val="32"/>
          <w:szCs w:val="32"/>
          <w:highlight w:val="none"/>
          <w:lang w:val="en-US" w:eastAsia="zh-CN" w:bidi="ar-SA"/>
        </w:rPr>
        <w:t xml:space="preserve">（2）行业标准：指参照国家公布的行业指标数据制定的评价标准。</w:t>
      </w:r>
      <w:bookmarkEnd w:id="28"/>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cs="Times New Roman" w:hint="eastAsia"/>
          <w:b w:val="0"/>
          <w:bCs w:val="0"/>
          <w:kern w:val="28"/>
          <w:sz w:val="32"/>
          <w:szCs w:val="32"/>
          <w:highlight w:val="none"/>
          <w:lang w:val="en-US" w:eastAsia="zh-CN" w:bidi="ar-SA"/>
        </w:rPr>
      </w:pPr>
      <w:bookmarkStart w:id="30" w:name="_Toc430"/>
      <w:bookmarkStart w:id="31" w:name="_Toc16028"/>
      <w:r>
        <w:rPr>
          <w:rFonts w:ascii="Times New Roman" w:eastAsia="仿宋_GB2312" w:hAnsi="Times New Roman" w:cs="Times New Roman" w:hint="eastAsia"/>
          <w:b w:val="0"/>
          <w:bCs w:val="0"/>
          <w:kern w:val="28"/>
          <w:sz w:val="32"/>
          <w:szCs w:val="32"/>
          <w:highlight w:val="none"/>
          <w:lang w:val="en-US" w:eastAsia="zh-CN" w:bidi="ar-SA"/>
        </w:rPr>
        <w:t xml:space="preserve">（3）历史标准：指参照历史数据制定的评价标准，为体现绩效改进的原则，在可实现的条件下应当确定相对较高的评价标准。</w:t>
      </w:r>
      <w:bookmarkEnd w:id="30"/>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widowControl w:val="0"/>
        <w:numPr>
          <w:ilvl w:val="0"/>
          <w:numId w:val="2"/>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 w:hAnsi="Times New Roman" w:cs="Times New Roman" w:hint="eastAsia"/>
          <w:color w:val="000000"/>
          <w:spacing w:val="17"/>
        </w:rPr>
      </w:pPr>
      <w:bookmarkStart w:id="32" w:name="_Toc19240"/>
      <w:bookmarkStart w:id="33" w:name="_Toc8200"/>
      <w:r>
        <w:rPr>
          <w:rFonts w:ascii="Times New Roman" w:eastAsia="楷体" w:hAnsi="Times New Roman" w:cs="Times New Roman" w:hint="eastAsia"/>
          <w:color w:val="000000"/>
          <w:spacing w:val="17"/>
        </w:rPr>
        <w:t xml:space="preserve">绩效评价工作过程</w:t>
      </w:r>
      <w:bookmarkEnd w:id="32"/>
      <w:bookmarkEnd w:id="33"/>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ascii="Times New Roman" w:eastAsia="仿宋_GB2312" w:hAnsi="Times New Roman" w:cs="Times New Roman" w:hint="eastAsia"/>
          <w:sz w:val="32"/>
          <w:szCs w:val="32"/>
          <w:highlight w:val="none"/>
          <w:lang w:val="en-US" w:eastAsia="zh-CN"/>
        </w:rPr>
        <w:t xml:space="preserve">人员</w:t>
      </w:r>
      <w:r>
        <w:rPr>
          <w:rFonts w:ascii="Times New Roman" w:eastAsia="仿宋_GB2312" w:hAnsi="Times New Roman" w:cs="Times New Roman" w:hint="default"/>
          <w:sz w:val="32"/>
          <w:szCs w:val="32"/>
          <w:highlight w:val="none"/>
        </w:rPr>
        <w:t xml:space="preserve">、项目管理专业人员及技术骨干组成，确保从多角度、全方位对项目绩效进行评价。同时，明确了评价工作的目标、范围、重点及时间安排，制定了详细的工作计划，为评价工作的顺利开展奠定了坚实基础。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eastAsia"/>
          <w:bCs/>
          <w:sz w:val="32"/>
          <w:szCs w:val="32"/>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numPr>
          <w:ilvl w:val="0"/>
          <w:numId w:val="3"/>
        </w:numPr>
        <w:kinsoku/>
        <w:wordWrap w:val="0"/>
        <w:overflowPunct/>
        <w:topLinePunct/>
        <w:autoSpaceDE/>
        <w:autoSpaceDN/>
        <w:bidi w:val="0"/>
        <w:adjustRightInd/>
        <w:snapToGrid/>
        <w:spacing w:line="560" w:lineRule="exact"/>
        <w:ind w:firstLine="640" w:leftChars="0" w:firstLineChars="200"/>
        <w:jc w:val="both"/>
        <w:textAlignment w:val="auto"/>
        <w:outlineLvl w:val="0"/>
        <w:rPr>
          <w:rFonts w:ascii="Times New Roman" w:eastAsia="黑体" w:hAnsi="Times New Roman" w:cs="Times New Roman" w:hint="eastAsia"/>
          <w:sz w:val="32"/>
          <w:szCs w:val="32"/>
        </w:rPr>
      </w:pPr>
      <w:bookmarkStart w:id="34" w:name="_Toc10327"/>
      <w:bookmarkStart w:id="35" w:name="_Toc22779"/>
      <w:r>
        <w:rPr>
          <w:rFonts w:ascii="Times New Roman" w:eastAsia="黑体" w:hAnsi="Times New Roman" w:cs="Times New Roman" w:hint="eastAsia"/>
          <w:sz w:val="32"/>
          <w:szCs w:val="32"/>
        </w:rPr>
        <w:t xml:space="preserve">综合评价情况及评价结论（附相关评分表）</w:t>
      </w:r>
      <w:bookmarkEnd w:id="34"/>
      <w:bookmarkEnd w:id="3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_GB2312" w:hAnsi="Times New Roman" w:cs="Times New Roman" w:hint="eastAsia"/>
          <w:lang w:val="en-US" w:eastAsia="zh-CN"/>
        </w:rPr>
      </w:pPr>
      <w:bookmarkStart w:id="36" w:name="_Toc20747"/>
      <w:bookmarkStart w:id="37" w:name="_Toc14837"/>
      <w:r>
        <w:rPr>
          <w:rFonts w:ascii="Times New Roman" w:eastAsia="楷体_GB2312" w:hAnsi="Times New Roman" w:cs="Times New Roman" w:hint="eastAsia"/>
          <w:lang w:val="en-US" w:eastAsia="zh-CN"/>
        </w:rPr>
        <w:t xml:space="preserve">（一）评价情况</w:t>
      </w:r>
      <w:bookmarkEnd w:id="36"/>
      <w:bookmarkEnd w:id="37"/>
    </w:p>
    <w:p>
      <w:pPr>
        <w:pStyle w:val="CommentText"/>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kern w:val="2"/>
          <w:sz w:val="32"/>
          <w:szCs w:val="32"/>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sz w:val="32"/>
          <w:szCs w:val="32"/>
          <w:highlight w:val="none"/>
          <w:lang w:val="en-US" w:eastAsia="zh-CN"/>
        </w:rPr>
        <w:t xml:space="preserve">有效提高了水利厅信息系统网络安全</w:t>
      </w:r>
      <w:r>
        <w:rPr>
          <w:rFonts w:ascii="Times New Roman" w:eastAsia="仿宋_GB2312" w:hAnsi="Times New Roman" w:cs="Times New Roman" w:hint="default"/>
          <w:sz w:val="32"/>
          <w:szCs w:val="32"/>
          <w:highlight w:val="none"/>
        </w:rPr>
        <w:t xml:space="preserve">，整体实现了项目预期的实施价值。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_GB2312" w:hAnsi="Times New Roman" w:cs="Times New Roman" w:hint="eastAsia"/>
          <w:lang w:val="en-US" w:eastAsia="zh-CN"/>
        </w:rPr>
      </w:pPr>
      <w:bookmarkStart w:id="38" w:name="_Toc15017"/>
      <w:bookmarkStart w:id="39" w:name="_Toc32049"/>
      <w:r>
        <w:rPr>
          <w:rFonts w:ascii="Times New Roman" w:eastAsia="楷体_GB2312" w:hAnsi="Times New Roman" w:cs="Times New Roman" w:hint="eastAsia"/>
          <w:lang w:val="en-US" w:eastAsia="zh-CN"/>
        </w:rPr>
        <w:t xml:space="preserve">（二）评价结论</w:t>
      </w:r>
      <w:bookmarkEnd w:id="38"/>
      <w:bookmarkEnd w:id="3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r>
        <w:rPr>
          <w:rFonts w:ascii="Times New Roman" w:eastAsia="仿宋_GB2312" w:hAnsi="Times New Roman" w:hint="eastAsia"/>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hint="eastAsia"/>
          <w:b w:val="0"/>
          <w:bCs w:val="0"/>
          <w:lang w:val="en-US" w:eastAsia="zh-CN"/>
        </w:rPr>
        <w:t xml:space="preserve">100</w:t>
      </w:r>
      <w:r>
        <w:rPr>
          <w:rFonts w:ascii="Times New Roman" w:eastAsia="仿宋_GB2312" w:hAnsi="Times New Roman" w:hint="eastAsia"/>
          <w:b w:val="0"/>
          <w:bCs w:val="0"/>
        </w:rPr>
        <w:t xml:space="preserve">分，属于“优</w:t>
      </w:r>
      <w:r>
        <w:rPr>
          <w:rFonts w:ascii="Times New Roman" w:eastAsia="仿宋_GB2312" w:hAnsi="Times New Roman" w:hint="eastAsia"/>
          <w:b w:val="0"/>
          <w:bCs w:val="0"/>
          <w:lang w:eastAsia="zh-CN"/>
        </w:rPr>
        <w:t xml:space="preserve">”</w:t>
      </w:r>
      <w:r>
        <w:rPr>
          <w:rFonts w:ascii="Times New Roman" w:eastAsia="仿宋_GB2312" w:hAnsi="Times New Roman" w:hint="eastAsia"/>
          <w:b w:val="0"/>
          <w:bCs w:val="0"/>
        </w:rPr>
        <w:t xml:space="preserve">。其中，项目决策类指标权重为20分，得分为 20分，得分率为100%。项目过程类指标权重为20分，得分为</w:t>
      </w:r>
      <w:r>
        <w:rPr>
          <w:rFonts w:ascii="Times New Roman" w:eastAsia="仿宋_GB2312" w:hAnsi="Times New Roman" w:hint="eastAsia"/>
          <w:b w:val="0"/>
          <w:bCs w:val="0"/>
          <w:lang w:val="en-US" w:eastAsia="zh-CN"/>
        </w:rPr>
        <w:t xml:space="preserve">20</w:t>
      </w:r>
      <w:r>
        <w:rPr>
          <w:rFonts w:ascii="Times New Roman" w:eastAsia="仿宋_GB2312" w:hAnsi="Times New Roman" w:hint="eastAsia"/>
          <w:b w:val="0"/>
          <w:bCs w:val="0"/>
        </w:rPr>
        <w:t xml:space="preserve">分，得分率为</w:t>
      </w:r>
      <w:r>
        <w:rPr>
          <w:rFonts w:ascii="Times New Roman" w:eastAsia="仿宋_GB2312" w:hAnsi="Times New Roman" w:hint="eastAsia"/>
          <w:b w:val="0"/>
          <w:bCs w:val="0"/>
          <w:lang w:val="en-US" w:eastAsia="zh-CN"/>
        </w:rPr>
        <w:t xml:space="preserve">100</w:t>
      </w:r>
      <w:r>
        <w:rPr>
          <w:rFonts w:ascii="Times New Roman" w:eastAsia="仿宋_GB2312" w:hAnsi="Times New Roman" w:hint="eastAsia"/>
          <w:b w:val="0"/>
          <w:bCs w:val="0"/>
        </w:rPr>
        <w:t xml:space="preserve">%。项目产出类指标权重为40分，得分为40分，得分率为 100%。项目效益类指标权重为20分，得分为20分，得分率为100%。具体打分情况详见：附件1综合评分表。</w:t>
      </w:r>
    </w:p>
    <w:p/>
    <w:p>
      <w:pPr>
        <w:widowControl/>
        <w:jc w:val="center"/>
        <w:outlineLvl w:val="9"/>
        <w:rPr>
          <w:rFonts w:ascii="Times New Roman" w:eastAsia="仿宋_GB2312" w:hAnsi="Times New Roman" w:cs="Times New Roman" w:hint="default"/>
          <w:sz w:val="24"/>
          <w:szCs w:val="32"/>
        </w:rPr>
      </w:pPr>
      <w:r>
        <w:rPr>
          <w:rFonts w:ascii="Times New Roman" w:eastAsia="仿宋_GB2312" w:hAnsi="Times New Roman" w:cs="Times New Roman" w:hint="default"/>
          <w:sz w:val="24"/>
          <w:szCs w:val="32"/>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75C18F33">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得分</w:t>
            </w:r>
          </w:p>
        </w:tc>
      </w:tr>
      <w:tr w14:paraId="3B596E82">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5426E73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宋体" w:hint="default"/>
                <w:color w:val="000000"/>
                <w:sz w:val="22"/>
                <w:lang w:val="en-US" w:eastAsia="zh-CN"/>
              </w:rPr>
            </w:pPr>
            <w:r>
              <w:rPr>
                <w:rFonts w:hint="eastAsia"/>
                <w:color w:val="000000"/>
                <w:sz w:val="22"/>
                <w:lang w:val="en-US" w:eastAsia="zh-CN"/>
              </w:rPr>
              <w:t xml:space="preserve">20</w:t>
            </w:r>
          </w:p>
        </w:tc>
      </w:tr>
      <w:tr w14:paraId="54AAD95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r>
      <w:tr w14:paraId="48CE0FD1">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47D85AAF">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cs="宋体"/>
                <w:b/>
                <w:bCs/>
                <w:color w:val="000000"/>
                <w:sz w:val="22"/>
              </w:rPr>
            </w:pPr>
            <w:r>
              <w:rPr>
                <w:rFonts w:cs="宋体" w:hint="eastAsia"/>
                <w:b/>
                <w:bCs/>
                <w:color w:val="000000"/>
                <w:sz w:val="2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b/>
                <w:bCs/>
                <w:color w:val="000000"/>
                <w:sz w:val="22"/>
              </w:rPr>
            </w:pPr>
            <w:r>
              <w:rPr>
                <w:rFonts w:hint="eastAsia"/>
                <w:b/>
                <w:bCs/>
                <w:color w:val="000000"/>
                <w:sz w:val="22"/>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宋体" w:hint="default"/>
                <w:b/>
                <w:bCs/>
                <w:color w:val="000000"/>
                <w:sz w:val="22"/>
                <w:lang w:val="en-US" w:eastAsia="zh-CN"/>
              </w:rPr>
            </w:pPr>
            <w:r>
              <w:rPr>
                <w:rFonts w:hint="eastAsia"/>
                <w:b/>
                <w:bCs/>
                <w:color w:val="000000"/>
                <w:sz w:val="22"/>
                <w:lang w:val="en-US" w:eastAsia="zh-CN"/>
              </w:rPr>
              <w:t xml:space="preserve">100</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40" w:name="_Toc4339"/>
      <w:bookmarkStart w:id="41" w:name="_Toc14422"/>
      <w:r>
        <w:rPr>
          <w:rFonts w:ascii="Times New Roman" w:eastAsia="黑体" w:hAnsi="Times New Roman" w:cs="Times New Roman" w:hint="eastAsia"/>
          <w:sz w:val="32"/>
          <w:szCs w:val="32"/>
        </w:rPr>
        <w:t xml:space="preserve">四、绩效评价指标分析</w:t>
      </w:r>
      <w:bookmarkEnd w:id="40"/>
      <w:bookmarkEnd w:id="41"/>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rPr>
      </w:pPr>
      <w:bookmarkStart w:id="42" w:name="_Toc19837"/>
      <w:bookmarkStart w:id="43" w:name="_Toc32318"/>
      <w:r>
        <w:rPr>
          <w:rFonts w:ascii="Times New Roman" w:eastAsia="楷体_GB2312" w:hAnsi="Times New Roman" w:cs="Times New Roman" w:hint="default"/>
        </w:rPr>
        <w:t xml:space="preserve">（一）项目决策情况</w:t>
      </w:r>
      <w:bookmarkEnd w:id="42"/>
      <w:bookmarkEnd w:id="4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sz w:val="32"/>
          <w:szCs w:val="32"/>
          <w:highlight w:val="none"/>
        </w:rPr>
      </w:pPr>
      <w:r>
        <w:rPr>
          <w:rFonts w:eastAsia="仿宋_GB2312" w:hint="default"/>
          <w:sz w:val="32"/>
          <w:szCs w:val="32"/>
          <w:highlight w:val="none"/>
        </w:rPr>
        <w:t xml:space="preserve">项目决策类指标包括项目立项、绩效目标和资金投入三方面的内容，由6个三级指标构成，权重分值为20分，实际得分20分，得分率为100%。</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sz w:val="32"/>
          <w:szCs w:val="32"/>
          <w:highlight w:val="none"/>
        </w:rPr>
      </w:pPr>
      <w:r>
        <w:rPr>
          <w:rFonts w:eastAsia="仿宋_GB2312" w:hint="default"/>
          <w:sz w:val="32"/>
          <w:szCs w:val="32"/>
          <w:highlight w:val="none"/>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4" w:name="_Toc29083"/>
      <w:r>
        <w:rPr>
          <w:rFonts w:ascii="Times New Roman" w:eastAsia="仿宋_GB2312" w:hAnsi="Times New Roman" w:cs="Times New Roman" w:hint="eastAsia"/>
          <w:b/>
          <w:bCs/>
          <w:sz w:val="32"/>
          <w:szCs w:val="32"/>
          <w:lang w:val="en-US" w:eastAsia="zh-CN"/>
        </w:rPr>
        <w:t xml:space="preserve">1.项目立项</w:t>
      </w:r>
      <w:bookmarkEnd w:id="4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hint="default"/>
          <w:sz w:val="32"/>
          <w:szCs w:val="32"/>
          <w:highlight w:val="none"/>
          <w:lang w:val="en-US"/>
        </w:rPr>
      </w:pPr>
      <w:r>
        <w:rPr>
          <w:rFonts w:eastAsia="仿宋_GB2312" w:hint="default"/>
          <w:sz w:val="32"/>
          <w:szCs w:val="32"/>
          <w:highlight w:val="none"/>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eastAsia="仿宋_GB2312" w:hint="default"/>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sz w:val="32"/>
          <w:szCs w:val="32"/>
          <w:highlight w:val="none"/>
        </w:rPr>
      </w:pPr>
      <w:r>
        <w:rPr>
          <w:rFonts w:eastAsia="仿宋_GB2312" w:hint="default"/>
          <w:sz w:val="32"/>
          <w:szCs w:val="32"/>
          <w:highlight w:val="none"/>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w:t>
      </w:r>
      <w:r>
        <w:rPr>
          <w:rFonts w:ascii="Times New Roman" w:eastAsia="仿宋_GB2312" w:hAnsi="Times New Roman" w:cs="Times New Roman" w:hint="default"/>
          <w:sz w:val="32"/>
          <w:szCs w:val="32"/>
          <w:highlight w:val="none"/>
        </w:rPr>
        <w:t xml:space="preserve">目事前经过必要的可行性研究、专家论证、风险评估、绩效评估、集体决策，保障了程序的规范性。</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5" w:name="_Toc15159"/>
      <w:r>
        <w:rPr>
          <w:rFonts w:ascii="Times New Roman" w:eastAsia="仿宋_GB2312" w:hAnsi="Times New Roman" w:cs="Times New Roman" w:hint="eastAsia"/>
          <w:b/>
          <w:bCs/>
          <w:sz w:val="32"/>
          <w:szCs w:val="32"/>
          <w:lang w:val="en-US" w:eastAsia="zh-CN"/>
        </w:rPr>
        <w:t xml:space="preserve">2.绩效目标</w:t>
      </w:r>
      <w:bookmarkEnd w:id="4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（1）绩效目标合理性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hint="eastAsia"/>
          <w:sz w:val="32"/>
          <w:szCs w:val="32"/>
          <w:lang w:val="en-US" w:eastAsia="zh-CN"/>
        </w:rPr>
      </w:pPr>
      <w:r>
        <w:rPr>
          <w:rFonts w:ascii="Times New Roman" w:eastAsia="仿宋_GB2312" w:hAnsi="Times New Roman" w:cs="Times New Roman" w:hint="eastAsia"/>
          <w:sz w:val="32"/>
          <w:szCs w:val="32"/>
          <w:lang w:val="en-US"/>
        </w:rPr>
        <w:t xml:space="preserve">本项目结合民生服务类</w:t>
      </w:r>
      <w:r>
        <w:rPr>
          <w:rFonts w:ascii="Times New Roman" w:eastAsia="仿宋_GB2312" w:hAnsi="Times New Roman" w:cs="Times New Roman" w:hint="eastAsia"/>
          <w:sz w:val="32"/>
          <w:szCs w:val="32"/>
          <w:lang w:val="en-US" w:eastAsia="zh-CN"/>
        </w:rPr>
        <w:t xml:space="preserve">项目</w:t>
      </w:r>
      <w:r>
        <w:rPr>
          <w:rFonts w:ascii="Times New Roman" w:eastAsia="仿宋_GB2312" w:hAnsi="Times New Roman" w:cs="Times New Roman" w:hint="eastAsia"/>
          <w:sz w:val="32"/>
          <w:szCs w:val="32"/>
          <w:lang w:val="en-US"/>
        </w:rPr>
        <w:t xml:space="preserve">实际，围绕</w:t>
      </w:r>
      <w:r>
        <w:rPr>
          <w:rFonts w:ascii="Times New Roman" w:eastAsia="仿宋_GB2312" w:hAnsi="Times New Roman" w:cs="Times New Roman" w:hint="eastAsia"/>
          <w:sz w:val="32"/>
          <w:szCs w:val="32"/>
          <w:lang w:val="en-US" w:eastAsia="zh-CN"/>
        </w:rPr>
        <w:t xml:space="preserve">提升水利智能监管能力</w:t>
      </w:r>
      <w:r>
        <w:rPr>
          <w:rFonts w:ascii="Times New Roman" w:eastAsia="仿宋_GB2312" w:hAnsi="Times New Roman" w:cs="Times New Roman" w:hint="eastAsia"/>
          <w:sz w:val="32"/>
          <w:szCs w:val="32"/>
          <w:lang w:val="en-US"/>
        </w:rPr>
        <w:t xml:space="preserve">设定绩效目标，具体明确了“年度完成水利厅电子政务、网站</w:t>
      </w:r>
      <w:r>
        <w:rPr>
          <w:rFonts w:ascii="Times New Roman" w:eastAsia="仿宋_GB2312" w:hAnsi="Times New Roman" w:cs="Times New Roman" w:hint="default"/>
          <w:sz w:val="32"/>
          <w:szCs w:val="32"/>
          <w:lang w:val="en-US"/>
        </w:rPr>
        <w:t xml:space="preserve">、OA、</w:t>
      </w:r>
      <w:r>
        <w:rPr>
          <w:rFonts w:ascii="Times New Roman" w:eastAsia="仿宋_GB2312" w:hAnsi="Times New Roman" w:cs="Times New Roman" w:hint="eastAsia"/>
          <w:sz w:val="32"/>
          <w:szCs w:val="32"/>
          <w:lang w:val="en-US"/>
        </w:rPr>
        <w:t xml:space="preserve">异地视频会商系统正常运行，保证机房设备正常运行，完成水利厅直属各单位的网络安全检查和监督指导等三大类任务，实现系统及机房设备的正常运行、有效提升水利厅网络安全能力及安全防护能力水平”的核心内容。目标设定依据充分，既参考了</w:t>
      </w:r>
      <w:r>
        <w:rPr>
          <w:rFonts w:ascii="Times New Roman" w:eastAsia="仿宋_GB2312" w:hAnsi="Times New Roman" w:cs="Times New Roman" w:hint="eastAsia"/>
          <w:sz w:val="32"/>
          <w:szCs w:val="32"/>
          <w:lang w:val="en-US" w:eastAsia="zh-CN"/>
        </w:rPr>
        <w:t xml:space="preserve">自治区同类系统运行维护支出，</w:t>
      </w:r>
      <w:r>
        <w:rPr>
          <w:rFonts w:ascii="Times New Roman" w:eastAsia="仿宋_GB2312" w:hAnsi="Times New Roman" w:cs="Times New Roman" w:hint="eastAsia"/>
          <w:sz w:val="32"/>
          <w:szCs w:val="32"/>
          <w:lang w:val="en-US"/>
        </w:rPr>
        <w:t xml:space="preserve">又匹配了部门年度工作重点，未超出项目实施的技术、资源、时间约束。绩效目标与项目实际工作内容高度相关（“开展</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w:t>
      </w:r>
      <w:r>
        <w:rPr>
          <w:rFonts w:ascii="Times New Roman" w:eastAsia="仿宋_GB2312" w:hAnsi="Times New Roman" w:cs="Times New Roman" w:hint="eastAsia"/>
          <w:sz w:val="32"/>
          <w:szCs w:val="32"/>
          <w:lang w:val="en-US"/>
        </w:rPr>
        <w:t xml:space="preserve">网络安全检查</w:t>
      </w:r>
      <w:r>
        <w:rPr>
          <w:rFonts w:ascii="Times New Roman" w:eastAsia="仿宋_GB2312" w:hAnsi="Times New Roman" w:cs="Times New Roman" w:hint="eastAsia"/>
          <w:sz w:val="32"/>
          <w:szCs w:val="32"/>
          <w:lang w:val="en-US" w:eastAsia="zh-CN"/>
        </w:rPr>
        <w:t xml:space="preserve">、网络安全整改率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rPr>
        <w:t xml:space="preserve">”目标直接服务于“</w:t>
      </w:r>
      <w:r>
        <w:rPr>
          <w:rFonts w:ascii="Times New Roman" w:eastAsia="仿宋_GB2312" w:hAnsi="Times New Roman" w:cs="Times New Roman" w:hint="eastAsia"/>
          <w:sz w:val="32"/>
          <w:szCs w:val="32"/>
          <w:lang w:val="en-US" w:eastAsia="zh-CN"/>
        </w:rPr>
        <w:t xml:space="preserve">保证机房设备及系统正常运行、提升网络安全能力</w:t>
      </w:r>
      <w:r>
        <w:rPr>
          <w:rFonts w:ascii="Times New Roman" w:eastAsia="仿宋_GB2312" w:hAnsi="Times New Roman" w:cs="Times New Roman" w:hint="eastAsia"/>
          <w:sz w:val="32"/>
          <w:szCs w:val="32"/>
          <w:lang w:val="en-US"/>
        </w:rPr>
        <w:t xml:space="preserve">”的工作核心），且预算资金与目标投资额精准匹配（如：目标中</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网络存储视频终端等设施设备应用系统性运行维护</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对应预算</w:t>
      </w:r>
      <w:r>
        <w:rPr>
          <w:rFonts w:ascii="Times New Roman" w:eastAsia="仿宋_GB2312" w:hAnsi="Times New Roman" w:cs="Times New Roman" w:hint="default"/>
          <w:sz w:val="32"/>
          <w:szCs w:val="32"/>
          <w:lang w:val="en-US"/>
        </w:rPr>
        <w:t xml:space="preserve">13</w:t>
      </w:r>
      <w:r>
        <w:rPr>
          <w:rFonts w:ascii="Times New Roman" w:eastAsia="仿宋_GB2312" w:hAnsi="Times New Roman" w:cs="Times New Roman" w:hint="eastAsia"/>
          <w:sz w:val="32"/>
          <w:szCs w:val="32"/>
          <w:lang w:val="en-US"/>
        </w:rPr>
        <w:t xml:space="preserve">万元，测算依据充分）。完全符合评分标准中</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目标有依据、与实际相关、效益符合正常业绩水平、与预算匹配</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的评价要点，</w:t>
      </w:r>
      <w:r>
        <w:rPr>
          <w:rFonts w:ascii="Times New Roman" w:eastAsia="仿宋_GB2312" w:hAnsi="Times New Roman" w:cs="Times New Roman" w:hint="eastAsia"/>
          <w:sz w:val="32"/>
          <w:szCs w:val="32"/>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（2）绩效指标明确性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项目将总体绩效目标细化分解为具体指标，如：数量指标“网络安全检查1次”、质量指标“机房设备正常运行率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eastAsia="zh-CN"/>
        </w:rPr>
        <w:t xml:space="preserve">”、效益指标“有效提高水利厅信息系统网络安全”等可量化、可衡量的三级指标，每个指标均明确了具体指标值（如：“网络安全检查</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次”、“机房设备正常运行率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eastAsia="zh-CN"/>
        </w:rPr>
        <w:t xml:space="preserve">”、“信息系统网络安全有效提高”），且指标值与项目目标任务数一一对应（如：“做好水利厅直属各单位的网络安全检查和监督指导”对应数量指标“网络安全检查</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次”）。指标设定清晰无歧义，既涵盖了产出指标（如：网络安全检查次数），也覆盖了效益指标（如：有效提升信息系统网络安全），满足评分标准中“指标细化分解、可衡量、与任务数对应”的要求</w:t>
      </w:r>
      <w:r>
        <w:rPr>
          <w:rFonts w:ascii="Times New Roman" w:eastAsia="仿宋_GB2312" w:hAnsi="Times New Roman" w:cs="Times New Roman" w:hint="eastAsia"/>
          <w:sz w:val="32"/>
          <w:szCs w:val="32"/>
          <w:lang w:val="en-US"/>
        </w:rPr>
        <w:t xml:space="preserve">，</w:t>
      </w:r>
      <w:r>
        <w:rPr>
          <w:rFonts w:ascii="Times New Roman" w:eastAsia="仿宋_GB2312" w:hAnsi="Times New Roman" w:cs="Times New Roman" w:hint="eastAsia"/>
          <w:sz w:val="32"/>
          <w:szCs w:val="32"/>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r>
        <w:rPr>
          <w:rFonts w:ascii="Times New Roman" w:eastAsia="仿宋_GB2312" w:hAnsi="Times New Roman" w:cs="Times New Roman" w:hint="eastAsia"/>
          <w:b/>
          <w:bCs/>
          <w:sz w:val="32"/>
          <w:szCs w:val="32"/>
          <w:lang w:val="en-US" w:eastAsia="zh-CN"/>
        </w:rPr>
        <w:t xml:space="preserve">3.资金投入</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（1）预算编制科学性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eastAsia"/>
          <w:sz w:val="32"/>
          <w:szCs w:val="32"/>
          <w:highlight w:val="none"/>
          <w:lang w:eastAsia="zh-CN"/>
        </w:rPr>
        <w:t xml:space="preserve">在预算编制过程中，</w:t>
      </w:r>
      <w:r>
        <w:rPr>
          <w:rFonts w:ascii="Times New Roman" w:eastAsia="仿宋_GB2312" w:hAnsi="Times New Roman" w:cs="Times New Roman" w:hint="eastAsia"/>
          <w:sz w:val="32"/>
          <w:szCs w:val="32"/>
          <w:highlight w:val="none"/>
          <w:lang w:val="en-US" w:eastAsia="zh-CN"/>
        </w:rPr>
        <w:t xml:space="preserve">还</w:t>
      </w:r>
      <w:r>
        <w:rPr>
          <w:rFonts w:ascii="Times New Roman" w:eastAsia="仿宋_GB2312" w:hAnsi="Times New Roman" w:cs="Times New Roman" w:hint="eastAsia"/>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eastAsia"/>
          <w:sz w:val="32"/>
          <w:szCs w:val="32"/>
          <w:highlight w:val="none"/>
          <w:lang w:val="en-US" w:eastAsia="zh-CN"/>
        </w:rPr>
        <w:t xml:space="preserve">故得满分</w:t>
      </w:r>
      <w:r>
        <w:rPr>
          <w:rFonts w:ascii="Times New Roman" w:eastAsia="仿宋_GB2312" w:hAnsi="Times New Roman" w:cs="Times New Roman" w:hint="eastAsia"/>
          <w:sz w:val="32"/>
          <w:szCs w:val="32"/>
          <w:highlight w:val="none"/>
          <w:lang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（2）资金分配合理性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keepNext w:val="0"/>
        <w:keepLines w:val="0"/>
        <w:pageBreakBefore w:val="0"/>
        <w:widowControl w:val="0"/>
        <w:numPr>
          <w:ilvl w:val="0"/>
          <w:numId w:val="4"/>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eastAsia"/>
        </w:rPr>
      </w:pPr>
      <w:bookmarkStart w:id="46" w:name="_Toc23141"/>
      <w:bookmarkStart w:id="47" w:name="_Toc12063"/>
      <w:r>
        <w:rPr>
          <w:rFonts w:ascii="Times New Roman" w:eastAsia="楷体" w:hAnsi="Times New Roman" w:cs="Times New Roman" w:hint="eastAsia"/>
        </w:rPr>
        <w:t xml:space="preserve">项目过程情况</w:t>
      </w:r>
      <w:bookmarkEnd w:id="46"/>
      <w:bookmarkEnd w:id="4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项目过程类指标包括资金管理和组织实施两方面的内容，由5个三级指标构成，权重分值为40分，实际得分40分，得分率为100%。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8" w:name="_Toc32390"/>
      <w:r>
        <w:rPr>
          <w:rFonts w:ascii="Times New Roman" w:eastAsia="仿宋_GB2312" w:hAnsi="Times New Roman" w:cs="Times New Roman" w:hint="eastAsia"/>
          <w:b/>
          <w:bCs/>
          <w:sz w:val="32"/>
          <w:szCs w:val="32"/>
          <w:lang w:val="en-US" w:eastAsia="zh-CN"/>
        </w:rPr>
        <w:t xml:space="preserve">1.资金管理</w:t>
      </w:r>
      <w:bookmarkEnd w:id="4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本项目总投资25万元，财政资金及时足额到位，到位率100%，预算资金按计划进度执行。该指标满分为4分，根据评分标准得4分。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default"/>
          <w:sz w:val="32"/>
          <w:szCs w:val="32"/>
          <w:highlight w:val="none"/>
          <w:lang w:val="en-US" w:eastAsia="zh-CN"/>
        </w:rPr>
        <w:t xml:space="preserve">本项目全年预算25万元，全年实际支出25万元，预算执行率为100%，该指标满分为4分，根据评分标准得4分。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highlight w:val="none"/>
          <w:lang w:val="en-US" w:eastAsia="zh-CN"/>
        </w:rPr>
      </w:pPr>
      <w:bookmarkStart w:id="49" w:name="_Toc27667"/>
      <w:r>
        <w:rPr>
          <w:rFonts w:ascii="Times New Roman" w:eastAsia="仿宋_GB2312" w:hAnsi="Times New Roman" w:cs="Times New Roman" w:hint="eastAsia"/>
          <w:b/>
          <w:bCs/>
          <w:sz w:val="32"/>
          <w:szCs w:val="32"/>
          <w:highlight w:val="none"/>
          <w:lang w:val="en-US" w:eastAsia="zh-CN"/>
        </w:rPr>
        <w:t xml:space="preserve">2.组织实施</w:t>
      </w:r>
      <w:bookmarkEnd w:id="4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实施单位已制定《科技发展中心项目管理办法》《科技发展中心项目财务管理制度》等一系列专项制度，制度体系覆盖项目策划、实施、监控、收尾全流程。业务管理制度明确了各部门职责分工（如：业务科室负责项目实施、财务科室负责资金管理）。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highlight w:val="none"/>
          <w:lang w:val="en-US" w:eastAsia="zh-CN"/>
        </w:rPr>
        <w:t xml:space="preserve"> 项目实施全过程严格执行各项管理制度，执行效果显著：①严格遵守法律法规及管理规定；②项目合同书、验收报告、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eastAsia"/>
          <w:b/>
          <w:bCs/>
          <w:sz w:val="32"/>
          <w:szCs w:val="32"/>
        </w:rPr>
      </w:pPr>
      <w:bookmarkStart w:id="50" w:name="_Toc14543"/>
      <w:bookmarkStart w:id="51" w:name="_Toc2152"/>
      <w:r>
        <w:rPr>
          <w:rFonts w:ascii="Times New Roman" w:eastAsia="楷体_GB2312" w:hAnsi="Times New Roman" w:cs="Times New Roman" w:hint="eastAsia"/>
          <w:b/>
          <w:bCs/>
          <w:sz w:val="32"/>
          <w:szCs w:val="32"/>
          <w:lang w:eastAsia="zh-CN"/>
        </w:rPr>
        <w:t xml:space="preserve">（</w:t>
      </w:r>
      <w:r>
        <w:rPr>
          <w:rFonts w:ascii="Times New Roman" w:eastAsia="楷体_GB2312" w:hAnsi="Times New Roman" w:cs="Times New Roman" w:hint="eastAsia"/>
          <w:b/>
          <w:bCs/>
          <w:sz w:val="32"/>
          <w:szCs w:val="32"/>
          <w:lang w:val="en-US" w:eastAsia="zh-CN"/>
        </w:rPr>
        <w:t xml:space="preserve">三</w:t>
      </w:r>
      <w:r>
        <w:rPr>
          <w:rFonts w:ascii="Times New Roman" w:eastAsia="楷体_GB2312" w:hAnsi="Times New Roman" w:cs="Times New Roman" w:hint="eastAsia"/>
          <w:b/>
          <w:bCs/>
          <w:sz w:val="32"/>
          <w:szCs w:val="32"/>
          <w:lang w:eastAsia="zh-CN"/>
        </w:rPr>
        <w:t xml:space="preserve">）</w:t>
      </w:r>
      <w:r>
        <w:rPr>
          <w:rFonts w:ascii="Times New Roman" w:eastAsia="楷体_GB2312" w:hAnsi="Times New Roman" w:cs="Times New Roman" w:hint="eastAsia"/>
          <w:b/>
          <w:bCs/>
          <w:sz w:val="32"/>
          <w:szCs w:val="32"/>
        </w:rPr>
        <w:t xml:space="preserve">项目产出情况</w:t>
      </w:r>
      <w:bookmarkEnd w:id="50"/>
      <w:bookmarkEnd w:id="51"/>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项目产出类指标包括产出数量、产出质量、产出时效、产出成本四方面的内容，由8个三级指标构成，权重分为40分，实际得分40分，得分率为100%。具体产出指标完成情况如下：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（1）实际完成率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数量指标1：网络安全检查次数，指标值：=1次 ，实际完成值：1次 ，指标完成率 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数量指标2：渗透测试，指标值：=1次，实际完成值：1次，指标完成率100%。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（2）质量达标率：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质量指标1：机房设备正常运行率，指标值：&gt;=95%，实际完成值：95%，指标完成率100%；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质量指标2：网络安全整改率，指标值：&gt;=95%，实际完成值：95%，指标完成率100%；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（3）完成及时性：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时效指标1：网络安全检查时间，指标值：2025年9月前，实际完成值：2025年7月，指标完成率100%；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（4）成本节约率：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经济成本指标1：水利信息化和网络安全监督检查指导，指标值：≤5万元，实际完成值：5万元，指标完成率100%；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经济成本指标2：网络存储视频终端等设施设备应用系统性运行维护，指标值：≤13万元，实际完成值：13万元，指标完成率100%；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该指标满分为10分，本项目计划总成本为</w:t>
      </w:r>
      <w:r>
        <w:rPr>
          <w:rFonts w:eastAsia="仿宋_GB2312" w:cs="Times New Roman" w:hint="eastAsia"/>
          <w:sz w:val="32"/>
          <w:szCs w:val="32"/>
          <w:lang w:val="en-US" w:eastAsia="zh-CN"/>
        </w:rPr>
        <w:t xml:space="preserve">25</w:t>
      </w:r>
      <w:r>
        <w:rPr>
          <w:rFonts w:ascii="Times New Roman" w:eastAsia="仿宋_GB2312" w:hAnsi="Times New Roman" w:cs="Times New Roman" w:hint="default"/>
          <w:sz w:val="32"/>
          <w:szCs w:val="32"/>
          <w:lang w:val="en-US" w:eastAsia="zh-CN"/>
        </w:rPr>
        <w:t xml:space="preserve">万元，实际发生总成本为</w:t>
      </w:r>
      <w:r>
        <w:rPr>
          <w:rFonts w:eastAsia="仿宋_GB2312" w:cs="Times New Roman" w:hint="eastAsia"/>
          <w:sz w:val="32"/>
          <w:szCs w:val="32"/>
          <w:lang w:val="en-US" w:eastAsia="zh-CN"/>
        </w:rPr>
        <w:t xml:space="preserve">25</w:t>
      </w:r>
      <w:r>
        <w:rPr>
          <w:rFonts w:ascii="Times New Roman" w:eastAsia="仿宋_GB2312" w:hAnsi="Times New Roman" w:cs="Times New Roman" w:hint="default"/>
          <w:sz w:val="32"/>
          <w:szCs w:val="32"/>
          <w:lang w:val="en-US" w:eastAsia="zh-CN"/>
        </w:rPr>
        <w:t xml:space="preserve">万元，成本节约率为0%，未发生任何超支情况，故得满分。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eastAsia"/>
          <w:b/>
          <w:bCs/>
          <w:sz w:val="32"/>
          <w:szCs w:val="32"/>
          <w:lang w:val="en-US" w:eastAsia="zh-CN"/>
        </w:rPr>
      </w:pPr>
      <w:bookmarkStart w:id="52" w:name="_Toc26850"/>
      <w:bookmarkStart w:id="53" w:name="_Toc30257"/>
      <w:r>
        <w:rPr>
          <w:rFonts w:ascii="Times New Roman" w:eastAsia="楷体_GB2312" w:hAnsi="Times New Roman" w:cs="Times New Roman" w:hint="eastAsia"/>
          <w:b/>
          <w:bCs/>
          <w:sz w:val="32"/>
          <w:szCs w:val="32"/>
          <w:lang w:val="en-US" w:eastAsia="zh-CN"/>
        </w:rPr>
        <w:t xml:space="preserve">（四）项目效益情况</w:t>
      </w:r>
      <w:bookmarkEnd w:id="52"/>
      <w:bookmarkEnd w:id="53"/>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项目效益类指标包括项目实施效益和满意度两方面的内容，由1个三级指标构成，权重分为20分，实际得分20分，得分率为100%。具体效益指标及满意度指标完成情况如下：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eastAsia"/>
          <w:sz w:val="32"/>
          <w:szCs w:val="32"/>
          <w:highlight w:val="none"/>
          <w:lang w:val="en-US" w:eastAsia="zh-CN"/>
        </w:rPr>
        <w:t xml:space="preserve">社会效益指标：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社会效益</w:t>
      </w:r>
      <w:r>
        <w:rPr>
          <w:rFonts w:ascii="Times New Roman" w:eastAsia="仿宋_GB2312" w:hAnsi="Times New Roman" w:cs="Times New Roman" w:hint="eastAsia"/>
          <w:sz w:val="32"/>
          <w:szCs w:val="32"/>
          <w:highlight w:val="none"/>
          <w:lang w:val="en-US" w:eastAsia="zh-CN"/>
        </w:rPr>
        <w:t xml:space="preserve">指标：有效提高水利厅信息系统网络安全，指标值：有效提高，实际完成值：有效提高，指标完成率100%。该指标满分为20分，根据评分标准得20分。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eastAsia"/>
          <w:b w:val="0"/>
          <w:bCs w:val="0"/>
          <w:sz w:val="32"/>
          <w:szCs w:val="32"/>
          <w:lang w:val="en-US"/>
        </w:rPr>
      </w:pPr>
      <w:bookmarkStart w:id="54" w:name="_Toc21462"/>
      <w:bookmarkStart w:id="55" w:name="_Toc9056"/>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54"/>
      <w:r>
        <w:rPr>
          <w:rFonts w:ascii="黑体" w:eastAsia="黑体" w:hAnsi="黑体" w:cs="黑体" w:hint="eastAsia"/>
          <w:b w:val="0"/>
          <w:bCs w:val="0"/>
          <w:sz w:val="32"/>
          <w:szCs w:val="32"/>
          <w:lang w:val="en-US" w:eastAsia="zh-CN"/>
        </w:rPr>
        <w:t xml:space="preserve">绩效指标偏差</w:t>
      </w:r>
      <w:bookmarkEnd w:id="55"/>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sz w:val="32"/>
          <w:szCs w:val="32"/>
          <w:highlight w:val="none"/>
        </w:rPr>
      </w:pPr>
      <w:r>
        <w:rPr>
          <w:rFonts w:ascii="仿宋_GB2312" w:eastAsia="仿宋_GB2312" w:hAnsi="仿宋_GB2312" w:cs="仿宋_GB2312" w:hint="eastAsia"/>
          <w:b w:val="0"/>
          <w:bCs w:val="0"/>
          <w:sz w:val="32"/>
          <w:szCs w:val="32"/>
          <w:highlight w:val="none"/>
          <w:lang w:val="en-US" w:eastAsia="zh-CN"/>
        </w:rPr>
        <w:t xml:space="preserve">自治区</w:t>
      </w:r>
      <w:r>
        <w:rPr>
          <w:rFonts w:ascii="仿宋_GB2312" w:eastAsia="仿宋_GB2312" w:hAnsi="仿宋_GB2312" w:cs="仿宋_GB2312" w:hint="eastAsia"/>
          <w:b w:val="0"/>
          <w:bCs w:val="0"/>
          <w:sz w:val="32"/>
          <w:szCs w:val="32"/>
          <w:highlight w:val="none"/>
        </w:rPr>
        <w:t xml:space="preserve">水利发展项目年初预算</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万元，全年预算</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万元，实际支出</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万元，预算执行率为</w:t>
      </w:r>
      <w:r>
        <w:rPr>
          <w:rFonts w:ascii="仿宋_GB2312" w:eastAsia="仿宋_GB2312" w:hAnsi="仿宋_GB2312" w:cs="仿宋_GB2312" w:hint="eastAsia"/>
          <w:b w:val="0"/>
          <w:bCs w:val="0"/>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%，项目绩效指标总体完成率为</w:t>
      </w:r>
      <w:r>
        <w:rPr>
          <w:rFonts w:ascii="仿宋_GB2312" w:eastAsia="仿宋_GB2312" w:hAnsi="仿宋_GB2312" w:cs="仿宋_GB2312" w:hint="eastAsia"/>
          <w:b w:val="0"/>
          <w:bCs w:val="0"/>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%，总体偏差率为</w:t>
      </w:r>
      <w:r>
        <w:rPr>
          <w:rFonts w:ascii="仿宋_GB2312" w:eastAsia="仿宋_GB2312" w:hAnsi="仿宋_GB2312" w:cs="仿宋_GB2312" w:hint="eastAsia"/>
          <w:b w:val="0"/>
          <w:bCs w:val="0"/>
          <w:sz w:val="32"/>
          <w:szCs w:val="32"/>
          <w:highlight w:val="none"/>
          <w:lang w:val="en-US" w:eastAsia="zh-CN"/>
        </w:rPr>
        <w:t xml:space="preserve">0</w:t>
      </w:r>
      <w:r>
        <w:rPr>
          <w:rFonts w:ascii="仿宋_GB2312" w:eastAsia="仿宋_GB2312" w:hAnsi="仿宋_GB2312" w:cs="仿宋_GB2312" w:hint="eastAsia"/>
          <w:b w:val="0"/>
          <w:bCs w:val="0"/>
          <w:sz w:val="32"/>
          <w:szCs w:val="32"/>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56" w:name="_Toc24717"/>
      <w:bookmarkStart w:id="57" w:name="_Toc19941"/>
      <w:r>
        <w:rPr>
          <w:rFonts w:ascii="Times New Roman" w:eastAsia="黑体" w:hAnsi="Times New Roman" w:cs="Times New Roman" w:hint="eastAsia"/>
          <w:sz w:val="32"/>
          <w:szCs w:val="32"/>
        </w:rPr>
        <w:t xml:space="preserve">六、主要经验及做法、存在的问题及原因分析</w:t>
      </w:r>
      <w:bookmarkEnd w:id="56"/>
      <w:bookmarkEnd w:id="5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1"/>
        <w:rPr>
          <w:rFonts w:eastAsia="楷体"/>
          <w:b/>
          <w:spacing w:val="-4"/>
          <w:sz w:val="32"/>
          <w:szCs w:val="32"/>
        </w:rPr>
      </w:pPr>
      <w:bookmarkStart w:id="58" w:name="_Toc14091"/>
      <w:r>
        <w:rPr>
          <w:rFonts w:eastAsia="楷体"/>
          <w:b/>
          <w:spacing w:val="-4"/>
          <w:sz w:val="32"/>
          <w:szCs w:val="32"/>
        </w:rPr>
        <w:t xml:space="preserve">（一）主要经验及做法</w:t>
      </w:r>
      <w:bookmarkEnd w:id="5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hint="eastAsia"/>
          <w:b w:val="0"/>
          <w:bCs w:val="0"/>
          <w:kern w:val="2"/>
          <w:sz w:val="32"/>
          <w:szCs w:val="32"/>
        </w:rPr>
      </w:pPr>
      <w:r>
        <w:rPr>
          <w:rFonts w:ascii="仿宋_GB2312" w:eastAsia="仿宋_GB2312" w:hAnsi="仿宋_GB2312" w:cs="仿宋_GB2312" w:hint="eastAsia"/>
          <w:b w:val="0"/>
          <w:bCs w:val="0"/>
          <w:kern w:val="2"/>
          <w:sz w:val="32"/>
          <w:szCs w:val="32"/>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numPr>
          <w:ilvl w:val="0"/>
          <w:numId w:val="5"/>
        </w:numPr>
        <w:kinsoku/>
        <w:wordWrap w:val="0"/>
        <w:overflowPunct/>
        <w:topLinePunct/>
        <w:autoSpaceDE/>
        <w:autoSpaceDN/>
        <w:bidi w:val="0"/>
        <w:adjustRightInd/>
        <w:snapToGrid/>
        <w:spacing w:line="560" w:lineRule="exact"/>
        <w:ind w:firstLine="640" w:firstLineChars="200"/>
        <w:textAlignment w:val="auto"/>
        <w:outlineLvl w:val="1"/>
        <w:rPr>
          <w:rFonts w:eastAsia="楷体_GB2312"/>
          <w:b/>
          <w:bCs/>
          <w:sz w:val="32"/>
          <w:szCs w:val="32"/>
        </w:rPr>
      </w:pPr>
      <w:bookmarkStart w:id="59" w:name="_Toc1189"/>
      <w:r>
        <w:rPr>
          <w:rFonts w:eastAsia="楷体_GB2312"/>
          <w:b/>
          <w:bCs/>
          <w:sz w:val="32"/>
          <w:szCs w:val="32"/>
        </w:rPr>
        <w:t xml:space="preserve">存在的问题及原因分析</w:t>
      </w:r>
      <w:bookmarkEnd w:id="5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1.相关绩效管理方面专业知识的系统性学习有待加强。各项指标的设置要进一步优化、完善，主要在细化、量化上改进。在绩效自评过程中，</w:t>
      </w:r>
      <w:r>
        <w:rPr>
          <w:rFonts w:ascii="仿宋_GB2312" w:eastAsia="仿宋_GB2312" w:hAnsi="仿宋_GB2312" w:cs="仿宋_GB2312" w:hint="eastAsia"/>
          <w:sz w:val="32"/>
          <w:szCs w:val="32"/>
        </w:rPr>
        <w:t xml:space="preserve">由于部分人员</w:t>
      </w:r>
      <w:r>
        <w:rPr>
          <w:rFonts w:ascii="仿宋_GB2312" w:eastAsia="仿宋_GB2312" w:hAnsi="仿宋_GB2312" w:cs="仿宋_GB2312" w:hint="eastAsia"/>
          <w:sz w:val="32"/>
          <w:szCs w:val="32"/>
        </w:rPr>
        <w:t xml:space="preserve">缺乏相关绩效管理专业知识，自评价工作还存在自我审定的局限性，影响评价质量。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w:t>
      </w:r>
      <w:r>
        <w:rPr>
          <w:rFonts w:hint="eastAsia"/>
        </w:rPr>
        <w:t xml:space="preserve"> </w:t>
      </w:r>
      <w:r>
        <w:rPr>
          <w:rFonts w:ascii="仿宋_GB2312" w:eastAsia="仿宋_GB2312" w:hAnsi="仿宋_GB2312" w:cs="仿宋_GB2312" w:hint="eastAsia"/>
          <w:sz w:val="32"/>
          <w:szCs w:val="32"/>
        </w:rPr>
        <w:t xml:space="preserve">预算时对下一年度的突发状况缺乏预估，不能很好的应对上级领导的新目标，新任务。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60" w:name="_Toc18246"/>
      <w:bookmarkStart w:id="61" w:name="_Toc30503"/>
      <w:r>
        <w:rPr>
          <w:rFonts w:ascii="Times New Roman" w:eastAsia="黑体" w:hAnsi="Times New Roman" w:cs="Times New Roman" w:hint="eastAsia"/>
          <w:sz w:val="32"/>
          <w:szCs w:val="32"/>
        </w:rPr>
        <w:t xml:space="preserve">七、</w:t>
      </w:r>
      <w:r>
        <w:rPr>
          <w:rFonts w:ascii="Times New Roman" w:eastAsia="黑体" w:hAnsi="Times New Roman" w:cs="Times New Roman" w:hint="eastAsia"/>
          <w:sz w:val="32"/>
          <w:szCs w:val="32"/>
        </w:rPr>
        <w:t xml:space="preserve">有关建议</w:t>
      </w:r>
      <w:bookmarkEnd w:id="60"/>
      <w:bookmarkEnd w:id="61"/>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1.多进行有关绩效管理工作方面的培训。积极组织第三方开展绩效管理工作培训，进一步夯实业务基础，提高我单位绩效人员水平。</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62" w:name="_Toc28606"/>
      <w:bookmarkStart w:id="63" w:name="_Toc27235"/>
      <w:r>
        <w:rPr>
          <w:rFonts w:ascii="Times New Roman" w:eastAsia="黑体" w:hAnsi="Times New Roman" w:cs="Times New Roman" w:hint="eastAsia"/>
          <w:sz w:val="32"/>
          <w:szCs w:val="32"/>
        </w:rPr>
        <w:t xml:space="preserve">八、其他需要说</w:t>
      </w:r>
      <w:bookmarkStart w:id="64" w:name="page8"/>
      <w:bookmarkEnd w:id="64"/>
      <w:r>
        <w:rPr>
          <w:rFonts w:ascii="Times New Roman" w:eastAsia="黑体" w:hAnsi="Times New Roman" w:cs="Times New Roman" w:hint="eastAsia"/>
          <w:sz w:val="32"/>
          <w:szCs w:val="32"/>
        </w:rPr>
        <w:t xml:space="preserve">明的问题</w:t>
      </w:r>
      <w:bookmarkEnd w:id="62"/>
      <w:bookmarkEnd w:id="63"/>
    </w:p>
    <w:p>
      <w:pPr>
        <w:pStyle w:val="BodyTextFirstIndent2"/>
        <w:keepNext w:val="0"/>
        <w:keepLines w:val="0"/>
        <w:pageBreakBefore w:val="0"/>
        <w:widowControl w:val="0"/>
        <w:kinsoku/>
        <w:wordWrap w:val="0"/>
        <w:overflowPunct/>
        <w:topLinePunct/>
        <w:autoSpaceDE/>
        <w:autoSpaceDN/>
        <w:bidi w:val="0"/>
        <w:adjustRightInd/>
        <w:snapToGrid/>
        <w:spacing w:after="0" w:line="560" w:lineRule="exact"/>
        <w:ind w:left="0" w:firstLine="640" w:leftChars="0" w:firstLineChars="200"/>
        <w:textAlignment w:val="auto"/>
        <w:rPr>
          <w:rFonts w:eastAsia="方正小标宋简体"/>
          <w:b/>
          <w:kern w:val="0"/>
          <w:sz w:val="32"/>
          <w:szCs w:val="32"/>
        </w:rPr>
        <w:sectPr>
          <w:footerReference w:type="default" r:id="rId5"/>
          <w:pgSz w:w="11906" w:h="16838" w:orient="portrait"/>
          <w:pgMar w:top="1440" w:right="1558" w:bottom="1440" w:left="1800" w:header="851" w:footer="992" w:gutter="0"/>
          <w:pgNumType w:start="1"/>
          <w:cols w:num="1" w:space="425">
            <w:col w:w="8548" w:space="425"/>
          </w:cols>
          <w:docGrid w:type="lines" w:linePitch="312" w:charSpace="0"/>
        </w:sectPr>
      </w:pPr>
      <w:r>
        <w:rPr>
          <w:rFonts w:ascii="仿宋_GB2312" w:eastAsia="仿宋_GB2312" w:hAnsi="仿宋_GB2312" w:cs="仿宋_GB2312" w:hint="eastAsia"/>
          <w:sz w:val="32"/>
          <w:szCs w:val="32"/>
        </w:rPr>
        <w:t xml:space="preserve">本项目无其他需说明的问题。</w:t>
      </w:r>
    </w:p>
    <w:p>
      <w:pPr>
        <w:spacing w:line="600" w:lineRule="exact"/>
        <w:outlineLvl w:val="0"/>
        <w:rPr>
          <w:rFonts w:eastAsia="黑体" w:cs="Times New Roman" w:hint="default"/>
          <w:sz w:val="32"/>
          <w:szCs w:val="32"/>
          <w:lang w:val="en-US" w:eastAsia="zh-CN"/>
        </w:rPr>
      </w:pPr>
      <w:bookmarkStart w:id="65" w:name="_Toc15260"/>
      <w:bookmarkStart w:id="66" w:name="_Toc23130"/>
      <w:bookmarkStart w:id="67" w:name="_Toc30064_WPSOffice_Level1"/>
      <w:bookmarkStart w:id="68" w:name="_Toc26499_WPSOffice_Level2"/>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5"/>
      <w:r>
        <w:rPr>
          <w:rFonts w:eastAsia="黑体" w:cs="Times New Roman" w:hint="eastAsia"/>
          <w:sz w:val="32"/>
          <w:szCs w:val="32"/>
          <w:lang w:val="en-US" w:eastAsia="zh-CN"/>
        </w:rPr>
        <w:t xml:space="preserve">评价指标体系</w:t>
      </w:r>
      <w:bookmarkEnd w:id="66"/>
    </w:p>
    <w:p>
      <w:pPr>
        <w:spacing w:line="500" w:lineRule="exact"/>
        <w:ind w:firstLine="562"/>
        <w:jc w:val="center"/>
        <w:rPr>
          <w:kern w:val="0"/>
          <w:sz w:val="28"/>
          <w:szCs w:val="40"/>
        </w:rPr>
      </w:pPr>
      <w:r>
        <w:rPr>
          <w:rFonts w:hint="eastAsia"/>
          <w:b/>
          <w:bCs/>
          <w:kern w:val="0"/>
          <w:sz w:val="28"/>
          <w:szCs w:val="40"/>
          <w:lang w:val="en-US" w:eastAsia="zh-CN"/>
        </w:rPr>
        <w:t xml:space="preserve">科技发展中心自治区水利发展资金项目</w:t>
      </w:r>
      <w:r>
        <w:rPr>
          <w:rFonts w:hint="eastAsia"/>
          <w:b/>
          <w:bCs/>
          <w:kern w:val="0"/>
          <w:sz w:val="28"/>
          <w:szCs w:val="40"/>
        </w:rPr>
        <w:t xml:space="preserve">绩效评价指标体系及综合评分表</w:t>
      </w:r>
      <w:bookmarkEnd w:id="67"/>
      <w:bookmarkEnd w:id="68"/>
    </w:p>
    <w:tbl>
      <w:tblPr>
        <w:tblStyle w:val="NormalTable"/>
        <w:tblW w:w="135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724"/>
        <w:gridCol w:w="791"/>
        <w:gridCol w:w="784"/>
        <w:gridCol w:w="2850"/>
        <w:gridCol w:w="6858"/>
        <w:gridCol w:w="742"/>
        <w:gridCol w:w="770"/>
      </w:tblGrid>
      <w:tr w14:paraId="7F71A903">
        <w:tblPrEx>
          <w:tblW w:w="135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90"/>
          <w:tblHeader/>
          <w:jc w:val="center"/>
        </w:trPr>
        <w:tc>
          <w:tcPr>
            <w:tcW w:w="724"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285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6858"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74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77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14:paraId="2841DE81">
        <w:tblPrEx>
          <w:tblW w:w="13519" w:type="dxa"/>
          <w:jc w:val="center"/>
          <w:tblLayout w:type="fixed"/>
          <w:tblCellMar>
            <w:top w:w="0" w:type="dxa"/>
            <w:left w:w="108" w:type="dxa"/>
            <w:bottom w:w="0" w:type="dxa"/>
            <w:right w:w="108" w:type="dxa"/>
          </w:tblCellMar>
        </w:tblPrEx>
        <w:trPr>
          <w:trHeight w:val="2069"/>
          <w:jc w:val="center"/>
        </w:trPr>
        <w:tc>
          <w:tcPr>
            <w:tcW w:w="724"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6858"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ascii="Times New Roman" w:eastAsia="仿宋_GB2312" w:hAnsi="Times New Roman" w:cs="Times New Roman" w:hint="default"/>
                <w:color w:val="000000"/>
                <w:kern w:val="0"/>
                <w:sz w:val="18"/>
                <w:szCs w:val="18"/>
              </w:rPr>
              <w:t xml:space="preserve">属于部门</w:t>
            </w:r>
            <w:r>
              <w:rPr>
                <w:rFonts w:ascii="Times New Roman" w:eastAsia="仿宋_GB2312" w:hAnsi="Times New Roman" w:cs="Times New Roman" w:hint="default"/>
                <w:color w:val="000000"/>
                <w:kern w:val="0"/>
                <w:sz w:val="18"/>
                <w:szCs w:val="18"/>
              </w:rPr>
              <w:t xml:space="preserve">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742" w:type="dxa"/>
            <w:shd w:val="clear" w:color="auto" w:fill="FFFFFF"/>
            <w:vAlign w:val="center"/>
          </w:tcPr>
          <w:p>
            <w:pPr>
              <w:widowControl/>
              <w:spacing w:line="0" w:lineRule="atLeast"/>
              <w:jc w:val="center"/>
              <w:rPr>
                <w:b/>
                <w:bCs/>
                <w:color w:val="000000"/>
                <w:kern w:val="0"/>
                <w:sz w:val="22"/>
                <w:szCs w:val="22"/>
              </w:rPr>
            </w:pPr>
            <w:bookmarkStart w:id="69" w:name="_GoBack"/>
            <w:bookmarkEnd w:id="69"/>
            <w:r>
              <w:rPr>
                <w:b/>
                <w:bCs/>
                <w:color w:val="000000"/>
                <w:kern w:val="0"/>
                <w:sz w:val="22"/>
                <w:szCs w:val="22"/>
              </w:rPr>
              <w:t xml:space="preserve">3</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CF65299">
        <w:tblPrEx>
          <w:tblW w:w="13519" w:type="dxa"/>
          <w:jc w:val="center"/>
          <w:tblLayout w:type="fixed"/>
          <w:tblCellMar>
            <w:top w:w="0" w:type="dxa"/>
            <w:left w:w="108" w:type="dxa"/>
            <w:bottom w:w="0" w:type="dxa"/>
            <w:right w:w="108" w:type="dxa"/>
          </w:tblCellMar>
        </w:tblPrEx>
        <w:trPr>
          <w:trHeight w:val="9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6858"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5126B31E">
        <w:tblPrEx>
          <w:tblW w:w="13519" w:type="dxa"/>
          <w:jc w:val="center"/>
          <w:tblLayout w:type="fixed"/>
          <w:tblCellMar>
            <w:top w:w="0" w:type="dxa"/>
            <w:left w:w="108" w:type="dxa"/>
            <w:bottom w:w="0" w:type="dxa"/>
            <w:right w:w="108" w:type="dxa"/>
          </w:tblCellMar>
        </w:tblPrEx>
        <w:trPr>
          <w:trHeight w:val="9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6858"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611992">
        <w:tblPrEx>
          <w:tblW w:w="13519" w:type="dxa"/>
          <w:jc w:val="center"/>
          <w:tblLayout w:type="fixed"/>
          <w:tblCellMar>
            <w:top w:w="0" w:type="dxa"/>
            <w:left w:w="108" w:type="dxa"/>
            <w:bottom w:w="0" w:type="dxa"/>
            <w:right w:w="108" w:type="dxa"/>
          </w:tblCellMar>
        </w:tblPrEx>
        <w:trPr>
          <w:trHeight w:val="1464"/>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F353ED">
        <w:tblPrEx>
          <w:tblW w:w="13519" w:type="dxa"/>
          <w:jc w:val="center"/>
          <w:tblLayout w:type="fixed"/>
          <w:tblCellMar>
            <w:top w:w="0" w:type="dxa"/>
            <w:left w:w="108" w:type="dxa"/>
            <w:bottom w:w="0" w:type="dxa"/>
            <w:right w:w="108" w:type="dxa"/>
          </w:tblCellMar>
        </w:tblPrEx>
        <w:trPr>
          <w:trHeight w:val="1812"/>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74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 xml:space="preserve">4</w:t>
            </w:r>
          </w:p>
        </w:tc>
        <w:tc>
          <w:tcPr>
            <w:tcW w:w="770" w:type="dxa"/>
            <w:shd w:val="clear" w:color="auto" w:fill="FFFFFF"/>
            <w:vAlign w:val="center"/>
          </w:tcPr>
          <w:p>
            <w:pPr>
              <w:widowControl/>
              <w:spacing w:line="0" w:lineRule="atLeast"/>
              <w:jc w:val="center"/>
              <w:rPr>
                <w:rFonts w:eastAsia="宋体" w:hint="eastAsia"/>
                <w:b/>
                <w:bCs/>
                <w:color w:val="000000"/>
                <w:kern w:val="0"/>
                <w:sz w:val="22"/>
                <w:szCs w:val="22"/>
                <w:highlight w:val="none"/>
                <w:lang w:eastAsia="zh-CN"/>
              </w:rPr>
            </w:pPr>
            <w:r>
              <w:rPr>
                <w:rFonts w:hint="eastAsia"/>
                <w:b/>
                <w:bCs/>
                <w:color w:val="000000"/>
                <w:kern w:val="0"/>
                <w:sz w:val="22"/>
                <w:szCs w:val="22"/>
                <w:highlight w:val="none"/>
                <w:lang w:val="en-US" w:eastAsia="zh-CN"/>
              </w:rPr>
              <w:t xml:space="preserve">4</w:t>
            </w:r>
          </w:p>
        </w:tc>
      </w:tr>
      <w:tr w14:paraId="109919CC">
        <w:tblPrEx>
          <w:tblW w:w="13519" w:type="dxa"/>
          <w:jc w:val="center"/>
          <w:tblLayout w:type="fixed"/>
          <w:tblCellMar>
            <w:top w:w="0" w:type="dxa"/>
            <w:left w:w="108" w:type="dxa"/>
            <w:bottom w:w="0" w:type="dxa"/>
            <w:right w:w="108" w:type="dxa"/>
          </w:tblCellMar>
        </w:tblPrEx>
        <w:trPr>
          <w:trHeight w:val="1556"/>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3745AC67">
        <w:tblPrEx>
          <w:tblW w:w="13519" w:type="dxa"/>
          <w:jc w:val="center"/>
          <w:tblLayout w:type="fixed"/>
          <w:tblCellMar>
            <w:top w:w="0" w:type="dxa"/>
            <w:left w:w="108" w:type="dxa"/>
            <w:bottom w:w="0" w:type="dxa"/>
            <w:right w:w="108" w:type="dxa"/>
          </w:tblCellMar>
        </w:tblPrEx>
        <w:trPr>
          <w:trHeight w:val="1415"/>
          <w:jc w:val="center"/>
        </w:trPr>
        <w:tc>
          <w:tcPr>
            <w:tcW w:w="724"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7C9BF879">
        <w:tblPrEx>
          <w:tblW w:w="13519" w:type="dxa"/>
          <w:jc w:val="center"/>
          <w:tblLayout w:type="fixed"/>
          <w:tblCellMar>
            <w:top w:w="0" w:type="dxa"/>
            <w:left w:w="108" w:type="dxa"/>
            <w:bottom w:w="0" w:type="dxa"/>
            <w:right w:w="108" w:type="dxa"/>
          </w:tblCellMar>
        </w:tblPrEx>
        <w:trPr>
          <w:trHeight w:val="95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auto" w:fill="FFFFFF"/>
            <w:vAlign w:val="center"/>
          </w:tcPr>
          <w:p>
            <w:pPr>
              <w:widowControl/>
              <w:spacing w:line="0" w:lineRule="atLeast"/>
              <w:jc w:val="center"/>
              <w:rPr>
                <w:rFonts w:eastAsia="宋体" w:hint="eastAsia"/>
                <w:b/>
                <w:bCs/>
                <w:color w:val="000000"/>
                <w:kern w:val="0"/>
                <w:sz w:val="22"/>
                <w:szCs w:val="22"/>
                <w:lang w:eastAsia="zh-CN"/>
              </w:rPr>
            </w:pPr>
            <w:r>
              <w:rPr>
                <w:rFonts w:hint="eastAsia"/>
                <w:b/>
                <w:bCs/>
                <w:color w:val="000000"/>
                <w:kern w:val="0"/>
                <w:sz w:val="22"/>
                <w:szCs w:val="22"/>
                <w:lang w:val="en-US" w:eastAsia="zh-CN"/>
              </w:rPr>
              <w:t xml:space="preserve">4</w:t>
            </w:r>
          </w:p>
        </w:tc>
      </w:tr>
      <w:tr w14:paraId="02B0ED29">
        <w:tblPrEx>
          <w:tblW w:w="13519" w:type="dxa"/>
          <w:jc w:val="center"/>
          <w:tblLayout w:type="fixed"/>
          <w:tblCellMar>
            <w:top w:w="0" w:type="dxa"/>
            <w:left w:w="108" w:type="dxa"/>
            <w:bottom w:w="0" w:type="dxa"/>
            <w:right w:w="108" w:type="dxa"/>
          </w:tblCellMar>
        </w:tblPrEx>
        <w:trPr>
          <w:trHeight w:val="1816"/>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4FF1F67">
        <w:tblPrEx>
          <w:tblW w:w="13519" w:type="dxa"/>
          <w:jc w:val="center"/>
          <w:tblLayout w:type="fixed"/>
          <w:tblCellMar>
            <w:top w:w="0" w:type="dxa"/>
            <w:left w:w="108" w:type="dxa"/>
            <w:bottom w:w="0" w:type="dxa"/>
            <w:right w:w="108" w:type="dxa"/>
          </w:tblCellMar>
        </w:tblPrEx>
        <w:trPr>
          <w:trHeight w:val="1427"/>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501E1C31">
        <w:tblPrEx>
          <w:tblW w:w="13519" w:type="dxa"/>
          <w:jc w:val="center"/>
          <w:tblLayout w:type="fixed"/>
          <w:tblCellMar>
            <w:top w:w="0" w:type="dxa"/>
            <w:left w:w="108" w:type="dxa"/>
            <w:bottom w:w="0" w:type="dxa"/>
            <w:right w:w="108" w:type="dxa"/>
          </w:tblCellMar>
        </w:tblPrEx>
        <w:trPr>
          <w:trHeight w:val="1409"/>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3795303">
        <w:tblPrEx>
          <w:tblW w:w="13519" w:type="dxa"/>
          <w:jc w:val="center"/>
          <w:tblLayout w:type="fixed"/>
          <w:tblCellMar>
            <w:top w:w="0" w:type="dxa"/>
            <w:left w:w="108" w:type="dxa"/>
            <w:bottom w:w="0" w:type="dxa"/>
            <w:right w:w="108" w:type="dxa"/>
          </w:tblCellMar>
        </w:tblPrEx>
        <w:trPr>
          <w:trHeight w:val="1365"/>
          <w:jc w:val="center"/>
        </w:trPr>
        <w:tc>
          <w:tcPr>
            <w:tcW w:w="724"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40D46903">
        <w:tblPrEx>
          <w:tblW w:w="13519" w:type="dxa"/>
          <w:jc w:val="center"/>
          <w:tblLayout w:type="fixed"/>
          <w:tblCellMar>
            <w:top w:w="0" w:type="dxa"/>
            <w:left w:w="108" w:type="dxa"/>
            <w:bottom w:w="0" w:type="dxa"/>
            <w:right w:w="108" w:type="dxa"/>
          </w:tblCellMar>
        </w:tblPrEx>
        <w:trPr>
          <w:trHeight w:val="1356"/>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6AF46262">
        <w:tblPrEx>
          <w:tblW w:w="13519" w:type="dxa"/>
          <w:jc w:val="center"/>
          <w:tblLayout w:type="fixed"/>
          <w:tblCellMar>
            <w:top w:w="0" w:type="dxa"/>
            <w:left w:w="108" w:type="dxa"/>
            <w:bottom w:w="0" w:type="dxa"/>
            <w:right w:w="108" w:type="dxa"/>
          </w:tblCellMar>
        </w:tblPrEx>
        <w:trPr>
          <w:trHeight w:val="112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62CA1B9">
        <w:tblPrEx>
          <w:tblW w:w="13519" w:type="dxa"/>
          <w:jc w:val="center"/>
          <w:tblLayout w:type="fixed"/>
          <w:tblCellMar>
            <w:top w:w="0" w:type="dxa"/>
            <w:left w:w="108" w:type="dxa"/>
            <w:bottom w:w="0" w:type="dxa"/>
            <w:right w:w="108" w:type="dxa"/>
          </w:tblCellMar>
        </w:tblPrEx>
        <w:trPr>
          <w:trHeight w:val="1339"/>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DA4CA24">
        <w:tblPrEx>
          <w:tblW w:w="13519" w:type="dxa"/>
          <w:jc w:val="center"/>
          <w:tblLayout w:type="fixed"/>
          <w:tblCellMar>
            <w:top w:w="0" w:type="dxa"/>
            <w:left w:w="108" w:type="dxa"/>
            <w:bottom w:w="0" w:type="dxa"/>
            <w:right w:w="108" w:type="dxa"/>
          </w:tblCellMar>
        </w:tblPrEx>
        <w:trPr>
          <w:trHeight w:val="760"/>
          <w:jc w:val="center"/>
        </w:trPr>
        <w:tc>
          <w:tcPr>
            <w:tcW w:w="72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2850"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742"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2</w:t>
            </w:r>
            <w:r>
              <w:rPr>
                <w:b/>
                <w:bCs/>
                <w:color w:val="000000"/>
                <w:kern w:val="0"/>
                <w:sz w:val="22"/>
                <w:szCs w:val="22"/>
              </w:rPr>
              <w:t xml:space="preserve">0</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2</w:t>
            </w:r>
            <w:r>
              <w:rPr>
                <w:rFonts w:hint="eastAsia"/>
                <w:b/>
                <w:bCs/>
                <w:color w:val="000000"/>
                <w:kern w:val="0"/>
                <w:sz w:val="22"/>
                <w:szCs w:val="22"/>
              </w:rPr>
              <w:t xml:space="preserve">0</w:t>
            </w:r>
          </w:p>
        </w:tc>
      </w:tr>
      <w:tr w14:paraId="36957938">
        <w:tblPrEx>
          <w:tblW w:w="13519" w:type="dxa"/>
          <w:jc w:val="center"/>
          <w:tblLayout w:type="fixed"/>
          <w:tblCellMar>
            <w:top w:w="0" w:type="dxa"/>
            <w:left w:w="108" w:type="dxa"/>
            <w:bottom w:w="0" w:type="dxa"/>
            <w:right w:w="108" w:type="dxa"/>
          </w:tblCellMar>
        </w:tblPrEx>
        <w:trPr>
          <w:trHeight w:val="554"/>
          <w:jc w:val="center"/>
        </w:trPr>
        <w:tc>
          <w:tcPr>
            <w:tcW w:w="5149" w:type="dxa"/>
            <w:gridSpan w:val="4"/>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lang w:val="en-US" w:eastAsia="zh-CN"/>
              </w:rPr>
              <w:t xml:space="preserve">合    计</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p>
        </w:tc>
        <w:tc>
          <w:tcPr>
            <w:tcW w:w="742"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100</w:t>
            </w:r>
          </w:p>
        </w:tc>
        <w:tc>
          <w:tcPr>
            <w:tcW w:w="770" w:type="dxa"/>
            <w:shd w:val="clear" w:color="000000" w:fill="FFFFFF"/>
            <w:vAlign w:val="center"/>
          </w:tcPr>
          <w:p>
            <w:pPr>
              <w:widowControl/>
              <w:spacing w:line="0" w:lineRule="atLeast"/>
              <w:jc w:val="center"/>
              <w:rPr>
                <w:rFonts w:eastAsia="宋体" w:hint="default"/>
                <w:b/>
                <w:bCs/>
                <w:color w:val="000000"/>
                <w:kern w:val="0"/>
                <w:sz w:val="22"/>
                <w:szCs w:val="22"/>
                <w:lang w:val="en-US" w:eastAsia="zh-CN"/>
              </w:rPr>
            </w:pPr>
            <w:r>
              <w:rPr>
                <w:rFonts w:hint="eastAsia"/>
                <w:b/>
                <w:bCs/>
                <w:lang w:val="en-US" w:eastAsia="zh-CN"/>
              </w:rPr>
              <w:t xml:space="preserve">100</w:t>
            </w:r>
          </w:p>
        </w:tc>
      </w:tr>
    </w:tbl>
    <w:p>
      <w:pPr>
        <w:rPr>
          <w:rFonts w:ascii="Times New Roman" w:eastAsia="黑体" w:hAnsi="Times New Roman" w:cs="Times New Roman" w:hint="eastAsia"/>
          <w:sz w:val="32"/>
          <w:szCs w:val="32"/>
          <w:lang w:val="en-US" w:eastAsia="zh-CN"/>
        </w:rPr>
      </w:pPr>
      <w:r>
        <w:rPr>
          <w:rFonts w:ascii="Times New Roman" w:eastAsia="黑体" w:hAnsi="Times New Roman" w:cs="Times New Roman" w:hint="eastAsia"/>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eastAsia="黑体" w:cs="Times New Roman" w:hint="eastAsia"/>
          <w:sz w:val="24"/>
          <w:szCs w:val="24"/>
          <w:lang w:val="en-US" w:eastAsia="zh-CN"/>
        </w:rPr>
      </w:pPr>
      <w:bookmarkStart w:id="70" w:name="_Toc17917"/>
      <w:bookmarkStart w:id="71" w:name="_Toc28580"/>
      <w:r>
        <w:rPr>
          <w:rFonts w:ascii="黑体" w:eastAsia="黑体" w:hAnsi="黑体" w:cs="黑体" w:hint="eastAsia"/>
          <w:b/>
          <w:bCs/>
          <w:i w:val="0"/>
          <w:iCs w:val="0"/>
          <w:color w:val="000000"/>
          <w:kern w:val="0"/>
          <w:sz w:val="32"/>
          <w:szCs w:val="32"/>
          <w:u w:val="none"/>
          <w:lang w:val="en-US" w:eastAsia="zh-CN"/>
        </w:rPr>
        <w:t xml:space="preserve">附件2</w:t>
      </w:r>
      <w:bookmarkEnd w:id="70"/>
      <w:r>
        <w:rPr>
          <w:rFonts w:ascii="黑体" w:eastAsia="黑体" w:hAnsi="黑体" w:cs="黑体" w:hint="eastAsia"/>
          <w:b/>
          <w:bCs/>
          <w:i w:val="0"/>
          <w:iCs w:val="0"/>
          <w:color w:val="000000"/>
          <w:kern w:val="0"/>
          <w:sz w:val="32"/>
          <w:szCs w:val="32"/>
          <w:u w:val="none"/>
          <w:lang w:val="en-US" w:eastAsia="zh-CN"/>
        </w:rPr>
        <w:t xml:space="preserve">项目支出绩效自评表</w:t>
      </w:r>
      <w:bookmarkEnd w:id="71"/>
    </w:p>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 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684"/>
        <w:gridCol w:w="908"/>
        <w:gridCol w:w="791"/>
        <w:gridCol w:w="1928"/>
        <w:gridCol w:w="1273"/>
        <w:gridCol w:w="890"/>
        <w:gridCol w:w="1083"/>
        <w:gridCol w:w="641"/>
        <w:gridCol w:w="1077"/>
        <w:gridCol w:w="1208"/>
        <w:gridCol w:w="1267"/>
        <w:gridCol w:w="782"/>
        <w:gridCol w:w="658"/>
        <w:gridCol w:w="984"/>
      </w:tblGrid>
      <w:tr w14:paraId="4CD3FEDA">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15"/>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宋体" w:hAnsi="仿宋_GB2312" w:cs="仿宋_GB2312" w:hint="eastAsia"/>
                <w:i w:val="0"/>
                <w:iCs w:val="0"/>
                <w:color w:val="000000"/>
                <w:sz w:val="18"/>
                <w:szCs w:val="18"/>
                <w:u w:val="none"/>
                <w:lang w:val="en-US" w:eastAsia="zh-CN"/>
              </w:rPr>
            </w:pPr>
            <w:r>
              <w:rPr>
                <w:rFonts w:hint="eastAsia"/>
                <w:sz w:val="18"/>
                <w:szCs w:val="18"/>
                <w:lang w:val="en-US" w:eastAsia="zh-CN"/>
              </w:rPr>
              <w:t xml:space="preserve">自治区</w:t>
            </w:r>
            <w:r>
              <w:rPr>
                <w:rFonts w:hint="eastAsia"/>
                <w:sz w:val="18"/>
                <w:szCs w:val="18"/>
              </w:rPr>
              <w:t xml:space="preserve">水利发展资金</w:t>
            </w:r>
            <w:r>
              <w:rPr>
                <w:rFonts w:hint="eastAsia"/>
                <w:sz w:val="18"/>
                <w:szCs w:val="18"/>
                <w:lang w:val="en-US" w:eastAsia="zh-CN"/>
              </w:rPr>
              <w:t xml:space="preserve">项目</w:t>
            </w:r>
          </w:p>
        </w:tc>
      </w:tr>
      <w:tr w14:paraId="0F0C620A">
        <w:tblPrEx>
          <w:tblW w:w="5000" w:type="pct"/>
          <w:tblInd w:w="0" w:type="dxa"/>
          <w:shd w:val="clear" w:color="auto" w:fill="auto"/>
          <w:tblLayout w:type="fixed"/>
          <w:tblCellMar>
            <w:top w:w="0" w:type="dxa"/>
            <w:left w:w="108" w:type="dxa"/>
            <w:bottom w:w="0" w:type="dxa"/>
            <w:right w:w="108" w:type="dxa"/>
          </w:tblCellMar>
        </w:tblPrEx>
        <w:trPr>
          <w:trHeight w:val="248"/>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210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水利厅</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水利科技发展中心</w:t>
            </w:r>
          </w:p>
        </w:tc>
      </w:tr>
      <w:tr w14:paraId="61D90421">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14:paraId="575BD2D1">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r>
      <w:tr w14:paraId="5E090AA9">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r>
      <w:tr w14:paraId="51BD5F5F">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449"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696"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 0</w:t>
            </w:r>
          </w:p>
        </w:tc>
        <w:tc>
          <w:tcPr>
            <w:tcW w:w="605"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r>
      <w:tr w14:paraId="4ACC9701">
        <w:tblPrEx>
          <w:tblW w:w="5000" w:type="pct"/>
          <w:tblInd w:w="0" w:type="dxa"/>
          <w:shd w:val="clear" w:color="auto" w:fill="auto"/>
          <w:tblLayout w:type="fixed"/>
          <w:tblCellMar>
            <w:top w:w="0" w:type="dxa"/>
            <w:left w:w="108" w:type="dxa"/>
            <w:bottom w:w="0" w:type="dxa"/>
            <w:right w:w="108" w:type="dxa"/>
          </w:tblCellMar>
        </w:tblPrEx>
        <w:trPr>
          <w:trHeight w:val="347"/>
        </w:trPr>
        <w:tc>
          <w:tcPr>
            <w:tcW w:w="2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303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14:paraId="5A8A0B31">
        <w:tblPrEx>
          <w:tblW w:w="5000" w:type="pct"/>
          <w:tblInd w:w="0" w:type="dxa"/>
          <w:shd w:val="clear" w:color="auto" w:fill="auto"/>
          <w:tblLayout w:type="fixed"/>
          <w:tblCellMar>
            <w:top w:w="0" w:type="dxa"/>
            <w:left w:w="108" w:type="dxa"/>
            <w:bottom w:w="0" w:type="dxa"/>
            <w:right w:w="108" w:type="dxa"/>
          </w:tblCellMar>
        </w:tblPrEx>
        <w:trPr>
          <w:trHeight w:val="590"/>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030"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keepNext w:val="0"/>
              <w:keepLines w:val="0"/>
              <w:pageBreakBefore w:val="0"/>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hint="eastAsia"/>
                <w:sz w:val="18"/>
                <w:szCs w:val="18"/>
              </w:rPr>
              <w:t xml:space="preserve">通过本项目，实现2025年水利厅电子政务、网站、OA、异地视频会商系统正常运行；保证机房设备正常运行；做好水利厅直属各单位的网络安全检查和监督指导。</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eastAsia="宋体" w:hAnsi="仿宋_GB2312" w:cs="仿宋_GB2312" w:hint="eastAsia"/>
                <w:i w:val="0"/>
                <w:iCs w:val="0"/>
                <w:color w:val="000000"/>
                <w:sz w:val="18"/>
                <w:szCs w:val="18"/>
                <w:u w:val="none"/>
                <w:lang w:eastAsia="zh-CN"/>
              </w:rPr>
            </w:pPr>
            <w:r>
              <w:rPr>
                <w:rFonts w:hint="eastAsia"/>
                <w:sz w:val="18"/>
                <w:szCs w:val="18"/>
                <w:lang w:val="en-US" w:eastAsia="zh-CN"/>
              </w:rPr>
              <w:t xml:space="preserve">完成</w:t>
            </w:r>
            <w:r>
              <w:rPr>
                <w:rFonts w:hint="eastAsia"/>
                <w:sz w:val="18"/>
                <w:szCs w:val="18"/>
              </w:rPr>
              <w:t xml:space="preserve">2025年水利厅电子政务、网站、OA、异地视频会商系统正常运行</w:t>
            </w:r>
            <w:r>
              <w:rPr>
                <w:rFonts w:hint="eastAsia"/>
                <w:sz w:val="18"/>
                <w:szCs w:val="18"/>
                <w:lang w:eastAsia="zh-CN"/>
              </w:rPr>
              <w:t xml:space="preserve">，</w:t>
            </w:r>
            <w:r>
              <w:rPr>
                <w:rFonts w:hint="eastAsia"/>
                <w:sz w:val="18"/>
                <w:szCs w:val="18"/>
                <w:lang w:val="en-US" w:eastAsia="zh-CN"/>
              </w:rPr>
              <w:t xml:space="preserve">实现</w:t>
            </w:r>
            <w:r>
              <w:rPr>
                <w:rFonts w:hint="eastAsia"/>
                <w:sz w:val="18"/>
                <w:szCs w:val="18"/>
              </w:rPr>
              <w:t xml:space="preserve">机房设备正常运行；</w:t>
            </w:r>
            <w:r>
              <w:rPr>
                <w:rFonts w:hint="eastAsia"/>
                <w:sz w:val="18"/>
                <w:szCs w:val="18"/>
                <w:lang w:val="en-US" w:eastAsia="zh-CN"/>
              </w:rPr>
              <w:t xml:space="preserve">完成</w:t>
            </w:r>
            <w:r>
              <w:rPr>
                <w:rFonts w:hint="eastAsia"/>
                <w:sz w:val="18"/>
                <w:szCs w:val="18"/>
              </w:rPr>
              <w:t xml:space="preserve">网络安全检查和监督指导</w:t>
            </w:r>
            <w:r>
              <w:rPr>
                <w:rFonts w:hint="eastAsia"/>
                <w:sz w:val="18"/>
                <w:szCs w:val="18"/>
                <w:lang w:eastAsia="zh-CN"/>
              </w:rPr>
              <w:t xml:space="preserve">。</w:t>
            </w:r>
          </w:p>
        </w:tc>
      </w:tr>
      <w:tr w14:paraId="0ED5BDB4">
        <w:tblPrEx>
          <w:tblW w:w="5000" w:type="pct"/>
          <w:tblInd w:w="0" w:type="dxa"/>
          <w:shd w:val="clear" w:color="auto" w:fill="auto"/>
          <w:tblLayout w:type="fixed"/>
          <w:tblCellMar>
            <w:top w:w="0" w:type="dxa"/>
            <w:left w:w="108" w:type="dxa"/>
            <w:bottom w:w="0" w:type="dxa"/>
            <w:right w:w="108" w:type="dxa"/>
          </w:tblCellMar>
        </w:tblPrEx>
        <w:trPr>
          <w:trHeight w:val="709"/>
        </w:trPr>
        <w:tc>
          <w:tcPr>
            <w:tcW w:w="2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14:paraId="68D02A3B">
        <w:tblPrEx>
          <w:tblW w:w="5000" w:type="pct"/>
          <w:tblInd w:w="0" w:type="dxa"/>
          <w:shd w:val="clear" w:color="auto" w:fill="auto"/>
          <w:tblLayout w:type="fixed"/>
          <w:tblCellMar>
            <w:top w:w="0" w:type="dxa"/>
            <w:left w:w="108" w:type="dxa"/>
            <w:bottom w:w="0" w:type="dxa"/>
            <w:right w:w="108" w:type="dxa"/>
          </w:tblCellMar>
        </w:tblPrEx>
        <w:trPr>
          <w:trHeight w:val="537"/>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279"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679" w:type="pct"/>
            <w:tcBorders>
              <w:top w:val="single" w:sz="4" w:space="0" w:color="000000"/>
              <w:left w:val="nil"/>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hint="eastAsia"/>
                <w:sz w:val="18"/>
                <w:szCs w:val="18"/>
              </w:rPr>
              <w:t xml:space="preserve">渗透测试</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286262F0">
        <w:tblPrEx>
          <w:tblW w:w="5000" w:type="pct"/>
          <w:tblInd w:w="0" w:type="dxa"/>
          <w:shd w:val="clear" w:color="auto" w:fill="auto"/>
          <w:tblLayout w:type="fixed"/>
          <w:tblCellMar>
            <w:top w:w="0" w:type="dxa"/>
            <w:left w:w="108" w:type="dxa"/>
            <w:bottom w:w="0" w:type="dxa"/>
            <w:right w:w="108" w:type="dxa"/>
          </w:tblCellMar>
        </w:tblPrEx>
        <w:trPr>
          <w:trHeight w:val="384"/>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left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279" w:type="pct"/>
            <w:vMerge/>
            <w:tcBorders>
              <w:left w:val="single" w:sz="4" w:space="0" w:color="000000"/>
              <w:bottom w:val="nil"/>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679" w:type="pct"/>
            <w:tcBorders>
              <w:top w:val="single" w:sz="4" w:space="0" w:color="auto"/>
              <w:left w:val="nil"/>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网络安全检查次数</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314"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1B0D9E10">
        <w:tblPrEx>
          <w:tblW w:w="5000" w:type="pct"/>
          <w:tblInd w:w="0" w:type="dxa"/>
          <w:shd w:val="clear" w:color="auto" w:fill="auto"/>
          <w:tblLayout w:type="fixed"/>
          <w:tblCellMar>
            <w:top w:w="0" w:type="dxa"/>
            <w:left w:w="108" w:type="dxa"/>
            <w:bottom w:w="0" w:type="dxa"/>
            <w:right w:w="108" w:type="dxa"/>
          </w:tblCellMar>
        </w:tblPrEx>
        <w:trPr>
          <w:trHeight w:val="90"/>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6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机房设备正常运行率</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w:t>
            </w:r>
            <w:r>
              <w:rPr>
                <w:rFonts w:ascii="仿宋_GB2312" w:eastAsia="仿宋_GB2312" w:hAnsi="仿宋_GB2312" w:cs="仿宋_GB2312" w:hint="eastAsia"/>
                <w:i w:val="0"/>
                <w:iCs w:val="0"/>
                <w:color w:val="000000"/>
                <w:sz w:val="18"/>
                <w:szCs w:val="18"/>
                <w:u w:val="none"/>
                <w:lang w:val="en-US" w:eastAsia="zh-CN"/>
              </w:rPr>
              <w:t xml:space="preserve">95</w:t>
            </w:r>
            <w:r>
              <w:rPr>
                <w:rFonts w:ascii="仿宋_GB2312" w:eastAsia="仿宋_GB2312" w:hAnsi="仿宋_GB2312" w:cs="仿宋_GB2312" w:hint="eastAsia"/>
                <w:i w:val="0"/>
                <w:iCs w:val="0"/>
                <w:color w:val="000000"/>
                <w:sz w:val="18"/>
                <w:szCs w:val="18"/>
                <w:u w:val="none"/>
              </w:rPr>
              <w:t xml:space="preserve">%</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&gt;=90%</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51FED852">
        <w:tblPrEx>
          <w:tblW w:w="5000" w:type="pct"/>
          <w:tblInd w:w="0" w:type="dxa"/>
          <w:shd w:val="clear" w:color="auto" w:fill="auto"/>
          <w:tblLayout w:type="fixed"/>
          <w:tblCellMar>
            <w:top w:w="0" w:type="dxa"/>
            <w:left w:w="108" w:type="dxa"/>
            <w:bottom w:w="0" w:type="dxa"/>
            <w:right w:w="108" w:type="dxa"/>
          </w:tblCellMar>
        </w:tblPrEx>
        <w:trPr>
          <w:trHeight w:val="564"/>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vMerge/>
            <w:tcBorders>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6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网络安全整改率</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314"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6A75F763">
        <w:tblPrEx>
          <w:tblW w:w="5000" w:type="pct"/>
          <w:tblInd w:w="0" w:type="dxa"/>
          <w:shd w:val="clear" w:color="auto" w:fill="auto"/>
          <w:tblLayout w:type="fixed"/>
          <w:tblCellMar>
            <w:top w:w="0" w:type="dxa"/>
            <w:left w:w="108" w:type="dxa"/>
            <w:bottom w:w="0" w:type="dxa"/>
            <w:right w:w="108" w:type="dxa"/>
          </w:tblCellMar>
        </w:tblPrEx>
        <w:trPr>
          <w:trHeight w:val="65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网络安全检查时间</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rPr>
              <w:t xml:space="preserve">202</w:t>
            </w:r>
            <w:r>
              <w:rPr>
                <w:rFonts w:ascii="仿宋_GB2312" w:eastAsia="仿宋_GB2312" w:hAnsi="仿宋_GB2312" w:cs="仿宋_GB2312" w:hint="eastAsia"/>
                <w:i w:val="0"/>
                <w:iCs w:val="0"/>
                <w:color w:val="000000"/>
                <w:sz w:val="18"/>
                <w:szCs w:val="18"/>
                <w:u w:val="none"/>
                <w:lang w:val="en-US" w:eastAsia="zh-CN"/>
              </w:rPr>
              <w:t xml:space="preserve">5年9</w:t>
            </w:r>
            <w:r>
              <w:rPr>
                <w:rFonts w:ascii="仿宋_GB2312" w:eastAsia="仿宋_GB2312" w:hAnsi="仿宋_GB2312" w:cs="仿宋_GB2312" w:hint="eastAsia"/>
                <w:i w:val="0"/>
                <w:iCs w:val="0"/>
                <w:color w:val="000000"/>
                <w:sz w:val="18"/>
                <w:szCs w:val="18"/>
                <w:u w:val="none"/>
              </w:rPr>
              <w:t xml:space="preserve">月</w:t>
            </w:r>
            <w:r>
              <w:rPr>
                <w:rFonts w:ascii="仿宋_GB2312" w:eastAsia="仿宋_GB2312" w:hAnsi="仿宋_GB2312" w:cs="仿宋_GB2312" w:hint="eastAsia"/>
                <w:i w:val="0"/>
                <w:iCs w:val="0"/>
                <w:color w:val="000000"/>
                <w:sz w:val="18"/>
                <w:szCs w:val="18"/>
                <w:u w:val="none"/>
                <w:lang w:val="en-US" w:eastAsia="zh-CN"/>
              </w:rPr>
              <w:t xml:space="preserve">前</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年</w:t>
            </w:r>
            <w:r>
              <w:rPr>
                <w:rFonts w:ascii="仿宋_GB2312" w:eastAsia="仿宋_GB2312" w:hAnsi="仿宋_GB2312" w:cs="仿宋_GB2312" w:hint="eastAsia"/>
                <w:i w:val="0"/>
                <w:iCs w:val="0"/>
                <w:color w:val="000000"/>
                <w:sz w:val="18"/>
                <w:szCs w:val="18"/>
                <w:u w:val="none"/>
                <w:lang w:val="en-US" w:eastAsia="zh-CN"/>
              </w:rPr>
              <w:t xml:space="preserve">8</w:t>
            </w:r>
            <w:r>
              <w:rPr>
                <w:rFonts w:ascii="仿宋_GB2312" w:eastAsia="仿宋_GB2312" w:hAnsi="仿宋_GB2312" w:cs="仿宋_GB2312" w:hint="eastAsia"/>
                <w:i w:val="0"/>
                <w:iCs w:val="0"/>
                <w:color w:val="000000"/>
                <w:sz w:val="18"/>
                <w:szCs w:val="18"/>
                <w:u w:val="none"/>
              </w:rPr>
              <w:t xml:space="preserve">月</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2025年7月</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b/>
                <w:bCs/>
                <w:i w:val="0"/>
                <w:iCs w:val="0"/>
                <w:color w:val="000000"/>
                <w:sz w:val="18"/>
                <w:szCs w:val="18"/>
                <w:u w:val="none"/>
              </w:rPr>
            </w:pPr>
          </w:p>
        </w:tc>
      </w:tr>
      <w:tr w14:paraId="19DB1FAE">
        <w:tblPrEx>
          <w:tblW w:w="5000" w:type="pct"/>
          <w:tblInd w:w="0" w:type="dxa"/>
          <w:shd w:val="clear" w:color="auto" w:fill="auto"/>
          <w:tblLayout w:type="fixed"/>
          <w:tblCellMar>
            <w:top w:w="0" w:type="dxa"/>
            <w:left w:w="108" w:type="dxa"/>
            <w:bottom w:w="0" w:type="dxa"/>
            <w:right w:w="108" w:type="dxa"/>
          </w:tblCellMar>
        </w:tblPrEx>
        <w:trPr>
          <w:trHeight w:val="130"/>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279" w:type="pct"/>
            <w:vMerge w:val="restart"/>
            <w:tcBorders>
              <w:top w:val="single" w:sz="4" w:space="0" w:color="000000"/>
              <w:left w:val="single" w:sz="4" w:space="0" w:color="000000"/>
              <w:right w:val="single" w:sz="4" w:space="0" w:color="auto"/>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79" w:type="pct"/>
            <w:tcBorders>
              <w:top w:val="single" w:sz="4" w:space="0" w:color="000000"/>
              <w:left w:val="single" w:sz="4" w:space="0" w:color="auto"/>
              <w:bottom w:val="single" w:sz="4" w:space="0" w:color="auto"/>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000000"/>
                <w:kern w:val="2"/>
                <w:sz w:val="16"/>
                <w:szCs w:val="16"/>
                <w:u w:val="none"/>
                <w:lang w:val="en-US" w:eastAsia="zh-CN" w:bidi="ar-SA"/>
              </w:rPr>
            </w:pPr>
            <w:r>
              <w:rPr>
                <w:rFonts w:ascii="宋体" w:eastAsia="宋体" w:hAnsi="宋体" w:cs="宋体" w:hint="eastAsia"/>
                <w:i w:val="0"/>
                <w:iCs w:val="0"/>
                <w:color w:val="000000"/>
                <w:kern w:val="0"/>
                <w:sz w:val="16"/>
                <w:szCs w:val="16"/>
                <w:u w:val="none"/>
                <w:lang w:val="en-US" w:eastAsia="zh-CN"/>
              </w:rPr>
              <w:t xml:space="preserve">水利信息化和网络安全监督检查指导</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≤5万元</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5万元</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5万元</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56F2AE6A">
        <w:tblPrEx>
          <w:tblW w:w="5000" w:type="pct"/>
          <w:tblInd w:w="0" w:type="dxa"/>
          <w:shd w:val="clear" w:color="auto" w:fill="auto"/>
          <w:tblLayout w:type="fixed"/>
          <w:tblCellMar>
            <w:top w:w="0" w:type="dxa"/>
            <w:left w:w="108" w:type="dxa"/>
            <w:bottom w:w="0" w:type="dxa"/>
            <w:right w:w="108" w:type="dxa"/>
          </w:tblCellMar>
        </w:tblPrEx>
        <w:trPr>
          <w:trHeight w:val="512"/>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p>
        </w:tc>
        <w:tc>
          <w:tcPr>
            <w:tcW w:w="279" w:type="pct"/>
            <w:vMerge/>
            <w:tcBorders>
              <w:left w:val="single" w:sz="4" w:space="0" w:color="000000"/>
              <w:bottom w:val="nil"/>
              <w:right w:val="single" w:sz="4" w:space="0" w:color="auto"/>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679" w:type="pct"/>
            <w:tcBorders>
              <w:top w:val="single" w:sz="4" w:space="0" w:color="auto"/>
              <w:left w:val="single" w:sz="4" w:space="0" w:color="auto"/>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000000"/>
                <w:kern w:val="2"/>
                <w:sz w:val="16"/>
                <w:szCs w:val="16"/>
                <w:u w:val="none"/>
                <w:lang w:val="en-US" w:eastAsia="zh-CN" w:bidi="ar-SA"/>
              </w:rPr>
            </w:pPr>
            <w:r>
              <w:rPr>
                <w:rFonts w:ascii="宋体" w:eastAsia="宋体" w:hAnsi="宋体" w:cs="宋体" w:hint="eastAsia"/>
                <w:i w:val="0"/>
                <w:iCs w:val="0"/>
                <w:color w:val="000000"/>
                <w:kern w:val="0"/>
                <w:sz w:val="16"/>
                <w:szCs w:val="16"/>
                <w:u w:val="none"/>
                <w:lang w:val="en-US" w:eastAsia="zh-CN"/>
              </w:rPr>
              <w:t xml:space="preserve">网络存储视频终端等设施设备应用系统性运行维护</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w:t>
            </w:r>
            <w:r>
              <w:rPr>
                <w:rFonts w:ascii="仿宋_GB2312" w:eastAsia="仿宋_GB2312" w:hAnsi="仿宋_GB2312" w:cs="仿宋_GB2312" w:hint="eastAsia"/>
                <w:i w:val="0"/>
                <w:iCs w:val="0"/>
                <w:color w:val="000000"/>
                <w:sz w:val="18"/>
                <w:szCs w:val="18"/>
                <w:u w:val="none"/>
                <w:lang w:val="en-US" w:eastAsia="zh-CN"/>
              </w:rPr>
              <w:t xml:space="preserve">13</w:t>
            </w:r>
            <w:r>
              <w:rPr>
                <w:rFonts w:ascii="仿宋_GB2312" w:eastAsia="仿宋_GB2312" w:hAnsi="仿宋_GB2312" w:cs="仿宋_GB2312" w:hint="eastAsia"/>
                <w:i w:val="0"/>
                <w:iCs w:val="0"/>
                <w:color w:val="000000"/>
                <w:sz w:val="18"/>
                <w:szCs w:val="18"/>
                <w:u w:val="none"/>
              </w:rPr>
              <w:t xml:space="preserve">万元</w:t>
            </w:r>
          </w:p>
        </w:tc>
        <w:tc>
          <w:tcPr>
            <w:tcW w:w="314" w:type="pct"/>
            <w:tcBorders>
              <w:top w:val="single" w:sz="4" w:space="0" w:color="auto"/>
              <w:left w:val="single" w:sz="4" w:space="0" w:color="000000"/>
              <w:bottom w:val="nil"/>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nil"/>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13万元</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323C1ADC">
        <w:tblPrEx>
          <w:tblW w:w="5000" w:type="pct"/>
          <w:tblInd w:w="0" w:type="dxa"/>
          <w:shd w:val="clear" w:color="auto" w:fill="auto"/>
          <w:tblLayout w:type="fixed"/>
          <w:tblCellMar>
            <w:top w:w="0" w:type="dxa"/>
            <w:left w:w="108" w:type="dxa"/>
            <w:bottom w:w="0" w:type="dxa"/>
            <w:right w:w="108" w:type="dxa"/>
          </w:tblCellMar>
        </w:tblPrEx>
        <w:trPr>
          <w:trHeight w:val="28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3C33B5DE">
        <w:tblPrEx>
          <w:tblW w:w="5000" w:type="pct"/>
          <w:tblInd w:w="0" w:type="dxa"/>
          <w:shd w:val="clear" w:color="auto" w:fill="auto"/>
          <w:tblLayout w:type="fixed"/>
          <w:tblCellMar>
            <w:top w:w="0" w:type="dxa"/>
            <w:left w:w="108" w:type="dxa"/>
            <w:bottom w:w="0" w:type="dxa"/>
            <w:right w:w="108" w:type="dxa"/>
          </w:tblCellMar>
        </w:tblPrEx>
        <w:trPr>
          <w:trHeight w:val="699"/>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有效提高水利厅信息系统网络安全</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按评判等级赋分</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FC781EF">
        <w:tblPrEx>
          <w:tblW w:w="5000" w:type="pct"/>
          <w:tblInd w:w="0" w:type="dxa"/>
          <w:shd w:val="clear" w:color="auto" w:fill="auto"/>
          <w:tblLayout w:type="fixed"/>
          <w:tblCellMar>
            <w:top w:w="0" w:type="dxa"/>
            <w:left w:w="108" w:type="dxa"/>
            <w:bottom w:w="0" w:type="dxa"/>
            <w:right w:w="108" w:type="dxa"/>
          </w:tblCellMar>
        </w:tblPrEx>
        <w:trPr>
          <w:trHeight w:val="602"/>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生态效益指标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EE22D56">
        <w:tblPrEx>
          <w:tblW w:w="5000" w:type="pct"/>
          <w:tblInd w:w="0" w:type="dxa"/>
          <w:shd w:val="clear" w:color="auto" w:fill="auto"/>
          <w:tblLayout w:type="fixed"/>
          <w:tblCellMar>
            <w:top w:w="0" w:type="dxa"/>
            <w:left w:w="108" w:type="dxa"/>
            <w:bottom w:w="0" w:type="dxa"/>
            <w:right w:w="108" w:type="dxa"/>
          </w:tblCellMar>
        </w:tblPrEx>
        <w:trPr>
          <w:trHeight w:val="28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601E0CF">
        <w:tblPrEx>
          <w:tblW w:w="5000" w:type="pct"/>
          <w:tblInd w:w="0" w:type="dxa"/>
          <w:shd w:val="clear" w:color="auto" w:fill="auto"/>
          <w:tblLayout w:type="fixed"/>
          <w:tblCellMar>
            <w:top w:w="0" w:type="dxa"/>
            <w:left w:w="108" w:type="dxa"/>
            <w:bottom w:w="0" w:type="dxa"/>
            <w:right w:w="108" w:type="dxa"/>
          </w:tblCellMar>
        </w:tblPrEx>
        <w:trPr>
          <w:trHeight w:val="492"/>
        </w:trPr>
        <w:tc>
          <w:tcPr>
            <w:tcW w:w="1520"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nil"/>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b/>
                <w:bCs/>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240" w:lineRule="exact"/>
        <w:rPr>
          <w:rFonts w:ascii="Times New Roman" w:hAnsi="Times New Roman" w:cs="Times New Roman" w:hint="default"/>
        </w:rPr>
      </w:pPr>
    </w:p>
    <w:p>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仿宋_GB2312" w:eastAsia="仿宋_GB2312" w:hAnsi="仿宋_GB2312" w:cs="仿宋_GB2312" w:hint="eastAsia"/>
        <w:sz w:val="24"/>
        <w:szCs w:val="24"/>
      </w:rPr>
    </w:pPr>
  </w:p>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74890"/>
    </w:sdtPr>
    <w:sdtEndPr>
      <w:rPr>
        <w:rFonts w:ascii="仿宋_GB2312" w:eastAsia="仿宋_GB2312" w:hAnsi="仿宋_GB2312" w:cs="仿宋_GB2312" w:hint="eastAsia"/>
        <w:sz w:val="24"/>
        <w:szCs w:val="24"/>
      </w:rPr>
    </w:sdtEndPr>
    <w:sdtContent>
      <w:p>
        <w:pPr>
          <w:pStyle w:val="Foote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fldChar w:fldCharType="begin"/>
        </w:r>
        <w:r>
          <w:rPr>
            <w:rFonts w:ascii="仿宋_GB2312" w:eastAsia="仿宋_GB2312" w:hAnsi="仿宋_GB2312" w:cs="仿宋_GB2312" w:hint="eastAsia"/>
            <w:sz w:val="24"/>
            <w:szCs w:val="24"/>
          </w:rPr>
          <w:instrText xml:space="preserve">PAGE   \* MERGEFORMAT</w:instrText>
        </w:r>
        <w:r>
          <w:rPr>
            <w:rFonts w:ascii="仿宋_GB2312" w:eastAsia="仿宋_GB2312" w:hAnsi="仿宋_GB2312" w:cs="仿宋_GB2312" w:hint="eastAsia"/>
            <w:sz w:val="24"/>
            <w:szCs w:val="24"/>
          </w:rPr>
          <w:fldChar w:fldCharType="separate"/>
        </w:r>
        <w:r>
          <w:rPr>
            <w:rFonts w:ascii="仿宋_GB2312" w:eastAsia="仿宋_GB2312" w:hAnsi="仿宋_GB2312" w:cs="仿宋_GB2312" w:hint="eastAsia"/>
            <w:sz w:val="24"/>
            <w:szCs w:val="24"/>
            <w:lang w:val="zh-CN"/>
          </w:rPr>
          <w:t xml:space="preserve">24</w:t>
        </w:r>
        <w:r>
          <w:rPr>
            <w:rFonts w:ascii="仿宋_GB2312" w:eastAsia="仿宋_GB2312" w:hAnsi="仿宋_GB2312" w:cs="仿宋_GB2312" w:hint="eastAsia"/>
            <w:sz w:val="24"/>
            <w:szCs w:val="24"/>
          </w:rP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CD2B0F"/>
    <w:multiLevelType w:val="singleLevel"/>
    <w:tmpl w:val="F4CD2B0F"/>
    <w:name w:val="Numbered_05534089-53b1-4bcd-81f0-f4d54f4c0184"/>
    <w:lvl w:ilvl="0">
      <w:start w:val="1"/>
      <w:numFmt w:val="decimal"/>
      <w:suff w:val="nothing"/>
      <w:lvlText w:val="（%1）"/>
      <w:lvlJc w:val="left"/>
    </w:lvl>
  </w:abstractNum>
  <w:abstractNum w:abstractNumId="1">
    <w:nsid w:val="FF9379A8"/>
    <w:multiLevelType w:val="singleLevel"/>
    <w:tmpl w:val="FF9379A8"/>
    <w:name w:val="Numbered_351a6cf4-8ec9-4017-995e-b672d5df1105"/>
    <w:lvl w:ilvl="0">
      <w:start w:val="2"/>
      <w:numFmt w:val="chineseCounting"/>
      <w:suff w:val="nothing"/>
      <w:lvlText w:val="（%1）"/>
      <w:lvlJc w:val="left"/>
      <w:rPr>
        <w:rFonts w:hint="eastAsia"/>
      </w:rPr>
    </w:lvl>
  </w:abstractNum>
  <w:abstractNum w:abstractNumId="2">
    <w:nsid w:val="116B29BF"/>
    <w:multiLevelType w:val="singleLevel"/>
    <w:tmpl w:val="116B29BF"/>
    <w:name w:val="Numbered_bdd1d14b-f008-4507-b9bd-ca655c70ae4c"/>
    <w:lvl w:ilvl="0">
      <w:start w:val="3"/>
      <w:numFmt w:val="chineseCounting"/>
      <w:suff w:val="nothing"/>
      <w:lvlText w:val="%1、"/>
      <w:lvlJc w:val="left"/>
      <w:rPr>
        <w:rFonts w:hint="eastAsia"/>
      </w:rPr>
    </w:lvl>
  </w:abstractNum>
  <w:abstractNum w:abstractNumId="3">
    <w:nsid w:val="27813159"/>
    <w:multiLevelType w:val="singleLevel"/>
    <w:tmpl w:val="27813159"/>
    <w:name w:val="Numbered_4754f864-0fc5-47e9-8045-2fcb0f59d009"/>
    <w:lvl w:ilvl="0">
      <w:start w:val="3"/>
      <w:numFmt w:val="chineseCounting"/>
      <w:suff w:val="nothing"/>
      <w:lvlText w:val="（%1）"/>
      <w:lvlJc w:val="left"/>
      <w:rPr>
        <w:rFonts w:hint="eastAsia"/>
      </w:rPr>
    </w:lvl>
  </w:abstractNum>
  <w:abstractNum w:abstractNumId="4">
    <w:nsid w:val="6FAA0AB1"/>
    <w:multiLevelType w:val="singleLevel"/>
    <w:tmpl w:val="6FAA0AB1"/>
    <w:name w:val="Numbered_db43e90d-056b-4bbd-b954-1e5392611a40"/>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178C1"/>
    <w:rsid w:val="001A3A5E"/>
    <w:rsid w:val="001E2D8E"/>
    <w:rsid w:val="00200A29"/>
    <w:rsid w:val="002327C6"/>
    <w:rsid w:val="003103A4"/>
    <w:rsid w:val="00346C45"/>
    <w:rsid w:val="00402BAC"/>
    <w:rsid w:val="004308D7"/>
    <w:rsid w:val="0048437B"/>
    <w:rsid w:val="00506454"/>
    <w:rsid w:val="005452AF"/>
    <w:rsid w:val="005769D9"/>
    <w:rsid w:val="00593019"/>
    <w:rsid w:val="00663613"/>
    <w:rsid w:val="006651F7"/>
    <w:rsid w:val="00687B1A"/>
    <w:rsid w:val="006F7242"/>
    <w:rsid w:val="00711394"/>
    <w:rsid w:val="00781DCF"/>
    <w:rsid w:val="007B168A"/>
    <w:rsid w:val="007D3BE3"/>
    <w:rsid w:val="007D55AB"/>
    <w:rsid w:val="007F7718"/>
    <w:rsid w:val="00806829"/>
    <w:rsid w:val="00835CB1"/>
    <w:rsid w:val="008B2CFE"/>
    <w:rsid w:val="00947D68"/>
    <w:rsid w:val="00953538"/>
    <w:rsid w:val="009C0ED9"/>
    <w:rsid w:val="00A32FD1"/>
    <w:rsid w:val="00A91AEE"/>
    <w:rsid w:val="00AA770F"/>
    <w:rsid w:val="00AC48EE"/>
    <w:rsid w:val="00AF7820"/>
    <w:rsid w:val="00B36B60"/>
    <w:rsid w:val="00B979E1"/>
    <w:rsid w:val="00BA1934"/>
    <w:rsid w:val="00BF7C6B"/>
    <w:rsid w:val="00C108A3"/>
    <w:rsid w:val="00C162CF"/>
    <w:rsid w:val="00C53BD2"/>
    <w:rsid w:val="00C6790D"/>
    <w:rsid w:val="00CB3B3D"/>
    <w:rsid w:val="00D27367"/>
    <w:rsid w:val="00DD5AF2"/>
    <w:rsid w:val="00EB4DEC"/>
    <w:rsid w:val="00EC38EB"/>
    <w:rsid w:val="00F26FF6"/>
    <w:rsid w:val="00F817CB"/>
    <w:rsid w:val="00F95523"/>
    <w:rsid w:val="00FB490E"/>
    <w:rsid w:val="01607E44"/>
    <w:rsid w:val="01642AFE"/>
    <w:rsid w:val="021D15D4"/>
    <w:rsid w:val="0701218C"/>
    <w:rsid w:val="07397B77"/>
    <w:rsid w:val="07C02047"/>
    <w:rsid w:val="093525C0"/>
    <w:rsid w:val="0975080C"/>
    <w:rsid w:val="09D856DE"/>
    <w:rsid w:val="09F07C72"/>
    <w:rsid w:val="0AF3003D"/>
    <w:rsid w:val="0CDB6315"/>
    <w:rsid w:val="0D443541"/>
    <w:rsid w:val="0DBD5469"/>
    <w:rsid w:val="0E620646"/>
    <w:rsid w:val="0E631F01"/>
    <w:rsid w:val="0E7A21B3"/>
    <w:rsid w:val="0F032819"/>
    <w:rsid w:val="0F6A603C"/>
    <w:rsid w:val="0F9024A9"/>
    <w:rsid w:val="0FEF0C7C"/>
    <w:rsid w:val="10745D62"/>
    <w:rsid w:val="110D797F"/>
    <w:rsid w:val="116B069F"/>
    <w:rsid w:val="11963E18"/>
    <w:rsid w:val="11C1407B"/>
    <w:rsid w:val="128C628C"/>
    <w:rsid w:val="13471461"/>
    <w:rsid w:val="13656552"/>
    <w:rsid w:val="13B90F01"/>
    <w:rsid w:val="146830D4"/>
    <w:rsid w:val="146A1D6E"/>
    <w:rsid w:val="153420CB"/>
    <w:rsid w:val="1631306D"/>
    <w:rsid w:val="16831702"/>
    <w:rsid w:val="170F61FF"/>
    <w:rsid w:val="17940FA3"/>
    <w:rsid w:val="17C72E6C"/>
    <w:rsid w:val="181066D2"/>
    <w:rsid w:val="18607C09"/>
    <w:rsid w:val="18B74F0D"/>
    <w:rsid w:val="195A572B"/>
    <w:rsid w:val="19A16D54"/>
    <w:rsid w:val="19E6347B"/>
    <w:rsid w:val="19E7184B"/>
    <w:rsid w:val="1A0C785A"/>
    <w:rsid w:val="1BCF0CAE"/>
    <w:rsid w:val="1C671E73"/>
    <w:rsid w:val="1CE00457"/>
    <w:rsid w:val="1D070EB0"/>
    <w:rsid w:val="1D10519B"/>
    <w:rsid w:val="1D344C11"/>
    <w:rsid w:val="1D54095F"/>
    <w:rsid w:val="1F040D9A"/>
    <w:rsid w:val="1F9D49EB"/>
    <w:rsid w:val="20D47B58"/>
    <w:rsid w:val="21AF16D4"/>
    <w:rsid w:val="23973A92"/>
    <w:rsid w:val="25E0651D"/>
    <w:rsid w:val="27D824EE"/>
    <w:rsid w:val="28543608"/>
    <w:rsid w:val="28F51344"/>
    <w:rsid w:val="298A3E0B"/>
    <w:rsid w:val="2AB32876"/>
    <w:rsid w:val="2B9B322C"/>
    <w:rsid w:val="2DF2064C"/>
    <w:rsid w:val="31D90E47"/>
    <w:rsid w:val="32403562"/>
    <w:rsid w:val="32E97272"/>
    <w:rsid w:val="33B3458C"/>
    <w:rsid w:val="355E2A6E"/>
    <w:rsid w:val="35D83F6D"/>
    <w:rsid w:val="3845357D"/>
    <w:rsid w:val="38B16CBE"/>
    <w:rsid w:val="38CA40DD"/>
    <w:rsid w:val="395F2B56"/>
    <w:rsid w:val="3A1211BA"/>
    <w:rsid w:val="3A470558"/>
    <w:rsid w:val="3BB61FE8"/>
    <w:rsid w:val="3BDC720E"/>
    <w:rsid w:val="3BECE841"/>
    <w:rsid w:val="3FF7797D"/>
    <w:rsid w:val="42982295"/>
    <w:rsid w:val="42AD147E"/>
    <w:rsid w:val="42B35AD4"/>
    <w:rsid w:val="450B1E4C"/>
    <w:rsid w:val="455664FC"/>
    <w:rsid w:val="46AB11C4"/>
    <w:rsid w:val="485336EF"/>
    <w:rsid w:val="486A3125"/>
    <w:rsid w:val="48DE39E5"/>
    <w:rsid w:val="495C4C62"/>
    <w:rsid w:val="4AC20E17"/>
    <w:rsid w:val="4AC31FF2"/>
    <w:rsid w:val="4C1F02C8"/>
    <w:rsid w:val="4E596C5E"/>
    <w:rsid w:val="4EF23735"/>
    <w:rsid w:val="509A11F7"/>
    <w:rsid w:val="50D731DE"/>
    <w:rsid w:val="50EB1FBB"/>
    <w:rsid w:val="51E65C12"/>
    <w:rsid w:val="520D0B23"/>
    <w:rsid w:val="525D7108"/>
    <w:rsid w:val="535D12D2"/>
    <w:rsid w:val="53FB255A"/>
    <w:rsid w:val="5443482C"/>
    <w:rsid w:val="554C6C1A"/>
    <w:rsid w:val="564D35D5"/>
    <w:rsid w:val="5655539C"/>
    <w:rsid w:val="56CA5EF1"/>
    <w:rsid w:val="57F329F7"/>
    <w:rsid w:val="58B73A25"/>
    <w:rsid w:val="590D0B13"/>
    <w:rsid w:val="59185EC8"/>
    <w:rsid w:val="59274FA1"/>
    <w:rsid w:val="5BE31099"/>
    <w:rsid w:val="5BFF6039"/>
    <w:rsid w:val="5C162C24"/>
    <w:rsid w:val="5CC73923"/>
    <w:rsid w:val="5CDA13B8"/>
    <w:rsid w:val="5D4D6706"/>
    <w:rsid w:val="5D76A616"/>
    <w:rsid w:val="5D7F20B9"/>
    <w:rsid w:val="5DAC7D0E"/>
    <w:rsid w:val="5DB61130"/>
    <w:rsid w:val="5E4A70E9"/>
    <w:rsid w:val="5E7D1EEC"/>
    <w:rsid w:val="5E976BC3"/>
    <w:rsid w:val="5EA84FFD"/>
    <w:rsid w:val="5F98B5AF"/>
    <w:rsid w:val="5FA97E40"/>
    <w:rsid w:val="5FE94BCA"/>
    <w:rsid w:val="5FFE8511"/>
    <w:rsid w:val="5FFEACE2"/>
    <w:rsid w:val="643EE26D"/>
    <w:rsid w:val="674446B0"/>
    <w:rsid w:val="68F46DBB"/>
    <w:rsid w:val="69200ED4"/>
    <w:rsid w:val="6A2875C4"/>
    <w:rsid w:val="6A3F4BE3"/>
    <w:rsid w:val="6AC66A6B"/>
    <w:rsid w:val="6AE825EA"/>
    <w:rsid w:val="6BE57056"/>
    <w:rsid w:val="6E2E024B"/>
    <w:rsid w:val="6F5C41AC"/>
    <w:rsid w:val="6FAF6C78"/>
    <w:rsid w:val="6FF04568"/>
    <w:rsid w:val="70507DF8"/>
    <w:rsid w:val="709D472F"/>
    <w:rsid w:val="7317C656"/>
    <w:rsid w:val="734ED73F"/>
    <w:rsid w:val="736F6B1B"/>
    <w:rsid w:val="738C0844"/>
    <w:rsid w:val="73AD2787"/>
    <w:rsid w:val="749977A6"/>
    <w:rsid w:val="74CC0400"/>
    <w:rsid w:val="75640928"/>
    <w:rsid w:val="75644F78"/>
    <w:rsid w:val="75A568F6"/>
    <w:rsid w:val="779E2044"/>
    <w:rsid w:val="77FD8BE9"/>
    <w:rsid w:val="79A9BD3F"/>
    <w:rsid w:val="7AFE3A0A"/>
    <w:rsid w:val="7B7F13E8"/>
    <w:rsid w:val="7BFFFDD0"/>
    <w:rsid w:val="7C336E5F"/>
    <w:rsid w:val="7C61189E"/>
    <w:rsid w:val="7C831CEC"/>
    <w:rsid w:val="7D3717C1"/>
    <w:rsid w:val="7D7A5F86"/>
    <w:rsid w:val="7E696CC0"/>
    <w:rsid w:val="7F37BB4E"/>
    <w:rsid w:val="7F556E2D"/>
    <w:rsid w:val="7F715230"/>
    <w:rsid w:val="7FEF918E"/>
    <w:rsid w:val="7FF4FB6F"/>
    <w:rsid w:val="7FF7FF27"/>
    <w:rsid w:val="7FFDF714"/>
  </w:rsids>
  <w:docVars>
    <w:docVar w:name="commondata" w:val="eyJoZGlkIjoiZWQ3ZmEwYmNiZTczYjZhZDYzYjE4NjQ1NjY5MDM1ZjM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semiHidden="0" w:uiPriority="0" w:unhideWhenUsed="0" w:qFormat="1"/>
    <w:lsdException w:name="toc 2" w:semiHidden="0" w:uiPriority="0" w:unhideWhenUsed="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semiHidden="0" w:uiPriority="0" w:unhideWhenUsed="0" w:qFormat="1"/>
    <w:lsdException w:name="header" w:semiHidden="0" w:uiPriority="0" w:unhideWhenUsed="0" w:qFormat="1"/>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semiHidden="0" w:uiPriority="0" w:unhideWhenUsed="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0" w:unhideWhenUsed="0" w:qFormat="1"/>
    <w:lsdException w:name="Body Text Indent" w:semiHidden="0" w:uiPriority="0" w:unhideWhenUsed="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before="340" w:beforeLines="0" w:beforeAutospacing="0" w:after="330" w:afterLines="0" w:afterAutospacing="0" w:line="576" w:lineRule="auto"/>
      <w:outlineLvl w:val="0"/>
    </w:pPr>
    <w:rPr>
      <w:b/>
      <w:kern w:val="44"/>
      <w:sz w:val="44"/>
    </w:rPr>
  </w:style>
  <w:style w:type="paragraph" w:styleId="Heading2">
    <w:name w:val="Heading 2"/>
    <w:basedOn w:val="Normal"/>
    <w:next w:val="Normal"/>
    <w:unhideWhenUsed/>
    <w:qFormat/>
    <w:pPr>
      <w:keepNext/>
      <w:keepLines/>
      <w:spacing w:before="260" w:beforeLines="0" w:beforeAutospacing="0" w:after="260" w:afterLines="0" w:afterAutospacing="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Char"/>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semiHidden/>
    <w:unhideWhenUsed/>
    <w:qFormat/>
    <w:pPr>
      <w:ind w:left="840" w:leftChars="400"/>
    </w:pPr>
  </w:style>
  <w:style w:type="paragraph" w:styleId="BalloonText">
    <w:name w:val="Balloon Text"/>
    <w:basedOn w:val="Normal"/>
    <w:link w:val="批注框文本Char"/>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Char"/>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Char">
    <w:name w:val="批注框文本 Char"/>
    <w:basedOn w:val="DefaultParagraphFont"/>
    <w:link w:val="BalloonText"/>
    <w:qFormat/>
    <w:rPr>
      <w:rFonts w:ascii="Times New Roman" w:eastAsia="宋体" w:hAnsi="Times New Roman" w:cs="Times New Roman"/>
      <w:kern w:val="2"/>
      <w:sz w:val="18"/>
      <w:szCs w:val="18"/>
    </w:rPr>
  </w:style>
  <w:style w:type="character" w:customStyle="1" w:styleId="页眉Char">
    <w:name w:val="页眉 Char"/>
    <w:basedOn w:val="DefaultParagraphFont"/>
    <w:link w:val="Header"/>
    <w:qFormat/>
    <w:rPr>
      <w:rFonts w:ascii="Times New Roman" w:eastAsia="宋体" w:hAnsi="Times New Roman" w:cs="Times New Roman"/>
      <w:kern w:val="2"/>
      <w:sz w:val="18"/>
      <w:szCs w:val="18"/>
    </w:rPr>
  </w:style>
  <w:style w:type="character" w:customStyle="1" w:styleId="批注文字Char">
    <w:name w:val="批注文字 Char"/>
    <w:basedOn w:val="DefaultParagraphFont"/>
    <w:link w:val="CommentText"/>
    <w:qFormat/>
    <w:rPr>
      <w:rFonts w:ascii="Times New Roman" w:eastAsia="宋体" w:hAnsi="Times New Roman" w:cs="Times New Roman"/>
      <w:kern w:val="2"/>
      <w:sz w:val="21"/>
      <w:szCs w:val="24"/>
    </w:rPr>
  </w:style>
  <w:style w:type="character" w:customStyle="1" w:styleId="批注主题Char">
    <w:name w:val="批注主题 Char"/>
    <w:basedOn w:val="批注文字Char"/>
    <w:link w:val="CommentSubject"/>
    <w:qFormat/>
    <w:rPr>
      <w:rFonts w:ascii="Times New Roman" w:eastAsia="宋体" w:hAnsi="Times New Roman" w:cs="Times New Roman"/>
      <w:b/>
      <w:bCs/>
      <w:kern w:val="2"/>
      <w:sz w:val="21"/>
      <w:szCs w:val="24"/>
    </w:rPr>
  </w:style>
  <w:style w:type="paragraph" w:styleId="ListParagraph">
    <w:name w:val="List Paragraph"/>
    <w:basedOn w:val="Normal"/>
    <w:uiPriority w:val="99"/>
    <w:unhideWhenUsed/>
    <w:qFormat/>
    <w:pPr>
      <w:ind w:firstLine="420" w:firstLineChars="200"/>
    </w:pPr>
  </w:style>
  <w:style w:type="paragraph" w:customStyle="1" w:styleId="正文1">
    <w:name w:val="正文1"/>
    <w:basedOn w:val="[Normal]"/>
    <w:qFormat/>
    <w:pPr>
      <w:jc w:val="both"/>
    </w:pPr>
    <w:rPr>
      <w:rFonts w:ascii="Calibri" w:eastAsia="Calibri" w:hAnsi="Calibri" w:hint="default"/>
      <w:sz w:val="21"/>
    </w:rPr>
  </w:style>
  <w:style w:type="paragraph" w:customStyle="1" w:styleId="[Normal]">
    <w:name w:val="[Normal]"/>
    <w:qFormat/>
    <w:rPr>
      <w:rFonts w:ascii="宋体" w:eastAsia="宋体" w:hAnsi="宋体" w:cs="Times New Roman" w:hint="default"/>
      <w:sz w:val="24"/>
      <w:lang w:val="zh-CN" w:eastAsia="zh-CN"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theme" Target="theme/theme1.xml"/><Relationship Id="rId7" Type="http://schemas.openxmlformats.org/officeDocument/2006/relationships/styles" Target="styles.xml"/><Relationship Id="rId8"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8</TotalTime>
  <Pages>29</Pages>
  <Words>13374</Words>
  <Characters>13764</Characters>
  <Application>WPS Office_12.1.0.25225_F1E327BC-269C-435d-A152-05C5408002CA</Application>
  <DocSecurity>0</DocSecurity>
  <Lines>81</Lines>
  <Paragraphs>23</Paragraphs>
  <ScaleCrop>false</ScaleCrop>
  <LinksUpToDate>false</LinksUpToDate>
  <CharactersWithSpaces>13858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26</cp:revision>
  <cp:lastPrinted>2026-03-26T03:55:00Z</cp:lastPrinted>
  <dcterms:created xsi:type="dcterms:W3CDTF">2023-04-10T02:44:00Z</dcterms:created>
  <dcterms:modified xsi:type="dcterms:W3CDTF">2026-04-01T10:45:55Z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7982CD33C4A04A8D853167D9889AA03E_13</vt:lpwstr>
  </property>
  <property fmtid="{D5CDD505-2E9C-101B-9397-08002B2CF9AE}" pid="4" name="KSOTemplateDocerSaveRecord">
    <vt:lpwstr>eyJoZGlkIjoiYWJmNTAxYTA0NTllZTU0OWY5NWY0MWNlMzBjNGU2OTYiLCJ1c2VySWQiOiIyNDc3ODExMjkifQ_x003D__x003D_</vt:lpwstr>
  </property>
</Properties>
</file>