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新疆维吾尔自治区水利厅（本级）</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4FE97615">
      <w:r>
        <w:br w:type="page"/>
      </w:r>
    </w:p>
    <w:p w14:paraId="3B8A3AD4">
      <w:pPr>
        <w:spacing w:line="640" w:lineRule="exact"/>
        <w:jc w:val="center"/>
        <w:outlineLvl w:val="1"/>
      </w:pPr>
      <w:r>
        <w:rPr>
          <w:rFonts w:ascii="黑体" w:hAnsi="黑体" w:eastAsia="黑体"/>
          <w:sz w:val="32"/>
        </w:rPr>
        <w:t>第一部分 单位概况</w:t>
      </w:r>
    </w:p>
    <w:p w14:paraId="68BA3630">
      <w:pPr>
        <w:spacing w:line="640" w:lineRule="exact"/>
        <w:ind w:firstLine="640"/>
        <w:jc w:val="both"/>
        <w:outlineLvl w:val="2"/>
      </w:pPr>
      <w:r>
        <w:rPr>
          <w:rFonts w:ascii="黑体" w:hAnsi="黑体" w:eastAsia="黑体"/>
          <w:sz w:val="32"/>
        </w:rPr>
        <w:t>一、主要职能</w:t>
      </w:r>
    </w:p>
    <w:p w14:paraId="2EEF8EEF">
      <w:pPr>
        <w:spacing w:line="580" w:lineRule="exact"/>
        <w:ind w:firstLine="640"/>
        <w:jc w:val="both"/>
      </w:pPr>
      <w:r>
        <w:rPr>
          <w:rFonts w:ascii="仿宋_GB2312" w:hAnsi="仿宋_GB2312" w:eastAsia="仿宋_GB2312"/>
          <w:sz w:val="32"/>
        </w:rPr>
        <w:t>新疆维吾尔自治区水利厅是自治区人民政府组成部门，是自治区水行政主管部门，位于乌鲁木齐市黑龙江路146号。具体职责：拟订自治区水利发展规划和政策，组织编制自治区重大水资源发展规划，重要河流湖泊流域综合规划、防洪规划等重大水利规划；负责保障水资源的合理开发利用；负责生活、生产经营和生态环境用水的统筹和保障；按规定制定水利工程建设有关制度并组织实施；指导水资源保护工作；负责节约用水工作；指导水文工作；指导水利设施、水域及其岸线的管理、保护与综合利用；指导监督水利工程建设与运行管理；负责水土保持工作；指导农村水利工作；指导水利水电工程移民管理工作；负责重大涉水违法事件的查处，协调和仲裁地（州、市）水事纠纷，指导水政监察和水行政执法；开展水利科技和外事工作；负责落实综合防灾减灾规划相关要求，组织编制洪水干旱灾害防治规划和防护标准并指导实施。</w:t>
      </w:r>
    </w:p>
    <w:p w14:paraId="2450A546">
      <w:pPr>
        <w:spacing w:line="640" w:lineRule="exact"/>
        <w:ind w:firstLine="640"/>
        <w:jc w:val="both"/>
        <w:outlineLvl w:val="2"/>
      </w:pPr>
      <w:r>
        <w:rPr>
          <w:rFonts w:ascii="黑体" w:hAnsi="黑体" w:eastAsia="黑体"/>
          <w:sz w:val="32"/>
        </w:rPr>
        <w:t>二、机构设置</w:t>
      </w:r>
    </w:p>
    <w:p w14:paraId="58A617F4">
      <w:pPr>
        <w:spacing w:line="580" w:lineRule="exact"/>
        <w:ind w:firstLine="640"/>
        <w:jc w:val="both"/>
      </w:pPr>
      <w:r>
        <w:rPr>
          <w:rFonts w:ascii="仿宋_GB2312" w:hAnsi="仿宋_GB2312" w:eastAsia="仿宋_GB2312"/>
          <w:sz w:val="32"/>
        </w:rPr>
        <w:t>新疆维吾尔自治区水利厅（本级）无下属预算单位。</w:t>
      </w:r>
    </w:p>
    <w:p w14:paraId="2D456C7F">
      <w:r>
        <w:br w:type="page"/>
      </w:r>
    </w:p>
    <w:p w14:paraId="6B75AB11">
      <w:pPr>
        <w:spacing w:line="240" w:lineRule="auto"/>
        <w:jc w:val="center"/>
        <w:outlineLvl w:val="1"/>
      </w:pPr>
      <w:r>
        <w:rPr>
          <w:rFonts w:ascii="黑体" w:hAnsi="黑体" w:eastAsia="黑体"/>
          <w:sz w:val="32"/>
        </w:rPr>
        <w:t>第二部分 部门决算情况说明</w:t>
      </w:r>
    </w:p>
    <w:p w14:paraId="0E74ADBE">
      <w:pPr>
        <w:spacing w:line="640" w:lineRule="exact"/>
        <w:ind w:firstLine="640"/>
        <w:jc w:val="both"/>
        <w:outlineLvl w:val="2"/>
      </w:pPr>
      <w:r>
        <w:rPr>
          <w:rFonts w:ascii="黑体" w:hAnsi="黑体" w:eastAsia="黑体"/>
          <w:sz w:val="32"/>
        </w:rPr>
        <w:t>一、收入支出决算总体情况说明</w:t>
      </w:r>
    </w:p>
    <w:p w14:paraId="777C5D6F">
      <w:pPr>
        <w:spacing w:line="580" w:lineRule="exact"/>
        <w:ind w:firstLine="640"/>
        <w:jc w:val="both"/>
      </w:pPr>
      <w:r>
        <w:rPr>
          <w:rFonts w:ascii="仿宋_GB2312" w:hAnsi="仿宋_GB2312" w:eastAsia="仿宋_GB2312"/>
          <w:b/>
          <w:sz w:val="32"/>
        </w:rPr>
        <w:t>2025年度收入总计8,001.04万元，</w:t>
      </w:r>
      <w:r>
        <w:rPr>
          <w:rFonts w:ascii="仿宋_GB2312" w:hAnsi="仿宋_GB2312" w:eastAsia="仿宋_GB2312"/>
          <w:b w:val="0"/>
          <w:sz w:val="32"/>
        </w:rPr>
        <w:t>其中：本年收入合计7,950.11万元，使用非财政拨款结余（含专用结余）0.00万元，年初结转和结余50.93万元。</w:t>
      </w:r>
    </w:p>
    <w:p w14:paraId="12AB9C77">
      <w:pPr>
        <w:spacing w:line="580" w:lineRule="exact"/>
        <w:ind w:firstLine="640"/>
        <w:jc w:val="both"/>
      </w:pPr>
      <w:r>
        <w:rPr>
          <w:rFonts w:ascii="仿宋_GB2312" w:hAnsi="仿宋_GB2312" w:eastAsia="仿宋_GB2312"/>
          <w:b/>
          <w:sz w:val="32"/>
        </w:rPr>
        <w:t>2025年度支出总计8,001.04万元，</w:t>
      </w:r>
      <w:r>
        <w:rPr>
          <w:rFonts w:ascii="仿宋_GB2312" w:hAnsi="仿宋_GB2312" w:eastAsia="仿宋_GB2312"/>
          <w:b w:val="0"/>
          <w:sz w:val="32"/>
        </w:rPr>
        <w:t>其中：本年支出合计7,960.79万元，结余分配0.00万元，年末结转和结余40.25万元。</w:t>
      </w:r>
    </w:p>
    <w:p w14:paraId="0CC10EC5">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增加174.10万元，增长2.22%，主要原因是：本年因机构改革，并入塔里木河流域执行委员会办公室、新疆维吾尔自治区水政监察总队、新疆维吾尔自治区水利经济民警大队收入支出，导致收入支出较上年整体增加。</w:t>
      </w:r>
    </w:p>
    <w:p w14:paraId="56C8A6DD">
      <w:pPr>
        <w:spacing w:line="640" w:lineRule="exact"/>
        <w:ind w:firstLine="640"/>
        <w:jc w:val="both"/>
        <w:outlineLvl w:val="2"/>
      </w:pPr>
      <w:r>
        <w:rPr>
          <w:rFonts w:ascii="黑体" w:hAnsi="黑体" w:eastAsia="黑体"/>
          <w:sz w:val="32"/>
        </w:rPr>
        <w:t>二、收入决算情况说明</w:t>
      </w:r>
    </w:p>
    <w:p w14:paraId="06D8E2AE">
      <w:pPr>
        <w:spacing w:line="580" w:lineRule="exact"/>
        <w:ind w:firstLine="640"/>
        <w:jc w:val="both"/>
      </w:pPr>
      <w:r>
        <w:rPr>
          <w:rFonts w:ascii="仿宋_GB2312" w:hAnsi="仿宋_GB2312" w:eastAsia="仿宋_GB2312"/>
          <w:b/>
          <w:sz w:val="32"/>
        </w:rPr>
        <w:t>本年收入7,950.11万元，</w:t>
      </w:r>
      <w:r>
        <w:rPr>
          <w:rFonts w:ascii="仿宋_GB2312" w:hAnsi="仿宋_GB2312" w:eastAsia="仿宋_GB2312"/>
          <w:b w:val="0"/>
          <w:sz w:val="32"/>
        </w:rPr>
        <w:t>其中：财政拨款收入7,944.60万元，占99.93%；上级补助收入0.00万元，占0.00%；事业收入0.00万元，占0.00%；经营收入0.00万元，占0.00%；附属单位上缴收入0.00万元，占0.00%；其他收入5.52万元，占0.07%。</w:t>
      </w:r>
    </w:p>
    <w:p w14:paraId="4F9C49F1">
      <w:pPr>
        <w:spacing w:line="640" w:lineRule="exact"/>
        <w:ind w:firstLine="640"/>
        <w:jc w:val="both"/>
        <w:outlineLvl w:val="2"/>
      </w:pPr>
      <w:r>
        <w:rPr>
          <w:rFonts w:ascii="黑体" w:hAnsi="黑体" w:eastAsia="黑体"/>
          <w:sz w:val="32"/>
        </w:rPr>
        <w:t>三、支出决算情况说明</w:t>
      </w:r>
    </w:p>
    <w:p w14:paraId="58744EE7">
      <w:pPr>
        <w:spacing w:line="580" w:lineRule="exact"/>
        <w:ind w:firstLine="640"/>
        <w:jc w:val="both"/>
      </w:pPr>
      <w:r>
        <w:rPr>
          <w:rFonts w:ascii="仿宋_GB2312" w:hAnsi="仿宋_GB2312" w:eastAsia="仿宋_GB2312"/>
          <w:b/>
          <w:sz w:val="32"/>
        </w:rPr>
        <w:t>本年支出7,960.79万元，</w:t>
      </w:r>
      <w:r>
        <w:rPr>
          <w:rFonts w:ascii="仿宋_GB2312" w:hAnsi="仿宋_GB2312" w:eastAsia="仿宋_GB2312"/>
          <w:b w:val="0"/>
          <w:sz w:val="32"/>
        </w:rPr>
        <w:t>其中：基本支出3,228.99万元，占40.56%；项目支出4,731.80万元，占59.44%；上缴上级支出0.00万元，占0.00%；经营支出0.00万元，占0.00%；对附属单位补助支出0.00万元，占0.00%。</w:t>
      </w:r>
    </w:p>
    <w:p w14:paraId="561774CA">
      <w:pPr>
        <w:spacing w:line="640" w:lineRule="exact"/>
        <w:ind w:firstLine="640"/>
        <w:jc w:val="both"/>
        <w:outlineLvl w:val="2"/>
      </w:pPr>
      <w:r>
        <w:rPr>
          <w:rFonts w:ascii="黑体" w:hAnsi="黑体" w:eastAsia="黑体"/>
          <w:sz w:val="32"/>
        </w:rPr>
        <w:t>四、财政拨款收入支出决算总体情况说明</w:t>
      </w:r>
    </w:p>
    <w:p w14:paraId="5E4B2443">
      <w:pPr>
        <w:spacing w:line="580" w:lineRule="exact"/>
        <w:ind w:firstLine="640"/>
        <w:jc w:val="both"/>
      </w:pPr>
      <w:r>
        <w:rPr>
          <w:rFonts w:ascii="仿宋_GB2312" w:hAnsi="仿宋_GB2312" w:eastAsia="仿宋_GB2312"/>
          <w:b/>
          <w:sz w:val="32"/>
        </w:rPr>
        <w:t>2025年度财政拨款收入总计7,977.43万元，</w:t>
      </w:r>
      <w:r>
        <w:rPr>
          <w:rFonts w:ascii="仿宋_GB2312" w:hAnsi="仿宋_GB2312" w:eastAsia="仿宋_GB2312"/>
          <w:b w:val="0"/>
          <w:sz w:val="32"/>
        </w:rPr>
        <w:t>其中：年初财政拨款结转和结余32.83万元，本年财政拨款收入7,944.60万元。</w:t>
      </w:r>
      <w:r>
        <w:rPr>
          <w:rFonts w:ascii="仿宋_GB2312" w:hAnsi="仿宋_GB2312" w:eastAsia="仿宋_GB2312"/>
          <w:b/>
          <w:sz w:val="32"/>
        </w:rPr>
        <w:t>财政拨款支出总计7,977.43万元，</w:t>
      </w:r>
      <w:r>
        <w:rPr>
          <w:rFonts w:ascii="仿宋_GB2312" w:hAnsi="仿宋_GB2312" w:eastAsia="仿宋_GB2312"/>
          <w:b w:val="0"/>
          <w:sz w:val="32"/>
        </w:rPr>
        <w:t>其中：年末财政拨款结转和结余36.71万元，本年财政拨款支出7,940.72万元。</w:t>
      </w:r>
    </w:p>
    <w:p w14:paraId="0EA8C93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增加184.52万元，增长2.37%，主要原因是：本年因机构改革，并入塔里木河流域执行委员会办公室、新疆维吾尔自治区水政监察总队、新疆维吾尔自治区水利经济民警大队收入支出，导致收入支出较上年整体增加。</w:t>
      </w:r>
      <w:r>
        <w:rPr>
          <w:rFonts w:ascii="仿宋_GB2312" w:hAnsi="仿宋_GB2312" w:eastAsia="仿宋_GB2312"/>
          <w:b/>
          <w:sz w:val="32"/>
        </w:rPr>
        <w:t>与年初预算相比，</w:t>
      </w:r>
      <w:r>
        <w:rPr>
          <w:rFonts w:ascii="仿宋_GB2312" w:hAnsi="仿宋_GB2312" w:eastAsia="仿宋_GB2312"/>
          <w:b w:val="0"/>
          <w:sz w:val="32"/>
        </w:rPr>
        <w:t>年初预算数7,511.09万元，决算数7,977.43万元，预决算差异率6.21%，主要原因是：年中追加结亲交通费、驻村工作经费、丧葬费抚恤金。</w:t>
      </w:r>
    </w:p>
    <w:p w14:paraId="618715DB">
      <w:pPr>
        <w:spacing w:line="640" w:lineRule="exact"/>
        <w:ind w:firstLine="640"/>
        <w:jc w:val="both"/>
        <w:outlineLvl w:val="2"/>
      </w:pPr>
      <w:r>
        <w:rPr>
          <w:rFonts w:ascii="黑体" w:hAnsi="黑体" w:eastAsia="黑体"/>
          <w:sz w:val="32"/>
        </w:rPr>
        <w:t>五、一般公共预算财政拨款支出决算情况说明</w:t>
      </w:r>
    </w:p>
    <w:p w14:paraId="40051CA0">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重大水利工程建设、水资源节约保护、河湖长制工作、防汛抗旱等重点支出，体现在有关支出科目中。</w:t>
      </w:r>
    </w:p>
    <w:p w14:paraId="3360C0F9">
      <w:pPr>
        <w:spacing w:line="580" w:lineRule="exact"/>
        <w:ind w:firstLine="640"/>
        <w:jc w:val="both"/>
      </w:pPr>
      <w:r>
        <w:rPr>
          <w:rFonts w:ascii="仿宋_GB2312" w:hAnsi="仿宋_GB2312" w:eastAsia="仿宋_GB2312"/>
          <w:b w:val="0"/>
          <w:sz w:val="32"/>
        </w:rPr>
        <w:t>按照支出功能分类，农林水支出（类）水利（款）水资源节约管理与保护（项）的支出占本年财政拨款支出总额的比重最高，2025年度决算数为3,624.79万元，占比45.65%，主要用于全区水资源监控能力建设、水土保持监测、农田水利灌溉、地下水超采综合治理、重点河湖生态流量保障项目的实施。</w:t>
      </w:r>
    </w:p>
    <w:p w14:paraId="7F767E3E">
      <w:pPr>
        <w:spacing w:line="640" w:lineRule="exact"/>
        <w:ind w:firstLine="640"/>
        <w:jc w:val="both"/>
        <w:outlineLvl w:val="3"/>
      </w:pPr>
      <w:r>
        <w:rPr>
          <w:rFonts w:ascii="楷体_GB2312" w:hAnsi="楷体_GB2312" w:eastAsia="楷体_GB2312"/>
          <w:b/>
          <w:sz w:val="32"/>
        </w:rPr>
        <w:t>（一）一般公共预算财政拨款支出决算总体情况</w:t>
      </w:r>
    </w:p>
    <w:p w14:paraId="41D6D227">
      <w:pPr>
        <w:spacing w:line="580" w:lineRule="exact"/>
        <w:ind w:firstLine="640"/>
        <w:jc w:val="both"/>
      </w:pPr>
      <w:r>
        <w:rPr>
          <w:rFonts w:ascii="仿宋_GB2312" w:hAnsi="仿宋_GB2312" w:eastAsia="仿宋_GB2312"/>
          <w:b/>
          <w:sz w:val="32"/>
        </w:rPr>
        <w:t>2025年度一般公共预算财政拨款支出7,940.72万元，</w:t>
      </w:r>
      <w:r>
        <w:rPr>
          <w:rFonts w:ascii="仿宋_GB2312" w:hAnsi="仿宋_GB2312" w:eastAsia="仿宋_GB2312"/>
          <w:b w:val="0"/>
          <w:sz w:val="32"/>
        </w:rPr>
        <w:t>占本年支出合计的99.75%。</w:t>
      </w:r>
      <w:r>
        <w:rPr>
          <w:rFonts w:ascii="仿宋_GB2312" w:hAnsi="仿宋_GB2312" w:eastAsia="仿宋_GB2312"/>
          <w:b/>
          <w:sz w:val="32"/>
        </w:rPr>
        <w:t>与上年相比，</w:t>
      </w:r>
      <w:r>
        <w:rPr>
          <w:rFonts w:ascii="仿宋_GB2312" w:hAnsi="仿宋_GB2312" w:eastAsia="仿宋_GB2312"/>
          <w:b w:val="0"/>
          <w:sz w:val="32"/>
        </w:rPr>
        <w:t>增加365.81万元，增长4.83%，主要原因是：一是本年因机构改革，并入塔里木河流域执行委员会办公室、新疆维吾尔自治区水政监察总队、新疆维吾尔自治区水利经济民警大队支出，导致支出较上年整体增加；二是人员增资导致相关经费增加。</w:t>
      </w:r>
      <w:r>
        <w:rPr>
          <w:rFonts w:ascii="仿宋_GB2312" w:hAnsi="仿宋_GB2312" w:eastAsia="仿宋_GB2312"/>
          <w:b/>
          <w:sz w:val="32"/>
        </w:rPr>
        <w:t>与年初预算相比，</w:t>
      </w:r>
      <w:r>
        <w:rPr>
          <w:rFonts w:ascii="仿宋_GB2312" w:hAnsi="仿宋_GB2312" w:eastAsia="仿宋_GB2312"/>
          <w:b w:val="0"/>
          <w:sz w:val="32"/>
        </w:rPr>
        <w:t>年初预算数7,511.09万元，决算数7,940.72万元，预决算差异率5.72%，主要原因是：年中追加结亲交通费、驻村工作经费、丧葬费抚恤金。</w:t>
      </w:r>
    </w:p>
    <w:p w14:paraId="527C5A90">
      <w:pPr>
        <w:spacing w:line="640" w:lineRule="exact"/>
        <w:ind w:firstLine="640"/>
        <w:jc w:val="both"/>
        <w:outlineLvl w:val="3"/>
      </w:pPr>
      <w:r>
        <w:rPr>
          <w:rFonts w:ascii="楷体_GB2312" w:hAnsi="楷体_GB2312" w:eastAsia="楷体_GB2312"/>
          <w:b/>
          <w:sz w:val="32"/>
        </w:rPr>
        <w:t>（二）一般公共预算财政拨款支出决算结构情况</w:t>
      </w:r>
    </w:p>
    <w:p w14:paraId="544A53CC">
      <w:pPr>
        <w:spacing w:line="580" w:lineRule="exact"/>
        <w:ind w:firstLine="640"/>
        <w:jc w:val="both"/>
      </w:pPr>
      <w:r>
        <w:rPr>
          <w:rFonts w:ascii="仿宋_GB2312" w:hAnsi="仿宋_GB2312" w:eastAsia="仿宋_GB2312"/>
          <w:b w:val="0"/>
          <w:sz w:val="32"/>
        </w:rPr>
        <w:t>1.社会保障和就业支出（类）888.11万元，占11.18%。</w:t>
      </w:r>
    </w:p>
    <w:p w14:paraId="1966F533">
      <w:pPr>
        <w:spacing w:line="580" w:lineRule="exact"/>
        <w:ind w:firstLine="640"/>
        <w:jc w:val="both"/>
      </w:pPr>
      <w:r>
        <w:rPr>
          <w:rFonts w:ascii="仿宋_GB2312" w:hAnsi="仿宋_GB2312" w:eastAsia="仿宋_GB2312"/>
          <w:b w:val="0"/>
          <w:sz w:val="32"/>
        </w:rPr>
        <w:t>2.卫生健康支出（类）204.76万元，占2.58%。</w:t>
      </w:r>
    </w:p>
    <w:p w14:paraId="4BE35F83">
      <w:pPr>
        <w:spacing w:line="580" w:lineRule="exact"/>
        <w:ind w:firstLine="640"/>
        <w:jc w:val="both"/>
      </w:pPr>
      <w:r>
        <w:rPr>
          <w:rFonts w:ascii="仿宋_GB2312" w:hAnsi="仿宋_GB2312" w:eastAsia="仿宋_GB2312"/>
          <w:b w:val="0"/>
          <w:sz w:val="32"/>
        </w:rPr>
        <w:t>3.农林水支出（类）6,693.48万元，占84.29%。</w:t>
      </w:r>
    </w:p>
    <w:p w14:paraId="3A665CBE">
      <w:pPr>
        <w:spacing w:line="580" w:lineRule="exact"/>
        <w:ind w:firstLine="640"/>
        <w:jc w:val="both"/>
      </w:pPr>
      <w:r>
        <w:rPr>
          <w:rFonts w:ascii="仿宋_GB2312" w:hAnsi="仿宋_GB2312" w:eastAsia="仿宋_GB2312"/>
          <w:b w:val="0"/>
          <w:sz w:val="32"/>
        </w:rPr>
        <w:t>4.住房保障支出（类）154.37万元，占1.94%。</w:t>
      </w:r>
    </w:p>
    <w:p w14:paraId="7999BD09">
      <w:pPr>
        <w:spacing w:line="640" w:lineRule="exact"/>
        <w:ind w:firstLine="640"/>
        <w:jc w:val="both"/>
        <w:outlineLvl w:val="3"/>
      </w:pPr>
      <w:r>
        <w:rPr>
          <w:rFonts w:ascii="楷体_GB2312" w:hAnsi="楷体_GB2312" w:eastAsia="楷体_GB2312"/>
          <w:b/>
          <w:sz w:val="32"/>
        </w:rPr>
        <w:t>（三）一般公共预算财政拨款支出决算具体情况</w:t>
      </w:r>
    </w:p>
    <w:p w14:paraId="5EB5BAD6">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524.23万元，比上年决算增加58.69万元，增长12.61%，主要原因是：本年因机构改革，并入塔里木河流域执行委员会办公室、新疆维吾尔自治区水政监察总队、新疆维吾尔自治区水利经济民警大队退休人员，使本年退休人员增加，退休费支出增加。</w:t>
      </w:r>
    </w:p>
    <w:p w14:paraId="073C01DA">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0.42万元，比上年决算增加0.42万元，增长100.00%，主要原因是：本年功能科目调整，上年将离休人员的取暖费列入行政单位离退休科目中，本年单独列入到事业单位离退休科目中，导致经费较上年增加。</w:t>
      </w:r>
    </w:p>
    <w:p w14:paraId="73A5E083">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202.34万元，比上年决算减少27.00万元，下降11.77%，主要原因是：本年功能科目调整，养老保险缴费上年度单独列支，部分本年调整至主科目列支，导致经费较上年减少。</w:t>
      </w:r>
    </w:p>
    <w:p w14:paraId="4EAFEFF3">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122.01万元，比上年决算增加6.39万元，增长5.53%，主要原因是：根据社会保障处文件，2025年单位部分职业年金记实缴费以及本年申请了3名退休人员记实部分职业年金，故职业年金缴费支出较上年增加。</w:t>
      </w:r>
    </w:p>
    <w:p w14:paraId="3BC4C6B9">
      <w:pPr>
        <w:spacing w:line="580" w:lineRule="exact"/>
        <w:ind w:firstLine="640"/>
        <w:jc w:val="both"/>
      </w:pPr>
      <w:r>
        <w:rPr>
          <w:rFonts w:ascii="仿宋_GB2312" w:hAnsi="仿宋_GB2312" w:eastAsia="仿宋_GB2312"/>
          <w:b w:val="0"/>
          <w:sz w:val="32"/>
        </w:rPr>
        <w:t>5.社会保障和就业支出（类）企业改革补助（款）其他企业改革发展补助（项）：支出决算数为39.11万元，比上年决算增加30.46万元，增长352.14%，主要原因是：本年度根据工作安排，接收国有破产企业离退休人员经费管理，增加区属国有企业离休干部（遗孀）生活待遇专项经费，使本科目经费增加。</w:t>
      </w:r>
    </w:p>
    <w:p w14:paraId="1B9A9099">
      <w:pPr>
        <w:spacing w:line="580" w:lineRule="exact"/>
        <w:ind w:firstLine="640"/>
        <w:jc w:val="both"/>
      </w:pPr>
      <w:r>
        <w:rPr>
          <w:rFonts w:ascii="仿宋_GB2312" w:hAnsi="仿宋_GB2312" w:eastAsia="仿宋_GB2312"/>
          <w:b w:val="0"/>
          <w:sz w:val="32"/>
        </w:rPr>
        <w:t>6.卫生健康支出（类）行政事业单位医疗（款）行政单位医疗（项）：支出决算数为112.71万元，比上年决算增加9.19万元，增长8.88%，主要原因是：一是本年人员工资基数调增，医疗缴费基数上涨，相应支出增加。二是本年在职人员增加，行政单位医疗支出较上年增加。</w:t>
      </w:r>
    </w:p>
    <w:p w14:paraId="6C88D148">
      <w:pPr>
        <w:spacing w:line="580" w:lineRule="exact"/>
        <w:ind w:firstLine="640"/>
        <w:jc w:val="both"/>
      </w:pPr>
      <w:r>
        <w:rPr>
          <w:rFonts w:ascii="仿宋_GB2312" w:hAnsi="仿宋_GB2312" w:eastAsia="仿宋_GB2312"/>
          <w:b w:val="0"/>
          <w:sz w:val="32"/>
        </w:rPr>
        <w:t>7.卫生健康支出（类）行政事业单位医疗（款）公务员医疗补助（项）：支出决算数为92.05万元，比上年决算增加2.24万元，增长2.49%，主要原因是：一是本年人员工资基数调增，公务员医疗补助缴费基数上涨，相应支出增加。二是本年在职人员增加，公务员医疗补助支出较上年增加。</w:t>
      </w:r>
    </w:p>
    <w:p w14:paraId="5F188E4E">
      <w:pPr>
        <w:spacing w:line="580" w:lineRule="exact"/>
        <w:ind w:firstLine="640"/>
        <w:jc w:val="both"/>
      </w:pPr>
      <w:r>
        <w:rPr>
          <w:rFonts w:ascii="仿宋_GB2312" w:hAnsi="仿宋_GB2312" w:eastAsia="仿宋_GB2312"/>
          <w:b w:val="0"/>
          <w:sz w:val="32"/>
        </w:rPr>
        <w:t>8.农林水支出（类）水利（款）行政运行（项）：支出决算数为2,000.79万元，比上年决算减少119.69万元，下降5.64%，主要原因是：本年度减少访惠聚驻村工作经费、自治区党委水资源管理委员会专家委员会专项资金，导致本年经费较上年决算减少。</w:t>
      </w:r>
    </w:p>
    <w:p w14:paraId="0C6F7723">
      <w:pPr>
        <w:spacing w:line="580" w:lineRule="exact"/>
        <w:ind w:firstLine="640"/>
        <w:jc w:val="both"/>
      </w:pPr>
      <w:r>
        <w:rPr>
          <w:rFonts w:ascii="仿宋_GB2312" w:hAnsi="仿宋_GB2312" w:eastAsia="仿宋_GB2312"/>
          <w:b w:val="0"/>
          <w:sz w:val="32"/>
        </w:rPr>
        <w:t>9.农林水支出（类）水利（款）一般行政管理事务（项）：支出决算数为799.90万元，比上年决算减少45.10万元，下降5.34%，主要原因是：根据工作开展情况，本年减少巡查工作经费项目，导致决算经费减少。</w:t>
      </w:r>
    </w:p>
    <w:p w14:paraId="5ADB9624">
      <w:pPr>
        <w:spacing w:line="580" w:lineRule="exact"/>
        <w:ind w:firstLine="640"/>
        <w:jc w:val="both"/>
      </w:pPr>
      <w:r>
        <w:rPr>
          <w:rFonts w:ascii="仿宋_GB2312" w:hAnsi="仿宋_GB2312" w:eastAsia="仿宋_GB2312"/>
          <w:b w:val="0"/>
          <w:sz w:val="32"/>
        </w:rPr>
        <w:t>10.农林水支出（类）水利（款）水利行业业务管理（项）：支出决算数为90.00万元，比上年决算增加90.00万元，增长100.00%，主要原因是：本年功能科目调整，专项项目资金由水资源节约管理与保护（项）调整到水利行业务管理（项）单独列支，导致经费较上年增加。</w:t>
      </w:r>
    </w:p>
    <w:p w14:paraId="3762B1D8">
      <w:pPr>
        <w:spacing w:line="580" w:lineRule="exact"/>
        <w:ind w:firstLine="640"/>
        <w:jc w:val="both"/>
      </w:pPr>
      <w:r>
        <w:rPr>
          <w:rFonts w:ascii="仿宋_GB2312" w:hAnsi="仿宋_GB2312" w:eastAsia="仿宋_GB2312"/>
          <w:b w:val="0"/>
          <w:sz w:val="32"/>
        </w:rPr>
        <w:t>11.农林水支出（类）水利（款）水利前期工作（项）：支出决算数为0.00万元，比上年决算减少300.00万元，下降100.00%，主要原因是：本年功能科目调整，项目前期工作经费</w:t>
      </w:r>
      <w:r>
        <w:rPr>
          <w:rFonts w:hint="eastAsia" w:ascii="仿宋_GB2312" w:hAnsi="仿宋_GB2312" w:eastAsia="仿宋_GB2312"/>
          <w:b w:val="0"/>
          <w:sz w:val="32"/>
          <w:lang w:val="en-US" w:eastAsia="zh-CN"/>
        </w:rPr>
        <w:t>从</w:t>
      </w:r>
      <w:r>
        <w:rPr>
          <w:rFonts w:ascii="仿宋_GB2312" w:hAnsi="仿宋_GB2312" w:eastAsia="仿宋_GB2312"/>
          <w:b w:val="0"/>
          <w:sz w:val="32"/>
        </w:rPr>
        <w:t>农林水支出（类）水利（款）水利前期工作（项）</w:t>
      </w:r>
      <w:r>
        <w:rPr>
          <w:rFonts w:hint="eastAsia" w:ascii="仿宋_GB2312" w:hAnsi="仿宋_GB2312" w:eastAsia="仿宋_GB2312"/>
          <w:b w:val="0"/>
          <w:sz w:val="32"/>
          <w:lang w:val="en-US" w:eastAsia="zh-CN"/>
        </w:rPr>
        <w:t>科目调整至</w:t>
      </w:r>
      <w:r>
        <w:rPr>
          <w:rFonts w:ascii="仿宋_GB2312" w:hAnsi="仿宋_GB2312" w:eastAsia="仿宋_GB2312"/>
          <w:b w:val="0"/>
          <w:sz w:val="32"/>
        </w:rPr>
        <w:t>农林水支出（类）水利（款）水资源节约管理与保护（项）</w:t>
      </w:r>
      <w:r>
        <w:rPr>
          <w:rFonts w:hint="eastAsia" w:ascii="仿宋_GB2312" w:hAnsi="仿宋_GB2312" w:eastAsia="仿宋_GB2312"/>
          <w:b w:val="0"/>
          <w:sz w:val="32"/>
          <w:lang w:val="en-US" w:eastAsia="zh-CN"/>
        </w:rPr>
        <w:t>科目列支，导致</w:t>
      </w:r>
      <w:r>
        <w:rPr>
          <w:rFonts w:ascii="仿宋_GB2312" w:hAnsi="仿宋_GB2312" w:eastAsia="仿宋_GB2312"/>
          <w:b w:val="0"/>
          <w:sz w:val="32"/>
        </w:rPr>
        <w:t>经费较上年减少。</w:t>
      </w:r>
    </w:p>
    <w:p w14:paraId="34A18C6D">
      <w:pPr>
        <w:spacing w:line="580" w:lineRule="exact"/>
        <w:ind w:firstLine="640"/>
        <w:jc w:val="both"/>
      </w:pPr>
      <w:r>
        <w:rPr>
          <w:rFonts w:ascii="仿宋_GB2312" w:hAnsi="仿宋_GB2312" w:eastAsia="仿宋_GB2312"/>
          <w:b w:val="0"/>
          <w:sz w:val="32"/>
        </w:rPr>
        <w:t>12.农林水支出（类）水利（款）水资源节约管理与保护（项）：支出决算数为3,624.79万元，比上年决算增加481.79万元，增长15.33%，主要原因是：一是本年功能科目调整，项目前期工作经费</w:t>
      </w:r>
      <w:r>
        <w:rPr>
          <w:rFonts w:hint="eastAsia" w:ascii="仿宋_GB2312" w:hAnsi="仿宋_GB2312" w:eastAsia="仿宋_GB2312"/>
          <w:b w:val="0"/>
          <w:sz w:val="32"/>
          <w:lang w:val="en-US" w:eastAsia="zh-CN"/>
        </w:rPr>
        <w:t>从</w:t>
      </w:r>
      <w:r>
        <w:rPr>
          <w:rFonts w:ascii="仿宋_GB2312" w:hAnsi="仿宋_GB2312" w:eastAsia="仿宋_GB2312"/>
          <w:b w:val="0"/>
          <w:sz w:val="32"/>
        </w:rPr>
        <w:t>农林水支出（类）水利（款）水利前期工作（项）</w:t>
      </w:r>
      <w:r>
        <w:rPr>
          <w:rFonts w:hint="eastAsia" w:ascii="仿宋_GB2312" w:hAnsi="仿宋_GB2312" w:eastAsia="仿宋_GB2312"/>
          <w:b w:val="0"/>
          <w:sz w:val="32"/>
          <w:lang w:val="en-US" w:eastAsia="zh-CN"/>
        </w:rPr>
        <w:t>科目调整至</w:t>
      </w:r>
      <w:r>
        <w:rPr>
          <w:rFonts w:ascii="仿宋_GB2312" w:hAnsi="仿宋_GB2312" w:eastAsia="仿宋_GB2312"/>
          <w:b w:val="0"/>
          <w:sz w:val="32"/>
        </w:rPr>
        <w:t>农林水支出（类）水利（款）水资源节约管理与保护（项）</w:t>
      </w:r>
      <w:r>
        <w:rPr>
          <w:rFonts w:hint="eastAsia" w:ascii="仿宋_GB2312" w:hAnsi="仿宋_GB2312" w:eastAsia="仿宋_GB2312"/>
          <w:b w:val="0"/>
          <w:sz w:val="32"/>
          <w:lang w:val="en-US" w:eastAsia="zh-CN"/>
        </w:rPr>
        <w:t>科目列支，</w:t>
      </w:r>
      <w:r>
        <w:rPr>
          <w:rFonts w:ascii="仿宋_GB2312" w:hAnsi="仿宋_GB2312" w:eastAsia="仿宋_GB2312"/>
          <w:b w:val="0"/>
          <w:sz w:val="32"/>
        </w:rPr>
        <w:t>导致经费较上年增加。二是因工作情况增加河湖保护项目经费。</w:t>
      </w:r>
    </w:p>
    <w:p w14:paraId="24BCE7B2">
      <w:pPr>
        <w:spacing w:line="580" w:lineRule="exact"/>
        <w:ind w:firstLine="640"/>
        <w:jc w:val="both"/>
      </w:pPr>
      <w:r>
        <w:rPr>
          <w:rFonts w:ascii="仿宋_GB2312" w:hAnsi="仿宋_GB2312" w:eastAsia="仿宋_GB2312"/>
          <w:b w:val="0"/>
          <w:sz w:val="32"/>
        </w:rPr>
        <w:t>13.农林水支出（类）水利（款）大中型水库移民后期扶持专项支出（项）：支出决算数为178.00万元，比上年决算增加178.00万元，增长100.00%，主要原因是：本年功能科目调整，大中型水库移民后期扶持专项，由政府性基金调整到农林水支出(类)水利(款)大中型水库移民后期扶持专项支出(项)，导致经费较上年增加。</w:t>
      </w:r>
    </w:p>
    <w:p w14:paraId="462E1DB0">
      <w:pPr>
        <w:spacing w:line="580" w:lineRule="exact"/>
        <w:ind w:firstLine="640"/>
        <w:jc w:val="both"/>
      </w:pPr>
      <w:r>
        <w:rPr>
          <w:rFonts w:ascii="仿宋_GB2312" w:hAnsi="仿宋_GB2312" w:eastAsia="仿宋_GB2312"/>
          <w:b w:val="0"/>
          <w:sz w:val="32"/>
        </w:rPr>
        <w:t>14.住房保障支出（类）住房改革支出（款）住房公积金（项）：支出决算数为154.37万元，比上年决算增加0.41万元，增长0.27%，主要原因是：本年在职人员工资基数调增，住房公积金较上年增加。</w:t>
      </w:r>
    </w:p>
    <w:p w14:paraId="0A4D4AC0">
      <w:pPr>
        <w:spacing w:line="640" w:lineRule="exact"/>
        <w:ind w:firstLine="640"/>
        <w:jc w:val="both"/>
        <w:outlineLvl w:val="2"/>
      </w:pPr>
      <w:r>
        <w:rPr>
          <w:rFonts w:ascii="黑体" w:hAnsi="黑体" w:eastAsia="黑体"/>
          <w:sz w:val="32"/>
        </w:rPr>
        <w:t>六、一般公共预算财政拨款基本支出决算情况说明</w:t>
      </w:r>
    </w:p>
    <w:p w14:paraId="3ADAB679">
      <w:pPr>
        <w:spacing w:line="580" w:lineRule="exact"/>
        <w:ind w:firstLine="640"/>
        <w:jc w:val="both"/>
      </w:pPr>
      <w:r>
        <w:rPr>
          <w:rFonts w:ascii="仿宋_GB2312" w:hAnsi="仿宋_GB2312" w:eastAsia="仿宋_GB2312"/>
          <w:b w:val="0"/>
          <w:sz w:val="32"/>
        </w:rPr>
        <w:t>2025年度一般公共预算财政拨款基本支出3,208.93万元，其中：</w:t>
      </w:r>
      <w:r>
        <w:rPr>
          <w:rFonts w:ascii="仿宋_GB2312" w:hAnsi="仿宋_GB2312" w:eastAsia="仿宋_GB2312"/>
          <w:b/>
          <w:sz w:val="32"/>
        </w:rPr>
        <w:t>人员经费2,829.48万元，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离休费、退休费、抚恤金、奖励金、其他对个人和家庭的补助。</w:t>
      </w:r>
    </w:p>
    <w:p w14:paraId="5B1901F5">
      <w:pPr>
        <w:spacing w:line="580" w:lineRule="exact"/>
        <w:ind w:firstLine="640"/>
        <w:jc w:val="both"/>
      </w:pPr>
      <w:r>
        <w:rPr>
          <w:rFonts w:ascii="仿宋_GB2312" w:hAnsi="仿宋_GB2312" w:eastAsia="仿宋_GB2312"/>
          <w:b/>
          <w:sz w:val="32"/>
        </w:rPr>
        <w:t>公用经费379.44万元，</w:t>
      </w:r>
      <w:r>
        <w:rPr>
          <w:rFonts w:ascii="仿宋_GB2312" w:hAnsi="仿宋_GB2312" w:eastAsia="仿宋_GB2312"/>
          <w:b w:val="0"/>
          <w:sz w:val="32"/>
        </w:rPr>
        <w:t>包括：办公费、水费、电费、邮电费、取暖费、物业管理费、差旅费、因公出国（境）费用、租赁费、公务接待费、工会经费、福利费、公务用车运行维护费、其他交通费用、其他商品和服务支出、办公设备购置。</w:t>
      </w:r>
    </w:p>
    <w:p w14:paraId="559D96E1">
      <w:pPr>
        <w:spacing w:line="640" w:lineRule="exact"/>
        <w:ind w:firstLine="640"/>
        <w:jc w:val="both"/>
        <w:outlineLvl w:val="2"/>
      </w:pPr>
      <w:r>
        <w:rPr>
          <w:rFonts w:ascii="黑体" w:hAnsi="黑体" w:eastAsia="黑体"/>
          <w:sz w:val="32"/>
        </w:rPr>
        <w:t>七、政府性基金预算财政拨款收入支出决算情况说明</w:t>
      </w:r>
    </w:p>
    <w:p w14:paraId="1F842AF1">
      <w:pPr>
        <w:spacing w:line="580" w:lineRule="exact"/>
        <w:ind w:firstLine="640"/>
        <w:jc w:val="both"/>
      </w:pPr>
      <w:r>
        <w:rPr>
          <w:rFonts w:ascii="仿宋_GB2312" w:hAnsi="仿宋_GB2312" w:eastAsia="仿宋_GB2312"/>
          <w:b/>
          <w:sz w:val="32"/>
        </w:rPr>
        <w:t>2025年度政府性基金预算财政拨款收入总计0.00万元，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4158E40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减少218.00万元，下降100.00%，主要原因是：根据工作安排，本年度未安排政府性基金预算财政拨款大中型水库移民后期扶持基金支出，较上年决算减少支出。</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年初预算数0.00万元，决算数0.00万元，预决算差异率0.00%，主要原因是：本年度未安排政府性基金。</w:t>
      </w:r>
    </w:p>
    <w:p w14:paraId="5942E00E">
      <w:pPr>
        <w:spacing w:line="580" w:lineRule="exact"/>
        <w:ind w:firstLine="640"/>
        <w:jc w:val="both"/>
      </w:pPr>
      <w:r>
        <w:rPr>
          <w:rFonts w:ascii="仿宋_GB2312" w:hAnsi="仿宋_GB2312" w:eastAsia="仿宋_GB2312"/>
          <w:b w:val="0"/>
          <w:sz w:val="32"/>
        </w:rPr>
        <w:t>政府性基金预算财政拨款本年支出0.00万元。具体情况如下：</w:t>
      </w:r>
    </w:p>
    <w:p w14:paraId="5C443D66">
      <w:pPr>
        <w:spacing w:line="580" w:lineRule="exact"/>
        <w:ind w:firstLine="640"/>
        <w:jc w:val="both"/>
      </w:pPr>
      <w:r>
        <w:rPr>
          <w:rFonts w:ascii="仿宋_GB2312" w:hAnsi="仿宋_GB2312" w:eastAsia="仿宋_GB2312"/>
          <w:b w:val="0"/>
          <w:sz w:val="32"/>
        </w:rPr>
        <w:t>1.农林水支出（类）大中型水库移民后期扶持基金支出（款）基础设施建设和经济发展（项）：支出决算数为0.00万元，比上年决算减少218.00万元，下降100.00%，主要原因是：根据工作安排，本年度未安排政府性基金预算财政拨款大中型水库移民后期扶持基金支出，较上年决算减少支出。</w:t>
      </w:r>
    </w:p>
    <w:p w14:paraId="118F0E01">
      <w:pPr>
        <w:spacing w:line="640" w:lineRule="exact"/>
        <w:ind w:firstLine="640"/>
        <w:jc w:val="both"/>
        <w:outlineLvl w:val="2"/>
      </w:pPr>
      <w:r>
        <w:rPr>
          <w:rFonts w:ascii="黑体" w:hAnsi="黑体" w:eastAsia="黑体"/>
          <w:sz w:val="32"/>
        </w:rPr>
        <w:t>八、国有资本经营预算财政拨款收入支出决算情况说明</w:t>
      </w:r>
    </w:p>
    <w:p w14:paraId="30212A7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EEC59D3">
      <w:pPr>
        <w:spacing w:line="640" w:lineRule="exact"/>
        <w:ind w:firstLine="640"/>
        <w:jc w:val="both"/>
        <w:outlineLvl w:val="2"/>
      </w:pPr>
      <w:r>
        <w:rPr>
          <w:rFonts w:ascii="黑体" w:hAnsi="黑体" w:eastAsia="黑体"/>
          <w:sz w:val="32"/>
        </w:rPr>
        <w:t>九、财政拨款“三公”经费支出决算情况说明</w:t>
      </w:r>
    </w:p>
    <w:p w14:paraId="61CC9FD3">
      <w:pPr>
        <w:spacing w:line="580" w:lineRule="exact"/>
        <w:ind w:firstLine="640"/>
        <w:jc w:val="both"/>
      </w:pPr>
      <w:r>
        <w:rPr>
          <w:rFonts w:ascii="仿宋_GB2312" w:hAnsi="仿宋_GB2312" w:eastAsia="仿宋_GB2312"/>
          <w:b/>
          <w:sz w:val="32"/>
        </w:rPr>
        <w:t>2025年度财政拨款“三公”经费支出24.46万元，</w:t>
      </w:r>
      <w:r>
        <w:rPr>
          <w:rFonts w:ascii="仿宋_GB2312" w:hAnsi="仿宋_GB2312" w:eastAsia="仿宋_GB2312"/>
          <w:b w:val="0"/>
          <w:sz w:val="32"/>
        </w:rPr>
        <w:t>比上年增加7.84万元，增长47.17%，主要原因是：本年度因工作安排情况，增加省级领导出访因公出国经费。其中：因公出国（境）费用支出7.84万元，占32.05%，比上年增加7.84万元，增长100.00%，主要原因是：本年度因工作安排情况，增加省级领导出访因公出国经费。公务用车购置及运行维护费支出14.91万元，占60.96%，比上年增加0.00万元，增长0.00%，主要原因是：本单位公务用车购置及运行维护费与上年一致无变化。公务接待费支出1.71万元，占6.99%，比上年增加0.00万元，增长0.00%，主要原因是：本单位公务接待费与上年一致无变化。</w:t>
      </w:r>
    </w:p>
    <w:p w14:paraId="5C1E412D">
      <w:pPr>
        <w:spacing w:line="580" w:lineRule="exact"/>
        <w:ind w:firstLine="640"/>
        <w:jc w:val="both"/>
      </w:pPr>
      <w:r>
        <w:rPr>
          <w:rFonts w:ascii="仿宋_GB2312" w:hAnsi="仿宋_GB2312" w:eastAsia="仿宋_GB2312"/>
          <w:b/>
          <w:sz w:val="32"/>
        </w:rPr>
        <w:t>具体情况如下：</w:t>
      </w:r>
    </w:p>
    <w:p w14:paraId="7098BA66">
      <w:pPr>
        <w:spacing w:line="580" w:lineRule="exact"/>
        <w:ind w:firstLine="640"/>
        <w:jc w:val="both"/>
      </w:pPr>
      <w:r>
        <w:rPr>
          <w:rFonts w:ascii="仿宋_GB2312" w:hAnsi="仿宋_GB2312" w:eastAsia="仿宋_GB2312"/>
          <w:b w:val="0"/>
          <w:sz w:val="32"/>
        </w:rPr>
        <w:t>因公出国（境）费用7.84万元，开支内容包括国际旅费、住宿费、伙食费、公杂费、签证费。单位全年安排的因公出国（境）团组1个，因公出国（境）1人次。</w:t>
      </w:r>
    </w:p>
    <w:p w14:paraId="4E7342F7">
      <w:pPr>
        <w:spacing w:line="580" w:lineRule="exact"/>
        <w:ind w:firstLine="640"/>
        <w:jc w:val="both"/>
      </w:pPr>
      <w:r>
        <w:rPr>
          <w:rFonts w:ascii="仿宋_GB2312" w:hAnsi="仿宋_GB2312" w:eastAsia="仿宋_GB2312"/>
          <w:b w:val="0"/>
          <w:sz w:val="32"/>
        </w:rPr>
        <w:t>公务用车购置及运行维护费14.91万元，其中：公务用车购置费0.00万元，公务用车运行维护费14.91万元。公务用车运行维护费开支内容包括公务用车保险费、维修费、油料费、过路费。公务用车购置数0辆，公务用车保有量13辆。国有资产占用情况中固定资产车辆17辆，与公务用车保有量差异原因是：差异车辆为单位待报废车辆，本年未使用未产生经费支出，预算未安排公务用车运行维护费。</w:t>
      </w:r>
    </w:p>
    <w:p w14:paraId="7D72692B">
      <w:pPr>
        <w:spacing w:line="580" w:lineRule="exact"/>
        <w:ind w:firstLine="640"/>
        <w:jc w:val="both"/>
      </w:pPr>
      <w:r>
        <w:rPr>
          <w:rFonts w:ascii="仿宋_GB2312" w:hAnsi="仿宋_GB2312" w:eastAsia="仿宋_GB2312"/>
          <w:b w:val="0"/>
          <w:sz w:val="32"/>
        </w:rPr>
        <w:t>公务接待费1.71万元，开支内容包括因工作需要，应派出单位公函，发生接待工作餐费。单位全年安排的国内公务接待62批次，417人次。</w:t>
      </w:r>
    </w:p>
    <w:p w14:paraId="68D7CA3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29.34万元，决算数24.46万元，预决算差异率-16.63%，主要原因是：严格落实中央八项规定精神，厉行节约，减少经费支出。其中：因公出国（境）费用全年预算数7.84万元，决算数7.84万元，预决算差异率0.00%，主要原因是：严格按照预算执行，预决算无差异。公务用车购置费全年预算数0.00万元，决算数0.00万元，预决算差异率0.00%，主要原因是：本单位无公务用车购置费。公务用车运行维护费全年预算数19.50万元，决算数14.91万元，预决算差异率-23.54%，主要原因是：严格落实中央八项规定精神，厉行节约，减少公务用车使用频次。公务接待费全年预算数2.00万元，决算数1.71万元，预决算差异率-14.50%，主要原因是：严格控制公务接待活动，认真执行经费开支标准，减少公务接待运行成本费用。</w:t>
      </w:r>
    </w:p>
    <w:p w14:paraId="223C38E5">
      <w:pPr>
        <w:spacing w:line="640" w:lineRule="exact"/>
        <w:ind w:firstLine="640"/>
        <w:jc w:val="both"/>
        <w:outlineLvl w:val="2"/>
      </w:pPr>
      <w:r>
        <w:rPr>
          <w:rFonts w:ascii="黑体" w:hAnsi="黑体" w:eastAsia="黑体"/>
          <w:sz w:val="32"/>
        </w:rPr>
        <w:t>十、其他重要事项的情况说明</w:t>
      </w:r>
    </w:p>
    <w:p w14:paraId="59ED0975">
      <w:pPr>
        <w:spacing w:line="640" w:lineRule="exact"/>
        <w:ind w:firstLine="640"/>
        <w:jc w:val="both"/>
        <w:outlineLvl w:val="3"/>
      </w:pPr>
      <w:r>
        <w:rPr>
          <w:rFonts w:ascii="楷体_GB2312" w:hAnsi="楷体_GB2312" w:eastAsia="楷体_GB2312"/>
          <w:b/>
          <w:sz w:val="32"/>
        </w:rPr>
        <w:t>（一）机关运行经费及公用经费支出情况</w:t>
      </w:r>
    </w:p>
    <w:p w14:paraId="176FDB43">
      <w:pPr>
        <w:spacing w:line="580" w:lineRule="exact"/>
        <w:ind w:firstLine="640"/>
        <w:jc w:val="both"/>
      </w:pPr>
      <w:r>
        <w:rPr>
          <w:rFonts w:ascii="仿宋_GB2312" w:hAnsi="仿宋_GB2312" w:eastAsia="仿宋_GB2312"/>
          <w:b w:val="0"/>
          <w:sz w:val="32"/>
        </w:rPr>
        <w:t>2025年度新疆维吾尔自治区水利厅（本级）（行政单位和参照公务员法管理事业单位）机关运行经费支出379.44万元，比上年减少0.26万元，下降0.07%，主要原因是：厉行节约，严格控制公用经费，合理节约办公用品，减少不必要开支。</w:t>
      </w:r>
    </w:p>
    <w:p w14:paraId="249F99AE">
      <w:pPr>
        <w:spacing w:line="640" w:lineRule="exact"/>
        <w:ind w:firstLine="640"/>
        <w:jc w:val="both"/>
        <w:outlineLvl w:val="3"/>
      </w:pPr>
      <w:r>
        <w:rPr>
          <w:rFonts w:ascii="楷体_GB2312" w:hAnsi="楷体_GB2312" w:eastAsia="楷体_GB2312"/>
          <w:b/>
          <w:sz w:val="32"/>
        </w:rPr>
        <w:t>（二）政府采购情况</w:t>
      </w:r>
    </w:p>
    <w:p w14:paraId="33F57C0D">
      <w:pPr>
        <w:spacing w:line="580" w:lineRule="exact"/>
        <w:ind w:firstLine="640"/>
        <w:jc w:val="both"/>
      </w:pPr>
      <w:r>
        <w:rPr>
          <w:rFonts w:ascii="仿宋_GB2312" w:hAnsi="仿宋_GB2312" w:eastAsia="仿宋_GB2312"/>
          <w:b w:val="0"/>
          <w:sz w:val="32"/>
        </w:rPr>
        <w:t>2025年度政府采购支出总额2,613.61万元，其中：政府采购货物支出48.21万元、政府采购工程支出0.00万元、政府采购服务支出2,565.40万元。</w:t>
      </w:r>
    </w:p>
    <w:p w14:paraId="15D967F9">
      <w:pPr>
        <w:spacing w:line="580" w:lineRule="exact"/>
        <w:ind w:firstLine="640"/>
        <w:jc w:val="both"/>
      </w:pPr>
      <w:r>
        <w:rPr>
          <w:rFonts w:ascii="仿宋_GB2312" w:hAnsi="仿宋_GB2312" w:eastAsia="仿宋_GB2312"/>
          <w:b w:val="0"/>
          <w:sz w:val="32"/>
        </w:rPr>
        <w:t>授予中小企业合同金额2,030.14万元，占政府采购支出总额的77.68%，其中：授予小微企业合同金额1,802.34万元，占政府采购支出总额的68.96%。</w:t>
      </w:r>
    </w:p>
    <w:p w14:paraId="537D79C7">
      <w:pPr>
        <w:spacing w:line="640" w:lineRule="exact"/>
        <w:ind w:firstLine="640"/>
        <w:jc w:val="both"/>
        <w:outlineLvl w:val="3"/>
      </w:pPr>
      <w:r>
        <w:rPr>
          <w:rFonts w:ascii="楷体_GB2312" w:hAnsi="楷体_GB2312" w:eastAsia="楷体_GB2312"/>
          <w:b/>
          <w:sz w:val="32"/>
        </w:rPr>
        <w:t>（三）国有资产占用情况说明</w:t>
      </w:r>
    </w:p>
    <w:p w14:paraId="0A130ACE">
      <w:pPr>
        <w:spacing w:line="580" w:lineRule="exact"/>
        <w:ind w:firstLine="640"/>
        <w:jc w:val="both"/>
      </w:pPr>
      <w:r>
        <w:rPr>
          <w:rFonts w:ascii="仿宋_GB2312" w:hAnsi="仿宋_GB2312" w:eastAsia="仿宋_GB2312"/>
          <w:b w:val="0"/>
          <w:sz w:val="32"/>
        </w:rPr>
        <w:t>截至2025年12月31日，房屋18,929.47平方米，价值1,085.48万元。车辆17辆，价值543.67万元，其中：副部（省）级及以上领导用车0辆、主要负责人用车2辆、机要通信用车0辆、应急保障用车4辆、执法执勤用车0辆、特种专业技术用车0辆、离退休干部服务用车0辆、其他用车11辆，其他用车主要是：一般公务用车。单价100万元（含）以上设备（不含车辆）2台（套）。</w:t>
      </w:r>
    </w:p>
    <w:p w14:paraId="5C6B21F9">
      <w:pPr>
        <w:spacing w:line="640" w:lineRule="exact"/>
        <w:ind w:firstLine="640"/>
        <w:jc w:val="both"/>
        <w:outlineLvl w:val="2"/>
      </w:pPr>
      <w:r>
        <w:rPr>
          <w:rFonts w:ascii="黑体" w:hAnsi="黑体" w:eastAsia="黑体"/>
          <w:sz w:val="32"/>
        </w:rPr>
        <w:t>十一、预算绩效的情况说明</w:t>
      </w:r>
    </w:p>
    <w:p w14:paraId="2C0334FF">
      <w:pPr>
        <w:spacing w:line="580" w:lineRule="exact"/>
        <w:ind w:firstLine="640"/>
        <w:jc w:val="both"/>
      </w:pPr>
      <w:r>
        <w:rPr>
          <w:rFonts w:ascii="仿宋_GB2312" w:hAnsi="仿宋_GB2312" w:eastAsia="仿宋_GB2312"/>
          <w:b w:val="0"/>
          <w:sz w:val="32"/>
        </w:rPr>
        <w:t>根据预算绩效管理要求，本单位预算绩效评价项目1个，全年预算数800.00万元，全年执行数799.90万元。预算绩效管理取得的成效：一是优化并完善了水利人才队伍结构，为水利建设提供坚强的人才保证和精神动力；建立和完善了高效的水利系统人才培养机制，水利组织人事工作水平提高，更好地适应了新疆水利高质量发展的需要。二是通过加强党员干部培训、强化宣传教育、加大监督执纪力度等形式，有效提升水利干部职工的精神风貌、提高了党员干部综合素质，提升了履职能力和工作水平。三是组织重大水利科学研究、技术引进与科技推广工作；完成指导水利科技创新体系建设，完成指导水利行业科研机构和水利科技信息工作；已拟订水利行业性地方性技术标准和规程、规范并监督实施；完成了水利地方标准的培训与宣贯工作；完成了水利系统对外交流与合作，已开展新疆重要跨界河流水资源开发利用研究。促使了科研成果能够更快地从实验室走向实际工程应用。实现了水利设施的远程监控、自动化运行和精准调度，提高了水利工程的运行管理效率和决策科学性。发现的问题及原因：一是人才培养的针对性与实效性仍需加强。培训业务与实际业务结合度不够紧密，缺乏实战演练和长期跟踪评估机制，导致转化效果难以量化；二是科研成果转化的长效机制尚不完善，目前，虽取得进展，但科研与实践之间存在脱节，部分技术标准的宣贯和执行力度不够，覆盖面不够广；三是绩效目标设置的精细化程度不足，缺乏具体量化考核指标，导致执行效果的评估主要依赖定性描述，难以精确衡量资金使用的具体效益。下一步改进措施：一是深化人才培养模式改革，提升资金使用精准度。建立培训需求调研机制，引入培训效果评估体系，确保人才培养资金花在刀刃上；二是强化科技成果推广应用，建立产学研用深度融合机制。重点抓好水利地方标准的培训和宣贯工作，建立示范项目，以点带面推动，确保科研投入产生实在的工作效益；三是完善绩效评价指标体系，强化结果应用。将绩效评价结果作为下一年度预算安排的重要依据，对成效显著的项目给予支持。具体附项目支出绩效自评表。</w:t>
      </w:r>
    </w:p>
    <w:p w14:paraId="1E39452E">
      <w:r>
        <w:br w:type="page"/>
      </w:r>
    </w:p>
    <w:p w14:paraId="6F5F3C5A">
      <w:pPr>
        <w:sectPr>
          <w:footerReference r:id="rId3" w:type="default"/>
          <w:pgSz w:w="11906" w:h="16838"/>
          <w:pgMar w:top="2098" w:right="1531" w:bottom="1985" w:left="1531" w:header="851" w:footer="992" w:gutter="0"/>
          <w:cols w:space="720" w:num="1"/>
          <w:docGrid w:type="lines" w:linePitch="312" w:charSpace="0"/>
        </w:sectPr>
      </w:pPr>
    </w:p>
    <w:tbl>
      <w:tblPr>
        <w:tblStyle w:val="8"/>
        <w:tblW w:w="4871" w:type="pct"/>
        <w:tblInd w:w="0" w:type="dxa"/>
        <w:tblLayout w:type="autofit"/>
        <w:tblCellMar>
          <w:top w:w="36" w:type="dxa"/>
          <w:left w:w="36" w:type="dxa"/>
          <w:bottom w:w="36" w:type="dxa"/>
          <w:right w:w="36" w:type="dxa"/>
        </w:tblCellMar>
      </w:tblPr>
      <w:tblGrid>
        <w:gridCol w:w="569"/>
        <w:gridCol w:w="569"/>
        <w:gridCol w:w="569"/>
        <w:gridCol w:w="587"/>
        <w:gridCol w:w="587"/>
        <w:gridCol w:w="587"/>
        <w:gridCol w:w="582"/>
        <w:gridCol w:w="588"/>
        <w:gridCol w:w="582"/>
        <w:gridCol w:w="569"/>
        <w:gridCol w:w="570"/>
        <w:gridCol w:w="573"/>
        <w:gridCol w:w="575"/>
        <w:gridCol w:w="585"/>
      </w:tblGrid>
      <w:tr w14:paraId="27904575">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D0CDBC5">
            <w:pPr>
              <w:spacing w:before="0" w:after="0" w:line="240" w:lineRule="auto"/>
              <w:jc w:val="center"/>
            </w:pPr>
            <w:r>
              <w:rPr>
                <w:rFonts w:ascii="宋体" w:hAnsi="宋体" w:eastAsia="宋体"/>
                <w:sz w:val="14"/>
              </w:rPr>
              <w:t>项目支出绩效自评表</w:t>
            </w:r>
          </w:p>
        </w:tc>
      </w:tr>
      <w:tr w14:paraId="4A233BEF">
        <w:tblPrEx>
          <w:tblCellMar>
            <w:top w:w="36" w:type="dxa"/>
            <w:left w:w="36" w:type="dxa"/>
            <w:bottom w:w="36" w:type="dxa"/>
            <w:right w:w="36" w:type="dxa"/>
          </w:tblCellMar>
        </w:tblPrEx>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D6ECCA0">
            <w:pPr>
              <w:spacing w:before="0" w:after="0" w:line="240" w:lineRule="auto"/>
              <w:jc w:val="center"/>
            </w:pPr>
            <w:r>
              <w:rPr>
                <w:rFonts w:ascii="宋体" w:hAnsi="宋体" w:eastAsia="宋体"/>
                <w:sz w:val="14"/>
              </w:rPr>
              <w:t>(2025年度)</w:t>
            </w:r>
          </w:p>
        </w:tc>
      </w:tr>
      <w:tr w14:paraId="2252DEDE">
        <w:tblPrEx>
          <w:tblCellMar>
            <w:top w:w="36" w:type="dxa"/>
            <w:left w:w="36" w:type="dxa"/>
            <w:bottom w:w="36" w:type="dxa"/>
            <w:right w:w="36" w:type="dxa"/>
          </w:tblCellMar>
        </w:tblPrEx>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60658">
            <w:pPr>
              <w:spacing w:before="0" w:after="0" w:line="240" w:lineRule="auto"/>
              <w:jc w:val="center"/>
            </w:pPr>
            <w:r>
              <w:rPr>
                <w:rFonts w:ascii="宋体" w:hAnsi="宋体" w:eastAsia="宋体"/>
                <w:sz w:val="14"/>
              </w:rPr>
              <w:t>项目名称</w:t>
            </w:r>
          </w:p>
        </w:tc>
        <w:tc>
          <w:tcPr>
            <w:tcW w:w="7009"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9057073">
            <w:pPr>
              <w:spacing w:before="0" w:after="0" w:line="240" w:lineRule="auto"/>
              <w:jc w:val="center"/>
            </w:pPr>
            <w:r>
              <w:rPr>
                <w:rFonts w:ascii="宋体" w:hAnsi="宋体" w:eastAsia="宋体"/>
                <w:sz w:val="14"/>
              </w:rPr>
              <w:t>自治区水利发展资金专项</w:t>
            </w:r>
          </w:p>
        </w:tc>
      </w:tr>
      <w:tr w14:paraId="73CAC062">
        <w:tblPrEx>
          <w:tblCellMar>
            <w:top w:w="36" w:type="dxa"/>
            <w:left w:w="36" w:type="dxa"/>
            <w:bottom w:w="36" w:type="dxa"/>
            <w:right w:w="36" w:type="dxa"/>
          </w:tblCellMar>
        </w:tblPrEx>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ED6E1">
            <w:pPr>
              <w:spacing w:before="0" w:after="0" w:line="240" w:lineRule="auto"/>
              <w:jc w:val="center"/>
            </w:pPr>
            <w:r>
              <w:rPr>
                <w:rFonts w:ascii="宋体" w:hAnsi="宋体" w:eastAsia="宋体"/>
                <w:sz w:val="14"/>
              </w:rPr>
              <w:t>主管部门</w:t>
            </w:r>
          </w:p>
        </w:tc>
        <w:tc>
          <w:tcPr>
            <w:tcW w:w="293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337CAE">
            <w:pPr>
              <w:spacing w:before="0" w:after="0" w:line="240" w:lineRule="auto"/>
              <w:jc w:val="center"/>
            </w:pPr>
            <w:r>
              <w:rPr>
                <w:rFonts w:ascii="宋体" w:hAnsi="宋体" w:eastAsia="宋体"/>
                <w:sz w:val="14"/>
              </w:rPr>
              <w:t>自治区水利厅</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1A6B1">
            <w:pPr>
              <w:spacing w:before="0" w:after="0" w:line="240" w:lineRule="auto"/>
              <w:jc w:val="center"/>
            </w:pPr>
            <w:r>
              <w:rPr>
                <w:rFonts w:ascii="宋体" w:hAnsi="宋体" w:eastAsia="宋体"/>
                <w:sz w:val="14"/>
              </w:rPr>
              <w:t>实施单位</w:t>
            </w:r>
          </w:p>
        </w:tc>
        <w:tc>
          <w:tcPr>
            <w:tcW w:w="29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544813">
            <w:pPr>
              <w:spacing w:before="0" w:after="0" w:line="240" w:lineRule="auto"/>
              <w:jc w:val="center"/>
            </w:pPr>
            <w:r>
              <w:rPr>
                <w:rFonts w:ascii="宋体" w:hAnsi="宋体" w:eastAsia="宋体"/>
                <w:sz w:val="14"/>
              </w:rPr>
              <w:t>新疆维吾尔自治区水利厅（本级）</w:t>
            </w:r>
          </w:p>
        </w:tc>
      </w:tr>
      <w:tr w14:paraId="15E7E49A">
        <w:tblPrEx>
          <w:tblCellMar>
            <w:top w:w="36" w:type="dxa"/>
            <w:left w:w="36" w:type="dxa"/>
            <w:bottom w:w="36" w:type="dxa"/>
            <w:right w:w="36" w:type="dxa"/>
          </w:tblCellMar>
        </w:tblPrEx>
        <w:tc>
          <w:tcPr>
            <w:tcW w:w="1154"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C772F">
            <w:pPr>
              <w:spacing w:before="0" w:after="0" w:line="240" w:lineRule="auto"/>
              <w:jc w:val="center"/>
            </w:pPr>
            <w:r>
              <w:rPr>
                <w:rFonts w:ascii="宋体" w:hAnsi="宋体" w:eastAsia="宋体"/>
                <w:sz w:val="14"/>
              </w:rPr>
              <w:t>项目资金
（万元）</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C80AE">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C542A39">
            <w:pPr>
              <w:spacing w:before="0" w:after="0" w:line="240" w:lineRule="auto"/>
              <w:jc w:val="center"/>
            </w:pPr>
            <w:r>
              <w:rPr>
                <w:rFonts w:ascii="宋体" w:hAnsi="宋体" w:eastAsia="宋体"/>
                <w:sz w:val="14"/>
              </w:rPr>
              <w:t>年初预算数</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E6048">
            <w:pPr>
              <w:spacing w:before="0" w:after="0" w:line="240" w:lineRule="auto"/>
              <w:jc w:val="center"/>
            </w:pPr>
            <w:r>
              <w:rPr>
                <w:rFonts w:ascii="宋体" w:hAnsi="宋体" w:eastAsia="宋体"/>
                <w:sz w:val="14"/>
              </w:rPr>
              <w:t>全年预算数</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7EA46">
            <w:pPr>
              <w:spacing w:before="0" w:after="0" w:line="240" w:lineRule="auto"/>
              <w:jc w:val="center"/>
            </w:pPr>
            <w:r>
              <w:rPr>
                <w:rFonts w:ascii="宋体" w:hAnsi="宋体" w:eastAsia="宋体"/>
                <w:sz w:val="14"/>
              </w:rPr>
              <w:t>全年执行数</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FF5B5">
            <w:pPr>
              <w:spacing w:before="0" w:after="0" w:line="240" w:lineRule="auto"/>
              <w:jc w:val="center"/>
            </w:pPr>
            <w:r>
              <w:rPr>
                <w:rFonts w:ascii="宋体" w:hAnsi="宋体" w:eastAsia="宋体"/>
                <w:sz w:val="14"/>
              </w:rPr>
              <w:t>分值</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1C5C8">
            <w:pPr>
              <w:spacing w:before="0" w:after="0" w:line="240" w:lineRule="auto"/>
              <w:jc w:val="center"/>
            </w:pPr>
            <w:r>
              <w:rPr>
                <w:rFonts w:ascii="宋体" w:hAnsi="宋体" w:eastAsia="宋体"/>
                <w:sz w:val="14"/>
              </w:rPr>
              <w:t>执行率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A75ED7D">
            <w:pPr>
              <w:spacing w:before="0" w:after="0" w:line="240" w:lineRule="auto"/>
              <w:jc w:val="center"/>
            </w:pPr>
            <w:r>
              <w:rPr>
                <w:rFonts w:ascii="宋体" w:hAnsi="宋体" w:eastAsia="宋体"/>
                <w:sz w:val="14"/>
              </w:rPr>
              <w:t>得分</w:t>
            </w:r>
          </w:p>
        </w:tc>
      </w:tr>
      <w:tr w14:paraId="3961641C">
        <w:tblPrEx>
          <w:tblCellMar>
            <w:top w:w="36" w:type="dxa"/>
            <w:left w:w="36" w:type="dxa"/>
            <w:bottom w:w="36" w:type="dxa"/>
            <w:right w:w="36" w:type="dxa"/>
          </w:tblCellMar>
        </w:tblPrEx>
        <w:tc>
          <w:tcPr>
            <w:tcW w:w="1154"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FAE4BB2"/>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821CE">
            <w:pPr>
              <w:spacing w:before="0" w:after="0" w:line="240" w:lineRule="auto"/>
              <w:jc w:val="center"/>
            </w:pPr>
            <w:r>
              <w:rPr>
                <w:rFonts w:ascii="宋体" w:hAnsi="宋体" w:eastAsia="宋体"/>
                <w:sz w:val="14"/>
              </w:rPr>
              <w:t>年度资金总额</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F224BF2">
            <w:pPr>
              <w:spacing w:before="0" w:after="0" w:line="240" w:lineRule="auto"/>
              <w:jc w:val="center"/>
            </w:pPr>
            <w:r>
              <w:rPr>
                <w:rFonts w:ascii="宋体" w:hAnsi="宋体" w:eastAsia="宋体"/>
                <w:sz w:val="14"/>
              </w:rPr>
              <w:t>800.00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4526A">
            <w:pPr>
              <w:spacing w:before="0" w:after="0" w:line="240" w:lineRule="auto"/>
              <w:jc w:val="center"/>
            </w:pPr>
            <w:r>
              <w:rPr>
                <w:rFonts w:ascii="宋体" w:hAnsi="宋体" w:eastAsia="宋体"/>
                <w:sz w:val="14"/>
              </w:rPr>
              <w:t>800.00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C410B">
            <w:pPr>
              <w:spacing w:before="0" w:after="0" w:line="240" w:lineRule="auto"/>
              <w:jc w:val="center"/>
            </w:pPr>
            <w:r>
              <w:rPr>
                <w:rFonts w:ascii="宋体" w:hAnsi="宋体" w:eastAsia="宋体"/>
                <w:sz w:val="14"/>
              </w:rPr>
              <w:t>799.90</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7AAC5">
            <w:pPr>
              <w:spacing w:before="0" w:after="0" w:line="240" w:lineRule="auto"/>
              <w:jc w:val="center"/>
            </w:pPr>
            <w:r>
              <w:rPr>
                <w:rFonts w:ascii="宋体" w:hAnsi="宋体" w:eastAsia="宋体"/>
                <w:sz w:val="14"/>
              </w:rPr>
              <w:t>10</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15210">
            <w:pPr>
              <w:spacing w:before="0" w:after="0" w:line="240" w:lineRule="auto"/>
              <w:jc w:val="center"/>
            </w:pPr>
            <w:r>
              <w:rPr>
                <w:rFonts w:ascii="宋体" w:hAnsi="宋体" w:eastAsia="宋体"/>
                <w:sz w:val="14"/>
              </w:rPr>
              <w:t>99.99%</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C195A05">
            <w:pPr>
              <w:spacing w:before="0" w:after="0" w:line="240" w:lineRule="auto"/>
              <w:jc w:val="center"/>
            </w:pPr>
            <w:r>
              <w:rPr>
                <w:rFonts w:ascii="宋体" w:hAnsi="宋体" w:eastAsia="宋体"/>
                <w:sz w:val="14"/>
              </w:rPr>
              <w:t>10.00</w:t>
            </w:r>
          </w:p>
        </w:tc>
      </w:tr>
      <w:tr w14:paraId="758C14C5">
        <w:tblPrEx>
          <w:tblCellMar>
            <w:top w:w="36" w:type="dxa"/>
            <w:left w:w="36" w:type="dxa"/>
            <w:bottom w:w="36" w:type="dxa"/>
            <w:right w:w="36" w:type="dxa"/>
          </w:tblCellMar>
        </w:tblPrEx>
        <w:tc>
          <w:tcPr>
            <w:tcW w:w="1154"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6410C65"/>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68FCA">
            <w:pPr>
              <w:spacing w:before="0" w:after="0" w:line="240" w:lineRule="auto"/>
              <w:jc w:val="center"/>
            </w:pPr>
            <w:r>
              <w:rPr>
                <w:rFonts w:ascii="宋体" w:hAnsi="宋体" w:eastAsia="宋体"/>
                <w:sz w:val="14"/>
              </w:rPr>
              <w:t>其中：当年财政拨款</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9E9CBAD">
            <w:pPr>
              <w:spacing w:before="0" w:after="0" w:line="240" w:lineRule="auto"/>
              <w:jc w:val="center"/>
            </w:pPr>
            <w:r>
              <w:rPr>
                <w:rFonts w:ascii="宋体" w:hAnsi="宋体" w:eastAsia="宋体"/>
                <w:sz w:val="14"/>
              </w:rPr>
              <w:t>800.00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39F2A">
            <w:pPr>
              <w:spacing w:before="0" w:after="0" w:line="240" w:lineRule="auto"/>
              <w:jc w:val="center"/>
            </w:pPr>
            <w:r>
              <w:rPr>
                <w:rFonts w:ascii="宋体" w:hAnsi="宋体" w:eastAsia="宋体"/>
                <w:sz w:val="14"/>
              </w:rPr>
              <w:t>800.00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FBF89">
            <w:pPr>
              <w:spacing w:before="0" w:after="0" w:line="240" w:lineRule="auto"/>
              <w:jc w:val="center"/>
            </w:pPr>
            <w:r>
              <w:rPr>
                <w:rFonts w:ascii="宋体" w:hAnsi="宋体" w:eastAsia="宋体"/>
                <w:sz w:val="14"/>
              </w:rPr>
              <w:t>799.90</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DE64D">
            <w:pPr>
              <w:spacing w:before="0" w:after="0" w:line="240" w:lineRule="auto"/>
              <w:jc w:val="center"/>
            </w:pPr>
            <w:r>
              <w:rPr>
                <w:rFonts w:ascii="宋体" w:hAnsi="宋体" w:eastAsia="宋体"/>
                <w:sz w:val="14"/>
              </w:rPr>
              <w:t>-</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96D8B">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F4AFBC3">
            <w:pPr>
              <w:spacing w:before="0" w:after="0" w:line="240" w:lineRule="auto"/>
              <w:jc w:val="center"/>
            </w:pPr>
            <w:r>
              <w:rPr>
                <w:rFonts w:ascii="宋体" w:hAnsi="宋体" w:eastAsia="宋体"/>
                <w:sz w:val="14"/>
              </w:rPr>
              <w:t>-</w:t>
            </w:r>
          </w:p>
        </w:tc>
      </w:tr>
      <w:tr w14:paraId="49745CD4">
        <w:tblPrEx>
          <w:tblCellMar>
            <w:top w:w="36" w:type="dxa"/>
            <w:left w:w="36" w:type="dxa"/>
            <w:bottom w:w="36" w:type="dxa"/>
            <w:right w:w="36" w:type="dxa"/>
          </w:tblCellMar>
        </w:tblPrEx>
        <w:tc>
          <w:tcPr>
            <w:tcW w:w="1154"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7584A74"/>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2D330">
            <w:pPr>
              <w:spacing w:before="0" w:after="0" w:line="240" w:lineRule="auto"/>
              <w:jc w:val="center"/>
            </w:pPr>
            <w:r>
              <w:rPr>
                <w:rFonts w:ascii="宋体" w:hAnsi="宋体" w:eastAsia="宋体"/>
                <w:sz w:val="14"/>
              </w:rPr>
              <w:t>其他资金</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AF8A871">
            <w:pPr>
              <w:spacing w:before="0" w:after="0" w:line="240" w:lineRule="auto"/>
              <w:jc w:val="center"/>
            </w:pPr>
            <w:r>
              <w:rPr>
                <w:rFonts w:ascii="宋体" w:hAnsi="宋体" w:eastAsia="宋体"/>
                <w:sz w:val="14"/>
              </w:rPr>
              <w:t>0.00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7F6DA">
            <w:pPr>
              <w:spacing w:before="0" w:after="0" w:line="240" w:lineRule="auto"/>
              <w:jc w:val="center"/>
            </w:pPr>
            <w:r>
              <w:rPr>
                <w:rFonts w:ascii="宋体" w:hAnsi="宋体" w:eastAsia="宋体"/>
                <w:sz w:val="14"/>
              </w:rPr>
              <w:t>0.00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197F0">
            <w:pPr>
              <w:spacing w:before="0" w:after="0" w:line="240" w:lineRule="auto"/>
              <w:jc w:val="center"/>
            </w:pPr>
            <w:r>
              <w:rPr>
                <w:rFonts w:ascii="宋体" w:hAnsi="宋体" w:eastAsia="宋体"/>
                <w:sz w:val="14"/>
              </w:rPr>
              <w:t>0.00</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6F742">
            <w:pPr>
              <w:spacing w:before="0" w:after="0" w:line="240" w:lineRule="auto"/>
              <w:jc w:val="center"/>
            </w:pPr>
            <w:r>
              <w:rPr>
                <w:rFonts w:ascii="宋体" w:hAnsi="宋体" w:eastAsia="宋体"/>
                <w:sz w:val="14"/>
              </w:rPr>
              <w:t>-</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2686C">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FF64D20">
            <w:pPr>
              <w:spacing w:before="0" w:after="0" w:line="240" w:lineRule="auto"/>
              <w:jc w:val="center"/>
            </w:pPr>
            <w:r>
              <w:rPr>
                <w:rFonts w:ascii="宋体" w:hAnsi="宋体" w:eastAsia="宋体"/>
                <w:sz w:val="14"/>
              </w:rPr>
              <w:t>-</w:t>
            </w:r>
          </w:p>
        </w:tc>
      </w:tr>
      <w:tr w14:paraId="3921536A">
        <w:tblPrEx>
          <w:tblCellMar>
            <w:top w:w="36" w:type="dxa"/>
            <w:left w:w="36" w:type="dxa"/>
            <w:bottom w:w="36" w:type="dxa"/>
            <w:right w:w="36" w:type="dxa"/>
          </w:tblCellMar>
        </w:tblPrEx>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BA333">
            <w:pPr>
              <w:spacing w:before="0" w:after="0" w:line="240" w:lineRule="auto"/>
              <w:jc w:val="center"/>
            </w:pPr>
            <w:r>
              <w:rPr>
                <w:rFonts w:ascii="宋体" w:hAnsi="宋体" w:eastAsia="宋体"/>
                <w:sz w:val="14"/>
              </w:rPr>
              <w:t>年度总体目标</w:t>
            </w:r>
          </w:p>
        </w:tc>
        <w:tc>
          <w:tcPr>
            <w:tcW w:w="350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CD6707">
            <w:pPr>
              <w:spacing w:before="0" w:after="0" w:line="240" w:lineRule="auto"/>
              <w:jc w:val="center"/>
            </w:pPr>
            <w:r>
              <w:rPr>
                <w:rFonts w:ascii="宋体" w:hAnsi="宋体" w:eastAsia="宋体"/>
                <w:sz w:val="14"/>
              </w:rPr>
              <w:t>预期目标</w:t>
            </w:r>
          </w:p>
        </w:tc>
        <w:tc>
          <w:tcPr>
            <w:tcW w:w="40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588E25">
            <w:pPr>
              <w:spacing w:before="0" w:after="0" w:line="240" w:lineRule="auto"/>
              <w:jc w:val="center"/>
            </w:pPr>
            <w:r>
              <w:rPr>
                <w:rFonts w:ascii="宋体" w:hAnsi="宋体" w:eastAsia="宋体"/>
                <w:sz w:val="14"/>
              </w:rPr>
              <w:t>实际完成情况</w:t>
            </w:r>
          </w:p>
        </w:tc>
      </w:tr>
      <w:tr w14:paraId="2CF1C4D8">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211BE02A"/>
        </w:tc>
        <w:tc>
          <w:tcPr>
            <w:tcW w:w="350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75580F">
            <w:pPr>
              <w:spacing w:before="0" w:after="0" w:line="240" w:lineRule="auto"/>
              <w:jc w:val="both"/>
            </w:pPr>
            <w:r>
              <w:rPr>
                <w:rFonts w:ascii="宋体" w:hAnsi="宋体" w:eastAsia="宋体"/>
                <w:sz w:val="14"/>
              </w:rPr>
              <w:t>1、优化和完善水利人才队伍结构，为水利建设提供坚强的人才保证和精神动力；加强水利系统干部人才队伍建设，逐步建立和完善高效的水利系统人才培养机制，水利组织人事工作水平明显提高，更好地适应新疆水利高质量发展的需要。
2、举办党组织书记、党务干部、纪检干部、入党积极分子、发展对象培训班。举办学习讲座、七一主题党日活动。通过加强党员干部培训、强化宣传教育、加大监督执纪力度等形式，持续提升水利干部职工的精神风貌、提高党员干部综合素质，提升履职能力和工作水平。
3、组织重大水利科学研究、技术引进与科技推广工作；指导水利科技创新体系建设，指导水利行业科研机构和水利科技信息工作；拟订水利行业性地方性技术标准和规程、规范并监督实施；负责水利地方标准的培训与宣贯工作；负责水利系统对外交流与合作，开展新疆重要跨界河流水资源开发利用研究。
该项目促使科研成果能够更快地从实验室走向实际工程应用。实现了水利设施的远程监控、自动化运行和精准调度，提高了水利工程的运行管理效率和决策科学性。</w:t>
            </w:r>
          </w:p>
        </w:tc>
        <w:tc>
          <w:tcPr>
            <w:tcW w:w="40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18F985">
            <w:pPr>
              <w:spacing w:before="0" w:after="0" w:line="240" w:lineRule="auto"/>
              <w:jc w:val="both"/>
            </w:pPr>
            <w:r>
              <w:rPr>
                <w:rFonts w:ascii="宋体" w:hAnsi="宋体" w:eastAsia="宋体"/>
                <w:sz w:val="14"/>
              </w:rPr>
              <w:t>1、优化并完善了水利人才队伍结构，为水利建设提供坚强的人才保证和精神动力；加强了水利系统干部人才队伍建设，建立和完善了高效的水利系统人才培养机制，水利组织人事工作水平提高，更好地适应了新疆水利高质量发展的需要。 2、已完成举办党组织书记、党务干部、纪检干部、入党积极分子、发展对象培训班。已完成举办学习讲座、七一主题党日活动。通过加强党员干部培训、强化宣传教育、加大监督执纪力度等形式，有效提升水利干部职工的精神风貌、提高了党员干部综合素质，提升了履职能力和工作水平。 3、已组织重大水利科学研究、技术引进与科技推广工作；已完成指导水利科技创新体系建设，完成指导水利行业科研机构和水利科技信息工作；已拟订水利行业性地方性技术标准和规程、规范并监督实施；完成了水利地方标准的培训与宣贯工作；完成了水利系统对外交流与合作，已开展新疆重要跨界河流水资源开发利用研究。促使了科研成果能够更快地从实验室走向实际工程应用。实现了水利设施的远程监控、自动化运行和精准调度，提高了水利工程的运行管理效率和决策科学性。</w:t>
            </w:r>
          </w:p>
        </w:tc>
      </w:tr>
      <w:tr w14:paraId="6A17716E">
        <w:tblPrEx>
          <w:tblCellMar>
            <w:top w:w="36" w:type="dxa"/>
            <w:left w:w="36" w:type="dxa"/>
            <w:bottom w:w="36" w:type="dxa"/>
            <w:right w:w="36" w:type="dxa"/>
          </w:tblCellMar>
        </w:tblPrEx>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9B8739">
            <w:pPr>
              <w:spacing w:before="0" w:after="0" w:line="240" w:lineRule="auto"/>
              <w:jc w:val="center"/>
            </w:pP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9EFBB2">
            <w:pPr>
              <w:spacing w:before="0" w:after="0" w:line="240" w:lineRule="auto"/>
              <w:jc w:val="center"/>
            </w:pPr>
            <w:r>
              <w:rPr>
                <w:rFonts w:ascii="宋体" w:hAnsi="宋体" w:eastAsia="宋体"/>
                <w:sz w:val="14"/>
              </w:rPr>
              <w:t>一级指标</w:t>
            </w: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36717D">
            <w:pPr>
              <w:spacing w:before="0" w:after="0" w:line="240" w:lineRule="auto"/>
              <w:jc w:val="center"/>
            </w:pPr>
            <w:r>
              <w:rPr>
                <w:rFonts w:ascii="宋体" w:hAnsi="宋体" w:eastAsia="宋体"/>
                <w:sz w:val="14"/>
              </w:rPr>
              <w:t>二级指标</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8B6BB">
            <w:pPr>
              <w:spacing w:before="0" w:after="0" w:line="240" w:lineRule="auto"/>
              <w:jc w:val="center"/>
            </w:pPr>
            <w:r>
              <w:rPr>
                <w:rFonts w:ascii="宋体" w:hAnsi="宋体" w:eastAsia="宋体"/>
                <w:sz w:val="14"/>
              </w:rPr>
              <w:t>三级指标</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682BE4">
            <w:pPr>
              <w:spacing w:before="0" w:after="0" w:line="240" w:lineRule="auto"/>
              <w:jc w:val="center"/>
            </w:pPr>
            <w:r>
              <w:rPr>
                <w:rFonts w:ascii="宋体" w:hAnsi="宋体" w:eastAsia="宋体"/>
                <w:sz w:val="14"/>
              </w:rPr>
              <w:t>权重</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CA13E">
            <w:pPr>
              <w:spacing w:before="0" w:after="0" w:line="240" w:lineRule="auto"/>
              <w:jc w:val="center"/>
            </w:pPr>
            <w:r>
              <w:rPr>
                <w:rFonts w:ascii="宋体" w:hAnsi="宋体" w:eastAsia="宋体"/>
                <w:sz w:val="14"/>
              </w:rPr>
              <w:t>目标值</w:t>
            </w:r>
          </w:p>
        </w:tc>
        <w:tc>
          <w:tcPr>
            <w:tcW w:w="58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9DA8B">
            <w:pPr>
              <w:spacing w:before="0" w:after="0" w:line="240" w:lineRule="auto"/>
              <w:jc w:val="center"/>
            </w:pPr>
            <w:r>
              <w:rPr>
                <w:rFonts w:ascii="宋体" w:hAnsi="宋体" w:eastAsia="宋体"/>
                <w:sz w:val="14"/>
              </w:rPr>
              <w:t>业绩值</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886CE">
            <w:pPr>
              <w:spacing w:before="0" w:after="0" w:line="240" w:lineRule="auto"/>
              <w:jc w:val="center"/>
            </w:pPr>
            <w:r>
              <w:rPr>
                <w:rFonts w:ascii="宋体" w:hAnsi="宋体" w:eastAsia="宋体"/>
                <w:sz w:val="14"/>
              </w:rPr>
              <w:t>完成率</w:t>
            </w:r>
          </w:p>
        </w:tc>
        <w:tc>
          <w:tcPr>
            <w:tcW w:w="58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4CBC7">
            <w:pPr>
              <w:spacing w:before="0" w:after="0" w:line="240" w:lineRule="auto"/>
              <w:jc w:val="center"/>
            </w:pPr>
            <w:r>
              <w:rPr>
                <w:rFonts w:ascii="宋体" w:hAnsi="宋体" w:eastAsia="宋体"/>
                <w:sz w:val="14"/>
              </w:rPr>
              <w:t>指标得分</w:t>
            </w: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FA988">
            <w:pPr>
              <w:spacing w:before="0" w:after="0" w:line="240" w:lineRule="auto"/>
              <w:jc w:val="center"/>
            </w:pPr>
            <w:r>
              <w:rPr>
                <w:rFonts w:ascii="宋体" w:hAnsi="宋体" w:eastAsia="宋体"/>
                <w:sz w:val="14"/>
              </w:rPr>
              <w:t>指标值设定依据</w:t>
            </w: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1A6E2">
            <w:pPr>
              <w:spacing w:before="0" w:after="0" w:line="240" w:lineRule="auto"/>
              <w:jc w:val="center"/>
            </w:pPr>
            <w:r>
              <w:rPr>
                <w:rFonts w:ascii="宋体" w:hAnsi="宋体" w:eastAsia="宋体"/>
                <w:sz w:val="14"/>
              </w:rPr>
              <w:t>上年完成情况</w:t>
            </w:r>
          </w:p>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C758F">
            <w:pPr>
              <w:spacing w:before="0" w:after="0" w:line="240" w:lineRule="auto"/>
              <w:jc w:val="center"/>
            </w:pPr>
            <w:r>
              <w:rPr>
                <w:rFonts w:ascii="宋体" w:hAnsi="宋体" w:eastAsia="宋体"/>
                <w:sz w:val="14"/>
              </w:rPr>
              <w:t>赋分规则</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09E71">
            <w:pPr>
              <w:spacing w:before="0" w:after="0" w:line="240" w:lineRule="auto"/>
              <w:jc w:val="center"/>
            </w:pPr>
            <w:r>
              <w:rPr>
                <w:rFonts w:ascii="宋体" w:hAnsi="宋体" w:eastAsia="宋体"/>
                <w:sz w:val="14"/>
              </w:rPr>
              <w:t>佐证资料</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24BFA">
            <w:pPr>
              <w:spacing w:before="0" w:after="0" w:line="240" w:lineRule="auto"/>
              <w:jc w:val="center"/>
            </w:pPr>
            <w:r>
              <w:rPr>
                <w:rFonts w:ascii="宋体" w:hAnsi="宋体" w:eastAsia="宋体"/>
                <w:sz w:val="14"/>
              </w:rPr>
              <w:t>偏差原因分析及改进措施</w:t>
            </w:r>
          </w:p>
        </w:tc>
      </w:tr>
      <w:tr w14:paraId="68534B30">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4C0DE788"/>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5B243C93"/>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234D2F2E"/>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6B4D4C5B"/>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36380B5F"/>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2B9652E1"/>
        </w:tc>
        <w:tc>
          <w:tcPr>
            <w:tcW w:w="586" w:type="dxa"/>
            <w:vMerge w:val="continue"/>
            <w:tcBorders>
              <w:top w:val="single" w:color="auto" w:sz="10" w:space="0"/>
              <w:left w:val="single" w:color="auto" w:sz="10" w:space="0"/>
              <w:bottom w:val="single" w:color="auto" w:sz="10" w:space="0"/>
              <w:right w:val="single" w:color="auto" w:sz="10" w:space="0"/>
              <w:insideV w:val="single" w:sz="10" w:space="0"/>
            </w:tcBorders>
          </w:tcPr>
          <w:p w14:paraId="0D9C8C03"/>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0F1835BC"/>
        </w:tc>
        <w:tc>
          <w:tcPr>
            <w:tcW w:w="586" w:type="dxa"/>
            <w:vMerge w:val="continue"/>
            <w:tcBorders>
              <w:top w:val="single" w:color="auto" w:sz="10" w:space="0"/>
              <w:left w:val="single" w:color="auto" w:sz="10" w:space="0"/>
              <w:bottom w:val="single" w:color="auto" w:sz="10" w:space="0"/>
              <w:right w:val="single" w:color="auto" w:sz="10" w:space="0"/>
              <w:insideV w:val="single" w:sz="10" w:space="0"/>
            </w:tcBorders>
          </w:tcPr>
          <w:p w14:paraId="52D6FAEE"/>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6298028F"/>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3AB0C788"/>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18A0FE47"/>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42646285"/>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45252B1D"/>
        </w:tc>
      </w:tr>
      <w:tr w14:paraId="71DEFE6D">
        <w:tblPrEx>
          <w:tblCellMar>
            <w:top w:w="36" w:type="dxa"/>
            <w:left w:w="36" w:type="dxa"/>
            <w:bottom w:w="36" w:type="dxa"/>
            <w:right w:w="36" w:type="dxa"/>
          </w:tblCellMar>
        </w:tblPrEx>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8C5E3">
            <w:pPr>
              <w:spacing w:before="0" w:after="0" w:line="240" w:lineRule="auto"/>
              <w:jc w:val="center"/>
            </w:pPr>
            <w:r>
              <w:rPr>
                <w:rFonts w:ascii="宋体" w:hAnsi="宋体" w:eastAsia="宋体"/>
                <w:sz w:val="14"/>
              </w:rPr>
              <w:t>年度绩效指标完成情况</w:t>
            </w: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4CFDD">
            <w:pPr>
              <w:spacing w:before="0" w:after="0" w:line="240" w:lineRule="auto"/>
              <w:jc w:val="center"/>
            </w:pPr>
            <w:r>
              <w:rPr>
                <w:rFonts w:ascii="宋体" w:hAnsi="宋体" w:eastAsia="宋体"/>
                <w:sz w:val="14"/>
              </w:rPr>
              <w:t>产出指标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BF569D2">
            <w:pPr>
              <w:spacing w:before="0" w:after="0" w:line="240" w:lineRule="auto"/>
              <w:jc w:val="center"/>
            </w:pPr>
            <w:r>
              <w:rPr>
                <w:rFonts w:ascii="宋体" w:hAnsi="宋体" w:eastAsia="宋体"/>
                <w:sz w:val="14"/>
              </w:rPr>
              <w:t>数量指标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D6AEE0D">
            <w:pPr>
              <w:spacing w:before="0" w:after="0" w:line="240" w:lineRule="auto"/>
              <w:jc w:val="center"/>
            </w:pPr>
            <w:r>
              <w:rPr>
                <w:rFonts w:ascii="宋体" w:hAnsi="宋体" w:eastAsia="宋体"/>
                <w:sz w:val="14"/>
              </w:rPr>
              <w:t>培训次数（次）</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315DDD0">
            <w:pPr>
              <w:spacing w:before="0" w:after="0" w:line="240" w:lineRule="auto"/>
              <w:jc w:val="center"/>
            </w:pPr>
            <w:r>
              <w:rPr>
                <w:rFonts w:ascii="宋体" w:hAnsi="宋体" w:eastAsia="宋体"/>
                <w:sz w:val="14"/>
              </w:rPr>
              <w:t>6</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F45C07F">
            <w:pPr>
              <w:spacing w:before="0" w:after="0" w:line="240" w:lineRule="auto"/>
              <w:jc w:val="center"/>
            </w:pPr>
            <w:r>
              <w:rPr>
                <w:rFonts w:ascii="宋体" w:hAnsi="宋体" w:eastAsia="宋体"/>
                <w:sz w:val="14"/>
              </w:rPr>
              <w:t>&gt;=21次</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0B931CD">
            <w:pPr>
              <w:spacing w:before="0" w:after="0" w:line="240" w:lineRule="auto"/>
              <w:jc w:val="center"/>
            </w:pPr>
            <w:r>
              <w:rPr>
                <w:rFonts w:ascii="宋体" w:hAnsi="宋体" w:eastAsia="宋体"/>
                <w:sz w:val="14"/>
              </w:rPr>
              <w:t>=13次</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09B8625">
            <w:pPr>
              <w:spacing w:before="0" w:after="0" w:line="240" w:lineRule="auto"/>
              <w:jc w:val="center"/>
              <w:rPr>
                <w:rFonts w:hint="eastAsia" w:eastAsia="宋体"/>
                <w:lang w:val="en-US" w:eastAsia="zh-CN"/>
              </w:rPr>
            </w:pPr>
            <w:r>
              <w:rPr>
                <w:rFonts w:ascii="宋体" w:hAnsi="宋体" w:eastAsia="宋体"/>
                <w:sz w:val="14"/>
              </w:rPr>
              <w:t>61.9</w:t>
            </w:r>
            <w:r>
              <w:rPr>
                <w:rFonts w:hint="eastAsia" w:ascii="宋体" w:hAnsi="宋体"/>
                <w:sz w:val="14"/>
                <w:lang w:val="en-US" w:eastAsia="zh-CN"/>
              </w:rPr>
              <w:t>%</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C86F366">
            <w:pPr>
              <w:spacing w:before="0" w:after="0" w:line="240" w:lineRule="auto"/>
              <w:jc w:val="center"/>
            </w:pPr>
            <w:r>
              <w:rPr>
                <w:rFonts w:ascii="宋体" w:hAnsi="宋体" w:eastAsia="宋体"/>
                <w:sz w:val="14"/>
              </w:rPr>
              <w:t>0.28</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AA6787C">
            <w:pPr>
              <w:spacing w:before="0" w:after="0" w:line="240" w:lineRule="auto"/>
              <w:jc w:val="center"/>
            </w:pPr>
            <w:r>
              <w:rPr>
                <w:rFonts w:ascii="宋体" w:hAnsi="宋体" w:eastAsia="宋体"/>
                <w:sz w:val="14"/>
              </w:rPr>
              <w:t>计划标准</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33AEB76">
            <w:pPr>
              <w:spacing w:before="0" w:after="0" w:line="240" w:lineRule="auto"/>
              <w:jc w:val="center"/>
            </w:pPr>
            <w:r>
              <w:rPr>
                <w:rFonts w:ascii="宋体" w:hAnsi="宋体" w:eastAsia="宋体"/>
                <w:sz w:val="14"/>
              </w:rPr>
              <w:t>-</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E7B6B9C">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FC87CE2">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7C31C99">
            <w:pPr>
              <w:spacing w:before="0" w:after="0" w:line="240" w:lineRule="auto"/>
              <w:jc w:val="both"/>
            </w:pPr>
            <w:r>
              <w:rPr>
                <w:rFonts w:ascii="宋体" w:hAnsi="宋体" w:eastAsia="宋体"/>
                <w:sz w:val="14"/>
              </w:rPr>
              <w:t>一是根据过紧日子要求，部分培训改为线上，联合合并举办；二是培训师资档期冲突，参训人员业务繁忙难以集中，无法足额覆盖计划场次。下一步改进措施；1、优化计划编排，避免与其他重点工作冲突，2、丰富培训形式：采用线上集中+线上录播+直播等多种模式，降低组织难度，提升灵活度，3、强化过程管控，4、完善考核机制</w:t>
            </w:r>
          </w:p>
        </w:tc>
      </w:tr>
      <w:tr w14:paraId="2FC25532">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202DFF0B"/>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5B41C57B"/>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EBD444B">
            <w:pPr>
              <w:spacing w:before="0" w:after="0" w:line="240" w:lineRule="auto"/>
              <w:jc w:val="center"/>
            </w:pPr>
            <w:r>
              <w:rPr>
                <w:rFonts w:ascii="宋体" w:hAnsi="宋体" w:eastAsia="宋体"/>
                <w:sz w:val="14"/>
              </w:rPr>
              <w:t>数量指标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C2357FC">
            <w:pPr>
              <w:spacing w:before="0" w:after="0" w:line="240" w:lineRule="auto"/>
              <w:jc w:val="center"/>
            </w:pPr>
            <w:r>
              <w:rPr>
                <w:rFonts w:ascii="宋体" w:hAnsi="宋体" w:eastAsia="宋体"/>
                <w:sz w:val="14"/>
              </w:rPr>
              <w:t>培训参与人数（人）</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DA737DC">
            <w:pPr>
              <w:spacing w:before="0" w:after="0" w:line="240" w:lineRule="auto"/>
              <w:jc w:val="center"/>
            </w:pPr>
            <w:r>
              <w:rPr>
                <w:rFonts w:ascii="宋体" w:hAnsi="宋体" w:eastAsia="宋体"/>
                <w:sz w:val="14"/>
              </w:rPr>
              <w:t>6</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BAB0FBD">
            <w:pPr>
              <w:spacing w:before="0" w:after="0" w:line="240" w:lineRule="auto"/>
              <w:jc w:val="center"/>
            </w:pPr>
            <w:r>
              <w:rPr>
                <w:rFonts w:ascii="宋体" w:hAnsi="宋体" w:eastAsia="宋体"/>
                <w:sz w:val="14"/>
              </w:rPr>
              <w:t>&gt;=1384人</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7B56892">
            <w:pPr>
              <w:spacing w:before="0" w:after="0" w:line="240" w:lineRule="auto"/>
              <w:jc w:val="center"/>
            </w:pPr>
            <w:r>
              <w:rPr>
                <w:rFonts w:ascii="宋体" w:hAnsi="宋体" w:eastAsia="宋体"/>
                <w:sz w:val="14"/>
              </w:rPr>
              <w:t>=1389人</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C577006">
            <w:pPr>
              <w:spacing w:before="0" w:after="0" w:line="240" w:lineRule="auto"/>
              <w:jc w:val="center"/>
            </w:pPr>
            <w:r>
              <w:rPr>
                <w:rFonts w:ascii="宋体" w:hAnsi="宋体" w:eastAsia="宋体"/>
                <w:sz w:val="14"/>
              </w:rPr>
              <w:t>100.36</w:t>
            </w:r>
            <w:r>
              <w:rPr>
                <w:rFonts w:hint="eastAsia" w:ascii="宋体" w:hAnsi="宋体"/>
                <w:sz w:val="14"/>
                <w:lang w:val="en-US" w:eastAsia="zh-CN"/>
              </w:rPr>
              <w:t>%</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09193E4">
            <w:pPr>
              <w:spacing w:before="0" w:after="0" w:line="240" w:lineRule="auto"/>
              <w:jc w:val="center"/>
            </w:pPr>
            <w:r>
              <w:rPr>
                <w:rFonts w:ascii="宋体" w:hAnsi="宋体" w:eastAsia="宋体"/>
                <w:sz w:val="14"/>
              </w:rPr>
              <w:t>5.98</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C2E2ADA">
            <w:pPr>
              <w:spacing w:before="0" w:after="0" w:line="240" w:lineRule="auto"/>
              <w:jc w:val="center"/>
            </w:pPr>
            <w:r>
              <w:rPr>
                <w:rFonts w:ascii="宋体" w:hAnsi="宋体" w:eastAsia="宋体"/>
                <w:sz w:val="14"/>
              </w:rPr>
              <w:t>计划标准</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2560B19">
            <w:pPr>
              <w:spacing w:before="0" w:after="0" w:line="240" w:lineRule="auto"/>
              <w:jc w:val="center"/>
            </w:pPr>
            <w:r>
              <w:rPr>
                <w:rFonts w:ascii="宋体" w:hAnsi="宋体" w:eastAsia="宋体"/>
                <w:sz w:val="14"/>
              </w:rPr>
              <w:t>-</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2E30C8C">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8367D72">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D210F9D">
            <w:pPr>
              <w:spacing w:before="0" w:after="0" w:line="240" w:lineRule="auto"/>
              <w:jc w:val="center"/>
            </w:pPr>
          </w:p>
        </w:tc>
      </w:tr>
      <w:tr w14:paraId="74787BE1">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7962711A"/>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7999C79C"/>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5AE44B5">
            <w:pPr>
              <w:spacing w:before="0" w:after="0" w:line="240" w:lineRule="auto"/>
              <w:jc w:val="center"/>
            </w:pPr>
            <w:r>
              <w:rPr>
                <w:rFonts w:ascii="宋体" w:hAnsi="宋体" w:eastAsia="宋体"/>
                <w:sz w:val="14"/>
              </w:rPr>
              <w:t>数量指标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63B7491">
            <w:pPr>
              <w:spacing w:before="0" w:after="0" w:line="240" w:lineRule="auto"/>
              <w:jc w:val="center"/>
            </w:pPr>
            <w:r>
              <w:rPr>
                <w:rFonts w:ascii="宋体" w:hAnsi="宋体" w:eastAsia="宋体"/>
                <w:sz w:val="14"/>
              </w:rPr>
              <w:t>调研督导频次</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30E2663">
            <w:pPr>
              <w:spacing w:before="0" w:after="0" w:line="240" w:lineRule="auto"/>
              <w:jc w:val="center"/>
            </w:pPr>
            <w:r>
              <w:rPr>
                <w:rFonts w:ascii="宋体" w:hAnsi="宋体" w:eastAsia="宋体"/>
                <w:sz w:val="14"/>
              </w:rPr>
              <w:t>6</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F82E076">
            <w:pPr>
              <w:spacing w:before="0" w:after="0" w:line="240" w:lineRule="auto"/>
              <w:jc w:val="center"/>
            </w:pPr>
            <w:r>
              <w:rPr>
                <w:rFonts w:ascii="宋体" w:hAnsi="宋体" w:eastAsia="宋体"/>
                <w:sz w:val="14"/>
              </w:rPr>
              <w:t>&gt;=2次</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DB60037">
            <w:pPr>
              <w:spacing w:before="0" w:after="0" w:line="240" w:lineRule="auto"/>
              <w:jc w:val="center"/>
            </w:pPr>
            <w:r>
              <w:rPr>
                <w:rFonts w:ascii="宋体" w:hAnsi="宋体" w:eastAsia="宋体"/>
                <w:sz w:val="14"/>
              </w:rPr>
              <w:t>=2次</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8C3B547">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57620FF">
            <w:pPr>
              <w:spacing w:before="0" w:after="0" w:line="240" w:lineRule="auto"/>
              <w:jc w:val="center"/>
            </w:pPr>
            <w:r>
              <w:rPr>
                <w:rFonts w:ascii="宋体" w:hAnsi="宋体" w:eastAsia="宋体"/>
                <w:sz w:val="14"/>
              </w:rPr>
              <w:t>6</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BB50B4C">
            <w:pPr>
              <w:spacing w:before="0" w:after="0" w:line="240" w:lineRule="auto"/>
              <w:jc w:val="center"/>
            </w:pPr>
            <w:r>
              <w:rPr>
                <w:rFonts w:ascii="宋体" w:hAnsi="宋体" w:eastAsia="宋体"/>
                <w:sz w:val="14"/>
              </w:rPr>
              <w:t>计划标准</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477E160">
            <w:pPr>
              <w:spacing w:before="0" w:after="0" w:line="240" w:lineRule="auto"/>
              <w:jc w:val="center"/>
            </w:pPr>
            <w:r>
              <w:rPr>
                <w:rFonts w:ascii="宋体" w:hAnsi="宋体" w:eastAsia="宋体"/>
                <w:sz w:val="14"/>
              </w:rPr>
              <w:t>-</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056322D">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CD64157">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17C2CEB">
            <w:pPr>
              <w:spacing w:before="0" w:after="0" w:line="240" w:lineRule="auto"/>
              <w:jc w:val="center"/>
            </w:pPr>
          </w:p>
        </w:tc>
      </w:tr>
      <w:tr w14:paraId="5CA12730">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24C74EA4"/>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4037891E"/>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D53E5F2">
            <w:pPr>
              <w:spacing w:before="0" w:after="0" w:line="240" w:lineRule="auto"/>
              <w:jc w:val="center"/>
            </w:pPr>
            <w:r>
              <w:rPr>
                <w:rFonts w:ascii="宋体" w:hAnsi="宋体" w:eastAsia="宋体"/>
                <w:sz w:val="14"/>
              </w:rPr>
              <w:t>数量指标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C0691BB">
            <w:pPr>
              <w:spacing w:before="0" w:after="0" w:line="240" w:lineRule="auto"/>
              <w:jc w:val="center"/>
            </w:pPr>
            <w:r>
              <w:rPr>
                <w:rFonts w:ascii="宋体" w:hAnsi="宋体" w:eastAsia="宋体"/>
                <w:sz w:val="14"/>
              </w:rPr>
              <w:t>科研研究调研次数</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4ADB0F5">
            <w:pPr>
              <w:spacing w:before="0" w:after="0" w:line="240" w:lineRule="auto"/>
              <w:jc w:val="center"/>
            </w:pPr>
            <w:r>
              <w:rPr>
                <w:rFonts w:ascii="宋体" w:hAnsi="宋体" w:eastAsia="宋体"/>
                <w:sz w:val="14"/>
              </w:rPr>
              <w:t>6</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3D13E5E">
            <w:pPr>
              <w:spacing w:before="0" w:after="0" w:line="240" w:lineRule="auto"/>
              <w:jc w:val="center"/>
            </w:pPr>
            <w:r>
              <w:rPr>
                <w:rFonts w:ascii="宋体" w:hAnsi="宋体" w:eastAsia="宋体"/>
                <w:sz w:val="14"/>
              </w:rPr>
              <w:t>&gt;=5次</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146582E">
            <w:pPr>
              <w:spacing w:before="0" w:after="0" w:line="240" w:lineRule="auto"/>
              <w:jc w:val="center"/>
            </w:pPr>
            <w:r>
              <w:rPr>
                <w:rFonts w:ascii="宋体" w:hAnsi="宋体" w:eastAsia="宋体"/>
                <w:sz w:val="14"/>
              </w:rPr>
              <w:t>=5次</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301BE8E">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23B76DD">
            <w:pPr>
              <w:spacing w:before="0" w:after="0" w:line="240" w:lineRule="auto"/>
              <w:jc w:val="center"/>
            </w:pPr>
            <w:r>
              <w:rPr>
                <w:rFonts w:ascii="宋体" w:hAnsi="宋体" w:eastAsia="宋体"/>
                <w:sz w:val="14"/>
              </w:rPr>
              <w:t>6</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264CB00">
            <w:pPr>
              <w:spacing w:before="0" w:after="0" w:line="240" w:lineRule="auto"/>
              <w:jc w:val="center"/>
            </w:pPr>
            <w:r>
              <w:rPr>
                <w:rFonts w:ascii="宋体" w:hAnsi="宋体" w:eastAsia="宋体"/>
                <w:sz w:val="14"/>
              </w:rPr>
              <w:t>计划标准</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761E703">
            <w:pPr>
              <w:spacing w:before="0" w:after="0" w:line="240" w:lineRule="auto"/>
              <w:jc w:val="center"/>
            </w:pPr>
            <w:r>
              <w:rPr>
                <w:rFonts w:ascii="宋体" w:hAnsi="宋体" w:eastAsia="宋体"/>
                <w:sz w:val="14"/>
              </w:rPr>
              <w:t>-</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7BBE069">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92BE7C5">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11494A4">
            <w:pPr>
              <w:spacing w:before="0" w:after="0" w:line="240" w:lineRule="auto"/>
              <w:jc w:val="center"/>
            </w:pPr>
          </w:p>
        </w:tc>
      </w:tr>
      <w:tr w14:paraId="48774FF9">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647883F"/>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445A1698"/>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0E0E871">
            <w:pPr>
              <w:spacing w:before="0" w:after="0" w:line="240" w:lineRule="auto"/>
              <w:jc w:val="center"/>
            </w:pPr>
            <w:r>
              <w:rPr>
                <w:rFonts w:ascii="宋体" w:hAnsi="宋体" w:eastAsia="宋体"/>
                <w:sz w:val="14"/>
              </w:rPr>
              <w:t>数量指标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CD07C0F">
            <w:pPr>
              <w:spacing w:before="0" w:after="0" w:line="240" w:lineRule="auto"/>
              <w:jc w:val="center"/>
            </w:pPr>
            <w:r>
              <w:rPr>
                <w:rFonts w:ascii="宋体" w:hAnsi="宋体" w:eastAsia="宋体"/>
                <w:sz w:val="14"/>
              </w:rPr>
              <w:t>召开培训种类</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0E25178">
            <w:pPr>
              <w:spacing w:before="0" w:after="0" w:line="240" w:lineRule="auto"/>
              <w:jc w:val="center"/>
            </w:pPr>
            <w:r>
              <w:rPr>
                <w:rFonts w:ascii="宋体" w:hAnsi="宋体" w:eastAsia="宋体"/>
                <w:sz w:val="14"/>
              </w:rPr>
              <w:t>6</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DBECEEB">
            <w:pPr>
              <w:spacing w:before="0" w:after="0" w:line="240" w:lineRule="auto"/>
              <w:jc w:val="center"/>
            </w:pPr>
            <w:r>
              <w:rPr>
                <w:rFonts w:ascii="宋体" w:hAnsi="宋体" w:eastAsia="宋体"/>
                <w:sz w:val="14"/>
              </w:rPr>
              <w:t>&gt;=4种</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F284485">
            <w:pPr>
              <w:spacing w:before="0" w:after="0" w:line="240" w:lineRule="auto"/>
              <w:jc w:val="center"/>
            </w:pPr>
            <w:r>
              <w:rPr>
                <w:rFonts w:ascii="宋体" w:hAnsi="宋体" w:eastAsia="宋体"/>
                <w:sz w:val="14"/>
              </w:rPr>
              <w:t>=4种</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D9D760B">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811CB54">
            <w:pPr>
              <w:spacing w:before="0" w:after="0" w:line="240" w:lineRule="auto"/>
              <w:jc w:val="center"/>
            </w:pPr>
            <w:r>
              <w:rPr>
                <w:rFonts w:ascii="宋体" w:hAnsi="宋体" w:eastAsia="宋体"/>
                <w:sz w:val="14"/>
              </w:rPr>
              <w:t>6</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FEB72E6">
            <w:pPr>
              <w:spacing w:before="0" w:after="0" w:line="240" w:lineRule="auto"/>
              <w:jc w:val="center"/>
            </w:pPr>
            <w:r>
              <w:rPr>
                <w:rFonts w:ascii="宋体" w:hAnsi="宋体" w:eastAsia="宋体"/>
                <w:sz w:val="14"/>
              </w:rPr>
              <w:t>计划标准</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E78D1D9">
            <w:pPr>
              <w:spacing w:before="0" w:after="0" w:line="240" w:lineRule="auto"/>
              <w:jc w:val="center"/>
            </w:pPr>
            <w:r>
              <w:rPr>
                <w:rFonts w:ascii="宋体" w:hAnsi="宋体" w:eastAsia="宋体"/>
                <w:sz w:val="14"/>
              </w:rPr>
              <w:t>-</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B927CCF">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CED3365">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9B5D4CE">
            <w:pPr>
              <w:spacing w:before="0" w:after="0" w:line="240" w:lineRule="auto"/>
              <w:jc w:val="center"/>
            </w:pPr>
          </w:p>
        </w:tc>
      </w:tr>
      <w:tr w14:paraId="454BA982">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740C883"/>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0122D729"/>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1CC29A31">
            <w:pPr>
              <w:spacing w:before="0" w:after="0" w:line="240" w:lineRule="auto"/>
              <w:jc w:val="center"/>
            </w:pPr>
            <w:r>
              <w:rPr>
                <w:rFonts w:ascii="宋体" w:hAnsi="宋体" w:eastAsia="宋体"/>
                <w:sz w:val="14"/>
              </w:rPr>
              <w:t>质量指标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C49391B">
            <w:pPr>
              <w:spacing w:before="0" w:after="0" w:line="240" w:lineRule="auto"/>
              <w:jc w:val="center"/>
            </w:pPr>
            <w:r>
              <w:rPr>
                <w:rFonts w:ascii="宋体" w:hAnsi="宋体" w:eastAsia="宋体"/>
                <w:sz w:val="14"/>
              </w:rPr>
              <w:t>培训出勤率（%）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8F3B7D7">
            <w:pPr>
              <w:spacing w:before="0" w:after="0" w:line="240" w:lineRule="auto"/>
              <w:jc w:val="center"/>
            </w:pPr>
            <w:r>
              <w:rPr>
                <w:rFonts w:ascii="宋体" w:hAnsi="宋体" w:eastAsia="宋体"/>
                <w:sz w:val="14"/>
              </w:rPr>
              <w:t>6</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39926CA">
            <w:pPr>
              <w:spacing w:before="0" w:after="0" w:line="240" w:lineRule="auto"/>
              <w:jc w:val="center"/>
            </w:pPr>
            <w:r>
              <w:rPr>
                <w:rFonts w:ascii="宋体" w:hAnsi="宋体" w:eastAsia="宋体"/>
                <w:sz w:val="14"/>
              </w:rPr>
              <w:t>&gt;=95%</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A0EC663">
            <w:pPr>
              <w:spacing w:before="0" w:after="0" w:line="240" w:lineRule="auto"/>
              <w:jc w:val="center"/>
            </w:pPr>
            <w:r>
              <w:rPr>
                <w:rFonts w:ascii="宋体" w:hAnsi="宋体" w:eastAsia="宋体"/>
                <w:sz w:val="14"/>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85D6E12">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A5FA450">
            <w:pPr>
              <w:spacing w:before="0" w:after="0" w:line="240" w:lineRule="auto"/>
              <w:jc w:val="center"/>
            </w:pPr>
            <w:r>
              <w:rPr>
                <w:rFonts w:ascii="宋体" w:hAnsi="宋体" w:eastAsia="宋体"/>
                <w:sz w:val="14"/>
              </w:rPr>
              <w:t>6</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AACA8F6">
            <w:pPr>
              <w:spacing w:before="0" w:after="0" w:line="240" w:lineRule="auto"/>
              <w:jc w:val="center"/>
            </w:pPr>
            <w:r>
              <w:rPr>
                <w:rFonts w:ascii="宋体" w:hAnsi="宋体" w:eastAsia="宋体"/>
                <w:sz w:val="14"/>
              </w:rPr>
              <w:t>计划标准</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4B49BA0">
            <w:pPr>
              <w:spacing w:before="0" w:after="0" w:line="240" w:lineRule="auto"/>
              <w:jc w:val="center"/>
            </w:pPr>
            <w:r>
              <w:rPr>
                <w:rFonts w:ascii="宋体" w:hAnsi="宋体" w:eastAsia="宋体"/>
                <w:sz w:val="14"/>
              </w:rPr>
              <w:t>-</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9196068">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EADF055">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BCDB846">
            <w:pPr>
              <w:spacing w:before="0" w:after="0" w:line="240" w:lineRule="auto"/>
              <w:jc w:val="center"/>
            </w:pPr>
          </w:p>
        </w:tc>
      </w:tr>
      <w:tr w14:paraId="53039759">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5F8C9FBC"/>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33B9AC49"/>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1F0CA530">
            <w:pPr>
              <w:spacing w:before="0" w:after="0" w:line="240" w:lineRule="auto"/>
              <w:jc w:val="center"/>
            </w:pPr>
            <w:r>
              <w:rPr>
                <w:rFonts w:ascii="宋体" w:hAnsi="宋体" w:eastAsia="宋体"/>
                <w:sz w:val="14"/>
              </w:rPr>
              <w:t>质量指标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7DB80FE">
            <w:pPr>
              <w:spacing w:before="0" w:after="0" w:line="240" w:lineRule="auto"/>
              <w:jc w:val="center"/>
            </w:pPr>
            <w:r>
              <w:rPr>
                <w:rFonts w:ascii="宋体" w:hAnsi="宋体" w:eastAsia="宋体"/>
                <w:sz w:val="14"/>
              </w:rPr>
              <w:t>调研督导抽检覆盖率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804D7D0">
            <w:pPr>
              <w:spacing w:before="0" w:after="0" w:line="240" w:lineRule="auto"/>
              <w:jc w:val="center"/>
            </w:pPr>
            <w:r>
              <w:rPr>
                <w:rFonts w:ascii="宋体" w:hAnsi="宋体" w:eastAsia="宋体"/>
                <w:sz w:val="14"/>
              </w:rPr>
              <w:t>6</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AAA5221">
            <w:pPr>
              <w:spacing w:before="0" w:after="0" w:line="240" w:lineRule="auto"/>
              <w:jc w:val="center"/>
            </w:pPr>
            <w:r>
              <w:rPr>
                <w:rFonts w:ascii="宋体" w:hAnsi="宋体" w:eastAsia="宋体"/>
                <w:sz w:val="14"/>
              </w:rPr>
              <w:t>=100%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EFE9982">
            <w:pPr>
              <w:spacing w:before="0" w:after="0" w:line="240" w:lineRule="auto"/>
              <w:jc w:val="center"/>
            </w:pPr>
            <w:r>
              <w:rPr>
                <w:rFonts w:ascii="宋体" w:hAnsi="宋体" w:eastAsia="宋体"/>
                <w:sz w:val="14"/>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A940A3E">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729D479">
            <w:pPr>
              <w:spacing w:before="0" w:after="0" w:line="240" w:lineRule="auto"/>
              <w:jc w:val="center"/>
            </w:pPr>
            <w:r>
              <w:rPr>
                <w:rFonts w:ascii="宋体" w:hAnsi="宋体" w:eastAsia="宋体"/>
                <w:sz w:val="14"/>
              </w:rPr>
              <w:t>6</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14A192E8">
            <w:pPr>
              <w:spacing w:before="0" w:after="0" w:line="240" w:lineRule="auto"/>
              <w:jc w:val="center"/>
            </w:pPr>
            <w:r>
              <w:rPr>
                <w:rFonts w:ascii="宋体" w:hAnsi="宋体" w:eastAsia="宋体"/>
                <w:sz w:val="14"/>
              </w:rPr>
              <w:t>计划标准</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791BEA5">
            <w:pPr>
              <w:spacing w:before="0" w:after="0" w:line="240" w:lineRule="auto"/>
              <w:jc w:val="center"/>
            </w:pPr>
            <w:r>
              <w:rPr>
                <w:rFonts w:ascii="宋体" w:hAnsi="宋体" w:eastAsia="宋体"/>
                <w:sz w:val="14"/>
              </w:rPr>
              <w:t>-</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3200CCE">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A60107B">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CBEB847">
            <w:pPr>
              <w:spacing w:before="0" w:after="0" w:line="240" w:lineRule="auto"/>
              <w:jc w:val="center"/>
            </w:pPr>
          </w:p>
        </w:tc>
      </w:tr>
      <w:tr w14:paraId="4EA32D45">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D1E56AF"/>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4D5DA203"/>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8D17112">
            <w:pPr>
              <w:spacing w:before="0" w:after="0" w:line="240" w:lineRule="auto"/>
              <w:jc w:val="center"/>
            </w:pPr>
            <w:r>
              <w:rPr>
                <w:rFonts w:ascii="宋体" w:hAnsi="宋体" w:eastAsia="宋体"/>
                <w:sz w:val="14"/>
              </w:rPr>
              <w:t>质量指标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EFD437C">
            <w:pPr>
              <w:spacing w:before="0" w:after="0" w:line="240" w:lineRule="auto"/>
              <w:jc w:val="center"/>
            </w:pPr>
            <w:r>
              <w:rPr>
                <w:rFonts w:ascii="宋体" w:hAnsi="宋体" w:eastAsia="宋体"/>
                <w:sz w:val="14"/>
              </w:rPr>
              <w:t>科研项目执行率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D634D16">
            <w:pPr>
              <w:spacing w:before="0" w:after="0" w:line="240" w:lineRule="auto"/>
              <w:jc w:val="center"/>
            </w:pPr>
            <w:r>
              <w:rPr>
                <w:rFonts w:ascii="宋体" w:hAnsi="宋体" w:eastAsia="宋体"/>
                <w:sz w:val="14"/>
              </w:rPr>
              <w:t>6</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C9F109A">
            <w:pPr>
              <w:spacing w:before="0" w:after="0" w:line="240" w:lineRule="auto"/>
              <w:jc w:val="center"/>
            </w:pPr>
            <w:r>
              <w:rPr>
                <w:rFonts w:ascii="宋体" w:hAnsi="宋体" w:eastAsia="宋体"/>
                <w:sz w:val="14"/>
              </w:rPr>
              <w:t>&gt;=90%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99789EC">
            <w:pPr>
              <w:spacing w:before="0" w:after="0" w:line="240" w:lineRule="auto"/>
              <w:jc w:val="center"/>
            </w:pPr>
            <w:r>
              <w:rPr>
                <w:rFonts w:ascii="宋体" w:hAnsi="宋体" w:eastAsia="宋体"/>
                <w:sz w:val="14"/>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D65D3F2">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D78EEF4">
            <w:pPr>
              <w:spacing w:before="0" w:after="0" w:line="240" w:lineRule="auto"/>
              <w:jc w:val="center"/>
            </w:pPr>
            <w:r>
              <w:rPr>
                <w:rFonts w:ascii="宋体" w:hAnsi="宋体" w:eastAsia="宋体"/>
                <w:sz w:val="14"/>
              </w:rPr>
              <w:t>6</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492BFA7">
            <w:pPr>
              <w:spacing w:before="0" w:after="0" w:line="240" w:lineRule="auto"/>
              <w:jc w:val="center"/>
            </w:pPr>
            <w:r>
              <w:rPr>
                <w:rFonts w:ascii="宋体" w:hAnsi="宋体" w:eastAsia="宋体"/>
                <w:sz w:val="14"/>
              </w:rPr>
              <w:t>计划标准</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38F565B">
            <w:pPr>
              <w:spacing w:before="0" w:after="0" w:line="240" w:lineRule="auto"/>
              <w:jc w:val="center"/>
            </w:pPr>
            <w:r>
              <w:rPr>
                <w:rFonts w:ascii="宋体" w:hAnsi="宋体" w:eastAsia="宋体"/>
                <w:sz w:val="14"/>
              </w:rPr>
              <w:t>-</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24492CA">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87E7C9A">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46A2015">
            <w:pPr>
              <w:spacing w:before="0" w:after="0" w:line="240" w:lineRule="auto"/>
              <w:jc w:val="center"/>
            </w:pPr>
          </w:p>
        </w:tc>
      </w:tr>
      <w:tr w14:paraId="5BBCE385">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0F5C8FDD"/>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42B19D4"/>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C83021B">
            <w:pPr>
              <w:spacing w:before="0" w:after="0" w:line="240" w:lineRule="auto"/>
              <w:jc w:val="center"/>
            </w:pPr>
            <w:r>
              <w:rPr>
                <w:rFonts w:ascii="宋体" w:hAnsi="宋体" w:eastAsia="宋体"/>
                <w:sz w:val="14"/>
              </w:rPr>
              <w:t>时效指标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214777F">
            <w:pPr>
              <w:spacing w:before="0" w:after="0" w:line="240" w:lineRule="auto"/>
              <w:jc w:val="center"/>
            </w:pPr>
            <w:r>
              <w:rPr>
                <w:rFonts w:ascii="宋体" w:hAnsi="宋体" w:eastAsia="宋体"/>
                <w:sz w:val="14"/>
              </w:rPr>
              <w:t>培训按期完成率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1744A50">
            <w:pPr>
              <w:spacing w:before="0" w:after="0" w:line="240" w:lineRule="auto"/>
              <w:jc w:val="center"/>
            </w:pPr>
            <w:r>
              <w:rPr>
                <w:rFonts w:ascii="宋体" w:hAnsi="宋体" w:eastAsia="宋体"/>
                <w:sz w:val="14"/>
              </w:rPr>
              <w:t>6</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4346DF3">
            <w:pPr>
              <w:spacing w:before="0" w:after="0" w:line="240" w:lineRule="auto"/>
              <w:jc w:val="center"/>
            </w:pPr>
            <w:r>
              <w:rPr>
                <w:rFonts w:ascii="宋体" w:hAnsi="宋体" w:eastAsia="宋体"/>
                <w:sz w:val="14"/>
              </w:rPr>
              <w:t>&gt;=95%</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1C1ADB1">
            <w:pPr>
              <w:spacing w:before="0" w:after="0" w:line="240" w:lineRule="auto"/>
              <w:jc w:val="center"/>
            </w:pPr>
            <w:r>
              <w:rPr>
                <w:rFonts w:ascii="宋体" w:hAnsi="宋体" w:eastAsia="宋体"/>
                <w:sz w:val="14"/>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6A93C60">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9AE8735">
            <w:pPr>
              <w:spacing w:before="0" w:after="0" w:line="240" w:lineRule="auto"/>
              <w:jc w:val="center"/>
            </w:pPr>
            <w:r>
              <w:rPr>
                <w:rFonts w:ascii="宋体" w:hAnsi="宋体" w:eastAsia="宋体"/>
                <w:sz w:val="14"/>
              </w:rPr>
              <w:t>6</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356F4CE">
            <w:pPr>
              <w:spacing w:before="0" w:after="0" w:line="240" w:lineRule="auto"/>
              <w:jc w:val="center"/>
            </w:pPr>
            <w:r>
              <w:rPr>
                <w:rFonts w:ascii="宋体" w:hAnsi="宋体" w:eastAsia="宋体"/>
                <w:sz w:val="14"/>
              </w:rPr>
              <w:t>计划标准</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9FBD297">
            <w:pPr>
              <w:spacing w:before="0" w:after="0" w:line="240" w:lineRule="auto"/>
              <w:jc w:val="center"/>
            </w:pPr>
            <w:r>
              <w:rPr>
                <w:rFonts w:ascii="宋体" w:hAnsi="宋体" w:eastAsia="宋体"/>
                <w:sz w:val="14"/>
              </w:rPr>
              <w:t>-</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334BDC6">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74DAE86">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C5DC52B">
            <w:pPr>
              <w:spacing w:before="0" w:after="0" w:line="240" w:lineRule="auto"/>
              <w:jc w:val="center"/>
            </w:pPr>
          </w:p>
        </w:tc>
      </w:tr>
      <w:tr w14:paraId="72305C67">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210D60B8"/>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2B2D300"/>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7DA120E">
            <w:pPr>
              <w:spacing w:before="0" w:after="0" w:line="240" w:lineRule="auto"/>
              <w:jc w:val="center"/>
            </w:pPr>
            <w:r>
              <w:rPr>
                <w:rFonts w:ascii="宋体" w:hAnsi="宋体" w:eastAsia="宋体"/>
                <w:sz w:val="14"/>
              </w:rPr>
              <w:t>时效指标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978B443">
            <w:pPr>
              <w:spacing w:before="0" w:after="0" w:line="240" w:lineRule="auto"/>
              <w:jc w:val="center"/>
            </w:pPr>
            <w:r>
              <w:rPr>
                <w:rFonts w:ascii="宋体" w:hAnsi="宋体" w:eastAsia="宋体"/>
                <w:sz w:val="14"/>
              </w:rPr>
              <w:t>年度检查任务按时完成率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33D7F46">
            <w:pPr>
              <w:spacing w:before="0" w:after="0" w:line="240" w:lineRule="auto"/>
              <w:jc w:val="center"/>
            </w:pPr>
            <w:r>
              <w:rPr>
                <w:rFonts w:ascii="宋体" w:hAnsi="宋体" w:eastAsia="宋体"/>
                <w:sz w:val="14"/>
              </w:rPr>
              <w:t>6</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7FF4DAB">
            <w:pPr>
              <w:spacing w:before="0" w:after="0" w:line="240" w:lineRule="auto"/>
              <w:jc w:val="center"/>
            </w:pPr>
            <w:r>
              <w:rPr>
                <w:rFonts w:ascii="宋体" w:hAnsi="宋体" w:eastAsia="宋体"/>
                <w:sz w:val="14"/>
              </w:rPr>
              <w:t>&gt;=95%</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566E3A0">
            <w:pPr>
              <w:spacing w:before="0" w:after="0" w:line="240" w:lineRule="auto"/>
              <w:jc w:val="center"/>
            </w:pPr>
            <w:r>
              <w:rPr>
                <w:rFonts w:ascii="宋体" w:hAnsi="宋体" w:eastAsia="宋体"/>
                <w:sz w:val="14"/>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EDD3FED">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509B8A2">
            <w:pPr>
              <w:spacing w:before="0" w:after="0" w:line="240" w:lineRule="auto"/>
              <w:jc w:val="center"/>
            </w:pPr>
            <w:r>
              <w:rPr>
                <w:rFonts w:ascii="宋体" w:hAnsi="宋体" w:eastAsia="宋体"/>
                <w:sz w:val="14"/>
              </w:rPr>
              <w:t>6</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4563BC29">
            <w:pPr>
              <w:spacing w:before="0" w:after="0" w:line="240" w:lineRule="auto"/>
              <w:jc w:val="center"/>
            </w:pPr>
            <w:r>
              <w:rPr>
                <w:rFonts w:ascii="宋体" w:hAnsi="宋体" w:eastAsia="宋体"/>
                <w:sz w:val="14"/>
              </w:rPr>
              <w:t>计划标准</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A9C9BF8">
            <w:pPr>
              <w:spacing w:before="0" w:after="0" w:line="240" w:lineRule="auto"/>
              <w:jc w:val="center"/>
            </w:pPr>
            <w:r>
              <w:rPr>
                <w:rFonts w:ascii="宋体" w:hAnsi="宋体" w:eastAsia="宋体"/>
                <w:sz w:val="14"/>
              </w:rPr>
              <w:t>-</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B35730B">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0A5B3E7">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86C62DD">
            <w:pPr>
              <w:spacing w:before="0" w:after="0" w:line="240" w:lineRule="auto"/>
              <w:jc w:val="center"/>
            </w:pPr>
          </w:p>
        </w:tc>
      </w:tr>
      <w:tr w14:paraId="5F90F11F">
        <w:tblPrEx>
          <w:tblCellMar>
            <w:top w:w="36" w:type="dxa"/>
            <w:left w:w="36" w:type="dxa"/>
            <w:bottom w:w="36" w:type="dxa"/>
            <w:right w:w="36" w:type="dxa"/>
          </w:tblCellMar>
        </w:tblPrEx>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5E06E909"/>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ECB11AB">
            <w:pPr>
              <w:spacing w:before="0" w:after="0" w:line="240" w:lineRule="auto"/>
              <w:jc w:val="center"/>
            </w:pPr>
            <w:r>
              <w:rPr>
                <w:rFonts w:ascii="宋体" w:hAnsi="宋体" w:eastAsia="宋体"/>
                <w:sz w:val="14"/>
              </w:rPr>
              <w:t>效益指标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49BE2F9">
            <w:pPr>
              <w:spacing w:before="0" w:after="0" w:line="240" w:lineRule="auto"/>
              <w:jc w:val="center"/>
            </w:pPr>
            <w:r>
              <w:rPr>
                <w:rFonts w:ascii="宋体" w:hAnsi="宋体" w:eastAsia="宋体"/>
                <w:sz w:val="14"/>
              </w:rPr>
              <w:t>社会效益指标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F39F364">
            <w:pPr>
              <w:spacing w:before="0" w:after="0" w:line="240" w:lineRule="auto"/>
              <w:jc w:val="center"/>
            </w:pPr>
            <w:r>
              <w:rPr>
                <w:rFonts w:ascii="宋体" w:hAnsi="宋体" w:eastAsia="宋体"/>
                <w:sz w:val="14"/>
              </w:rPr>
              <w:t>全疆水利标准化管理机构的能力和水平</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B94D831">
            <w:pPr>
              <w:spacing w:before="0" w:after="0" w:line="240" w:lineRule="auto"/>
              <w:jc w:val="center"/>
            </w:pPr>
            <w:r>
              <w:rPr>
                <w:rFonts w:ascii="宋体" w:hAnsi="宋体" w:eastAsia="宋体"/>
                <w:sz w:val="14"/>
              </w:rPr>
              <w:t>30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21693CF">
            <w:pPr>
              <w:spacing w:before="0" w:after="0" w:line="240" w:lineRule="auto"/>
              <w:jc w:val="center"/>
            </w:pPr>
            <w:r>
              <w:rPr>
                <w:rFonts w:ascii="宋体" w:hAnsi="宋体" w:eastAsia="宋体"/>
                <w:sz w:val="14"/>
              </w:rPr>
              <w:t>有效提升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18B5126">
            <w:pPr>
              <w:spacing w:before="0" w:after="0" w:line="240" w:lineRule="auto"/>
              <w:jc w:val="center"/>
            </w:pPr>
            <w:r>
              <w:rPr>
                <w:rFonts w:ascii="宋体" w:hAnsi="宋体" w:eastAsia="宋体"/>
                <w:sz w:val="14"/>
              </w:rPr>
              <w:t>有效提升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05F28B8">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2FDC5C9">
            <w:pPr>
              <w:spacing w:before="0" w:after="0" w:line="240" w:lineRule="auto"/>
              <w:jc w:val="center"/>
            </w:pPr>
            <w:r>
              <w:rPr>
                <w:rFonts w:ascii="宋体" w:hAnsi="宋体" w:eastAsia="宋体"/>
                <w:sz w:val="14"/>
              </w:rPr>
              <w:t>30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4DC46A86">
            <w:pPr>
              <w:spacing w:before="0" w:after="0" w:line="240" w:lineRule="auto"/>
              <w:jc w:val="center"/>
            </w:pPr>
            <w:r>
              <w:rPr>
                <w:rFonts w:ascii="宋体" w:hAnsi="宋体" w:eastAsia="宋体"/>
                <w:sz w:val="14"/>
              </w:rPr>
              <w:t>计划标准</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3B5847D">
            <w:pPr>
              <w:spacing w:before="0" w:after="0" w:line="240" w:lineRule="auto"/>
              <w:jc w:val="center"/>
            </w:pPr>
            <w:r>
              <w:rPr>
                <w:rFonts w:ascii="宋体" w:hAnsi="宋体" w:eastAsia="宋体"/>
                <w:sz w:val="14"/>
              </w:rPr>
              <w:t>-</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1D567FC">
            <w:pPr>
              <w:spacing w:before="0" w:after="0" w:line="240" w:lineRule="auto"/>
              <w:jc w:val="center"/>
            </w:pPr>
            <w:r>
              <w:rPr>
                <w:rFonts w:ascii="宋体" w:hAnsi="宋体" w:eastAsia="宋体"/>
                <w:sz w:val="14"/>
              </w:rPr>
              <w:t>按评判等级赋分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BA26562">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5EFB248">
            <w:pPr>
              <w:spacing w:before="0" w:after="0" w:line="240" w:lineRule="auto"/>
              <w:jc w:val="center"/>
            </w:pPr>
          </w:p>
        </w:tc>
      </w:tr>
      <w:tr w14:paraId="7D168387">
        <w:tblPrEx>
          <w:tblCellMar>
            <w:top w:w="36" w:type="dxa"/>
            <w:left w:w="36" w:type="dxa"/>
            <w:bottom w:w="36" w:type="dxa"/>
            <w:right w:w="36" w:type="dxa"/>
          </w:tblCellMar>
        </w:tblPrEx>
        <w:tc>
          <w:tcPr>
            <w:tcW w:w="23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81B8C7">
            <w:pPr>
              <w:spacing w:before="0" w:after="0" w:line="240" w:lineRule="auto"/>
              <w:jc w:val="center"/>
            </w:pPr>
            <w:r>
              <w:rPr>
                <w:rFonts w:ascii="宋体" w:hAnsi="宋体" w:eastAsia="宋体"/>
                <w:sz w:val="14"/>
              </w:rPr>
              <w:t>总分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51F1BC1">
            <w:pPr>
              <w:spacing w:before="0" w:after="0" w:line="240" w:lineRule="auto"/>
              <w:jc w:val="center"/>
            </w:pPr>
            <w:r>
              <w:rPr>
                <w:rFonts w:ascii="宋体" w:hAnsi="宋体" w:eastAsia="宋体"/>
                <w:sz w:val="14"/>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CE03808">
            <w:pPr>
              <w:spacing w:before="0" w:after="0" w:line="240" w:lineRule="auto"/>
              <w:jc w:val="center"/>
            </w:pP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559E397">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30EDD0C">
            <w:pPr>
              <w:spacing w:before="0" w:after="0" w:line="240" w:lineRule="auto"/>
              <w:jc w:val="center"/>
            </w:pP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747ED4B">
            <w:pPr>
              <w:spacing w:before="0" w:after="0" w:line="240" w:lineRule="auto"/>
              <w:jc w:val="center"/>
            </w:pPr>
            <w:r>
              <w:rPr>
                <w:rFonts w:ascii="宋体" w:hAnsi="宋体" w:eastAsia="宋体"/>
                <w:sz w:val="14"/>
              </w:rPr>
              <w:t>94.26</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FF79C35">
            <w:pPr>
              <w:spacing w:before="0" w:after="0" w:line="240" w:lineRule="auto"/>
              <w:jc w:val="center"/>
            </w:pP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911E843">
            <w:pPr>
              <w:spacing w:before="0" w:after="0" w:line="240" w:lineRule="auto"/>
              <w:jc w:val="center"/>
            </w:pP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4E4D958">
            <w:pPr>
              <w:spacing w:before="0" w:after="0" w:line="240" w:lineRule="auto"/>
              <w:jc w:val="cente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7C29349">
            <w:pPr>
              <w:spacing w:before="0" w:after="0" w:line="240" w:lineRule="auto"/>
              <w:jc w:val="cente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969B845">
            <w:pPr>
              <w:spacing w:before="0" w:after="0" w:line="240" w:lineRule="auto"/>
              <w:jc w:val="center"/>
            </w:pPr>
          </w:p>
        </w:tc>
      </w:tr>
    </w:tbl>
    <w:p w14:paraId="4E4B1544">
      <w:r>
        <w:br w:type="page"/>
      </w:r>
    </w:p>
    <w:p w14:paraId="3F96825D">
      <w:pPr>
        <w:sectPr>
          <w:type w:val="continuous"/>
          <w:pgSz w:w="11906" w:h="16838"/>
          <w:pgMar w:top="1440" w:right="1800" w:bottom="1440" w:left="1800" w:header="851" w:footer="992" w:gutter="0"/>
          <w:cols w:space="720" w:num="1"/>
          <w:docGrid w:type="lines" w:linePitch="312" w:charSpace="0"/>
        </w:sectPr>
      </w:pPr>
      <w:bookmarkStart w:id="0" w:name="_GoBack"/>
      <w:bookmarkEnd w:id="0"/>
    </w:p>
    <w:p w14:paraId="1E2D2104">
      <w:pPr>
        <w:spacing w:line="640" w:lineRule="exact"/>
        <w:ind w:firstLine="640"/>
        <w:jc w:val="both"/>
        <w:outlineLvl w:val="2"/>
      </w:pPr>
      <w:r>
        <w:rPr>
          <w:rFonts w:ascii="黑体" w:hAnsi="黑体" w:eastAsia="黑体"/>
          <w:sz w:val="32"/>
        </w:rPr>
        <w:t>十二、其他需说明的事项</w:t>
      </w:r>
    </w:p>
    <w:p w14:paraId="33E4E84E">
      <w:pPr>
        <w:spacing w:line="580" w:lineRule="exact"/>
        <w:ind w:firstLine="640"/>
        <w:jc w:val="both"/>
      </w:pPr>
      <w:r>
        <w:rPr>
          <w:rFonts w:ascii="仿宋_GB2312" w:hAnsi="仿宋_GB2312" w:eastAsia="仿宋_GB2312"/>
          <w:b w:val="0"/>
          <w:sz w:val="32"/>
        </w:rPr>
        <w:t>本单位无其他需说明的事项。</w:t>
      </w:r>
    </w:p>
    <w:p w14:paraId="7A50DA57">
      <w:r>
        <w:br w:type="page"/>
      </w:r>
    </w:p>
    <w:p w14:paraId="38DB90C7">
      <w:pPr>
        <w:spacing w:line="600" w:lineRule="exact"/>
        <w:jc w:val="center"/>
        <w:outlineLvl w:val="0"/>
      </w:pPr>
      <w:r>
        <w:rPr>
          <w:rFonts w:ascii="黑体" w:hAnsi="黑体" w:eastAsia="黑体"/>
          <w:sz w:val="32"/>
        </w:rPr>
        <w:t>第三部分 专业名词解释</w:t>
      </w:r>
    </w:p>
    <w:p w14:paraId="110037DD">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3EEA262E">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1909251">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7BAD7A80">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97636B1">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6C1FE6A2">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6C41A088">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5972186C">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3EAACC32">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1AC50348">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7417BD9D">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0A08E19F">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5656FFA1">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1B0246FF">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519F9058">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11F53A2E">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1711A4B9">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00483BC6">
      <w:r>
        <w:br w:type="page"/>
      </w:r>
    </w:p>
    <w:p w14:paraId="22E825C6">
      <w:pPr>
        <w:spacing w:line="240" w:lineRule="auto"/>
        <w:jc w:val="center"/>
        <w:outlineLvl w:val="1"/>
      </w:pPr>
      <w:r>
        <w:rPr>
          <w:rFonts w:ascii="黑体" w:hAnsi="黑体" w:eastAsia="黑体"/>
          <w:sz w:val="32"/>
        </w:rPr>
        <w:t>第四部分 部门决算报表（见附表）</w:t>
      </w:r>
    </w:p>
    <w:p w14:paraId="0EEA796D">
      <w:pPr>
        <w:autoSpaceDE w:val="0"/>
        <w:autoSpaceDN w:val="0"/>
        <w:spacing w:line="600" w:lineRule="exact"/>
        <w:ind w:firstLine="640" w:firstLineChars="200"/>
      </w:pPr>
      <w:r>
        <w:rPr>
          <w:rFonts w:ascii="仿宋_GB2312" w:hAnsi="仿宋_GB2312" w:eastAsia="仿宋_GB2312"/>
          <w:b w:val="0"/>
          <w:sz w:val="32"/>
        </w:rPr>
        <w:t>一、《收入支出决算总表》</w:t>
      </w:r>
    </w:p>
    <w:p w14:paraId="37A91A3D">
      <w:pPr>
        <w:autoSpaceDE w:val="0"/>
        <w:autoSpaceDN w:val="0"/>
        <w:spacing w:line="600" w:lineRule="exact"/>
        <w:ind w:firstLine="640" w:firstLineChars="200"/>
      </w:pPr>
      <w:r>
        <w:rPr>
          <w:rFonts w:ascii="仿宋_GB2312" w:hAnsi="仿宋_GB2312" w:eastAsia="仿宋_GB2312"/>
          <w:b w:val="0"/>
          <w:sz w:val="32"/>
        </w:rPr>
        <w:t>二、《收入决算表》</w:t>
      </w:r>
    </w:p>
    <w:p w14:paraId="0A18BAE9">
      <w:pPr>
        <w:autoSpaceDE w:val="0"/>
        <w:autoSpaceDN w:val="0"/>
        <w:spacing w:line="600" w:lineRule="exact"/>
        <w:ind w:firstLine="640" w:firstLineChars="200"/>
      </w:pPr>
      <w:r>
        <w:rPr>
          <w:rFonts w:ascii="仿宋_GB2312" w:hAnsi="仿宋_GB2312" w:eastAsia="仿宋_GB2312"/>
          <w:b w:val="0"/>
          <w:sz w:val="32"/>
        </w:rPr>
        <w:t>三、《支出决算表》</w:t>
      </w:r>
    </w:p>
    <w:p w14:paraId="72D5F783">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2D98DBD7">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266F13DE">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542F5F07">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39E87F22">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468013C0">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30951A80">
      <w:pPr>
        <w:autoSpaceDE w:val="0"/>
        <w:autoSpaceDN w:val="0"/>
        <w:spacing w:line="600" w:lineRule="exact"/>
        <w:ind w:firstLine="640" w:firstLineChars="200"/>
      </w:pPr>
    </w:p>
    <w:p w14:paraId="4F64DF2F">
      <w:pPr>
        <w:autoSpaceDE w:val="0"/>
        <w:autoSpaceDN w:val="0"/>
        <w:spacing w:line="600" w:lineRule="exact"/>
        <w:ind w:firstLine="640" w:firstLineChars="200"/>
      </w:pPr>
    </w:p>
    <w:p w14:paraId="4337412D">
      <w:pPr>
        <w:autoSpaceDE w:val="0"/>
        <w:autoSpaceDN w:val="0"/>
        <w:spacing w:line="600" w:lineRule="exact"/>
        <w:ind w:firstLine="640" w:firstLineChars="200"/>
      </w:pPr>
    </w:p>
    <w:p w14:paraId="5D65DB26">
      <w:pPr>
        <w:autoSpaceDE w:val="0"/>
        <w:autoSpaceDN w:val="0"/>
        <w:spacing w:line="600" w:lineRule="exact"/>
        <w:ind w:firstLine="640" w:firstLineChars="200"/>
      </w:pPr>
    </w:p>
    <w:p w14:paraId="53FA6F02">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57A9D9-0279-4365-8698-F827A50C14E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CFB180E-8239-4C1A-BE17-35ED933D2BC2}"/>
  </w:font>
  <w:font w:name="仿宋_GB2312">
    <w:panose1 w:val="02010609030101010101"/>
    <w:charset w:val="86"/>
    <w:family w:val="modern"/>
    <w:pitch w:val="default"/>
    <w:sig w:usb0="00000001" w:usb1="080E0000" w:usb2="00000000" w:usb3="00000000" w:csb0="00040000" w:csb1="00000000"/>
    <w:embedRegular r:id="rId3" w:fontKey="{E8772108-7005-4FBB-B2E7-DAAAB4730FA7}"/>
  </w:font>
  <w:font w:name="楷体_GB2312">
    <w:altName w:val="楷体"/>
    <w:panose1 w:val="00000000000000000000"/>
    <w:charset w:val="00"/>
    <w:family w:val="auto"/>
    <w:pitch w:val="default"/>
    <w:sig w:usb0="00000000" w:usb1="00000000" w:usb2="00000000" w:usb3="00000000" w:csb0="00000000" w:csb1="00000000"/>
    <w:embedRegular r:id="rId4" w:fontKey="{68F88ED1-3261-45F3-B0B4-19A2CA85C042}"/>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146290"/>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4DEF2826"/>
    <w:rsid w:val="505A358E"/>
    <w:rsid w:val="50DB5F45"/>
    <w:rsid w:val="52F92565"/>
    <w:rsid w:val="55DA564E"/>
    <w:rsid w:val="56E07045"/>
    <w:rsid w:val="583059FA"/>
    <w:rsid w:val="587E6212"/>
    <w:rsid w:val="58D10A34"/>
    <w:rsid w:val="59973ABF"/>
    <w:rsid w:val="5A74678C"/>
    <w:rsid w:val="5AFC6609"/>
    <w:rsid w:val="5C25308B"/>
    <w:rsid w:val="5C3B09A8"/>
    <w:rsid w:val="5FA17648"/>
    <w:rsid w:val="613409CB"/>
    <w:rsid w:val="61A46A97"/>
    <w:rsid w:val="62DD7D21"/>
    <w:rsid w:val="65C6174B"/>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5A223CA"/>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2ecae400-beb3-4311-8eef-f7f22f6ad94a</errorID>
      <errorWord>警</errorWord>
      <group>L1_Sensitive</group>
      <groupName>敏感问题</groupName>
      <ability>L2_UserSensitive</ability>
      <abilityName>自定义敏感词</abilityName>
      <candidateList/>
      <explain>来自自定义敏感词库。</explain>
      <paraID> CC10EC5</paraID>
      <start>90</start>
      <end>91</end>
      <status>ignored</status>
      <modifiedWord/>
      <trackRevisions>false</trackRevisions>
    </reviewItem>
    <reviewItem>
      <errorID>1bc004ba-c10f-44bc-a676-673486f2ff19</errorID>
      <errorWord>警</errorWord>
      <group>L1_Sensitive</group>
      <groupName>敏感问题</groupName>
      <ability>L2_UserSensitive</ability>
      <abilityName>自定义敏感词</abilityName>
      <candidateList/>
      <explain>来自自定义敏感词库。</explain>
      <paraID> EA8C937</paraID>
      <start>94</start>
      <end>95</end>
      <status>ignored</status>
      <modifiedWord/>
      <trackRevisions>false</trackRevisions>
    </reviewItem>
    <reviewItem>
      <errorID>bbcb0b1f-2ebd-440f-934e-9dee5c534fae</errorID>
      <errorWord>驻村</errorWord>
      <group>L1_Other</group>
      <groupName>其他问题</groupName>
      <ability>L2_UserTypo</ability>
      <abilityName>自定义错误</abilityName>
      <candidateList>
        <item>为民办实事</item>
      </candidateList>
      <explain>来自自定义错词库。</explain>
      <paraID> EA8C937</paraID>
      <start>182</start>
      <end>184</end>
      <status>ignored</status>
      <modifiedWord/>
      <trackRevisions>false</trackRevisions>
    </reviewItem>
    <reviewItem>
      <errorID>962cf0b3-a02b-4b25-a9e5-28eee0724474</errorID>
      <errorWord>监控</errorWord>
      <group>L1_Sensitive</group>
      <groupName>敏感问题</groupName>
      <ability>L2_UserSensitive</ability>
      <abilityName>自定义敏感词</abilityName>
      <candidateList/>
      <explain>来自自定义敏感词库。</explain>
      <paraID>3360C0F9</paraID>
      <start>94</start>
      <end>96</end>
      <status>ignored</status>
      <modifiedWord/>
      <trackRevisions>false</trackRevisions>
    </reviewItem>
    <reviewItem>
      <errorID>d61f4059-b035-47c4-98cc-48a94f90d506</errorID>
      <errorWord>综合治理</errorWord>
      <group>L1_Sensitive</group>
      <groupName>敏感问题</groupName>
      <ability>L2_UserSensitive</ability>
      <abilityName>自定义敏感词</abilityName>
      <candidateList/>
      <explain>来自自定义敏感词库。</explain>
      <paraID>3360C0F9</paraID>
      <start>120</start>
      <end>124</end>
      <status>ignored</status>
      <modifiedWord/>
      <trackRevisions>false</trackRevisions>
    </reviewItem>
    <reviewItem>
      <errorID>ec881974-57f5-4738-98f2-b2907d5e6775</errorID>
      <errorWord>警</errorWord>
      <group>L1_Sensitive</group>
      <groupName>敏感问题</groupName>
      <ability>L2_UserSensitive</ability>
      <abilityName>自定义敏感词</abilityName>
      <candidateList/>
      <explain>来自自定义敏感词库。</explain>
      <paraID>41D6D227</paraID>
      <start>130</start>
      <end>131</end>
      <status>ignored</status>
      <modifiedWord/>
      <trackRevisions>false</trackRevisions>
    </reviewItem>
    <reviewItem>
      <errorID>497c2b56-d66d-4261-8bd5-52fb3334c957</errorID>
      <errorWord>驻村</errorWord>
      <group>L1_Other</group>
      <groupName>其他问题</groupName>
      <ability>L2_UserTypo</ability>
      <abilityName>自定义错误</abilityName>
      <candidateList>
        <item>为民办实事</item>
      </candidateList>
      <explain>来自自定义错词库。</explain>
      <paraID>41D6D227</paraID>
      <start>229</start>
      <end>231</end>
      <status>ignored</status>
      <modifiedWord/>
      <trackRevisions>false</trackRevisions>
    </reviewItem>
    <reviewItem>
      <errorID>6141d51f-ac0a-4f0c-b352-42ee424ad8e6</errorID>
      <errorWord>警</errorWord>
      <group>L1_Sensitive</group>
      <groupName>敏感问题</groupName>
      <ability>L2_UserSensitive</ability>
      <abilityName>自定义敏感词</abilityName>
      <candidateList/>
      <explain>来自自定义敏感词库。</explain>
      <paraID>5EB5BAD6</paraID>
      <start>136</start>
      <end>137</end>
      <status>ignored</status>
      <modifiedWord/>
      <trackRevisions>false</trackRevisions>
    </reviewItem>
    <reviewItem>
      <errorID>d32705c6-6713-42b0-b0db-e491d119e48d</errorID>
      <errorWord>列入到</errorWord>
      <group>L1_Word</group>
      <groupName>字词问题</groupName>
      <ability>L2_Typo</ability>
      <abilityName>字词错误</abilityName>
      <candidateList>
        <item>列入</item>
      </candidateList>
      <explain/>
      <paraID> 73C01DA</paraID>
      <start>118</start>
      <end>121</end>
      <status>ignored</status>
      <modifiedWord/>
      <trackRevisions>false</trackRevisions>
    </reviewItem>
    <reviewItem>
      <errorID>d4082e72-3215-4bc4-9b43-963357fef1c8</errorID>
      <errorWord>访惠聚</errorWord>
      <group>L1_Sensitive</group>
      <groupName>敏感问题</groupName>
      <ability>L2_UserSensitive</ability>
      <abilityName>自定义敏感词</abilityName>
      <candidateList/>
      <explain>来自自定义敏感词库。</explain>
      <paraID>5F188E4E</paraID>
      <start>75</start>
      <end>78</end>
      <status>ignored</status>
      <modifiedWord/>
      <trackRevisions>false</trackRevisions>
    </reviewItem>
    <reviewItem>
      <errorID>e782c8ad-c16c-4372-99e6-b21635b6f3a4</errorID>
      <errorWord>驻村</errorWord>
      <group>L1_Other</group>
      <groupName>其他问题</groupName>
      <ability>L2_UserTypo</ability>
      <abilityName>自定义错误</abilityName>
      <candidateList>
        <item>为民办实事</item>
      </candidateList>
      <explain>来自自定义错词库。</explain>
      <paraID>5F188E4E</paraID>
      <start>78</start>
      <end>80</end>
      <status>ignored</status>
      <modifiedWord/>
      <trackRevisions>false</trackRevisions>
    </reviewItem>
    <reviewItem>
      <errorID>47ad729c-e4f8-4480-94ba-781400bc283f</errorID>
      <errorWord>管理委员</errorWord>
      <group>L1_Other</group>
      <groupName>其他问题</groupName>
      <ability>L2_UserTypo</ability>
      <abilityName>自定义错误</abilityName>
      <candidateList>
        <item>管理委员会</item>
      </candidateList>
      <explain>来自自定义错词库。</explain>
      <paraID>5F188E4E</paraID>
      <start>93</start>
      <end>97</end>
      <status>ignored</status>
      <modifiedWord/>
      <trackRevisions>false</trackRevisions>
    </reviewItem>
    <reviewItem>
      <errorID>4dacb7cb-ed58-41d4-b872-1b20735cd01b</errorID>
      <errorWord>行</errorWord>
      <group>L1_Word</group>
      <groupName>字词问题</groupName>
      <ability>L2_Typo</ability>
      <abilityName>字词错误</abilityName>
      <candidateList>
        <item>行业</item>
      </candidateList>
      <explain/>
      <paraID>5ADB9624</paraID>
      <start>107</start>
      <end>108</end>
      <status>ignored</status>
      <modifiedWord/>
      <trackRevisions>false</trackRevisions>
    </reviewItem>
    <reviewItem>
      <errorID>d166447c-e36c-4708-b805-d29b7a1812c7</errorID>
      <errorWord>2月31日</errorWord>
      <group>L1_Sensitive</group>
      <groupName>敏感问题</groupName>
      <ability>L2_UserSensitive</ability>
      <abilityName>自定义敏感词</abilityName>
      <candidateList/>
      <explain>来自自定义敏感词库。</explain>
      <paraID> A130ACE</paraID>
      <start>8</start>
      <end>13</end>
      <status>ignored</status>
      <modifiedWord/>
      <trackRevisions>false</trackRevisions>
    </reviewItem>
    <reviewItem>
      <errorID>f52c49e4-6ea5-4b60-b528-fd557d8a730a</errorID>
      <errorWord>供</errorWord>
      <group>L1_Word</group>
      <groupName>字词问题</groupName>
      <ability>L2_Typo</ability>
      <abilityName>字词错误</abilityName>
      <candidateList>
        <item>供了</item>
      </candidateList>
      <explain/>
      <paraID>2C0334FF</paraID>
      <start>88</start>
      <end>89</end>
      <status>ignored</status>
      <modifiedWord/>
      <trackRevisions>false</trackRevisions>
    </reviewItem>
    <reviewItem>
      <errorID>5a1a37e2-61b2-4add-8b5b-8a3869f41f0c</errorID>
      <errorWord>促使了</errorWord>
      <group>L1_Word</group>
      <groupName>字词问题</groupName>
      <ability>L2_Typo</ability>
      <abilityName>字词错误</abilityName>
      <candidateList>
        <item>促使</item>
      </candidateList>
      <explain/>
      <paraID>2C0334FF</paraID>
      <start>370</start>
      <end>373</end>
      <status>ignored</status>
      <modifiedWord/>
      <trackRevisions>false</trackRevisions>
    </reviewItem>
    <reviewItem>
      <errorID>75e3d062-bc0e-4d40-b908-686a84a0f32c</errorID>
      <errorWord>监控</errorWord>
      <group>L1_Sensitive</group>
      <groupName>敏感问题</groupName>
      <ability>L2_UserSensitive</ability>
      <abilityName>自定义敏感词</abilityName>
      <candidateList/>
      <explain>来自自定义敏感词库。</explain>
      <paraID>2C0334FF</paraID>
      <start>405</start>
      <end>407</end>
      <status>ignored</status>
      <modifiedWord/>
      <trackRevisions>false</trackRevisions>
    </reviewItem>
    <reviewItem>
      <errorID>692ed956-b316-48fb-90e6-d5b7d79fa9f4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5475580F</paraID>
      <start>0</start>
      <end>2</end>
      <status>ignored</status>
      <modifiedWord/>
      <trackRevisions>false</trackRevisions>
    </reviewItem>
    <reviewItem>
      <errorID>3d879955-7758-4e40-9c1d-71339b7beae9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5475580F</paraID>
      <start>106</start>
      <end>108</end>
      <status>ignored</status>
      <modifiedWord/>
      <trackRevisions>false</trackRevisions>
    </reviewItem>
    <reviewItem>
      <errorID>a2e94074-4241-4f36-9cec-d17f790a32d8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5475580F</paraID>
      <start>227</start>
      <end>229</end>
      <status>ignored</status>
      <modifiedWord/>
      <trackRevisions>false</trackRevisions>
    </reviewItem>
    <reviewItem>
      <errorID>f45852d0-8e0d-4869-8dce-f62a8ebde981</errorID>
      <errorWord>监控</errorWord>
      <group>L1_Sensitive</group>
      <groupName>敏感问题</groupName>
      <ability>L2_UserSensitive</ability>
      <abilityName>自定义敏感词</abilityName>
      <candidateList/>
      <explain>来自自定义敏感词库。</explain>
      <paraID>5475580F</paraID>
      <start>400</start>
      <end>402</end>
      <status>ignored</status>
      <modifiedWord/>
      <trackRevisions>false</trackRevisions>
    </reviewItem>
    <reviewItem>
      <errorID>429914a4-2fdc-44cd-891d-535b0a98441e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218F985</paraID>
      <start>0</start>
      <end>2</end>
      <status>ignored</status>
      <modifiedWord/>
      <trackRevisions>false</trackRevisions>
    </reviewItem>
    <reviewItem>
      <errorID>f724a5a1-91e0-4f22-947e-8a0c8253bfb5</errorID>
      <errorWord>升</errorWord>
      <group>L1_Word</group>
      <groupName>字词问题</groupName>
      <ability>L2_Typo</ability>
      <abilityName>字词错误</abilityName>
      <candidateList>
        <item>升了</item>
      </candidateList>
      <explain/>
      <paraID> 218F985</paraID>
      <start>196</start>
      <end>197</end>
      <status>ignored</status>
      <modifiedWord/>
      <trackRevisions>false</trackRevisions>
    </reviewItem>
    <reviewItem>
      <errorID>a80605a8-8f22-44f8-94f6-e92c4bf9ac60</errorID>
      <errorWord>促使了</errorWord>
      <group>L1_Word</group>
      <groupName>字词问题</groupName>
      <ability>L2_Typo</ability>
      <abilityName>字词错误</abilityName>
      <candidateList>
        <item>促使</item>
      </candidateList>
      <explain/>
      <paraID> 218F985</paraID>
      <start>380</start>
      <end>383</end>
      <status>ignored</status>
      <modifiedWord/>
      <trackRevisions>false</trackRevisions>
    </reviewItem>
    <reviewItem>
      <errorID>5fe994cb-d22b-47a5-9c7e-2aa5588b1b30</errorID>
      <errorWord>监控</errorWord>
      <group>L1_Sensitive</group>
      <groupName>敏感问题</groupName>
      <ability>L2_UserSensitive</ability>
      <abilityName>自定义敏感词</abilityName>
      <candidateList/>
      <explain>来自自定义敏感词库。</explain>
      <paraID> 218F985</paraID>
      <start>415</start>
      <end>417</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d033aad2-7f90-424d-9399-4d08de29c423}">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6876</Words>
  <Characters>7756</Characters>
  <Lines>10</Lines>
  <Paragraphs>2</Paragraphs>
  <TotalTime>0</TotalTime>
  <ScaleCrop>false</ScaleCrop>
  <LinksUpToDate>false</LinksUpToDate>
  <CharactersWithSpaces>7764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2026-08-28T04:53:52Z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