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新疆维吾尔自治区水利政策研究中心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5800065">
      <w:r>
        <w:br w:type="page"/>
      </w:r>
    </w:p>
    <w:p w14:paraId="08E34054">
      <w:pPr>
        <w:spacing w:line="640" w:lineRule="exact"/>
        <w:jc w:val="center"/>
        <w:outlineLvl w:val="1"/>
      </w:pPr>
      <w:r>
        <w:rPr>
          <w:rFonts w:ascii="黑体" w:hAnsi="黑体" w:eastAsia="黑体"/>
          <w:sz w:val="32"/>
        </w:rPr>
        <w:t>第一部分 单位概况</w:t>
      </w:r>
    </w:p>
    <w:p w14:paraId="228D64B0">
      <w:pPr>
        <w:spacing w:line="640" w:lineRule="exact"/>
        <w:ind w:firstLine="640"/>
        <w:jc w:val="both"/>
        <w:outlineLvl w:val="2"/>
      </w:pPr>
      <w:r>
        <w:rPr>
          <w:rFonts w:ascii="黑体" w:hAnsi="黑体" w:eastAsia="黑体"/>
          <w:sz w:val="32"/>
        </w:rPr>
        <w:t>一、主要职能</w:t>
      </w:r>
    </w:p>
    <w:p w14:paraId="2D53945F">
      <w:pPr>
        <w:spacing w:line="580" w:lineRule="exact"/>
        <w:ind w:firstLine="640"/>
        <w:jc w:val="both"/>
      </w:pPr>
      <w:r>
        <w:rPr>
          <w:rFonts w:ascii="仿宋_GB2312" w:hAnsi="仿宋_GB2312" w:eastAsia="仿宋_GB2312"/>
          <w:sz w:val="32"/>
        </w:rPr>
        <w:t>承担全区水利改革发展中的重大综合性改革研究；承担修志、年鉴和大事记的编撰工作；承担水文化宣传建设等工作；承担水利人才技术服务等工作。</w:t>
      </w:r>
    </w:p>
    <w:p w14:paraId="715F7CBF">
      <w:pPr>
        <w:spacing w:line="640" w:lineRule="exact"/>
        <w:ind w:firstLine="640"/>
        <w:jc w:val="both"/>
        <w:outlineLvl w:val="2"/>
      </w:pPr>
      <w:r>
        <w:rPr>
          <w:rFonts w:ascii="黑体" w:hAnsi="黑体" w:eastAsia="黑体"/>
          <w:sz w:val="32"/>
        </w:rPr>
        <w:t>二、机构设置</w:t>
      </w:r>
    </w:p>
    <w:p w14:paraId="63FDDAAC">
      <w:pPr>
        <w:spacing w:line="580" w:lineRule="exact"/>
        <w:ind w:firstLine="640"/>
        <w:jc w:val="both"/>
      </w:pPr>
      <w:r>
        <w:rPr>
          <w:rFonts w:ascii="仿宋_GB2312" w:hAnsi="仿宋_GB2312" w:eastAsia="仿宋_GB2312"/>
          <w:sz w:val="32"/>
        </w:rPr>
        <w:t>新疆维吾尔自治区水利政策研究中心无下属预算单位。</w:t>
      </w:r>
    </w:p>
    <w:p w14:paraId="749E1D45">
      <w:r>
        <w:br w:type="page"/>
      </w:r>
    </w:p>
    <w:p w14:paraId="2AE34B14">
      <w:pPr>
        <w:spacing w:line="240" w:lineRule="auto"/>
        <w:jc w:val="center"/>
        <w:outlineLvl w:val="1"/>
      </w:pPr>
      <w:r>
        <w:rPr>
          <w:rFonts w:ascii="黑体" w:hAnsi="黑体" w:eastAsia="黑体"/>
          <w:sz w:val="32"/>
        </w:rPr>
        <w:t>第二部分 部门决算情况说明</w:t>
      </w:r>
    </w:p>
    <w:p w14:paraId="0C17C4B0">
      <w:pPr>
        <w:spacing w:line="640" w:lineRule="exact"/>
        <w:ind w:firstLine="640"/>
        <w:jc w:val="both"/>
        <w:outlineLvl w:val="2"/>
      </w:pPr>
      <w:r>
        <w:rPr>
          <w:rFonts w:ascii="黑体" w:hAnsi="黑体" w:eastAsia="黑体"/>
          <w:sz w:val="32"/>
        </w:rPr>
        <w:t>一、收入支出决算总体情况说明</w:t>
      </w:r>
    </w:p>
    <w:p w14:paraId="4A7CD340">
      <w:pPr>
        <w:spacing w:line="580" w:lineRule="exact"/>
        <w:ind w:firstLine="640"/>
        <w:jc w:val="both"/>
      </w:pPr>
      <w:r>
        <w:rPr>
          <w:rFonts w:ascii="仿宋_GB2312" w:hAnsi="仿宋_GB2312" w:eastAsia="仿宋_GB2312"/>
          <w:b/>
          <w:sz w:val="32"/>
        </w:rPr>
        <w:t>2025年度收入总计65.84万元，</w:t>
      </w:r>
      <w:r>
        <w:rPr>
          <w:rFonts w:ascii="仿宋_GB2312" w:hAnsi="仿宋_GB2312" w:eastAsia="仿宋_GB2312"/>
          <w:b w:val="0"/>
          <w:sz w:val="32"/>
        </w:rPr>
        <w:t>其中：本年收入合计65.84万元，使用非财政拨款结余（含专用结余）0.00万元，年初结转和结余0.00万元。</w:t>
      </w:r>
    </w:p>
    <w:p w14:paraId="5D03E6C9">
      <w:pPr>
        <w:spacing w:line="580" w:lineRule="exact"/>
        <w:ind w:firstLine="640"/>
        <w:jc w:val="both"/>
      </w:pPr>
      <w:r>
        <w:rPr>
          <w:rFonts w:ascii="仿宋_GB2312" w:hAnsi="仿宋_GB2312" w:eastAsia="仿宋_GB2312"/>
          <w:b/>
          <w:sz w:val="32"/>
        </w:rPr>
        <w:t>2025年度支出总计65.84万元，</w:t>
      </w:r>
      <w:r>
        <w:rPr>
          <w:rFonts w:ascii="仿宋_GB2312" w:hAnsi="仿宋_GB2312" w:eastAsia="仿宋_GB2312"/>
          <w:b w:val="0"/>
          <w:sz w:val="32"/>
        </w:rPr>
        <w:t>其中：本年支出合计65.84万元，结余分配0.00万元，年末结转和结余0.00万元。</w:t>
      </w:r>
    </w:p>
    <w:p w14:paraId="3921DC6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增加65.84万元，增长100.00%，主要原因是：本单位为本年新增预算单位，无上年对比数据。</w:t>
      </w:r>
    </w:p>
    <w:p w14:paraId="0883D3AB">
      <w:pPr>
        <w:spacing w:line="640" w:lineRule="exact"/>
        <w:ind w:firstLine="640"/>
        <w:jc w:val="both"/>
        <w:outlineLvl w:val="2"/>
      </w:pPr>
      <w:r>
        <w:rPr>
          <w:rFonts w:ascii="黑体" w:hAnsi="黑体" w:eastAsia="黑体"/>
          <w:sz w:val="32"/>
        </w:rPr>
        <w:t>二、收入决算情况说明</w:t>
      </w:r>
    </w:p>
    <w:p w14:paraId="3B45923B">
      <w:pPr>
        <w:spacing w:line="580" w:lineRule="exact"/>
        <w:ind w:firstLine="640"/>
        <w:jc w:val="both"/>
      </w:pPr>
      <w:r>
        <w:rPr>
          <w:rFonts w:ascii="仿宋_GB2312" w:hAnsi="仿宋_GB2312" w:eastAsia="仿宋_GB2312"/>
          <w:b/>
          <w:sz w:val="32"/>
        </w:rPr>
        <w:t>本年收入65.84万元，</w:t>
      </w:r>
      <w:r>
        <w:rPr>
          <w:rFonts w:ascii="仿宋_GB2312" w:hAnsi="仿宋_GB2312" w:eastAsia="仿宋_GB2312"/>
          <w:b w:val="0"/>
          <w:sz w:val="32"/>
        </w:rPr>
        <w:t>其中：财政拨款收入65.84万元，占100.00%；上级补助收入0.00万元，占0.00%；事业收入0.00万元，占0.00%；经营收入0.00万元，占0.00%；附属单位上缴收入0.00万元，占0.00%；其他收入0.00万元，占0.00%。</w:t>
      </w:r>
    </w:p>
    <w:p w14:paraId="5714FD60">
      <w:pPr>
        <w:spacing w:line="640" w:lineRule="exact"/>
        <w:ind w:firstLine="640"/>
        <w:jc w:val="both"/>
        <w:outlineLvl w:val="2"/>
      </w:pPr>
      <w:r>
        <w:rPr>
          <w:rFonts w:ascii="黑体" w:hAnsi="黑体" w:eastAsia="黑体"/>
          <w:sz w:val="32"/>
        </w:rPr>
        <w:t>三、支出决算情况说明</w:t>
      </w:r>
    </w:p>
    <w:p w14:paraId="0571706F">
      <w:pPr>
        <w:spacing w:line="580" w:lineRule="exact"/>
        <w:ind w:firstLine="640"/>
        <w:jc w:val="both"/>
      </w:pPr>
      <w:r>
        <w:rPr>
          <w:rFonts w:ascii="仿宋_GB2312" w:hAnsi="仿宋_GB2312" w:eastAsia="仿宋_GB2312"/>
          <w:b/>
          <w:sz w:val="32"/>
        </w:rPr>
        <w:t>本年支出65.84万元，</w:t>
      </w:r>
      <w:r>
        <w:rPr>
          <w:rFonts w:ascii="仿宋_GB2312" w:hAnsi="仿宋_GB2312" w:eastAsia="仿宋_GB2312"/>
          <w:b w:val="0"/>
          <w:sz w:val="32"/>
        </w:rPr>
        <w:t>其中：基本支出65.84万元，占100.00%；项目支出0.00万元，占0.00%；上缴上级支出0.00万元，占0.00%；经营支出0.00万元，占0.00%；对附属单位补助支出0.00万元，占0.00%。</w:t>
      </w:r>
    </w:p>
    <w:p w14:paraId="2BB5948D">
      <w:pPr>
        <w:spacing w:line="640" w:lineRule="exact"/>
        <w:ind w:firstLine="640"/>
        <w:jc w:val="both"/>
        <w:outlineLvl w:val="2"/>
      </w:pPr>
      <w:r>
        <w:rPr>
          <w:rFonts w:ascii="黑体" w:hAnsi="黑体" w:eastAsia="黑体"/>
          <w:sz w:val="32"/>
        </w:rPr>
        <w:t>四、财政拨款收入支出决算总体情况说明</w:t>
      </w:r>
    </w:p>
    <w:p w14:paraId="43D6AD9E">
      <w:pPr>
        <w:spacing w:line="580" w:lineRule="exact"/>
        <w:ind w:firstLine="640"/>
        <w:jc w:val="both"/>
      </w:pPr>
      <w:r>
        <w:rPr>
          <w:rFonts w:ascii="仿宋_GB2312" w:hAnsi="仿宋_GB2312" w:eastAsia="仿宋_GB2312"/>
          <w:b/>
          <w:sz w:val="32"/>
        </w:rPr>
        <w:t>2025年度财政拨款收入总计65.84万元，</w:t>
      </w:r>
      <w:r>
        <w:rPr>
          <w:rFonts w:ascii="仿宋_GB2312" w:hAnsi="仿宋_GB2312" w:eastAsia="仿宋_GB2312"/>
          <w:b w:val="0"/>
          <w:sz w:val="32"/>
        </w:rPr>
        <w:t>其中：年初财政拨款结转和结余0.00万元，本年财政拨款收入65.84万元。</w:t>
      </w:r>
      <w:r>
        <w:rPr>
          <w:rFonts w:ascii="仿宋_GB2312" w:hAnsi="仿宋_GB2312" w:eastAsia="仿宋_GB2312"/>
          <w:b/>
          <w:sz w:val="32"/>
        </w:rPr>
        <w:t>财政拨款支出总计65.84万元，</w:t>
      </w:r>
      <w:r>
        <w:rPr>
          <w:rFonts w:ascii="仿宋_GB2312" w:hAnsi="仿宋_GB2312" w:eastAsia="仿宋_GB2312"/>
          <w:b w:val="0"/>
          <w:sz w:val="32"/>
        </w:rPr>
        <w:t>其中：年末财政拨款结转和结余0.00万元，本年财政拨款支出65.84万元。</w:t>
      </w:r>
    </w:p>
    <w:p w14:paraId="57C93B2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增加65.84万元，增长100.00%，主要原因是：本单位为本年新增预算单位，无上年对比数据。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65.84万元，预决算差异率100.00%，主要原因是：本单位为2025年新成立的全额拨款事业单位，相关人员于当年8月起正式起薪，8—12月按规定据实核算发放人员工资、津贴补贴及对应社保缴费等人员经费，</w:t>
      </w:r>
      <w:r>
        <w:rPr>
          <w:rFonts w:hint="eastAsia" w:ascii="仿宋_GB2312" w:hAnsi="仿宋_GB2312" w:eastAsia="仿宋_GB2312"/>
          <w:b w:val="0"/>
          <w:sz w:val="32"/>
          <w:lang w:val="en-US" w:eastAsia="zh-CN"/>
        </w:rPr>
        <w:t>年中追加人员经费，导致预决算存在差异</w:t>
      </w:r>
      <w:r>
        <w:rPr>
          <w:rFonts w:ascii="仿宋_GB2312" w:hAnsi="仿宋_GB2312" w:eastAsia="仿宋_GB2312"/>
          <w:b w:val="0"/>
          <w:sz w:val="32"/>
        </w:rPr>
        <w:t>。</w:t>
      </w:r>
    </w:p>
    <w:p w14:paraId="054F162A">
      <w:pPr>
        <w:spacing w:line="640" w:lineRule="exact"/>
        <w:ind w:firstLine="640"/>
        <w:jc w:val="both"/>
        <w:outlineLvl w:val="2"/>
      </w:pPr>
      <w:r>
        <w:rPr>
          <w:rFonts w:ascii="黑体" w:hAnsi="黑体" w:eastAsia="黑体"/>
          <w:sz w:val="32"/>
        </w:rPr>
        <w:t>五、一般公共预算财政拨款支出决算情况说明</w:t>
      </w:r>
    </w:p>
    <w:p w14:paraId="67BC1DB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水文化宣传建设</w:t>
      </w:r>
      <w:r>
        <w:rPr>
          <w:rFonts w:hint="eastAsia" w:ascii="仿宋_GB2312" w:hAnsi="仿宋_GB2312" w:eastAsia="仿宋_GB2312"/>
          <w:sz w:val="32"/>
          <w:lang w:eastAsia="zh-CN"/>
        </w:rPr>
        <w:t>、</w:t>
      </w:r>
      <w:r>
        <w:rPr>
          <w:rFonts w:ascii="仿宋_GB2312" w:hAnsi="仿宋_GB2312" w:eastAsia="仿宋_GB2312"/>
          <w:sz w:val="32"/>
        </w:rPr>
        <w:t>人才技术服务</w:t>
      </w:r>
      <w:r>
        <w:rPr>
          <w:rFonts w:hint="eastAsia" w:ascii="仿宋_GB2312" w:hAnsi="仿宋_GB2312" w:eastAsia="仿宋_GB2312"/>
          <w:sz w:val="32"/>
          <w:lang w:val="en-US" w:eastAsia="zh-CN"/>
        </w:rPr>
        <w:t>工作</w:t>
      </w:r>
      <w:r>
        <w:rPr>
          <w:rFonts w:ascii="仿宋_GB2312" w:hAnsi="仿宋_GB2312" w:eastAsia="仿宋_GB2312"/>
          <w:b w:val="0"/>
          <w:sz w:val="32"/>
        </w:rPr>
        <w:t>等重点支出，体现在有关支出科目中。</w:t>
      </w:r>
    </w:p>
    <w:p w14:paraId="704705F7">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按照支出功能分类，农林水支出（类）水利（款）水利行业业务管理（项）的支出占本年财政拨款支出总额的比重最高，2025年度决算数为46.30万元，占比70.32%，主要用于人员工资福利、日常公用经费。</w:t>
      </w:r>
    </w:p>
    <w:p w14:paraId="015C30EC">
      <w:pPr>
        <w:spacing w:line="640" w:lineRule="exact"/>
        <w:ind w:firstLine="640"/>
        <w:jc w:val="both"/>
        <w:outlineLvl w:val="3"/>
      </w:pPr>
      <w:r>
        <w:rPr>
          <w:rFonts w:ascii="楷体_GB2312" w:hAnsi="楷体_GB2312" w:eastAsia="楷体_GB2312"/>
          <w:b/>
          <w:sz w:val="32"/>
        </w:rPr>
        <w:t>（一）一般公共预算财政拨款支出决算总体情况</w:t>
      </w:r>
    </w:p>
    <w:p w14:paraId="6D535E54">
      <w:pPr>
        <w:spacing w:line="580" w:lineRule="exact"/>
        <w:ind w:firstLine="640"/>
        <w:jc w:val="both"/>
      </w:pPr>
      <w:r>
        <w:rPr>
          <w:rFonts w:ascii="仿宋_GB2312" w:hAnsi="仿宋_GB2312" w:eastAsia="仿宋_GB2312"/>
          <w:b/>
          <w:sz w:val="32"/>
        </w:rPr>
        <w:t>2025年度一般公共预算财政拨款支出65.84万元，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增加65.84万元，增长100.00%，主要原因是：本单位为本年新增预算单位，无上年对比数据。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65.84万元，预决算差异率100.00%，主要原因是：本单位为2025年新成立的全额拨款事业单位，相关人员于当年8月起正式起薪，8—12月按规定据实核算发放人员工资、津贴补贴及对应社保缴费等人员经费，</w:t>
      </w:r>
      <w:r>
        <w:rPr>
          <w:rFonts w:hint="eastAsia" w:ascii="仿宋_GB2312" w:hAnsi="仿宋_GB2312" w:eastAsia="仿宋_GB2312"/>
          <w:b w:val="0"/>
          <w:sz w:val="32"/>
          <w:lang w:val="en-US" w:eastAsia="zh-CN"/>
        </w:rPr>
        <w:t>年中追加人员经费，导致预决算存在差异</w:t>
      </w:r>
      <w:r>
        <w:rPr>
          <w:rFonts w:ascii="仿宋_GB2312" w:hAnsi="仿宋_GB2312" w:eastAsia="仿宋_GB2312"/>
          <w:b w:val="0"/>
          <w:sz w:val="32"/>
        </w:rPr>
        <w:t>。</w:t>
      </w:r>
    </w:p>
    <w:p w14:paraId="47390536">
      <w:pPr>
        <w:spacing w:line="640" w:lineRule="exact"/>
        <w:ind w:firstLine="640"/>
        <w:jc w:val="both"/>
        <w:outlineLvl w:val="3"/>
      </w:pPr>
      <w:r>
        <w:rPr>
          <w:rFonts w:ascii="楷体_GB2312" w:hAnsi="楷体_GB2312" w:eastAsia="楷体_GB2312"/>
          <w:b/>
          <w:sz w:val="32"/>
        </w:rPr>
        <w:t>（二）一般公共预算财政拨款支出决算结构情况</w:t>
      </w:r>
    </w:p>
    <w:p w14:paraId="13CE765A">
      <w:pPr>
        <w:spacing w:line="580" w:lineRule="exact"/>
        <w:ind w:firstLine="640"/>
        <w:jc w:val="both"/>
      </w:pPr>
      <w:r>
        <w:rPr>
          <w:rFonts w:ascii="仿宋_GB2312" w:hAnsi="仿宋_GB2312" w:eastAsia="仿宋_GB2312"/>
          <w:b w:val="0"/>
          <w:sz w:val="32"/>
        </w:rPr>
        <w:t>1.社会保障和就业支出（类）8.57万元，占13.02%。</w:t>
      </w:r>
    </w:p>
    <w:p w14:paraId="0F16C4D8">
      <w:pPr>
        <w:spacing w:line="580" w:lineRule="exact"/>
        <w:ind w:firstLine="640"/>
        <w:jc w:val="both"/>
      </w:pPr>
      <w:r>
        <w:rPr>
          <w:rFonts w:ascii="仿宋_GB2312" w:hAnsi="仿宋_GB2312" w:eastAsia="仿宋_GB2312"/>
          <w:b w:val="0"/>
          <w:sz w:val="32"/>
        </w:rPr>
        <w:t>2.卫生健康支出（类）6.40万元，占9.72%。</w:t>
      </w:r>
    </w:p>
    <w:p w14:paraId="730D93A3">
      <w:pPr>
        <w:spacing w:line="580" w:lineRule="exact"/>
        <w:ind w:firstLine="640"/>
        <w:jc w:val="both"/>
      </w:pPr>
      <w:r>
        <w:rPr>
          <w:rFonts w:ascii="仿宋_GB2312" w:hAnsi="仿宋_GB2312" w:eastAsia="仿宋_GB2312"/>
          <w:b w:val="0"/>
          <w:sz w:val="32"/>
        </w:rPr>
        <w:t>3.农林水支出（类）46.30万元，占70.32%。</w:t>
      </w:r>
    </w:p>
    <w:p w14:paraId="5781431E">
      <w:pPr>
        <w:spacing w:line="580" w:lineRule="exact"/>
        <w:ind w:firstLine="640"/>
        <w:jc w:val="both"/>
      </w:pPr>
      <w:r>
        <w:rPr>
          <w:rFonts w:ascii="仿宋_GB2312" w:hAnsi="仿宋_GB2312" w:eastAsia="仿宋_GB2312"/>
          <w:b w:val="0"/>
          <w:sz w:val="32"/>
        </w:rPr>
        <w:t>4.住房保障支出（类）4.57万元，占6.94%。</w:t>
      </w:r>
    </w:p>
    <w:p w14:paraId="5C0D34DB">
      <w:pPr>
        <w:spacing w:line="640" w:lineRule="exact"/>
        <w:ind w:firstLine="640"/>
        <w:jc w:val="both"/>
        <w:outlineLvl w:val="3"/>
      </w:pPr>
      <w:r>
        <w:rPr>
          <w:rFonts w:ascii="楷体_GB2312" w:hAnsi="楷体_GB2312" w:eastAsia="楷体_GB2312"/>
          <w:b/>
          <w:sz w:val="32"/>
        </w:rPr>
        <w:t>（三）一般公共预算财政拨款支出决算具体情况</w:t>
      </w:r>
    </w:p>
    <w:p w14:paraId="3CB0CDD1">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6.10万元，比上年决算增加6.10万元，增长100.00%，主要原因是：本单位为本年新增预算单位，无上年对比数据。</w:t>
      </w:r>
    </w:p>
    <w:p w14:paraId="6B8829E1">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2.47万元，比上年决算增加2.47万元，增长100.00%，主要原因是：本单位为本年新增预算单位，无上年对比数据。</w:t>
      </w:r>
    </w:p>
    <w:p w14:paraId="39BDF7B2">
      <w:pPr>
        <w:spacing w:line="580" w:lineRule="exact"/>
        <w:ind w:firstLine="640"/>
        <w:jc w:val="both"/>
      </w:pPr>
      <w:r>
        <w:rPr>
          <w:rFonts w:ascii="仿宋_GB2312" w:hAnsi="仿宋_GB2312" w:eastAsia="仿宋_GB2312"/>
          <w:b w:val="0"/>
          <w:sz w:val="32"/>
        </w:rPr>
        <w:t>3.卫生健康支出（类）行政事业单位医疗（款）事业单位医疗（项）：支出决算数为3.73万元，比上年决算增加3.73万元，增长100.00%，主要原因是：本单位为本年新增预算单位，无上年对比数据。</w:t>
      </w:r>
    </w:p>
    <w:p w14:paraId="2120590D">
      <w:pPr>
        <w:spacing w:line="580" w:lineRule="exact"/>
        <w:ind w:firstLine="640"/>
        <w:jc w:val="both"/>
      </w:pPr>
      <w:r>
        <w:rPr>
          <w:rFonts w:ascii="仿宋_GB2312" w:hAnsi="仿宋_GB2312" w:eastAsia="仿宋_GB2312"/>
          <w:b w:val="0"/>
          <w:sz w:val="32"/>
        </w:rPr>
        <w:t>4.卫生健康支出（类）行政事业单位医疗（款）公务员医疗补助（项）：支出决算数为2.67万元，比上年决算增加2.67万元，增长100.00%，主要原因是：本单位为本年新增预算单位，无上年对比数据。</w:t>
      </w:r>
    </w:p>
    <w:p w14:paraId="51357510">
      <w:pPr>
        <w:spacing w:line="580" w:lineRule="exact"/>
        <w:ind w:firstLine="640"/>
        <w:jc w:val="both"/>
      </w:pPr>
      <w:r>
        <w:rPr>
          <w:rFonts w:ascii="仿宋_GB2312" w:hAnsi="仿宋_GB2312" w:eastAsia="仿宋_GB2312"/>
          <w:b w:val="0"/>
          <w:sz w:val="32"/>
        </w:rPr>
        <w:t>5.农林水支出（类）水利（款）水利行业业务管理（项）：支出决算数为46.30万元，比上年决算增加46.30万元，增长100.00%，主要原因是：本单位为本年新增预算单位，无上年对比数据。</w:t>
      </w:r>
    </w:p>
    <w:p w14:paraId="156F50E6">
      <w:pPr>
        <w:spacing w:line="580" w:lineRule="exact"/>
        <w:ind w:firstLine="640"/>
        <w:jc w:val="both"/>
      </w:pPr>
      <w:r>
        <w:rPr>
          <w:rFonts w:ascii="仿宋_GB2312" w:hAnsi="仿宋_GB2312" w:eastAsia="仿宋_GB2312"/>
          <w:b w:val="0"/>
          <w:sz w:val="32"/>
        </w:rPr>
        <w:t>6.住房保障支出（类）住房改革支出（款）住房公积金（项）：支出决算数为4.57万元，比上年决算增加4.57万元，增长100.00%，主要原因是：本单位为本年新增预算单位，无上年对比数据。</w:t>
      </w:r>
    </w:p>
    <w:p w14:paraId="7A4A415F">
      <w:pPr>
        <w:spacing w:line="640" w:lineRule="exact"/>
        <w:ind w:firstLine="640"/>
        <w:jc w:val="both"/>
        <w:outlineLvl w:val="2"/>
      </w:pPr>
      <w:r>
        <w:rPr>
          <w:rFonts w:ascii="黑体" w:hAnsi="黑体" w:eastAsia="黑体"/>
          <w:sz w:val="32"/>
        </w:rPr>
        <w:t>六、一般公共预算财政拨款基本支出决算情况说明</w:t>
      </w:r>
    </w:p>
    <w:p w14:paraId="66A2A778">
      <w:pPr>
        <w:spacing w:line="580" w:lineRule="exact"/>
        <w:ind w:firstLine="640"/>
        <w:jc w:val="both"/>
      </w:pPr>
      <w:r>
        <w:rPr>
          <w:rFonts w:ascii="仿宋_GB2312" w:hAnsi="仿宋_GB2312" w:eastAsia="仿宋_GB2312"/>
          <w:b w:val="0"/>
          <w:sz w:val="32"/>
        </w:rPr>
        <w:t>2025年度一般公共预算财政拨款基本支出65.84万元，其中：</w:t>
      </w:r>
      <w:r>
        <w:rPr>
          <w:rFonts w:ascii="仿宋_GB2312" w:hAnsi="仿宋_GB2312" w:eastAsia="仿宋_GB2312"/>
          <w:b/>
          <w:sz w:val="32"/>
        </w:rPr>
        <w:t>人员经费64.00万元，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09D2C431">
      <w:pPr>
        <w:spacing w:line="580" w:lineRule="exact"/>
        <w:ind w:firstLine="640"/>
        <w:jc w:val="both"/>
      </w:pPr>
      <w:r>
        <w:rPr>
          <w:rFonts w:ascii="仿宋_GB2312" w:hAnsi="仿宋_GB2312" w:eastAsia="仿宋_GB2312"/>
          <w:b/>
          <w:sz w:val="32"/>
        </w:rPr>
        <w:t>公用经费1.84万元，</w:t>
      </w:r>
      <w:r>
        <w:rPr>
          <w:rFonts w:ascii="仿宋_GB2312" w:hAnsi="仿宋_GB2312" w:eastAsia="仿宋_GB2312"/>
          <w:b w:val="0"/>
          <w:sz w:val="32"/>
        </w:rPr>
        <w:t>包括：差旅费。</w:t>
      </w:r>
    </w:p>
    <w:p w14:paraId="7BD473A4">
      <w:pPr>
        <w:spacing w:line="640" w:lineRule="exact"/>
        <w:ind w:firstLine="640"/>
        <w:jc w:val="both"/>
        <w:outlineLvl w:val="2"/>
      </w:pPr>
      <w:r>
        <w:rPr>
          <w:rFonts w:ascii="黑体" w:hAnsi="黑体" w:eastAsia="黑体"/>
          <w:sz w:val="32"/>
        </w:rPr>
        <w:t>七、政府性基金预算财政拨款收入支出决算情况说明</w:t>
      </w:r>
    </w:p>
    <w:p w14:paraId="1B4F3F5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0C3D901">
      <w:pPr>
        <w:spacing w:line="640" w:lineRule="exact"/>
        <w:ind w:firstLine="640"/>
        <w:jc w:val="both"/>
        <w:outlineLvl w:val="2"/>
      </w:pPr>
      <w:r>
        <w:rPr>
          <w:rFonts w:ascii="黑体" w:hAnsi="黑体" w:eastAsia="黑体"/>
          <w:sz w:val="32"/>
        </w:rPr>
        <w:t>八、国有资本经营预算财政拨款收入支出决算情况说明</w:t>
      </w:r>
    </w:p>
    <w:p w14:paraId="49FBD74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9BC2BC">
      <w:pPr>
        <w:spacing w:line="640" w:lineRule="exact"/>
        <w:ind w:firstLine="640"/>
        <w:jc w:val="both"/>
        <w:outlineLvl w:val="2"/>
      </w:pPr>
      <w:r>
        <w:rPr>
          <w:rFonts w:ascii="黑体" w:hAnsi="黑体" w:eastAsia="黑体"/>
          <w:sz w:val="32"/>
        </w:rPr>
        <w:t>九、财政拨款“三公”经费支出决算情况说明</w:t>
      </w:r>
    </w:p>
    <w:p w14:paraId="3CC96139">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w:t>
      </w:r>
      <w:bookmarkStart w:id="0" w:name="_GoBack"/>
      <w:r>
        <w:rPr>
          <w:rFonts w:ascii="仿宋_GB2312" w:hAnsi="仿宋_GB2312" w:eastAsia="仿宋_GB2312"/>
          <w:b w:val="0"/>
          <w:sz w:val="32"/>
        </w:rPr>
        <w:t>元，增长0.00%，主要原因是：2025年本单位无财政拨款“三公”经费支出。其</w:t>
      </w:r>
      <w:bookmarkEnd w:id="0"/>
      <w:r>
        <w:rPr>
          <w:rFonts w:ascii="仿宋_GB2312" w:hAnsi="仿宋_GB2312" w:eastAsia="仿宋_GB2312"/>
          <w:b w:val="0"/>
          <w:sz w:val="32"/>
        </w:rPr>
        <w:t>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02C2E90A">
      <w:pPr>
        <w:spacing w:line="580" w:lineRule="exact"/>
        <w:ind w:firstLine="640"/>
        <w:jc w:val="both"/>
      </w:pPr>
      <w:r>
        <w:rPr>
          <w:rFonts w:ascii="仿宋_GB2312" w:hAnsi="仿宋_GB2312" w:eastAsia="仿宋_GB2312"/>
          <w:b/>
          <w:sz w:val="32"/>
        </w:rPr>
        <w:t>具体情况如下：</w:t>
      </w:r>
    </w:p>
    <w:p w14:paraId="35F75B7B">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FDCA33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096FD2A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D0F025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3434EC7">
      <w:pPr>
        <w:spacing w:line="640" w:lineRule="exact"/>
        <w:ind w:firstLine="640"/>
        <w:jc w:val="both"/>
        <w:outlineLvl w:val="2"/>
      </w:pPr>
      <w:r>
        <w:rPr>
          <w:rFonts w:ascii="黑体" w:hAnsi="黑体" w:eastAsia="黑体"/>
          <w:sz w:val="32"/>
        </w:rPr>
        <w:t>十、其他重要事项的情况说明</w:t>
      </w:r>
    </w:p>
    <w:p w14:paraId="333A6686">
      <w:pPr>
        <w:spacing w:line="640" w:lineRule="exact"/>
        <w:ind w:firstLine="640"/>
        <w:jc w:val="both"/>
        <w:outlineLvl w:val="3"/>
      </w:pPr>
      <w:r>
        <w:rPr>
          <w:rFonts w:ascii="楷体_GB2312" w:hAnsi="楷体_GB2312" w:eastAsia="楷体_GB2312"/>
          <w:b/>
          <w:sz w:val="32"/>
        </w:rPr>
        <w:t>（一）机关运行经费及公用经费支出情况</w:t>
      </w:r>
    </w:p>
    <w:p w14:paraId="56C07CC9">
      <w:pPr>
        <w:spacing w:line="580" w:lineRule="exact"/>
        <w:ind w:firstLine="640"/>
        <w:jc w:val="both"/>
      </w:pPr>
      <w:r>
        <w:rPr>
          <w:rFonts w:ascii="仿宋_GB2312" w:hAnsi="仿宋_GB2312" w:eastAsia="仿宋_GB2312"/>
          <w:b w:val="0"/>
          <w:sz w:val="32"/>
        </w:rPr>
        <w:t>2025年度新疆维吾尔自治区水利政策研究中心（事业单位）公用经费支出1.84万元，比上年增加1.84万元，增长100.00%，主要原因是：本单位为本年新增预算单位，无上年对比数据。</w:t>
      </w:r>
    </w:p>
    <w:p w14:paraId="3BAB4B6D">
      <w:pPr>
        <w:spacing w:line="640" w:lineRule="exact"/>
        <w:ind w:firstLine="640"/>
        <w:jc w:val="both"/>
        <w:outlineLvl w:val="3"/>
      </w:pPr>
      <w:r>
        <w:rPr>
          <w:rFonts w:ascii="楷体_GB2312" w:hAnsi="楷体_GB2312" w:eastAsia="楷体_GB2312"/>
          <w:b/>
          <w:sz w:val="32"/>
        </w:rPr>
        <w:t>（二）政府采购情况</w:t>
      </w:r>
    </w:p>
    <w:p w14:paraId="10349FB8">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1B3AAA1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C77664F">
      <w:pPr>
        <w:spacing w:line="640" w:lineRule="exact"/>
        <w:ind w:firstLine="640"/>
        <w:jc w:val="both"/>
        <w:outlineLvl w:val="3"/>
      </w:pPr>
      <w:r>
        <w:rPr>
          <w:rFonts w:ascii="楷体_GB2312" w:hAnsi="楷体_GB2312" w:eastAsia="楷体_GB2312"/>
          <w:b/>
          <w:sz w:val="32"/>
        </w:rPr>
        <w:t>（三）国有资产占用情况说明</w:t>
      </w:r>
    </w:p>
    <w:p w14:paraId="1D7C2308">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A9779F8">
      <w:pPr>
        <w:spacing w:line="640" w:lineRule="exact"/>
        <w:ind w:firstLine="640"/>
        <w:jc w:val="both"/>
        <w:outlineLvl w:val="2"/>
      </w:pPr>
      <w:r>
        <w:rPr>
          <w:rFonts w:ascii="黑体" w:hAnsi="黑体" w:eastAsia="黑体"/>
          <w:sz w:val="32"/>
        </w:rPr>
        <w:t>十一、预算绩效的情况说明</w:t>
      </w:r>
    </w:p>
    <w:p w14:paraId="4E0F560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2025年无绩效自评项目。发现的问题及原因：2025年无绩效自评项目。下一步改进措施：2025年无绩效自评项目。</w:t>
      </w:r>
    </w:p>
    <w:p w14:paraId="521BE1E3">
      <w:r>
        <w:br w:type="page"/>
      </w:r>
    </w:p>
    <w:p w14:paraId="3E024B10">
      <w:pPr>
        <w:spacing w:line="640" w:lineRule="exact"/>
        <w:ind w:firstLine="640"/>
        <w:jc w:val="both"/>
        <w:outlineLvl w:val="2"/>
      </w:pPr>
      <w:r>
        <w:rPr>
          <w:rFonts w:ascii="黑体" w:hAnsi="黑体" w:eastAsia="黑体"/>
          <w:sz w:val="32"/>
        </w:rPr>
        <w:t>十二、其他需说明的事项</w:t>
      </w:r>
    </w:p>
    <w:p w14:paraId="121A8419">
      <w:pPr>
        <w:spacing w:line="580" w:lineRule="exact"/>
        <w:ind w:firstLine="640"/>
        <w:jc w:val="both"/>
      </w:pPr>
      <w:r>
        <w:rPr>
          <w:rFonts w:ascii="仿宋_GB2312" w:hAnsi="仿宋_GB2312" w:eastAsia="仿宋_GB2312"/>
          <w:b w:val="0"/>
          <w:sz w:val="32"/>
        </w:rPr>
        <w:t>本单位2025年度无政府采购支出，授予中小企业合同金额0.00万元。</w:t>
      </w:r>
    </w:p>
    <w:p w14:paraId="5F8A9FD1">
      <w:r>
        <w:br w:type="page"/>
      </w:r>
    </w:p>
    <w:p w14:paraId="6A2EC71D">
      <w:pPr>
        <w:spacing w:line="600" w:lineRule="exact"/>
        <w:jc w:val="center"/>
        <w:outlineLvl w:val="0"/>
      </w:pPr>
      <w:r>
        <w:rPr>
          <w:rFonts w:ascii="黑体" w:hAnsi="黑体" w:eastAsia="黑体"/>
          <w:sz w:val="32"/>
        </w:rPr>
        <w:t>第三部分 专业名词解释</w:t>
      </w:r>
    </w:p>
    <w:p w14:paraId="39BB3957">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C9BEC4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F91298">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8CAB3DF">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10F18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24D0F86">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0B4E089">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EE4823B">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8CE872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6083D9D">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F3A2719">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551924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572E00F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14F72B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93127D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9366AC5">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2EE05B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A8BF0D8">
      <w:r>
        <w:br w:type="page"/>
      </w:r>
    </w:p>
    <w:p w14:paraId="748F3AAF">
      <w:pPr>
        <w:spacing w:line="240" w:lineRule="auto"/>
        <w:jc w:val="center"/>
        <w:outlineLvl w:val="1"/>
      </w:pPr>
      <w:r>
        <w:rPr>
          <w:rFonts w:ascii="黑体" w:hAnsi="黑体" w:eastAsia="黑体"/>
          <w:sz w:val="32"/>
        </w:rPr>
        <w:t>第四部分 部门决算报表（见附表）</w:t>
      </w:r>
    </w:p>
    <w:p w14:paraId="0634DEAA">
      <w:pPr>
        <w:autoSpaceDE w:val="0"/>
        <w:autoSpaceDN w:val="0"/>
        <w:spacing w:line="600" w:lineRule="exact"/>
        <w:ind w:firstLine="640" w:firstLineChars="200"/>
      </w:pPr>
      <w:r>
        <w:rPr>
          <w:rFonts w:ascii="仿宋_GB2312" w:hAnsi="仿宋_GB2312" w:eastAsia="仿宋_GB2312"/>
          <w:b w:val="0"/>
          <w:sz w:val="32"/>
        </w:rPr>
        <w:t>一、《收入支出决算总表》</w:t>
      </w:r>
    </w:p>
    <w:p w14:paraId="54AB8141">
      <w:pPr>
        <w:autoSpaceDE w:val="0"/>
        <w:autoSpaceDN w:val="0"/>
        <w:spacing w:line="600" w:lineRule="exact"/>
        <w:ind w:firstLine="640" w:firstLineChars="200"/>
      </w:pPr>
      <w:r>
        <w:rPr>
          <w:rFonts w:ascii="仿宋_GB2312" w:hAnsi="仿宋_GB2312" w:eastAsia="仿宋_GB2312"/>
          <w:b w:val="0"/>
          <w:sz w:val="32"/>
        </w:rPr>
        <w:t>二、《收入决算表》</w:t>
      </w:r>
    </w:p>
    <w:p w14:paraId="4CEC9E7C">
      <w:pPr>
        <w:autoSpaceDE w:val="0"/>
        <w:autoSpaceDN w:val="0"/>
        <w:spacing w:line="600" w:lineRule="exact"/>
        <w:ind w:firstLine="640" w:firstLineChars="200"/>
      </w:pPr>
      <w:r>
        <w:rPr>
          <w:rFonts w:ascii="仿宋_GB2312" w:hAnsi="仿宋_GB2312" w:eastAsia="仿宋_GB2312"/>
          <w:b w:val="0"/>
          <w:sz w:val="32"/>
        </w:rPr>
        <w:t>三、《支出决算表》</w:t>
      </w:r>
    </w:p>
    <w:p w14:paraId="0BAAF3A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A54AC76">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71B5C5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5FDF122">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087A2CF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0391B87">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0636B31">
      <w:pPr>
        <w:autoSpaceDE w:val="0"/>
        <w:autoSpaceDN w:val="0"/>
        <w:spacing w:line="600" w:lineRule="exact"/>
        <w:ind w:firstLine="640" w:firstLineChars="200"/>
      </w:pPr>
    </w:p>
    <w:p w14:paraId="6028EBCB">
      <w:pPr>
        <w:autoSpaceDE w:val="0"/>
        <w:autoSpaceDN w:val="0"/>
        <w:spacing w:line="600" w:lineRule="exact"/>
        <w:ind w:firstLine="640" w:firstLineChars="200"/>
      </w:pPr>
    </w:p>
    <w:p w14:paraId="43C4C380">
      <w:pPr>
        <w:autoSpaceDE w:val="0"/>
        <w:autoSpaceDN w:val="0"/>
        <w:spacing w:line="600" w:lineRule="exact"/>
        <w:ind w:firstLine="640" w:firstLineChars="200"/>
      </w:pPr>
    </w:p>
    <w:p w14:paraId="0EC5E4B7">
      <w:pPr>
        <w:autoSpaceDE w:val="0"/>
        <w:autoSpaceDN w:val="0"/>
        <w:spacing w:line="600" w:lineRule="exact"/>
        <w:ind w:firstLine="640" w:firstLineChars="200"/>
      </w:pPr>
    </w:p>
    <w:p w14:paraId="3D604D4D">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CE4F10-65D6-41E5-B283-B64FBE0396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69A0E1B8-FB1A-4AF4-8F25-33F41EADFE16}"/>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F5224953-180D-4D0E-A299-40AB1A54F6B9}"/>
  </w:font>
  <w:font w:name="楷体_GB2312">
    <w:altName w:val="楷体"/>
    <w:panose1 w:val="00000000000000000000"/>
    <w:charset w:val="00"/>
    <w:family w:val="auto"/>
    <w:pitch w:val="default"/>
    <w:sig w:usb0="00000000" w:usb1="00000000" w:usb2="00000000" w:usb3="00000000" w:csb0="00000000" w:csb1="00000000"/>
    <w:embedRegular r:id="rId4" w:fontKey="{07BEBC03-3987-44E6-BC17-F91B5C0F4BAC}"/>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6CF78BD"/>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523956"/>
    <w:rsid w:val="40834692"/>
    <w:rsid w:val="42336996"/>
    <w:rsid w:val="423A32B2"/>
    <w:rsid w:val="464B7E04"/>
    <w:rsid w:val="46901EEE"/>
    <w:rsid w:val="469C74D2"/>
    <w:rsid w:val="47445515"/>
    <w:rsid w:val="48E21116"/>
    <w:rsid w:val="49C97D5C"/>
    <w:rsid w:val="49F5131D"/>
    <w:rsid w:val="4AE426AE"/>
    <w:rsid w:val="4B4C0111"/>
    <w:rsid w:val="4D3F1CC6"/>
    <w:rsid w:val="4D730311"/>
    <w:rsid w:val="4F2558B8"/>
    <w:rsid w:val="505A358E"/>
    <w:rsid w:val="50DB5F45"/>
    <w:rsid w:val="52F92565"/>
    <w:rsid w:val="55DA564E"/>
    <w:rsid w:val="56E07045"/>
    <w:rsid w:val="583059FA"/>
    <w:rsid w:val="587E6212"/>
    <w:rsid w:val="58B51F19"/>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69a4d70-7429-430a-bb8c-8f2e8ad77d05}">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4449</Words>
  <Characters>5033</Characters>
  <Lines>10</Lines>
  <Paragraphs>2</Paragraphs>
  <TotalTime>1</TotalTime>
  <ScaleCrop>false</ScaleCrop>
  <LinksUpToDate>false</LinksUpToDate>
  <CharactersWithSpaces>5042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2026-08-28T09:54:09Z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