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新疆维吾尔自治区水利水电规划设计技术中心</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6D4FBAED">
      <w:r>
        <w:br w:type="page"/>
      </w:r>
    </w:p>
    <w:p w14:paraId="622A0643">
      <w:pPr>
        <w:spacing w:line="640" w:lineRule="exact"/>
        <w:jc w:val="center"/>
        <w:outlineLvl w:val="1"/>
      </w:pPr>
      <w:r>
        <w:rPr>
          <w:rFonts w:ascii="黑体" w:hAnsi="黑体" w:eastAsia="黑体"/>
          <w:sz w:val="32"/>
        </w:rPr>
        <w:t>第一部分 单位概况</w:t>
      </w:r>
    </w:p>
    <w:p w14:paraId="16923208">
      <w:pPr>
        <w:spacing w:line="640" w:lineRule="exact"/>
        <w:ind w:firstLine="640"/>
        <w:jc w:val="both"/>
        <w:outlineLvl w:val="2"/>
      </w:pPr>
      <w:r>
        <w:rPr>
          <w:rFonts w:ascii="黑体" w:hAnsi="黑体" w:eastAsia="黑体"/>
          <w:sz w:val="32"/>
        </w:rPr>
        <w:t>一、主要职能</w:t>
      </w:r>
    </w:p>
    <w:p w14:paraId="5333EA1E">
      <w:pPr>
        <w:spacing w:line="580" w:lineRule="exact"/>
        <w:ind w:firstLine="640"/>
        <w:jc w:val="both"/>
      </w:pPr>
      <w:r>
        <w:rPr>
          <w:rFonts w:ascii="仿宋_GB2312" w:hAnsi="仿宋_GB2312" w:eastAsia="仿宋_GB2312"/>
          <w:sz w:val="32"/>
        </w:rPr>
        <w:t>组织开展自治区水发展与水安全战略规划、水安全保障规划等编制；组织自治区重大水利规划、重点流域综合规划有关专项（专业）规划编制和实施评估；承担全区水利规划、流域综合规划、有关专项（专业）规划等技术审查和指导；承担全区水利水电工程勘察设计成果技术审查和指导；负责涉水工程建设项目合规性技术审查、水工程规划同意书技术审核，牵头组织洪水影响评价类审批事项技术审核；组织开展地方性水利规划、水利工程设计规程、规范、技术标准的编制，负责水利规划、项目前期技术帮扶；协助做好水利规划与勘察设计市场管理；承办厅党组安排的其他事项。</w:t>
      </w:r>
    </w:p>
    <w:p w14:paraId="29D7318F">
      <w:pPr>
        <w:spacing w:line="640" w:lineRule="exact"/>
        <w:ind w:firstLine="640"/>
        <w:jc w:val="both"/>
        <w:outlineLvl w:val="2"/>
      </w:pPr>
      <w:r>
        <w:rPr>
          <w:rFonts w:ascii="黑体" w:hAnsi="黑体" w:eastAsia="黑体"/>
          <w:sz w:val="32"/>
        </w:rPr>
        <w:t>二、机构设置</w:t>
      </w:r>
    </w:p>
    <w:p w14:paraId="008E61DF">
      <w:pPr>
        <w:spacing w:line="580" w:lineRule="exact"/>
        <w:ind w:firstLine="640"/>
        <w:jc w:val="both"/>
      </w:pPr>
      <w:r>
        <w:rPr>
          <w:rFonts w:ascii="仿宋_GB2312" w:hAnsi="仿宋_GB2312" w:eastAsia="仿宋_GB2312"/>
          <w:sz w:val="32"/>
        </w:rPr>
        <w:t>新疆维吾尔自治区水利水电规划设计技术中心无下属预算单位。</w:t>
      </w:r>
    </w:p>
    <w:p w14:paraId="0DDC5611">
      <w:r>
        <w:br w:type="page"/>
      </w:r>
    </w:p>
    <w:p w14:paraId="7B0229BE">
      <w:pPr>
        <w:spacing w:line="240" w:lineRule="auto"/>
        <w:jc w:val="center"/>
        <w:outlineLvl w:val="1"/>
      </w:pPr>
      <w:r>
        <w:rPr>
          <w:rFonts w:ascii="黑体" w:hAnsi="黑体" w:eastAsia="黑体"/>
          <w:sz w:val="32"/>
        </w:rPr>
        <w:t>第二部分 部门决算情况说明</w:t>
      </w:r>
    </w:p>
    <w:p w14:paraId="07A0530F">
      <w:pPr>
        <w:spacing w:line="640" w:lineRule="exact"/>
        <w:ind w:firstLine="640"/>
        <w:jc w:val="both"/>
        <w:outlineLvl w:val="2"/>
      </w:pPr>
      <w:r>
        <w:rPr>
          <w:rFonts w:ascii="黑体" w:hAnsi="黑体" w:eastAsia="黑体"/>
          <w:sz w:val="32"/>
        </w:rPr>
        <w:t>一、收入支出决算总体情况说明</w:t>
      </w:r>
    </w:p>
    <w:p w14:paraId="24B6941E">
      <w:pPr>
        <w:spacing w:line="580" w:lineRule="exact"/>
        <w:ind w:firstLine="640"/>
        <w:jc w:val="both"/>
      </w:pPr>
      <w:r>
        <w:rPr>
          <w:rFonts w:ascii="仿宋_GB2312" w:hAnsi="仿宋_GB2312" w:eastAsia="仿宋_GB2312"/>
          <w:b/>
          <w:sz w:val="32"/>
        </w:rPr>
        <w:t>2025年度收入总计3,197.43万元，</w:t>
      </w:r>
      <w:r>
        <w:rPr>
          <w:rFonts w:ascii="仿宋_GB2312" w:hAnsi="仿宋_GB2312" w:eastAsia="仿宋_GB2312"/>
          <w:b w:val="0"/>
          <w:sz w:val="32"/>
        </w:rPr>
        <w:t>其中：本年收入合计2,846.15万元，使用非财政拨款结余（含专用结余）0.00万元，年初结转和结余351.28万元。</w:t>
      </w:r>
    </w:p>
    <w:p w14:paraId="15E9AE8B">
      <w:pPr>
        <w:spacing w:line="580" w:lineRule="exact"/>
        <w:ind w:firstLine="640"/>
        <w:jc w:val="both"/>
      </w:pPr>
      <w:r>
        <w:rPr>
          <w:rFonts w:ascii="仿宋_GB2312" w:hAnsi="仿宋_GB2312" w:eastAsia="仿宋_GB2312"/>
          <w:b/>
          <w:sz w:val="32"/>
        </w:rPr>
        <w:t>2025年度支出总计3,197.43万元，</w:t>
      </w:r>
      <w:r>
        <w:rPr>
          <w:rFonts w:ascii="仿宋_GB2312" w:hAnsi="仿宋_GB2312" w:eastAsia="仿宋_GB2312"/>
          <w:b w:val="0"/>
          <w:sz w:val="32"/>
        </w:rPr>
        <w:t>其中：本年支出合计2,862.31万元，结余分配0.00万元，年末结转和结余335.12万元。</w:t>
      </w:r>
    </w:p>
    <w:p w14:paraId="7173B1A1">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增加1,121.64万元，增长54.03%，主要原因是：本年度水利转移支付项目资金较上年增加。</w:t>
      </w:r>
    </w:p>
    <w:p w14:paraId="51E1366B">
      <w:pPr>
        <w:spacing w:line="640" w:lineRule="exact"/>
        <w:ind w:firstLine="640"/>
        <w:jc w:val="both"/>
        <w:outlineLvl w:val="2"/>
      </w:pPr>
      <w:r>
        <w:rPr>
          <w:rFonts w:ascii="黑体" w:hAnsi="黑体" w:eastAsia="黑体"/>
          <w:sz w:val="32"/>
        </w:rPr>
        <w:t>二、收入决算情况说明</w:t>
      </w:r>
    </w:p>
    <w:p w14:paraId="3BCF1D3C">
      <w:pPr>
        <w:spacing w:line="580" w:lineRule="exact"/>
        <w:ind w:firstLine="640"/>
        <w:jc w:val="both"/>
      </w:pPr>
      <w:r>
        <w:rPr>
          <w:rFonts w:ascii="仿宋_GB2312" w:hAnsi="仿宋_GB2312" w:eastAsia="仿宋_GB2312"/>
          <w:b/>
          <w:sz w:val="32"/>
        </w:rPr>
        <w:t>本年收入2,846.15万元，</w:t>
      </w:r>
      <w:r>
        <w:rPr>
          <w:rFonts w:ascii="仿宋_GB2312" w:hAnsi="仿宋_GB2312" w:eastAsia="仿宋_GB2312"/>
          <w:b w:val="0"/>
          <w:sz w:val="32"/>
        </w:rPr>
        <w:t>其中：财政拨款收入2,835.66万元，占99.63%；上级补助收入0.00万元，占0.00%；事业收入0.00万元，占0.00%；经营收入0.00万元，占0.00%；附属单位上缴收入0.00万元，占0.00%；其他收入10.48万元，占0.37%。</w:t>
      </w:r>
    </w:p>
    <w:p w14:paraId="410FD6AD">
      <w:pPr>
        <w:spacing w:line="640" w:lineRule="exact"/>
        <w:ind w:firstLine="640"/>
        <w:jc w:val="both"/>
        <w:outlineLvl w:val="2"/>
      </w:pPr>
      <w:r>
        <w:rPr>
          <w:rFonts w:ascii="黑体" w:hAnsi="黑体" w:eastAsia="黑体"/>
          <w:sz w:val="32"/>
        </w:rPr>
        <w:t>三、支出决算情况说明</w:t>
      </w:r>
    </w:p>
    <w:p w14:paraId="5B0D03D1">
      <w:pPr>
        <w:spacing w:line="580" w:lineRule="exact"/>
        <w:ind w:firstLine="640"/>
        <w:jc w:val="both"/>
      </w:pPr>
      <w:r>
        <w:rPr>
          <w:rFonts w:ascii="仿宋_GB2312" w:hAnsi="仿宋_GB2312" w:eastAsia="仿宋_GB2312"/>
          <w:b/>
          <w:sz w:val="32"/>
        </w:rPr>
        <w:t>本年支出2,862.31万元，</w:t>
      </w:r>
      <w:r>
        <w:rPr>
          <w:rFonts w:ascii="仿宋_GB2312" w:hAnsi="仿宋_GB2312" w:eastAsia="仿宋_GB2312"/>
          <w:b w:val="0"/>
          <w:sz w:val="32"/>
        </w:rPr>
        <w:t>其中：基本支出1,004.95万元，占35.11%；项目支出1,857.36万元，占64.89%；上缴上级支出0.00万元，占0.00%；经营支出0.00万元，占0.00%；对附属单位补助支出0.00万元，占0.00%。</w:t>
      </w:r>
    </w:p>
    <w:p w14:paraId="1FDC463D">
      <w:pPr>
        <w:spacing w:line="640" w:lineRule="exact"/>
        <w:ind w:firstLine="640"/>
        <w:jc w:val="both"/>
        <w:outlineLvl w:val="2"/>
      </w:pPr>
      <w:r>
        <w:rPr>
          <w:rFonts w:ascii="黑体" w:hAnsi="黑体" w:eastAsia="黑体"/>
          <w:sz w:val="32"/>
        </w:rPr>
        <w:t>四、财政拨款收入支出决算总体情况说明</w:t>
      </w:r>
    </w:p>
    <w:p w14:paraId="4CBFFFA1">
      <w:pPr>
        <w:spacing w:line="580" w:lineRule="exact"/>
        <w:ind w:firstLine="640"/>
        <w:jc w:val="both"/>
      </w:pPr>
      <w:r>
        <w:rPr>
          <w:rFonts w:ascii="仿宋_GB2312" w:hAnsi="仿宋_GB2312" w:eastAsia="仿宋_GB2312"/>
          <w:b/>
          <w:sz w:val="32"/>
        </w:rPr>
        <w:t>2025年度财政拨款收入总计2,887.52万元，</w:t>
      </w:r>
      <w:r>
        <w:rPr>
          <w:rFonts w:ascii="仿宋_GB2312" w:hAnsi="仿宋_GB2312" w:eastAsia="仿宋_GB2312"/>
          <w:b w:val="0"/>
          <w:sz w:val="32"/>
        </w:rPr>
        <w:t>其中：年初财政拨款结转和结余51.85万元，本年财政拨款收入2,835.66万元。</w:t>
      </w:r>
      <w:r>
        <w:rPr>
          <w:rFonts w:ascii="仿宋_GB2312" w:hAnsi="仿宋_GB2312" w:eastAsia="仿宋_GB2312"/>
          <w:b/>
          <w:sz w:val="32"/>
        </w:rPr>
        <w:t>财政拨款支出总计2,887.52万元，</w:t>
      </w:r>
      <w:r>
        <w:rPr>
          <w:rFonts w:ascii="仿宋_GB2312" w:hAnsi="仿宋_GB2312" w:eastAsia="仿宋_GB2312"/>
          <w:b w:val="0"/>
          <w:sz w:val="32"/>
        </w:rPr>
        <w:t>其中：年末财政拨款结转和结余87.19万元，本年财政拨款支出2,800.33万元。</w:t>
      </w:r>
    </w:p>
    <w:p w14:paraId="52C00681">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增加1,353.56万元，增长88.24%，主要原因是：本年度水利转移支付项目资金较上年增加。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年初预算数2,706.43万元，决算数2,887.52万元，预决算差异率6.69%，主要原因是：年中追加水利厅因公出国经费、人才发展经费、2025年人社厅高级研修项目培训费用，科考项目</w:t>
      </w:r>
      <w:r>
        <w:rPr>
          <w:rFonts w:hint="eastAsia" w:ascii="仿宋_GB2312" w:hAnsi="仿宋_GB2312" w:eastAsia="仿宋_GB2312"/>
          <w:b w:val="0"/>
          <w:sz w:val="32"/>
          <w:lang w:val="en-US" w:eastAsia="zh-CN"/>
        </w:rPr>
        <w:t>等</w:t>
      </w:r>
      <w:r>
        <w:rPr>
          <w:rFonts w:ascii="仿宋_GB2312" w:hAnsi="仿宋_GB2312" w:eastAsia="仿宋_GB2312"/>
          <w:b w:val="0"/>
          <w:sz w:val="32"/>
        </w:rPr>
        <w:t>，导致预决算差异。</w:t>
      </w:r>
    </w:p>
    <w:p w14:paraId="0B9E4DB4">
      <w:pPr>
        <w:spacing w:line="640" w:lineRule="exact"/>
        <w:ind w:firstLine="640"/>
        <w:jc w:val="both"/>
        <w:outlineLvl w:val="2"/>
      </w:pPr>
      <w:r>
        <w:rPr>
          <w:rFonts w:ascii="黑体" w:hAnsi="黑体" w:eastAsia="黑体"/>
          <w:sz w:val="32"/>
        </w:rPr>
        <w:t>五、一般公共预算财政拨款支出决算情况说明</w:t>
      </w:r>
    </w:p>
    <w:p w14:paraId="319482D0">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按照党中央、国务院关于党政机关习惯过紧日子的有关要求，厉行节约办一切事业，严控一般性支出。同时坚持有保有压，优化支出结构，提高资金使用效率，合理保障机构运行、事业发展</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水利水电规划</w:t>
      </w:r>
      <w:r>
        <w:rPr>
          <w:rFonts w:ascii="仿宋_GB2312" w:hAnsi="仿宋_GB2312" w:eastAsia="仿宋_GB2312"/>
          <w:b w:val="0"/>
          <w:sz w:val="32"/>
        </w:rPr>
        <w:t>等重点支出，体现在有关支出科目中。</w:t>
      </w:r>
    </w:p>
    <w:p w14:paraId="12B0D9E9">
      <w:pPr>
        <w:spacing w:line="580" w:lineRule="exact"/>
        <w:ind w:firstLine="640"/>
        <w:jc w:val="both"/>
      </w:pPr>
      <w:r>
        <w:rPr>
          <w:rFonts w:ascii="仿宋_GB2312" w:hAnsi="仿宋_GB2312" w:eastAsia="仿宋_GB2312"/>
          <w:b w:val="0"/>
          <w:sz w:val="32"/>
        </w:rPr>
        <w:t>按照支出功能分类，农林水支出（类）水利（款）水利行业业务管理（项）的支出占本年财政拨款支出总额的比重最高，2025年度决算数为2,408.72万元，占比86.02%，主要用于水利转移支付资金项目</w:t>
      </w:r>
      <w:r>
        <w:rPr>
          <w:rFonts w:hint="eastAsia" w:ascii="仿宋_GB2312" w:hAnsi="仿宋_GB2312" w:eastAsia="仿宋_GB2312"/>
          <w:b w:val="0"/>
          <w:sz w:val="32"/>
          <w:lang w:val="en-US" w:eastAsia="zh-CN"/>
        </w:rPr>
        <w:t>支出</w:t>
      </w:r>
      <w:r>
        <w:rPr>
          <w:rFonts w:ascii="仿宋_GB2312" w:hAnsi="仿宋_GB2312" w:eastAsia="仿宋_GB2312"/>
          <w:b w:val="0"/>
          <w:sz w:val="32"/>
        </w:rPr>
        <w:t>。</w:t>
      </w:r>
    </w:p>
    <w:p w14:paraId="47F79794">
      <w:pPr>
        <w:spacing w:line="640" w:lineRule="exact"/>
        <w:ind w:firstLine="640"/>
        <w:jc w:val="both"/>
        <w:outlineLvl w:val="3"/>
      </w:pPr>
      <w:r>
        <w:rPr>
          <w:rFonts w:ascii="楷体_GB2312" w:hAnsi="楷体_GB2312" w:eastAsia="楷体_GB2312"/>
          <w:b/>
          <w:sz w:val="32"/>
        </w:rPr>
        <w:t>（一）一般公共预算财政拨款支出决算总体情况</w:t>
      </w:r>
    </w:p>
    <w:p w14:paraId="5A21557E">
      <w:pPr>
        <w:spacing w:line="580" w:lineRule="exact"/>
        <w:ind w:firstLine="640"/>
        <w:jc w:val="both"/>
      </w:pPr>
      <w:r>
        <w:rPr>
          <w:rFonts w:ascii="仿宋_GB2312" w:hAnsi="仿宋_GB2312" w:eastAsia="仿宋_GB2312"/>
          <w:b/>
          <w:sz w:val="32"/>
        </w:rPr>
        <w:t>2025年度一般公共预算财政拨款支出2,800.33万元，</w:t>
      </w:r>
      <w:r>
        <w:rPr>
          <w:rFonts w:ascii="仿宋_GB2312" w:hAnsi="仿宋_GB2312" w:eastAsia="仿宋_GB2312"/>
          <w:b w:val="0"/>
          <w:sz w:val="32"/>
        </w:rPr>
        <w:t>占本年支出合计的97.83%。</w:t>
      </w:r>
      <w:r>
        <w:rPr>
          <w:rFonts w:ascii="仿宋_GB2312" w:hAnsi="仿宋_GB2312" w:eastAsia="仿宋_GB2312"/>
          <w:b/>
          <w:sz w:val="32"/>
        </w:rPr>
        <w:t>与上年相比，</w:t>
      </w:r>
      <w:r>
        <w:rPr>
          <w:rFonts w:ascii="仿宋_GB2312" w:hAnsi="仿宋_GB2312" w:eastAsia="仿宋_GB2312"/>
          <w:b w:val="0"/>
          <w:sz w:val="32"/>
        </w:rPr>
        <w:t>增加1,318.22万元，增长88.94%，主要原因是：本年度水利转移支付项目资金较上年增加。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年初预算数2,706.43万元，决算数2,800.33万元，预决算差异率3.47%，主要原因是：年中追加水利厅因公出国经费、人才发展经费、2025年人社厅高级研修项目培训费用，科考项目</w:t>
      </w:r>
      <w:r>
        <w:rPr>
          <w:rFonts w:hint="eastAsia" w:ascii="仿宋_GB2312" w:hAnsi="仿宋_GB2312" w:eastAsia="仿宋_GB2312"/>
          <w:b w:val="0"/>
          <w:sz w:val="32"/>
          <w:lang w:val="en-US" w:eastAsia="zh-CN"/>
        </w:rPr>
        <w:t>等</w:t>
      </w:r>
      <w:r>
        <w:rPr>
          <w:rFonts w:ascii="仿宋_GB2312" w:hAnsi="仿宋_GB2312" w:eastAsia="仿宋_GB2312"/>
          <w:b w:val="0"/>
          <w:sz w:val="32"/>
        </w:rPr>
        <w:t>，导致预决算差异。</w:t>
      </w:r>
    </w:p>
    <w:p w14:paraId="7EE9942C">
      <w:pPr>
        <w:spacing w:line="640" w:lineRule="exact"/>
        <w:ind w:firstLine="640"/>
        <w:jc w:val="both"/>
        <w:outlineLvl w:val="3"/>
      </w:pPr>
      <w:r>
        <w:rPr>
          <w:rFonts w:ascii="楷体_GB2312" w:hAnsi="楷体_GB2312" w:eastAsia="楷体_GB2312"/>
          <w:b/>
          <w:sz w:val="32"/>
        </w:rPr>
        <w:t>（二）一般公共预算财政拨款支出决算结构情况</w:t>
      </w:r>
    </w:p>
    <w:p w14:paraId="58424A8A">
      <w:pPr>
        <w:spacing w:line="580" w:lineRule="exact"/>
        <w:ind w:firstLine="640"/>
        <w:jc w:val="both"/>
      </w:pPr>
      <w:r>
        <w:rPr>
          <w:rFonts w:ascii="仿宋_GB2312" w:hAnsi="仿宋_GB2312" w:eastAsia="仿宋_GB2312"/>
          <w:b w:val="0"/>
          <w:sz w:val="32"/>
        </w:rPr>
        <w:t>1.社会保障和就业支出（类）245.79万元，占8.78%。</w:t>
      </w:r>
    </w:p>
    <w:p w14:paraId="6CD539CA">
      <w:pPr>
        <w:spacing w:line="580" w:lineRule="exact"/>
        <w:ind w:firstLine="640"/>
        <w:jc w:val="both"/>
      </w:pPr>
      <w:r>
        <w:rPr>
          <w:rFonts w:ascii="仿宋_GB2312" w:hAnsi="仿宋_GB2312" w:eastAsia="仿宋_GB2312"/>
          <w:b w:val="0"/>
          <w:sz w:val="32"/>
        </w:rPr>
        <w:t>2.卫生健康支出（类）79.94万元，占2.85%。</w:t>
      </w:r>
    </w:p>
    <w:p w14:paraId="33E8906B">
      <w:pPr>
        <w:spacing w:line="580" w:lineRule="exact"/>
        <w:ind w:firstLine="640"/>
        <w:jc w:val="both"/>
      </w:pPr>
      <w:r>
        <w:rPr>
          <w:rFonts w:ascii="仿宋_GB2312" w:hAnsi="仿宋_GB2312" w:eastAsia="仿宋_GB2312"/>
          <w:b w:val="0"/>
          <w:sz w:val="32"/>
        </w:rPr>
        <w:t>3.农林水支出（类）2,417.50万元，占86.33%。</w:t>
      </w:r>
    </w:p>
    <w:p w14:paraId="6D0CB9E9">
      <w:pPr>
        <w:spacing w:line="580" w:lineRule="exact"/>
        <w:ind w:firstLine="640"/>
        <w:jc w:val="both"/>
      </w:pPr>
      <w:r>
        <w:rPr>
          <w:rFonts w:ascii="仿宋_GB2312" w:hAnsi="仿宋_GB2312" w:eastAsia="仿宋_GB2312"/>
          <w:b w:val="0"/>
          <w:sz w:val="32"/>
        </w:rPr>
        <w:t>4.住房保障支出（类）57.10万元，占2.04%。</w:t>
      </w:r>
    </w:p>
    <w:p w14:paraId="2D36EE70">
      <w:pPr>
        <w:spacing w:line="640" w:lineRule="exact"/>
        <w:ind w:firstLine="640"/>
        <w:jc w:val="both"/>
        <w:outlineLvl w:val="3"/>
      </w:pPr>
      <w:r>
        <w:rPr>
          <w:rFonts w:ascii="楷体_GB2312" w:hAnsi="楷体_GB2312" w:eastAsia="楷体_GB2312"/>
          <w:b/>
          <w:sz w:val="32"/>
        </w:rPr>
        <w:t>（三）一般公共预算财政拨款支出决算具体情况</w:t>
      </w:r>
    </w:p>
    <w:p w14:paraId="2FC9557C">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1.社会保障和就业支出（类）行政事业单位养老支出（款）事业单位离退休（项）：支出决算数为80.74万元，比上年决算增加10.90万元，增长15.61%，主要原因是：本年度单位在职转退休</w:t>
      </w:r>
      <w:r>
        <w:rPr>
          <w:rFonts w:hint="eastAsia" w:ascii="仿宋_GB2312" w:hAnsi="仿宋_GB2312" w:eastAsia="仿宋_GB2312"/>
          <w:b w:val="0"/>
          <w:sz w:val="32"/>
          <w:lang w:val="en-US" w:eastAsia="zh-CN"/>
        </w:rPr>
        <w:t>3人</w:t>
      </w:r>
      <w:r>
        <w:rPr>
          <w:rFonts w:ascii="仿宋_GB2312" w:hAnsi="仿宋_GB2312" w:eastAsia="仿宋_GB2312"/>
          <w:b w:val="0"/>
          <w:sz w:val="32"/>
        </w:rPr>
        <w:t>，退休人员增加，</w:t>
      </w:r>
      <w:r>
        <w:rPr>
          <w:rFonts w:hint="eastAsia" w:ascii="仿宋_GB2312" w:hAnsi="仿宋_GB2312" w:eastAsia="仿宋_GB2312"/>
          <w:b w:val="0"/>
          <w:sz w:val="32"/>
          <w:lang w:val="en-US" w:eastAsia="zh-CN"/>
        </w:rPr>
        <w:t>退休费支出</w:t>
      </w:r>
      <w:r>
        <w:rPr>
          <w:rFonts w:ascii="仿宋_GB2312" w:hAnsi="仿宋_GB2312" w:eastAsia="仿宋_GB2312"/>
          <w:b w:val="0"/>
          <w:sz w:val="32"/>
        </w:rPr>
        <w:t>增加。</w:t>
      </w:r>
    </w:p>
    <w:p w14:paraId="5825F4A0">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71.90万元，比上年决算减少4.97万元，下降6.47%，主要原因是：本年度单位在职转退休3人，1人调出，1人辞职，在职人员减少，养老保险缴费支出减少。</w:t>
      </w:r>
    </w:p>
    <w:p w14:paraId="10B39C14">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3.社会保障和就业支出（类）行政事业单位养老支出（款）机关事业单位职业年金缴费支出（项）：支出决算数为93.15万元，比上年决算增加60.74万元，增长187.41%，主要原因是：本年度单位在职转退休3人，</w:t>
      </w:r>
      <w:r>
        <w:rPr>
          <w:rFonts w:hint="eastAsia" w:ascii="仿宋_GB2312" w:hAnsi="仿宋_GB2312" w:eastAsia="仿宋_GB2312"/>
          <w:b w:val="0"/>
          <w:sz w:val="32"/>
          <w:lang w:val="en-US" w:eastAsia="zh-CN"/>
        </w:rPr>
        <w:t>坐实相应职业年金，相应支出较上年增加</w:t>
      </w:r>
      <w:r>
        <w:rPr>
          <w:rFonts w:ascii="仿宋_GB2312" w:hAnsi="仿宋_GB2312" w:eastAsia="仿宋_GB2312"/>
          <w:b w:val="0"/>
          <w:sz w:val="32"/>
        </w:rPr>
        <w:t>。</w:t>
      </w:r>
    </w:p>
    <w:p w14:paraId="4F1CC040">
      <w:pPr>
        <w:spacing w:line="580" w:lineRule="exact"/>
        <w:ind w:firstLine="640"/>
        <w:jc w:val="both"/>
      </w:pPr>
      <w:r>
        <w:rPr>
          <w:rFonts w:ascii="仿宋_GB2312" w:hAnsi="仿宋_GB2312" w:eastAsia="仿宋_GB2312"/>
          <w:b w:val="0"/>
          <w:sz w:val="32"/>
        </w:rPr>
        <w:t>4.卫生健康支出（类）行政事业单位医疗（款）事业单位医疗（项）：支出决算数为46.07万元，比上年决算增加7.68万元，增长20.01%，主要原因是：本</w:t>
      </w:r>
      <w:r>
        <w:rPr>
          <w:rFonts w:ascii="仿宋_GB2312" w:hAnsi="仿宋_GB2312" w:eastAsia="仿宋_GB2312"/>
          <w:b w:val="0"/>
          <w:sz w:val="32"/>
        </w:rPr>
        <w:t>年在职人员工资基数调增，养老缴费基数上涨，相应支出增加</w:t>
      </w:r>
      <w:r>
        <w:rPr>
          <w:rFonts w:ascii="仿宋_GB2312" w:hAnsi="仿宋_GB2312" w:eastAsia="仿宋_GB2312"/>
          <w:b w:val="0"/>
          <w:sz w:val="32"/>
        </w:rPr>
        <w:t>。</w:t>
      </w:r>
    </w:p>
    <w:p w14:paraId="5DAEEC2B">
      <w:pPr>
        <w:spacing w:line="580" w:lineRule="exact"/>
        <w:ind w:firstLine="640"/>
        <w:jc w:val="both"/>
      </w:pPr>
      <w:r>
        <w:rPr>
          <w:rFonts w:ascii="仿宋_GB2312" w:hAnsi="仿宋_GB2312" w:eastAsia="仿宋_GB2312"/>
          <w:b w:val="0"/>
          <w:sz w:val="32"/>
        </w:rPr>
        <w:t>5.卫生健康支出（类）行政事业单位医疗（款）公务员医疗补助（项）：支出决算数为33.87万元，比上年决算减少1.73万元，下降4.86%，主要原因是：本年度单位在职转退休3人，1人调出，1人辞职，在职人员减少，</w:t>
      </w:r>
      <w:r>
        <w:rPr>
          <w:rFonts w:hint="eastAsia" w:ascii="仿宋_GB2312" w:hAnsi="仿宋_GB2312" w:eastAsia="仿宋_GB2312"/>
          <w:b w:val="0"/>
          <w:sz w:val="32"/>
          <w:lang w:val="en-US" w:eastAsia="zh-CN"/>
        </w:rPr>
        <w:t>公务员医疗补助支出</w:t>
      </w:r>
      <w:r>
        <w:rPr>
          <w:rFonts w:ascii="仿宋_GB2312" w:hAnsi="仿宋_GB2312" w:eastAsia="仿宋_GB2312"/>
          <w:b w:val="0"/>
          <w:sz w:val="32"/>
        </w:rPr>
        <w:t>减少。</w:t>
      </w:r>
    </w:p>
    <w:p w14:paraId="17C18BB7">
      <w:pPr>
        <w:spacing w:line="580" w:lineRule="exact"/>
        <w:ind w:firstLine="640"/>
        <w:jc w:val="both"/>
      </w:pPr>
      <w:r>
        <w:rPr>
          <w:rFonts w:ascii="仿宋_GB2312" w:hAnsi="仿宋_GB2312" w:eastAsia="仿宋_GB2312"/>
          <w:b w:val="0"/>
          <w:sz w:val="32"/>
        </w:rPr>
        <w:t>6.农林水支出（类）水利（款）水利行业业务管理（项）：支出决算数为2,408.72万元，比上年决算增加1,240.45万元，增长106.18%，主要原因是：本年度水利转移支付资金项目增加。</w:t>
      </w:r>
    </w:p>
    <w:p w14:paraId="0400A438">
      <w:pPr>
        <w:spacing w:line="580" w:lineRule="exact"/>
        <w:ind w:firstLine="640"/>
        <w:jc w:val="both"/>
      </w:pPr>
      <w:r>
        <w:rPr>
          <w:rFonts w:ascii="仿宋_GB2312" w:hAnsi="仿宋_GB2312" w:eastAsia="仿宋_GB2312"/>
          <w:b w:val="0"/>
          <w:sz w:val="32"/>
        </w:rPr>
        <w:t>7.农林水支出（类）水利（款）水资源节约管理与保护（项）：支出决算数为7.00万元，比上年决算增加7.00万元，增长100.00%，主要原因是：本年度增加新疆人才发展基金2025年度第二轮支持资金-智力援疆创新拓展人才计划项目。</w:t>
      </w:r>
    </w:p>
    <w:p w14:paraId="39C2AE82">
      <w:pPr>
        <w:spacing w:line="580" w:lineRule="exact"/>
        <w:ind w:firstLine="640"/>
        <w:jc w:val="both"/>
      </w:pPr>
      <w:r>
        <w:rPr>
          <w:rFonts w:ascii="仿宋_GB2312" w:hAnsi="仿宋_GB2312" w:eastAsia="仿宋_GB2312"/>
          <w:b w:val="0"/>
          <w:sz w:val="32"/>
        </w:rPr>
        <w:t>8.农林水支出（类）水利（款）国际河流治理与管理（项）：支出决算数为1.78万元，比上年决算增加1.78万元，增长100.00%，主要原因是：本年度增加水利厅因公出国费用，用于报销人员出国费用。</w:t>
      </w:r>
    </w:p>
    <w:p w14:paraId="02642B5D">
      <w:pPr>
        <w:spacing w:line="580" w:lineRule="exact"/>
        <w:ind w:firstLine="640"/>
        <w:jc w:val="both"/>
      </w:pPr>
      <w:r>
        <w:rPr>
          <w:rFonts w:ascii="仿宋_GB2312" w:hAnsi="仿宋_GB2312" w:eastAsia="仿宋_GB2312"/>
          <w:b w:val="0"/>
          <w:sz w:val="32"/>
        </w:rPr>
        <w:t>9.住房保障支出（类）住房改革支出（款）住房公积金（项）：支出决算数为57.10万元，比上年决算减少3.62万元，下降5.96%，主要原因是：本年度单位在职转退休3人，1人调出，1人辞职，在职人员减少，住房公积金</w:t>
      </w:r>
      <w:r>
        <w:rPr>
          <w:rFonts w:hint="eastAsia" w:ascii="仿宋_GB2312" w:hAnsi="仿宋_GB2312" w:eastAsia="仿宋_GB2312"/>
          <w:b w:val="0"/>
          <w:sz w:val="32"/>
          <w:lang w:val="en-US" w:eastAsia="zh-CN"/>
        </w:rPr>
        <w:t>支出</w:t>
      </w:r>
      <w:r>
        <w:rPr>
          <w:rFonts w:ascii="仿宋_GB2312" w:hAnsi="仿宋_GB2312" w:eastAsia="仿宋_GB2312"/>
          <w:b w:val="0"/>
          <w:sz w:val="32"/>
        </w:rPr>
        <w:t>减少。</w:t>
      </w:r>
    </w:p>
    <w:p w14:paraId="57A22A05">
      <w:pPr>
        <w:spacing w:line="640" w:lineRule="exact"/>
        <w:ind w:firstLine="640"/>
        <w:jc w:val="both"/>
        <w:outlineLvl w:val="2"/>
      </w:pPr>
      <w:r>
        <w:rPr>
          <w:rFonts w:ascii="黑体" w:hAnsi="黑体" w:eastAsia="黑体"/>
          <w:sz w:val="32"/>
        </w:rPr>
        <w:t>六、一般公共预算财政拨款基本支出决算情况说明</w:t>
      </w:r>
    </w:p>
    <w:p w14:paraId="1DF05F81">
      <w:pPr>
        <w:spacing w:line="580" w:lineRule="exact"/>
        <w:ind w:firstLine="640"/>
        <w:jc w:val="both"/>
      </w:pPr>
      <w:r>
        <w:rPr>
          <w:rFonts w:ascii="仿宋_GB2312" w:hAnsi="仿宋_GB2312" w:eastAsia="仿宋_GB2312"/>
          <w:b w:val="0"/>
          <w:sz w:val="32"/>
        </w:rPr>
        <w:t>2025年度一般公共预算财政拨款基本支出1,004.95万元，其中：</w:t>
      </w:r>
      <w:r>
        <w:rPr>
          <w:rFonts w:ascii="仿宋_GB2312" w:hAnsi="仿宋_GB2312" w:eastAsia="仿宋_GB2312"/>
          <w:b/>
          <w:sz w:val="32"/>
        </w:rPr>
        <w:t>人员经费927.01万元，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奖励金、其他对个人和家庭的补助。</w:t>
      </w:r>
    </w:p>
    <w:p w14:paraId="122EA67D">
      <w:pPr>
        <w:spacing w:line="580" w:lineRule="exact"/>
        <w:ind w:firstLine="640"/>
        <w:jc w:val="both"/>
      </w:pPr>
      <w:r>
        <w:rPr>
          <w:rFonts w:ascii="仿宋_GB2312" w:hAnsi="仿宋_GB2312" w:eastAsia="仿宋_GB2312"/>
          <w:b/>
          <w:sz w:val="32"/>
        </w:rPr>
        <w:t>公用经费77.93万元，</w:t>
      </w:r>
      <w:r>
        <w:rPr>
          <w:rFonts w:ascii="仿宋_GB2312" w:hAnsi="仿宋_GB2312" w:eastAsia="仿宋_GB2312"/>
          <w:b w:val="0"/>
          <w:sz w:val="32"/>
        </w:rPr>
        <w:t>包括：办公费、水费、电费、邮电费、取暖费、物业管理费、差旅费、维修（护）费、培训费、委托业务费、工会经费、福利费、公务用车运行维护费、其他交通费用、税金及附加费用、其他商品和服务支出。</w:t>
      </w:r>
    </w:p>
    <w:p w14:paraId="5598ECF0">
      <w:pPr>
        <w:spacing w:line="640" w:lineRule="exact"/>
        <w:ind w:firstLine="640"/>
        <w:jc w:val="both"/>
        <w:outlineLvl w:val="2"/>
      </w:pPr>
      <w:r>
        <w:rPr>
          <w:rFonts w:ascii="黑体" w:hAnsi="黑体" w:eastAsia="黑体"/>
          <w:sz w:val="32"/>
        </w:rPr>
        <w:t>七、政府性基金预算财政拨款收入支出决算情况说明</w:t>
      </w:r>
    </w:p>
    <w:p w14:paraId="23839180">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9C32676">
      <w:pPr>
        <w:spacing w:line="640" w:lineRule="exact"/>
        <w:ind w:firstLine="640"/>
        <w:jc w:val="both"/>
        <w:outlineLvl w:val="2"/>
      </w:pPr>
      <w:r>
        <w:rPr>
          <w:rFonts w:ascii="黑体" w:hAnsi="黑体" w:eastAsia="黑体"/>
          <w:sz w:val="32"/>
        </w:rPr>
        <w:t>八、国有资本经营预算财政拨款收入支出决算情况说明</w:t>
      </w:r>
    </w:p>
    <w:p w14:paraId="51824480">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4163499">
      <w:pPr>
        <w:spacing w:line="640" w:lineRule="exact"/>
        <w:ind w:firstLine="640"/>
        <w:jc w:val="both"/>
        <w:outlineLvl w:val="2"/>
      </w:pPr>
      <w:r>
        <w:rPr>
          <w:rFonts w:ascii="黑体" w:hAnsi="黑体" w:eastAsia="黑体"/>
          <w:sz w:val="32"/>
        </w:rPr>
        <w:t>九、财政拨款“三公”经费支出决算情况说明</w:t>
      </w:r>
    </w:p>
    <w:p w14:paraId="4F2A2960">
      <w:pPr>
        <w:spacing w:line="580" w:lineRule="exact"/>
        <w:ind w:firstLine="640"/>
        <w:jc w:val="both"/>
      </w:pPr>
      <w:r>
        <w:rPr>
          <w:rFonts w:ascii="仿宋_GB2312" w:hAnsi="仿宋_GB2312" w:eastAsia="仿宋_GB2312"/>
          <w:b/>
          <w:sz w:val="32"/>
        </w:rPr>
        <w:t>2025年度财政拨款“三公”经费支出5.69万元，</w:t>
      </w:r>
      <w:r>
        <w:rPr>
          <w:rFonts w:ascii="仿宋_GB2312" w:hAnsi="仿宋_GB2312" w:eastAsia="仿宋_GB2312"/>
          <w:b w:val="0"/>
          <w:sz w:val="32"/>
        </w:rPr>
        <w:t>比上年增加1.78万元，增长45.41%，主要原因是：</w:t>
      </w:r>
      <w:r>
        <w:rPr>
          <w:rFonts w:hint="eastAsia" w:ascii="仿宋_GB2312" w:hAnsi="仿宋_GB2312" w:eastAsia="仿宋_GB2312"/>
          <w:b w:val="0"/>
          <w:sz w:val="32"/>
          <w:lang w:val="en-US" w:eastAsia="zh-CN"/>
        </w:rPr>
        <w:t>本年因工作安排，</w:t>
      </w:r>
      <w:r>
        <w:rPr>
          <w:rFonts w:ascii="仿宋_GB2312" w:hAnsi="仿宋_GB2312" w:eastAsia="仿宋_GB2312"/>
          <w:b w:val="0"/>
          <w:sz w:val="32"/>
        </w:rPr>
        <w:t>单位职工赴国外出</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因公出国（境）费用支出增加</w:t>
      </w:r>
      <w:r>
        <w:rPr>
          <w:rFonts w:ascii="仿宋_GB2312" w:hAnsi="仿宋_GB2312" w:eastAsia="仿宋_GB2312"/>
          <w:b w:val="0"/>
          <w:sz w:val="32"/>
        </w:rPr>
        <w:t>。其中：因公出国（境）费用支出1.78万元，占31.28%，比上年增加1.78万元，增长100.00%，主要原因是：</w:t>
      </w:r>
      <w:r>
        <w:rPr>
          <w:rFonts w:hint="eastAsia" w:ascii="仿宋_GB2312" w:hAnsi="仿宋_GB2312" w:eastAsia="仿宋_GB2312"/>
          <w:b w:val="0"/>
          <w:sz w:val="32"/>
          <w:lang w:val="en-US" w:eastAsia="zh-CN"/>
        </w:rPr>
        <w:t>本年因工作安排，</w:t>
      </w:r>
      <w:r>
        <w:rPr>
          <w:rFonts w:ascii="仿宋_GB2312" w:hAnsi="仿宋_GB2312" w:eastAsia="仿宋_GB2312"/>
          <w:b w:val="0"/>
          <w:sz w:val="32"/>
        </w:rPr>
        <w:t>单位职工赴国外出</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因公出国（境）费用支出增加</w:t>
      </w:r>
      <w:r>
        <w:rPr>
          <w:rFonts w:ascii="仿宋_GB2312" w:hAnsi="仿宋_GB2312" w:eastAsia="仿宋_GB2312"/>
          <w:b w:val="0"/>
          <w:sz w:val="32"/>
        </w:rPr>
        <w:t>。公务用车购置及运行维护费支出3.92万元，占68.89%，比上年增加0.00万元，增长0.00%，主要原因是：本单位公务用车运行维护费与上年一致无变化。公务接待费支出0.00万元，占0.00%，比上年增加0.00万元，增长0.00%，主要原因是：2024年与2025年均无公务接待费支出。</w:t>
      </w:r>
    </w:p>
    <w:p w14:paraId="1552CEEF">
      <w:pPr>
        <w:spacing w:line="580" w:lineRule="exact"/>
        <w:ind w:firstLine="640"/>
        <w:jc w:val="both"/>
      </w:pPr>
      <w:r>
        <w:rPr>
          <w:rFonts w:ascii="仿宋_GB2312" w:hAnsi="仿宋_GB2312" w:eastAsia="仿宋_GB2312"/>
          <w:b/>
          <w:sz w:val="32"/>
        </w:rPr>
        <w:t>具体情况如下：</w:t>
      </w:r>
    </w:p>
    <w:p w14:paraId="48138CCF">
      <w:pPr>
        <w:spacing w:line="580" w:lineRule="exact"/>
        <w:ind w:firstLine="640"/>
        <w:jc w:val="both"/>
      </w:pPr>
      <w:r>
        <w:rPr>
          <w:rFonts w:ascii="仿宋_GB2312" w:hAnsi="仿宋_GB2312" w:eastAsia="仿宋_GB2312"/>
          <w:b w:val="0"/>
          <w:sz w:val="32"/>
        </w:rPr>
        <w:t>因公出国（境）费用1.78万元，开支内容包括单位职工赴国外出差产生的差旅费用。单位全年安排的因公出国（境）团组2个，因公出国（境）2人次。</w:t>
      </w:r>
    </w:p>
    <w:p w14:paraId="22E3EAF2">
      <w:pPr>
        <w:spacing w:line="580" w:lineRule="exact"/>
        <w:ind w:firstLine="640"/>
        <w:jc w:val="both"/>
      </w:pPr>
      <w:r>
        <w:rPr>
          <w:rFonts w:ascii="仿宋_GB2312" w:hAnsi="仿宋_GB2312" w:eastAsia="仿宋_GB2312"/>
          <w:b w:val="0"/>
          <w:sz w:val="32"/>
        </w:rPr>
        <w:t>公务用车购置及运行维护费3.92万元，其中：公务用车购置费0.00万元，公务用车运行维护费3.92万元。公务用车运行维护费开支内容包括公务用车的加油、保险、维修、停车过路费等。公务用车购置数0辆，公务用车保有量2辆。国有资产占用情况中固定资产车辆2辆，与公务用车保有量差异原因是：本单位公务用车保有量与固定资产车辆一致无差异。</w:t>
      </w:r>
    </w:p>
    <w:p w14:paraId="5A429833">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5A1903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5.69万元，决算数5.69万元，预决算差异率0.00%，主要原因是：严格按照预算执行，预决算无差异。其中：因公出国（境）费用全年预算数1.78万元，决算数1.78万元，预决算差异率0.00%，主要原因是：严格按照预算执行，预决算无差异。公务用车购置费全年预算数0.00万元，决算数0.00万元，预决算差异率0.00%，主要原因是：本单位无公务用车购置费。公务用车运行维护费全年预算数3.92万元，决算数3.92万元，预决算差异率0.00%，主要原因是：严格按照预算执行，预决算无差异。公务接待费全年预算数0.00万元，决算数0.00万元，预决算差异率0.00%，主要原因是：本单位无公务接待费。</w:t>
      </w:r>
    </w:p>
    <w:p w14:paraId="444A1F43">
      <w:pPr>
        <w:spacing w:line="640" w:lineRule="exact"/>
        <w:ind w:firstLine="640"/>
        <w:jc w:val="both"/>
        <w:outlineLvl w:val="2"/>
      </w:pPr>
      <w:r>
        <w:rPr>
          <w:rFonts w:ascii="黑体" w:hAnsi="黑体" w:eastAsia="黑体"/>
          <w:sz w:val="32"/>
        </w:rPr>
        <w:t>十、其他重要事项的情况说明</w:t>
      </w:r>
    </w:p>
    <w:p w14:paraId="6BCDC2C3">
      <w:pPr>
        <w:spacing w:line="640" w:lineRule="exact"/>
        <w:ind w:firstLine="640"/>
        <w:jc w:val="both"/>
        <w:outlineLvl w:val="3"/>
      </w:pPr>
      <w:r>
        <w:rPr>
          <w:rFonts w:ascii="楷体_GB2312" w:hAnsi="楷体_GB2312" w:eastAsia="楷体_GB2312"/>
          <w:b/>
          <w:sz w:val="32"/>
        </w:rPr>
        <w:t>（一）机关运行经费及公用经费支出情况</w:t>
      </w:r>
    </w:p>
    <w:p w14:paraId="6221B188">
      <w:pPr>
        <w:spacing w:line="580" w:lineRule="exact"/>
        <w:ind w:firstLine="640"/>
        <w:jc w:val="both"/>
      </w:pPr>
      <w:r>
        <w:rPr>
          <w:rFonts w:ascii="仿宋_GB2312" w:hAnsi="仿宋_GB2312" w:eastAsia="仿宋_GB2312"/>
          <w:b w:val="0"/>
          <w:sz w:val="32"/>
        </w:rPr>
        <w:t>2025年度新疆维吾尔自治区水利水电规划设计技术中心（事业单位）公用经费支出77.93万元，比上年增加3.47万元，增长4.66%，主要原因是：本年业务量增加，公用经费增加。</w:t>
      </w:r>
    </w:p>
    <w:p w14:paraId="4D65944B">
      <w:pPr>
        <w:spacing w:line="640" w:lineRule="exact"/>
        <w:ind w:firstLine="640"/>
        <w:jc w:val="both"/>
        <w:outlineLvl w:val="3"/>
      </w:pPr>
      <w:r>
        <w:rPr>
          <w:rFonts w:ascii="楷体_GB2312" w:hAnsi="楷体_GB2312" w:eastAsia="楷体_GB2312"/>
          <w:b/>
          <w:sz w:val="32"/>
        </w:rPr>
        <w:t>（二）政府采购情况</w:t>
      </w:r>
    </w:p>
    <w:p w14:paraId="77B6AC21">
      <w:pPr>
        <w:spacing w:line="580" w:lineRule="exact"/>
        <w:ind w:firstLine="640"/>
        <w:jc w:val="both"/>
      </w:pPr>
      <w:r>
        <w:rPr>
          <w:rFonts w:ascii="仿宋_GB2312" w:hAnsi="仿宋_GB2312" w:eastAsia="仿宋_GB2312"/>
          <w:b w:val="0"/>
          <w:sz w:val="32"/>
        </w:rPr>
        <w:t>2025年度政府采购支出总额73.81万元，其中：政府采购货物支出32.01万元、政府采购工程支出0.00万元、政府采购服务支出41.80万元。</w:t>
      </w:r>
    </w:p>
    <w:p w14:paraId="46452021">
      <w:pPr>
        <w:spacing w:line="580" w:lineRule="exact"/>
        <w:ind w:firstLine="640"/>
        <w:jc w:val="both"/>
      </w:pPr>
      <w:r>
        <w:rPr>
          <w:rFonts w:ascii="仿宋_GB2312" w:hAnsi="仿宋_GB2312" w:eastAsia="仿宋_GB2312"/>
          <w:b w:val="0"/>
          <w:sz w:val="32"/>
        </w:rPr>
        <w:t>授予中小企业合同金额50.50万元，占政府采购支出总额的68.42%，其中：授予小微企业合同金额37.61万元，占政府采购支出总额的50.96%。</w:t>
      </w:r>
    </w:p>
    <w:p w14:paraId="75B103F0">
      <w:pPr>
        <w:spacing w:line="640" w:lineRule="exact"/>
        <w:ind w:firstLine="640"/>
        <w:jc w:val="both"/>
        <w:outlineLvl w:val="3"/>
      </w:pPr>
      <w:r>
        <w:rPr>
          <w:rFonts w:ascii="楷体_GB2312" w:hAnsi="楷体_GB2312" w:eastAsia="楷体_GB2312"/>
          <w:b/>
          <w:sz w:val="32"/>
        </w:rPr>
        <w:t>（三）国有资产占用情况说明</w:t>
      </w:r>
    </w:p>
    <w:p w14:paraId="3B7E3D45">
      <w:pPr>
        <w:spacing w:line="580" w:lineRule="exact"/>
        <w:ind w:firstLine="640"/>
        <w:jc w:val="both"/>
      </w:pPr>
      <w:r>
        <w:rPr>
          <w:rFonts w:ascii="仿宋_GB2312" w:hAnsi="仿宋_GB2312" w:eastAsia="仿宋_GB2312"/>
          <w:b w:val="0"/>
          <w:sz w:val="32"/>
        </w:rPr>
        <w:t>截至2025年12月31日，房屋2,260.73平方米，价值1,173.85万元。车辆2辆，价值74.24万元，其中：副部（省）级及以上领导用车0辆、主要负责人用车0辆、机要通信用车0辆、应急保障用车0辆、执法执勤用车0辆、特种专业技术用车0辆、离退休干部服务用车0辆、其他用车2辆，其他用车主要是：一般公务用车。单价100万元（含）以上设备（不含车辆）0台（套）。</w:t>
      </w:r>
    </w:p>
    <w:p w14:paraId="7797A993">
      <w:pPr>
        <w:spacing w:line="640" w:lineRule="exact"/>
        <w:ind w:firstLine="640"/>
        <w:jc w:val="both"/>
        <w:outlineLvl w:val="2"/>
      </w:pPr>
      <w:r>
        <w:rPr>
          <w:rFonts w:ascii="黑体" w:hAnsi="黑体" w:eastAsia="黑体"/>
          <w:sz w:val="32"/>
        </w:rPr>
        <w:t>十一、预算绩效的情况说明</w:t>
      </w:r>
    </w:p>
    <w:p w14:paraId="7779CFFD">
      <w:pPr>
        <w:spacing w:line="580" w:lineRule="exact"/>
        <w:ind w:firstLine="640"/>
        <w:jc w:val="both"/>
      </w:pPr>
      <w:r>
        <w:rPr>
          <w:rFonts w:ascii="仿宋_GB2312" w:hAnsi="仿宋_GB2312" w:eastAsia="仿宋_GB2312"/>
          <w:b w:val="0"/>
          <w:sz w:val="32"/>
        </w:rPr>
        <w:t>根据预算绩效管理要求，本单位预算绩效评价项目1个，全年预算数300.00万元，全年执行数299.60万元。预算绩效管理取得的成效：一是项目预算执行总体有序，资金拨付规范，保障了项目各项工作任务顺利落地，基本完成年度设定绩效目标；二是绩效理念逐步强化，项目实施过程中能够对照绩效目标开展过程管控，项目产出效益得到有效发挥。发现的问题及原因：一是部分绩效指标设置偏笼统，量化程度不足，指标衡量考核可操作性有待提升；二是项目过程绩效监控深度不够，对部分工作的效益跟踪不够及时，绩效分析不够细化。下一步改进措施：一是科学优化绩效指标设置，进一步细化量化绩效指标，提高指标的科学性与可考核性；二是强化项目全过程绩效监控，定期梳</w:t>
      </w:r>
      <w:bookmarkStart w:id="0" w:name="_GoBack"/>
      <w:bookmarkEnd w:id="0"/>
      <w:r>
        <w:rPr>
          <w:rFonts w:ascii="仿宋_GB2312" w:hAnsi="仿宋_GB2312" w:eastAsia="仿宋_GB2312"/>
          <w:b w:val="0"/>
          <w:sz w:val="32"/>
        </w:rPr>
        <w:t>理项目执行与效益情况，及时纠偏，切实提升项目资金使用效益。具体附项目支出绩效自评表、项目支出绩效评价报告。</w:t>
      </w:r>
    </w:p>
    <w:p w14:paraId="16A5FF60">
      <w:r>
        <w:br w:type="page"/>
      </w:r>
    </w:p>
    <w:p w14:paraId="7C41B1FC">
      <w:pPr>
        <w:sectPr>
          <w:footerReference r:id="rId3" w:type="default"/>
          <w:pgSz w:w="11906" w:h="16838"/>
          <w:pgMar w:top="2098" w:right="1531" w:bottom="1985" w:left="1531" w:header="851" w:footer="992" w:gutter="0"/>
          <w:cols w:space="720" w:num="1"/>
          <w:docGrid w:type="lines" w:linePitch="312" w:charSpace="0"/>
        </w:sectPr>
      </w:pPr>
    </w:p>
    <w:tbl>
      <w:tblPr>
        <w:tblStyle w:val="8"/>
        <w:tblW w:w="4871" w:type="pct"/>
        <w:tblInd w:w="0" w:type="dxa"/>
        <w:tblLayout w:type="autofit"/>
        <w:tblCellMar>
          <w:top w:w="36" w:type="dxa"/>
          <w:left w:w="36" w:type="dxa"/>
          <w:bottom w:w="36" w:type="dxa"/>
          <w:right w:w="36" w:type="dxa"/>
        </w:tblCellMar>
      </w:tblPr>
      <w:tblGrid>
        <w:gridCol w:w="533"/>
        <w:gridCol w:w="534"/>
        <w:gridCol w:w="534"/>
        <w:gridCol w:w="912"/>
        <w:gridCol w:w="578"/>
        <w:gridCol w:w="587"/>
        <w:gridCol w:w="578"/>
        <w:gridCol w:w="565"/>
        <w:gridCol w:w="565"/>
        <w:gridCol w:w="534"/>
        <w:gridCol w:w="534"/>
        <w:gridCol w:w="541"/>
        <w:gridCol w:w="538"/>
        <w:gridCol w:w="559"/>
      </w:tblGrid>
      <w:tr w14:paraId="56FE6872">
        <w:tblPrEx>
          <w:tblCellMar>
            <w:top w:w="36" w:type="dxa"/>
            <w:left w:w="36" w:type="dxa"/>
            <w:bottom w:w="36" w:type="dxa"/>
            <w:right w:w="36" w:type="dxa"/>
          </w:tblCellMar>
        </w:tblPrEx>
        <w:tc>
          <w:tcPr>
            <w:tcW w:w="816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5DD4463">
            <w:pPr>
              <w:spacing w:before="0" w:after="0" w:line="240" w:lineRule="auto"/>
              <w:jc w:val="center"/>
            </w:pPr>
            <w:r>
              <w:rPr>
                <w:rFonts w:ascii="宋体" w:hAnsi="宋体" w:eastAsia="宋体"/>
                <w:sz w:val="14"/>
              </w:rPr>
              <w:t>项目支出绩效自评表</w:t>
            </w:r>
          </w:p>
        </w:tc>
      </w:tr>
      <w:tr w14:paraId="50626589">
        <w:tblPrEx>
          <w:tblCellMar>
            <w:top w:w="36" w:type="dxa"/>
            <w:left w:w="36" w:type="dxa"/>
            <w:bottom w:w="36" w:type="dxa"/>
            <w:right w:w="36" w:type="dxa"/>
          </w:tblCellMar>
        </w:tblPrEx>
        <w:tc>
          <w:tcPr>
            <w:tcW w:w="816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B5761D1">
            <w:pPr>
              <w:spacing w:before="0" w:after="0" w:line="240" w:lineRule="auto"/>
              <w:jc w:val="center"/>
            </w:pPr>
            <w:r>
              <w:rPr>
                <w:rFonts w:ascii="宋体" w:hAnsi="宋体" w:eastAsia="宋体"/>
                <w:sz w:val="14"/>
              </w:rPr>
              <w:t>(2025年度)</w:t>
            </w:r>
          </w:p>
        </w:tc>
      </w:tr>
      <w:tr w14:paraId="271820BE">
        <w:tblPrEx>
          <w:tblCellMar>
            <w:top w:w="36" w:type="dxa"/>
            <w:left w:w="36" w:type="dxa"/>
            <w:bottom w:w="36" w:type="dxa"/>
            <w:right w:w="36" w:type="dxa"/>
          </w:tblCellMar>
        </w:tblPrEx>
        <w:tc>
          <w:tcPr>
            <w:tcW w:w="10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75522D">
            <w:pPr>
              <w:spacing w:before="0" w:after="0" w:line="240" w:lineRule="auto"/>
              <w:jc w:val="center"/>
            </w:pPr>
            <w:r>
              <w:rPr>
                <w:rFonts w:ascii="宋体" w:hAnsi="宋体" w:eastAsia="宋体"/>
                <w:sz w:val="14"/>
              </w:rPr>
              <w:t>项目名称</w:t>
            </w:r>
          </w:p>
        </w:tc>
        <w:tc>
          <w:tcPr>
            <w:tcW w:w="7080"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08E9E3E5">
            <w:pPr>
              <w:spacing w:before="0" w:after="0" w:line="240" w:lineRule="auto"/>
              <w:jc w:val="center"/>
            </w:pPr>
            <w:r>
              <w:rPr>
                <w:rFonts w:ascii="宋体" w:hAnsi="宋体" w:eastAsia="宋体"/>
                <w:sz w:val="14"/>
              </w:rPr>
              <w:t>推进新疆水网及地县级水网骨干工程前期论证实施</w:t>
            </w:r>
          </w:p>
        </w:tc>
      </w:tr>
      <w:tr w14:paraId="089BB244">
        <w:tblPrEx>
          <w:tblCellMar>
            <w:top w:w="36" w:type="dxa"/>
            <w:left w:w="36" w:type="dxa"/>
            <w:bottom w:w="36" w:type="dxa"/>
            <w:right w:w="36" w:type="dxa"/>
          </w:tblCellMar>
        </w:tblPrEx>
        <w:tc>
          <w:tcPr>
            <w:tcW w:w="10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A59C3">
            <w:pPr>
              <w:spacing w:before="0" w:after="0" w:line="240" w:lineRule="auto"/>
              <w:jc w:val="center"/>
            </w:pPr>
            <w:r>
              <w:rPr>
                <w:rFonts w:ascii="宋体" w:hAnsi="宋体" w:eastAsia="宋体"/>
                <w:sz w:val="14"/>
              </w:rPr>
              <w:t>主管部门</w:t>
            </w:r>
          </w:p>
        </w:tc>
        <w:tc>
          <w:tcPr>
            <w:tcW w:w="320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FA3131B">
            <w:pPr>
              <w:spacing w:before="0" w:after="0" w:line="240" w:lineRule="auto"/>
              <w:jc w:val="center"/>
            </w:pPr>
            <w:r>
              <w:rPr>
                <w:rFonts w:ascii="宋体" w:hAnsi="宋体" w:eastAsia="宋体"/>
                <w:sz w:val="14"/>
              </w:rPr>
              <w:t>自治区水利厅</w:t>
            </w:r>
          </w:p>
        </w:tc>
        <w:tc>
          <w:tcPr>
            <w:tcW w:w="11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1E22F1">
            <w:pPr>
              <w:spacing w:before="0" w:after="0" w:line="240" w:lineRule="auto"/>
              <w:jc w:val="center"/>
            </w:pPr>
            <w:r>
              <w:rPr>
                <w:rFonts w:ascii="宋体" w:hAnsi="宋体" w:eastAsia="宋体"/>
                <w:sz w:val="14"/>
              </w:rPr>
              <w:t>实施单位</w:t>
            </w:r>
          </w:p>
        </w:tc>
        <w:tc>
          <w:tcPr>
            <w:tcW w:w="274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0146666">
            <w:pPr>
              <w:spacing w:before="0" w:after="0" w:line="240" w:lineRule="auto"/>
              <w:jc w:val="center"/>
            </w:pPr>
            <w:r>
              <w:rPr>
                <w:rFonts w:ascii="宋体" w:hAnsi="宋体" w:eastAsia="宋体"/>
                <w:sz w:val="14"/>
              </w:rPr>
              <w:t>新疆维吾尔自治区水利水电规划设计技术中心</w:t>
            </w:r>
          </w:p>
        </w:tc>
      </w:tr>
      <w:tr w14:paraId="4B1B273B">
        <w:tblPrEx>
          <w:tblCellMar>
            <w:top w:w="36" w:type="dxa"/>
            <w:left w:w="36" w:type="dxa"/>
            <w:bottom w:w="36" w:type="dxa"/>
            <w:right w:w="36" w:type="dxa"/>
          </w:tblCellMar>
        </w:tblPrEx>
        <w:tc>
          <w:tcPr>
            <w:tcW w:w="108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7A14E2">
            <w:pPr>
              <w:spacing w:before="0" w:after="0" w:line="240" w:lineRule="auto"/>
              <w:jc w:val="center"/>
            </w:pPr>
            <w:r>
              <w:rPr>
                <w:rFonts w:ascii="宋体" w:hAnsi="宋体" w:eastAsia="宋体"/>
                <w:sz w:val="14"/>
              </w:rPr>
              <w:t>项目资金
（万元）</w:t>
            </w:r>
          </w:p>
        </w:tc>
        <w:tc>
          <w:tcPr>
            <w:tcW w:w="14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8289F0">
            <w:pPr>
              <w:spacing w:before="0" w:after="0" w:line="240" w:lineRule="auto"/>
              <w:jc w:val="center"/>
            </w:pP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4E728078">
            <w:pPr>
              <w:spacing w:before="0" w:after="0" w:line="240" w:lineRule="auto"/>
              <w:jc w:val="center"/>
            </w:pPr>
            <w:r>
              <w:rPr>
                <w:rFonts w:ascii="宋体" w:hAnsi="宋体" w:eastAsia="宋体"/>
                <w:sz w:val="14"/>
              </w:rPr>
              <w:t>年初预算数</w:t>
            </w:r>
          </w:p>
        </w:tc>
        <w:tc>
          <w:tcPr>
            <w:tcW w:w="116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B2798F">
            <w:pPr>
              <w:spacing w:before="0" w:after="0" w:line="240" w:lineRule="auto"/>
              <w:jc w:val="center"/>
            </w:pPr>
            <w:r>
              <w:rPr>
                <w:rFonts w:ascii="宋体" w:hAnsi="宋体" w:eastAsia="宋体"/>
                <w:sz w:val="14"/>
              </w:rPr>
              <w:t>全年预算数</w:t>
            </w:r>
          </w:p>
        </w:tc>
        <w:tc>
          <w:tcPr>
            <w:tcW w:w="11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0315AC">
            <w:pPr>
              <w:spacing w:before="0" w:after="0" w:line="240" w:lineRule="auto"/>
              <w:jc w:val="center"/>
            </w:pPr>
            <w:r>
              <w:rPr>
                <w:rFonts w:ascii="宋体" w:hAnsi="宋体" w:eastAsia="宋体"/>
                <w:sz w:val="14"/>
              </w:rPr>
              <w:t>全年执行数</w:t>
            </w:r>
          </w:p>
        </w:tc>
        <w:tc>
          <w:tcPr>
            <w:tcW w:w="108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2B03F">
            <w:pPr>
              <w:spacing w:before="0" w:after="0" w:line="240" w:lineRule="auto"/>
              <w:jc w:val="center"/>
            </w:pPr>
            <w:r>
              <w:rPr>
                <w:rFonts w:ascii="宋体" w:hAnsi="宋体" w:eastAsia="宋体"/>
                <w:sz w:val="14"/>
              </w:rPr>
              <w:t>分值</w:t>
            </w:r>
          </w:p>
        </w:tc>
        <w:tc>
          <w:tcPr>
            <w:tcW w:w="10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B6D133">
            <w:pPr>
              <w:spacing w:before="0" w:after="0" w:line="240" w:lineRule="auto"/>
              <w:jc w:val="center"/>
            </w:pPr>
            <w:r>
              <w:rPr>
                <w:rFonts w:ascii="宋体" w:hAnsi="宋体" w:eastAsia="宋体"/>
                <w:sz w:val="14"/>
              </w:rPr>
              <w:t>执行率</w:t>
            </w:r>
          </w:p>
        </w:tc>
        <w:tc>
          <w:tcPr>
            <w:tcW w:w="563" w:type="dxa"/>
            <w:tcBorders>
              <w:top w:val="single" w:color="auto" w:sz="10" w:space="0"/>
              <w:left w:val="single" w:color="auto" w:sz="10" w:space="0"/>
              <w:bottom w:val="single" w:color="auto" w:sz="10" w:space="0"/>
              <w:right w:val="single" w:color="auto" w:sz="10" w:space="0"/>
              <w:insideV w:val="single" w:sz="10" w:space="0"/>
            </w:tcBorders>
            <w:vAlign w:val="center"/>
          </w:tcPr>
          <w:p w14:paraId="5526E06A">
            <w:pPr>
              <w:spacing w:before="0" w:after="0" w:line="240" w:lineRule="auto"/>
              <w:jc w:val="center"/>
            </w:pPr>
            <w:r>
              <w:rPr>
                <w:rFonts w:ascii="宋体" w:hAnsi="宋体" w:eastAsia="宋体"/>
                <w:sz w:val="14"/>
              </w:rPr>
              <w:t>得分</w:t>
            </w:r>
          </w:p>
        </w:tc>
      </w:tr>
      <w:tr w14:paraId="5868E528">
        <w:tblPrEx>
          <w:tblCellMar>
            <w:top w:w="36" w:type="dxa"/>
            <w:left w:w="36" w:type="dxa"/>
            <w:bottom w:w="36" w:type="dxa"/>
            <w:right w:w="36" w:type="dxa"/>
          </w:tblCellMar>
        </w:tblPrEx>
        <w:tc>
          <w:tcPr>
            <w:tcW w:w="108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7B1E668"/>
        </w:tc>
        <w:tc>
          <w:tcPr>
            <w:tcW w:w="14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9D2F4D">
            <w:pPr>
              <w:spacing w:before="0" w:after="0" w:line="240" w:lineRule="auto"/>
              <w:jc w:val="center"/>
            </w:pPr>
            <w:r>
              <w:rPr>
                <w:rFonts w:ascii="宋体" w:hAnsi="宋体" w:eastAsia="宋体"/>
                <w:sz w:val="14"/>
              </w:rPr>
              <w:t>年度资金总额</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0C794B71">
            <w:pPr>
              <w:spacing w:before="0" w:after="0" w:line="240" w:lineRule="auto"/>
              <w:jc w:val="center"/>
            </w:pPr>
            <w:r>
              <w:rPr>
                <w:rFonts w:ascii="宋体" w:hAnsi="宋体" w:eastAsia="宋体"/>
                <w:sz w:val="14"/>
              </w:rPr>
              <w:t>300.00</w:t>
            </w:r>
          </w:p>
        </w:tc>
        <w:tc>
          <w:tcPr>
            <w:tcW w:w="116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27C8F">
            <w:pPr>
              <w:spacing w:before="0" w:after="0" w:line="240" w:lineRule="auto"/>
              <w:jc w:val="center"/>
            </w:pPr>
            <w:r>
              <w:rPr>
                <w:rFonts w:ascii="宋体" w:hAnsi="宋体" w:eastAsia="宋体"/>
                <w:sz w:val="14"/>
              </w:rPr>
              <w:t>300.00</w:t>
            </w:r>
          </w:p>
        </w:tc>
        <w:tc>
          <w:tcPr>
            <w:tcW w:w="11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36CEA2">
            <w:pPr>
              <w:spacing w:before="0" w:after="0" w:line="240" w:lineRule="auto"/>
              <w:jc w:val="center"/>
            </w:pPr>
            <w:r>
              <w:rPr>
                <w:rFonts w:ascii="宋体" w:hAnsi="宋体" w:eastAsia="宋体"/>
                <w:sz w:val="14"/>
              </w:rPr>
              <w:t>299.60</w:t>
            </w:r>
          </w:p>
        </w:tc>
        <w:tc>
          <w:tcPr>
            <w:tcW w:w="108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20D31">
            <w:pPr>
              <w:spacing w:before="0" w:after="0" w:line="240" w:lineRule="auto"/>
              <w:jc w:val="center"/>
            </w:pPr>
            <w:r>
              <w:rPr>
                <w:rFonts w:ascii="宋体" w:hAnsi="宋体" w:eastAsia="宋体"/>
                <w:sz w:val="14"/>
              </w:rPr>
              <w:t>10</w:t>
            </w:r>
          </w:p>
        </w:tc>
        <w:tc>
          <w:tcPr>
            <w:tcW w:w="10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9DED7">
            <w:pPr>
              <w:spacing w:before="0" w:after="0" w:line="240" w:lineRule="auto"/>
              <w:jc w:val="center"/>
            </w:pPr>
            <w:r>
              <w:rPr>
                <w:rFonts w:ascii="宋体" w:hAnsi="宋体" w:eastAsia="宋体"/>
                <w:sz w:val="14"/>
              </w:rPr>
              <w:t>99.87%</w:t>
            </w:r>
          </w:p>
        </w:tc>
        <w:tc>
          <w:tcPr>
            <w:tcW w:w="563" w:type="dxa"/>
            <w:tcBorders>
              <w:top w:val="single" w:color="auto" w:sz="10" w:space="0"/>
              <w:left w:val="single" w:color="auto" w:sz="10" w:space="0"/>
              <w:bottom w:val="single" w:color="auto" w:sz="10" w:space="0"/>
              <w:right w:val="single" w:color="auto" w:sz="10" w:space="0"/>
              <w:insideV w:val="single" w:sz="10" w:space="0"/>
            </w:tcBorders>
            <w:vAlign w:val="center"/>
          </w:tcPr>
          <w:p w14:paraId="2755B573">
            <w:pPr>
              <w:spacing w:before="0" w:after="0" w:line="240" w:lineRule="auto"/>
              <w:jc w:val="center"/>
            </w:pPr>
            <w:r>
              <w:rPr>
                <w:rFonts w:ascii="宋体" w:hAnsi="宋体" w:eastAsia="宋体"/>
                <w:sz w:val="14"/>
              </w:rPr>
              <w:t>9.97</w:t>
            </w:r>
          </w:p>
        </w:tc>
      </w:tr>
      <w:tr w14:paraId="04626A62">
        <w:tblPrEx>
          <w:tblCellMar>
            <w:top w:w="36" w:type="dxa"/>
            <w:left w:w="36" w:type="dxa"/>
            <w:bottom w:w="36" w:type="dxa"/>
            <w:right w:w="36" w:type="dxa"/>
          </w:tblCellMar>
        </w:tblPrEx>
        <w:tc>
          <w:tcPr>
            <w:tcW w:w="108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58C1550"/>
        </w:tc>
        <w:tc>
          <w:tcPr>
            <w:tcW w:w="14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878A4B">
            <w:pPr>
              <w:spacing w:before="0" w:after="0" w:line="240" w:lineRule="auto"/>
              <w:jc w:val="center"/>
            </w:pPr>
            <w:r>
              <w:rPr>
                <w:rFonts w:ascii="宋体" w:hAnsi="宋体" w:eastAsia="宋体"/>
                <w:sz w:val="14"/>
              </w:rPr>
              <w:t>其中：当年财政拨款</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01AC66CE">
            <w:pPr>
              <w:spacing w:before="0" w:after="0" w:line="240" w:lineRule="auto"/>
              <w:jc w:val="center"/>
            </w:pPr>
            <w:r>
              <w:rPr>
                <w:rFonts w:ascii="宋体" w:hAnsi="宋体" w:eastAsia="宋体"/>
                <w:sz w:val="14"/>
              </w:rPr>
              <w:t>300.00</w:t>
            </w:r>
          </w:p>
        </w:tc>
        <w:tc>
          <w:tcPr>
            <w:tcW w:w="116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66D0FF">
            <w:pPr>
              <w:spacing w:before="0" w:after="0" w:line="240" w:lineRule="auto"/>
              <w:jc w:val="center"/>
            </w:pPr>
            <w:r>
              <w:rPr>
                <w:rFonts w:ascii="宋体" w:hAnsi="宋体" w:eastAsia="宋体"/>
                <w:sz w:val="14"/>
              </w:rPr>
              <w:t>300.00</w:t>
            </w:r>
          </w:p>
        </w:tc>
        <w:tc>
          <w:tcPr>
            <w:tcW w:w="11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5D1934">
            <w:pPr>
              <w:spacing w:before="0" w:after="0" w:line="240" w:lineRule="auto"/>
              <w:jc w:val="center"/>
            </w:pPr>
            <w:r>
              <w:rPr>
                <w:rFonts w:ascii="宋体" w:hAnsi="宋体" w:eastAsia="宋体"/>
                <w:sz w:val="14"/>
              </w:rPr>
              <w:t>299.60</w:t>
            </w:r>
          </w:p>
        </w:tc>
        <w:tc>
          <w:tcPr>
            <w:tcW w:w="108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492EB">
            <w:pPr>
              <w:spacing w:before="0" w:after="0" w:line="240" w:lineRule="auto"/>
              <w:jc w:val="center"/>
            </w:pPr>
            <w:r>
              <w:rPr>
                <w:rFonts w:ascii="宋体" w:hAnsi="宋体" w:eastAsia="宋体"/>
                <w:sz w:val="14"/>
              </w:rPr>
              <w:t>-</w:t>
            </w:r>
          </w:p>
        </w:tc>
        <w:tc>
          <w:tcPr>
            <w:tcW w:w="10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5C3AE0">
            <w:pPr>
              <w:spacing w:before="0" w:after="0" w:line="240" w:lineRule="auto"/>
              <w:jc w:val="center"/>
            </w:pPr>
            <w:r>
              <w:rPr>
                <w:rFonts w:ascii="宋体" w:hAnsi="宋体" w:eastAsia="宋体"/>
                <w:sz w:val="14"/>
              </w:rPr>
              <w:t>-</w:t>
            </w:r>
          </w:p>
        </w:tc>
        <w:tc>
          <w:tcPr>
            <w:tcW w:w="563" w:type="dxa"/>
            <w:tcBorders>
              <w:top w:val="single" w:color="auto" w:sz="10" w:space="0"/>
              <w:left w:val="single" w:color="auto" w:sz="10" w:space="0"/>
              <w:bottom w:val="single" w:color="auto" w:sz="10" w:space="0"/>
              <w:right w:val="single" w:color="auto" w:sz="10" w:space="0"/>
              <w:insideV w:val="single" w:sz="10" w:space="0"/>
            </w:tcBorders>
            <w:vAlign w:val="center"/>
          </w:tcPr>
          <w:p w14:paraId="461BB70D">
            <w:pPr>
              <w:spacing w:before="0" w:after="0" w:line="240" w:lineRule="auto"/>
              <w:jc w:val="center"/>
            </w:pPr>
            <w:r>
              <w:rPr>
                <w:rFonts w:ascii="宋体" w:hAnsi="宋体" w:eastAsia="宋体"/>
                <w:sz w:val="14"/>
              </w:rPr>
              <w:t>-</w:t>
            </w:r>
          </w:p>
        </w:tc>
      </w:tr>
      <w:tr w14:paraId="1EA37713">
        <w:tblPrEx>
          <w:tblCellMar>
            <w:top w:w="36" w:type="dxa"/>
            <w:left w:w="36" w:type="dxa"/>
            <w:bottom w:w="36" w:type="dxa"/>
            <w:right w:w="36" w:type="dxa"/>
          </w:tblCellMar>
        </w:tblPrEx>
        <w:tc>
          <w:tcPr>
            <w:tcW w:w="108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BDFB5FF"/>
        </w:tc>
        <w:tc>
          <w:tcPr>
            <w:tcW w:w="14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2EFAF">
            <w:pPr>
              <w:spacing w:before="0" w:after="0" w:line="240" w:lineRule="auto"/>
              <w:jc w:val="center"/>
            </w:pPr>
            <w:r>
              <w:rPr>
                <w:rFonts w:ascii="宋体" w:hAnsi="宋体" w:eastAsia="宋体"/>
                <w:sz w:val="14"/>
              </w:rPr>
              <w:t>其他资金</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64C9B1CE">
            <w:pPr>
              <w:spacing w:before="0" w:after="0" w:line="240" w:lineRule="auto"/>
              <w:jc w:val="center"/>
            </w:pPr>
            <w:r>
              <w:rPr>
                <w:rFonts w:ascii="宋体" w:hAnsi="宋体" w:eastAsia="宋体"/>
                <w:sz w:val="14"/>
              </w:rPr>
              <w:t>0.00</w:t>
            </w:r>
          </w:p>
        </w:tc>
        <w:tc>
          <w:tcPr>
            <w:tcW w:w="116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01DC2F">
            <w:pPr>
              <w:spacing w:before="0" w:after="0" w:line="240" w:lineRule="auto"/>
              <w:jc w:val="center"/>
            </w:pPr>
            <w:r>
              <w:rPr>
                <w:rFonts w:ascii="宋体" w:hAnsi="宋体" w:eastAsia="宋体"/>
                <w:sz w:val="14"/>
              </w:rPr>
              <w:t>0.00</w:t>
            </w:r>
          </w:p>
        </w:tc>
        <w:tc>
          <w:tcPr>
            <w:tcW w:w="11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05183A">
            <w:pPr>
              <w:spacing w:before="0" w:after="0" w:line="240" w:lineRule="auto"/>
              <w:jc w:val="center"/>
            </w:pPr>
            <w:r>
              <w:rPr>
                <w:rFonts w:ascii="宋体" w:hAnsi="宋体" w:eastAsia="宋体"/>
                <w:sz w:val="14"/>
              </w:rPr>
              <w:t>0.00</w:t>
            </w:r>
          </w:p>
        </w:tc>
        <w:tc>
          <w:tcPr>
            <w:tcW w:w="108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126475">
            <w:pPr>
              <w:spacing w:before="0" w:after="0" w:line="240" w:lineRule="auto"/>
              <w:jc w:val="center"/>
            </w:pPr>
            <w:r>
              <w:rPr>
                <w:rFonts w:ascii="宋体" w:hAnsi="宋体" w:eastAsia="宋体"/>
                <w:sz w:val="14"/>
              </w:rPr>
              <w:t>-</w:t>
            </w:r>
          </w:p>
        </w:tc>
        <w:tc>
          <w:tcPr>
            <w:tcW w:w="10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792FB1">
            <w:pPr>
              <w:spacing w:before="0" w:after="0" w:line="240" w:lineRule="auto"/>
              <w:jc w:val="center"/>
            </w:pPr>
            <w:r>
              <w:rPr>
                <w:rFonts w:ascii="宋体" w:hAnsi="宋体" w:eastAsia="宋体"/>
                <w:sz w:val="14"/>
              </w:rPr>
              <w:t>-</w:t>
            </w:r>
          </w:p>
        </w:tc>
        <w:tc>
          <w:tcPr>
            <w:tcW w:w="563" w:type="dxa"/>
            <w:tcBorders>
              <w:top w:val="single" w:color="auto" w:sz="10" w:space="0"/>
              <w:left w:val="single" w:color="auto" w:sz="10" w:space="0"/>
              <w:bottom w:val="single" w:color="auto" w:sz="10" w:space="0"/>
              <w:right w:val="single" w:color="auto" w:sz="10" w:space="0"/>
              <w:insideV w:val="single" w:sz="10" w:space="0"/>
            </w:tcBorders>
            <w:vAlign w:val="center"/>
          </w:tcPr>
          <w:p w14:paraId="33E575E2">
            <w:pPr>
              <w:spacing w:before="0" w:after="0" w:line="240" w:lineRule="auto"/>
              <w:jc w:val="center"/>
            </w:pPr>
            <w:r>
              <w:rPr>
                <w:rFonts w:ascii="宋体" w:hAnsi="宋体" w:eastAsia="宋体"/>
                <w:sz w:val="14"/>
              </w:rPr>
              <w:t>-</w:t>
            </w:r>
          </w:p>
        </w:tc>
      </w:tr>
      <w:tr w14:paraId="30454EAA">
        <w:tblPrEx>
          <w:tblCellMar>
            <w:top w:w="36" w:type="dxa"/>
            <w:left w:w="36" w:type="dxa"/>
            <w:bottom w:w="36" w:type="dxa"/>
            <w:right w:w="36" w:type="dxa"/>
          </w:tblCellMar>
        </w:tblPrEx>
        <w:tc>
          <w:tcPr>
            <w:tcW w:w="54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61ACEA">
            <w:pPr>
              <w:spacing w:before="0" w:after="0" w:line="240" w:lineRule="auto"/>
              <w:jc w:val="center"/>
            </w:pPr>
            <w:r>
              <w:rPr>
                <w:rFonts w:ascii="宋体" w:hAnsi="宋体" w:eastAsia="宋体"/>
                <w:sz w:val="14"/>
              </w:rPr>
              <w:t>年度总体目标</w:t>
            </w:r>
          </w:p>
        </w:tc>
        <w:tc>
          <w:tcPr>
            <w:tcW w:w="3744"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682BC75">
            <w:pPr>
              <w:spacing w:before="0" w:after="0" w:line="240" w:lineRule="auto"/>
              <w:jc w:val="center"/>
            </w:pPr>
            <w:r>
              <w:rPr>
                <w:rFonts w:ascii="宋体" w:hAnsi="宋体" w:eastAsia="宋体"/>
                <w:sz w:val="14"/>
              </w:rPr>
              <w:t>预期目标</w:t>
            </w:r>
          </w:p>
        </w:tc>
        <w:tc>
          <w:tcPr>
            <w:tcW w:w="387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17D4EA">
            <w:pPr>
              <w:spacing w:before="0" w:after="0" w:line="240" w:lineRule="auto"/>
              <w:jc w:val="center"/>
            </w:pPr>
            <w:r>
              <w:rPr>
                <w:rFonts w:ascii="宋体" w:hAnsi="宋体" w:eastAsia="宋体"/>
                <w:sz w:val="14"/>
              </w:rPr>
              <w:t>实际完成情况</w:t>
            </w:r>
          </w:p>
        </w:tc>
      </w:tr>
      <w:tr w14:paraId="6C7AA6C1">
        <w:tblPrEx>
          <w:tblCellMar>
            <w:top w:w="36" w:type="dxa"/>
            <w:left w:w="36" w:type="dxa"/>
            <w:bottom w:w="36" w:type="dxa"/>
            <w:right w:w="36" w:type="dxa"/>
          </w:tblCellMar>
        </w:tblPrEx>
        <w:tc>
          <w:tcPr>
            <w:tcW w:w="541" w:type="dxa"/>
            <w:vMerge w:val="continue"/>
            <w:tcBorders>
              <w:top w:val="single" w:color="auto" w:sz="10" w:space="0"/>
              <w:left w:val="single" w:color="auto" w:sz="10" w:space="0"/>
              <w:bottom w:val="single" w:color="auto" w:sz="10" w:space="0"/>
              <w:right w:val="single" w:color="auto" w:sz="10" w:space="0"/>
              <w:insideV w:val="single" w:sz="10" w:space="0"/>
            </w:tcBorders>
          </w:tcPr>
          <w:p w14:paraId="171808F6"/>
        </w:tc>
        <w:tc>
          <w:tcPr>
            <w:tcW w:w="3744"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0E972D0">
            <w:pPr>
              <w:spacing w:before="0" w:after="0" w:line="240" w:lineRule="auto"/>
              <w:jc w:val="both"/>
            </w:pPr>
            <w:r>
              <w:rPr>
                <w:rFonts w:ascii="宋体" w:hAnsi="宋体" w:eastAsia="宋体"/>
                <w:sz w:val="14"/>
              </w:rPr>
              <w:t>执行完成年度预算300万元。通过前期论证和加强关键技术研究等，推进新疆水网及地县级水网规划的“纲”“目”“结”骨干项目加快实施。通过实施“纲”和“目”类项目提高全区水资源配置能力、有效解决水资源时空分布不均的问题；通过实施“结”类项目增加全区水库调蓄库容，提升水资源调配能力和手段。确保自治区党委、人民政府和水利厅党组关于加快实施水网建设规划的部署要求落实落地，进一步提升水资源对经济社会高质量发展的支撑和保障作用。</w:t>
            </w:r>
          </w:p>
        </w:tc>
        <w:tc>
          <w:tcPr>
            <w:tcW w:w="387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CF7036">
            <w:pPr>
              <w:spacing w:before="0" w:after="0" w:line="240" w:lineRule="auto"/>
              <w:jc w:val="both"/>
            </w:pPr>
            <w:r>
              <w:rPr>
                <w:rFonts w:ascii="宋体" w:hAnsi="宋体" w:eastAsia="宋体"/>
                <w:sz w:val="14"/>
              </w:rPr>
              <w:t>两项关键技术研究已完成，验收完成提交了相应成果；对水网重大水利工程及时组织安排审查，对修改到位的报告及时出具了审查意见，并开展了现场踏勘（调研）；可研和初步设计阶段投资概算变幅保持低于10%，增加了全区水库库容，提高了天然径流量调蓄能力。也提高了资金支付力度，关键技术研究、踏勘、场地租赁费、专家咨询费、其他</w:t>
            </w:r>
            <w:r>
              <w:rPr>
                <w:rFonts w:hint="eastAsia" w:ascii="宋体" w:hAnsi="宋体"/>
                <w:sz w:val="14"/>
                <w:lang w:eastAsia="zh-CN"/>
              </w:rPr>
              <w:t>费用</w:t>
            </w:r>
            <w:r>
              <w:rPr>
                <w:rFonts w:ascii="宋体" w:hAnsi="宋体" w:eastAsia="宋体"/>
                <w:sz w:val="14"/>
              </w:rPr>
              <w:t>等，基本上支付完成。</w:t>
            </w:r>
          </w:p>
        </w:tc>
      </w:tr>
      <w:tr w14:paraId="26DB2BAC">
        <w:tblPrEx>
          <w:tblCellMar>
            <w:top w:w="36" w:type="dxa"/>
            <w:left w:w="36" w:type="dxa"/>
            <w:bottom w:w="36" w:type="dxa"/>
            <w:right w:w="36" w:type="dxa"/>
          </w:tblCellMar>
        </w:tblPrEx>
        <w:tc>
          <w:tcPr>
            <w:tcW w:w="54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683275">
            <w:pPr>
              <w:spacing w:before="0" w:after="0" w:line="240" w:lineRule="auto"/>
              <w:jc w:val="center"/>
            </w:pPr>
          </w:p>
        </w:tc>
        <w:tc>
          <w:tcPr>
            <w:tcW w:w="54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2A3990">
            <w:pPr>
              <w:spacing w:before="0" w:after="0" w:line="240" w:lineRule="auto"/>
              <w:jc w:val="center"/>
            </w:pPr>
            <w:r>
              <w:rPr>
                <w:rFonts w:ascii="宋体" w:hAnsi="宋体" w:eastAsia="宋体"/>
                <w:sz w:val="14"/>
              </w:rPr>
              <w:t>一级指标</w:t>
            </w:r>
          </w:p>
        </w:tc>
        <w:tc>
          <w:tcPr>
            <w:tcW w:w="54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2C694B">
            <w:pPr>
              <w:spacing w:before="0" w:after="0" w:line="240" w:lineRule="auto"/>
              <w:jc w:val="center"/>
            </w:pPr>
            <w:r>
              <w:rPr>
                <w:rFonts w:ascii="宋体" w:hAnsi="宋体" w:eastAsia="宋体"/>
                <w:sz w:val="14"/>
              </w:rPr>
              <w:t>二级指标</w:t>
            </w:r>
          </w:p>
        </w:tc>
        <w:tc>
          <w:tcPr>
            <w:tcW w:w="91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E8C04E">
            <w:pPr>
              <w:spacing w:before="0" w:after="0" w:line="240" w:lineRule="auto"/>
              <w:jc w:val="center"/>
            </w:pPr>
            <w:r>
              <w:rPr>
                <w:rFonts w:ascii="宋体" w:hAnsi="宋体" w:eastAsia="宋体"/>
                <w:sz w:val="14"/>
              </w:rPr>
              <w:t>三级指标</w:t>
            </w:r>
          </w:p>
        </w:tc>
        <w:tc>
          <w:tcPr>
            <w:tcW w:w="58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B90055">
            <w:pPr>
              <w:spacing w:before="0" w:after="0" w:line="240" w:lineRule="auto"/>
              <w:jc w:val="center"/>
            </w:pPr>
            <w:r>
              <w:rPr>
                <w:rFonts w:ascii="宋体" w:hAnsi="宋体" w:eastAsia="宋体"/>
                <w:sz w:val="14"/>
              </w:rPr>
              <w:t>权重</w:t>
            </w:r>
          </w:p>
        </w:tc>
        <w:tc>
          <w:tcPr>
            <w:tcW w:w="58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40315D">
            <w:pPr>
              <w:spacing w:before="0" w:after="0" w:line="240" w:lineRule="auto"/>
              <w:jc w:val="center"/>
            </w:pPr>
            <w:r>
              <w:rPr>
                <w:rFonts w:ascii="宋体" w:hAnsi="宋体" w:eastAsia="宋体"/>
                <w:sz w:val="14"/>
              </w:rPr>
              <w:t>目标值</w:t>
            </w:r>
          </w:p>
        </w:tc>
        <w:tc>
          <w:tcPr>
            <w:tcW w:w="58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3FF7BA">
            <w:pPr>
              <w:spacing w:before="0" w:after="0" w:line="240" w:lineRule="auto"/>
              <w:jc w:val="center"/>
            </w:pPr>
            <w:r>
              <w:rPr>
                <w:rFonts w:ascii="宋体" w:hAnsi="宋体" w:eastAsia="宋体"/>
                <w:sz w:val="14"/>
              </w:rPr>
              <w:t>业绩值</w:t>
            </w:r>
          </w:p>
        </w:tc>
        <w:tc>
          <w:tcPr>
            <w:tcW w:w="56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6AA9BD">
            <w:pPr>
              <w:spacing w:before="0" w:after="0" w:line="240" w:lineRule="auto"/>
              <w:jc w:val="center"/>
            </w:pPr>
            <w:r>
              <w:rPr>
                <w:rFonts w:ascii="宋体" w:hAnsi="宋体" w:eastAsia="宋体"/>
                <w:sz w:val="14"/>
              </w:rPr>
              <w:t>完成率</w:t>
            </w:r>
          </w:p>
        </w:tc>
        <w:tc>
          <w:tcPr>
            <w:tcW w:w="56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9F259B">
            <w:pPr>
              <w:spacing w:before="0" w:after="0" w:line="240" w:lineRule="auto"/>
              <w:jc w:val="center"/>
            </w:pPr>
            <w:r>
              <w:rPr>
                <w:rFonts w:ascii="宋体" w:hAnsi="宋体" w:eastAsia="宋体"/>
                <w:sz w:val="14"/>
              </w:rPr>
              <w:t>指标得分</w:t>
            </w:r>
          </w:p>
        </w:tc>
        <w:tc>
          <w:tcPr>
            <w:tcW w:w="54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2910AC">
            <w:pPr>
              <w:spacing w:before="0" w:after="0" w:line="240" w:lineRule="auto"/>
              <w:jc w:val="center"/>
            </w:pPr>
            <w:r>
              <w:rPr>
                <w:rFonts w:ascii="宋体" w:hAnsi="宋体" w:eastAsia="宋体"/>
                <w:sz w:val="14"/>
              </w:rPr>
              <w:t>指标值设定依据</w:t>
            </w:r>
          </w:p>
        </w:tc>
        <w:tc>
          <w:tcPr>
            <w:tcW w:w="54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AD6665">
            <w:pPr>
              <w:spacing w:before="0" w:after="0" w:line="240" w:lineRule="auto"/>
              <w:jc w:val="center"/>
            </w:pPr>
            <w:r>
              <w:rPr>
                <w:rFonts w:ascii="宋体" w:hAnsi="宋体" w:eastAsia="宋体"/>
                <w:sz w:val="14"/>
              </w:rPr>
              <w:t>上年完成情况</w:t>
            </w:r>
          </w:p>
        </w:tc>
        <w:tc>
          <w:tcPr>
            <w:tcW w:w="54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5EF5C7">
            <w:pPr>
              <w:spacing w:before="0" w:after="0" w:line="240" w:lineRule="auto"/>
              <w:jc w:val="center"/>
            </w:pPr>
            <w:r>
              <w:rPr>
                <w:rFonts w:ascii="宋体" w:hAnsi="宋体" w:eastAsia="宋体"/>
                <w:sz w:val="14"/>
              </w:rPr>
              <w:t>赋分规则</w:t>
            </w:r>
          </w:p>
        </w:tc>
        <w:tc>
          <w:tcPr>
            <w:tcW w:w="54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5C35E8">
            <w:pPr>
              <w:spacing w:before="0" w:after="0" w:line="240" w:lineRule="auto"/>
              <w:jc w:val="center"/>
            </w:pPr>
            <w:r>
              <w:rPr>
                <w:rFonts w:ascii="宋体" w:hAnsi="宋体" w:eastAsia="宋体"/>
                <w:sz w:val="14"/>
              </w:rPr>
              <w:t>佐证资料</w:t>
            </w:r>
          </w:p>
        </w:tc>
        <w:tc>
          <w:tcPr>
            <w:tcW w:w="56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4C6355">
            <w:pPr>
              <w:spacing w:before="0" w:after="0" w:line="240" w:lineRule="auto"/>
              <w:jc w:val="center"/>
            </w:pPr>
            <w:r>
              <w:rPr>
                <w:rFonts w:ascii="宋体" w:hAnsi="宋体" w:eastAsia="宋体"/>
                <w:sz w:val="14"/>
              </w:rPr>
              <w:t>偏差原因分析及改进措施</w:t>
            </w:r>
          </w:p>
        </w:tc>
      </w:tr>
      <w:tr w14:paraId="1028E66D">
        <w:tblPrEx>
          <w:tblCellMar>
            <w:top w:w="36" w:type="dxa"/>
            <w:left w:w="36" w:type="dxa"/>
            <w:bottom w:w="36" w:type="dxa"/>
            <w:right w:w="36" w:type="dxa"/>
          </w:tblCellMar>
        </w:tblPrEx>
        <w:tc>
          <w:tcPr>
            <w:tcW w:w="541" w:type="dxa"/>
            <w:vMerge w:val="continue"/>
            <w:tcBorders>
              <w:top w:val="single" w:color="auto" w:sz="10" w:space="0"/>
              <w:left w:val="single" w:color="auto" w:sz="10" w:space="0"/>
              <w:bottom w:val="single" w:color="auto" w:sz="10" w:space="0"/>
              <w:right w:val="single" w:color="auto" w:sz="10" w:space="0"/>
              <w:insideV w:val="single" w:sz="10" w:space="0"/>
            </w:tcBorders>
          </w:tcPr>
          <w:p w14:paraId="344E56D4"/>
        </w:tc>
        <w:tc>
          <w:tcPr>
            <w:tcW w:w="542" w:type="dxa"/>
            <w:vMerge w:val="continue"/>
            <w:tcBorders>
              <w:top w:val="single" w:color="auto" w:sz="10" w:space="0"/>
              <w:left w:val="single" w:color="auto" w:sz="10" w:space="0"/>
              <w:bottom w:val="single" w:color="auto" w:sz="10" w:space="0"/>
              <w:right w:val="single" w:color="auto" w:sz="10" w:space="0"/>
              <w:insideV w:val="single" w:sz="10" w:space="0"/>
            </w:tcBorders>
          </w:tcPr>
          <w:p w14:paraId="3196D197"/>
        </w:tc>
        <w:tc>
          <w:tcPr>
            <w:tcW w:w="542" w:type="dxa"/>
            <w:vMerge w:val="continue"/>
            <w:tcBorders>
              <w:top w:val="single" w:color="auto" w:sz="10" w:space="0"/>
              <w:left w:val="single" w:color="auto" w:sz="10" w:space="0"/>
              <w:bottom w:val="single" w:color="auto" w:sz="10" w:space="0"/>
              <w:right w:val="single" w:color="auto" w:sz="10" w:space="0"/>
              <w:insideV w:val="single" w:sz="10" w:space="0"/>
            </w:tcBorders>
          </w:tcPr>
          <w:p w14:paraId="02D01273"/>
        </w:tc>
        <w:tc>
          <w:tcPr>
            <w:tcW w:w="912" w:type="dxa"/>
            <w:vMerge w:val="continue"/>
            <w:tcBorders>
              <w:top w:val="single" w:color="auto" w:sz="10" w:space="0"/>
              <w:left w:val="single" w:color="auto" w:sz="10" w:space="0"/>
              <w:bottom w:val="single" w:color="auto" w:sz="10" w:space="0"/>
              <w:right w:val="single" w:color="auto" w:sz="10" w:space="0"/>
              <w:insideV w:val="single" w:sz="10" w:space="0"/>
            </w:tcBorders>
          </w:tcPr>
          <w:p w14:paraId="3E670AD6"/>
        </w:tc>
        <w:tc>
          <w:tcPr>
            <w:tcW w:w="580" w:type="dxa"/>
            <w:vMerge w:val="continue"/>
            <w:tcBorders>
              <w:top w:val="single" w:color="auto" w:sz="10" w:space="0"/>
              <w:left w:val="single" w:color="auto" w:sz="10" w:space="0"/>
              <w:bottom w:val="single" w:color="auto" w:sz="10" w:space="0"/>
              <w:right w:val="single" w:color="auto" w:sz="10" w:space="0"/>
              <w:insideV w:val="single" w:sz="10" w:space="0"/>
            </w:tcBorders>
          </w:tcPr>
          <w:p w14:paraId="09F2A0BE"/>
        </w:tc>
        <w:tc>
          <w:tcPr>
            <w:tcW w:w="588" w:type="dxa"/>
            <w:vMerge w:val="continue"/>
            <w:tcBorders>
              <w:top w:val="single" w:color="auto" w:sz="10" w:space="0"/>
              <w:left w:val="single" w:color="auto" w:sz="10" w:space="0"/>
              <w:bottom w:val="single" w:color="auto" w:sz="10" w:space="0"/>
              <w:right w:val="single" w:color="auto" w:sz="10" w:space="0"/>
              <w:insideV w:val="single" w:sz="10" w:space="0"/>
            </w:tcBorders>
          </w:tcPr>
          <w:p w14:paraId="2DF049B5"/>
        </w:tc>
        <w:tc>
          <w:tcPr>
            <w:tcW w:w="580" w:type="dxa"/>
            <w:vMerge w:val="continue"/>
            <w:tcBorders>
              <w:top w:val="single" w:color="auto" w:sz="10" w:space="0"/>
              <w:left w:val="single" w:color="auto" w:sz="10" w:space="0"/>
              <w:bottom w:val="single" w:color="auto" w:sz="10" w:space="0"/>
              <w:right w:val="single" w:color="auto" w:sz="10" w:space="0"/>
              <w:insideV w:val="single" w:sz="10" w:space="0"/>
            </w:tcBorders>
          </w:tcPr>
          <w:p w14:paraId="0AAF17D8"/>
        </w:tc>
        <w:tc>
          <w:tcPr>
            <w:tcW w:w="569" w:type="dxa"/>
            <w:vMerge w:val="continue"/>
            <w:tcBorders>
              <w:top w:val="single" w:color="auto" w:sz="10" w:space="0"/>
              <w:left w:val="single" w:color="auto" w:sz="10" w:space="0"/>
              <w:bottom w:val="single" w:color="auto" w:sz="10" w:space="0"/>
              <w:right w:val="single" w:color="auto" w:sz="10" w:space="0"/>
              <w:insideV w:val="single" w:sz="10" w:space="0"/>
            </w:tcBorders>
          </w:tcPr>
          <w:p w14:paraId="6C3DD6A1"/>
        </w:tc>
        <w:tc>
          <w:tcPr>
            <w:tcW w:w="569" w:type="dxa"/>
            <w:vMerge w:val="continue"/>
            <w:tcBorders>
              <w:top w:val="single" w:color="auto" w:sz="10" w:space="0"/>
              <w:left w:val="single" w:color="auto" w:sz="10" w:space="0"/>
              <w:bottom w:val="single" w:color="auto" w:sz="10" w:space="0"/>
              <w:right w:val="single" w:color="auto" w:sz="10" w:space="0"/>
              <w:insideV w:val="single" w:sz="10" w:space="0"/>
            </w:tcBorders>
          </w:tcPr>
          <w:p w14:paraId="14746B61"/>
        </w:tc>
        <w:tc>
          <w:tcPr>
            <w:tcW w:w="542" w:type="dxa"/>
            <w:vMerge w:val="continue"/>
            <w:tcBorders>
              <w:top w:val="single" w:color="auto" w:sz="10" w:space="0"/>
              <w:left w:val="single" w:color="auto" w:sz="10" w:space="0"/>
              <w:bottom w:val="single" w:color="auto" w:sz="10" w:space="0"/>
              <w:right w:val="single" w:color="auto" w:sz="10" w:space="0"/>
              <w:insideV w:val="single" w:sz="10" w:space="0"/>
            </w:tcBorders>
          </w:tcPr>
          <w:p w14:paraId="2A230650"/>
        </w:tc>
        <w:tc>
          <w:tcPr>
            <w:tcW w:w="542" w:type="dxa"/>
            <w:vMerge w:val="continue"/>
            <w:tcBorders>
              <w:top w:val="single" w:color="auto" w:sz="10" w:space="0"/>
              <w:left w:val="single" w:color="auto" w:sz="10" w:space="0"/>
              <w:bottom w:val="single" w:color="auto" w:sz="10" w:space="0"/>
              <w:right w:val="single" w:color="auto" w:sz="10" w:space="0"/>
              <w:insideV w:val="single" w:sz="10" w:space="0"/>
            </w:tcBorders>
          </w:tcPr>
          <w:p w14:paraId="5D7F970A"/>
        </w:tc>
        <w:tc>
          <w:tcPr>
            <w:tcW w:w="548" w:type="dxa"/>
            <w:vMerge w:val="continue"/>
            <w:tcBorders>
              <w:top w:val="single" w:color="auto" w:sz="10" w:space="0"/>
              <w:left w:val="single" w:color="auto" w:sz="10" w:space="0"/>
              <w:bottom w:val="single" w:color="auto" w:sz="10" w:space="0"/>
              <w:right w:val="single" w:color="auto" w:sz="10" w:space="0"/>
              <w:insideV w:val="single" w:sz="10" w:space="0"/>
            </w:tcBorders>
          </w:tcPr>
          <w:p w14:paraId="52AEA5F9"/>
        </w:tc>
        <w:tc>
          <w:tcPr>
            <w:tcW w:w="545" w:type="dxa"/>
            <w:vMerge w:val="continue"/>
            <w:tcBorders>
              <w:top w:val="single" w:color="auto" w:sz="10" w:space="0"/>
              <w:left w:val="single" w:color="auto" w:sz="10" w:space="0"/>
              <w:bottom w:val="single" w:color="auto" w:sz="10" w:space="0"/>
              <w:right w:val="single" w:color="auto" w:sz="10" w:space="0"/>
              <w:insideV w:val="single" w:sz="10" w:space="0"/>
            </w:tcBorders>
          </w:tcPr>
          <w:p w14:paraId="0453E118"/>
        </w:tc>
        <w:tc>
          <w:tcPr>
            <w:tcW w:w="563" w:type="dxa"/>
            <w:vMerge w:val="continue"/>
            <w:tcBorders>
              <w:top w:val="single" w:color="auto" w:sz="10" w:space="0"/>
              <w:left w:val="single" w:color="auto" w:sz="10" w:space="0"/>
              <w:bottom w:val="single" w:color="auto" w:sz="10" w:space="0"/>
              <w:right w:val="single" w:color="auto" w:sz="10" w:space="0"/>
              <w:insideV w:val="single" w:sz="10" w:space="0"/>
            </w:tcBorders>
          </w:tcPr>
          <w:p w14:paraId="3FC88F6E"/>
        </w:tc>
      </w:tr>
      <w:tr w14:paraId="65C985C7">
        <w:tblPrEx>
          <w:tblCellMar>
            <w:top w:w="36" w:type="dxa"/>
            <w:left w:w="36" w:type="dxa"/>
            <w:bottom w:w="36" w:type="dxa"/>
            <w:right w:w="36" w:type="dxa"/>
          </w:tblCellMar>
        </w:tblPrEx>
        <w:tc>
          <w:tcPr>
            <w:tcW w:w="54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57E0E8">
            <w:pPr>
              <w:spacing w:before="0" w:after="0" w:line="240" w:lineRule="auto"/>
              <w:jc w:val="center"/>
            </w:pPr>
            <w:r>
              <w:rPr>
                <w:rFonts w:ascii="宋体" w:hAnsi="宋体" w:eastAsia="宋体"/>
                <w:sz w:val="14"/>
              </w:rPr>
              <w:t>年度绩效指标完成情况</w:t>
            </w:r>
          </w:p>
        </w:tc>
        <w:tc>
          <w:tcPr>
            <w:tcW w:w="54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49AB4B">
            <w:pPr>
              <w:spacing w:before="0" w:after="0" w:line="240" w:lineRule="auto"/>
              <w:jc w:val="center"/>
            </w:pPr>
            <w:r>
              <w:rPr>
                <w:rFonts w:ascii="宋体" w:hAnsi="宋体" w:eastAsia="宋体"/>
                <w:sz w:val="14"/>
              </w:rPr>
              <w:t>产出指标</w:t>
            </w:r>
          </w:p>
        </w:tc>
        <w:tc>
          <w:tcPr>
            <w:tcW w:w="542" w:type="dxa"/>
            <w:tcBorders>
              <w:top w:val="single" w:color="auto" w:sz="10" w:space="0"/>
              <w:left w:val="single" w:color="auto" w:sz="10" w:space="0"/>
              <w:bottom w:val="single" w:color="auto" w:sz="10" w:space="0"/>
              <w:right w:val="single" w:color="auto" w:sz="10" w:space="0"/>
              <w:insideV w:val="single" w:sz="10" w:space="0"/>
            </w:tcBorders>
            <w:vAlign w:val="center"/>
          </w:tcPr>
          <w:p w14:paraId="03857AAC">
            <w:pPr>
              <w:spacing w:before="0" w:after="0" w:line="240" w:lineRule="auto"/>
              <w:jc w:val="center"/>
            </w:pPr>
            <w:r>
              <w:rPr>
                <w:rFonts w:ascii="宋体" w:hAnsi="宋体" w:eastAsia="宋体"/>
                <w:sz w:val="14"/>
              </w:rPr>
              <w:t>数量指标</w:t>
            </w:r>
          </w:p>
        </w:tc>
        <w:tc>
          <w:tcPr>
            <w:tcW w:w="912" w:type="dxa"/>
            <w:tcBorders>
              <w:top w:val="single" w:color="auto" w:sz="10" w:space="0"/>
              <w:left w:val="single" w:color="auto" w:sz="10" w:space="0"/>
              <w:bottom w:val="single" w:color="auto" w:sz="10" w:space="0"/>
              <w:right w:val="single" w:color="auto" w:sz="10" w:space="0"/>
              <w:insideV w:val="single" w:sz="10" w:space="0"/>
            </w:tcBorders>
            <w:vAlign w:val="center"/>
          </w:tcPr>
          <w:p w14:paraId="257A4B8B">
            <w:pPr>
              <w:spacing w:before="0" w:after="0" w:line="240" w:lineRule="auto"/>
              <w:jc w:val="center"/>
            </w:pPr>
            <w:r>
              <w:rPr>
                <w:rFonts w:ascii="宋体" w:hAnsi="宋体" w:eastAsia="宋体"/>
                <w:sz w:val="14"/>
              </w:rPr>
              <w:t>完成关键技术研究</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0547EE18">
            <w:pPr>
              <w:spacing w:before="0" w:after="0" w:line="240" w:lineRule="auto"/>
              <w:jc w:val="center"/>
            </w:pPr>
            <w:r>
              <w:rPr>
                <w:rFonts w:ascii="宋体" w:hAnsi="宋体" w:eastAsia="宋体"/>
                <w:sz w:val="14"/>
              </w:rPr>
              <w:t>10</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6B67FBAF">
            <w:pPr>
              <w:spacing w:before="0" w:after="0" w:line="240" w:lineRule="auto"/>
              <w:jc w:val="center"/>
            </w:pPr>
            <w:r>
              <w:rPr>
                <w:rFonts w:ascii="宋体" w:hAnsi="宋体" w:eastAsia="宋体"/>
                <w:sz w:val="14"/>
              </w:rPr>
              <w:t>&gt;=2项</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51BB2C4B">
            <w:pPr>
              <w:spacing w:before="0" w:after="0" w:line="240" w:lineRule="auto"/>
              <w:jc w:val="center"/>
            </w:pPr>
            <w:r>
              <w:rPr>
                <w:rFonts w:ascii="宋体" w:hAnsi="宋体" w:eastAsia="宋体"/>
                <w:sz w:val="14"/>
              </w:rPr>
              <w:t>=2项</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0B3A6CCE">
            <w:pPr>
              <w:spacing w:before="0" w:after="0" w:line="240" w:lineRule="auto"/>
              <w:jc w:val="center"/>
              <w:rPr>
                <w:rFonts w:hint="eastAsia" w:eastAsia="宋体"/>
                <w:lang w:val="en-US" w:eastAsia="zh-CN"/>
              </w:rPr>
            </w:pPr>
            <w:r>
              <w:rPr>
                <w:rFonts w:ascii="宋体" w:hAnsi="宋体" w:eastAsia="宋体"/>
                <w:sz w:val="14"/>
              </w:rPr>
              <w:t>100</w:t>
            </w:r>
            <w:r>
              <w:rPr>
                <w:rFonts w:hint="eastAsia" w:ascii="宋体" w:hAnsi="宋体"/>
                <w:sz w:val="14"/>
                <w:lang w:val="en-US" w:eastAsia="zh-CN"/>
              </w:rPr>
              <w:t>%</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14476DEA">
            <w:pPr>
              <w:spacing w:before="0" w:after="0" w:line="240" w:lineRule="auto"/>
              <w:jc w:val="center"/>
            </w:pPr>
            <w:r>
              <w:rPr>
                <w:rFonts w:ascii="宋体" w:hAnsi="宋体" w:eastAsia="宋体"/>
                <w:sz w:val="14"/>
              </w:rPr>
              <w:t>10</w:t>
            </w:r>
          </w:p>
        </w:tc>
        <w:tc>
          <w:tcPr>
            <w:tcW w:w="542" w:type="dxa"/>
            <w:tcBorders>
              <w:top w:val="single" w:color="auto" w:sz="10" w:space="0"/>
              <w:left w:val="single" w:color="auto" w:sz="10" w:space="0"/>
              <w:bottom w:val="single" w:color="auto" w:sz="10" w:space="0"/>
              <w:right w:val="single" w:color="auto" w:sz="10" w:space="0"/>
              <w:insideV w:val="single" w:sz="10" w:space="0"/>
            </w:tcBorders>
            <w:vAlign w:val="center"/>
          </w:tcPr>
          <w:p w14:paraId="4F6033D3">
            <w:pPr>
              <w:spacing w:before="0" w:after="0" w:line="240" w:lineRule="auto"/>
              <w:jc w:val="center"/>
            </w:pPr>
            <w:r>
              <w:rPr>
                <w:rFonts w:ascii="宋体" w:hAnsi="宋体" w:eastAsia="宋体"/>
                <w:sz w:val="14"/>
              </w:rPr>
              <w:t>计划标准</w:t>
            </w:r>
          </w:p>
        </w:tc>
        <w:tc>
          <w:tcPr>
            <w:tcW w:w="542" w:type="dxa"/>
            <w:tcBorders>
              <w:top w:val="single" w:color="auto" w:sz="10" w:space="0"/>
              <w:left w:val="single" w:color="auto" w:sz="10" w:space="0"/>
              <w:bottom w:val="single" w:color="auto" w:sz="10" w:space="0"/>
              <w:right w:val="single" w:color="auto" w:sz="10" w:space="0"/>
              <w:insideV w:val="single" w:sz="10" w:space="0"/>
            </w:tcBorders>
            <w:vAlign w:val="center"/>
          </w:tcPr>
          <w:p w14:paraId="33610FFE">
            <w:pPr>
              <w:spacing w:before="0" w:after="0" w:line="240" w:lineRule="auto"/>
              <w:jc w:val="center"/>
            </w:pPr>
            <w:r>
              <w:rPr>
                <w:rFonts w:ascii="宋体" w:hAnsi="宋体" w:eastAsia="宋体"/>
                <w:sz w:val="14"/>
              </w:rPr>
              <w:t>-</w:t>
            </w:r>
          </w:p>
        </w:tc>
        <w:tc>
          <w:tcPr>
            <w:tcW w:w="548" w:type="dxa"/>
            <w:tcBorders>
              <w:top w:val="single" w:color="auto" w:sz="10" w:space="0"/>
              <w:left w:val="single" w:color="auto" w:sz="10" w:space="0"/>
              <w:bottom w:val="single" w:color="auto" w:sz="10" w:space="0"/>
              <w:right w:val="single" w:color="auto" w:sz="10" w:space="0"/>
              <w:insideV w:val="single" w:sz="10" w:space="0"/>
            </w:tcBorders>
            <w:vAlign w:val="center"/>
          </w:tcPr>
          <w:p w14:paraId="61FC7B25">
            <w:pPr>
              <w:spacing w:before="0" w:after="0" w:line="240" w:lineRule="auto"/>
              <w:jc w:val="center"/>
            </w:pPr>
            <w:r>
              <w:rPr>
                <w:rFonts w:ascii="宋体" w:hAnsi="宋体" w:eastAsia="宋体"/>
                <w:sz w:val="14"/>
              </w:rPr>
              <w:t>按照完成比例赋分</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78AE6247">
            <w:pPr>
              <w:spacing w:before="0" w:after="0" w:line="240" w:lineRule="auto"/>
              <w:jc w:val="center"/>
            </w:pPr>
            <w:r>
              <w:rPr>
                <w:rFonts w:ascii="宋体" w:hAnsi="宋体" w:eastAsia="宋体"/>
                <w:sz w:val="14"/>
              </w:rPr>
              <w:t>正式材料</w:t>
            </w:r>
          </w:p>
        </w:tc>
        <w:tc>
          <w:tcPr>
            <w:tcW w:w="563" w:type="dxa"/>
            <w:tcBorders>
              <w:top w:val="single" w:color="auto" w:sz="10" w:space="0"/>
              <w:left w:val="single" w:color="auto" w:sz="10" w:space="0"/>
              <w:bottom w:val="single" w:color="auto" w:sz="10" w:space="0"/>
              <w:right w:val="single" w:color="auto" w:sz="10" w:space="0"/>
              <w:insideV w:val="single" w:sz="10" w:space="0"/>
            </w:tcBorders>
            <w:vAlign w:val="center"/>
          </w:tcPr>
          <w:p w14:paraId="1BAB2DAD">
            <w:pPr>
              <w:spacing w:before="0" w:after="0" w:line="240" w:lineRule="auto"/>
              <w:jc w:val="center"/>
            </w:pPr>
          </w:p>
        </w:tc>
      </w:tr>
      <w:tr w14:paraId="48BD15A4">
        <w:tblPrEx>
          <w:tblCellMar>
            <w:top w:w="36" w:type="dxa"/>
            <w:left w:w="36" w:type="dxa"/>
            <w:bottom w:w="36" w:type="dxa"/>
            <w:right w:w="36" w:type="dxa"/>
          </w:tblCellMar>
        </w:tblPrEx>
        <w:tc>
          <w:tcPr>
            <w:tcW w:w="541" w:type="dxa"/>
            <w:vMerge w:val="continue"/>
            <w:tcBorders>
              <w:top w:val="single" w:color="auto" w:sz="10" w:space="0"/>
              <w:left w:val="single" w:color="auto" w:sz="10" w:space="0"/>
              <w:bottom w:val="single" w:color="auto" w:sz="10" w:space="0"/>
              <w:right w:val="single" w:color="auto" w:sz="10" w:space="0"/>
              <w:insideV w:val="single" w:sz="10" w:space="0"/>
            </w:tcBorders>
          </w:tcPr>
          <w:p w14:paraId="6F4B4EC0"/>
        </w:tc>
        <w:tc>
          <w:tcPr>
            <w:tcW w:w="542" w:type="dxa"/>
            <w:vMerge w:val="continue"/>
            <w:tcBorders>
              <w:top w:val="single" w:color="auto" w:sz="10" w:space="0"/>
              <w:left w:val="single" w:color="auto" w:sz="10" w:space="0"/>
              <w:bottom w:val="single" w:color="auto" w:sz="10" w:space="0"/>
              <w:right w:val="single" w:color="auto" w:sz="10" w:space="0"/>
              <w:insideV w:val="single" w:sz="10" w:space="0"/>
            </w:tcBorders>
          </w:tcPr>
          <w:p w14:paraId="22AA1238"/>
        </w:tc>
        <w:tc>
          <w:tcPr>
            <w:tcW w:w="542" w:type="dxa"/>
            <w:tcBorders>
              <w:top w:val="single" w:color="auto" w:sz="10" w:space="0"/>
              <w:left w:val="single" w:color="auto" w:sz="10" w:space="0"/>
              <w:bottom w:val="single" w:color="auto" w:sz="10" w:space="0"/>
              <w:right w:val="single" w:color="auto" w:sz="10" w:space="0"/>
              <w:insideV w:val="single" w:sz="10" w:space="0"/>
            </w:tcBorders>
            <w:vAlign w:val="center"/>
          </w:tcPr>
          <w:p w14:paraId="79671BEA">
            <w:pPr>
              <w:spacing w:before="0" w:after="0" w:line="240" w:lineRule="auto"/>
              <w:jc w:val="center"/>
            </w:pPr>
            <w:r>
              <w:rPr>
                <w:rFonts w:ascii="宋体" w:hAnsi="宋体" w:eastAsia="宋体"/>
                <w:sz w:val="14"/>
              </w:rPr>
              <w:t>数量指标</w:t>
            </w:r>
          </w:p>
        </w:tc>
        <w:tc>
          <w:tcPr>
            <w:tcW w:w="912" w:type="dxa"/>
            <w:tcBorders>
              <w:top w:val="single" w:color="auto" w:sz="10" w:space="0"/>
              <w:left w:val="single" w:color="auto" w:sz="10" w:space="0"/>
              <w:bottom w:val="single" w:color="auto" w:sz="10" w:space="0"/>
              <w:right w:val="single" w:color="auto" w:sz="10" w:space="0"/>
              <w:insideV w:val="single" w:sz="10" w:space="0"/>
            </w:tcBorders>
            <w:vAlign w:val="center"/>
          </w:tcPr>
          <w:p w14:paraId="35A5FCE6">
            <w:pPr>
              <w:spacing w:before="0" w:after="0" w:line="240" w:lineRule="auto"/>
              <w:jc w:val="center"/>
            </w:pPr>
            <w:r>
              <w:rPr>
                <w:rFonts w:ascii="宋体" w:hAnsi="宋体" w:eastAsia="宋体"/>
                <w:sz w:val="14"/>
              </w:rPr>
              <w:t>对水网重大水利工程进行现场勘察（调研）</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61C2F1BF">
            <w:pPr>
              <w:spacing w:before="0" w:after="0" w:line="240" w:lineRule="auto"/>
              <w:jc w:val="center"/>
            </w:pPr>
            <w:r>
              <w:rPr>
                <w:rFonts w:ascii="宋体" w:hAnsi="宋体" w:eastAsia="宋体"/>
                <w:sz w:val="14"/>
              </w:rPr>
              <w:t>5</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3CB621ED">
            <w:pPr>
              <w:spacing w:before="0" w:after="0" w:line="240" w:lineRule="auto"/>
              <w:jc w:val="center"/>
            </w:pPr>
            <w:r>
              <w:rPr>
                <w:rFonts w:ascii="宋体" w:hAnsi="宋体" w:eastAsia="宋体"/>
                <w:sz w:val="14"/>
              </w:rPr>
              <w:t>&gt;=6次</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3071BE42">
            <w:pPr>
              <w:spacing w:before="0" w:after="0" w:line="240" w:lineRule="auto"/>
              <w:jc w:val="center"/>
            </w:pPr>
            <w:r>
              <w:rPr>
                <w:rFonts w:ascii="宋体" w:hAnsi="宋体" w:eastAsia="宋体"/>
                <w:sz w:val="14"/>
              </w:rPr>
              <w:t>=6次</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384F9078">
            <w:pPr>
              <w:spacing w:before="0" w:after="0" w:line="240" w:lineRule="auto"/>
              <w:jc w:val="center"/>
              <w:rPr>
                <w:rFonts w:hint="eastAsia" w:eastAsia="宋体"/>
                <w:lang w:val="en-US" w:eastAsia="zh-CN"/>
              </w:rPr>
            </w:pPr>
            <w:r>
              <w:rPr>
                <w:rFonts w:ascii="宋体" w:hAnsi="宋体" w:eastAsia="宋体"/>
                <w:sz w:val="14"/>
              </w:rPr>
              <w:t>100</w:t>
            </w:r>
            <w:r>
              <w:rPr>
                <w:rFonts w:hint="eastAsia" w:ascii="宋体" w:hAnsi="宋体"/>
                <w:sz w:val="14"/>
                <w:lang w:val="en-US" w:eastAsia="zh-CN"/>
              </w:rPr>
              <w:t>%</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127ED37A">
            <w:pPr>
              <w:spacing w:before="0" w:after="0" w:line="240" w:lineRule="auto"/>
              <w:jc w:val="center"/>
            </w:pPr>
            <w:r>
              <w:rPr>
                <w:rFonts w:ascii="宋体" w:hAnsi="宋体" w:eastAsia="宋体"/>
                <w:sz w:val="14"/>
              </w:rPr>
              <w:t>5</w:t>
            </w:r>
          </w:p>
        </w:tc>
        <w:tc>
          <w:tcPr>
            <w:tcW w:w="542" w:type="dxa"/>
            <w:tcBorders>
              <w:top w:val="single" w:color="auto" w:sz="10" w:space="0"/>
              <w:left w:val="single" w:color="auto" w:sz="10" w:space="0"/>
              <w:bottom w:val="single" w:color="auto" w:sz="10" w:space="0"/>
              <w:right w:val="single" w:color="auto" w:sz="10" w:space="0"/>
              <w:insideV w:val="single" w:sz="10" w:space="0"/>
            </w:tcBorders>
            <w:vAlign w:val="center"/>
          </w:tcPr>
          <w:p w14:paraId="66D64873">
            <w:pPr>
              <w:spacing w:before="0" w:after="0" w:line="240" w:lineRule="auto"/>
              <w:jc w:val="center"/>
            </w:pPr>
            <w:r>
              <w:rPr>
                <w:rFonts w:ascii="宋体" w:hAnsi="宋体" w:eastAsia="宋体"/>
                <w:sz w:val="14"/>
              </w:rPr>
              <w:t>计划标准</w:t>
            </w:r>
          </w:p>
        </w:tc>
        <w:tc>
          <w:tcPr>
            <w:tcW w:w="542" w:type="dxa"/>
            <w:tcBorders>
              <w:top w:val="single" w:color="auto" w:sz="10" w:space="0"/>
              <w:left w:val="single" w:color="auto" w:sz="10" w:space="0"/>
              <w:bottom w:val="single" w:color="auto" w:sz="10" w:space="0"/>
              <w:right w:val="single" w:color="auto" w:sz="10" w:space="0"/>
              <w:insideV w:val="single" w:sz="10" w:space="0"/>
            </w:tcBorders>
            <w:vAlign w:val="center"/>
          </w:tcPr>
          <w:p w14:paraId="1E231CA9">
            <w:pPr>
              <w:spacing w:before="0" w:after="0" w:line="240" w:lineRule="auto"/>
              <w:jc w:val="center"/>
            </w:pPr>
            <w:r>
              <w:rPr>
                <w:rFonts w:ascii="宋体" w:hAnsi="宋体" w:eastAsia="宋体"/>
                <w:sz w:val="14"/>
              </w:rPr>
              <w:t>-</w:t>
            </w:r>
          </w:p>
        </w:tc>
        <w:tc>
          <w:tcPr>
            <w:tcW w:w="548" w:type="dxa"/>
            <w:tcBorders>
              <w:top w:val="single" w:color="auto" w:sz="10" w:space="0"/>
              <w:left w:val="single" w:color="auto" w:sz="10" w:space="0"/>
              <w:bottom w:val="single" w:color="auto" w:sz="10" w:space="0"/>
              <w:right w:val="single" w:color="auto" w:sz="10" w:space="0"/>
              <w:insideV w:val="single" w:sz="10" w:space="0"/>
            </w:tcBorders>
            <w:vAlign w:val="center"/>
          </w:tcPr>
          <w:p w14:paraId="2D3A5675">
            <w:pPr>
              <w:spacing w:before="0" w:after="0" w:line="240" w:lineRule="auto"/>
              <w:jc w:val="center"/>
            </w:pPr>
            <w:r>
              <w:rPr>
                <w:rFonts w:ascii="宋体" w:hAnsi="宋体" w:eastAsia="宋体"/>
                <w:sz w:val="14"/>
              </w:rPr>
              <w:t>按照完成比例赋分</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652F51CF">
            <w:pPr>
              <w:spacing w:before="0" w:after="0" w:line="240" w:lineRule="auto"/>
              <w:jc w:val="center"/>
            </w:pPr>
            <w:r>
              <w:rPr>
                <w:rFonts w:ascii="宋体" w:hAnsi="宋体" w:eastAsia="宋体"/>
                <w:sz w:val="14"/>
              </w:rPr>
              <w:t>正式材料</w:t>
            </w:r>
          </w:p>
        </w:tc>
        <w:tc>
          <w:tcPr>
            <w:tcW w:w="563" w:type="dxa"/>
            <w:tcBorders>
              <w:top w:val="single" w:color="auto" w:sz="10" w:space="0"/>
              <w:left w:val="single" w:color="auto" w:sz="10" w:space="0"/>
              <w:bottom w:val="single" w:color="auto" w:sz="10" w:space="0"/>
              <w:right w:val="single" w:color="auto" w:sz="10" w:space="0"/>
              <w:insideV w:val="single" w:sz="10" w:space="0"/>
            </w:tcBorders>
            <w:vAlign w:val="center"/>
          </w:tcPr>
          <w:p w14:paraId="6A04F971">
            <w:pPr>
              <w:spacing w:before="0" w:after="0" w:line="240" w:lineRule="auto"/>
              <w:jc w:val="center"/>
            </w:pPr>
          </w:p>
        </w:tc>
      </w:tr>
      <w:tr w14:paraId="5142AB5C">
        <w:tblPrEx>
          <w:tblCellMar>
            <w:top w:w="36" w:type="dxa"/>
            <w:left w:w="36" w:type="dxa"/>
            <w:bottom w:w="36" w:type="dxa"/>
            <w:right w:w="36" w:type="dxa"/>
          </w:tblCellMar>
        </w:tblPrEx>
        <w:tc>
          <w:tcPr>
            <w:tcW w:w="541" w:type="dxa"/>
            <w:vMerge w:val="continue"/>
            <w:tcBorders>
              <w:top w:val="single" w:color="auto" w:sz="10" w:space="0"/>
              <w:left w:val="single" w:color="auto" w:sz="10" w:space="0"/>
              <w:bottom w:val="single" w:color="auto" w:sz="10" w:space="0"/>
              <w:right w:val="single" w:color="auto" w:sz="10" w:space="0"/>
              <w:insideV w:val="single" w:sz="10" w:space="0"/>
            </w:tcBorders>
          </w:tcPr>
          <w:p w14:paraId="214EF38D"/>
        </w:tc>
        <w:tc>
          <w:tcPr>
            <w:tcW w:w="542" w:type="dxa"/>
            <w:vMerge w:val="continue"/>
            <w:tcBorders>
              <w:top w:val="single" w:color="auto" w:sz="10" w:space="0"/>
              <w:left w:val="single" w:color="auto" w:sz="10" w:space="0"/>
              <w:bottom w:val="single" w:color="auto" w:sz="10" w:space="0"/>
              <w:right w:val="single" w:color="auto" w:sz="10" w:space="0"/>
              <w:insideV w:val="single" w:sz="10" w:space="0"/>
            </w:tcBorders>
          </w:tcPr>
          <w:p w14:paraId="65CEF137"/>
        </w:tc>
        <w:tc>
          <w:tcPr>
            <w:tcW w:w="542" w:type="dxa"/>
            <w:tcBorders>
              <w:top w:val="single" w:color="auto" w:sz="10" w:space="0"/>
              <w:left w:val="single" w:color="auto" w:sz="10" w:space="0"/>
              <w:bottom w:val="single" w:color="auto" w:sz="10" w:space="0"/>
              <w:right w:val="single" w:color="auto" w:sz="10" w:space="0"/>
              <w:insideV w:val="single" w:sz="10" w:space="0"/>
            </w:tcBorders>
            <w:vAlign w:val="center"/>
          </w:tcPr>
          <w:p w14:paraId="568FF9ED">
            <w:pPr>
              <w:spacing w:before="0" w:after="0" w:line="240" w:lineRule="auto"/>
              <w:jc w:val="center"/>
            </w:pPr>
            <w:r>
              <w:rPr>
                <w:rFonts w:ascii="宋体" w:hAnsi="宋体" w:eastAsia="宋体"/>
                <w:sz w:val="14"/>
              </w:rPr>
              <w:t>数量指标</w:t>
            </w:r>
          </w:p>
        </w:tc>
        <w:tc>
          <w:tcPr>
            <w:tcW w:w="912" w:type="dxa"/>
            <w:tcBorders>
              <w:top w:val="single" w:color="auto" w:sz="10" w:space="0"/>
              <w:left w:val="single" w:color="auto" w:sz="10" w:space="0"/>
              <w:bottom w:val="single" w:color="auto" w:sz="10" w:space="0"/>
              <w:right w:val="single" w:color="auto" w:sz="10" w:space="0"/>
              <w:insideV w:val="single" w:sz="10" w:space="0"/>
            </w:tcBorders>
            <w:vAlign w:val="center"/>
          </w:tcPr>
          <w:p w14:paraId="1AE70C21">
            <w:pPr>
              <w:spacing w:before="0" w:after="0" w:line="240" w:lineRule="auto"/>
              <w:jc w:val="center"/>
            </w:pPr>
            <w:r>
              <w:rPr>
                <w:rFonts w:ascii="宋体" w:hAnsi="宋体" w:eastAsia="宋体"/>
                <w:sz w:val="14"/>
              </w:rPr>
              <w:t>审查“纲”“结”类水利项目可研或初步设计</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19A39D51">
            <w:pPr>
              <w:spacing w:before="0" w:after="0" w:line="240" w:lineRule="auto"/>
              <w:jc w:val="center"/>
            </w:pPr>
            <w:r>
              <w:rPr>
                <w:rFonts w:ascii="宋体" w:hAnsi="宋体" w:eastAsia="宋体"/>
                <w:sz w:val="14"/>
              </w:rPr>
              <w:t>3</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0104DEE0">
            <w:pPr>
              <w:spacing w:before="0" w:after="0" w:line="240" w:lineRule="auto"/>
              <w:jc w:val="center"/>
            </w:pPr>
            <w:r>
              <w:rPr>
                <w:rFonts w:ascii="宋体" w:hAnsi="宋体" w:eastAsia="宋体"/>
                <w:sz w:val="14"/>
              </w:rPr>
              <w:t>=15项</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66CE4BBD">
            <w:pPr>
              <w:spacing w:before="0" w:after="0" w:line="240" w:lineRule="auto"/>
              <w:jc w:val="center"/>
            </w:pPr>
            <w:r>
              <w:rPr>
                <w:rFonts w:ascii="宋体" w:hAnsi="宋体" w:eastAsia="宋体"/>
                <w:sz w:val="14"/>
              </w:rPr>
              <w:t>=15项</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16154706">
            <w:pPr>
              <w:spacing w:before="0" w:after="0" w:line="240" w:lineRule="auto"/>
              <w:jc w:val="center"/>
              <w:rPr>
                <w:rFonts w:hint="eastAsia" w:eastAsia="宋体"/>
                <w:lang w:val="en-US" w:eastAsia="zh-CN"/>
              </w:rPr>
            </w:pPr>
            <w:r>
              <w:rPr>
                <w:rFonts w:ascii="宋体" w:hAnsi="宋体" w:eastAsia="宋体"/>
                <w:sz w:val="14"/>
              </w:rPr>
              <w:t>100</w:t>
            </w:r>
            <w:r>
              <w:rPr>
                <w:rFonts w:hint="eastAsia" w:ascii="宋体" w:hAnsi="宋体"/>
                <w:sz w:val="14"/>
                <w:lang w:val="en-US" w:eastAsia="zh-CN"/>
              </w:rPr>
              <w:t>%</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716B5E5C">
            <w:pPr>
              <w:spacing w:before="0" w:after="0" w:line="240" w:lineRule="auto"/>
              <w:jc w:val="center"/>
            </w:pPr>
            <w:r>
              <w:rPr>
                <w:rFonts w:ascii="宋体" w:hAnsi="宋体" w:eastAsia="宋体"/>
                <w:sz w:val="14"/>
              </w:rPr>
              <w:t>3</w:t>
            </w:r>
          </w:p>
        </w:tc>
        <w:tc>
          <w:tcPr>
            <w:tcW w:w="542" w:type="dxa"/>
            <w:tcBorders>
              <w:top w:val="single" w:color="auto" w:sz="10" w:space="0"/>
              <w:left w:val="single" w:color="auto" w:sz="10" w:space="0"/>
              <w:bottom w:val="single" w:color="auto" w:sz="10" w:space="0"/>
              <w:right w:val="single" w:color="auto" w:sz="10" w:space="0"/>
              <w:insideV w:val="single" w:sz="10" w:space="0"/>
            </w:tcBorders>
            <w:vAlign w:val="center"/>
          </w:tcPr>
          <w:p w14:paraId="7C5CF05C">
            <w:pPr>
              <w:spacing w:before="0" w:after="0" w:line="240" w:lineRule="auto"/>
              <w:jc w:val="center"/>
            </w:pPr>
            <w:r>
              <w:rPr>
                <w:rFonts w:ascii="宋体" w:hAnsi="宋体" w:eastAsia="宋体"/>
                <w:sz w:val="14"/>
              </w:rPr>
              <w:t>计划标准</w:t>
            </w:r>
          </w:p>
        </w:tc>
        <w:tc>
          <w:tcPr>
            <w:tcW w:w="542" w:type="dxa"/>
            <w:tcBorders>
              <w:top w:val="single" w:color="auto" w:sz="10" w:space="0"/>
              <w:left w:val="single" w:color="auto" w:sz="10" w:space="0"/>
              <w:bottom w:val="single" w:color="auto" w:sz="10" w:space="0"/>
              <w:right w:val="single" w:color="auto" w:sz="10" w:space="0"/>
              <w:insideV w:val="single" w:sz="10" w:space="0"/>
            </w:tcBorders>
            <w:vAlign w:val="center"/>
          </w:tcPr>
          <w:p w14:paraId="66E17C48">
            <w:pPr>
              <w:spacing w:before="0" w:after="0" w:line="240" w:lineRule="auto"/>
              <w:jc w:val="center"/>
            </w:pPr>
            <w:r>
              <w:rPr>
                <w:rFonts w:ascii="宋体" w:hAnsi="宋体" w:eastAsia="宋体"/>
                <w:sz w:val="14"/>
              </w:rPr>
              <w:t>-</w:t>
            </w:r>
          </w:p>
        </w:tc>
        <w:tc>
          <w:tcPr>
            <w:tcW w:w="548" w:type="dxa"/>
            <w:tcBorders>
              <w:top w:val="single" w:color="auto" w:sz="10" w:space="0"/>
              <w:left w:val="single" w:color="auto" w:sz="10" w:space="0"/>
              <w:bottom w:val="single" w:color="auto" w:sz="10" w:space="0"/>
              <w:right w:val="single" w:color="auto" w:sz="10" w:space="0"/>
              <w:insideV w:val="single" w:sz="10" w:space="0"/>
            </w:tcBorders>
            <w:vAlign w:val="center"/>
          </w:tcPr>
          <w:p w14:paraId="7B56D71E">
            <w:pPr>
              <w:spacing w:before="0" w:after="0" w:line="240" w:lineRule="auto"/>
              <w:jc w:val="center"/>
            </w:pPr>
            <w:r>
              <w:rPr>
                <w:rFonts w:ascii="宋体" w:hAnsi="宋体" w:eastAsia="宋体"/>
                <w:sz w:val="14"/>
              </w:rPr>
              <w:t>按照完成比例赋分</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7CC0C6DD">
            <w:pPr>
              <w:spacing w:before="0" w:after="0" w:line="240" w:lineRule="auto"/>
              <w:jc w:val="center"/>
            </w:pPr>
            <w:r>
              <w:rPr>
                <w:rFonts w:ascii="宋体" w:hAnsi="宋体" w:eastAsia="宋体"/>
                <w:sz w:val="14"/>
              </w:rPr>
              <w:t>工作资料</w:t>
            </w:r>
          </w:p>
        </w:tc>
        <w:tc>
          <w:tcPr>
            <w:tcW w:w="563" w:type="dxa"/>
            <w:tcBorders>
              <w:top w:val="single" w:color="auto" w:sz="10" w:space="0"/>
              <w:left w:val="single" w:color="auto" w:sz="10" w:space="0"/>
              <w:bottom w:val="single" w:color="auto" w:sz="10" w:space="0"/>
              <w:right w:val="single" w:color="auto" w:sz="10" w:space="0"/>
              <w:insideV w:val="single" w:sz="10" w:space="0"/>
            </w:tcBorders>
            <w:vAlign w:val="center"/>
          </w:tcPr>
          <w:p w14:paraId="5EBD8534">
            <w:pPr>
              <w:spacing w:before="0" w:after="0" w:line="240" w:lineRule="auto"/>
              <w:jc w:val="center"/>
            </w:pPr>
          </w:p>
        </w:tc>
      </w:tr>
      <w:tr w14:paraId="1EB93B02">
        <w:tblPrEx>
          <w:tblCellMar>
            <w:top w:w="36" w:type="dxa"/>
            <w:left w:w="36" w:type="dxa"/>
            <w:bottom w:w="36" w:type="dxa"/>
            <w:right w:w="36" w:type="dxa"/>
          </w:tblCellMar>
        </w:tblPrEx>
        <w:tc>
          <w:tcPr>
            <w:tcW w:w="541" w:type="dxa"/>
            <w:vMerge w:val="continue"/>
            <w:tcBorders>
              <w:top w:val="single" w:color="auto" w:sz="10" w:space="0"/>
              <w:left w:val="single" w:color="auto" w:sz="10" w:space="0"/>
              <w:bottom w:val="single" w:color="auto" w:sz="10" w:space="0"/>
              <w:right w:val="single" w:color="auto" w:sz="10" w:space="0"/>
              <w:insideV w:val="single" w:sz="10" w:space="0"/>
            </w:tcBorders>
          </w:tcPr>
          <w:p w14:paraId="068932B4"/>
        </w:tc>
        <w:tc>
          <w:tcPr>
            <w:tcW w:w="542" w:type="dxa"/>
            <w:vMerge w:val="continue"/>
            <w:tcBorders>
              <w:top w:val="single" w:color="auto" w:sz="10" w:space="0"/>
              <w:left w:val="single" w:color="auto" w:sz="10" w:space="0"/>
              <w:bottom w:val="single" w:color="auto" w:sz="10" w:space="0"/>
              <w:right w:val="single" w:color="auto" w:sz="10" w:space="0"/>
              <w:insideV w:val="single" w:sz="10" w:space="0"/>
            </w:tcBorders>
          </w:tcPr>
          <w:p w14:paraId="4D050DBF"/>
        </w:tc>
        <w:tc>
          <w:tcPr>
            <w:tcW w:w="542" w:type="dxa"/>
            <w:tcBorders>
              <w:top w:val="single" w:color="auto" w:sz="10" w:space="0"/>
              <w:left w:val="single" w:color="auto" w:sz="10" w:space="0"/>
              <w:bottom w:val="single" w:color="auto" w:sz="10" w:space="0"/>
              <w:right w:val="single" w:color="auto" w:sz="10" w:space="0"/>
              <w:insideV w:val="single" w:sz="10" w:space="0"/>
            </w:tcBorders>
            <w:vAlign w:val="center"/>
          </w:tcPr>
          <w:p w14:paraId="512B7AC0">
            <w:pPr>
              <w:spacing w:before="0" w:after="0" w:line="240" w:lineRule="auto"/>
              <w:jc w:val="center"/>
            </w:pPr>
            <w:r>
              <w:rPr>
                <w:rFonts w:ascii="宋体" w:hAnsi="宋体" w:eastAsia="宋体"/>
                <w:sz w:val="14"/>
              </w:rPr>
              <w:t>质量指标</w:t>
            </w:r>
          </w:p>
        </w:tc>
        <w:tc>
          <w:tcPr>
            <w:tcW w:w="912" w:type="dxa"/>
            <w:tcBorders>
              <w:top w:val="single" w:color="auto" w:sz="10" w:space="0"/>
              <w:left w:val="single" w:color="auto" w:sz="10" w:space="0"/>
              <w:bottom w:val="single" w:color="auto" w:sz="10" w:space="0"/>
              <w:right w:val="single" w:color="auto" w:sz="10" w:space="0"/>
              <w:insideV w:val="single" w:sz="10" w:space="0"/>
            </w:tcBorders>
            <w:vAlign w:val="center"/>
          </w:tcPr>
          <w:p w14:paraId="56B68E27">
            <w:pPr>
              <w:spacing w:before="0" w:after="0" w:line="240" w:lineRule="auto"/>
              <w:jc w:val="center"/>
            </w:pPr>
            <w:r>
              <w:rPr>
                <w:rFonts w:ascii="宋体" w:hAnsi="宋体" w:eastAsia="宋体"/>
                <w:sz w:val="14"/>
              </w:rPr>
              <w:t>关键技术研究验收合格率</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3770D618">
            <w:pPr>
              <w:spacing w:before="0" w:after="0" w:line="240" w:lineRule="auto"/>
              <w:jc w:val="center"/>
            </w:pPr>
            <w:r>
              <w:rPr>
                <w:rFonts w:ascii="宋体" w:hAnsi="宋体" w:eastAsia="宋体"/>
                <w:sz w:val="14"/>
              </w:rPr>
              <w:t>4</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2AD36AFA">
            <w:pPr>
              <w:spacing w:before="0" w:after="0" w:line="240" w:lineRule="auto"/>
              <w:jc w:val="center"/>
            </w:pPr>
            <w:r>
              <w:rPr>
                <w:rFonts w:ascii="宋体" w:hAnsi="宋体" w:eastAsia="宋体"/>
                <w:sz w:val="14"/>
              </w:rPr>
              <w:t>&gt;=90%</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7F45A7F2">
            <w:pPr>
              <w:spacing w:before="0" w:after="0" w:line="240" w:lineRule="auto"/>
              <w:jc w:val="center"/>
            </w:pPr>
            <w:r>
              <w:rPr>
                <w:rFonts w:ascii="宋体" w:hAnsi="宋体" w:eastAsia="宋体"/>
                <w:sz w:val="14"/>
              </w:rPr>
              <w:t>=90%</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056DFD58">
            <w:pPr>
              <w:spacing w:before="0" w:after="0" w:line="240" w:lineRule="auto"/>
              <w:jc w:val="center"/>
              <w:rPr>
                <w:rFonts w:hint="eastAsia" w:eastAsia="宋体"/>
                <w:lang w:val="en-US" w:eastAsia="zh-CN"/>
              </w:rPr>
            </w:pPr>
            <w:r>
              <w:rPr>
                <w:rFonts w:ascii="宋体" w:hAnsi="宋体" w:eastAsia="宋体"/>
                <w:sz w:val="14"/>
              </w:rPr>
              <w:t>100</w:t>
            </w:r>
            <w:r>
              <w:rPr>
                <w:rFonts w:hint="eastAsia" w:ascii="宋体" w:hAnsi="宋体"/>
                <w:sz w:val="14"/>
                <w:lang w:val="en-US" w:eastAsia="zh-CN"/>
              </w:rPr>
              <w:t>%</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1630E49A">
            <w:pPr>
              <w:spacing w:before="0" w:after="0" w:line="240" w:lineRule="auto"/>
              <w:jc w:val="center"/>
            </w:pPr>
            <w:r>
              <w:rPr>
                <w:rFonts w:ascii="宋体" w:hAnsi="宋体" w:eastAsia="宋体"/>
                <w:sz w:val="14"/>
              </w:rPr>
              <w:t>4</w:t>
            </w:r>
          </w:p>
        </w:tc>
        <w:tc>
          <w:tcPr>
            <w:tcW w:w="542" w:type="dxa"/>
            <w:tcBorders>
              <w:top w:val="single" w:color="auto" w:sz="10" w:space="0"/>
              <w:left w:val="single" w:color="auto" w:sz="10" w:space="0"/>
              <w:bottom w:val="single" w:color="auto" w:sz="10" w:space="0"/>
              <w:right w:val="single" w:color="auto" w:sz="10" w:space="0"/>
              <w:insideV w:val="single" w:sz="10" w:space="0"/>
            </w:tcBorders>
            <w:vAlign w:val="center"/>
          </w:tcPr>
          <w:p w14:paraId="7074533D">
            <w:pPr>
              <w:spacing w:before="0" w:after="0" w:line="240" w:lineRule="auto"/>
              <w:jc w:val="center"/>
            </w:pPr>
            <w:r>
              <w:rPr>
                <w:rFonts w:ascii="宋体" w:hAnsi="宋体" w:eastAsia="宋体"/>
                <w:sz w:val="14"/>
              </w:rPr>
              <w:t>计划标准</w:t>
            </w:r>
          </w:p>
        </w:tc>
        <w:tc>
          <w:tcPr>
            <w:tcW w:w="542" w:type="dxa"/>
            <w:tcBorders>
              <w:top w:val="single" w:color="auto" w:sz="10" w:space="0"/>
              <w:left w:val="single" w:color="auto" w:sz="10" w:space="0"/>
              <w:bottom w:val="single" w:color="auto" w:sz="10" w:space="0"/>
              <w:right w:val="single" w:color="auto" w:sz="10" w:space="0"/>
              <w:insideV w:val="single" w:sz="10" w:space="0"/>
            </w:tcBorders>
            <w:vAlign w:val="center"/>
          </w:tcPr>
          <w:p w14:paraId="29C45795">
            <w:pPr>
              <w:spacing w:before="0" w:after="0" w:line="240" w:lineRule="auto"/>
              <w:jc w:val="center"/>
            </w:pPr>
            <w:r>
              <w:rPr>
                <w:rFonts w:ascii="宋体" w:hAnsi="宋体" w:eastAsia="宋体"/>
                <w:sz w:val="14"/>
              </w:rPr>
              <w:t>-</w:t>
            </w:r>
          </w:p>
        </w:tc>
        <w:tc>
          <w:tcPr>
            <w:tcW w:w="548" w:type="dxa"/>
            <w:tcBorders>
              <w:top w:val="single" w:color="auto" w:sz="10" w:space="0"/>
              <w:left w:val="single" w:color="auto" w:sz="10" w:space="0"/>
              <w:bottom w:val="single" w:color="auto" w:sz="10" w:space="0"/>
              <w:right w:val="single" w:color="auto" w:sz="10" w:space="0"/>
              <w:insideV w:val="single" w:sz="10" w:space="0"/>
            </w:tcBorders>
            <w:vAlign w:val="center"/>
          </w:tcPr>
          <w:p w14:paraId="461E88B9">
            <w:pPr>
              <w:spacing w:before="0" w:after="0" w:line="240" w:lineRule="auto"/>
              <w:jc w:val="center"/>
            </w:pPr>
            <w:r>
              <w:rPr>
                <w:rFonts w:ascii="宋体" w:hAnsi="宋体" w:eastAsia="宋体"/>
                <w:sz w:val="14"/>
              </w:rPr>
              <w:t>按照完成比例赋分</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5FB85219">
            <w:pPr>
              <w:spacing w:before="0" w:after="0" w:line="240" w:lineRule="auto"/>
              <w:jc w:val="center"/>
            </w:pPr>
            <w:r>
              <w:rPr>
                <w:rFonts w:ascii="宋体" w:hAnsi="宋体" w:eastAsia="宋体"/>
                <w:sz w:val="14"/>
              </w:rPr>
              <w:t>工作资料</w:t>
            </w:r>
          </w:p>
        </w:tc>
        <w:tc>
          <w:tcPr>
            <w:tcW w:w="563" w:type="dxa"/>
            <w:tcBorders>
              <w:top w:val="single" w:color="auto" w:sz="10" w:space="0"/>
              <w:left w:val="single" w:color="auto" w:sz="10" w:space="0"/>
              <w:bottom w:val="single" w:color="auto" w:sz="10" w:space="0"/>
              <w:right w:val="single" w:color="auto" w:sz="10" w:space="0"/>
              <w:insideV w:val="single" w:sz="10" w:space="0"/>
            </w:tcBorders>
            <w:vAlign w:val="center"/>
          </w:tcPr>
          <w:p w14:paraId="315A12EE">
            <w:pPr>
              <w:spacing w:before="0" w:after="0" w:line="240" w:lineRule="auto"/>
              <w:jc w:val="center"/>
            </w:pPr>
          </w:p>
        </w:tc>
      </w:tr>
      <w:tr w14:paraId="0525C637">
        <w:tblPrEx>
          <w:tblCellMar>
            <w:top w:w="36" w:type="dxa"/>
            <w:left w:w="36" w:type="dxa"/>
            <w:bottom w:w="36" w:type="dxa"/>
            <w:right w:w="36" w:type="dxa"/>
          </w:tblCellMar>
        </w:tblPrEx>
        <w:tc>
          <w:tcPr>
            <w:tcW w:w="541" w:type="dxa"/>
            <w:vMerge w:val="continue"/>
            <w:tcBorders>
              <w:top w:val="single" w:color="auto" w:sz="10" w:space="0"/>
              <w:left w:val="single" w:color="auto" w:sz="10" w:space="0"/>
              <w:bottom w:val="single" w:color="auto" w:sz="10" w:space="0"/>
              <w:right w:val="single" w:color="auto" w:sz="10" w:space="0"/>
              <w:insideV w:val="single" w:sz="10" w:space="0"/>
            </w:tcBorders>
          </w:tcPr>
          <w:p w14:paraId="35BEFB9F"/>
        </w:tc>
        <w:tc>
          <w:tcPr>
            <w:tcW w:w="542" w:type="dxa"/>
            <w:vMerge w:val="continue"/>
            <w:tcBorders>
              <w:top w:val="single" w:color="auto" w:sz="10" w:space="0"/>
              <w:left w:val="single" w:color="auto" w:sz="10" w:space="0"/>
              <w:bottom w:val="single" w:color="auto" w:sz="10" w:space="0"/>
              <w:right w:val="single" w:color="auto" w:sz="10" w:space="0"/>
              <w:insideV w:val="single" w:sz="10" w:space="0"/>
            </w:tcBorders>
          </w:tcPr>
          <w:p w14:paraId="0C6BCAB9"/>
        </w:tc>
        <w:tc>
          <w:tcPr>
            <w:tcW w:w="542" w:type="dxa"/>
            <w:tcBorders>
              <w:top w:val="single" w:color="auto" w:sz="10" w:space="0"/>
              <w:left w:val="single" w:color="auto" w:sz="10" w:space="0"/>
              <w:bottom w:val="single" w:color="auto" w:sz="10" w:space="0"/>
              <w:right w:val="single" w:color="auto" w:sz="10" w:space="0"/>
              <w:insideV w:val="single" w:sz="10" w:space="0"/>
            </w:tcBorders>
            <w:vAlign w:val="center"/>
          </w:tcPr>
          <w:p w14:paraId="4BE5129E">
            <w:pPr>
              <w:spacing w:before="0" w:after="0" w:line="240" w:lineRule="auto"/>
              <w:jc w:val="center"/>
            </w:pPr>
            <w:r>
              <w:rPr>
                <w:rFonts w:ascii="宋体" w:hAnsi="宋体" w:eastAsia="宋体"/>
                <w:sz w:val="14"/>
              </w:rPr>
              <w:t>质量指标</w:t>
            </w:r>
          </w:p>
        </w:tc>
        <w:tc>
          <w:tcPr>
            <w:tcW w:w="912" w:type="dxa"/>
            <w:tcBorders>
              <w:top w:val="single" w:color="auto" w:sz="10" w:space="0"/>
              <w:left w:val="single" w:color="auto" w:sz="10" w:space="0"/>
              <w:bottom w:val="single" w:color="auto" w:sz="10" w:space="0"/>
              <w:right w:val="single" w:color="auto" w:sz="10" w:space="0"/>
              <w:insideV w:val="single" w:sz="10" w:space="0"/>
            </w:tcBorders>
            <w:vAlign w:val="center"/>
          </w:tcPr>
          <w:p w14:paraId="1BF0EFDD">
            <w:pPr>
              <w:spacing w:before="0" w:after="0" w:line="240" w:lineRule="auto"/>
              <w:jc w:val="center"/>
            </w:pPr>
            <w:r>
              <w:rPr>
                <w:rFonts w:ascii="宋体" w:hAnsi="宋体" w:eastAsia="宋体"/>
                <w:sz w:val="14"/>
              </w:rPr>
              <w:t>水网项目出具审查（核）率</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0EFD538D">
            <w:pPr>
              <w:spacing w:before="0" w:after="0" w:line="240" w:lineRule="auto"/>
              <w:jc w:val="center"/>
            </w:pPr>
            <w:r>
              <w:rPr>
                <w:rFonts w:ascii="宋体" w:hAnsi="宋体" w:eastAsia="宋体"/>
                <w:sz w:val="14"/>
              </w:rPr>
              <w:t>3</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3E8B48A8">
            <w:pPr>
              <w:spacing w:before="0" w:after="0" w:line="240" w:lineRule="auto"/>
              <w:jc w:val="center"/>
            </w:pPr>
            <w:r>
              <w:rPr>
                <w:rFonts w:ascii="宋体" w:hAnsi="宋体" w:eastAsia="宋体"/>
                <w:sz w:val="14"/>
              </w:rPr>
              <w:t>&gt;=70%</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4EBBC799">
            <w:pPr>
              <w:spacing w:before="0" w:after="0" w:line="240" w:lineRule="auto"/>
              <w:jc w:val="center"/>
            </w:pPr>
            <w:r>
              <w:rPr>
                <w:rFonts w:ascii="宋体" w:hAnsi="宋体" w:eastAsia="宋体"/>
                <w:sz w:val="14"/>
              </w:rPr>
              <w:t>=70%</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50015153">
            <w:pPr>
              <w:spacing w:before="0" w:after="0" w:line="240" w:lineRule="auto"/>
              <w:jc w:val="center"/>
              <w:rPr>
                <w:rFonts w:hint="eastAsia" w:eastAsia="宋体"/>
                <w:lang w:val="en-US" w:eastAsia="zh-CN"/>
              </w:rPr>
            </w:pPr>
            <w:r>
              <w:rPr>
                <w:rFonts w:ascii="宋体" w:hAnsi="宋体" w:eastAsia="宋体"/>
                <w:sz w:val="14"/>
              </w:rPr>
              <w:t>100</w:t>
            </w:r>
            <w:r>
              <w:rPr>
                <w:rFonts w:hint="eastAsia" w:ascii="宋体" w:hAnsi="宋体"/>
                <w:sz w:val="14"/>
                <w:lang w:val="en-US" w:eastAsia="zh-CN"/>
              </w:rPr>
              <w:t>%</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34B253F3">
            <w:pPr>
              <w:spacing w:before="0" w:after="0" w:line="240" w:lineRule="auto"/>
              <w:jc w:val="center"/>
            </w:pPr>
            <w:r>
              <w:rPr>
                <w:rFonts w:ascii="宋体" w:hAnsi="宋体" w:eastAsia="宋体"/>
                <w:sz w:val="14"/>
              </w:rPr>
              <w:t>3</w:t>
            </w:r>
          </w:p>
        </w:tc>
        <w:tc>
          <w:tcPr>
            <w:tcW w:w="542" w:type="dxa"/>
            <w:tcBorders>
              <w:top w:val="single" w:color="auto" w:sz="10" w:space="0"/>
              <w:left w:val="single" w:color="auto" w:sz="10" w:space="0"/>
              <w:bottom w:val="single" w:color="auto" w:sz="10" w:space="0"/>
              <w:right w:val="single" w:color="auto" w:sz="10" w:space="0"/>
              <w:insideV w:val="single" w:sz="10" w:space="0"/>
            </w:tcBorders>
            <w:vAlign w:val="center"/>
          </w:tcPr>
          <w:p w14:paraId="27C7E642">
            <w:pPr>
              <w:spacing w:before="0" w:after="0" w:line="240" w:lineRule="auto"/>
              <w:jc w:val="center"/>
            </w:pPr>
            <w:r>
              <w:rPr>
                <w:rFonts w:ascii="宋体" w:hAnsi="宋体" w:eastAsia="宋体"/>
                <w:sz w:val="14"/>
              </w:rPr>
              <w:t>计划标准</w:t>
            </w:r>
          </w:p>
        </w:tc>
        <w:tc>
          <w:tcPr>
            <w:tcW w:w="542" w:type="dxa"/>
            <w:tcBorders>
              <w:top w:val="single" w:color="auto" w:sz="10" w:space="0"/>
              <w:left w:val="single" w:color="auto" w:sz="10" w:space="0"/>
              <w:bottom w:val="single" w:color="auto" w:sz="10" w:space="0"/>
              <w:right w:val="single" w:color="auto" w:sz="10" w:space="0"/>
              <w:insideV w:val="single" w:sz="10" w:space="0"/>
            </w:tcBorders>
            <w:vAlign w:val="center"/>
          </w:tcPr>
          <w:p w14:paraId="2F8AB476">
            <w:pPr>
              <w:spacing w:before="0" w:after="0" w:line="240" w:lineRule="auto"/>
              <w:jc w:val="center"/>
            </w:pPr>
            <w:r>
              <w:rPr>
                <w:rFonts w:ascii="宋体" w:hAnsi="宋体" w:eastAsia="宋体"/>
                <w:sz w:val="14"/>
              </w:rPr>
              <w:t>-</w:t>
            </w:r>
          </w:p>
        </w:tc>
        <w:tc>
          <w:tcPr>
            <w:tcW w:w="548" w:type="dxa"/>
            <w:tcBorders>
              <w:top w:val="single" w:color="auto" w:sz="10" w:space="0"/>
              <w:left w:val="single" w:color="auto" w:sz="10" w:space="0"/>
              <w:bottom w:val="single" w:color="auto" w:sz="10" w:space="0"/>
              <w:right w:val="single" w:color="auto" w:sz="10" w:space="0"/>
              <w:insideV w:val="single" w:sz="10" w:space="0"/>
            </w:tcBorders>
            <w:vAlign w:val="center"/>
          </w:tcPr>
          <w:p w14:paraId="126DB96E">
            <w:pPr>
              <w:spacing w:before="0" w:after="0" w:line="240" w:lineRule="auto"/>
              <w:jc w:val="center"/>
            </w:pPr>
            <w:r>
              <w:rPr>
                <w:rFonts w:ascii="宋体" w:hAnsi="宋体" w:eastAsia="宋体"/>
                <w:sz w:val="14"/>
              </w:rPr>
              <w:t>按照完成比例赋分</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3A20E63C">
            <w:pPr>
              <w:spacing w:before="0" w:after="0" w:line="240" w:lineRule="auto"/>
              <w:jc w:val="center"/>
            </w:pPr>
            <w:r>
              <w:rPr>
                <w:rFonts w:ascii="宋体" w:hAnsi="宋体" w:eastAsia="宋体"/>
                <w:sz w:val="14"/>
              </w:rPr>
              <w:t>正式材料</w:t>
            </w:r>
          </w:p>
        </w:tc>
        <w:tc>
          <w:tcPr>
            <w:tcW w:w="563" w:type="dxa"/>
            <w:tcBorders>
              <w:top w:val="single" w:color="auto" w:sz="10" w:space="0"/>
              <w:left w:val="single" w:color="auto" w:sz="10" w:space="0"/>
              <w:bottom w:val="single" w:color="auto" w:sz="10" w:space="0"/>
              <w:right w:val="single" w:color="auto" w:sz="10" w:space="0"/>
              <w:insideV w:val="single" w:sz="10" w:space="0"/>
            </w:tcBorders>
            <w:vAlign w:val="center"/>
          </w:tcPr>
          <w:p w14:paraId="1C0CF2B2">
            <w:pPr>
              <w:spacing w:before="0" w:after="0" w:line="240" w:lineRule="auto"/>
              <w:jc w:val="center"/>
            </w:pPr>
          </w:p>
        </w:tc>
      </w:tr>
      <w:tr w14:paraId="34B328FA">
        <w:tblPrEx>
          <w:tblCellMar>
            <w:top w:w="36" w:type="dxa"/>
            <w:left w:w="36" w:type="dxa"/>
            <w:bottom w:w="36" w:type="dxa"/>
            <w:right w:w="36" w:type="dxa"/>
          </w:tblCellMar>
        </w:tblPrEx>
        <w:tc>
          <w:tcPr>
            <w:tcW w:w="541" w:type="dxa"/>
            <w:vMerge w:val="continue"/>
            <w:tcBorders>
              <w:top w:val="single" w:color="auto" w:sz="10" w:space="0"/>
              <w:left w:val="single" w:color="auto" w:sz="10" w:space="0"/>
              <w:bottom w:val="single" w:color="auto" w:sz="10" w:space="0"/>
              <w:right w:val="single" w:color="auto" w:sz="10" w:space="0"/>
              <w:insideV w:val="single" w:sz="10" w:space="0"/>
            </w:tcBorders>
          </w:tcPr>
          <w:p w14:paraId="65C55E96"/>
        </w:tc>
        <w:tc>
          <w:tcPr>
            <w:tcW w:w="542" w:type="dxa"/>
            <w:vMerge w:val="continue"/>
            <w:tcBorders>
              <w:top w:val="single" w:color="auto" w:sz="10" w:space="0"/>
              <w:left w:val="single" w:color="auto" w:sz="10" w:space="0"/>
              <w:bottom w:val="single" w:color="auto" w:sz="10" w:space="0"/>
              <w:right w:val="single" w:color="auto" w:sz="10" w:space="0"/>
              <w:insideV w:val="single" w:sz="10" w:space="0"/>
            </w:tcBorders>
          </w:tcPr>
          <w:p w14:paraId="1946E7B9"/>
        </w:tc>
        <w:tc>
          <w:tcPr>
            <w:tcW w:w="542" w:type="dxa"/>
            <w:tcBorders>
              <w:top w:val="single" w:color="auto" w:sz="10" w:space="0"/>
              <w:left w:val="single" w:color="auto" w:sz="10" w:space="0"/>
              <w:bottom w:val="single" w:color="auto" w:sz="10" w:space="0"/>
              <w:right w:val="single" w:color="auto" w:sz="10" w:space="0"/>
              <w:insideV w:val="single" w:sz="10" w:space="0"/>
            </w:tcBorders>
            <w:vAlign w:val="center"/>
          </w:tcPr>
          <w:p w14:paraId="0A7E9E37">
            <w:pPr>
              <w:spacing w:before="0" w:after="0" w:line="240" w:lineRule="auto"/>
              <w:jc w:val="center"/>
            </w:pPr>
            <w:r>
              <w:rPr>
                <w:rFonts w:ascii="宋体" w:hAnsi="宋体" w:eastAsia="宋体"/>
                <w:sz w:val="14"/>
              </w:rPr>
              <w:t>质量指标</w:t>
            </w:r>
          </w:p>
        </w:tc>
        <w:tc>
          <w:tcPr>
            <w:tcW w:w="912" w:type="dxa"/>
            <w:tcBorders>
              <w:top w:val="single" w:color="auto" w:sz="10" w:space="0"/>
              <w:left w:val="single" w:color="auto" w:sz="10" w:space="0"/>
              <w:bottom w:val="single" w:color="auto" w:sz="10" w:space="0"/>
              <w:right w:val="single" w:color="auto" w:sz="10" w:space="0"/>
              <w:insideV w:val="single" w:sz="10" w:space="0"/>
            </w:tcBorders>
            <w:vAlign w:val="center"/>
          </w:tcPr>
          <w:p w14:paraId="4CEDC7CF">
            <w:pPr>
              <w:spacing w:before="0" w:after="0" w:line="240" w:lineRule="auto"/>
              <w:jc w:val="center"/>
            </w:pPr>
            <w:r>
              <w:rPr>
                <w:rFonts w:ascii="宋体" w:hAnsi="宋体" w:eastAsia="宋体"/>
                <w:sz w:val="14"/>
              </w:rPr>
              <w:t>水网项目可研和初步设计阶段投资概算变幅≤10%</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08C86A08">
            <w:pPr>
              <w:spacing w:before="0" w:after="0" w:line="240" w:lineRule="auto"/>
              <w:jc w:val="center"/>
            </w:pPr>
            <w:r>
              <w:rPr>
                <w:rFonts w:ascii="宋体" w:hAnsi="宋体" w:eastAsia="宋体"/>
                <w:sz w:val="14"/>
              </w:rPr>
              <w:t>3</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250BEF0E">
            <w:pPr>
              <w:spacing w:before="0" w:after="0" w:line="240" w:lineRule="auto"/>
              <w:jc w:val="center"/>
            </w:pPr>
            <w:r>
              <w:rPr>
                <w:rFonts w:ascii="宋体" w:hAnsi="宋体" w:eastAsia="宋体"/>
                <w:sz w:val="14"/>
              </w:rPr>
              <w:t>&gt;=3个</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0856CE91">
            <w:pPr>
              <w:spacing w:before="0" w:after="0" w:line="240" w:lineRule="auto"/>
              <w:jc w:val="center"/>
            </w:pPr>
            <w:r>
              <w:rPr>
                <w:rFonts w:ascii="宋体" w:hAnsi="宋体" w:eastAsia="宋体"/>
                <w:sz w:val="14"/>
              </w:rPr>
              <w:t>=3个</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729505A1">
            <w:pPr>
              <w:spacing w:before="0" w:after="0" w:line="240" w:lineRule="auto"/>
              <w:jc w:val="center"/>
              <w:rPr>
                <w:rFonts w:hint="eastAsia" w:eastAsia="宋体"/>
                <w:lang w:val="en-US" w:eastAsia="zh-CN"/>
              </w:rPr>
            </w:pPr>
            <w:r>
              <w:rPr>
                <w:rFonts w:ascii="宋体" w:hAnsi="宋体" w:eastAsia="宋体"/>
                <w:sz w:val="14"/>
              </w:rPr>
              <w:t>100</w:t>
            </w:r>
            <w:r>
              <w:rPr>
                <w:rFonts w:hint="eastAsia" w:ascii="宋体" w:hAnsi="宋体"/>
                <w:sz w:val="14"/>
                <w:lang w:val="en-US" w:eastAsia="zh-CN"/>
              </w:rPr>
              <w:t>%</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6589768B">
            <w:pPr>
              <w:spacing w:before="0" w:after="0" w:line="240" w:lineRule="auto"/>
              <w:jc w:val="center"/>
            </w:pPr>
            <w:r>
              <w:rPr>
                <w:rFonts w:ascii="宋体" w:hAnsi="宋体" w:eastAsia="宋体"/>
                <w:sz w:val="14"/>
              </w:rPr>
              <w:t>3</w:t>
            </w:r>
          </w:p>
        </w:tc>
        <w:tc>
          <w:tcPr>
            <w:tcW w:w="542" w:type="dxa"/>
            <w:tcBorders>
              <w:top w:val="single" w:color="auto" w:sz="10" w:space="0"/>
              <w:left w:val="single" w:color="auto" w:sz="10" w:space="0"/>
              <w:bottom w:val="single" w:color="auto" w:sz="10" w:space="0"/>
              <w:right w:val="single" w:color="auto" w:sz="10" w:space="0"/>
              <w:insideV w:val="single" w:sz="10" w:space="0"/>
            </w:tcBorders>
            <w:vAlign w:val="center"/>
          </w:tcPr>
          <w:p w14:paraId="46C63B96">
            <w:pPr>
              <w:spacing w:before="0" w:after="0" w:line="240" w:lineRule="auto"/>
              <w:jc w:val="center"/>
            </w:pPr>
            <w:r>
              <w:rPr>
                <w:rFonts w:ascii="宋体" w:hAnsi="宋体" w:eastAsia="宋体"/>
                <w:sz w:val="14"/>
              </w:rPr>
              <w:t>行业标准</w:t>
            </w:r>
          </w:p>
        </w:tc>
        <w:tc>
          <w:tcPr>
            <w:tcW w:w="542" w:type="dxa"/>
            <w:tcBorders>
              <w:top w:val="single" w:color="auto" w:sz="10" w:space="0"/>
              <w:left w:val="single" w:color="auto" w:sz="10" w:space="0"/>
              <w:bottom w:val="single" w:color="auto" w:sz="10" w:space="0"/>
              <w:right w:val="single" w:color="auto" w:sz="10" w:space="0"/>
              <w:insideV w:val="single" w:sz="10" w:space="0"/>
            </w:tcBorders>
            <w:vAlign w:val="center"/>
          </w:tcPr>
          <w:p w14:paraId="3E04DAEE">
            <w:pPr>
              <w:spacing w:before="0" w:after="0" w:line="240" w:lineRule="auto"/>
              <w:jc w:val="center"/>
            </w:pPr>
            <w:r>
              <w:rPr>
                <w:rFonts w:ascii="宋体" w:hAnsi="宋体" w:eastAsia="宋体"/>
                <w:sz w:val="14"/>
              </w:rPr>
              <w:t>-</w:t>
            </w:r>
          </w:p>
        </w:tc>
        <w:tc>
          <w:tcPr>
            <w:tcW w:w="548" w:type="dxa"/>
            <w:tcBorders>
              <w:top w:val="single" w:color="auto" w:sz="10" w:space="0"/>
              <w:left w:val="single" w:color="auto" w:sz="10" w:space="0"/>
              <w:bottom w:val="single" w:color="auto" w:sz="10" w:space="0"/>
              <w:right w:val="single" w:color="auto" w:sz="10" w:space="0"/>
              <w:insideV w:val="single" w:sz="10" w:space="0"/>
            </w:tcBorders>
            <w:vAlign w:val="center"/>
          </w:tcPr>
          <w:p w14:paraId="102BA950">
            <w:pPr>
              <w:spacing w:before="0" w:after="0" w:line="240" w:lineRule="auto"/>
              <w:jc w:val="center"/>
            </w:pPr>
            <w:r>
              <w:rPr>
                <w:rFonts w:ascii="宋体" w:hAnsi="宋体" w:eastAsia="宋体"/>
                <w:sz w:val="14"/>
              </w:rPr>
              <w:t>按照完成比例赋分</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4E4EF411">
            <w:pPr>
              <w:spacing w:before="0" w:after="0" w:line="240" w:lineRule="auto"/>
              <w:jc w:val="center"/>
            </w:pPr>
            <w:r>
              <w:rPr>
                <w:rFonts w:ascii="宋体" w:hAnsi="宋体" w:eastAsia="宋体"/>
                <w:sz w:val="14"/>
              </w:rPr>
              <w:t>正式材料</w:t>
            </w:r>
          </w:p>
        </w:tc>
        <w:tc>
          <w:tcPr>
            <w:tcW w:w="563" w:type="dxa"/>
            <w:tcBorders>
              <w:top w:val="single" w:color="auto" w:sz="10" w:space="0"/>
              <w:left w:val="single" w:color="auto" w:sz="10" w:space="0"/>
              <w:bottom w:val="single" w:color="auto" w:sz="10" w:space="0"/>
              <w:right w:val="single" w:color="auto" w:sz="10" w:space="0"/>
              <w:insideV w:val="single" w:sz="10" w:space="0"/>
            </w:tcBorders>
            <w:vAlign w:val="center"/>
          </w:tcPr>
          <w:p w14:paraId="59F5ACC5">
            <w:pPr>
              <w:spacing w:before="0" w:after="0" w:line="240" w:lineRule="auto"/>
              <w:jc w:val="center"/>
            </w:pPr>
          </w:p>
        </w:tc>
      </w:tr>
      <w:tr w14:paraId="51988569">
        <w:tblPrEx>
          <w:tblCellMar>
            <w:top w:w="36" w:type="dxa"/>
            <w:left w:w="36" w:type="dxa"/>
            <w:bottom w:w="36" w:type="dxa"/>
            <w:right w:w="36" w:type="dxa"/>
          </w:tblCellMar>
        </w:tblPrEx>
        <w:tc>
          <w:tcPr>
            <w:tcW w:w="541" w:type="dxa"/>
            <w:vMerge w:val="continue"/>
            <w:tcBorders>
              <w:top w:val="single" w:color="auto" w:sz="10" w:space="0"/>
              <w:left w:val="single" w:color="auto" w:sz="10" w:space="0"/>
              <w:bottom w:val="single" w:color="auto" w:sz="10" w:space="0"/>
              <w:right w:val="single" w:color="auto" w:sz="10" w:space="0"/>
              <w:insideV w:val="single" w:sz="10" w:space="0"/>
            </w:tcBorders>
          </w:tcPr>
          <w:p w14:paraId="5DB836C3"/>
        </w:tc>
        <w:tc>
          <w:tcPr>
            <w:tcW w:w="542" w:type="dxa"/>
            <w:vMerge w:val="continue"/>
            <w:tcBorders>
              <w:top w:val="single" w:color="auto" w:sz="10" w:space="0"/>
              <w:left w:val="single" w:color="auto" w:sz="10" w:space="0"/>
              <w:bottom w:val="single" w:color="auto" w:sz="10" w:space="0"/>
              <w:right w:val="single" w:color="auto" w:sz="10" w:space="0"/>
              <w:insideV w:val="single" w:sz="10" w:space="0"/>
            </w:tcBorders>
          </w:tcPr>
          <w:p w14:paraId="04D70B7C"/>
        </w:tc>
        <w:tc>
          <w:tcPr>
            <w:tcW w:w="542" w:type="dxa"/>
            <w:tcBorders>
              <w:top w:val="single" w:color="auto" w:sz="10" w:space="0"/>
              <w:left w:val="single" w:color="auto" w:sz="10" w:space="0"/>
              <w:bottom w:val="single" w:color="auto" w:sz="10" w:space="0"/>
              <w:right w:val="single" w:color="auto" w:sz="10" w:space="0"/>
              <w:insideV w:val="single" w:sz="10" w:space="0"/>
            </w:tcBorders>
            <w:vAlign w:val="center"/>
          </w:tcPr>
          <w:p w14:paraId="4116558F">
            <w:pPr>
              <w:spacing w:before="0" w:after="0" w:line="240" w:lineRule="auto"/>
              <w:jc w:val="center"/>
            </w:pPr>
            <w:r>
              <w:rPr>
                <w:rFonts w:ascii="宋体" w:hAnsi="宋体" w:eastAsia="宋体"/>
                <w:sz w:val="14"/>
              </w:rPr>
              <w:t>时效指标</w:t>
            </w:r>
          </w:p>
        </w:tc>
        <w:tc>
          <w:tcPr>
            <w:tcW w:w="912" w:type="dxa"/>
            <w:tcBorders>
              <w:top w:val="single" w:color="auto" w:sz="10" w:space="0"/>
              <w:left w:val="single" w:color="auto" w:sz="10" w:space="0"/>
              <w:bottom w:val="single" w:color="auto" w:sz="10" w:space="0"/>
              <w:right w:val="single" w:color="auto" w:sz="10" w:space="0"/>
              <w:insideV w:val="single" w:sz="10" w:space="0"/>
            </w:tcBorders>
            <w:vAlign w:val="center"/>
          </w:tcPr>
          <w:p w14:paraId="07248C7D">
            <w:pPr>
              <w:spacing w:before="0" w:after="0" w:line="240" w:lineRule="auto"/>
              <w:jc w:val="center"/>
            </w:pPr>
            <w:r>
              <w:rPr>
                <w:rFonts w:ascii="宋体" w:hAnsi="宋体" w:eastAsia="宋体"/>
                <w:sz w:val="14"/>
              </w:rPr>
              <w:t>及时组织对水网项目进行技术审查或讨论</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3AFCDE36">
            <w:pPr>
              <w:spacing w:before="0" w:after="0" w:line="240" w:lineRule="auto"/>
              <w:jc w:val="center"/>
            </w:pPr>
            <w:r>
              <w:rPr>
                <w:rFonts w:ascii="宋体" w:hAnsi="宋体" w:eastAsia="宋体"/>
                <w:sz w:val="14"/>
              </w:rPr>
              <w:t>5</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406247BE">
            <w:pPr>
              <w:spacing w:before="0" w:after="0" w:line="240" w:lineRule="auto"/>
              <w:jc w:val="center"/>
            </w:pPr>
            <w:r>
              <w:rPr>
                <w:rFonts w:ascii="宋体" w:hAnsi="宋体" w:eastAsia="宋体"/>
                <w:sz w:val="14"/>
              </w:rPr>
              <w:t>=12月底</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7D87C39D">
            <w:pPr>
              <w:spacing w:before="0" w:after="0" w:line="240" w:lineRule="auto"/>
              <w:jc w:val="center"/>
            </w:pPr>
            <w:r>
              <w:rPr>
                <w:rFonts w:ascii="宋体" w:hAnsi="宋体" w:eastAsia="宋体"/>
                <w:sz w:val="14"/>
              </w:rPr>
              <w:t>=12月底</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14E08726">
            <w:pPr>
              <w:spacing w:before="0" w:after="0" w:line="240" w:lineRule="auto"/>
              <w:jc w:val="center"/>
              <w:rPr>
                <w:rFonts w:hint="eastAsia" w:eastAsia="宋体"/>
                <w:lang w:val="en-US" w:eastAsia="zh-CN"/>
              </w:rPr>
            </w:pPr>
            <w:r>
              <w:rPr>
                <w:rFonts w:ascii="宋体" w:hAnsi="宋体" w:eastAsia="宋体"/>
                <w:sz w:val="14"/>
              </w:rPr>
              <w:t>100</w:t>
            </w:r>
            <w:r>
              <w:rPr>
                <w:rFonts w:hint="eastAsia" w:ascii="宋体" w:hAnsi="宋体"/>
                <w:sz w:val="14"/>
                <w:lang w:val="en-US" w:eastAsia="zh-CN"/>
              </w:rPr>
              <w:t>%</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1FC24159">
            <w:pPr>
              <w:spacing w:before="0" w:after="0" w:line="240" w:lineRule="auto"/>
              <w:jc w:val="center"/>
            </w:pPr>
            <w:r>
              <w:rPr>
                <w:rFonts w:ascii="宋体" w:hAnsi="宋体" w:eastAsia="宋体"/>
                <w:sz w:val="14"/>
              </w:rPr>
              <w:t>5</w:t>
            </w:r>
          </w:p>
        </w:tc>
        <w:tc>
          <w:tcPr>
            <w:tcW w:w="542" w:type="dxa"/>
            <w:tcBorders>
              <w:top w:val="single" w:color="auto" w:sz="10" w:space="0"/>
              <w:left w:val="single" w:color="auto" w:sz="10" w:space="0"/>
              <w:bottom w:val="single" w:color="auto" w:sz="10" w:space="0"/>
              <w:right w:val="single" w:color="auto" w:sz="10" w:space="0"/>
              <w:insideV w:val="single" w:sz="10" w:space="0"/>
            </w:tcBorders>
            <w:vAlign w:val="center"/>
          </w:tcPr>
          <w:p w14:paraId="0DFB52D8">
            <w:pPr>
              <w:spacing w:before="0" w:after="0" w:line="240" w:lineRule="auto"/>
              <w:jc w:val="center"/>
            </w:pPr>
            <w:r>
              <w:rPr>
                <w:rFonts w:ascii="宋体" w:hAnsi="宋体" w:eastAsia="宋体"/>
                <w:sz w:val="14"/>
              </w:rPr>
              <w:t>计划标准</w:t>
            </w:r>
          </w:p>
        </w:tc>
        <w:tc>
          <w:tcPr>
            <w:tcW w:w="542" w:type="dxa"/>
            <w:tcBorders>
              <w:top w:val="single" w:color="auto" w:sz="10" w:space="0"/>
              <w:left w:val="single" w:color="auto" w:sz="10" w:space="0"/>
              <w:bottom w:val="single" w:color="auto" w:sz="10" w:space="0"/>
              <w:right w:val="single" w:color="auto" w:sz="10" w:space="0"/>
              <w:insideV w:val="single" w:sz="10" w:space="0"/>
            </w:tcBorders>
            <w:vAlign w:val="center"/>
          </w:tcPr>
          <w:p w14:paraId="2CF2E6E8">
            <w:pPr>
              <w:spacing w:before="0" w:after="0" w:line="240" w:lineRule="auto"/>
              <w:jc w:val="center"/>
            </w:pPr>
            <w:r>
              <w:rPr>
                <w:rFonts w:ascii="宋体" w:hAnsi="宋体" w:eastAsia="宋体"/>
                <w:sz w:val="14"/>
              </w:rPr>
              <w:t>-</w:t>
            </w:r>
          </w:p>
        </w:tc>
        <w:tc>
          <w:tcPr>
            <w:tcW w:w="548" w:type="dxa"/>
            <w:tcBorders>
              <w:top w:val="single" w:color="auto" w:sz="10" w:space="0"/>
              <w:left w:val="single" w:color="auto" w:sz="10" w:space="0"/>
              <w:bottom w:val="single" w:color="auto" w:sz="10" w:space="0"/>
              <w:right w:val="single" w:color="auto" w:sz="10" w:space="0"/>
              <w:insideV w:val="single" w:sz="10" w:space="0"/>
            </w:tcBorders>
            <w:vAlign w:val="center"/>
          </w:tcPr>
          <w:p w14:paraId="4354B8F9">
            <w:pPr>
              <w:spacing w:before="0" w:after="0" w:line="240" w:lineRule="auto"/>
              <w:jc w:val="center"/>
            </w:pPr>
            <w:r>
              <w:rPr>
                <w:rFonts w:ascii="宋体" w:hAnsi="宋体" w:eastAsia="宋体"/>
                <w:sz w:val="14"/>
              </w:rPr>
              <w:t>按照完成比例赋分</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00DD1523">
            <w:pPr>
              <w:spacing w:before="0" w:after="0" w:line="240" w:lineRule="auto"/>
              <w:jc w:val="center"/>
            </w:pPr>
            <w:r>
              <w:rPr>
                <w:rFonts w:ascii="宋体" w:hAnsi="宋体" w:eastAsia="宋体"/>
                <w:sz w:val="14"/>
              </w:rPr>
              <w:t>工作资料</w:t>
            </w:r>
          </w:p>
        </w:tc>
        <w:tc>
          <w:tcPr>
            <w:tcW w:w="563" w:type="dxa"/>
            <w:tcBorders>
              <w:top w:val="single" w:color="auto" w:sz="10" w:space="0"/>
              <w:left w:val="single" w:color="auto" w:sz="10" w:space="0"/>
              <w:bottom w:val="single" w:color="auto" w:sz="10" w:space="0"/>
              <w:right w:val="single" w:color="auto" w:sz="10" w:space="0"/>
              <w:insideV w:val="single" w:sz="10" w:space="0"/>
            </w:tcBorders>
            <w:vAlign w:val="center"/>
          </w:tcPr>
          <w:p w14:paraId="5A0636F4">
            <w:pPr>
              <w:spacing w:before="0" w:after="0" w:line="240" w:lineRule="auto"/>
              <w:jc w:val="center"/>
            </w:pPr>
          </w:p>
        </w:tc>
      </w:tr>
      <w:tr w14:paraId="73E60901">
        <w:tblPrEx>
          <w:tblCellMar>
            <w:top w:w="36" w:type="dxa"/>
            <w:left w:w="36" w:type="dxa"/>
            <w:bottom w:w="36" w:type="dxa"/>
            <w:right w:w="36" w:type="dxa"/>
          </w:tblCellMar>
        </w:tblPrEx>
        <w:tc>
          <w:tcPr>
            <w:tcW w:w="541" w:type="dxa"/>
            <w:vMerge w:val="continue"/>
            <w:tcBorders>
              <w:top w:val="single" w:color="auto" w:sz="10" w:space="0"/>
              <w:left w:val="single" w:color="auto" w:sz="10" w:space="0"/>
              <w:bottom w:val="single" w:color="auto" w:sz="10" w:space="0"/>
              <w:right w:val="single" w:color="auto" w:sz="10" w:space="0"/>
              <w:insideV w:val="single" w:sz="10" w:space="0"/>
            </w:tcBorders>
          </w:tcPr>
          <w:p w14:paraId="3BF2A7D3"/>
        </w:tc>
        <w:tc>
          <w:tcPr>
            <w:tcW w:w="542" w:type="dxa"/>
            <w:vMerge w:val="continue"/>
            <w:tcBorders>
              <w:top w:val="single" w:color="auto" w:sz="10" w:space="0"/>
              <w:left w:val="single" w:color="auto" w:sz="10" w:space="0"/>
              <w:bottom w:val="single" w:color="auto" w:sz="10" w:space="0"/>
              <w:right w:val="single" w:color="auto" w:sz="10" w:space="0"/>
              <w:insideV w:val="single" w:sz="10" w:space="0"/>
            </w:tcBorders>
          </w:tcPr>
          <w:p w14:paraId="01971F5F"/>
        </w:tc>
        <w:tc>
          <w:tcPr>
            <w:tcW w:w="542" w:type="dxa"/>
            <w:tcBorders>
              <w:top w:val="single" w:color="auto" w:sz="10" w:space="0"/>
              <w:left w:val="single" w:color="auto" w:sz="10" w:space="0"/>
              <w:bottom w:val="single" w:color="auto" w:sz="10" w:space="0"/>
              <w:right w:val="single" w:color="auto" w:sz="10" w:space="0"/>
              <w:insideV w:val="single" w:sz="10" w:space="0"/>
            </w:tcBorders>
            <w:vAlign w:val="center"/>
          </w:tcPr>
          <w:p w14:paraId="69AE61F6">
            <w:pPr>
              <w:spacing w:before="0" w:after="0" w:line="240" w:lineRule="auto"/>
              <w:jc w:val="center"/>
            </w:pPr>
            <w:r>
              <w:rPr>
                <w:rFonts w:ascii="宋体" w:hAnsi="宋体" w:eastAsia="宋体"/>
                <w:sz w:val="14"/>
              </w:rPr>
              <w:t>时效指标</w:t>
            </w:r>
          </w:p>
        </w:tc>
        <w:tc>
          <w:tcPr>
            <w:tcW w:w="912" w:type="dxa"/>
            <w:tcBorders>
              <w:top w:val="single" w:color="auto" w:sz="10" w:space="0"/>
              <w:left w:val="single" w:color="auto" w:sz="10" w:space="0"/>
              <w:bottom w:val="single" w:color="auto" w:sz="10" w:space="0"/>
              <w:right w:val="single" w:color="auto" w:sz="10" w:space="0"/>
              <w:insideV w:val="single" w:sz="10" w:space="0"/>
            </w:tcBorders>
            <w:vAlign w:val="center"/>
          </w:tcPr>
          <w:p w14:paraId="2B9104D2">
            <w:pPr>
              <w:spacing w:before="0" w:after="0" w:line="240" w:lineRule="auto"/>
              <w:jc w:val="center"/>
            </w:pPr>
            <w:r>
              <w:rPr>
                <w:rFonts w:ascii="宋体" w:hAnsi="宋体" w:eastAsia="宋体"/>
                <w:sz w:val="14"/>
              </w:rPr>
              <w:t>按时对水网重大水利工程进行现场勘察（调研）</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069AC0B9">
            <w:pPr>
              <w:spacing w:before="0" w:after="0" w:line="240" w:lineRule="auto"/>
              <w:jc w:val="center"/>
            </w:pPr>
            <w:r>
              <w:rPr>
                <w:rFonts w:ascii="宋体" w:hAnsi="宋体" w:eastAsia="宋体"/>
                <w:sz w:val="14"/>
              </w:rPr>
              <w:t>4</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3BFD6580">
            <w:pPr>
              <w:spacing w:before="0" w:after="0" w:line="240" w:lineRule="auto"/>
              <w:jc w:val="center"/>
            </w:pPr>
            <w:r>
              <w:rPr>
                <w:rFonts w:ascii="宋体" w:hAnsi="宋体" w:eastAsia="宋体"/>
                <w:sz w:val="14"/>
              </w:rPr>
              <w:t>&lt;=20工作日</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3AE61349">
            <w:pPr>
              <w:spacing w:before="0" w:after="0" w:line="240" w:lineRule="auto"/>
              <w:jc w:val="center"/>
            </w:pPr>
            <w:r>
              <w:rPr>
                <w:rFonts w:ascii="宋体" w:hAnsi="宋体" w:eastAsia="宋体"/>
                <w:sz w:val="14"/>
              </w:rPr>
              <w:t>=20工作日</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7E69D416">
            <w:pPr>
              <w:spacing w:before="0" w:after="0" w:line="240" w:lineRule="auto"/>
              <w:jc w:val="center"/>
              <w:rPr>
                <w:rFonts w:hint="eastAsia" w:eastAsia="宋体"/>
                <w:lang w:val="en-US" w:eastAsia="zh-CN"/>
              </w:rPr>
            </w:pPr>
            <w:r>
              <w:rPr>
                <w:rFonts w:ascii="宋体" w:hAnsi="宋体" w:eastAsia="宋体"/>
                <w:sz w:val="14"/>
              </w:rPr>
              <w:t>100</w:t>
            </w:r>
            <w:r>
              <w:rPr>
                <w:rFonts w:hint="eastAsia" w:ascii="宋体" w:hAnsi="宋体"/>
                <w:sz w:val="14"/>
                <w:lang w:val="en-US" w:eastAsia="zh-CN"/>
              </w:rPr>
              <w:t>%</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75D448FA">
            <w:pPr>
              <w:spacing w:before="0" w:after="0" w:line="240" w:lineRule="auto"/>
              <w:jc w:val="center"/>
            </w:pPr>
            <w:r>
              <w:rPr>
                <w:rFonts w:ascii="宋体" w:hAnsi="宋体" w:eastAsia="宋体"/>
                <w:sz w:val="14"/>
              </w:rPr>
              <w:t>4</w:t>
            </w:r>
          </w:p>
        </w:tc>
        <w:tc>
          <w:tcPr>
            <w:tcW w:w="542" w:type="dxa"/>
            <w:tcBorders>
              <w:top w:val="single" w:color="auto" w:sz="10" w:space="0"/>
              <w:left w:val="single" w:color="auto" w:sz="10" w:space="0"/>
              <w:bottom w:val="single" w:color="auto" w:sz="10" w:space="0"/>
              <w:right w:val="single" w:color="auto" w:sz="10" w:space="0"/>
              <w:insideV w:val="single" w:sz="10" w:space="0"/>
            </w:tcBorders>
            <w:vAlign w:val="center"/>
          </w:tcPr>
          <w:p w14:paraId="1C072A97">
            <w:pPr>
              <w:spacing w:before="0" w:after="0" w:line="240" w:lineRule="auto"/>
              <w:jc w:val="center"/>
            </w:pPr>
            <w:r>
              <w:rPr>
                <w:rFonts w:ascii="宋体" w:hAnsi="宋体" w:eastAsia="宋体"/>
                <w:sz w:val="14"/>
              </w:rPr>
              <w:t>计划标准</w:t>
            </w:r>
          </w:p>
        </w:tc>
        <w:tc>
          <w:tcPr>
            <w:tcW w:w="542" w:type="dxa"/>
            <w:tcBorders>
              <w:top w:val="single" w:color="auto" w:sz="10" w:space="0"/>
              <w:left w:val="single" w:color="auto" w:sz="10" w:space="0"/>
              <w:bottom w:val="single" w:color="auto" w:sz="10" w:space="0"/>
              <w:right w:val="single" w:color="auto" w:sz="10" w:space="0"/>
              <w:insideV w:val="single" w:sz="10" w:space="0"/>
            </w:tcBorders>
            <w:vAlign w:val="center"/>
          </w:tcPr>
          <w:p w14:paraId="3948B7E5">
            <w:pPr>
              <w:spacing w:before="0" w:after="0" w:line="240" w:lineRule="auto"/>
              <w:jc w:val="center"/>
            </w:pPr>
            <w:r>
              <w:rPr>
                <w:rFonts w:ascii="宋体" w:hAnsi="宋体" w:eastAsia="宋体"/>
                <w:sz w:val="14"/>
              </w:rPr>
              <w:t>-</w:t>
            </w:r>
          </w:p>
        </w:tc>
        <w:tc>
          <w:tcPr>
            <w:tcW w:w="548" w:type="dxa"/>
            <w:tcBorders>
              <w:top w:val="single" w:color="auto" w:sz="10" w:space="0"/>
              <w:left w:val="single" w:color="auto" w:sz="10" w:space="0"/>
              <w:bottom w:val="single" w:color="auto" w:sz="10" w:space="0"/>
              <w:right w:val="single" w:color="auto" w:sz="10" w:space="0"/>
              <w:insideV w:val="single" w:sz="10" w:space="0"/>
            </w:tcBorders>
            <w:vAlign w:val="center"/>
          </w:tcPr>
          <w:p w14:paraId="2AF5888F">
            <w:pPr>
              <w:spacing w:before="0" w:after="0" w:line="240" w:lineRule="auto"/>
              <w:jc w:val="center"/>
            </w:pPr>
            <w:r>
              <w:rPr>
                <w:rFonts w:ascii="宋体" w:hAnsi="宋体" w:eastAsia="宋体"/>
                <w:sz w:val="14"/>
              </w:rPr>
              <w:t>按照完成比例赋分</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2D1AA604">
            <w:pPr>
              <w:spacing w:before="0" w:after="0" w:line="240" w:lineRule="auto"/>
              <w:jc w:val="center"/>
            </w:pPr>
            <w:r>
              <w:rPr>
                <w:rFonts w:ascii="宋体" w:hAnsi="宋体" w:eastAsia="宋体"/>
                <w:sz w:val="14"/>
              </w:rPr>
              <w:t>工作资料</w:t>
            </w:r>
          </w:p>
        </w:tc>
        <w:tc>
          <w:tcPr>
            <w:tcW w:w="563" w:type="dxa"/>
            <w:tcBorders>
              <w:top w:val="single" w:color="auto" w:sz="10" w:space="0"/>
              <w:left w:val="single" w:color="auto" w:sz="10" w:space="0"/>
              <w:bottom w:val="single" w:color="auto" w:sz="10" w:space="0"/>
              <w:right w:val="single" w:color="auto" w:sz="10" w:space="0"/>
              <w:insideV w:val="single" w:sz="10" w:space="0"/>
            </w:tcBorders>
            <w:vAlign w:val="center"/>
          </w:tcPr>
          <w:p w14:paraId="3833C46E">
            <w:pPr>
              <w:spacing w:before="0" w:after="0" w:line="240" w:lineRule="auto"/>
              <w:jc w:val="center"/>
            </w:pPr>
          </w:p>
        </w:tc>
      </w:tr>
      <w:tr w14:paraId="73084490">
        <w:tblPrEx>
          <w:tblCellMar>
            <w:top w:w="36" w:type="dxa"/>
            <w:left w:w="36" w:type="dxa"/>
            <w:bottom w:w="36" w:type="dxa"/>
            <w:right w:w="36" w:type="dxa"/>
          </w:tblCellMar>
        </w:tblPrEx>
        <w:tc>
          <w:tcPr>
            <w:tcW w:w="541" w:type="dxa"/>
            <w:vMerge w:val="continue"/>
            <w:tcBorders>
              <w:top w:val="single" w:color="auto" w:sz="10" w:space="0"/>
              <w:left w:val="single" w:color="auto" w:sz="10" w:space="0"/>
              <w:bottom w:val="single" w:color="auto" w:sz="10" w:space="0"/>
              <w:right w:val="single" w:color="auto" w:sz="10" w:space="0"/>
              <w:insideV w:val="single" w:sz="10" w:space="0"/>
            </w:tcBorders>
          </w:tcPr>
          <w:p w14:paraId="05ACBECA"/>
        </w:tc>
        <w:tc>
          <w:tcPr>
            <w:tcW w:w="542" w:type="dxa"/>
            <w:vMerge w:val="continue"/>
            <w:tcBorders>
              <w:top w:val="single" w:color="auto" w:sz="10" w:space="0"/>
              <w:left w:val="single" w:color="auto" w:sz="10" w:space="0"/>
              <w:bottom w:val="single" w:color="auto" w:sz="10" w:space="0"/>
              <w:right w:val="single" w:color="auto" w:sz="10" w:space="0"/>
              <w:insideV w:val="single" w:sz="10" w:space="0"/>
            </w:tcBorders>
          </w:tcPr>
          <w:p w14:paraId="404F6AA4"/>
        </w:tc>
        <w:tc>
          <w:tcPr>
            <w:tcW w:w="542" w:type="dxa"/>
            <w:tcBorders>
              <w:top w:val="single" w:color="auto" w:sz="10" w:space="0"/>
              <w:left w:val="single" w:color="auto" w:sz="10" w:space="0"/>
              <w:bottom w:val="single" w:color="auto" w:sz="10" w:space="0"/>
              <w:right w:val="single" w:color="auto" w:sz="10" w:space="0"/>
              <w:insideV w:val="single" w:sz="10" w:space="0"/>
            </w:tcBorders>
            <w:vAlign w:val="center"/>
          </w:tcPr>
          <w:p w14:paraId="49FE0A33">
            <w:pPr>
              <w:spacing w:before="0" w:after="0" w:line="240" w:lineRule="auto"/>
              <w:jc w:val="center"/>
            </w:pPr>
            <w:r>
              <w:rPr>
                <w:rFonts w:ascii="宋体" w:hAnsi="宋体" w:eastAsia="宋体"/>
                <w:sz w:val="14"/>
              </w:rPr>
              <w:t>时效指标</w:t>
            </w:r>
          </w:p>
        </w:tc>
        <w:tc>
          <w:tcPr>
            <w:tcW w:w="912" w:type="dxa"/>
            <w:tcBorders>
              <w:top w:val="single" w:color="auto" w:sz="10" w:space="0"/>
              <w:left w:val="single" w:color="auto" w:sz="10" w:space="0"/>
              <w:bottom w:val="single" w:color="auto" w:sz="10" w:space="0"/>
              <w:right w:val="single" w:color="auto" w:sz="10" w:space="0"/>
              <w:insideV w:val="single" w:sz="10" w:space="0"/>
            </w:tcBorders>
            <w:vAlign w:val="center"/>
          </w:tcPr>
          <w:p w14:paraId="03EC8A71">
            <w:pPr>
              <w:spacing w:before="0" w:after="0" w:line="240" w:lineRule="auto"/>
              <w:jc w:val="center"/>
            </w:pPr>
            <w:r>
              <w:rPr>
                <w:rFonts w:ascii="宋体" w:hAnsi="宋体" w:eastAsia="宋体"/>
                <w:sz w:val="14"/>
              </w:rPr>
              <w:t>及时出具相关审查意见</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504B0CE8">
            <w:pPr>
              <w:spacing w:before="0" w:after="0" w:line="240" w:lineRule="auto"/>
              <w:jc w:val="center"/>
            </w:pPr>
            <w:r>
              <w:rPr>
                <w:rFonts w:ascii="宋体" w:hAnsi="宋体" w:eastAsia="宋体"/>
                <w:sz w:val="14"/>
              </w:rPr>
              <w:t>3</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228F51D3">
            <w:pPr>
              <w:spacing w:before="0" w:after="0" w:line="240" w:lineRule="auto"/>
              <w:jc w:val="center"/>
            </w:pPr>
            <w:r>
              <w:rPr>
                <w:rFonts w:ascii="宋体" w:hAnsi="宋体" w:eastAsia="宋体"/>
                <w:sz w:val="14"/>
              </w:rPr>
              <w:t>&lt;=20工作日</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587D46F1">
            <w:pPr>
              <w:spacing w:before="0" w:after="0" w:line="240" w:lineRule="auto"/>
              <w:jc w:val="center"/>
            </w:pPr>
            <w:r>
              <w:rPr>
                <w:rFonts w:ascii="宋体" w:hAnsi="宋体" w:eastAsia="宋体"/>
                <w:sz w:val="14"/>
              </w:rPr>
              <w:t>=20工作日</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17BE964B">
            <w:pPr>
              <w:spacing w:before="0" w:after="0" w:line="240" w:lineRule="auto"/>
              <w:jc w:val="center"/>
              <w:rPr>
                <w:rFonts w:hint="eastAsia" w:eastAsia="宋体"/>
                <w:lang w:val="en-US" w:eastAsia="zh-CN"/>
              </w:rPr>
            </w:pPr>
            <w:r>
              <w:rPr>
                <w:rFonts w:ascii="宋体" w:hAnsi="宋体" w:eastAsia="宋体"/>
                <w:sz w:val="14"/>
              </w:rPr>
              <w:t>100</w:t>
            </w:r>
            <w:r>
              <w:rPr>
                <w:rFonts w:hint="eastAsia" w:ascii="宋体" w:hAnsi="宋体"/>
                <w:sz w:val="14"/>
                <w:lang w:val="en-US" w:eastAsia="zh-CN"/>
              </w:rPr>
              <w:t>%</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0D16F22E">
            <w:pPr>
              <w:spacing w:before="0" w:after="0" w:line="240" w:lineRule="auto"/>
              <w:jc w:val="center"/>
            </w:pPr>
            <w:r>
              <w:rPr>
                <w:rFonts w:ascii="宋体" w:hAnsi="宋体" w:eastAsia="宋体"/>
                <w:sz w:val="14"/>
              </w:rPr>
              <w:t>3</w:t>
            </w:r>
          </w:p>
        </w:tc>
        <w:tc>
          <w:tcPr>
            <w:tcW w:w="542" w:type="dxa"/>
            <w:tcBorders>
              <w:top w:val="single" w:color="auto" w:sz="10" w:space="0"/>
              <w:left w:val="single" w:color="auto" w:sz="10" w:space="0"/>
              <w:bottom w:val="single" w:color="auto" w:sz="10" w:space="0"/>
              <w:right w:val="single" w:color="auto" w:sz="10" w:space="0"/>
              <w:insideV w:val="single" w:sz="10" w:space="0"/>
            </w:tcBorders>
            <w:vAlign w:val="center"/>
          </w:tcPr>
          <w:p w14:paraId="0E890660">
            <w:pPr>
              <w:spacing w:before="0" w:after="0" w:line="240" w:lineRule="auto"/>
              <w:jc w:val="center"/>
            </w:pPr>
            <w:r>
              <w:rPr>
                <w:rFonts w:ascii="宋体" w:hAnsi="宋体" w:eastAsia="宋体"/>
                <w:sz w:val="14"/>
              </w:rPr>
              <w:t>计划标准</w:t>
            </w:r>
          </w:p>
        </w:tc>
        <w:tc>
          <w:tcPr>
            <w:tcW w:w="542" w:type="dxa"/>
            <w:tcBorders>
              <w:top w:val="single" w:color="auto" w:sz="10" w:space="0"/>
              <w:left w:val="single" w:color="auto" w:sz="10" w:space="0"/>
              <w:bottom w:val="single" w:color="auto" w:sz="10" w:space="0"/>
              <w:right w:val="single" w:color="auto" w:sz="10" w:space="0"/>
              <w:insideV w:val="single" w:sz="10" w:space="0"/>
            </w:tcBorders>
            <w:vAlign w:val="center"/>
          </w:tcPr>
          <w:p w14:paraId="6F8C8A7B">
            <w:pPr>
              <w:spacing w:before="0" w:after="0" w:line="240" w:lineRule="auto"/>
              <w:jc w:val="center"/>
            </w:pPr>
            <w:r>
              <w:rPr>
                <w:rFonts w:ascii="宋体" w:hAnsi="宋体" w:eastAsia="宋体"/>
                <w:sz w:val="14"/>
              </w:rPr>
              <w:t>-</w:t>
            </w:r>
          </w:p>
        </w:tc>
        <w:tc>
          <w:tcPr>
            <w:tcW w:w="548" w:type="dxa"/>
            <w:tcBorders>
              <w:top w:val="single" w:color="auto" w:sz="10" w:space="0"/>
              <w:left w:val="single" w:color="auto" w:sz="10" w:space="0"/>
              <w:bottom w:val="single" w:color="auto" w:sz="10" w:space="0"/>
              <w:right w:val="single" w:color="auto" w:sz="10" w:space="0"/>
              <w:insideV w:val="single" w:sz="10" w:space="0"/>
            </w:tcBorders>
            <w:vAlign w:val="center"/>
          </w:tcPr>
          <w:p w14:paraId="6E2F3725">
            <w:pPr>
              <w:spacing w:before="0" w:after="0" w:line="240" w:lineRule="auto"/>
              <w:jc w:val="center"/>
            </w:pPr>
            <w:r>
              <w:rPr>
                <w:rFonts w:ascii="宋体" w:hAnsi="宋体" w:eastAsia="宋体"/>
                <w:sz w:val="14"/>
              </w:rPr>
              <w:t>按照完成比例赋分</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48539906">
            <w:pPr>
              <w:spacing w:before="0" w:after="0" w:line="240" w:lineRule="auto"/>
              <w:jc w:val="center"/>
            </w:pPr>
            <w:r>
              <w:rPr>
                <w:rFonts w:ascii="宋体" w:hAnsi="宋体" w:eastAsia="宋体"/>
                <w:sz w:val="14"/>
              </w:rPr>
              <w:t>工作资料</w:t>
            </w:r>
          </w:p>
        </w:tc>
        <w:tc>
          <w:tcPr>
            <w:tcW w:w="563" w:type="dxa"/>
            <w:tcBorders>
              <w:top w:val="single" w:color="auto" w:sz="10" w:space="0"/>
              <w:left w:val="single" w:color="auto" w:sz="10" w:space="0"/>
              <w:bottom w:val="single" w:color="auto" w:sz="10" w:space="0"/>
              <w:right w:val="single" w:color="auto" w:sz="10" w:space="0"/>
              <w:insideV w:val="single" w:sz="10" w:space="0"/>
            </w:tcBorders>
            <w:vAlign w:val="center"/>
          </w:tcPr>
          <w:p w14:paraId="5F5E2974">
            <w:pPr>
              <w:spacing w:before="0" w:after="0" w:line="240" w:lineRule="auto"/>
              <w:jc w:val="center"/>
            </w:pPr>
          </w:p>
        </w:tc>
      </w:tr>
      <w:tr w14:paraId="661627D8">
        <w:tblPrEx>
          <w:tblCellMar>
            <w:top w:w="36" w:type="dxa"/>
            <w:left w:w="36" w:type="dxa"/>
            <w:bottom w:w="36" w:type="dxa"/>
            <w:right w:w="36" w:type="dxa"/>
          </w:tblCellMar>
        </w:tblPrEx>
        <w:tc>
          <w:tcPr>
            <w:tcW w:w="541" w:type="dxa"/>
            <w:vMerge w:val="continue"/>
            <w:tcBorders>
              <w:top w:val="single" w:color="auto" w:sz="10" w:space="0"/>
              <w:left w:val="single" w:color="auto" w:sz="10" w:space="0"/>
              <w:bottom w:val="single" w:color="auto" w:sz="10" w:space="0"/>
              <w:right w:val="single" w:color="auto" w:sz="10" w:space="0"/>
              <w:insideV w:val="single" w:sz="10" w:space="0"/>
            </w:tcBorders>
          </w:tcPr>
          <w:p w14:paraId="7B6B5F75"/>
        </w:tc>
        <w:tc>
          <w:tcPr>
            <w:tcW w:w="54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9D20B4">
            <w:pPr>
              <w:spacing w:before="0" w:after="0" w:line="240" w:lineRule="auto"/>
              <w:jc w:val="center"/>
            </w:pPr>
            <w:r>
              <w:rPr>
                <w:rFonts w:ascii="宋体" w:hAnsi="宋体" w:eastAsia="宋体"/>
                <w:sz w:val="14"/>
              </w:rPr>
              <w:t>成本指标</w:t>
            </w:r>
          </w:p>
        </w:tc>
        <w:tc>
          <w:tcPr>
            <w:tcW w:w="542" w:type="dxa"/>
            <w:tcBorders>
              <w:top w:val="single" w:color="auto" w:sz="10" w:space="0"/>
              <w:left w:val="single" w:color="auto" w:sz="10" w:space="0"/>
              <w:bottom w:val="single" w:color="auto" w:sz="10" w:space="0"/>
              <w:right w:val="single" w:color="auto" w:sz="10" w:space="0"/>
              <w:insideV w:val="single" w:sz="10" w:space="0"/>
            </w:tcBorders>
            <w:vAlign w:val="center"/>
          </w:tcPr>
          <w:p w14:paraId="4CF729DC">
            <w:pPr>
              <w:spacing w:before="0" w:after="0" w:line="240" w:lineRule="auto"/>
              <w:jc w:val="center"/>
            </w:pPr>
            <w:r>
              <w:rPr>
                <w:rFonts w:ascii="宋体" w:hAnsi="宋体" w:eastAsia="宋体"/>
                <w:sz w:val="14"/>
              </w:rPr>
              <w:t>经济成本指标</w:t>
            </w:r>
          </w:p>
        </w:tc>
        <w:tc>
          <w:tcPr>
            <w:tcW w:w="912" w:type="dxa"/>
            <w:tcBorders>
              <w:top w:val="single" w:color="auto" w:sz="10" w:space="0"/>
              <w:left w:val="single" w:color="auto" w:sz="10" w:space="0"/>
              <w:bottom w:val="single" w:color="auto" w:sz="10" w:space="0"/>
              <w:right w:val="single" w:color="auto" w:sz="10" w:space="0"/>
              <w:insideV w:val="single" w:sz="10" w:space="0"/>
            </w:tcBorders>
            <w:vAlign w:val="center"/>
          </w:tcPr>
          <w:p w14:paraId="304508B4">
            <w:pPr>
              <w:spacing w:before="0" w:after="0" w:line="240" w:lineRule="auto"/>
              <w:jc w:val="center"/>
            </w:pPr>
            <w:r>
              <w:rPr>
                <w:rFonts w:ascii="宋体" w:hAnsi="宋体" w:eastAsia="宋体"/>
                <w:sz w:val="14"/>
              </w:rPr>
              <w:t>关键技术研究成本</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0ECE0A9C">
            <w:pPr>
              <w:spacing w:before="0" w:after="0" w:line="240" w:lineRule="auto"/>
              <w:jc w:val="center"/>
            </w:pPr>
            <w:r>
              <w:rPr>
                <w:rFonts w:ascii="宋体" w:hAnsi="宋体" w:eastAsia="宋体"/>
                <w:sz w:val="14"/>
              </w:rPr>
              <w:t>9</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0A1FB479">
            <w:pPr>
              <w:spacing w:before="0" w:after="0" w:line="240" w:lineRule="auto"/>
              <w:jc w:val="center"/>
            </w:pPr>
            <w:r>
              <w:rPr>
                <w:rFonts w:ascii="宋体" w:hAnsi="宋体" w:eastAsia="宋体"/>
                <w:sz w:val="14"/>
              </w:rPr>
              <w:t>&lt;=137万元</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300DF450">
            <w:pPr>
              <w:spacing w:before="0" w:after="0" w:line="240" w:lineRule="auto"/>
              <w:jc w:val="center"/>
            </w:pPr>
            <w:r>
              <w:rPr>
                <w:rFonts w:ascii="宋体" w:hAnsi="宋体" w:eastAsia="宋体"/>
                <w:sz w:val="14"/>
              </w:rPr>
              <w:t>=137万元</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09A0E16E">
            <w:pPr>
              <w:spacing w:before="0" w:after="0" w:line="240" w:lineRule="auto"/>
              <w:jc w:val="center"/>
              <w:rPr>
                <w:rFonts w:hint="eastAsia" w:eastAsia="宋体"/>
                <w:lang w:val="en-US" w:eastAsia="zh-CN"/>
              </w:rPr>
            </w:pPr>
            <w:r>
              <w:rPr>
                <w:rFonts w:ascii="宋体" w:hAnsi="宋体" w:eastAsia="宋体"/>
                <w:sz w:val="14"/>
              </w:rPr>
              <w:t>100</w:t>
            </w:r>
            <w:r>
              <w:rPr>
                <w:rFonts w:hint="eastAsia" w:ascii="宋体" w:hAnsi="宋体"/>
                <w:sz w:val="14"/>
                <w:lang w:val="en-US" w:eastAsia="zh-CN"/>
              </w:rPr>
              <w:t>%</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7B9EA271">
            <w:pPr>
              <w:spacing w:before="0" w:after="0" w:line="240" w:lineRule="auto"/>
              <w:jc w:val="center"/>
            </w:pPr>
            <w:r>
              <w:rPr>
                <w:rFonts w:ascii="宋体" w:hAnsi="宋体" w:eastAsia="宋体"/>
                <w:sz w:val="14"/>
              </w:rPr>
              <w:t>9</w:t>
            </w:r>
          </w:p>
        </w:tc>
        <w:tc>
          <w:tcPr>
            <w:tcW w:w="542" w:type="dxa"/>
            <w:tcBorders>
              <w:top w:val="single" w:color="auto" w:sz="10" w:space="0"/>
              <w:left w:val="single" w:color="auto" w:sz="10" w:space="0"/>
              <w:bottom w:val="single" w:color="auto" w:sz="10" w:space="0"/>
              <w:right w:val="single" w:color="auto" w:sz="10" w:space="0"/>
              <w:insideV w:val="single" w:sz="10" w:space="0"/>
            </w:tcBorders>
            <w:vAlign w:val="center"/>
          </w:tcPr>
          <w:p w14:paraId="4157DF56">
            <w:pPr>
              <w:spacing w:before="0" w:after="0" w:line="240" w:lineRule="auto"/>
              <w:jc w:val="center"/>
            </w:pPr>
            <w:r>
              <w:rPr>
                <w:rFonts w:ascii="宋体" w:hAnsi="宋体" w:eastAsia="宋体"/>
                <w:sz w:val="14"/>
              </w:rPr>
              <w:t>计划标准</w:t>
            </w:r>
          </w:p>
        </w:tc>
        <w:tc>
          <w:tcPr>
            <w:tcW w:w="542" w:type="dxa"/>
            <w:tcBorders>
              <w:top w:val="single" w:color="auto" w:sz="10" w:space="0"/>
              <w:left w:val="single" w:color="auto" w:sz="10" w:space="0"/>
              <w:bottom w:val="single" w:color="auto" w:sz="10" w:space="0"/>
              <w:right w:val="single" w:color="auto" w:sz="10" w:space="0"/>
              <w:insideV w:val="single" w:sz="10" w:space="0"/>
            </w:tcBorders>
            <w:vAlign w:val="center"/>
          </w:tcPr>
          <w:p w14:paraId="192964E7">
            <w:pPr>
              <w:spacing w:before="0" w:after="0" w:line="240" w:lineRule="auto"/>
              <w:jc w:val="center"/>
            </w:pPr>
            <w:r>
              <w:rPr>
                <w:rFonts w:ascii="宋体" w:hAnsi="宋体" w:eastAsia="宋体"/>
                <w:sz w:val="14"/>
              </w:rPr>
              <w:t>-</w:t>
            </w:r>
          </w:p>
        </w:tc>
        <w:tc>
          <w:tcPr>
            <w:tcW w:w="548" w:type="dxa"/>
            <w:tcBorders>
              <w:top w:val="single" w:color="auto" w:sz="10" w:space="0"/>
              <w:left w:val="single" w:color="auto" w:sz="10" w:space="0"/>
              <w:bottom w:val="single" w:color="auto" w:sz="10" w:space="0"/>
              <w:right w:val="single" w:color="auto" w:sz="10" w:space="0"/>
              <w:insideV w:val="single" w:sz="10" w:space="0"/>
            </w:tcBorders>
            <w:vAlign w:val="center"/>
          </w:tcPr>
          <w:p w14:paraId="66AA4544">
            <w:pPr>
              <w:spacing w:before="0" w:after="0" w:line="240" w:lineRule="auto"/>
              <w:jc w:val="center"/>
            </w:pPr>
            <w:r>
              <w:rPr>
                <w:rFonts w:ascii="宋体" w:hAnsi="宋体" w:eastAsia="宋体"/>
                <w:sz w:val="14"/>
              </w:rPr>
              <w:t>按照完成比例赋分</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6C6994F0">
            <w:pPr>
              <w:spacing w:before="0" w:after="0" w:line="240" w:lineRule="auto"/>
              <w:jc w:val="center"/>
            </w:pPr>
            <w:r>
              <w:rPr>
                <w:rFonts w:ascii="宋体" w:hAnsi="宋体" w:eastAsia="宋体"/>
                <w:sz w:val="14"/>
              </w:rPr>
              <w:t>原始凭证</w:t>
            </w:r>
          </w:p>
        </w:tc>
        <w:tc>
          <w:tcPr>
            <w:tcW w:w="563" w:type="dxa"/>
            <w:tcBorders>
              <w:top w:val="single" w:color="auto" w:sz="10" w:space="0"/>
              <w:left w:val="single" w:color="auto" w:sz="10" w:space="0"/>
              <w:bottom w:val="single" w:color="auto" w:sz="10" w:space="0"/>
              <w:right w:val="single" w:color="auto" w:sz="10" w:space="0"/>
              <w:insideV w:val="single" w:sz="10" w:space="0"/>
            </w:tcBorders>
            <w:vAlign w:val="center"/>
          </w:tcPr>
          <w:p w14:paraId="19F3B0EC">
            <w:pPr>
              <w:spacing w:before="0" w:after="0" w:line="240" w:lineRule="auto"/>
              <w:jc w:val="center"/>
            </w:pPr>
          </w:p>
        </w:tc>
      </w:tr>
      <w:tr w14:paraId="17D0443D">
        <w:tblPrEx>
          <w:tblCellMar>
            <w:top w:w="36" w:type="dxa"/>
            <w:left w:w="36" w:type="dxa"/>
            <w:bottom w:w="36" w:type="dxa"/>
            <w:right w:w="36" w:type="dxa"/>
          </w:tblCellMar>
        </w:tblPrEx>
        <w:tc>
          <w:tcPr>
            <w:tcW w:w="541" w:type="dxa"/>
            <w:vMerge w:val="continue"/>
            <w:tcBorders>
              <w:top w:val="single" w:color="auto" w:sz="10" w:space="0"/>
              <w:left w:val="single" w:color="auto" w:sz="10" w:space="0"/>
              <w:bottom w:val="single" w:color="auto" w:sz="10" w:space="0"/>
              <w:right w:val="single" w:color="auto" w:sz="10" w:space="0"/>
              <w:insideV w:val="single" w:sz="10" w:space="0"/>
            </w:tcBorders>
          </w:tcPr>
          <w:p w14:paraId="471690DC"/>
        </w:tc>
        <w:tc>
          <w:tcPr>
            <w:tcW w:w="542" w:type="dxa"/>
            <w:vMerge w:val="continue"/>
            <w:tcBorders>
              <w:top w:val="single" w:color="auto" w:sz="10" w:space="0"/>
              <w:left w:val="single" w:color="auto" w:sz="10" w:space="0"/>
              <w:bottom w:val="single" w:color="auto" w:sz="10" w:space="0"/>
              <w:right w:val="single" w:color="auto" w:sz="10" w:space="0"/>
              <w:insideV w:val="single" w:sz="10" w:space="0"/>
            </w:tcBorders>
          </w:tcPr>
          <w:p w14:paraId="6885E0B0"/>
        </w:tc>
        <w:tc>
          <w:tcPr>
            <w:tcW w:w="542" w:type="dxa"/>
            <w:tcBorders>
              <w:top w:val="single" w:color="auto" w:sz="10" w:space="0"/>
              <w:left w:val="single" w:color="auto" w:sz="10" w:space="0"/>
              <w:bottom w:val="single" w:color="auto" w:sz="10" w:space="0"/>
              <w:right w:val="single" w:color="auto" w:sz="10" w:space="0"/>
              <w:insideV w:val="single" w:sz="10" w:space="0"/>
            </w:tcBorders>
            <w:vAlign w:val="center"/>
          </w:tcPr>
          <w:p w14:paraId="232A8791">
            <w:pPr>
              <w:spacing w:before="0" w:after="0" w:line="240" w:lineRule="auto"/>
              <w:jc w:val="center"/>
            </w:pPr>
            <w:r>
              <w:rPr>
                <w:rFonts w:ascii="宋体" w:hAnsi="宋体" w:eastAsia="宋体"/>
                <w:sz w:val="14"/>
              </w:rPr>
              <w:t>经济成本指标</w:t>
            </w:r>
          </w:p>
        </w:tc>
        <w:tc>
          <w:tcPr>
            <w:tcW w:w="912" w:type="dxa"/>
            <w:tcBorders>
              <w:top w:val="single" w:color="auto" w:sz="10" w:space="0"/>
              <w:left w:val="single" w:color="auto" w:sz="10" w:space="0"/>
              <w:bottom w:val="single" w:color="auto" w:sz="10" w:space="0"/>
              <w:right w:val="single" w:color="auto" w:sz="10" w:space="0"/>
              <w:insideV w:val="single" w:sz="10" w:space="0"/>
            </w:tcBorders>
            <w:vAlign w:val="center"/>
          </w:tcPr>
          <w:p w14:paraId="7590981B">
            <w:pPr>
              <w:spacing w:before="0" w:after="0" w:line="240" w:lineRule="auto"/>
              <w:jc w:val="center"/>
            </w:pPr>
            <w:r>
              <w:rPr>
                <w:rFonts w:ascii="宋体" w:hAnsi="宋体" w:eastAsia="宋体"/>
                <w:sz w:val="14"/>
              </w:rPr>
              <w:t>现场踏勘、调研成本</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3E9CABC5">
            <w:pPr>
              <w:spacing w:before="0" w:after="0" w:line="240" w:lineRule="auto"/>
              <w:jc w:val="center"/>
            </w:pPr>
            <w:r>
              <w:rPr>
                <w:rFonts w:ascii="宋体" w:hAnsi="宋体" w:eastAsia="宋体"/>
                <w:sz w:val="14"/>
              </w:rPr>
              <w:t>5</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527D4CF1">
            <w:pPr>
              <w:spacing w:before="0" w:after="0" w:line="240" w:lineRule="auto"/>
              <w:jc w:val="center"/>
            </w:pPr>
            <w:r>
              <w:rPr>
                <w:rFonts w:ascii="宋体" w:hAnsi="宋体" w:eastAsia="宋体"/>
                <w:sz w:val="14"/>
              </w:rPr>
              <w:t>&lt;=98.12万元</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4B03DD38">
            <w:pPr>
              <w:spacing w:before="0" w:after="0" w:line="240" w:lineRule="auto"/>
              <w:jc w:val="center"/>
            </w:pPr>
            <w:r>
              <w:rPr>
                <w:rFonts w:ascii="宋体" w:hAnsi="宋体" w:eastAsia="宋体"/>
                <w:sz w:val="14"/>
              </w:rPr>
              <w:t>=98.12万元</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016412BF">
            <w:pPr>
              <w:spacing w:before="0" w:after="0" w:line="240" w:lineRule="auto"/>
              <w:jc w:val="center"/>
              <w:rPr>
                <w:rFonts w:hint="eastAsia" w:eastAsia="宋体"/>
                <w:lang w:val="en-US" w:eastAsia="zh-CN"/>
              </w:rPr>
            </w:pPr>
            <w:r>
              <w:rPr>
                <w:rFonts w:ascii="宋体" w:hAnsi="宋体" w:eastAsia="宋体"/>
                <w:sz w:val="14"/>
              </w:rPr>
              <w:t>100</w:t>
            </w:r>
            <w:r>
              <w:rPr>
                <w:rFonts w:hint="eastAsia" w:ascii="宋体" w:hAnsi="宋体"/>
                <w:sz w:val="14"/>
                <w:lang w:val="en-US" w:eastAsia="zh-CN"/>
              </w:rPr>
              <w:t>%</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476EFCA3">
            <w:pPr>
              <w:spacing w:before="0" w:after="0" w:line="240" w:lineRule="auto"/>
              <w:jc w:val="center"/>
            </w:pPr>
            <w:r>
              <w:rPr>
                <w:rFonts w:ascii="宋体" w:hAnsi="宋体" w:eastAsia="宋体"/>
                <w:sz w:val="14"/>
              </w:rPr>
              <w:t>5</w:t>
            </w:r>
          </w:p>
        </w:tc>
        <w:tc>
          <w:tcPr>
            <w:tcW w:w="542" w:type="dxa"/>
            <w:tcBorders>
              <w:top w:val="single" w:color="auto" w:sz="10" w:space="0"/>
              <w:left w:val="single" w:color="auto" w:sz="10" w:space="0"/>
              <w:bottom w:val="single" w:color="auto" w:sz="10" w:space="0"/>
              <w:right w:val="single" w:color="auto" w:sz="10" w:space="0"/>
              <w:insideV w:val="single" w:sz="10" w:space="0"/>
            </w:tcBorders>
            <w:vAlign w:val="center"/>
          </w:tcPr>
          <w:p w14:paraId="5DE51BEF">
            <w:pPr>
              <w:spacing w:before="0" w:after="0" w:line="240" w:lineRule="auto"/>
              <w:jc w:val="center"/>
            </w:pPr>
            <w:r>
              <w:rPr>
                <w:rFonts w:ascii="宋体" w:hAnsi="宋体" w:eastAsia="宋体"/>
                <w:sz w:val="14"/>
              </w:rPr>
              <w:t>计划标准</w:t>
            </w:r>
          </w:p>
        </w:tc>
        <w:tc>
          <w:tcPr>
            <w:tcW w:w="542" w:type="dxa"/>
            <w:tcBorders>
              <w:top w:val="single" w:color="auto" w:sz="10" w:space="0"/>
              <w:left w:val="single" w:color="auto" w:sz="10" w:space="0"/>
              <w:bottom w:val="single" w:color="auto" w:sz="10" w:space="0"/>
              <w:right w:val="single" w:color="auto" w:sz="10" w:space="0"/>
              <w:insideV w:val="single" w:sz="10" w:space="0"/>
            </w:tcBorders>
            <w:vAlign w:val="center"/>
          </w:tcPr>
          <w:p w14:paraId="01C9D628">
            <w:pPr>
              <w:spacing w:before="0" w:after="0" w:line="240" w:lineRule="auto"/>
              <w:jc w:val="center"/>
            </w:pPr>
            <w:r>
              <w:rPr>
                <w:rFonts w:ascii="宋体" w:hAnsi="宋体" w:eastAsia="宋体"/>
                <w:sz w:val="14"/>
              </w:rPr>
              <w:t>-</w:t>
            </w:r>
          </w:p>
        </w:tc>
        <w:tc>
          <w:tcPr>
            <w:tcW w:w="548" w:type="dxa"/>
            <w:tcBorders>
              <w:top w:val="single" w:color="auto" w:sz="10" w:space="0"/>
              <w:left w:val="single" w:color="auto" w:sz="10" w:space="0"/>
              <w:bottom w:val="single" w:color="auto" w:sz="10" w:space="0"/>
              <w:right w:val="single" w:color="auto" w:sz="10" w:space="0"/>
              <w:insideV w:val="single" w:sz="10" w:space="0"/>
            </w:tcBorders>
            <w:vAlign w:val="center"/>
          </w:tcPr>
          <w:p w14:paraId="4E7B4847">
            <w:pPr>
              <w:spacing w:before="0" w:after="0" w:line="240" w:lineRule="auto"/>
              <w:jc w:val="center"/>
            </w:pPr>
            <w:r>
              <w:rPr>
                <w:rFonts w:ascii="宋体" w:hAnsi="宋体" w:eastAsia="宋体"/>
                <w:sz w:val="14"/>
              </w:rPr>
              <w:t>按照完成比例赋分</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741544D4">
            <w:pPr>
              <w:spacing w:before="0" w:after="0" w:line="240" w:lineRule="auto"/>
              <w:jc w:val="center"/>
            </w:pPr>
            <w:r>
              <w:rPr>
                <w:rFonts w:ascii="宋体" w:hAnsi="宋体" w:eastAsia="宋体"/>
                <w:sz w:val="14"/>
              </w:rPr>
              <w:t>原始凭证</w:t>
            </w:r>
          </w:p>
        </w:tc>
        <w:tc>
          <w:tcPr>
            <w:tcW w:w="563" w:type="dxa"/>
            <w:tcBorders>
              <w:top w:val="single" w:color="auto" w:sz="10" w:space="0"/>
              <w:left w:val="single" w:color="auto" w:sz="10" w:space="0"/>
              <w:bottom w:val="single" w:color="auto" w:sz="10" w:space="0"/>
              <w:right w:val="single" w:color="auto" w:sz="10" w:space="0"/>
              <w:insideV w:val="single" w:sz="10" w:space="0"/>
            </w:tcBorders>
            <w:vAlign w:val="center"/>
          </w:tcPr>
          <w:p w14:paraId="7252084C">
            <w:pPr>
              <w:spacing w:before="0" w:after="0" w:line="240" w:lineRule="auto"/>
              <w:jc w:val="center"/>
            </w:pPr>
          </w:p>
        </w:tc>
      </w:tr>
      <w:tr w14:paraId="6E2D378F">
        <w:tblPrEx>
          <w:tblCellMar>
            <w:top w:w="36" w:type="dxa"/>
            <w:left w:w="36" w:type="dxa"/>
            <w:bottom w:w="36" w:type="dxa"/>
            <w:right w:w="36" w:type="dxa"/>
          </w:tblCellMar>
        </w:tblPrEx>
        <w:tc>
          <w:tcPr>
            <w:tcW w:w="541" w:type="dxa"/>
            <w:vMerge w:val="continue"/>
            <w:tcBorders>
              <w:top w:val="single" w:color="auto" w:sz="10" w:space="0"/>
              <w:left w:val="single" w:color="auto" w:sz="10" w:space="0"/>
              <w:bottom w:val="single" w:color="auto" w:sz="10" w:space="0"/>
              <w:right w:val="single" w:color="auto" w:sz="10" w:space="0"/>
              <w:insideV w:val="single" w:sz="10" w:space="0"/>
            </w:tcBorders>
          </w:tcPr>
          <w:p w14:paraId="444C0176"/>
        </w:tc>
        <w:tc>
          <w:tcPr>
            <w:tcW w:w="542" w:type="dxa"/>
            <w:vMerge w:val="continue"/>
            <w:tcBorders>
              <w:top w:val="single" w:color="auto" w:sz="10" w:space="0"/>
              <w:left w:val="single" w:color="auto" w:sz="10" w:space="0"/>
              <w:bottom w:val="single" w:color="auto" w:sz="10" w:space="0"/>
              <w:right w:val="single" w:color="auto" w:sz="10" w:space="0"/>
              <w:insideV w:val="single" w:sz="10" w:space="0"/>
            </w:tcBorders>
          </w:tcPr>
          <w:p w14:paraId="2143F1F6"/>
        </w:tc>
        <w:tc>
          <w:tcPr>
            <w:tcW w:w="542" w:type="dxa"/>
            <w:tcBorders>
              <w:top w:val="single" w:color="auto" w:sz="10" w:space="0"/>
              <w:left w:val="single" w:color="auto" w:sz="10" w:space="0"/>
              <w:bottom w:val="single" w:color="auto" w:sz="10" w:space="0"/>
              <w:right w:val="single" w:color="auto" w:sz="10" w:space="0"/>
              <w:insideV w:val="single" w:sz="10" w:space="0"/>
            </w:tcBorders>
            <w:vAlign w:val="center"/>
          </w:tcPr>
          <w:p w14:paraId="2549296F">
            <w:pPr>
              <w:spacing w:before="0" w:after="0" w:line="240" w:lineRule="auto"/>
              <w:jc w:val="center"/>
            </w:pPr>
            <w:r>
              <w:rPr>
                <w:rFonts w:ascii="宋体" w:hAnsi="宋体" w:eastAsia="宋体"/>
                <w:sz w:val="14"/>
              </w:rPr>
              <w:t>经济成本指标</w:t>
            </w:r>
          </w:p>
        </w:tc>
        <w:tc>
          <w:tcPr>
            <w:tcW w:w="912" w:type="dxa"/>
            <w:tcBorders>
              <w:top w:val="single" w:color="auto" w:sz="10" w:space="0"/>
              <w:left w:val="single" w:color="auto" w:sz="10" w:space="0"/>
              <w:bottom w:val="single" w:color="auto" w:sz="10" w:space="0"/>
              <w:right w:val="single" w:color="auto" w:sz="10" w:space="0"/>
              <w:insideV w:val="single" w:sz="10" w:space="0"/>
            </w:tcBorders>
            <w:vAlign w:val="center"/>
          </w:tcPr>
          <w:p w14:paraId="65D39BA4">
            <w:pPr>
              <w:spacing w:before="0" w:after="0" w:line="240" w:lineRule="auto"/>
              <w:jc w:val="center"/>
            </w:pPr>
            <w:r>
              <w:rPr>
                <w:rFonts w:ascii="宋体" w:hAnsi="宋体" w:eastAsia="宋体"/>
                <w:sz w:val="14"/>
              </w:rPr>
              <w:t>专家咨询费</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6DA60BEC">
            <w:pPr>
              <w:spacing w:before="0" w:after="0" w:line="240" w:lineRule="auto"/>
              <w:jc w:val="center"/>
            </w:pPr>
            <w:r>
              <w:rPr>
                <w:rFonts w:ascii="宋体" w:hAnsi="宋体" w:eastAsia="宋体"/>
                <w:sz w:val="14"/>
              </w:rPr>
              <w:t>3</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7D828B69">
            <w:pPr>
              <w:spacing w:before="0" w:after="0" w:line="240" w:lineRule="auto"/>
              <w:jc w:val="center"/>
            </w:pPr>
            <w:r>
              <w:rPr>
                <w:rFonts w:ascii="宋体" w:hAnsi="宋体" w:eastAsia="宋体"/>
                <w:sz w:val="14"/>
              </w:rPr>
              <w:t>&lt;=15.40万元</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5CE49E92">
            <w:pPr>
              <w:spacing w:before="0" w:after="0" w:line="240" w:lineRule="auto"/>
              <w:jc w:val="center"/>
            </w:pPr>
            <w:r>
              <w:rPr>
                <w:rFonts w:ascii="宋体" w:hAnsi="宋体" w:eastAsia="宋体"/>
                <w:sz w:val="14"/>
              </w:rPr>
              <w:t>=15万元</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3C76CE5C">
            <w:pPr>
              <w:spacing w:before="0" w:after="0" w:line="240" w:lineRule="auto"/>
              <w:jc w:val="center"/>
              <w:rPr>
                <w:rFonts w:hint="eastAsia" w:eastAsia="宋体"/>
                <w:lang w:val="en-US" w:eastAsia="zh-CN"/>
              </w:rPr>
            </w:pPr>
            <w:r>
              <w:rPr>
                <w:rFonts w:ascii="宋体" w:hAnsi="宋体" w:eastAsia="宋体"/>
                <w:sz w:val="14"/>
              </w:rPr>
              <w:t>97.4</w:t>
            </w:r>
            <w:r>
              <w:rPr>
                <w:rFonts w:hint="eastAsia" w:ascii="宋体" w:hAnsi="宋体"/>
                <w:sz w:val="14"/>
                <w:lang w:val="en-US" w:eastAsia="zh-CN"/>
              </w:rPr>
              <w:t>%</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56B6F2E8">
            <w:pPr>
              <w:spacing w:before="0" w:after="0" w:line="240" w:lineRule="auto"/>
              <w:jc w:val="center"/>
            </w:pPr>
            <w:r>
              <w:rPr>
                <w:rFonts w:ascii="宋体" w:hAnsi="宋体" w:eastAsia="宋体"/>
                <w:sz w:val="14"/>
              </w:rPr>
              <w:t>2.81</w:t>
            </w:r>
          </w:p>
        </w:tc>
        <w:tc>
          <w:tcPr>
            <w:tcW w:w="542" w:type="dxa"/>
            <w:tcBorders>
              <w:top w:val="single" w:color="auto" w:sz="10" w:space="0"/>
              <w:left w:val="single" w:color="auto" w:sz="10" w:space="0"/>
              <w:bottom w:val="single" w:color="auto" w:sz="10" w:space="0"/>
              <w:right w:val="single" w:color="auto" w:sz="10" w:space="0"/>
              <w:insideV w:val="single" w:sz="10" w:space="0"/>
            </w:tcBorders>
            <w:vAlign w:val="center"/>
          </w:tcPr>
          <w:p w14:paraId="3B70AFD2">
            <w:pPr>
              <w:spacing w:before="0" w:after="0" w:line="240" w:lineRule="auto"/>
              <w:jc w:val="center"/>
            </w:pPr>
            <w:r>
              <w:rPr>
                <w:rFonts w:ascii="宋体" w:hAnsi="宋体" w:eastAsia="宋体"/>
                <w:sz w:val="14"/>
              </w:rPr>
              <w:t>计划标准</w:t>
            </w:r>
          </w:p>
        </w:tc>
        <w:tc>
          <w:tcPr>
            <w:tcW w:w="542" w:type="dxa"/>
            <w:tcBorders>
              <w:top w:val="single" w:color="auto" w:sz="10" w:space="0"/>
              <w:left w:val="single" w:color="auto" w:sz="10" w:space="0"/>
              <w:bottom w:val="single" w:color="auto" w:sz="10" w:space="0"/>
              <w:right w:val="single" w:color="auto" w:sz="10" w:space="0"/>
              <w:insideV w:val="single" w:sz="10" w:space="0"/>
            </w:tcBorders>
            <w:vAlign w:val="center"/>
          </w:tcPr>
          <w:p w14:paraId="130BB4F0">
            <w:pPr>
              <w:spacing w:before="0" w:after="0" w:line="240" w:lineRule="auto"/>
              <w:jc w:val="center"/>
            </w:pPr>
            <w:r>
              <w:rPr>
                <w:rFonts w:ascii="宋体" w:hAnsi="宋体" w:eastAsia="宋体"/>
                <w:sz w:val="14"/>
              </w:rPr>
              <w:t>-</w:t>
            </w:r>
          </w:p>
        </w:tc>
        <w:tc>
          <w:tcPr>
            <w:tcW w:w="548" w:type="dxa"/>
            <w:tcBorders>
              <w:top w:val="single" w:color="auto" w:sz="10" w:space="0"/>
              <w:left w:val="single" w:color="auto" w:sz="10" w:space="0"/>
              <w:bottom w:val="single" w:color="auto" w:sz="10" w:space="0"/>
              <w:right w:val="single" w:color="auto" w:sz="10" w:space="0"/>
              <w:insideV w:val="single" w:sz="10" w:space="0"/>
            </w:tcBorders>
            <w:vAlign w:val="center"/>
          </w:tcPr>
          <w:p w14:paraId="202F8BF9">
            <w:pPr>
              <w:spacing w:before="0" w:after="0" w:line="240" w:lineRule="auto"/>
              <w:jc w:val="center"/>
            </w:pPr>
            <w:r>
              <w:rPr>
                <w:rFonts w:ascii="宋体" w:hAnsi="宋体" w:eastAsia="宋体"/>
                <w:sz w:val="14"/>
              </w:rPr>
              <w:t>按照完成比例赋分</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7C988B76">
            <w:pPr>
              <w:spacing w:before="0" w:after="0" w:line="240" w:lineRule="auto"/>
              <w:jc w:val="center"/>
            </w:pPr>
            <w:r>
              <w:rPr>
                <w:rFonts w:ascii="宋体" w:hAnsi="宋体" w:eastAsia="宋体"/>
                <w:sz w:val="14"/>
              </w:rPr>
              <w:t>原始凭证</w:t>
            </w:r>
          </w:p>
        </w:tc>
        <w:tc>
          <w:tcPr>
            <w:tcW w:w="563" w:type="dxa"/>
            <w:tcBorders>
              <w:top w:val="single" w:color="auto" w:sz="10" w:space="0"/>
              <w:left w:val="single" w:color="auto" w:sz="10" w:space="0"/>
              <w:bottom w:val="single" w:color="auto" w:sz="10" w:space="0"/>
              <w:right w:val="single" w:color="auto" w:sz="10" w:space="0"/>
              <w:insideV w:val="single" w:sz="10" w:space="0"/>
            </w:tcBorders>
            <w:vAlign w:val="center"/>
          </w:tcPr>
          <w:p w14:paraId="440515EC">
            <w:pPr>
              <w:spacing w:before="0" w:after="0" w:line="240" w:lineRule="auto"/>
              <w:jc w:val="both"/>
            </w:pPr>
            <w:r>
              <w:rPr>
                <w:rFonts w:ascii="宋体" w:hAnsi="宋体" w:eastAsia="宋体"/>
                <w:sz w:val="14"/>
              </w:rPr>
              <w:t>原因：支付专家咨询费时因农行系统问题使得开户行信息发生变化，导致支付失败，因临近扎</w:t>
            </w:r>
            <w:r>
              <w:rPr>
                <w:rFonts w:hint="eastAsia" w:ascii="宋体" w:hAnsi="宋体"/>
                <w:sz w:val="14"/>
                <w:lang w:eastAsia="zh-CN"/>
              </w:rPr>
              <w:t>账</w:t>
            </w:r>
            <w:r>
              <w:rPr>
                <w:rFonts w:ascii="宋体" w:hAnsi="宋体" w:eastAsia="宋体"/>
                <w:sz w:val="14"/>
              </w:rPr>
              <w:t>，于12月31日该笔费用退回国库。改进措施：每季度资金支付要按进度完成；支付出现问题时，单位相关人员要及时发现问题并解决；要进一步提高资金管理，强化监督，提升支付效率。</w:t>
            </w:r>
          </w:p>
        </w:tc>
      </w:tr>
      <w:tr w14:paraId="3F20FE80">
        <w:tblPrEx>
          <w:tblCellMar>
            <w:top w:w="36" w:type="dxa"/>
            <w:left w:w="36" w:type="dxa"/>
            <w:bottom w:w="36" w:type="dxa"/>
            <w:right w:w="36" w:type="dxa"/>
          </w:tblCellMar>
        </w:tblPrEx>
        <w:tc>
          <w:tcPr>
            <w:tcW w:w="541" w:type="dxa"/>
            <w:vMerge w:val="continue"/>
            <w:tcBorders>
              <w:top w:val="single" w:color="auto" w:sz="10" w:space="0"/>
              <w:left w:val="single" w:color="auto" w:sz="10" w:space="0"/>
              <w:bottom w:val="single" w:color="auto" w:sz="10" w:space="0"/>
              <w:right w:val="single" w:color="auto" w:sz="10" w:space="0"/>
              <w:insideV w:val="single" w:sz="10" w:space="0"/>
            </w:tcBorders>
          </w:tcPr>
          <w:p w14:paraId="662A1E56"/>
        </w:tc>
        <w:tc>
          <w:tcPr>
            <w:tcW w:w="542" w:type="dxa"/>
            <w:vMerge w:val="continue"/>
            <w:tcBorders>
              <w:top w:val="single" w:color="auto" w:sz="10" w:space="0"/>
              <w:left w:val="single" w:color="auto" w:sz="10" w:space="0"/>
              <w:bottom w:val="single" w:color="auto" w:sz="10" w:space="0"/>
              <w:right w:val="single" w:color="auto" w:sz="10" w:space="0"/>
              <w:insideV w:val="single" w:sz="10" w:space="0"/>
            </w:tcBorders>
          </w:tcPr>
          <w:p w14:paraId="2EF12BD6"/>
        </w:tc>
        <w:tc>
          <w:tcPr>
            <w:tcW w:w="542" w:type="dxa"/>
            <w:tcBorders>
              <w:top w:val="single" w:color="auto" w:sz="10" w:space="0"/>
              <w:left w:val="single" w:color="auto" w:sz="10" w:space="0"/>
              <w:bottom w:val="single" w:color="auto" w:sz="10" w:space="0"/>
              <w:right w:val="single" w:color="auto" w:sz="10" w:space="0"/>
              <w:insideV w:val="single" w:sz="10" w:space="0"/>
            </w:tcBorders>
            <w:vAlign w:val="center"/>
          </w:tcPr>
          <w:p w14:paraId="0E15CCBF">
            <w:pPr>
              <w:spacing w:before="0" w:after="0" w:line="240" w:lineRule="auto"/>
              <w:jc w:val="center"/>
            </w:pPr>
            <w:r>
              <w:rPr>
                <w:rFonts w:ascii="宋体" w:hAnsi="宋体" w:eastAsia="宋体"/>
                <w:sz w:val="14"/>
              </w:rPr>
              <w:t>经济成本指标</w:t>
            </w:r>
          </w:p>
        </w:tc>
        <w:tc>
          <w:tcPr>
            <w:tcW w:w="912" w:type="dxa"/>
            <w:tcBorders>
              <w:top w:val="single" w:color="auto" w:sz="10" w:space="0"/>
              <w:left w:val="single" w:color="auto" w:sz="10" w:space="0"/>
              <w:bottom w:val="single" w:color="auto" w:sz="10" w:space="0"/>
              <w:right w:val="single" w:color="auto" w:sz="10" w:space="0"/>
              <w:insideV w:val="single" w:sz="10" w:space="0"/>
            </w:tcBorders>
            <w:vAlign w:val="center"/>
          </w:tcPr>
          <w:p w14:paraId="0545D337">
            <w:pPr>
              <w:spacing w:before="0" w:after="0" w:line="240" w:lineRule="auto"/>
              <w:jc w:val="center"/>
            </w:pPr>
            <w:r>
              <w:rPr>
                <w:rFonts w:ascii="宋体" w:hAnsi="宋体" w:eastAsia="宋体"/>
                <w:sz w:val="14"/>
              </w:rPr>
              <w:t>场地租赁费</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01C1A2AC">
            <w:pPr>
              <w:spacing w:before="0" w:after="0" w:line="240" w:lineRule="auto"/>
              <w:jc w:val="center"/>
            </w:pPr>
            <w:r>
              <w:rPr>
                <w:rFonts w:ascii="宋体" w:hAnsi="宋体" w:eastAsia="宋体"/>
                <w:sz w:val="14"/>
              </w:rPr>
              <w:t>1</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4F15C064">
            <w:pPr>
              <w:spacing w:before="0" w:after="0" w:line="240" w:lineRule="auto"/>
              <w:jc w:val="center"/>
            </w:pPr>
            <w:r>
              <w:rPr>
                <w:rFonts w:ascii="宋体" w:hAnsi="宋体" w:eastAsia="宋体"/>
                <w:sz w:val="14"/>
              </w:rPr>
              <w:t>&lt;=7.5万元</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33200D8B">
            <w:pPr>
              <w:spacing w:before="0" w:after="0" w:line="240" w:lineRule="auto"/>
              <w:jc w:val="center"/>
            </w:pPr>
            <w:r>
              <w:rPr>
                <w:rFonts w:ascii="宋体" w:hAnsi="宋体" w:eastAsia="宋体"/>
                <w:sz w:val="14"/>
              </w:rPr>
              <w:t>=7.5万元</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63DE6751">
            <w:pPr>
              <w:spacing w:before="0" w:after="0" w:line="240" w:lineRule="auto"/>
              <w:jc w:val="center"/>
              <w:rPr>
                <w:rFonts w:hint="eastAsia" w:eastAsia="宋体"/>
                <w:lang w:val="en-US" w:eastAsia="zh-CN"/>
              </w:rPr>
            </w:pPr>
            <w:r>
              <w:rPr>
                <w:rFonts w:ascii="宋体" w:hAnsi="宋体" w:eastAsia="宋体"/>
                <w:sz w:val="14"/>
              </w:rPr>
              <w:t>100</w:t>
            </w:r>
            <w:r>
              <w:rPr>
                <w:rFonts w:hint="eastAsia" w:ascii="宋体" w:hAnsi="宋体"/>
                <w:sz w:val="14"/>
                <w:lang w:val="en-US" w:eastAsia="zh-CN"/>
              </w:rPr>
              <w:t>%</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35BCEB3F">
            <w:pPr>
              <w:spacing w:before="0" w:after="0" w:line="240" w:lineRule="auto"/>
              <w:jc w:val="center"/>
            </w:pPr>
            <w:r>
              <w:rPr>
                <w:rFonts w:ascii="宋体" w:hAnsi="宋体" w:eastAsia="宋体"/>
                <w:sz w:val="14"/>
              </w:rPr>
              <w:t>1</w:t>
            </w:r>
          </w:p>
        </w:tc>
        <w:tc>
          <w:tcPr>
            <w:tcW w:w="542" w:type="dxa"/>
            <w:tcBorders>
              <w:top w:val="single" w:color="auto" w:sz="10" w:space="0"/>
              <w:left w:val="single" w:color="auto" w:sz="10" w:space="0"/>
              <w:bottom w:val="single" w:color="auto" w:sz="10" w:space="0"/>
              <w:right w:val="single" w:color="auto" w:sz="10" w:space="0"/>
              <w:insideV w:val="single" w:sz="10" w:space="0"/>
            </w:tcBorders>
            <w:vAlign w:val="center"/>
          </w:tcPr>
          <w:p w14:paraId="7A6C2799">
            <w:pPr>
              <w:spacing w:before="0" w:after="0" w:line="240" w:lineRule="auto"/>
              <w:jc w:val="center"/>
            </w:pPr>
            <w:r>
              <w:rPr>
                <w:rFonts w:ascii="宋体" w:hAnsi="宋体" w:eastAsia="宋体"/>
                <w:sz w:val="14"/>
              </w:rPr>
              <w:t>计划标准</w:t>
            </w:r>
          </w:p>
        </w:tc>
        <w:tc>
          <w:tcPr>
            <w:tcW w:w="542" w:type="dxa"/>
            <w:tcBorders>
              <w:top w:val="single" w:color="auto" w:sz="10" w:space="0"/>
              <w:left w:val="single" w:color="auto" w:sz="10" w:space="0"/>
              <w:bottom w:val="single" w:color="auto" w:sz="10" w:space="0"/>
              <w:right w:val="single" w:color="auto" w:sz="10" w:space="0"/>
              <w:insideV w:val="single" w:sz="10" w:space="0"/>
            </w:tcBorders>
            <w:vAlign w:val="center"/>
          </w:tcPr>
          <w:p w14:paraId="39EDC047">
            <w:pPr>
              <w:spacing w:before="0" w:after="0" w:line="240" w:lineRule="auto"/>
              <w:jc w:val="center"/>
            </w:pPr>
            <w:r>
              <w:rPr>
                <w:rFonts w:ascii="宋体" w:hAnsi="宋体" w:eastAsia="宋体"/>
                <w:sz w:val="14"/>
              </w:rPr>
              <w:t>-</w:t>
            </w:r>
          </w:p>
        </w:tc>
        <w:tc>
          <w:tcPr>
            <w:tcW w:w="548" w:type="dxa"/>
            <w:tcBorders>
              <w:top w:val="single" w:color="auto" w:sz="10" w:space="0"/>
              <w:left w:val="single" w:color="auto" w:sz="10" w:space="0"/>
              <w:bottom w:val="single" w:color="auto" w:sz="10" w:space="0"/>
              <w:right w:val="single" w:color="auto" w:sz="10" w:space="0"/>
              <w:insideV w:val="single" w:sz="10" w:space="0"/>
            </w:tcBorders>
            <w:vAlign w:val="center"/>
          </w:tcPr>
          <w:p w14:paraId="069F8D3B">
            <w:pPr>
              <w:spacing w:before="0" w:after="0" w:line="240" w:lineRule="auto"/>
              <w:jc w:val="center"/>
            </w:pPr>
            <w:r>
              <w:rPr>
                <w:rFonts w:ascii="宋体" w:hAnsi="宋体" w:eastAsia="宋体"/>
                <w:sz w:val="14"/>
              </w:rPr>
              <w:t>按照完成比例赋分</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42355496">
            <w:pPr>
              <w:spacing w:before="0" w:after="0" w:line="240" w:lineRule="auto"/>
              <w:jc w:val="center"/>
            </w:pPr>
            <w:r>
              <w:rPr>
                <w:rFonts w:ascii="宋体" w:hAnsi="宋体" w:eastAsia="宋体"/>
                <w:sz w:val="14"/>
              </w:rPr>
              <w:t>原始凭证</w:t>
            </w:r>
          </w:p>
        </w:tc>
        <w:tc>
          <w:tcPr>
            <w:tcW w:w="563" w:type="dxa"/>
            <w:tcBorders>
              <w:top w:val="single" w:color="auto" w:sz="10" w:space="0"/>
              <w:left w:val="single" w:color="auto" w:sz="10" w:space="0"/>
              <w:bottom w:val="single" w:color="auto" w:sz="10" w:space="0"/>
              <w:right w:val="single" w:color="auto" w:sz="10" w:space="0"/>
              <w:insideV w:val="single" w:sz="10" w:space="0"/>
            </w:tcBorders>
            <w:vAlign w:val="center"/>
          </w:tcPr>
          <w:p w14:paraId="331FFF3F">
            <w:pPr>
              <w:spacing w:before="0" w:after="0" w:line="240" w:lineRule="auto"/>
              <w:jc w:val="center"/>
            </w:pPr>
          </w:p>
        </w:tc>
      </w:tr>
      <w:tr w14:paraId="29149D4F">
        <w:tblPrEx>
          <w:tblCellMar>
            <w:top w:w="36" w:type="dxa"/>
            <w:left w:w="36" w:type="dxa"/>
            <w:bottom w:w="36" w:type="dxa"/>
            <w:right w:w="36" w:type="dxa"/>
          </w:tblCellMar>
        </w:tblPrEx>
        <w:tc>
          <w:tcPr>
            <w:tcW w:w="541" w:type="dxa"/>
            <w:vMerge w:val="continue"/>
            <w:tcBorders>
              <w:top w:val="single" w:color="auto" w:sz="10" w:space="0"/>
              <w:left w:val="single" w:color="auto" w:sz="10" w:space="0"/>
              <w:bottom w:val="single" w:color="auto" w:sz="10" w:space="0"/>
              <w:right w:val="single" w:color="auto" w:sz="10" w:space="0"/>
              <w:insideV w:val="single" w:sz="10" w:space="0"/>
            </w:tcBorders>
          </w:tcPr>
          <w:p w14:paraId="50B0B093"/>
        </w:tc>
        <w:tc>
          <w:tcPr>
            <w:tcW w:w="542" w:type="dxa"/>
            <w:vMerge w:val="continue"/>
            <w:tcBorders>
              <w:top w:val="single" w:color="auto" w:sz="10" w:space="0"/>
              <w:left w:val="single" w:color="auto" w:sz="10" w:space="0"/>
              <w:bottom w:val="single" w:color="auto" w:sz="10" w:space="0"/>
              <w:right w:val="single" w:color="auto" w:sz="10" w:space="0"/>
              <w:insideV w:val="single" w:sz="10" w:space="0"/>
            </w:tcBorders>
          </w:tcPr>
          <w:p w14:paraId="72DE4338"/>
        </w:tc>
        <w:tc>
          <w:tcPr>
            <w:tcW w:w="542" w:type="dxa"/>
            <w:tcBorders>
              <w:top w:val="single" w:color="auto" w:sz="10" w:space="0"/>
              <w:left w:val="single" w:color="auto" w:sz="10" w:space="0"/>
              <w:bottom w:val="single" w:color="auto" w:sz="10" w:space="0"/>
              <w:right w:val="single" w:color="auto" w:sz="10" w:space="0"/>
              <w:insideV w:val="single" w:sz="10" w:space="0"/>
            </w:tcBorders>
            <w:vAlign w:val="center"/>
          </w:tcPr>
          <w:p w14:paraId="76F925FD">
            <w:pPr>
              <w:spacing w:before="0" w:after="0" w:line="240" w:lineRule="auto"/>
              <w:jc w:val="center"/>
            </w:pPr>
            <w:r>
              <w:rPr>
                <w:rFonts w:ascii="宋体" w:hAnsi="宋体" w:eastAsia="宋体"/>
                <w:sz w:val="14"/>
              </w:rPr>
              <w:t>经济成本指标</w:t>
            </w:r>
          </w:p>
        </w:tc>
        <w:tc>
          <w:tcPr>
            <w:tcW w:w="912" w:type="dxa"/>
            <w:tcBorders>
              <w:top w:val="single" w:color="auto" w:sz="10" w:space="0"/>
              <w:left w:val="single" w:color="auto" w:sz="10" w:space="0"/>
              <w:bottom w:val="single" w:color="auto" w:sz="10" w:space="0"/>
              <w:right w:val="single" w:color="auto" w:sz="10" w:space="0"/>
              <w:insideV w:val="single" w:sz="10" w:space="0"/>
            </w:tcBorders>
            <w:vAlign w:val="center"/>
          </w:tcPr>
          <w:p w14:paraId="4D04B5BA">
            <w:pPr>
              <w:spacing w:before="0" w:after="0" w:line="240" w:lineRule="auto"/>
              <w:jc w:val="center"/>
            </w:pPr>
            <w:r>
              <w:rPr>
                <w:rFonts w:ascii="宋体" w:hAnsi="宋体" w:eastAsia="宋体"/>
                <w:sz w:val="14"/>
              </w:rPr>
              <w:t>其他费用</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6B580F9E">
            <w:pPr>
              <w:spacing w:before="0" w:after="0" w:line="240" w:lineRule="auto"/>
              <w:jc w:val="center"/>
            </w:pPr>
            <w:r>
              <w:rPr>
                <w:rFonts w:ascii="宋体" w:hAnsi="宋体" w:eastAsia="宋体"/>
                <w:sz w:val="14"/>
              </w:rPr>
              <w:t>2</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4E4DF0DF">
            <w:pPr>
              <w:spacing w:before="0" w:after="0" w:line="240" w:lineRule="auto"/>
              <w:jc w:val="center"/>
            </w:pPr>
            <w:r>
              <w:rPr>
                <w:rFonts w:ascii="宋体" w:hAnsi="宋体" w:eastAsia="宋体"/>
                <w:sz w:val="14"/>
              </w:rPr>
              <w:t>&lt;=41.98万元</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5F7E877D">
            <w:pPr>
              <w:spacing w:before="0" w:after="0" w:line="240" w:lineRule="auto"/>
              <w:jc w:val="center"/>
            </w:pPr>
            <w:r>
              <w:rPr>
                <w:rFonts w:ascii="宋体" w:hAnsi="宋体" w:eastAsia="宋体"/>
                <w:sz w:val="14"/>
              </w:rPr>
              <w:t>=41.98万元</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1DC5D78C">
            <w:pPr>
              <w:spacing w:before="0" w:after="0" w:line="240" w:lineRule="auto"/>
              <w:jc w:val="center"/>
              <w:rPr>
                <w:rFonts w:hint="eastAsia" w:eastAsia="宋体"/>
                <w:lang w:val="en-US" w:eastAsia="zh-CN"/>
              </w:rPr>
            </w:pPr>
            <w:r>
              <w:rPr>
                <w:rFonts w:ascii="宋体" w:hAnsi="宋体" w:eastAsia="宋体"/>
                <w:sz w:val="14"/>
              </w:rPr>
              <w:t>100</w:t>
            </w:r>
            <w:r>
              <w:rPr>
                <w:rFonts w:hint="eastAsia" w:ascii="宋体" w:hAnsi="宋体"/>
                <w:sz w:val="14"/>
                <w:lang w:val="en-US" w:eastAsia="zh-CN"/>
              </w:rPr>
              <w:t>%</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68946DCB">
            <w:pPr>
              <w:spacing w:before="0" w:after="0" w:line="240" w:lineRule="auto"/>
              <w:jc w:val="center"/>
            </w:pPr>
            <w:r>
              <w:rPr>
                <w:rFonts w:ascii="宋体" w:hAnsi="宋体" w:eastAsia="宋体"/>
                <w:sz w:val="14"/>
              </w:rPr>
              <w:t>2</w:t>
            </w:r>
          </w:p>
        </w:tc>
        <w:tc>
          <w:tcPr>
            <w:tcW w:w="542" w:type="dxa"/>
            <w:tcBorders>
              <w:top w:val="single" w:color="auto" w:sz="10" w:space="0"/>
              <w:left w:val="single" w:color="auto" w:sz="10" w:space="0"/>
              <w:bottom w:val="single" w:color="auto" w:sz="10" w:space="0"/>
              <w:right w:val="single" w:color="auto" w:sz="10" w:space="0"/>
              <w:insideV w:val="single" w:sz="10" w:space="0"/>
            </w:tcBorders>
            <w:vAlign w:val="center"/>
          </w:tcPr>
          <w:p w14:paraId="4AC547D9">
            <w:pPr>
              <w:spacing w:before="0" w:after="0" w:line="240" w:lineRule="auto"/>
              <w:jc w:val="center"/>
            </w:pPr>
            <w:r>
              <w:rPr>
                <w:rFonts w:ascii="宋体" w:hAnsi="宋体" w:eastAsia="宋体"/>
                <w:sz w:val="14"/>
              </w:rPr>
              <w:t>计划标准</w:t>
            </w:r>
          </w:p>
        </w:tc>
        <w:tc>
          <w:tcPr>
            <w:tcW w:w="542" w:type="dxa"/>
            <w:tcBorders>
              <w:top w:val="single" w:color="auto" w:sz="10" w:space="0"/>
              <w:left w:val="single" w:color="auto" w:sz="10" w:space="0"/>
              <w:bottom w:val="single" w:color="auto" w:sz="10" w:space="0"/>
              <w:right w:val="single" w:color="auto" w:sz="10" w:space="0"/>
              <w:insideV w:val="single" w:sz="10" w:space="0"/>
            </w:tcBorders>
            <w:vAlign w:val="center"/>
          </w:tcPr>
          <w:p w14:paraId="4FED4A41">
            <w:pPr>
              <w:spacing w:before="0" w:after="0" w:line="240" w:lineRule="auto"/>
              <w:jc w:val="center"/>
            </w:pPr>
            <w:r>
              <w:rPr>
                <w:rFonts w:ascii="宋体" w:hAnsi="宋体" w:eastAsia="宋体"/>
                <w:sz w:val="14"/>
              </w:rPr>
              <w:t>-</w:t>
            </w:r>
          </w:p>
        </w:tc>
        <w:tc>
          <w:tcPr>
            <w:tcW w:w="548" w:type="dxa"/>
            <w:tcBorders>
              <w:top w:val="single" w:color="auto" w:sz="10" w:space="0"/>
              <w:left w:val="single" w:color="auto" w:sz="10" w:space="0"/>
              <w:bottom w:val="single" w:color="auto" w:sz="10" w:space="0"/>
              <w:right w:val="single" w:color="auto" w:sz="10" w:space="0"/>
              <w:insideV w:val="single" w:sz="10" w:space="0"/>
            </w:tcBorders>
            <w:vAlign w:val="center"/>
          </w:tcPr>
          <w:p w14:paraId="6D30D253">
            <w:pPr>
              <w:spacing w:before="0" w:after="0" w:line="240" w:lineRule="auto"/>
              <w:jc w:val="center"/>
            </w:pPr>
            <w:r>
              <w:rPr>
                <w:rFonts w:ascii="宋体" w:hAnsi="宋体" w:eastAsia="宋体"/>
                <w:sz w:val="14"/>
              </w:rPr>
              <w:t>按照完成比例赋分</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21D4D10E">
            <w:pPr>
              <w:spacing w:before="0" w:after="0" w:line="240" w:lineRule="auto"/>
              <w:jc w:val="center"/>
            </w:pPr>
            <w:r>
              <w:rPr>
                <w:rFonts w:ascii="宋体" w:hAnsi="宋体" w:eastAsia="宋体"/>
                <w:sz w:val="14"/>
              </w:rPr>
              <w:t>原始凭证</w:t>
            </w:r>
          </w:p>
        </w:tc>
        <w:tc>
          <w:tcPr>
            <w:tcW w:w="563" w:type="dxa"/>
            <w:tcBorders>
              <w:top w:val="single" w:color="auto" w:sz="10" w:space="0"/>
              <w:left w:val="single" w:color="auto" w:sz="10" w:space="0"/>
              <w:bottom w:val="single" w:color="auto" w:sz="10" w:space="0"/>
              <w:right w:val="single" w:color="auto" w:sz="10" w:space="0"/>
              <w:insideV w:val="single" w:sz="10" w:space="0"/>
            </w:tcBorders>
            <w:vAlign w:val="center"/>
          </w:tcPr>
          <w:p w14:paraId="5CD66798">
            <w:pPr>
              <w:spacing w:before="0" w:after="0" w:line="240" w:lineRule="auto"/>
              <w:jc w:val="center"/>
            </w:pPr>
          </w:p>
        </w:tc>
      </w:tr>
      <w:tr w14:paraId="76CD3605">
        <w:tc>
          <w:tcPr>
            <w:tcW w:w="541" w:type="dxa"/>
            <w:vMerge w:val="continue"/>
            <w:tcBorders>
              <w:top w:val="single" w:color="auto" w:sz="10" w:space="0"/>
              <w:left w:val="single" w:color="auto" w:sz="10" w:space="0"/>
              <w:bottom w:val="single" w:color="auto" w:sz="10" w:space="0"/>
              <w:right w:val="single" w:color="auto" w:sz="10" w:space="0"/>
              <w:insideV w:val="single" w:sz="10" w:space="0"/>
            </w:tcBorders>
          </w:tcPr>
          <w:p w14:paraId="6C5B5169"/>
        </w:tc>
        <w:tc>
          <w:tcPr>
            <w:tcW w:w="542" w:type="dxa"/>
            <w:tcBorders>
              <w:top w:val="single" w:color="auto" w:sz="10" w:space="0"/>
              <w:left w:val="single" w:color="auto" w:sz="10" w:space="0"/>
              <w:bottom w:val="single" w:color="auto" w:sz="10" w:space="0"/>
              <w:right w:val="single" w:color="auto" w:sz="10" w:space="0"/>
              <w:insideV w:val="single" w:sz="10" w:space="0"/>
            </w:tcBorders>
          </w:tcPr>
          <w:p w14:paraId="6163D534">
            <w:pPr>
              <w:spacing w:before="0" w:after="0" w:line="240" w:lineRule="auto"/>
              <w:jc w:val="center"/>
              <w:rPr>
                <w:rFonts w:ascii="宋体" w:hAnsi="宋体" w:eastAsia="宋体"/>
                <w:sz w:val="14"/>
              </w:rPr>
            </w:pPr>
          </w:p>
          <w:p w14:paraId="4CA0502E">
            <w:pPr>
              <w:spacing w:before="0" w:after="0" w:line="240" w:lineRule="auto"/>
              <w:jc w:val="center"/>
            </w:pPr>
            <w:r>
              <w:rPr>
                <w:rFonts w:ascii="宋体" w:hAnsi="宋体" w:eastAsia="宋体"/>
                <w:sz w:val="14"/>
              </w:rPr>
              <w:t>效益指标</w:t>
            </w:r>
          </w:p>
        </w:tc>
        <w:tc>
          <w:tcPr>
            <w:tcW w:w="542" w:type="dxa"/>
            <w:tcBorders>
              <w:top w:val="single" w:color="auto" w:sz="10" w:space="0"/>
              <w:left w:val="single" w:color="auto" w:sz="10" w:space="0"/>
              <w:bottom w:val="single" w:color="auto" w:sz="10" w:space="0"/>
              <w:right w:val="single" w:color="auto" w:sz="10" w:space="0"/>
              <w:insideV w:val="single" w:sz="10" w:space="0"/>
            </w:tcBorders>
            <w:vAlign w:val="center"/>
          </w:tcPr>
          <w:p w14:paraId="6584C74D">
            <w:pPr>
              <w:spacing w:before="0" w:after="0" w:line="240" w:lineRule="auto"/>
              <w:jc w:val="center"/>
            </w:pPr>
            <w:r>
              <w:rPr>
                <w:rFonts w:ascii="宋体" w:hAnsi="宋体" w:eastAsia="宋体"/>
                <w:sz w:val="14"/>
              </w:rPr>
              <w:t>社会效益指标</w:t>
            </w:r>
          </w:p>
        </w:tc>
        <w:tc>
          <w:tcPr>
            <w:tcW w:w="912" w:type="dxa"/>
            <w:tcBorders>
              <w:top w:val="single" w:color="auto" w:sz="10" w:space="0"/>
              <w:left w:val="single" w:color="auto" w:sz="10" w:space="0"/>
              <w:bottom w:val="single" w:color="auto" w:sz="10" w:space="0"/>
              <w:right w:val="single" w:color="auto" w:sz="10" w:space="0"/>
              <w:insideV w:val="single" w:sz="10" w:space="0"/>
            </w:tcBorders>
            <w:vAlign w:val="center"/>
          </w:tcPr>
          <w:p w14:paraId="0B7B51B8">
            <w:pPr>
              <w:spacing w:before="0" w:after="0" w:line="240" w:lineRule="auto"/>
              <w:jc w:val="center"/>
            </w:pPr>
            <w:r>
              <w:rPr>
                <w:rFonts w:ascii="宋体" w:hAnsi="宋体" w:eastAsia="宋体"/>
                <w:sz w:val="14"/>
              </w:rPr>
              <w:t>增加全区水库库容、提高天然径流调蓄能力</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7D47B9C9">
            <w:pPr>
              <w:spacing w:before="0" w:after="0" w:line="240" w:lineRule="auto"/>
              <w:jc w:val="center"/>
            </w:pPr>
            <w:r>
              <w:rPr>
                <w:rFonts w:ascii="宋体" w:hAnsi="宋体" w:eastAsia="宋体"/>
                <w:sz w:val="14"/>
              </w:rPr>
              <w:t>30</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390BE4F3">
            <w:pPr>
              <w:spacing w:before="0" w:after="0" w:line="240" w:lineRule="auto"/>
              <w:jc w:val="center"/>
            </w:pPr>
            <w:r>
              <w:rPr>
                <w:rFonts w:ascii="宋体" w:hAnsi="宋体" w:eastAsia="宋体"/>
                <w:sz w:val="14"/>
              </w:rPr>
              <w:t>&gt;=5000万立方米</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43AEE40E">
            <w:pPr>
              <w:spacing w:before="0" w:after="0" w:line="240" w:lineRule="auto"/>
              <w:jc w:val="center"/>
            </w:pPr>
            <w:r>
              <w:rPr>
                <w:rFonts w:ascii="宋体" w:hAnsi="宋体" w:eastAsia="宋体"/>
                <w:sz w:val="14"/>
              </w:rPr>
              <w:t>=5020万立方米</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4ACBCF51">
            <w:pPr>
              <w:spacing w:before="0" w:after="0" w:line="240" w:lineRule="auto"/>
              <w:jc w:val="center"/>
            </w:pPr>
            <w:r>
              <w:rPr>
                <w:rFonts w:ascii="宋体" w:hAnsi="宋体" w:eastAsia="宋体"/>
                <w:sz w:val="14"/>
              </w:rPr>
              <w:t>100.4</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15B6BE36">
            <w:pPr>
              <w:spacing w:before="0" w:after="0" w:line="240" w:lineRule="auto"/>
              <w:jc w:val="center"/>
            </w:pPr>
            <w:r>
              <w:rPr>
                <w:rFonts w:ascii="宋体" w:hAnsi="宋体" w:eastAsia="宋体"/>
                <w:sz w:val="14"/>
              </w:rPr>
              <w:t>29.88</w:t>
            </w:r>
          </w:p>
        </w:tc>
        <w:tc>
          <w:tcPr>
            <w:tcW w:w="542" w:type="dxa"/>
            <w:tcBorders>
              <w:top w:val="single" w:color="auto" w:sz="10" w:space="0"/>
              <w:left w:val="single" w:color="auto" w:sz="10" w:space="0"/>
              <w:bottom w:val="single" w:color="auto" w:sz="10" w:space="0"/>
              <w:right w:val="single" w:color="auto" w:sz="10" w:space="0"/>
              <w:insideV w:val="single" w:sz="10" w:space="0"/>
            </w:tcBorders>
            <w:vAlign w:val="center"/>
          </w:tcPr>
          <w:p w14:paraId="04552DEB">
            <w:pPr>
              <w:spacing w:before="0" w:after="0" w:line="240" w:lineRule="auto"/>
              <w:jc w:val="center"/>
            </w:pPr>
            <w:r>
              <w:rPr>
                <w:rFonts w:ascii="宋体" w:hAnsi="宋体" w:eastAsia="宋体"/>
                <w:sz w:val="14"/>
              </w:rPr>
              <w:t>计划标准</w:t>
            </w:r>
          </w:p>
        </w:tc>
        <w:tc>
          <w:tcPr>
            <w:tcW w:w="542" w:type="dxa"/>
            <w:tcBorders>
              <w:top w:val="single" w:color="auto" w:sz="10" w:space="0"/>
              <w:left w:val="single" w:color="auto" w:sz="10" w:space="0"/>
              <w:bottom w:val="single" w:color="auto" w:sz="10" w:space="0"/>
              <w:right w:val="single" w:color="auto" w:sz="10" w:space="0"/>
              <w:insideV w:val="single" w:sz="10" w:space="0"/>
            </w:tcBorders>
            <w:vAlign w:val="center"/>
          </w:tcPr>
          <w:p w14:paraId="755C056E">
            <w:pPr>
              <w:spacing w:before="0" w:after="0" w:line="240" w:lineRule="auto"/>
              <w:jc w:val="center"/>
            </w:pPr>
            <w:r>
              <w:rPr>
                <w:rFonts w:ascii="宋体" w:hAnsi="宋体" w:eastAsia="宋体"/>
                <w:sz w:val="14"/>
              </w:rPr>
              <w:t>-</w:t>
            </w:r>
          </w:p>
        </w:tc>
        <w:tc>
          <w:tcPr>
            <w:tcW w:w="548" w:type="dxa"/>
            <w:tcBorders>
              <w:top w:val="single" w:color="auto" w:sz="10" w:space="0"/>
              <w:left w:val="single" w:color="auto" w:sz="10" w:space="0"/>
              <w:bottom w:val="single" w:color="auto" w:sz="10" w:space="0"/>
              <w:right w:val="single" w:color="auto" w:sz="10" w:space="0"/>
              <w:insideV w:val="single" w:sz="10" w:space="0"/>
            </w:tcBorders>
            <w:vAlign w:val="center"/>
          </w:tcPr>
          <w:p w14:paraId="2D3BC05B">
            <w:pPr>
              <w:spacing w:before="0" w:after="0" w:line="240" w:lineRule="auto"/>
              <w:jc w:val="center"/>
            </w:pPr>
            <w:r>
              <w:rPr>
                <w:rFonts w:ascii="宋体" w:hAnsi="宋体" w:eastAsia="宋体"/>
                <w:sz w:val="14"/>
              </w:rPr>
              <w:t>按照完成比例赋分</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650176E8">
            <w:pPr>
              <w:spacing w:before="0" w:after="0" w:line="240" w:lineRule="auto"/>
              <w:jc w:val="center"/>
            </w:pPr>
            <w:r>
              <w:rPr>
                <w:rFonts w:ascii="宋体" w:hAnsi="宋体" w:eastAsia="宋体"/>
                <w:sz w:val="14"/>
              </w:rPr>
              <w:t>工作资料</w:t>
            </w:r>
          </w:p>
        </w:tc>
        <w:tc>
          <w:tcPr>
            <w:tcW w:w="563" w:type="dxa"/>
            <w:tcBorders>
              <w:top w:val="single" w:color="auto" w:sz="10" w:space="0"/>
              <w:left w:val="single" w:color="auto" w:sz="10" w:space="0"/>
              <w:bottom w:val="single" w:color="auto" w:sz="10" w:space="0"/>
              <w:right w:val="single" w:color="auto" w:sz="10" w:space="0"/>
              <w:insideV w:val="single" w:sz="10" w:space="0"/>
            </w:tcBorders>
            <w:vAlign w:val="center"/>
          </w:tcPr>
          <w:p w14:paraId="3F059C51">
            <w:pPr>
              <w:spacing w:before="0" w:after="0" w:line="240" w:lineRule="auto"/>
              <w:jc w:val="center"/>
            </w:pPr>
          </w:p>
        </w:tc>
      </w:tr>
      <w:tr w14:paraId="300BDF2B">
        <w:tblPrEx>
          <w:tblCellMar>
            <w:top w:w="36" w:type="dxa"/>
            <w:left w:w="36" w:type="dxa"/>
            <w:bottom w:w="36" w:type="dxa"/>
            <w:right w:w="36" w:type="dxa"/>
          </w:tblCellMar>
        </w:tblPrEx>
        <w:tc>
          <w:tcPr>
            <w:tcW w:w="2537"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903340D">
            <w:pPr>
              <w:spacing w:before="0" w:after="0" w:line="240" w:lineRule="auto"/>
              <w:jc w:val="center"/>
            </w:pPr>
            <w:r>
              <w:rPr>
                <w:rFonts w:ascii="宋体" w:hAnsi="宋体" w:eastAsia="宋体"/>
                <w:sz w:val="14"/>
              </w:rPr>
              <w:t>总分</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33F0DF21">
            <w:pPr>
              <w:spacing w:before="0" w:after="0" w:line="240" w:lineRule="auto"/>
              <w:jc w:val="center"/>
            </w:pPr>
            <w:r>
              <w:rPr>
                <w:rFonts w:ascii="宋体" w:hAnsi="宋体" w:eastAsia="宋体"/>
                <w:sz w:val="14"/>
              </w:rPr>
              <w:t>100</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3716C9BB">
            <w:pPr>
              <w:spacing w:before="0" w:after="0" w:line="240" w:lineRule="auto"/>
              <w:jc w:val="center"/>
            </w:pP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0903792A">
            <w:pPr>
              <w:spacing w:before="0" w:after="0" w:line="240" w:lineRule="auto"/>
              <w:jc w:val="center"/>
            </w:pP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407AB7EF">
            <w:pPr>
              <w:spacing w:before="0" w:after="0" w:line="240" w:lineRule="auto"/>
              <w:jc w:val="center"/>
            </w:pP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469E0DBC">
            <w:pPr>
              <w:spacing w:before="0" w:after="0" w:line="240" w:lineRule="auto"/>
              <w:jc w:val="center"/>
            </w:pPr>
            <w:r>
              <w:rPr>
                <w:rFonts w:hint="eastAsia" w:ascii="宋体" w:hAnsi="宋体"/>
                <w:sz w:val="14"/>
                <w:lang w:eastAsia="zh-CN"/>
              </w:rPr>
              <w:t>99</w:t>
            </w:r>
            <w:r>
              <w:rPr>
                <w:rFonts w:hint="eastAsia" w:ascii="宋体" w:hAnsi="宋体"/>
                <w:sz w:val="14"/>
                <w:lang w:val="en-US" w:eastAsia="zh-CN"/>
              </w:rPr>
              <w:t>.</w:t>
            </w:r>
            <w:r>
              <w:rPr>
                <w:rFonts w:ascii="宋体" w:hAnsi="宋体" w:eastAsia="宋体"/>
                <w:sz w:val="14"/>
              </w:rPr>
              <w:t>66</w:t>
            </w:r>
          </w:p>
        </w:tc>
        <w:tc>
          <w:tcPr>
            <w:tcW w:w="542" w:type="dxa"/>
            <w:tcBorders>
              <w:top w:val="single" w:color="auto" w:sz="10" w:space="0"/>
              <w:left w:val="single" w:color="auto" w:sz="10" w:space="0"/>
              <w:bottom w:val="single" w:color="auto" w:sz="10" w:space="0"/>
              <w:right w:val="single" w:color="auto" w:sz="10" w:space="0"/>
              <w:insideV w:val="single" w:sz="10" w:space="0"/>
            </w:tcBorders>
            <w:vAlign w:val="center"/>
          </w:tcPr>
          <w:p w14:paraId="663F2451">
            <w:pPr>
              <w:spacing w:before="0" w:after="0" w:line="240" w:lineRule="auto"/>
              <w:jc w:val="center"/>
            </w:pPr>
          </w:p>
        </w:tc>
        <w:tc>
          <w:tcPr>
            <w:tcW w:w="542" w:type="dxa"/>
            <w:tcBorders>
              <w:top w:val="single" w:color="auto" w:sz="10" w:space="0"/>
              <w:left w:val="single" w:color="auto" w:sz="10" w:space="0"/>
              <w:bottom w:val="single" w:color="auto" w:sz="10" w:space="0"/>
              <w:right w:val="single" w:color="auto" w:sz="10" w:space="0"/>
              <w:insideV w:val="single" w:sz="10" w:space="0"/>
            </w:tcBorders>
            <w:vAlign w:val="center"/>
          </w:tcPr>
          <w:p w14:paraId="043BF9AD">
            <w:pPr>
              <w:spacing w:before="0" w:after="0" w:line="240" w:lineRule="auto"/>
              <w:jc w:val="center"/>
            </w:pPr>
          </w:p>
        </w:tc>
        <w:tc>
          <w:tcPr>
            <w:tcW w:w="548" w:type="dxa"/>
            <w:tcBorders>
              <w:top w:val="single" w:color="auto" w:sz="10" w:space="0"/>
              <w:left w:val="single" w:color="auto" w:sz="10" w:space="0"/>
              <w:bottom w:val="single" w:color="auto" w:sz="10" w:space="0"/>
              <w:right w:val="single" w:color="auto" w:sz="10" w:space="0"/>
              <w:insideV w:val="single" w:sz="10" w:space="0"/>
            </w:tcBorders>
            <w:vAlign w:val="center"/>
          </w:tcPr>
          <w:p w14:paraId="362C074D">
            <w:pPr>
              <w:spacing w:before="0" w:after="0" w:line="240" w:lineRule="auto"/>
              <w:jc w:val="center"/>
            </w:pP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10138E7B">
            <w:pPr>
              <w:spacing w:before="0" w:after="0" w:line="240" w:lineRule="auto"/>
              <w:jc w:val="center"/>
            </w:pPr>
          </w:p>
        </w:tc>
        <w:tc>
          <w:tcPr>
            <w:tcW w:w="563" w:type="dxa"/>
            <w:tcBorders>
              <w:top w:val="single" w:color="auto" w:sz="10" w:space="0"/>
              <w:left w:val="single" w:color="auto" w:sz="10" w:space="0"/>
              <w:bottom w:val="single" w:color="auto" w:sz="10" w:space="0"/>
              <w:right w:val="single" w:color="auto" w:sz="10" w:space="0"/>
              <w:insideV w:val="single" w:sz="10" w:space="0"/>
            </w:tcBorders>
            <w:vAlign w:val="center"/>
          </w:tcPr>
          <w:p w14:paraId="1A90DF6E">
            <w:pPr>
              <w:spacing w:before="0" w:after="0" w:line="240" w:lineRule="auto"/>
              <w:jc w:val="center"/>
            </w:pPr>
          </w:p>
        </w:tc>
      </w:tr>
    </w:tbl>
    <w:p w14:paraId="787181AB">
      <w:r>
        <w:br w:type="page"/>
      </w:r>
    </w:p>
    <w:p w14:paraId="17786ACD">
      <w:pPr>
        <w:sectPr>
          <w:type w:val="continuous"/>
          <w:pgSz w:w="11906" w:h="16838"/>
          <w:pgMar w:top="1440" w:right="1800" w:bottom="1440" w:left="1800" w:header="851" w:footer="992" w:gutter="0"/>
          <w:cols w:space="720" w:num="1"/>
          <w:docGrid w:type="lines" w:linePitch="312" w:charSpace="0"/>
        </w:sectPr>
      </w:pPr>
    </w:p>
    <w:p w14:paraId="63BD6764">
      <w:pPr>
        <w:spacing w:line="640" w:lineRule="exact"/>
        <w:ind w:firstLine="640"/>
        <w:jc w:val="both"/>
        <w:outlineLvl w:val="2"/>
      </w:pPr>
      <w:r>
        <w:rPr>
          <w:rFonts w:ascii="黑体" w:hAnsi="黑体" w:eastAsia="黑体"/>
          <w:sz w:val="32"/>
        </w:rPr>
        <w:t>十二、其他需说明的事项</w:t>
      </w:r>
    </w:p>
    <w:p w14:paraId="7C2464B5">
      <w:pPr>
        <w:spacing w:line="580" w:lineRule="exact"/>
        <w:ind w:firstLine="640"/>
        <w:jc w:val="both"/>
      </w:pPr>
      <w:r>
        <w:rPr>
          <w:rFonts w:ascii="仿宋_GB2312" w:hAnsi="仿宋_GB2312" w:eastAsia="仿宋_GB2312"/>
          <w:b w:val="0"/>
          <w:sz w:val="32"/>
        </w:rPr>
        <w:t>本单位无其他需说明事项。</w:t>
      </w:r>
    </w:p>
    <w:p w14:paraId="5A1A247D">
      <w:r>
        <w:br w:type="page"/>
      </w:r>
    </w:p>
    <w:p w14:paraId="6390C78C">
      <w:pPr>
        <w:spacing w:line="600" w:lineRule="exact"/>
        <w:jc w:val="center"/>
        <w:outlineLvl w:val="0"/>
      </w:pPr>
      <w:r>
        <w:rPr>
          <w:rFonts w:ascii="黑体" w:hAnsi="黑体" w:eastAsia="黑体"/>
          <w:sz w:val="32"/>
        </w:rPr>
        <w:t>第三部分 专业名词解释</w:t>
      </w:r>
    </w:p>
    <w:p w14:paraId="234480BE">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65785D32">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7FC35F3">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4D955236">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C3A3589">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00F07D0E">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29918ACA">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61EFD0F9">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6B8C8752">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393EE3A4">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3247E43B">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2391D716">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1AA0C108">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1709CB82">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00CD0F0B">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263B4E3C">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3D61338B">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5230DCA9">
      <w:r>
        <w:br w:type="page"/>
      </w:r>
    </w:p>
    <w:p w14:paraId="3F0553D7">
      <w:pPr>
        <w:spacing w:line="240" w:lineRule="auto"/>
        <w:jc w:val="center"/>
        <w:outlineLvl w:val="1"/>
      </w:pPr>
      <w:r>
        <w:rPr>
          <w:rFonts w:ascii="黑体" w:hAnsi="黑体" w:eastAsia="黑体"/>
          <w:sz w:val="32"/>
        </w:rPr>
        <w:t>第四部分 部门决算报表（见附表）</w:t>
      </w:r>
    </w:p>
    <w:p w14:paraId="29940313">
      <w:pPr>
        <w:autoSpaceDE w:val="0"/>
        <w:autoSpaceDN w:val="0"/>
        <w:spacing w:line="600" w:lineRule="exact"/>
        <w:ind w:firstLine="640" w:firstLineChars="200"/>
      </w:pPr>
      <w:r>
        <w:rPr>
          <w:rFonts w:ascii="仿宋_GB2312" w:hAnsi="仿宋_GB2312" w:eastAsia="仿宋_GB2312"/>
          <w:b w:val="0"/>
          <w:sz w:val="32"/>
        </w:rPr>
        <w:t>一、《收入支出决算总表》</w:t>
      </w:r>
    </w:p>
    <w:p w14:paraId="59CE5906">
      <w:pPr>
        <w:autoSpaceDE w:val="0"/>
        <w:autoSpaceDN w:val="0"/>
        <w:spacing w:line="600" w:lineRule="exact"/>
        <w:ind w:firstLine="640" w:firstLineChars="200"/>
      </w:pPr>
      <w:r>
        <w:rPr>
          <w:rFonts w:ascii="仿宋_GB2312" w:hAnsi="仿宋_GB2312" w:eastAsia="仿宋_GB2312"/>
          <w:b w:val="0"/>
          <w:sz w:val="32"/>
        </w:rPr>
        <w:t>二、《收入决算表》</w:t>
      </w:r>
    </w:p>
    <w:p w14:paraId="5D72DD12">
      <w:pPr>
        <w:autoSpaceDE w:val="0"/>
        <w:autoSpaceDN w:val="0"/>
        <w:spacing w:line="600" w:lineRule="exact"/>
        <w:ind w:firstLine="640" w:firstLineChars="200"/>
      </w:pPr>
      <w:r>
        <w:rPr>
          <w:rFonts w:ascii="仿宋_GB2312" w:hAnsi="仿宋_GB2312" w:eastAsia="仿宋_GB2312"/>
          <w:b w:val="0"/>
          <w:sz w:val="32"/>
        </w:rPr>
        <w:t>三、《支出决算表》</w:t>
      </w:r>
    </w:p>
    <w:p w14:paraId="3A40B838">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645031FE">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4491AE39">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726F75A6">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253649D4">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6E63EE13">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46379DAA">
      <w:pPr>
        <w:autoSpaceDE w:val="0"/>
        <w:autoSpaceDN w:val="0"/>
        <w:spacing w:line="600" w:lineRule="exact"/>
        <w:ind w:firstLine="640" w:firstLineChars="200"/>
      </w:pPr>
    </w:p>
    <w:p w14:paraId="330CFE36">
      <w:pPr>
        <w:autoSpaceDE w:val="0"/>
        <w:autoSpaceDN w:val="0"/>
        <w:spacing w:line="600" w:lineRule="exact"/>
        <w:ind w:firstLine="640" w:firstLineChars="200"/>
      </w:pPr>
    </w:p>
    <w:p w14:paraId="7351DCB5">
      <w:pPr>
        <w:autoSpaceDE w:val="0"/>
        <w:autoSpaceDN w:val="0"/>
        <w:spacing w:line="600" w:lineRule="exact"/>
        <w:ind w:firstLine="640" w:firstLineChars="200"/>
      </w:pPr>
    </w:p>
    <w:p w14:paraId="183F7549">
      <w:pPr>
        <w:autoSpaceDE w:val="0"/>
        <w:autoSpaceDN w:val="0"/>
        <w:spacing w:line="600" w:lineRule="exact"/>
        <w:ind w:firstLine="640" w:firstLineChars="200"/>
      </w:pPr>
    </w:p>
    <w:p w14:paraId="0BF18FC3">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33D9340-56AD-40A5-B381-ABA84CEBA33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99B96589-D566-4892-ABF5-FD69362D36A8}"/>
  </w:font>
  <w:font w:name="微软雅黑">
    <w:panose1 w:val="020B0503020204020204"/>
    <w:charset w:val="86"/>
    <w:family w:val="auto"/>
    <w:pitch w:val="default"/>
    <w:sig w:usb0="80000287" w:usb1="2ACF3C50" w:usb2="00000016" w:usb3="00000000" w:csb0="0004001F" w:csb1="00000000"/>
  </w:font>
  <w:font w:name="仿宋_GB2312">
    <w:altName w:val="微软雅黑"/>
    <w:panose1 w:val="02010609030101010101"/>
    <w:charset w:val="86"/>
    <w:family w:val="modern"/>
    <w:pitch w:val="default"/>
    <w:sig w:usb0="00000001" w:usb1="080E0000" w:usb2="00000000" w:usb3="00000000" w:csb0="00040000" w:csb1="00000000"/>
    <w:embedRegular r:id="rId3" w:fontKey="{F8C25F11-1759-4275-B2B8-0B5261B067E2}"/>
  </w:font>
  <w:font w:name="楷体_GB2312">
    <w:altName w:val="楷体"/>
    <w:panose1 w:val="00000000000000000000"/>
    <w:charset w:val="00"/>
    <w:family w:val="auto"/>
    <w:pitch w:val="default"/>
    <w:sig w:usb0="00000000" w:usb1="00000000" w:usb2="00000000" w:usb3="00000000" w:csb0="00000000" w:csb1="00000000"/>
    <w:embedRegular r:id="rId4" w:fontKey="{EC57775C-644A-469E-962E-7305AF3E37E5}"/>
  </w:font>
  <w:font w:name="KSOF8080F95D">
    <w:panose1 w:val="020B0503020204020204"/>
    <w:charset w:val="86"/>
    <w:family w:val="auto"/>
    <w:pitch w:val="default"/>
    <w:sig w:usb0="00000001" w:usb1="00000000" w:usb2="00000000" w:usb3="00000000" w:csb0="00040001" w:csb1="00000000"/>
  </w:font>
  <w:font w:name="WPSEMBED1">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B937C0"/>
    <w:rsid w:val="0DCA6EF7"/>
    <w:rsid w:val="0E4B1576"/>
    <w:rsid w:val="11E15093"/>
    <w:rsid w:val="120E0809"/>
    <w:rsid w:val="1332191F"/>
    <w:rsid w:val="181A30AD"/>
    <w:rsid w:val="1875698D"/>
    <w:rsid w:val="19071D6C"/>
    <w:rsid w:val="1A952EBF"/>
    <w:rsid w:val="1C317E4F"/>
    <w:rsid w:val="1C472464"/>
    <w:rsid w:val="1DAF458D"/>
    <w:rsid w:val="1E086ACE"/>
    <w:rsid w:val="1EAA4A5F"/>
    <w:rsid w:val="1F040613"/>
    <w:rsid w:val="1F587A0B"/>
    <w:rsid w:val="1FE96E5D"/>
    <w:rsid w:val="2064678E"/>
    <w:rsid w:val="20DD6197"/>
    <w:rsid w:val="21F317F2"/>
    <w:rsid w:val="2241392C"/>
    <w:rsid w:val="23BC04D2"/>
    <w:rsid w:val="2409047A"/>
    <w:rsid w:val="25275618"/>
    <w:rsid w:val="27CF2642"/>
    <w:rsid w:val="282459E2"/>
    <w:rsid w:val="2A053397"/>
    <w:rsid w:val="2A444FB1"/>
    <w:rsid w:val="2A6064E2"/>
    <w:rsid w:val="2BA9200B"/>
    <w:rsid w:val="2BE75544"/>
    <w:rsid w:val="2D1136DF"/>
    <w:rsid w:val="2DAE0E44"/>
    <w:rsid w:val="2EB07E70"/>
    <w:rsid w:val="2F9E416C"/>
    <w:rsid w:val="2FD27414"/>
    <w:rsid w:val="304F36B8"/>
    <w:rsid w:val="313F1D52"/>
    <w:rsid w:val="318029AB"/>
    <w:rsid w:val="319D6C1C"/>
    <w:rsid w:val="31C63837"/>
    <w:rsid w:val="326F0A17"/>
    <w:rsid w:val="34623382"/>
    <w:rsid w:val="390019F4"/>
    <w:rsid w:val="3914510A"/>
    <w:rsid w:val="3B1220C9"/>
    <w:rsid w:val="3D5275AC"/>
    <w:rsid w:val="3D55093B"/>
    <w:rsid w:val="3EA7725F"/>
    <w:rsid w:val="3FA550A3"/>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5FB37C3"/>
    <w:rsid w:val="56E07045"/>
    <w:rsid w:val="583059FA"/>
    <w:rsid w:val="587E6212"/>
    <w:rsid w:val="58D10A34"/>
    <w:rsid w:val="59973ABF"/>
    <w:rsid w:val="5A74678C"/>
    <w:rsid w:val="5AFC6609"/>
    <w:rsid w:val="5C3B09A8"/>
    <w:rsid w:val="5D373386"/>
    <w:rsid w:val="5E932509"/>
    <w:rsid w:val="5FA17648"/>
    <w:rsid w:val="603E67DA"/>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30b631f4-a3da-41b9-9615-6129df00ee7c</errorID>
      <errorWord>-</errorWord>
      <group>L1_Format</group>
      <groupName>格式问题</groupName>
      <ability>L2_HalfPunc_CN</ability>
      <abilityName>全半角问题</abilityName>
      <candidateList>
        <item>－</item>
      </candidateList>
      <explain>文本全半角错误。</explain>
      <paraID> 400A438</paraID>
      <start>98</start>
      <end>99</end>
      <status>unmodified</status>
      <modifiedWord/>
      <trackRevisions>false</trackRevisions>
    </reviewItem>
    <reviewItem>
      <errorID>237e3110-9287-4ccf-b039-88d40204354f</errorID>
      <errorWord>监控</errorWord>
      <group>L1_Sensitive</group>
      <groupName>敏感问题</groupName>
      <ability>L2_UserSensitive</ability>
      <abilityName>自定义敏感词</abilityName>
      <candidateList/>
      <explain>来自自定义敏感词库。</explain>
      <paraID>7779CFFD</paraID>
      <start>213</start>
      <end>215</end>
      <status>unmodified</status>
      <modifiedWord/>
      <trackRevisions>false</trackRevisions>
    </reviewItem>
    <reviewItem>
      <errorID>b4b327d1-989d-4859-a618-44794fc95b92</errorID>
      <errorWord>监控</errorWord>
      <group>L1_Sensitive</group>
      <groupName>敏感问题</groupName>
      <ability>L2_UserSensitive</ability>
      <abilityName>自定义敏感词</abilityName>
      <candidateList/>
      <explain>来自自定义敏感词库。</explain>
      <paraID>7779CFFD</paraID>
      <start>302</start>
      <end>304</end>
      <status>unmodified</status>
      <modifiedWord/>
      <trackRevisions>false</trackRevisions>
    </reviewItem>
    <reviewItem>
      <errorID>6213b2c3-1436-442a-8501-fb0d0d117317</errorID>
      <errorWord>帐</errorWord>
      <group>L1_Word</group>
      <groupName>字词问题</groupName>
      <ability>L2_Typo</ability>
      <abilityName>字词错误</abilityName>
      <candidateList>
        <item>账</item>
      </candidateList>
      <explain/>
      <paraID>440515EC</paraID>
      <start>41</start>
      <end>42</end>
      <status>modified</status>
      <modifiedWord>账</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customXml/itemProps3.xml><?xml version="1.0" encoding="utf-8"?>
<ds:datastoreItem xmlns:ds="http://schemas.openxmlformats.org/officeDocument/2006/customXml" ds:itemID="{82b2fac2-c0b0-40a3-a9e9-1f0fc21a94f2}">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1299</Words>
  <Characters>1510</Characters>
  <Lines>10</Lines>
  <Paragraphs>2</Paragraphs>
  <TotalTime>17</TotalTime>
  <ScaleCrop>false</ScaleCrop>
  <LinksUpToDate>false</LinksUpToDate>
  <CharactersWithSpaces>1518</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来财&amp;十个勤天</cp:lastModifiedBy>
  <cp:lastPrinted>2024-07-22T11:58:00Z</cp:lastPrinted>
  <dcterms:modified xsi:type="dcterms:W3CDTF">2026-08-28T04:19:10Z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8FDA567F26D84A8C8A1B02E29FDE1AE6_13</vt:lpwstr>
  </property>
  <property fmtid="{D5CDD505-2E9C-101B-9397-08002B2CF9AE}" pid="4" name="KSOTemplateDocerSaveRecord">
    <vt:lpwstr>eyJoZGlkIjoiZTliZGUwNWM5NjQxODUyZjhjYWVlMWZjZWZmNTI5MzgiLCJ1c2VySWQiOiIzNzI2MDMzNTYifQ==</vt:lpwstr>
  </property>
</Properties>
</file>