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5409A3"/>
    <w:p w14:paraId="1F0714EB">
      <w:pPr>
        <w:spacing w:line="200" w:lineRule="exact"/>
        <w:jc w:val="center"/>
        <w:rPr>
          <w:rFonts w:eastAsia="华文中宋"/>
          <w:b/>
          <w:kern w:val="0"/>
          <w:sz w:val="52"/>
          <w:szCs w:val="52"/>
        </w:rPr>
      </w:pPr>
    </w:p>
    <w:p w14:paraId="13E58704">
      <w:pPr>
        <w:spacing w:line="200" w:lineRule="exact"/>
        <w:rPr>
          <w:rFonts w:eastAsia="华文中宋"/>
          <w:b/>
          <w:kern w:val="0"/>
          <w:sz w:val="52"/>
          <w:szCs w:val="52"/>
        </w:rPr>
      </w:pPr>
    </w:p>
    <w:p w14:paraId="079FAB66">
      <w:pPr>
        <w:spacing w:line="200" w:lineRule="exact"/>
        <w:jc w:val="center"/>
        <w:rPr>
          <w:rFonts w:eastAsia="华文中宋"/>
          <w:b/>
          <w:kern w:val="0"/>
          <w:sz w:val="52"/>
          <w:szCs w:val="52"/>
        </w:rPr>
      </w:pPr>
    </w:p>
    <w:p w14:paraId="7B145345">
      <w:pPr>
        <w:spacing w:after="0" w:line="560" w:lineRule="exact"/>
        <w:jc w:val="center"/>
        <w:rPr>
          <w:rFonts w:eastAsia="华文中宋"/>
          <w:b/>
          <w:kern w:val="0"/>
          <w:sz w:val="52"/>
          <w:szCs w:val="52"/>
        </w:rPr>
      </w:pPr>
    </w:p>
    <w:p w14:paraId="3D91540F">
      <w:pPr>
        <w:spacing w:after="0" w:line="560" w:lineRule="exact"/>
        <w:jc w:val="center"/>
        <w:rPr>
          <w:rFonts w:eastAsia="方正小标宋_GBK"/>
          <w:kern w:val="0"/>
          <w:sz w:val="48"/>
          <w:szCs w:val="48"/>
        </w:rPr>
      </w:pPr>
      <w:r>
        <w:rPr>
          <w:rFonts w:eastAsia="方正小标宋_GBK"/>
          <w:kern w:val="0"/>
          <w:sz w:val="48"/>
          <w:szCs w:val="48"/>
        </w:rPr>
        <w:t>推进新疆水网及地县级水网骨干工程前期论证实施项目支出绩效评价</w:t>
      </w:r>
    </w:p>
    <w:p w14:paraId="66CCCF2F">
      <w:pPr>
        <w:spacing w:after="0" w:line="560" w:lineRule="exact"/>
        <w:jc w:val="center"/>
        <w:rPr>
          <w:rFonts w:eastAsia="方正小标宋_GBK"/>
          <w:kern w:val="0"/>
          <w:sz w:val="48"/>
          <w:szCs w:val="48"/>
        </w:rPr>
      </w:pPr>
      <w:r>
        <w:rPr>
          <w:rFonts w:eastAsia="方正小标宋_GBK"/>
          <w:kern w:val="0"/>
          <w:sz w:val="48"/>
          <w:szCs w:val="48"/>
        </w:rPr>
        <w:t>报告</w:t>
      </w:r>
    </w:p>
    <w:p w14:paraId="5B97E96D">
      <w:pPr>
        <w:spacing w:after="0" w:line="560" w:lineRule="exact"/>
        <w:jc w:val="center"/>
        <w:rPr>
          <w:rFonts w:eastAsia="华文中宋"/>
          <w:b/>
          <w:kern w:val="0"/>
          <w:sz w:val="52"/>
          <w:szCs w:val="52"/>
        </w:rPr>
      </w:pPr>
    </w:p>
    <w:p w14:paraId="077C255C">
      <w:pPr>
        <w:spacing w:after="0" w:line="560" w:lineRule="exact"/>
        <w:jc w:val="center"/>
        <w:rPr>
          <w:rFonts w:eastAsia="仿宋_GB2312"/>
          <w:kern w:val="0"/>
          <w:sz w:val="36"/>
          <w:szCs w:val="36"/>
        </w:rPr>
      </w:pPr>
      <w:r>
        <w:rPr>
          <w:rFonts w:eastAsia="仿宋_GB2312"/>
          <w:kern w:val="0"/>
          <w:sz w:val="36"/>
          <w:szCs w:val="36"/>
        </w:rPr>
        <w:t>（202</w:t>
      </w:r>
      <w:r>
        <w:rPr>
          <w:rFonts w:hint="eastAsia" w:eastAsia="仿宋_GB2312"/>
          <w:kern w:val="0"/>
          <w:sz w:val="36"/>
          <w:szCs w:val="36"/>
        </w:rPr>
        <w:t>5</w:t>
      </w:r>
      <w:r>
        <w:rPr>
          <w:rFonts w:eastAsia="仿宋_GB2312"/>
          <w:kern w:val="0"/>
          <w:sz w:val="36"/>
          <w:szCs w:val="36"/>
        </w:rPr>
        <w:t>年度）</w:t>
      </w:r>
    </w:p>
    <w:p w14:paraId="2EE7E3CE">
      <w:pPr>
        <w:spacing w:after="0" w:line="560" w:lineRule="exact"/>
        <w:jc w:val="center"/>
        <w:rPr>
          <w:rFonts w:eastAsia="仿宋_GB2312"/>
          <w:kern w:val="0"/>
          <w:sz w:val="30"/>
          <w:szCs w:val="30"/>
        </w:rPr>
      </w:pPr>
    </w:p>
    <w:p w14:paraId="716BCBBF">
      <w:pPr>
        <w:spacing w:after="0" w:line="560" w:lineRule="exact"/>
        <w:jc w:val="center"/>
        <w:rPr>
          <w:rFonts w:eastAsia="仿宋_GB2312"/>
          <w:kern w:val="0"/>
          <w:sz w:val="30"/>
          <w:szCs w:val="30"/>
        </w:rPr>
      </w:pPr>
    </w:p>
    <w:p w14:paraId="3B057A66">
      <w:pPr>
        <w:spacing w:after="0" w:line="560" w:lineRule="exact"/>
        <w:ind w:left="1800" w:hanging="1800" w:hangingChars="500"/>
        <w:jc w:val="left"/>
        <w:rPr>
          <w:rFonts w:eastAsia="方正小标宋_GBK"/>
          <w:kern w:val="0"/>
          <w:sz w:val="48"/>
          <w:szCs w:val="48"/>
        </w:rPr>
      </w:pPr>
      <w:r>
        <w:rPr>
          <w:rFonts w:eastAsia="仿宋_GB2312"/>
          <w:kern w:val="0"/>
          <w:sz w:val="36"/>
          <w:szCs w:val="36"/>
        </w:rPr>
        <w:t>项目名称：推进新疆水网及地县级水网骨干工程前期论证实施</w:t>
      </w:r>
    </w:p>
    <w:p w14:paraId="216A0A65">
      <w:pPr>
        <w:spacing w:after="0" w:line="560" w:lineRule="exact"/>
        <w:ind w:left="3240" w:hanging="3240" w:hangingChars="900"/>
        <w:jc w:val="left"/>
        <w:rPr>
          <w:rFonts w:eastAsia="仿宋_GB2312"/>
          <w:kern w:val="0"/>
          <w:sz w:val="36"/>
          <w:szCs w:val="36"/>
        </w:rPr>
      </w:pPr>
      <w:r>
        <w:rPr>
          <w:rFonts w:eastAsia="仿宋_GB2312"/>
          <w:kern w:val="0"/>
          <w:sz w:val="36"/>
          <w:szCs w:val="36"/>
        </w:rPr>
        <w:t>实施单位（公章）：新疆</w:t>
      </w:r>
      <w:r>
        <w:rPr>
          <w:rFonts w:hint="eastAsia" w:eastAsia="仿宋_GB2312"/>
          <w:kern w:val="0"/>
          <w:sz w:val="36"/>
          <w:szCs w:val="36"/>
        </w:rPr>
        <w:t>维吾尔自治区</w:t>
      </w:r>
      <w:r>
        <w:rPr>
          <w:rFonts w:eastAsia="仿宋_GB2312"/>
          <w:kern w:val="0"/>
          <w:sz w:val="36"/>
          <w:szCs w:val="36"/>
        </w:rPr>
        <w:t>水利水电规划设计</w:t>
      </w:r>
      <w:r>
        <w:rPr>
          <w:rFonts w:hint="eastAsia" w:eastAsia="仿宋_GB2312"/>
          <w:kern w:val="0"/>
          <w:sz w:val="36"/>
          <w:szCs w:val="36"/>
        </w:rPr>
        <w:t>技术中心</w:t>
      </w:r>
    </w:p>
    <w:p w14:paraId="12B7116A">
      <w:pPr>
        <w:spacing w:after="0" w:line="560" w:lineRule="exact"/>
        <w:jc w:val="left"/>
        <w:rPr>
          <w:rFonts w:eastAsia="仿宋_GB2312"/>
          <w:kern w:val="0"/>
          <w:sz w:val="36"/>
          <w:szCs w:val="36"/>
        </w:rPr>
      </w:pPr>
      <w:r>
        <w:rPr>
          <w:rFonts w:eastAsia="仿宋_GB2312"/>
          <w:kern w:val="0"/>
          <w:sz w:val="36"/>
          <w:szCs w:val="36"/>
        </w:rPr>
        <w:t>主管部门（公章）：</w:t>
      </w:r>
      <w:r>
        <w:rPr>
          <w:rFonts w:hint="eastAsia" w:eastAsia="仿宋_GB2312"/>
          <w:kern w:val="0"/>
          <w:sz w:val="36"/>
          <w:szCs w:val="36"/>
        </w:rPr>
        <w:t>新疆维吾尔自治区水利厅</w:t>
      </w:r>
    </w:p>
    <w:p w14:paraId="0B3014FB">
      <w:pPr>
        <w:spacing w:after="0" w:line="560" w:lineRule="exact"/>
        <w:jc w:val="left"/>
        <w:rPr>
          <w:rFonts w:eastAsia="仿宋_GB2312"/>
          <w:kern w:val="0"/>
          <w:sz w:val="36"/>
          <w:szCs w:val="36"/>
        </w:rPr>
      </w:pPr>
      <w:r>
        <w:rPr>
          <w:rFonts w:eastAsia="仿宋_GB2312"/>
          <w:kern w:val="0"/>
          <w:sz w:val="36"/>
          <w:szCs w:val="36"/>
        </w:rPr>
        <w:t>项目负责人（签章）：</w:t>
      </w:r>
      <w:r>
        <w:rPr>
          <w:rFonts w:hint="eastAsia" w:eastAsia="仿宋_GB2312"/>
          <w:kern w:val="0"/>
          <w:sz w:val="36"/>
          <w:szCs w:val="36"/>
        </w:rPr>
        <w:t>李旭东</w:t>
      </w:r>
    </w:p>
    <w:p w14:paraId="2A56FDE5">
      <w:pPr>
        <w:spacing w:after="0" w:line="560" w:lineRule="exact"/>
        <w:jc w:val="left"/>
        <w:rPr>
          <w:rFonts w:eastAsia="仿宋_GB2312"/>
          <w:kern w:val="0"/>
          <w:sz w:val="30"/>
          <w:szCs w:val="30"/>
        </w:rPr>
      </w:pPr>
      <w:r>
        <w:rPr>
          <w:rFonts w:eastAsia="仿宋_GB2312"/>
          <w:kern w:val="0"/>
          <w:sz w:val="36"/>
          <w:szCs w:val="36"/>
        </w:rPr>
        <w:t>填报时间：</w:t>
      </w:r>
      <w:r>
        <w:rPr>
          <w:rFonts w:hint="eastAsia" w:eastAsia="仿宋_GB2312"/>
          <w:kern w:val="0"/>
          <w:sz w:val="36"/>
          <w:szCs w:val="36"/>
        </w:rPr>
        <w:t>2026</w:t>
      </w:r>
      <w:r>
        <w:rPr>
          <w:rFonts w:eastAsia="仿宋_GB2312"/>
          <w:kern w:val="0"/>
          <w:sz w:val="36"/>
          <w:szCs w:val="36"/>
        </w:rPr>
        <w:t>年</w:t>
      </w:r>
      <w:r>
        <w:rPr>
          <w:rFonts w:hint="eastAsia" w:eastAsia="仿宋_GB2312"/>
          <w:kern w:val="0"/>
          <w:sz w:val="36"/>
          <w:szCs w:val="36"/>
        </w:rPr>
        <w:t>3</w:t>
      </w:r>
      <w:r>
        <w:rPr>
          <w:rFonts w:eastAsia="仿宋_GB2312"/>
          <w:kern w:val="0"/>
          <w:sz w:val="36"/>
          <w:szCs w:val="36"/>
        </w:rPr>
        <w:t>月</w:t>
      </w:r>
      <w:r>
        <w:rPr>
          <w:rFonts w:hint="eastAsia" w:eastAsia="仿宋_GB2312"/>
          <w:kern w:val="0"/>
          <w:sz w:val="36"/>
          <w:szCs w:val="36"/>
        </w:rPr>
        <w:t>30</w:t>
      </w:r>
      <w:r>
        <w:rPr>
          <w:rFonts w:eastAsia="仿宋_GB2312"/>
          <w:kern w:val="0"/>
          <w:sz w:val="36"/>
          <w:szCs w:val="36"/>
        </w:rPr>
        <w:t>日</w:t>
      </w:r>
    </w:p>
    <w:p w14:paraId="4F2F98A6">
      <w:pPr>
        <w:spacing w:after="0" w:line="560" w:lineRule="exact"/>
        <w:rPr>
          <w:rFonts w:eastAsia="仿宋_GB2312"/>
          <w:kern w:val="0"/>
          <w:sz w:val="30"/>
          <w:szCs w:val="30"/>
        </w:rPr>
      </w:pPr>
      <w:r>
        <w:rPr>
          <w:rFonts w:eastAsia="仿宋_GB2312"/>
          <w:kern w:val="0"/>
          <w:sz w:val="30"/>
          <w:szCs w:val="30"/>
        </w:rPr>
        <w:br w:type="page"/>
      </w:r>
    </w:p>
    <w:sdt>
      <w:sdtPr>
        <w:rPr>
          <w:rFonts w:ascii="宋体" w:hAnsi="宋体"/>
          <w:b/>
          <w:bCs/>
          <w:sz w:val="44"/>
          <w:szCs w:val="44"/>
        </w:rPr>
        <w:id w:val="147456767"/>
        <w15:color w:val="DBDBDB"/>
        <w:docPartObj>
          <w:docPartGallery w:val="Table of Contents"/>
          <w:docPartUnique/>
        </w:docPartObj>
      </w:sdtPr>
      <w:sdtEndPr>
        <w:rPr>
          <w:rFonts w:ascii="Times New Roman" w:hAnsi="Times New Roman"/>
          <w:b/>
          <w:bCs/>
          <w:sz w:val="21"/>
          <w:szCs w:val="24"/>
        </w:rPr>
      </w:sdtEndPr>
      <w:sdtContent>
        <w:p w14:paraId="1252EF8E">
          <w:pPr>
            <w:spacing w:after="0" w:line="560" w:lineRule="exact"/>
            <w:jc w:val="center"/>
            <w:rPr>
              <w:b/>
              <w:bCs/>
              <w:sz w:val="44"/>
              <w:szCs w:val="44"/>
            </w:rPr>
          </w:pPr>
          <w:r>
            <w:rPr>
              <w:rFonts w:ascii="宋体" w:hAnsi="宋体"/>
              <w:b/>
              <w:bCs/>
              <w:sz w:val="44"/>
              <w:szCs w:val="44"/>
            </w:rPr>
            <w:t>目录</w:t>
          </w:r>
        </w:p>
        <w:p w14:paraId="702C3796">
          <w:pPr>
            <w:pStyle w:val="9"/>
            <w:tabs>
              <w:tab w:val="right" w:leader="middleDot" w:pos="8548"/>
              <w:tab w:val="clear" w:pos="7980"/>
              <w:tab w:val="clear" w:pos="8190"/>
            </w:tabs>
            <w:spacing w:after="0" w:line="520" w:lineRule="exact"/>
            <w:rPr>
              <w:rFonts w:hint="eastAsia" w:ascii="仿宋_GB2312" w:hAnsi="仿宋_GB2312" w:cs="仿宋_GB2312"/>
              <w:szCs w:val="32"/>
            </w:rPr>
          </w:pPr>
          <w:r>
            <w:fldChar w:fldCharType="begin"/>
          </w:r>
          <w:r>
            <w:instrText xml:space="preserve">TOC \o "1-9" \h \u</w:instrText>
          </w:r>
          <w:r>
            <w:fldChar w:fldCharType="separate"/>
          </w:r>
          <w:r>
            <w:fldChar w:fldCharType="begin"/>
          </w:r>
          <w:r>
            <w:instrText xml:space="preserve"> HYPERLINK \l "_Toc3458" </w:instrText>
          </w:r>
          <w:r>
            <w:fldChar w:fldCharType="separate"/>
          </w:r>
          <w:r>
            <w:rPr>
              <w:rFonts w:hint="eastAsia" w:ascii="仿宋_GB2312" w:hAnsi="仿宋_GB2312" w:cs="仿宋_GB2312"/>
              <w:bCs/>
              <w:szCs w:val="32"/>
            </w:rPr>
            <w:t>一、基本情况</w:t>
          </w:r>
          <w:r>
            <w:rPr>
              <w:rFonts w:hint="eastAsia" w:ascii="仿宋_GB2312" w:hAnsi="仿宋_GB2312" w:cs="仿宋_GB2312"/>
              <w:szCs w:val="32"/>
            </w:rPr>
            <w:tab/>
          </w:r>
          <w:r>
            <w:rPr>
              <w:rFonts w:hint="eastAsia" w:ascii="仿宋_GB2312" w:hAnsi="仿宋_GB2312" w:cs="仿宋_GB2312"/>
              <w:szCs w:val="32"/>
            </w:rPr>
            <w:fldChar w:fldCharType="begin"/>
          </w:r>
          <w:r>
            <w:rPr>
              <w:rFonts w:hint="eastAsia" w:ascii="仿宋_GB2312" w:hAnsi="仿宋_GB2312" w:cs="仿宋_GB2312"/>
              <w:szCs w:val="32"/>
            </w:rPr>
            <w:instrText xml:space="preserve"> PAGEREF _Toc3458 \h </w:instrText>
          </w:r>
          <w:r>
            <w:rPr>
              <w:rFonts w:hint="eastAsia" w:ascii="仿宋_GB2312" w:hAnsi="仿宋_GB2312" w:cs="仿宋_GB2312"/>
              <w:szCs w:val="32"/>
            </w:rPr>
            <w:fldChar w:fldCharType="separate"/>
          </w:r>
          <w:r>
            <w:rPr>
              <w:rFonts w:hint="eastAsia" w:ascii="仿宋_GB2312" w:hAnsi="仿宋_GB2312" w:cs="仿宋_GB2312"/>
              <w:szCs w:val="32"/>
            </w:rPr>
            <w:t>1</w:t>
          </w:r>
          <w:r>
            <w:rPr>
              <w:rFonts w:hint="eastAsia" w:ascii="仿宋_GB2312" w:hAnsi="仿宋_GB2312" w:cs="仿宋_GB2312"/>
              <w:szCs w:val="32"/>
            </w:rPr>
            <w:fldChar w:fldCharType="end"/>
          </w:r>
          <w:r>
            <w:rPr>
              <w:rFonts w:hint="eastAsia" w:ascii="仿宋_GB2312" w:hAnsi="仿宋_GB2312" w:cs="仿宋_GB2312"/>
              <w:szCs w:val="32"/>
            </w:rPr>
            <w:fldChar w:fldCharType="end"/>
          </w:r>
        </w:p>
        <w:p w14:paraId="71FC7E89">
          <w:pPr>
            <w:pStyle w:val="11"/>
            <w:tabs>
              <w:tab w:val="right" w:leader="middleDot" w:pos="8548"/>
            </w:tabs>
            <w:spacing w:after="0" w:line="520" w:lineRule="exact"/>
            <w:rPr>
              <w:rFonts w:hint="eastAsia" w:ascii="仿宋_GB2312" w:hAnsi="仿宋_GB2312" w:eastAsia="仿宋_GB2312" w:cs="仿宋_GB2312"/>
              <w:sz w:val="32"/>
              <w:szCs w:val="32"/>
            </w:rPr>
          </w:pPr>
          <w:r>
            <w:fldChar w:fldCharType="begin"/>
          </w:r>
          <w:r>
            <w:instrText xml:space="preserve"> HYPERLINK \l "_Toc16251" </w:instrText>
          </w:r>
          <w:r>
            <w:fldChar w:fldCharType="separate"/>
          </w:r>
          <w:r>
            <w:rPr>
              <w:rFonts w:hint="eastAsia" w:ascii="仿宋_GB2312" w:hAnsi="仿宋_GB2312" w:eastAsia="仿宋_GB2312" w:cs="仿宋_GB2312"/>
              <w:bCs/>
              <w:sz w:val="32"/>
              <w:szCs w:val="32"/>
            </w:rPr>
            <w:t>（一）项目概况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_Toc16251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36A96FCA">
          <w:pPr>
            <w:pStyle w:val="11"/>
            <w:tabs>
              <w:tab w:val="right" w:leader="middleDot" w:pos="8548"/>
            </w:tabs>
            <w:spacing w:after="0" w:line="520" w:lineRule="exact"/>
            <w:rPr>
              <w:rFonts w:hint="eastAsia" w:ascii="仿宋_GB2312" w:hAnsi="仿宋_GB2312" w:eastAsia="仿宋_GB2312" w:cs="仿宋_GB2312"/>
              <w:sz w:val="32"/>
              <w:szCs w:val="32"/>
            </w:rPr>
          </w:pPr>
          <w:r>
            <w:fldChar w:fldCharType="begin"/>
          </w:r>
          <w:r>
            <w:instrText xml:space="preserve"> HYPERLINK \l "_Toc11655" </w:instrText>
          </w:r>
          <w:r>
            <w:fldChar w:fldCharType="separate"/>
          </w:r>
          <w:r>
            <w:rPr>
              <w:rFonts w:hint="eastAsia" w:ascii="仿宋_GB2312" w:hAnsi="仿宋_GB2312" w:eastAsia="仿宋_GB2312" w:cs="仿宋_GB2312"/>
              <w:bCs/>
              <w:sz w:val="32"/>
              <w:szCs w:val="32"/>
            </w:rPr>
            <w:t>（二）项目绩效目标</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_Toc11655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69CB1F5E">
          <w:pPr>
            <w:pStyle w:val="9"/>
            <w:tabs>
              <w:tab w:val="right" w:leader="middleDot" w:pos="8548"/>
              <w:tab w:val="clear" w:pos="7980"/>
              <w:tab w:val="clear" w:pos="8190"/>
            </w:tabs>
            <w:spacing w:after="0" w:line="520" w:lineRule="exact"/>
            <w:rPr>
              <w:rFonts w:hint="eastAsia" w:ascii="仿宋_GB2312" w:hAnsi="仿宋_GB2312" w:cs="仿宋_GB2312"/>
              <w:szCs w:val="32"/>
            </w:rPr>
          </w:pPr>
          <w:r>
            <w:fldChar w:fldCharType="begin"/>
          </w:r>
          <w:r>
            <w:instrText xml:space="preserve"> HYPERLINK \l "_Toc25712" </w:instrText>
          </w:r>
          <w:r>
            <w:fldChar w:fldCharType="separate"/>
          </w:r>
          <w:r>
            <w:rPr>
              <w:rFonts w:hint="eastAsia" w:ascii="仿宋_GB2312" w:hAnsi="仿宋_GB2312" w:cs="仿宋_GB2312"/>
              <w:szCs w:val="32"/>
            </w:rPr>
            <w:t>二、绩效评价工作开展情况</w:t>
          </w:r>
          <w:r>
            <w:rPr>
              <w:rFonts w:hint="eastAsia" w:ascii="仿宋_GB2312" w:hAnsi="仿宋_GB2312" w:cs="仿宋_GB2312"/>
              <w:szCs w:val="32"/>
            </w:rPr>
            <w:tab/>
          </w:r>
          <w:r>
            <w:rPr>
              <w:rFonts w:hint="eastAsia" w:ascii="仿宋_GB2312" w:hAnsi="仿宋_GB2312" w:cs="仿宋_GB2312"/>
              <w:szCs w:val="32"/>
            </w:rPr>
            <w:fldChar w:fldCharType="begin"/>
          </w:r>
          <w:r>
            <w:rPr>
              <w:rFonts w:hint="eastAsia" w:ascii="仿宋_GB2312" w:hAnsi="仿宋_GB2312" w:cs="仿宋_GB2312"/>
              <w:szCs w:val="32"/>
            </w:rPr>
            <w:instrText xml:space="preserve"> PAGEREF _Toc25712 \h </w:instrText>
          </w:r>
          <w:r>
            <w:rPr>
              <w:rFonts w:hint="eastAsia" w:ascii="仿宋_GB2312" w:hAnsi="仿宋_GB2312" w:cs="仿宋_GB2312"/>
              <w:szCs w:val="32"/>
            </w:rPr>
            <w:fldChar w:fldCharType="separate"/>
          </w:r>
          <w:r>
            <w:rPr>
              <w:rFonts w:hint="eastAsia" w:ascii="仿宋_GB2312" w:hAnsi="仿宋_GB2312" w:cs="仿宋_GB2312"/>
              <w:szCs w:val="32"/>
            </w:rPr>
            <w:t>2</w:t>
          </w:r>
          <w:r>
            <w:rPr>
              <w:rFonts w:hint="eastAsia" w:ascii="仿宋_GB2312" w:hAnsi="仿宋_GB2312" w:cs="仿宋_GB2312"/>
              <w:szCs w:val="32"/>
            </w:rPr>
            <w:fldChar w:fldCharType="end"/>
          </w:r>
          <w:r>
            <w:rPr>
              <w:rFonts w:hint="eastAsia" w:ascii="仿宋_GB2312" w:hAnsi="仿宋_GB2312" w:cs="仿宋_GB2312"/>
              <w:szCs w:val="32"/>
            </w:rPr>
            <w:fldChar w:fldCharType="end"/>
          </w:r>
        </w:p>
        <w:p w14:paraId="043FE560">
          <w:pPr>
            <w:pStyle w:val="11"/>
            <w:tabs>
              <w:tab w:val="right" w:leader="middleDot" w:pos="8548"/>
            </w:tabs>
            <w:spacing w:after="0" w:line="520" w:lineRule="exact"/>
            <w:rPr>
              <w:rFonts w:hint="eastAsia" w:ascii="仿宋_GB2312" w:hAnsi="仿宋_GB2312" w:eastAsia="仿宋_GB2312" w:cs="仿宋_GB2312"/>
              <w:sz w:val="32"/>
              <w:szCs w:val="32"/>
            </w:rPr>
          </w:pPr>
          <w:r>
            <w:fldChar w:fldCharType="begin"/>
          </w:r>
          <w:r>
            <w:instrText xml:space="preserve"> HYPERLINK \l "_Toc20967" </w:instrText>
          </w:r>
          <w:r>
            <w:fldChar w:fldCharType="separate"/>
          </w:r>
          <w:r>
            <w:rPr>
              <w:rFonts w:hint="eastAsia" w:ascii="仿宋_GB2312" w:hAnsi="仿宋_GB2312" w:eastAsia="仿宋_GB2312" w:cs="仿宋_GB2312"/>
              <w:bCs/>
              <w:sz w:val="32"/>
              <w:szCs w:val="32"/>
            </w:rPr>
            <w:t>（一）绩效评价目的、对象和范围</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_Toc20967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4EE4D689">
          <w:pPr>
            <w:pStyle w:val="11"/>
            <w:tabs>
              <w:tab w:val="right" w:leader="middleDot" w:pos="8548"/>
            </w:tabs>
            <w:spacing w:after="0" w:line="520" w:lineRule="exact"/>
            <w:rPr>
              <w:rFonts w:hint="eastAsia" w:ascii="仿宋_GB2312" w:hAnsi="仿宋_GB2312" w:eastAsia="仿宋_GB2312" w:cs="仿宋_GB2312"/>
              <w:sz w:val="32"/>
              <w:szCs w:val="32"/>
            </w:rPr>
          </w:pPr>
          <w:r>
            <w:fldChar w:fldCharType="begin"/>
          </w:r>
          <w:r>
            <w:instrText xml:space="preserve"> HYPERLINK \l "_Toc29785" </w:instrText>
          </w:r>
          <w:r>
            <w:fldChar w:fldCharType="separate"/>
          </w:r>
          <w:r>
            <w:rPr>
              <w:rFonts w:hint="eastAsia" w:ascii="仿宋_GB2312" w:hAnsi="仿宋_GB2312" w:eastAsia="仿宋_GB2312" w:cs="仿宋_GB2312"/>
              <w:bCs/>
              <w:sz w:val="32"/>
              <w:szCs w:val="32"/>
            </w:rPr>
            <w:t>（二）绩效评价原则、评价指标体系（详情见表1）、评价方法、评价标准</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_Toc29785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4</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624235FF">
          <w:pPr>
            <w:pStyle w:val="11"/>
            <w:tabs>
              <w:tab w:val="right" w:leader="middleDot" w:pos="8548"/>
            </w:tabs>
            <w:spacing w:after="0" w:line="520" w:lineRule="exact"/>
            <w:rPr>
              <w:rFonts w:hint="eastAsia" w:ascii="仿宋_GB2312" w:hAnsi="仿宋_GB2312" w:eastAsia="仿宋_GB2312" w:cs="仿宋_GB2312"/>
              <w:sz w:val="32"/>
              <w:szCs w:val="32"/>
            </w:rPr>
          </w:pPr>
          <w:r>
            <w:fldChar w:fldCharType="begin"/>
          </w:r>
          <w:r>
            <w:instrText xml:space="preserve"> HYPERLINK \l "_Toc5544" </w:instrText>
          </w:r>
          <w:r>
            <w:fldChar w:fldCharType="separate"/>
          </w:r>
          <w:r>
            <w:rPr>
              <w:rFonts w:hint="eastAsia" w:ascii="仿宋_GB2312" w:hAnsi="仿宋_GB2312" w:eastAsia="仿宋_GB2312" w:cs="仿宋_GB2312"/>
              <w:spacing w:val="17"/>
              <w:sz w:val="32"/>
              <w:szCs w:val="32"/>
            </w:rPr>
            <w:t>（三）绩效评价工作过程</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_Toc5544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7</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5DE8CE04">
          <w:pPr>
            <w:pStyle w:val="9"/>
            <w:tabs>
              <w:tab w:val="right" w:leader="middleDot" w:pos="8548"/>
              <w:tab w:val="clear" w:pos="7980"/>
              <w:tab w:val="clear" w:pos="8190"/>
            </w:tabs>
            <w:spacing w:after="0" w:line="520" w:lineRule="exact"/>
            <w:rPr>
              <w:rFonts w:hint="eastAsia" w:ascii="仿宋_GB2312" w:hAnsi="仿宋_GB2312" w:cs="仿宋_GB2312"/>
              <w:szCs w:val="32"/>
            </w:rPr>
          </w:pPr>
          <w:r>
            <w:fldChar w:fldCharType="begin"/>
          </w:r>
          <w:r>
            <w:instrText xml:space="preserve"> HYPERLINK \l "_Toc29729" </w:instrText>
          </w:r>
          <w:r>
            <w:fldChar w:fldCharType="separate"/>
          </w:r>
          <w:r>
            <w:rPr>
              <w:rFonts w:hint="eastAsia" w:ascii="仿宋_GB2312" w:hAnsi="仿宋_GB2312" w:cs="仿宋_GB2312"/>
              <w:szCs w:val="32"/>
            </w:rPr>
            <w:t>三、综合评价情况及评价结论（附相关评分表）</w:t>
          </w:r>
          <w:r>
            <w:rPr>
              <w:rFonts w:hint="eastAsia" w:ascii="仿宋_GB2312" w:hAnsi="仿宋_GB2312" w:cs="仿宋_GB2312"/>
              <w:szCs w:val="32"/>
            </w:rPr>
            <w:tab/>
          </w:r>
          <w:r>
            <w:rPr>
              <w:rFonts w:hint="eastAsia" w:ascii="仿宋_GB2312" w:hAnsi="仿宋_GB2312" w:cs="仿宋_GB2312"/>
              <w:szCs w:val="32"/>
            </w:rPr>
            <w:fldChar w:fldCharType="begin"/>
          </w:r>
          <w:r>
            <w:rPr>
              <w:rFonts w:hint="eastAsia" w:ascii="仿宋_GB2312" w:hAnsi="仿宋_GB2312" w:cs="仿宋_GB2312"/>
              <w:szCs w:val="32"/>
            </w:rPr>
            <w:instrText xml:space="preserve"> PAGEREF _Toc29729 \h </w:instrText>
          </w:r>
          <w:r>
            <w:rPr>
              <w:rFonts w:hint="eastAsia" w:ascii="仿宋_GB2312" w:hAnsi="仿宋_GB2312" w:cs="仿宋_GB2312"/>
              <w:szCs w:val="32"/>
            </w:rPr>
            <w:fldChar w:fldCharType="separate"/>
          </w:r>
          <w:r>
            <w:rPr>
              <w:rFonts w:hint="eastAsia" w:ascii="仿宋_GB2312" w:hAnsi="仿宋_GB2312" w:cs="仿宋_GB2312"/>
              <w:szCs w:val="32"/>
            </w:rPr>
            <w:t>9</w:t>
          </w:r>
          <w:r>
            <w:rPr>
              <w:rFonts w:hint="eastAsia" w:ascii="仿宋_GB2312" w:hAnsi="仿宋_GB2312" w:cs="仿宋_GB2312"/>
              <w:szCs w:val="32"/>
            </w:rPr>
            <w:fldChar w:fldCharType="end"/>
          </w:r>
          <w:r>
            <w:rPr>
              <w:rFonts w:hint="eastAsia" w:ascii="仿宋_GB2312" w:hAnsi="仿宋_GB2312" w:cs="仿宋_GB2312"/>
              <w:szCs w:val="32"/>
            </w:rPr>
            <w:fldChar w:fldCharType="end"/>
          </w:r>
        </w:p>
        <w:p w14:paraId="065F4B77">
          <w:pPr>
            <w:pStyle w:val="11"/>
            <w:tabs>
              <w:tab w:val="right" w:leader="middleDot" w:pos="8548"/>
            </w:tabs>
            <w:spacing w:after="0" w:line="520" w:lineRule="exact"/>
            <w:rPr>
              <w:rFonts w:hint="eastAsia" w:ascii="仿宋_GB2312" w:hAnsi="仿宋_GB2312" w:eastAsia="仿宋_GB2312" w:cs="仿宋_GB2312"/>
              <w:sz w:val="32"/>
              <w:szCs w:val="32"/>
            </w:rPr>
          </w:pPr>
          <w:r>
            <w:fldChar w:fldCharType="begin"/>
          </w:r>
          <w:r>
            <w:instrText xml:space="preserve"> HYPERLINK \l "_Toc2344" </w:instrText>
          </w:r>
          <w:r>
            <w:fldChar w:fldCharType="separate"/>
          </w:r>
          <w:r>
            <w:rPr>
              <w:rFonts w:hint="eastAsia" w:ascii="仿宋_GB2312" w:hAnsi="仿宋_GB2312" w:eastAsia="仿宋_GB2312" w:cs="仿宋_GB2312"/>
              <w:sz w:val="32"/>
              <w:szCs w:val="32"/>
            </w:rPr>
            <w:t>（一）评价情况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_Toc2344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09895F7B">
          <w:pPr>
            <w:pStyle w:val="11"/>
            <w:tabs>
              <w:tab w:val="right" w:leader="middleDot" w:pos="8548"/>
            </w:tabs>
            <w:spacing w:after="0" w:line="520" w:lineRule="exact"/>
            <w:rPr>
              <w:rFonts w:hint="eastAsia" w:ascii="仿宋_GB2312" w:hAnsi="仿宋_GB2312" w:eastAsia="仿宋_GB2312" w:cs="仿宋_GB2312"/>
              <w:sz w:val="32"/>
              <w:szCs w:val="32"/>
            </w:rPr>
          </w:pPr>
          <w:r>
            <w:fldChar w:fldCharType="begin"/>
          </w:r>
          <w:r>
            <w:instrText xml:space="preserve"> HYPERLINK \l "_Toc6653" </w:instrText>
          </w:r>
          <w:r>
            <w:fldChar w:fldCharType="separate"/>
          </w:r>
          <w:r>
            <w:rPr>
              <w:rFonts w:hint="eastAsia" w:ascii="仿宋_GB2312" w:hAnsi="仿宋_GB2312" w:eastAsia="仿宋_GB2312" w:cs="仿宋_GB2312"/>
              <w:sz w:val="32"/>
              <w:szCs w:val="32"/>
            </w:rPr>
            <w:t>（二）评价结论</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_Toc6653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9</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1A142EDD">
          <w:pPr>
            <w:pStyle w:val="9"/>
            <w:tabs>
              <w:tab w:val="right" w:leader="middleDot" w:pos="8548"/>
              <w:tab w:val="clear" w:pos="7980"/>
              <w:tab w:val="clear" w:pos="8190"/>
            </w:tabs>
            <w:spacing w:after="0" w:line="520" w:lineRule="exact"/>
            <w:rPr>
              <w:rFonts w:hint="eastAsia" w:ascii="仿宋_GB2312" w:hAnsi="仿宋_GB2312" w:cs="仿宋_GB2312"/>
              <w:szCs w:val="32"/>
            </w:rPr>
          </w:pPr>
          <w:r>
            <w:fldChar w:fldCharType="begin"/>
          </w:r>
          <w:r>
            <w:instrText xml:space="preserve"> HYPERLINK \l "_Toc1453" </w:instrText>
          </w:r>
          <w:r>
            <w:fldChar w:fldCharType="separate"/>
          </w:r>
          <w:r>
            <w:rPr>
              <w:rFonts w:hint="eastAsia" w:ascii="仿宋_GB2312" w:hAnsi="仿宋_GB2312" w:cs="仿宋_GB2312"/>
              <w:szCs w:val="32"/>
            </w:rPr>
            <w:t>四、绩效评价指标分析</w:t>
          </w:r>
          <w:r>
            <w:rPr>
              <w:rFonts w:hint="eastAsia" w:ascii="仿宋_GB2312" w:hAnsi="仿宋_GB2312" w:cs="仿宋_GB2312"/>
              <w:szCs w:val="32"/>
            </w:rPr>
            <w:tab/>
          </w:r>
          <w:r>
            <w:rPr>
              <w:rFonts w:hint="eastAsia" w:ascii="仿宋_GB2312" w:hAnsi="仿宋_GB2312" w:cs="仿宋_GB2312"/>
              <w:szCs w:val="32"/>
            </w:rPr>
            <w:fldChar w:fldCharType="begin"/>
          </w:r>
          <w:r>
            <w:rPr>
              <w:rFonts w:hint="eastAsia" w:ascii="仿宋_GB2312" w:hAnsi="仿宋_GB2312" w:cs="仿宋_GB2312"/>
              <w:szCs w:val="32"/>
            </w:rPr>
            <w:instrText xml:space="preserve"> PAGEREF _Toc1453 \h </w:instrText>
          </w:r>
          <w:r>
            <w:rPr>
              <w:rFonts w:hint="eastAsia" w:ascii="仿宋_GB2312" w:hAnsi="仿宋_GB2312" w:cs="仿宋_GB2312"/>
              <w:szCs w:val="32"/>
            </w:rPr>
            <w:fldChar w:fldCharType="separate"/>
          </w:r>
          <w:r>
            <w:rPr>
              <w:rFonts w:hint="eastAsia" w:ascii="仿宋_GB2312" w:hAnsi="仿宋_GB2312" w:cs="仿宋_GB2312"/>
              <w:szCs w:val="32"/>
            </w:rPr>
            <w:t>10</w:t>
          </w:r>
          <w:r>
            <w:rPr>
              <w:rFonts w:hint="eastAsia" w:ascii="仿宋_GB2312" w:hAnsi="仿宋_GB2312" w:cs="仿宋_GB2312"/>
              <w:szCs w:val="32"/>
            </w:rPr>
            <w:fldChar w:fldCharType="end"/>
          </w:r>
          <w:r>
            <w:rPr>
              <w:rFonts w:hint="eastAsia" w:ascii="仿宋_GB2312" w:hAnsi="仿宋_GB2312" w:cs="仿宋_GB2312"/>
              <w:szCs w:val="32"/>
            </w:rPr>
            <w:fldChar w:fldCharType="end"/>
          </w:r>
        </w:p>
        <w:p w14:paraId="1C6FB7C3">
          <w:pPr>
            <w:pStyle w:val="11"/>
            <w:tabs>
              <w:tab w:val="right" w:leader="middleDot" w:pos="8548"/>
            </w:tabs>
            <w:spacing w:after="0" w:line="520" w:lineRule="exact"/>
            <w:rPr>
              <w:rFonts w:hint="eastAsia" w:ascii="仿宋_GB2312" w:hAnsi="仿宋_GB2312" w:eastAsia="仿宋_GB2312" w:cs="仿宋_GB2312"/>
              <w:sz w:val="32"/>
              <w:szCs w:val="32"/>
            </w:rPr>
          </w:pPr>
          <w:r>
            <w:fldChar w:fldCharType="begin"/>
          </w:r>
          <w:r>
            <w:instrText xml:space="preserve"> HYPERLINK \l "_Toc32318" </w:instrText>
          </w:r>
          <w:r>
            <w:fldChar w:fldCharType="separate"/>
          </w:r>
          <w:r>
            <w:rPr>
              <w:rFonts w:hint="eastAsia" w:ascii="仿宋_GB2312" w:hAnsi="仿宋_GB2312" w:eastAsia="仿宋_GB2312" w:cs="仿宋_GB2312"/>
              <w:sz w:val="32"/>
              <w:szCs w:val="32"/>
            </w:rPr>
            <w:t>（一）项目决策情况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_Toc32318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10</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0C1025F8">
          <w:pPr>
            <w:pStyle w:val="11"/>
            <w:tabs>
              <w:tab w:val="right" w:leader="middleDot" w:pos="8548"/>
            </w:tabs>
            <w:spacing w:after="0" w:line="520" w:lineRule="exact"/>
            <w:rPr>
              <w:rFonts w:hint="eastAsia" w:ascii="仿宋_GB2312" w:hAnsi="仿宋_GB2312" w:eastAsia="仿宋_GB2312" w:cs="仿宋_GB2312"/>
              <w:sz w:val="32"/>
              <w:szCs w:val="32"/>
            </w:rPr>
          </w:pPr>
          <w:r>
            <w:fldChar w:fldCharType="begin"/>
          </w:r>
          <w:r>
            <w:instrText xml:space="preserve"> HYPERLINK \l "_Toc25505" </w:instrText>
          </w:r>
          <w:r>
            <w:fldChar w:fldCharType="separate"/>
          </w:r>
          <w:r>
            <w:rPr>
              <w:rFonts w:hint="eastAsia" w:ascii="仿宋_GB2312" w:hAnsi="仿宋_GB2312" w:eastAsia="仿宋_GB2312" w:cs="仿宋_GB2312"/>
              <w:sz w:val="32"/>
              <w:szCs w:val="32"/>
            </w:rPr>
            <w:t>（二）项目过程情况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_Toc25505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13</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449F320D">
          <w:pPr>
            <w:pStyle w:val="11"/>
            <w:tabs>
              <w:tab w:val="right" w:leader="middleDot" w:pos="8548"/>
            </w:tabs>
            <w:spacing w:after="0" w:line="520" w:lineRule="exact"/>
            <w:rPr>
              <w:rFonts w:hint="eastAsia" w:ascii="仿宋_GB2312" w:hAnsi="仿宋_GB2312" w:eastAsia="仿宋_GB2312" w:cs="仿宋_GB2312"/>
              <w:sz w:val="32"/>
              <w:szCs w:val="32"/>
            </w:rPr>
          </w:pPr>
          <w:r>
            <w:fldChar w:fldCharType="begin"/>
          </w:r>
          <w:r>
            <w:instrText xml:space="preserve"> HYPERLINK \l "_Toc8612" </w:instrText>
          </w:r>
          <w:r>
            <w:fldChar w:fldCharType="separate"/>
          </w:r>
          <w:r>
            <w:rPr>
              <w:rFonts w:hint="eastAsia" w:ascii="仿宋_GB2312" w:hAnsi="仿宋_GB2312" w:eastAsia="仿宋_GB2312" w:cs="仿宋_GB2312"/>
              <w:bCs/>
              <w:sz w:val="32"/>
              <w:szCs w:val="32"/>
            </w:rPr>
            <w:t>（三）项目产出情况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_Toc8612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1526846C">
          <w:pPr>
            <w:pStyle w:val="11"/>
            <w:tabs>
              <w:tab w:val="right" w:leader="middleDot" w:pos="8548"/>
            </w:tabs>
            <w:spacing w:after="0" w:line="520" w:lineRule="exact"/>
            <w:rPr>
              <w:rFonts w:hint="eastAsia" w:ascii="仿宋_GB2312" w:hAnsi="仿宋_GB2312" w:eastAsia="仿宋_GB2312" w:cs="仿宋_GB2312"/>
              <w:sz w:val="32"/>
              <w:szCs w:val="32"/>
            </w:rPr>
          </w:pPr>
          <w:r>
            <w:fldChar w:fldCharType="begin"/>
          </w:r>
          <w:r>
            <w:instrText xml:space="preserve"> HYPERLINK \l "_Toc18470" </w:instrText>
          </w:r>
          <w:r>
            <w:fldChar w:fldCharType="separate"/>
          </w:r>
          <w:r>
            <w:rPr>
              <w:rFonts w:hint="eastAsia" w:ascii="仿宋_GB2312" w:hAnsi="仿宋_GB2312" w:eastAsia="仿宋_GB2312" w:cs="仿宋_GB2312"/>
              <w:bCs/>
              <w:sz w:val="32"/>
              <w:szCs w:val="32"/>
            </w:rPr>
            <w:t>（四）项目效益情况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_Toc18470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15</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2F02B69F">
          <w:pPr>
            <w:pStyle w:val="9"/>
            <w:tabs>
              <w:tab w:val="right" w:leader="middleDot" w:pos="8548"/>
              <w:tab w:val="clear" w:pos="7980"/>
              <w:tab w:val="clear" w:pos="8190"/>
            </w:tabs>
            <w:spacing w:after="0" w:line="520" w:lineRule="exact"/>
            <w:rPr>
              <w:rFonts w:hint="eastAsia" w:ascii="仿宋_GB2312" w:hAnsi="仿宋_GB2312" w:cs="仿宋_GB2312"/>
              <w:szCs w:val="32"/>
            </w:rPr>
          </w:pPr>
          <w:r>
            <w:fldChar w:fldCharType="begin"/>
          </w:r>
          <w:r>
            <w:instrText xml:space="preserve"> HYPERLINK \l "_Toc21462" </w:instrText>
          </w:r>
          <w:r>
            <w:fldChar w:fldCharType="separate"/>
          </w:r>
          <w:r>
            <w:rPr>
              <w:rFonts w:hint="eastAsia" w:ascii="仿宋_GB2312" w:hAnsi="仿宋_GB2312" w:cs="仿宋_GB2312"/>
              <w:szCs w:val="32"/>
            </w:rPr>
            <w:t>五、预算执行进度与绩效指标偏差</w:t>
          </w:r>
          <w:r>
            <w:rPr>
              <w:rFonts w:hint="eastAsia" w:ascii="仿宋_GB2312" w:hAnsi="仿宋_GB2312" w:cs="仿宋_GB2312"/>
              <w:szCs w:val="32"/>
            </w:rPr>
            <w:tab/>
          </w:r>
          <w:r>
            <w:rPr>
              <w:rFonts w:hint="eastAsia" w:ascii="仿宋_GB2312" w:hAnsi="仿宋_GB2312" w:cs="仿宋_GB2312"/>
              <w:szCs w:val="32"/>
            </w:rPr>
            <w:fldChar w:fldCharType="begin"/>
          </w:r>
          <w:r>
            <w:rPr>
              <w:rFonts w:hint="eastAsia" w:ascii="仿宋_GB2312" w:hAnsi="仿宋_GB2312" w:cs="仿宋_GB2312"/>
              <w:szCs w:val="32"/>
            </w:rPr>
            <w:instrText xml:space="preserve"> PAGEREF _Toc21462 \h </w:instrText>
          </w:r>
          <w:r>
            <w:rPr>
              <w:rFonts w:hint="eastAsia" w:ascii="仿宋_GB2312" w:hAnsi="仿宋_GB2312" w:cs="仿宋_GB2312"/>
              <w:szCs w:val="32"/>
            </w:rPr>
            <w:fldChar w:fldCharType="separate"/>
          </w:r>
          <w:r>
            <w:rPr>
              <w:rFonts w:hint="eastAsia" w:ascii="仿宋_GB2312" w:hAnsi="仿宋_GB2312" w:cs="仿宋_GB2312"/>
              <w:szCs w:val="32"/>
            </w:rPr>
            <w:t>16</w:t>
          </w:r>
          <w:r>
            <w:rPr>
              <w:rFonts w:hint="eastAsia" w:ascii="仿宋_GB2312" w:hAnsi="仿宋_GB2312" w:cs="仿宋_GB2312"/>
              <w:szCs w:val="32"/>
            </w:rPr>
            <w:fldChar w:fldCharType="end"/>
          </w:r>
          <w:r>
            <w:rPr>
              <w:rFonts w:hint="eastAsia" w:ascii="仿宋_GB2312" w:hAnsi="仿宋_GB2312" w:cs="仿宋_GB2312"/>
              <w:szCs w:val="32"/>
            </w:rPr>
            <w:fldChar w:fldCharType="end"/>
          </w:r>
        </w:p>
        <w:p w14:paraId="79562C21">
          <w:pPr>
            <w:pStyle w:val="9"/>
            <w:tabs>
              <w:tab w:val="right" w:leader="middleDot" w:pos="8548"/>
              <w:tab w:val="clear" w:pos="7980"/>
              <w:tab w:val="clear" w:pos="8190"/>
            </w:tabs>
            <w:spacing w:after="0" w:line="520" w:lineRule="exact"/>
            <w:rPr>
              <w:rFonts w:hint="eastAsia" w:ascii="仿宋_GB2312" w:hAnsi="仿宋_GB2312" w:cs="仿宋_GB2312"/>
              <w:szCs w:val="32"/>
            </w:rPr>
          </w:pPr>
          <w:r>
            <w:fldChar w:fldCharType="begin"/>
          </w:r>
          <w:r>
            <w:instrText xml:space="preserve"> HYPERLINK \l "_Toc18363" </w:instrText>
          </w:r>
          <w:r>
            <w:fldChar w:fldCharType="separate"/>
          </w:r>
          <w:r>
            <w:rPr>
              <w:rFonts w:hint="eastAsia" w:ascii="仿宋_GB2312" w:hAnsi="仿宋_GB2312" w:cs="仿宋_GB2312"/>
              <w:szCs w:val="32"/>
            </w:rPr>
            <w:t>六</w:t>
          </w:r>
          <w:r>
            <w:rPr>
              <w:rFonts w:hint="eastAsia" w:ascii="仿宋_GB2312" w:hAnsi="仿宋_GB2312" w:cs="仿宋_GB2312"/>
              <w:bCs/>
              <w:szCs w:val="32"/>
            </w:rPr>
            <w:t>、</w:t>
          </w:r>
          <w:r>
            <w:rPr>
              <w:rFonts w:hint="eastAsia" w:ascii="仿宋_GB2312" w:hAnsi="仿宋_GB2312" w:cs="仿宋_GB2312"/>
              <w:szCs w:val="32"/>
            </w:rPr>
            <w:t>主要经验及做法、存在的问题及原因分析</w:t>
          </w:r>
          <w:r>
            <w:rPr>
              <w:rFonts w:hint="eastAsia" w:ascii="仿宋_GB2312" w:hAnsi="仿宋_GB2312" w:cs="仿宋_GB2312"/>
              <w:szCs w:val="32"/>
            </w:rPr>
            <w:tab/>
          </w:r>
          <w:r>
            <w:rPr>
              <w:rFonts w:hint="eastAsia" w:ascii="仿宋_GB2312" w:hAnsi="仿宋_GB2312" w:cs="仿宋_GB2312"/>
              <w:szCs w:val="32"/>
            </w:rPr>
            <w:fldChar w:fldCharType="begin"/>
          </w:r>
          <w:r>
            <w:rPr>
              <w:rFonts w:hint="eastAsia" w:ascii="仿宋_GB2312" w:hAnsi="仿宋_GB2312" w:cs="仿宋_GB2312"/>
              <w:szCs w:val="32"/>
            </w:rPr>
            <w:instrText xml:space="preserve"> PAGEREF _Toc18363 \h </w:instrText>
          </w:r>
          <w:r>
            <w:rPr>
              <w:rFonts w:hint="eastAsia" w:ascii="仿宋_GB2312" w:hAnsi="仿宋_GB2312" w:cs="仿宋_GB2312"/>
              <w:szCs w:val="32"/>
            </w:rPr>
            <w:fldChar w:fldCharType="separate"/>
          </w:r>
          <w:r>
            <w:rPr>
              <w:rFonts w:hint="eastAsia" w:ascii="仿宋_GB2312" w:hAnsi="仿宋_GB2312" w:cs="仿宋_GB2312"/>
              <w:szCs w:val="32"/>
            </w:rPr>
            <w:t>16</w:t>
          </w:r>
          <w:r>
            <w:rPr>
              <w:rFonts w:hint="eastAsia" w:ascii="仿宋_GB2312" w:hAnsi="仿宋_GB2312" w:cs="仿宋_GB2312"/>
              <w:szCs w:val="32"/>
            </w:rPr>
            <w:fldChar w:fldCharType="end"/>
          </w:r>
          <w:r>
            <w:rPr>
              <w:rFonts w:hint="eastAsia" w:ascii="仿宋_GB2312" w:hAnsi="仿宋_GB2312" w:cs="仿宋_GB2312"/>
              <w:szCs w:val="32"/>
            </w:rPr>
            <w:fldChar w:fldCharType="end"/>
          </w:r>
        </w:p>
        <w:p w14:paraId="44FE5C36">
          <w:pPr>
            <w:pStyle w:val="11"/>
            <w:tabs>
              <w:tab w:val="right" w:leader="middleDot" w:pos="8548"/>
            </w:tabs>
            <w:spacing w:after="0" w:line="520" w:lineRule="exact"/>
            <w:rPr>
              <w:rFonts w:hint="eastAsia" w:ascii="仿宋_GB2312" w:hAnsi="仿宋_GB2312" w:eastAsia="仿宋_GB2312" w:cs="仿宋_GB2312"/>
              <w:sz w:val="32"/>
              <w:szCs w:val="32"/>
            </w:rPr>
          </w:pPr>
          <w:r>
            <w:fldChar w:fldCharType="begin"/>
          </w:r>
          <w:r>
            <w:instrText xml:space="preserve"> HYPERLINK \l "_Toc22741" </w:instrText>
          </w:r>
          <w:r>
            <w:fldChar w:fldCharType="separate"/>
          </w:r>
          <w:r>
            <w:rPr>
              <w:rFonts w:hint="eastAsia" w:ascii="仿宋_GB2312" w:hAnsi="仿宋_GB2312" w:eastAsia="仿宋_GB2312" w:cs="仿宋_GB2312"/>
              <w:spacing w:val="-4"/>
              <w:sz w:val="32"/>
              <w:szCs w:val="32"/>
            </w:rPr>
            <w:t>（一）主要经验及做法</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_Toc22741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14068B47">
          <w:pPr>
            <w:pStyle w:val="11"/>
            <w:tabs>
              <w:tab w:val="right" w:leader="middleDot" w:pos="8548"/>
            </w:tabs>
            <w:spacing w:after="0" w:line="520" w:lineRule="exact"/>
            <w:rPr>
              <w:rFonts w:hint="eastAsia" w:ascii="仿宋_GB2312" w:hAnsi="仿宋_GB2312" w:eastAsia="仿宋_GB2312" w:cs="仿宋_GB2312"/>
              <w:sz w:val="32"/>
              <w:szCs w:val="32"/>
            </w:rPr>
          </w:pPr>
          <w:r>
            <w:fldChar w:fldCharType="begin"/>
          </w:r>
          <w:r>
            <w:instrText xml:space="preserve"> HYPERLINK \l "_Toc7835" </w:instrText>
          </w:r>
          <w:r>
            <w:fldChar w:fldCharType="separate"/>
          </w:r>
          <w:r>
            <w:rPr>
              <w:rFonts w:hint="eastAsia" w:ascii="仿宋_GB2312" w:hAnsi="仿宋_GB2312" w:eastAsia="仿宋_GB2312" w:cs="仿宋_GB2312"/>
              <w:bCs/>
              <w:sz w:val="32"/>
              <w:szCs w:val="32"/>
            </w:rPr>
            <w:t>（二）存在的问题及原因分析</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 PAGEREF _Toc7835 \h </w:instrText>
          </w:r>
          <w:r>
            <w:rPr>
              <w:rFonts w:hint="eastAsia" w:ascii="仿宋_GB2312" w:hAnsi="仿宋_GB2312" w:eastAsia="仿宋_GB2312" w:cs="仿宋_GB2312"/>
              <w:sz w:val="32"/>
              <w:szCs w:val="32"/>
            </w:rPr>
            <w:fldChar w:fldCharType="separate"/>
          </w:r>
          <w:r>
            <w:rPr>
              <w:rFonts w:hint="eastAsia" w:ascii="仿宋_GB2312" w:hAnsi="仿宋_GB2312" w:eastAsia="仿宋_GB2312" w:cs="仿宋_GB2312"/>
              <w:sz w:val="32"/>
              <w:szCs w:val="32"/>
            </w:rPr>
            <w:t>16</w:t>
          </w:r>
          <w:r>
            <w:rPr>
              <w:rFonts w:hint="eastAsia" w:ascii="仿宋_GB2312" w:hAnsi="仿宋_GB2312" w:eastAsia="仿宋_GB2312" w:cs="仿宋_GB2312"/>
              <w:sz w:val="32"/>
              <w:szCs w:val="32"/>
            </w:rPr>
            <w:fldChar w:fldCharType="end"/>
          </w:r>
          <w:r>
            <w:rPr>
              <w:rFonts w:hint="eastAsia" w:ascii="仿宋_GB2312" w:hAnsi="仿宋_GB2312" w:eastAsia="仿宋_GB2312" w:cs="仿宋_GB2312"/>
              <w:sz w:val="32"/>
              <w:szCs w:val="32"/>
            </w:rPr>
            <w:fldChar w:fldCharType="end"/>
          </w:r>
        </w:p>
        <w:p w14:paraId="75CAFDE2">
          <w:pPr>
            <w:pStyle w:val="9"/>
            <w:tabs>
              <w:tab w:val="right" w:leader="middleDot" w:pos="8548"/>
              <w:tab w:val="clear" w:pos="7980"/>
              <w:tab w:val="clear" w:pos="8190"/>
            </w:tabs>
            <w:spacing w:after="0" w:line="520" w:lineRule="exact"/>
            <w:rPr>
              <w:rFonts w:hint="eastAsia" w:ascii="仿宋_GB2312" w:hAnsi="仿宋_GB2312" w:cs="仿宋_GB2312"/>
              <w:szCs w:val="32"/>
            </w:rPr>
          </w:pPr>
          <w:r>
            <w:fldChar w:fldCharType="begin"/>
          </w:r>
          <w:r>
            <w:instrText xml:space="preserve"> HYPERLINK \l "_Toc25529" </w:instrText>
          </w:r>
          <w:r>
            <w:fldChar w:fldCharType="separate"/>
          </w:r>
          <w:r>
            <w:rPr>
              <w:rFonts w:hint="eastAsia" w:ascii="仿宋_GB2312" w:hAnsi="仿宋_GB2312" w:cs="仿宋_GB2312"/>
              <w:szCs w:val="32"/>
            </w:rPr>
            <w:t>七.有关建议</w:t>
          </w:r>
          <w:r>
            <w:rPr>
              <w:rFonts w:hint="eastAsia" w:ascii="仿宋_GB2312" w:hAnsi="仿宋_GB2312" w:cs="仿宋_GB2312"/>
              <w:szCs w:val="32"/>
            </w:rPr>
            <w:tab/>
          </w:r>
          <w:r>
            <w:rPr>
              <w:rFonts w:hint="eastAsia" w:ascii="仿宋_GB2312" w:hAnsi="仿宋_GB2312" w:cs="仿宋_GB2312"/>
              <w:szCs w:val="32"/>
            </w:rPr>
            <w:fldChar w:fldCharType="begin"/>
          </w:r>
          <w:r>
            <w:rPr>
              <w:rFonts w:hint="eastAsia" w:ascii="仿宋_GB2312" w:hAnsi="仿宋_GB2312" w:cs="仿宋_GB2312"/>
              <w:szCs w:val="32"/>
            </w:rPr>
            <w:instrText xml:space="preserve"> PAGEREF _Toc25529 \h </w:instrText>
          </w:r>
          <w:r>
            <w:rPr>
              <w:rFonts w:hint="eastAsia" w:ascii="仿宋_GB2312" w:hAnsi="仿宋_GB2312" w:cs="仿宋_GB2312"/>
              <w:szCs w:val="32"/>
            </w:rPr>
            <w:fldChar w:fldCharType="separate"/>
          </w:r>
          <w:r>
            <w:rPr>
              <w:rFonts w:hint="eastAsia" w:ascii="仿宋_GB2312" w:hAnsi="仿宋_GB2312" w:cs="仿宋_GB2312"/>
              <w:szCs w:val="32"/>
            </w:rPr>
            <w:t>17</w:t>
          </w:r>
          <w:r>
            <w:rPr>
              <w:rFonts w:hint="eastAsia" w:ascii="仿宋_GB2312" w:hAnsi="仿宋_GB2312" w:cs="仿宋_GB2312"/>
              <w:szCs w:val="32"/>
            </w:rPr>
            <w:fldChar w:fldCharType="end"/>
          </w:r>
          <w:r>
            <w:rPr>
              <w:rFonts w:hint="eastAsia" w:ascii="仿宋_GB2312" w:hAnsi="仿宋_GB2312" w:cs="仿宋_GB2312"/>
              <w:szCs w:val="32"/>
            </w:rPr>
            <w:fldChar w:fldCharType="end"/>
          </w:r>
        </w:p>
        <w:p w14:paraId="7361AE91">
          <w:pPr>
            <w:pStyle w:val="9"/>
            <w:tabs>
              <w:tab w:val="right" w:leader="middleDot" w:pos="8548"/>
              <w:tab w:val="clear" w:pos="7980"/>
              <w:tab w:val="clear" w:pos="8190"/>
            </w:tabs>
            <w:spacing w:after="0" w:line="520" w:lineRule="exact"/>
            <w:rPr>
              <w:rFonts w:hint="eastAsia" w:ascii="仿宋_GB2312" w:hAnsi="仿宋_GB2312" w:cs="仿宋_GB2312"/>
              <w:szCs w:val="32"/>
            </w:rPr>
          </w:pPr>
          <w:r>
            <w:fldChar w:fldCharType="begin"/>
          </w:r>
          <w:r>
            <w:instrText xml:space="preserve"> HYPERLINK \l "_Toc3065" </w:instrText>
          </w:r>
          <w:r>
            <w:fldChar w:fldCharType="separate"/>
          </w:r>
          <w:r>
            <w:rPr>
              <w:rFonts w:hint="eastAsia" w:ascii="仿宋_GB2312" w:hAnsi="仿宋_GB2312" w:cs="仿宋_GB2312"/>
              <w:szCs w:val="32"/>
            </w:rPr>
            <w:t>八</w:t>
          </w:r>
          <w:r>
            <w:rPr>
              <w:rFonts w:hint="eastAsia" w:ascii="仿宋_GB2312" w:hAnsi="仿宋_GB2312" w:cs="仿宋_GB2312"/>
              <w:bCs/>
              <w:szCs w:val="32"/>
            </w:rPr>
            <w:t>.</w:t>
          </w:r>
          <w:r>
            <w:rPr>
              <w:rFonts w:hint="eastAsia" w:ascii="仿宋_GB2312" w:hAnsi="仿宋_GB2312" w:cs="仿宋_GB2312"/>
              <w:szCs w:val="32"/>
            </w:rPr>
            <w:t>其他需要说明的问题</w:t>
          </w:r>
          <w:r>
            <w:rPr>
              <w:rFonts w:hint="eastAsia" w:ascii="仿宋_GB2312" w:hAnsi="仿宋_GB2312" w:cs="仿宋_GB2312"/>
              <w:szCs w:val="32"/>
            </w:rPr>
            <w:tab/>
          </w:r>
          <w:r>
            <w:rPr>
              <w:rFonts w:hint="eastAsia" w:ascii="仿宋_GB2312" w:hAnsi="仿宋_GB2312" w:cs="仿宋_GB2312"/>
              <w:szCs w:val="32"/>
            </w:rPr>
            <w:fldChar w:fldCharType="begin"/>
          </w:r>
          <w:r>
            <w:rPr>
              <w:rFonts w:hint="eastAsia" w:ascii="仿宋_GB2312" w:hAnsi="仿宋_GB2312" w:cs="仿宋_GB2312"/>
              <w:szCs w:val="32"/>
            </w:rPr>
            <w:instrText xml:space="preserve"> PAGEREF _Toc3065 \h </w:instrText>
          </w:r>
          <w:r>
            <w:rPr>
              <w:rFonts w:hint="eastAsia" w:ascii="仿宋_GB2312" w:hAnsi="仿宋_GB2312" w:cs="仿宋_GB2312"/>
              <w:szCs w:val="32"/>
            </w:rPr>
            <w:fldChar w:fldCharType="separate"/>
          </w:r>
          <w:r>
            <w:rPr>
              <w:rFonts w:hint="eastAsia" w:ascii="仿宋_GB2312" w:hAnsi="仿宋_GB2312" w:cs="仿宋_GB2312"/>
              <w:szCs w:val="32"/>
            </w:rPr>
            <w:t>18</w:t>
          </w:r>
          <w:r>
            <w:rPr>
              <w:rFonts w:hint="eastAsia" w:ascii="仿宋_GB2312" w:hAnsi="仿宋_GB2312" w:cs="仿宋_GB2312"/>
              <w:szCs w:val="32"/>
            </w:rPr>
            <w:fldChar w:fldCharType="end"/>
          </w:r>
          <w:r>
            <w:rPr>
              <w:rFonts w:hint="eastAsia" w:ascii="仿宋_GB2312" w:hAnsi="仿宋_GB2312" w:cs="仿宋_GB2312"/>
              <w:szCs w:val="32"/>
            </w:rPr>
            <w:fldChar w:fldCharType="end"/>
          </w:r>
        </w:p>
        <w:p w14:paraId="1EA48C22">
          <w:pPr>
            <w:pStyle w:val="9"/>
            <w:tabs>
              <w:tab w:val="right" w:leader="middleDot" w:pos="8548"/>
              <w:tab w:val="clear" w:pos="7980"/>
              <w:tab w:val="clear" w:pos="8190"/>
            </w:tabs>
            <w:spacing w:after="0" w:line="520" w:lineRule="exact"/>
            <w:rPr>
              <w:rFonts w:hint="eastAsia" w:ascii="仿宋_GB2312" w:hAnsi="仿宋_GB2312" w:cs="仿宋_GB2312"/>
              <w:szCs w:val="32"/>
            </w:rPr>
          </w:pPr>
          <w:r>
            <w:fldChar w:fldCharType="begin"/>
          </w:r>
          <w:r>
            <w:instrText xml:space="preserve"> HYPERLINK \l "_Toc15260" </w:instrText>
          </w:r>
          <w:r>
            <w:fldChar w:fldCharType="separate"/>
          </w:r>
          <w:r>
            <w:rPr>
              <w:rFonts w:hint="eastAsia" w:ascii="仿宋_GB2312" w:hAnsi="仿宋_GB2312" w:cs="仿宋_GB2312"/>
              <w:szCs w:val="32"/>
            </w:rPr>
            <w:t>附件1 评价指标体系</w:t>
          </w:r>
          <w:r>
            <w:rPr>
              <w:rFonts w:hint="eastAsia" w:ascii="仿宋_GB2312" w:hAnsi="仿宋_GB2312" w:cs="仿宋_GB2312"/>
              <w:szCs w:val="32"/>
            </w:rPr>
            <w:tab/>
          </w:r>
          <w:r>
            <w:rPr>
              <w:rFonts w:hint="eastAsia" w:ascii="仿宋_GB2312" w:hAnsi="仿宋_GB2312" w:cs="仿宋_GB2312"/>
              <w:szCs w:val="32"/>
            </w:rPr>
            <w:fldChar w:fldCharType="begin"/>
          </w:r>
          <w:r>
            <w:rPr>
              <w:rFonts w:hint="eastAsia" w:ascii="仿宋_GB2312" w:hAnsi="仿宋_GB2312" w:cs="仿宋_GB2312"/>
              <w:szCs w:val="32"/>
            </w:rPr>
            <w:instrText xml:space="preserve"> PAGEREF _Toc15260 \h </w:instrText>
          </w:r>
          <w:r>
            <w:rPr>
              <w:rFonts w:hint="eastAsia" w:ascii="仿宋_GB2312" w:hAnsi="仿宋_GB2312" w:cs="仿宋_GB2312"/>
              <w:szCs w:val="32"/>
            </w:rPr>
            <w:fldChar w:fldCharType="separate"/>
          </w:r>
          <w:r>
            <w:rPr>
              <w:rFonts w:hint="eastAsia" w:ascii="仿宋_GB2312" w:hAnsi="仿宋_GB2312" w:cs="仿宋_GB2312"/>
              <w:szCs w:val="32"/>
            </w:rPr>
            <w:t>19</w:t>
          </w:r>
          <w:r>
            <w:rPr>
              <w:rFonts w:hint="eastAsia" w:ascii="仿宋_GB2312" w:hAnsi="仿宋_GB2312" w:cs="仿宋_GB2312"/>
              <w:szCs w:val="32"/>
            </w:rPr>
            <w:fldChar w:fldCharType="end"/>
          </w:r>
          <w:r>
            <w:rPr>
              <w:rFonts w:hint="eastAsia" w:ascii="仿宋_GB2312" w:hAnsi="仿宋_GB2312" w:cs="仿宋_GB2312"/>
              <w:szCs w:val="32"/>
            </w:rPr>
            <w:fldChar w:fldCharType="end"/>
          </w:r>
        </w:p>
        <w:p w14:paraId="74FAB325">
          <w:pPr>
            <w:pStyle w:val="9"/>
            <w:tabs>
              <w:tab w:val="right" w:leader="middleDot" w:pos="8548"/>
              <w:tab w:val="clear" w:pos="7980"/>
              <w:tab w:val="clear" w:pos="8190"/>
            </w:tabs>
            <w:spacing w:after="0" w:line="520" w:lineRule="exact"/>
          </w:pPr>
          <w:r>
            <w:fldChar w:fldCharType="begin"/>
          </w:r>
          <w:r>
            <w:instrText xml:space="preserve"> HYPERLINK \l "_Toc17917" </w:instrText>
          </w:r>
          <w:r>
            <w:fldChar w:fldCharType="separate"/>
          </w:r>
          <w:r>
            <w:rPr>
              <w:rFonts w:hint="eastAsia" w:ascii="仿宋_GB2312" w:hAnsi="仿宋_GB2312" w:cs="仿宋_GB2312"/>
              <w:bCs/>
              <w:kern w:val="0"/>
              <w:szCs w:val="32"/>
            </w:rPr>
            <w:t>附件2 项目支出绩效自评表</w:t>
          </w:r>
          <w:r>
            <w:rPr>
              <w:rFonts w:hint="eastAsia" w:ascii="仿宋_GB2312" w:hAnsi="仿宋_GB2312" w:cs="仿宋_GB2312"/>
              <w:szCs w:val="32"/>
            </w:rPr>
            <w:tab/>
          </w:r>
          <w:r>
            <w:rPr>
              <w:rFonts w:hint="eastAsia" w:ascii="仿宋_GB2312" w:hAnsi="仿宋_GB2312" w:cs="仿宋_GB2312"/>
              <w:szCs w:val="32"/>
            </w:rPr>
            <w:fldChar w:fldCharType="begin"/>
          </w:r>
          <w:r>
            <w:rPr>
              <w:rFonts w:hint="eastAsia" w:ascii="仿宋_GB2312" w:hAnsi="仿宋_GB2312" w:cs="仿宋_GB2312"/>
              <w:szCs w:val="32"/>
            </w:rPr>
            <w:instrText xml:space="preserve"> PAGEREF _Toc17917 \h </w:instrText>
          </w:r>
          <w:r>
            <w:rPr>
              <w:rFonts w:hint="eastAsia" w:ascii="仿宋_GB2312" w:hAnsi="仿宋_GB2312" w:cs="仿宋_GB2312"/>
              <w:szCs w:val="32"/>
            </w:rPr>
            <w:fldChar w:fldCharType="separate"/>
          </w:r>
          <w:r>
            <w:rPr>
              <w:rFonts w:hint="eastAsia" w:ascii="仿宋_GB2312" w:hAnsi="仿宋_GB2312" w:cs="仿宋_GB2312"/>
              <w:szCs w:val="32"/>
            </w:rPr>
            <w:t>24</w:t>
          </w:r>
          <w:r>
            <w:rPr>
              <w:rFonts w:hint="eastAsia" w:ascii="仿宋_GB2312" w:hAnsi="仿宋_GB2312" w:cs="仿宋_GB2312"/>
              <w:szCs w:val="32"/>
            </w:rPr>
            <w:fldChar w:fldCharType="end"/>
          </w:r>
          <w:r>
            <w:rPr>
              <w:rFonts w:hint="eastAsia" w:ascii="仿宋_GB2312" w:hAnsi="仿宋_GB2312" w:cs="仿宋_GB2312"/>
              <w:szCs w:val="32"/>
            </w:rPr>
            <w:fldChar w:fldCharType="end"/>
          </w:r>
        </w:p>
        <w:p w14:paraId="7EF4D605">
          <w:pPr>
            <w:spacing w:after="0" w:line="560" w:lineRule="exact"/>
          </w:pPr>
          <w:r>
            <w:fldChar w:fldCharType="end"/>
          </w:r>
        </w:p>
      </w:sdtContent>
    </w:sdt>
    <w:p w14:paraId="18BA4FF4">
      <w:pPr>
        <w:spacing w:after="0" w:line="40" w:lineRule="exact"/>
        <w:rPr>
          <w:rStyle w:val="19"/>
          <w:rFonts w:eastAsia="黑体"/>
          <w:b w:val="0"/>
          <w:spacing w:val="-4"/>
          <w:sz w:val="32"/>
          <w:szCs w:val="32"/>
        </w:rPr>
      </w:pPr>
    </w:p>
    <w:p w14:paraId="3A461049">
      <w:pPr>
        <w:spacing w:after="0" w:line="40" w:lineRule="exact"/>
        <w:ind w:firstLine="640" w:firstLineChars="200"/>
        <w:rPr>
          <w:rFonts w:eastAsia="黑体"/>
          <w:bCs/>
          <w:sz w:val="32"/>
          <w:szCs w:val="32"/>
        </w:rPr>
        <w:sectPr>
          <w:pgSz w:w="11906" w:h="16838"/>
          <w:pgMar w:top="1440" w:right="1558" w:bottom="1440" w:left="1800" w:header="851" w:footer="992" w:gutter="0"/>
          <w:cols w:space="425" w:num="1"/>
          <w:docGrid w:type="lines" w:linePitch="312" w:charSpace="0"/>
        </w:sectPr>
      </w:pPr>
    </w:p>
    <w:p w14:paraId="5FD1E7F6">
      <w:pPr>
        <w:spacing w:after="0" w:line="560" w:lineRule="exact"/>
        <w:ind w:firstLine="640" w:firstLineChars="200"/>
        <w:rPr>
          <w:rFonts w:eastAsia="黑体"/>
          <w:bCs/>
          <w:sz w:val="32"/>
          <w:szCs w:val="32"/>
        </w:rPr>
      </w:pPr>
      <w:bookmarkStart w:id="0" w:name="_Toc3458"/>
      <w:r>
        <w:rPr>
          <w:rFonts w:eastAsia="黑体"/>
          <w:bCs/>
          <w:sz w:val="32"/>
          <w:szCs w:val="32"/>
        </w:rPr>
        <w:t>一、基本情况</w:t>
      </w:r>
      <w:bookmarkEnd w:id="0"/>
    </w:p>
    <w:p w14:paraId="5DBE77BF">
      <w:pPr>
        <w:spacing w:after="0" w:line="560" w:lineRule="exact"/>
        <w:ind w:firstLine="643" w:firstLineChars="200"/>
        <w:outlineLvl w:val="1"/>
        <w:rPr>
          <w:rFonts w:eastAsia="楷体_GB2312"/>
          <w:b/>
          <w:bCs/>
          <w:sz w:val="32"/>
          <w:szCs w:val="32"/>
        </w:rPr>
      </w:pPr>
      <w:bookmarkStart w:id="1" w:name="_Toc16251"/>
      <w:r>
        <w:rPr>
          <w:rFonts w:eastAsia="楷体_GB2312"/>
          <w:b/>
          <w:bCs/>
          <w:sz w:val="32"/>
          <w:szCs w:val="32"/>
        </w:rPr>
        <w:t>（一）项目概况</w:t>
      </w:r>
      <w:bookmarkEnd w:id="1"/>
    </w:p>
    <w:p w14:paraId="7344F15C">
      <w:pPr>
        <w:spacing w:after="0" w:line="560" w:lineRule="exact"/>
        <w:ind w:firstLine="643" w:firstLineChars="200"/>
        <w:outlineLvl w:val="2"/>
        <w:rPr>
          <w:rFonts w:eastAsia="仿宋_GB2312"/>
          <w:b/>
          <w:bCs/>
          <w:sz w:val="32"/>
          <w:szCs w:val="32"/>
        </w:rPr>
      </w:pPr>
      <w:bookmarkStart w:id="2" w:name="_Toc14982"/>
      <w:r>
        <w:rPr>
          <w:rFonts w:eastAsia="仿宋_GB2312"/>
          <w:b/>
          <w:bCs/>
          <w:sz w:val="32"/>
          <w:szCs w:val="32"/>
        </w:rPr>
        <w:t>1.项目背景</w:t>
      </w:r>
      <w:bookmarkEnd w:id="2"/>
    </w:p>
    <w:p w14:paraId="3941FF58">
      <w:pPr>
        <w:pStyle w:val="13"/>
        <w:spacing w:before="0" w:after="0" w:line="560" w:lineRule="exact"/>
        <w:ind w:firstLine="624" w:firstLineChars="200"/>
        <w:jc w:val="both"/>
        <w:outlineLvl w:val="9"/>
        <w:rPr>
          <w:rStyle w:val="19"/>
          <w:rFonts w:ascii="仿宋_GB2312" w:hAnsi="Times New Roman" w:eastAsia="仿宋_GB2312"/>
          <w:b w:val="0"/>
          <w:bCs/>
          <w:spacing w:val="-4"/>
        </w:rPr>
      </w:pPr>
      <w:bookmarkStart w:id="3" w:name="_Toc30961"/>
      <w:r>
        <w:rPr>
          <w:rStyle w:val="19"/>
          <w:rFonts w:hint="eastAsia" w:ascii="仿宋_GB2312" w:hAnsi="Times New Roman" w:eastAsia="仿宋_GB2312"/>
          <w:b w:val="0"/>
          <w:bCs/>
          <w:spacing w:val="-4"/>
        </w:rPr>
        <w:t>为落实自治区党委、人民政府以及水利厅党组关于加快水利工程前期和建设的各项决策部署，依据国家印发的 “十四五”水利规划、水利部关于实施国家水网重大水利工程的指导意见、水利部关于加快推进省级水网建设的指导意见，</w:t>
      </w:r>
      <w:r>
        <w:rPr>
          <w:rStyle w:val="19"/>
          <w:rFonts w:hint="eastAsia" w:ascii="仿宋_GB2312" w:eastAsia="仿宋_GB2312"/>
          <w:b w:val="0"/>
          <w:bCs w:val="0"/>
          <w:spacing w:val="-4"/>
        </w:rPr>
        <w:t>近年来，自治区相继印发了</w:t>
      </w:r>
      <w:bookmarkStart w:id="4" w:name="OLE_LINK6"/>
      <w:r>
        <w:rPr>
          <w:rStyle w:val="19"/>
          <w:rFonts w:hint="eastAsia" w:ascii="仿宋_GB2312" w:hAnsi="Times New Roman" w:eastAsia="仿宋_GB2312"/>
          <w:b w:val="0"/>
          <w:bCs/>
          <w:spacing w:val="-4"/>
        </w:rPr>
        <w:t>新疆“十四五”水利规划、</w:t>
      </w:r>
      <w:r>
        <w:rPr>
          <w:rStyle w:val="19"/>
          <w:rFonts w:hint="eastAsia" w:ascii="仿宋_GB2312" w:hAnsi="Times New Roman" w:eastAsia="仿宋_GB2312"/>
          <w:b w:val="0"/>
          <w:bCs w:val="0"/>
          <w:spacing w:val="-4"/>
        </w:rPr>
        <w:t>新疆水战略规划、</w:t>
      </w:r>
      <w:r>
        <w:rPr>
          <w:rStyle w:val="19"/>
          <w:rFonts w:hint="eastAsia" w:ascii="仿宋_GB2312" w:eastAsia="仿宋_GB2312"/>
          <w:b w:val="0"/>
          <w:bCs w:val="0"/>
          <w:spacing w:val="-4"/>
        </w:rPr>
        <w:t>新疆水网规划</w:t>
      </w:r>
      <w:bookmarkEnd w:id="4"/>
      <w:r>
        <w:rPr>
          <w:rStyle w:val="19"/>
          <w:rFonts w:hint="eastAsia" w:ascii="仿宋_GB2312" w:hAnsi="Times New Roman" w:eastAsia="仿宋_GB2312"/>
          <w:b w:val="0"/>
          <w:bCs/>
          <w:spacing w:val="-4"/>
        </w:rPr>
        <w:t>。</w:t>
      </w:r>
    </w:p>
    <w:p w14:paraId="7D0456C4">
      <w:pPr>
        <w:pStyle w:val="13"/>
        <w:spacing w:before="0" w:after="0" w:line="560" w:lineRule="exact"/>
        <w:ind w:firstLine="624" w:firstLineChars="200"/>
        <w:jc w:val="both"/>
        <w:outlineLvl w:val="9"/>
        <w:rPr>
          <w:rStyle w:val="19"/>
          <w:rFonts w:ascii="仿宋_GB2312" w:hAnsi="Times New Roman" w:eastAsia="仿宋_GB2312"/>
          <w:b w:val="0"/>
          <w:bCs/>
          <w:spacing w:val="-4"/>
        </w:rPr>
      </w:pPr>
      <w:r>
        <w:rPr>
          <w:rStyle w:val="19"/>
          <w:rFonts w:hint="eastAsia" w:ascii="仿宋_GB2312" w:hAnsi="Times New Roman" w:eastAsia="仿宋_GB2312"/>
          <w:b w:val="0"/>
          <w:bCs/>
          <w:spacing w:val="-4"/>
        </w:rPr>
        <w:t>根据水利部、自治区党委工作部署，为推进新疆“十四五”水利规划、新疆水战略规划、新疆水网规划项目的实施，</w:t>
      </w:r>
      <w:bookmarkStart w:id="5" w:name="OLE_LINK1"/>
      <w:r>
        <w:rPr>
          <w:rStyle w:val="19"/>
          <w:rFonts w:hint="eastAsia" w:ascii="仿宋_GB2312" w:hAnsi="Times New Roman" w:eastAsia="仿宋_GB2312"/>
          <w:b w:val="0"/>
          <w:bCs/>
          <w:spacing w:val="-4"/>
        </w:rPr>
        <w:t>依据《国家发展改革委印发投资项目可行性研究报告编写大纲及说明》（发改投资规〔2023〕304号）、《水利部办公厅关于进一步做好重大水利工程勘察设计有关工作的通知》（办规计〔2023〕207号）、《水利部办公厅关于进一步做好重大引调水工程建设有关工作的通知》（办规计〔2024〕17号），开展</w:t>
      </w:r>
      <w:bookmarkStart w:id="6" w:name="OLE_LINK7"/>
      <w:r>
        <w:rPr>
          <w:rStyle w:val="19"/>
          <w:rFonts w:hint="eastAsia" w:ascii="仿宋_GB2312" w:hAnsi="Times New Roman" w:eastAsia="仿宋_GB2312"/>
          <w:b w:val="0"/>
          <w:bCs/>
          <w:spacing w:val="-4"/>
        </w:rPr>
        <w:t>新疆水网及地级水网骨干水利工程项目的前期论证、组织协调和技术审查</w:t>
      </w:r>
      <w:bookmarkEnd w:id="5"/>
      <w:r>
        <w:rPr>
          <w:rStyle w:val="19"/>
          <w:rFonts w:hint="eastAsia" w:ascii="仿宋_GB2312" w:hAnsi="Times New Roman" w:eastAsia="仿宋_GB2312"/>
          <w:b w:val="0"/>
          <w:bCs/>
          <w:spacing w:val="-4"/>
        </w:rPr>
        <w:t>，开展相关前瞻性课题研究，推动项目加快实施。</w:t>
      </w:r>
      <w:bookmarkEnd w:id="6"/>
    </w:p>
    <w:p w14:paraId="2DA16162">
      <w:pPr>
        <w:pStyle w:val="13"/>
        <w:spacing w:before="0" w:after="0" w:line="560" w:lineRule="exact"/>
        <w:ind w:firstLine="624" w:firstLineChars="200"/>
        <w:jc w:val="both"/>
        <w:outlineLvl w:val="9"/>
        <w:rPr>
          <w:rStyle w:val="19"/>
          <w:rFonts w:ascii="仿宋_GB2312" w:hAnsi="Times New Roman" w:eastAsia="仿宋_GB2312"/>
          <w:b w:val="0"/>
          <w:bCs/>
          <w:spacing w:val="-4"/>
        </w:rPr>
      </w:pPr>
      <w:r>
        <w:rPr>
          <w:rStyle w:val="19"/>
          <w:rFonts w:hint="eastAsia" w:ascii="仿宋_GB2312" w:hAnsi="Times New Roman" w:eastAsia="仿宋_GB2312"/>
          <w:b w:val="0"/>
          <w:bCs/>
          <w:spacing w:val="-4"/>
        </w:rPr>
        <w:t>通过前期论证和加强关键技术研究等，推进新疆水网及地县级水网规划的“纲”“目”“结”骨干项目加快实施。</w:t>
      </w:r>
    </w:p>
    <w:p w14:paraId="0A0947E4">
      <w:pPr>
        <w:pStyle w:val="13"/>
        <w:spacing w:before="0" w:after="0" w:line="560" w:lineRule="exact"/>
        <w:ind w:firstLine="643" w:firstLineChars="200"/>
        <w:jc w:val="both"/>
        <w:outlineLvl w:val="2"/>
        <w:rPr>
          <w:rFonts w:ascii="Times New Roman" w:hAnsi="Times New Roman" w:eastAsia="仿宋_GB2312"/>
          <w:kern w:val="2"/>
        </w:rPr>
      </w:pPr>
      <w:r>
        <w:rPr>
          <w:rFonts w:ascii="Times New Roman" w:hAnsi="Times New Roman" w:eastAsia="仿宋_GB2312"/>
          <w:kern w:val="2"/>
        </w:rPr>
        <w:t>2.项目主要内容</w:t>
      </w:r>
      <w:r>
        <w:rPr>
          <w:rFonts w:hint="eastAsia" w:ascii="Times New Roman" w:hAnsi="Times New Roman" w:eastAsia="仿宋_GB2312"/>
          <w:kern w:val="2"/>
        </w:rPr>
        <w:t>及实施情况</w:t>
      </w:r>
      <w:bookmarkEnd w:id="3"/>
    </w:p>
    <w:p w14:paraId="29F5F26F">
      <w:pPr>
        <w:pStyle w:val="13"/>
        <w:spacing w:before="0" w:after="0" w:line="560" w:lineRule="exact"/>
        <w:ind w:firstLine="643" w:firstLineChars="200"/>
        <w:jc w:val="both"/>
        <w:outlineLvl w:val="9"/>
        <w:rPr>
          <w:rFonts w:ascii="仿宋_GB2312" w:hAnsi="Times New Roman" w:eastAsia="仿宋_GB2312"/>
        </w:rPr>
      </w:pPr>
      <w:r>
        <w:rPr>
          <w:rFonts w:ascii="Times New Roman" w:hAnsi="Times New Roman" w:eastAsia="仿宋_GB2312"/>
        </w:rPr>
        <w:t>项目主要内容：</w:t>
      </w:r>
      <w:r>
        <w:rPr>
          <w:rStyle w:val="19"/>
          <w:rFonts w:hint="eastAsia" w:ascii="仿宋_GB2312" w:eastAsia="仿宋_GB2312"/>
          <w:b w:val="0"/>
          <w:bCs w:val="0"/>
          <w:spacing w:val="-4"/>
        </w:rPr>
        <w:t>开展</w:t>
      </w:r>
      <w:r>
        <w:rPr>
          <w:rStyle w:val="19"/>
          <w:rFonts w:hint="eastAsia" w:ascii="仿宋_GB2312" w:hAnsi="Times New Roman" w:eastAsia="仿宋_GB2312"/>
          <w:b w:val="0"/>
          <w:bCs/>
          <w:spacing w:val="-4"/>
        </w:rPr>
        <w:t>新疆水网及地级水网骨干水利工程项目的前期论证、组织协调和技术审查；对纳入国家和自治区“十四五”水安全保障规划的大中型水库、水资源配置工程进行现场查勘、组织协调、技术初审；对纳入自治区小型水源工程建设项目库的小型水源工程现场查勘、技术指导、技术审查，推动项目加快实施</w:t>
      </w:r>
      <w:bookmarkStart w:id="7" w:name="OLE_LINK2"/>
      <w:r>
        <w:rPr>
          <w:rStyle w:val="19"/>
          <w:rFonts w:hint="eastAsia" w:ascii="仿宋_GB2312" w:hAnsi="Times New Roman" w:eastAsia="仿宋_GB2312"/>
          <w:b w:val="0"/>
          <w:bCs/>
          <w:spacing w:val="-4"/>
        </w:rPr>
        <w:t>；针对新疆河流特点，为解决无资料河流水文分析计算和预报研究的资料短缺问题，</w:t>
      </w:r>
      <w:bookmarkEnd w:id="7"/>
      <w:r>
        <w:rPr>
          <w:rStyle w:val="19"/>
          <w:rFonts w:hint="eastAsia" w:ascii="仿宋_GB2312" w:hAnsi="Times New Roman" w:eastAsia="仿宋_GB2312"/>
          <w:b w:val="0"/>
          <w:bCs/>
          <w:spacing w:val="-4"/>
        </w:rPr>
        <w:t>开展相关前瞻性课题研究，支撑“十四五”及“十五五”项目前期工作。</w:t>
      </w:r>
    </w:p>
    <w:p w14:paraId="70162351">
      <w:pPr>
        <w:pStyle w:val="13"/>
        <w:spacing w:before="0" w:after="0" w:line="560" w:lineRule="exact"/>
        <w:ind w:firstLine="624" w:firstLineChars="200"/>
        <w:jc w:val="both"/>
        <w:outlineLvl w:val="9"/>
        <w:rPr>
          <w:rStyle w:val="19"/>
          <w:rFonts w:ascii="仿宋_GB2312" w:hAnsi="Times New Roman" w:eastAsia="仿宋_GB2312"/>
          <w:b w:val="0"/>
          <w:bCs/>
          <w:spacing w:val="-4"/>
        </w:rPr>
      </w:pPr>
      <w:r>
        <w:rPr>
          <w:rStyle w:val="19"/>
          <w:rFonts w:hint="eastAsia" w:ascii="仿宋_GB2312" w:hAnsi="Times New Roman" w:eastAsia="仿宋_GB2312"/>
          <w:b w:val="0"/>
          <w:bCs/>
          <w:spacing w:val="-4"/>
        </w:rPr>
        <w:t>通过实施“纲”和“目”类项目提高全区水资源配置能力、有效解决水资源时空分布不均的问题；通过实施“结”类项目增加全区水库调蓄库容，提升水资源调配能力和手段。确保自治区党委、人民政府和水利厅党组关于加快实施水网建设规划的部署要求落实落地，进一步提升水资源对经济社会高质量发展的支撑和保障作用。</w:t>
      </w:r>
    </w:p>
    <w:p w14:paraId="7E777308">
      <w:pPr>
        <w:spacing w:after="0" w:line="560" w:lineRule="exact"/>
        <w:ind w:firstLine="640" w:firstLineChars="200"/>
        <w:rPr>
          <w:rFonts w:ascii="仿宋_GB2312" w:eastAsia="仿宋_GB2312"/>
        </w:rPr>
      </w:pPr>
      <w:r>
        <w:rPr>
          <w:rFonts w:eastAsia="仿宋_GB2312"/>
          <w:sz w:val="32"/>
          <w:szCs w:val="32"/>
        </w:rPr>
        <w:t>项目实施情况：</w:t>
      </w:r>
      <w:r>
        <w:rPr>
          <w:rStyle w:val="19"/>
          <w:rFonts w:hint="eastAsia" w:ascii="仿宋_GB2312" w:eastAsia="仿宋_GB2312"/>
          <w:b w:val="0"/>
          <w:spacing w:val="-4"/>
          <w:sz w:val="32"/>
          <w:szCs w:val="32"/>
        </w:rPr>
        <w:t>新疆无资料河流水文分析计算和预报研究、新疆水网规划两项研究已完成，成果通过验收；对水网重大水利工程及时组织安排审查，对修改到位的报告及时出具了审查意见，并开展了现场踏勘（调研），如</w:t>
      </w:r>
      <w:r>
        <w:rPr>
          <w:rFonts w:hint="eastAsia" w:ascii="仿宋_GB2312" w:eastAsia="仿宋_GB2312"/>
          <w:sz w:val="32"/>
          <w:szCs w:val="32"/>
        </w:rPr>
        <w:t>某重点工程项目建议书、</w:t>
      </w:r>
      <w:r>
        <w:rPr>
          <w:rFonts w:hint="eastAsia" w:ascii="仿宋_GB2312" w:eastAsia="仿宋_GB2312"/>
          <w:kern w:val="0"/>
          <w:sz w:val="32"/>
          <w:szCs w:val="32"/>
        </w:rPr>
        <w:t>湖泊生态保护二期工程</w:t>
      </w:r>
      <w:r>
        <w:rPr>
          <w:rFonts w:hint="eastAsia" w:ascii="仿宋_GB2312" w:eastAsia="仿宋_GB2312"/>
          <w:sz w:val="32"/>
          <w:szCs w:val="32"/>
        </w:rPr>
        <w:t>项建和可研、叶尔羌河大型灌区工程项建和可研、齐背岭水库改扩建工程可研、乔诺水库初设、</w:t>
      </w:r>
      <w:r>
        <w:rPr>
          <w:rFonts w:hint="eastAsia" w:ascii="仿宋_GB2312" w:eastAsia="仿宋_GB2312"/>
          <w:kern w:val="0"/>
          <w:sz w:val="32"/>
          <w:szCs w:val="32"/>
        </w:rPr>
        <w:t>塔里木水库</w:t>
      </w:r>
      <w:r>
        <w:rPr>
          <w:rFonts w:hint="eastAsia" w:ascii="仿宋_GB2312" w:eastAsia="仿宋_GB2312"/>
          <w:sz w:val="32"/>
          <w:szCs w:val="32"/>
        </w:rPr>
        <w:t>初设、独山子引调水工程初设等</w:t>
      </w:r>
      <w:r>
        <w:rPr>
          <w:rFonts w:hint="eastAsia" w:ascii="仿宋_GB2312" w:eastAsia="仿宋_GB2312"/>
          <w:kern w:val="0"/>
          <w:sz w:val="32"/>
          <w:szCs w:val="32"/>
        </w:rPr>
        <w:t>；对纳入自治区小型水源工程建设项目库的小型水源工程</w:t>
      </w:r>
      <w:r>
        <w:rPr>
          <w:rFonts w:hint="eastAsia" w:ascii="仿宋_GB2312" w:eastAsia="仿宋_GB2312"/>
          <w:sz w:val="32"/>
          <w:szCs w:val="32"/>
        </w:rPr>
        <w:t>，如新源县吐尔根沟水库可研、乌鲁木齐马圈沟水库可研、博乐市前进水源工程初设，进行</w:t>
      </w:r>
      <w:r>
        <w:rPr>
          <w:rFonts w:hint="eastAsia" w:ascii="仿宋_GB2312" w:eastAsia="仿宋_GB2312"/>
          <w:kern w:val="0"/>
          <w:sz w:val="32"/>
          <w:szCs w:val="32"/>
        </w:rPr>
        <w:t>现场查勘、技术指导、技术审查，推动了项目加快实施</w:t>
      </w:r>
      <w:r>
        <w:rPr>
          <w:rStyle w:val="19"/>
          <w:rFonts w:hint="eastAsia" w:ascii="仿宋_GB2312" w:eastAsia="仿宋_GB2312"/>
          <w:b w:val="0"/>
          <w:spacing w:val="-4"/>
          <w:sz w:val="32"/>
          <w:szCs w:val="32"/>
        </w:rPr>
        <w:t>；可研和初步设计阶段投资概算变幅保持低于10%，增加了全区水库库容，提高了天然径流调蓄能力，也提高了资金支付力度，关键技术研究费、踏勘费、场地租赁费、专家咨询费、其他费用等，基本上支付完成。</w:t>
      </w:r>
    </w:p>
    <w:p w14:paraId="024A8980">
      <w:pPr>
        <w:spacing w:after="0" w:line="560" w:lineRule="exact"/>
        <w:ind w:firstLine="643" w:firstLineChars="200"/>
        <w:outlineLvl w:val="2"/>
        <w:rPr>
          <w:rFonts w:eastAsia="仿宋_GB2312"/>
          <w:b/>
          <w:bCs/>
          <w:sz w:val="32"/>
          <w:szCs w:val="32"/>
        </w:rPr>
      </w:pPr>
      <w:bookmarkStart w:id="8" w:name="_Toc18357"/>
      <w:r>
        <w:rPr>
          <w:rFonts w:eastAsia="仿宋_GB2312"/>
          <w:b/>
          <w:bCs/>
          <w:sz w:val="32"/>
          <w:szCs w:val="32"/>
        </w:rPr>
        <w:t>3.资金投入和使用情况</w:t>
      </w:r>
      <w:bookmarkEnd w:id="8"/>
    </w:p>
    <w:p w14:paraId="4C81CDF3">
      <w:pPr>
        <w:spacing w:after="0" w:line="560" w:lineRule="exact"/>
        <w:ind w:firstLine="640" w:firstLineChars="200"/>
        <w:outlineLvl w:val="3"/>
        <w:rPr>
          <w:rFonts w:eastAsia="仿宋_GB2312"/>
          <w:sz w:val="32"/>
          <w:szCs w:val="32"/>
        </w:rPr>
      </w:pPr>
      <w:bookmarkStart w:id="9" w:name="_Toc13131"/>
      <w:r>
        <w:rPr>
          <w:rFonts w:eastAsia="仿宋_GB2312"/>
          <w:sz w:val="32"/>
          <w:szCs w:val="32"/>
        </w:rPr>
        <w:t>（1）资金投入情况</w:t>
      </w:r>
      <w:bookmarkEnd w:id="9"/>
    </w:p>
    <w:p w14:paraId="555BA8FC">
      <w:pPr>
        <w:spacing w:after="0" w:line="560" w:lineRule="exact"/>
        <w:ind w:firstLine="640" w:firstLineChars="200"/>
        <w:rPr>
          <w:rFonts w:eastAsia="仿宋_GB2312"/>
          <w:color w:val="FF0000"/>
          <w:sz w:val="32"/>
          <w:szCs w:val="32"/>
        </w:rPr>
      </w:pPr>
      <w:r>
        <w:rPr>
          <w:rFonts w:eastAsia="仿宋_GB2312"/>
          <w:sz w:val="32"/>
          <w:szCs w:val="32"/>
        </w:rPr>
        <w:t>该项目年初预算数300万元，全年预算数300万元，该项目资金已全部落实到位，资金来源为</w:t>
      </w:r>
      <w:r>
        <w:rPr>
          <w:rFonts w:hint="eastAsia" w:eastAsia="仿宋_GB2312"/>
          <w:sz w:val="32"/>
          <w:szCs w:val="32"/>
        </w:rPr>
        <w:t>财政资金</w:t>
      </w:r>
      <w:r>
        <w:rPr>
          <w:rFonts w:eastAsia="仿宋_GB2312"/>
          <w:sz w:val="32"/>
          <w:szCs w:val="32"/>
        </w:rPr>
        <w:t>。</w:t>
      </w:r>
    </w:p>
    <w:p w14:paraId="7916A925">
      <w:pPr>
        <w:spacing w:after="0" w:line="560" w:lineRule="exact"/>
        <w:ind w:firstLine="640" w:firstLineChars="200"/>
        <w:outlineLvl w:val="3"/>
        <w:rPr>
          <w:rFonts w:eastAsia="仿宋_GB2312"/>
          <w:sz w:val="32"/>
          <w:szCs w:val="32"/>
        </w:rPr>
      </w:pPr>
      <w:bookmarkStart w:id="10" w:name="_Toc18197"/>
      <w:r>
        <w:rPr>
          <w:rFonts w:eastAsia="仿宋_GB2312"/>
          <w:sz w:val="32"/>
          <w:szCs w:val="32"/>
        </w:rPr>
        <w:t>（2）资金使用情况</w:t>
      </w:r>
      <w:bookmarkEnd w:id="10"/>
    </w:p>
    <w:p w14:paraId="376D8459">
      <w:pPr>
        <w:spacing w:after="0" w:line="560" w:lineRule="exact"/>
        <w:ind w:firstLine="640" w:firstLineChars="200"/>
        <w:rPr>
          <w:rFonts w:eastAsia="仿宋_GB2312"/>
          <w:sz w:val="32"/>
          <w:szCs w:val="32"/>
        </w:rPr>
      </w:pPr>
      <w:r>
        <w:rPr>
          <w:rFonts w:hint="eastAsia" w:eastAsia="仿宋_GB2312"/>
          <w:sz w:val="32"/>
          <w:szCs w:val="32"/>
        </w:rPr>
        <w:t>截至2025年12月31日</w:t>
      </w:r>
      <w:r>
        <w:rPr>
          <w:rFonts w:eastAsia="仿宋_GB2312"/>
          <w:sz w:val="32"/>
          <w:szCs w:val="32"/>
        </w:rPr>
        <w:t>，该项目全年执行数299.</w:t>
      </w:r>
      <w:r>
        <w:rPr>
          <w:rFonts w:hint="eastAsia" w:eastAsia="仿宋_GB2312"/>
          <w:sz w:val="32"/>
          <w:szCs w:val="32"/>
        </w:rPr>
        <w:t>6</w:t>
      </w:r>
      <w:r>
        <w:rPr>
          <w:rFonts w:eastAsia="仿宋_GB2312"/>
          <w:sz w:val="32"/>
          <w:szCs w:val="32"/>
        </w:rPr>
        <w:t>万元，预算执行率为9</w:t>
      </w:r>
      <w:r>
        <w:rPr>
          <w:rFonts w:hint="eastAsia" w:eastAsia="仿宋_GB2312"/>
          <w:sz w:val="32"/>
          <w:szCs w:val="32"/>
        </w:rPr>
        <w:t>9.87</w:t>
      </w:r>
      <w:r>
        <w:rPr>
          <w:rFonts w:eastAsia="仿宋_GB2312"/>
          <w:sz w:val="32"/>
          <w:szCs w:val="32"/>
        </w:rPr>
        <w:t>%，主要用于：</w:t>
      </w:r>
      <w:r>
        <w:rPr>
          <w:rFonts w:hint="eastAsia" w:eastAsia="仿宋_GB2312"/>
          <w:sz w:val="32"/>
          <w:szCs w:val="32"/>
        </w:rPr>
        <w:t>关键技术研究，项目现场踏勘（调研），专家咨询，场地租赁以及其他。</w:t>
      </w:r>
    </w:p>
    <w:p w14:paraId="48CA11F1">
      <w:pPr>
        <w:spacing w:after="0" w:line="560" w:lineRule="exact"/>
        <w:ind w:firstLine="643" w:firstLineChars="200"/>
        <w:outlineLvl w:val="1"/>
        <w:rPr>
          <w:rFonts w:eastAsia="楷体_GB2312"/>
          <w:b/>
          <w:bCs/>
          <w:sz w:val="32"/>
          <w:szCs w:val="32"/>
        </w:rPr>
      </w:pPr>
      <w:bookmarkStart w:id="11" w:name="_Toc11655"/>
      <w:r>
        <w:rPr>
          <w:rFonts w:eastAsia="楷体_GB2312"/>
          <w:b/>
          <w:bCs/>
          <w:sz w:val="32"/>
          <w:szCs w:val="32"/>
        </w:rPr>
        <w:t>（二）项目绩效目标</w:t>
      </w:r>
      <w:bookmarkEnd w:id="11"/>
    </w:p>
    <w:p w14:paraId="07C3A13E">
      <w:pPr>
        <w:spacing w:after="0" w:line="560" w:lineRule="exact"/>
        <w:ind w:firstLine="640" w:firstLineChars="200"/>
        <w:rPr>
          <w:rFonts w:eastAsia="仿宋_GB2312"/>
          <w:sz w:val="32"/>
          <w:szCs w:val="32"/>
        </w:rPr>
      </w:pPr>
      <w:r>
        <w:rPr>
          <w:rFonts w:eastAsia="仿宋_GB2312"/>
          <w:sz w:val="32"/>
          <w:szCs w:val="32"/>
        </w:rPr>
        <w:t>1</w:t>
      </w:r>
      <w:r>
        <w:rPr>
          <w:rFonts w:eastAsia="仿宋_GB2312"/>
          <w:b/>
          <w:bCs/>
          <w:sz w:val="32"/>
          <w:szCs w:val="32"/>
        </w:rPr>
        <w:t>.</w:t>
      </w:r>
      <w:r>
        <w:rPr>
          <w:rFonts w:eastAsia="仿宋_GB2312"/>
          <w:sz w:val="32"/>
          <w:szCs w:val="32"/>
        </w:rPr>
        <w:t>总体目标</w:t>
      </w:r>
    </w:p>
    <w:p w14:paraId="55F9D1F0">
      <w:pPr>
        <w:spacing w:after="0" w:line="560" w:lineRule="exact"/>
        <w:ind w:firstLine="624" w:firstLineChars="200"/>
        <w:rPr>
          <w:rFonts w:ascii="仿宋_GB2312" w:eastAsia="仿宋_GB2312"/>
        </w:rPr>
      </w:pPr>
      <w:r>
        <w:rPr>
          <w:rStyle w:val="19"/>
          <w:rFonts w:hint="eastAsia" w:ascii="仿宋_GB2312" w:eastAsia="仿宋_GB2312"/>
          <w:b w:val="0"/>
          <w:spacing w:val="-4"/>
          <w:sz w:val="32"/>
          <w:szCs w:val="32"/>
        </w:rPr>
        <w:t>执行完成年度预算300万元。通过前期论证和加强关键技术研究等，推进新疆水网及地县级水网规划的</w:t>
      </w:r>
      <w:bookmarkStart w:id="12" w:name="OLE_LINK17"/>
      <w:r>
        <w:rPr>
          <w:rStyle w:val="19"/>
          <w:rFonts w:hint="eastAsia" w:ascii="仿宋_GB2312" w:eastAsia="仿宋_GB2312"/>
          <w:b w:val="0"/>
          <w:spacing w:val="-4"/>
          <w:sz w:val="32"/>
          <w:szCs w:val="32"/>
        </w:rPr>
        <w:t>“纲”</w:t>
      </w:r>
      <w:bookmarkEnd w:id="12"/>
      <w:r>
        <w:rPr>
          <w:rStyle w:val="19"/>
          <w:rFonts w:hint="eastAsia" w:ascii="仿宋_GB2312" w:eastAsia="仿宋_GB2312"/>
          <w:b w:val="0"/>
          <w:spacing w:val="-4"/>
          <w:sz w:val="32"/>
          <w:szCs w:val="32"/>
        </w:rPr>
        <w:t>“目”“结”骨干项目加快实施。通过实施“纲”类项目如某重点水利项目和“目”类如大型灌区改造、水资源配置工程等项目提高全区水资源配置能力、有效解决水资源时空分布不均的问题；通过实施“结”类项目如</w:t>
      </w:r>
      <w:r>
        <w:rPr>
          <w:rFonts w:hint="eastAsia" w:eastAsia="仿宋_GB2312"/>
          <w:sz w:val="32"/>
          <w:szCs w:val="32"/>
        </w:rPr>
        <w:t>齐背岭水库改扩建、乔诺水库等</w:t>
      </w:r>
      <w:r>
        <w:rPr>
          <w:rStyle w:val="19"/>
          <w:rFonts w:hint="eastAsia" w:ascii="仿宋_GB2312" w:eastAsia="仿宋_GB2312"/>
          <w:b w:val="0"/>
          <w:spacing w:val="-4"/>
          <w:sz w:val="32"/>
          <w:szCs w:val="32"/>
        </w:rPr>
        <w:t>增加全区水库调蓄库容，提升水资源调配能力和手段。有效保障了自治区党委、人民政府和水利厅党组关于加快实施水网建设规划的部署要求落实落地，进一步提升了水资源对经济社会高质量发展的支撑和保障作用。</w:t>
      </w:r>
    </w:p>
    <w:p w14:paraId="7AF379E3">
      <w:pPr>
        <w:spacing w:after="0" w:line="560" w:lineRule="exact"/>
        <w:ind w:firstLine="640" w:firstLineChars="200"/>
        <w:rPr>
          <w:rFonts w:eastAsia="仿宋_GB2312"/>
          <w:sz w:val="32"/>
          <w:szCs w:val="32"/>
        </w:rPr>
      </w:pPr>
      <w:r>
        <w:rPr>
          <w:rFonts w:eastAsia="仿宋_GB2312"/>
          <w:sz w:val="32"/>
          <w:szCs w:val="32"/>
        </w:rPr>
        <w:t>2</w:t>
      </w:r>
      <w:r>
        <w:rPr>
          <w:rFonts w:eastAsia="仿宋_GB2312"/>
          <w:b/>
          <w:bCs/>
          <w:sz w:val="32"/>
          <w:szCs w:val="32"/>
        </w:rPr>
        <w:t>.</w:t>
      </w:r>
      <w:r>
        <w:rPr>
          <w:rFonts w:eastAsia="仿宋_GB2312"/>
          <w:sz w:val="32"/>
          <w:szCs w:val="32"/>
        </w:rPr>
        <w:t>阶段性目标</w:t>
      </w:r>
    </w:p>
    <w:p w14:paraId="6709BEC2">
      <w:pPr>
        <w:spacing w:after="0" w:line="560" w:lineRule="exact"/>
        <w:ind w:firstLine="640" w:firstLineChars="200"/>
        <w:rPr>
          <w:rFonts w:eastAsia="仿宋_GB2312"/>
          <w:sz w:val="32"/>
          <w:szCs w:val="32"/>
        </w:rPr>
      </w:pPr>
      <w:r>
        <w:rPr>
          <w:rFonts w:hint="eastAsia" w:eastAsia="仿宋_GB2312"/>
          <w:sz w:val="32"/>
          <w:szCs w:val="32"/>
        </w:rPr>
        <w:t>项目前期工作审查类：根据项目进展，围绕项目建议书、可研、初设等不同阶段的审查要求，结合水文、地质等条件，组织专家开展现场查勘，严格按照国家有关规程规范进行技术审查，并对达到要求的项目及时出具审查意见，有效提高了我区水利工程前期工作质量。</w:t>
      </w:r>
    </w:p>
    <w:p w14:paraId="76134B76">
      <w:pPr>
        <w:spacing w:after="0" w:line="560" w:lineRule="exact"/>
        <w:ind w:firstLine="640" w:firstLineChars="200"/>
        <w:rPr>
          <w:sz w:val="28"/>
          <w:szCs w:val="36"/>
        </w:rPr>
      </w:pPr>
      <w:r>
        <w:rPr>
          <w:rFonts w:hint="eastAsia" w:eastAsia="仿宋_GB2312"/>
          <w:sz w:val="32"/>
          <w:szCs w:val="32"/>
        </w:rPr>
        <w:t>研究类项目：阶段性目标围绕项目总体目标，按课题实施周期合理拆解，前期聚焦课题主要任务，签订合同书，编制课题任务书，完成现场调研、收集多源遥感数据和水文气象稀疏的观测数据等核心任务，确保课题具备实施条件；中期集中推进方案拟定、模型计算等关键工作，通过集成机器学习模型和误差修正技术，研究了地表径流反向修正方法，并将其嵌入现有分布式水文模型，构建了新疆典型无资料流域分布式水文模型，稳步达成阶段性产出数量与质量要求；后期重点完成成果整合、资料归档、验收收尾等工作，同步开展效果自评与反馈收集，各阶段均严格把控进度节点、质量标准与预算执行，确保有序衔接、逐步落地总体目标。</w:t>
      </w:r>
    </w:p>
    <w:p w14:paraId="002A0C4B">
      <w:pPr>
        <w:spacing w:after="0" w:line="560" w:lineRule="exact"/>
        <w:ind w:firstLine="640" w:firstLineChars="200"/>
        <w:outlineLvl w:val="0"/>
        <w:rPr>
          <w:rFonts w:eastAsia="黑体"/>
          <w:sz w:val="32"/>
          <w:szCs w:val="32"/>
        </w:rPr>
      </w:pPr>
      <w:bookmarkStart w:id="13" w:name="_Toc25712"/>
      <w:r>
        <w:rPr>
          <w:rFonts w:eastAsia="黑体"/>
          <w:sz w:val="32"/>
          <w:szCs w:val="32"/>
        </w:rPr>
        <w:t>二、绩效评价工作开展情况</w:t>
      </w:r>
      <w:bookmarkEnd w:id="13"/>
    </w:p>
    <w:p w14:paraId="5FF54EC3">
      <w:pPr>
        <w:spacing w:after="0" w:line="560" w:lineRule="exact"/>
        <w:ind w:firstLine="643" w:firstLineChars="200"/>
        <w:outlineLvl w:val="1"/>
        <w:rPr>
          <w:rFonts w:eastAsia="楷体_GB2312"/>
          <w:b/>
          <w:bCs/>
          <w:sz w:val="32"/>
          <w:szCs w:val="32"/>
        </w:rPr>
      </w:pPr>
      <w:bookmarkStart w:id="14" w:name="_Toc20967"/>
      <w:r>
        <w:rPr>
          <w:rFonts w:eastAsia="楷体_GB2312"/>
          <w:b/>
          <w:bCs/>
          <w:sz w:val="32"/>
          <w:szCs w:val="32"/>
        </w:rPr>
        <w:t>（一）绩效评价目的、对象和范围</w:t>
      </w:r>
      <w:bookmarkEnd w:id="14"/>
    </w:p>
    <w:p w14:paraId="1CD2B831">
      <w:pPr>
        <w:spacing w:after="0" w:line="560" w:lineRule="exact"/>
        <w:ind w:firstLine="640" w:firstLineChars="200"/>
        <w:outlineLvl w:val="2"/>
        <w:rPr>
          <w:rFonts w:eastAsia="仿宋_GB2312"/>
          <w:sz w:val="32"/>
          <w:szCs w:val="32"/>
        </w:rPr>
      </w:pPr>
      <w:bookmarkStart w:id="15" w:name="_Toc18967"/>
      <w:r>
        <w:rPr>
          <w:rFonts w:hint="eastAsia" w:eastAsia="仿宋_GB2312"/>
          <w:sz w:val="32"/>
          <w:szCs w:val="32"/>
        </w:rPr>
        <w:t>1</w:t>
      </w:r>
      <w:r>
        <w:rPr>
          <w:rFonts w:eastAsia="仿宋_GB2312"/>
          <w:sz w:val="32"/>
          <w:szCs w:val="32"/>
        </w:rPr>
        <w:t>.绩效评价的目的</w:t>
      </w:r>
      <w:bookmarkEnd w:id="15"/>
    </w:p>
    <w:p w14:paraId="6F8A242D">
      <w:pPr>
        <w:spacing w:after="0" w:line="560" w:lineRule="exact"/>
        <w:ind w:firstLine="640" w:firstLineChars="200"/>
        <w:outlineLvl w:val="3"/>
        <w:rPr>
          <w:rFonts w:eastAsia="仿宋_GB2312"/>
          <w:sz w:val="32"/>
          <w:szCs w:val="32"/>
        </w:rPr>
      </w:pPr>
      <w:bookmarkStart w:id="16" w:name="_Toc17665"/>
      <w:r>
        <w:rPr>
          <w:rFonts w:eastAsia="仿宋_GB2312"/>
          <w:sz w:val="32"/>
          <w:szCs w:val="32"/>
        </w:rPr>
        <w:t>（1）评估项目实施效果</w:t>
      </w:r>
      <w:bookmarkEnd w:id="16"/>
    </w:p>
    <w:p w14:paraId="73C89E80">
      <w:pPr>
        <w:spacing w:after="0" w:line="560" w:lineRule="exact"/>
        <w:ind w:firstLine="640" w:firstLineChars="200"/>
        <w:rPr>
          <w:rFonts w:eastAsia="仿宋_GB2312"/>
          <w:sz w:val="32"/>
          <w:szCs w:val="32"/>
        </w:rPr>
      </w:pPr>
      <w:r>
        <w:rPr>
          <w:rFonts w:eastAsia="仿宋_GB2312"/>
          <w:sz w:val="32"/>
          <w:szCs w:val="32"/>
        </w:rPr>
        <w:t>通过对项目预算执行情况及各项绩效目标达成程度的系统性分析，全面、客观地评估项目在预定周期内的实施效果，</w:t>
      </w:r>
      <w:bookmarkStart w:id="17" w:name="OLE_LINK10"/>
      <w:r>
        <w:rPr>
          <w:rFonts w:hint="eastAsia" w:eastAsia="仿宋_GB2312"/>
          <w:sz w:val="32"/>
          <w:szCs w:val="32"/>
        </w:rPr>
        <w:t>通过社会效益</w:t>
      </w:r>
      <w:r>
        <w:rPr>
          <w:rFonts w:eastAsia="仿宋_GB2312"/>
          <w:sz w:val="32"/>
          <w:szCs w:val="32"/>
        </w:rPr>
        <w:t>指标</w:t>
      </w:r>
      <w:bookmarkEnd w:id="17"/>
      <w:r>
        <w:rPr>
          <w:rFonts w:eastAsia="仿宋_GB2312"/>
          <w:sz w:val="32"/>
          <w:szCs w:val="32"/>
        </w:rPr>
        <w:t>，为项目后续的改进与优化提供科学依据。</w:t>
      </w:r>
    </w:p>
    <w:p w14:paraId="1611FAB6">
      <w:pPr>
        <w:spacing w:after="0" w:line="560" w:lineRule="exact"/>
        <w:ind w:firstLine="640" w:firstLineChars="200"/>
        <w:rPr>
          <w:rFonts w:eastAsia="仿宋_GB2312"/>
          <w:sz w:val="32"/>
          <w:szCs w:val="32"/>
        </w:rPr>
      </w:pPr>
      <w:r>
        <w:rPr>
          <w:rFonts w:hint="eastAsia" w:eastAsia="仿宋_GB2312"/>
          <w:sz w:val="32"/>
          <w:szCs w:val="32"/>
        </w:rPr>
        <w:t>通过开展乔诺等大中型水库审查工作，为新疆水网规划的工程布局落地实施奠定技术基础，据统计，累计增加全区水库库容5020万立方米，提高了天然径流调蓄能力。</w:t>
      </w:r>
    </w:p>
    <w:p w14:paraId="35A76F94">
      <w:pPr>
        <w:spacing w:after="0" w:line="560" w:lineRule="exact"/>
        <w:ind w:firstLine="640" w:firstLineChars="200"/>
        <w:outlineLvl w:val="3"/>
        <w:rPr>
          <w:rFonts w:eastAsia="仿宋_GB2312"/>
          <w:sz w:val="32"/>
          <w:szCs w:val="32"/>
        </w:rPr>
      </w:pPr>
      <w:bookmarkStart w:id="18" w:name="_Toc1456"/>
      <w:r>
        <w:rPr>
          <w:rFonts w:eastAsia="仿宋_GB2312"/>
          <w:sz w:val="32"/>
          <w:szCs w:val="32"/>
        </w:rPr>
        <w:t>（2）提升资源利用效率</w:t>
      </w:r>
      <w:bookmarkEnd w:id="18"/>
    </w:p>
    <w:p w14:paraId="12D034EA">
      <w:pPr>
        <w:spacing w:after="0" w:line="560" w:lineRule="exact"/>
        <w:ind w:firstLine="640" w:firstLineChars="200"/>
        <w:rPr>
          <w:rFonts w:eastAsia="仿宋_GB2312"/>
          <w:sz w:val="32"/>
          <w:szCs w:val="32"/>
        </w:rPr>
      </w:pPr>
      <w:r>
        <w:rPr>
          <w:rFonts w:hint="eastAsia" w:eastAsia="仿宋_GB2312"/>
          <w:sz w:val="32"/>
          <w:szCs w:val="32"/>
        </w:rPr>
        <w:t>本</w:t>
      </w:r>
      <w:r>
        <w:rPr>
          <w:rFonts w:eastAsia="仿宋_GB2312"/>
          <w:sz w:val="32"/>
          <w:szCs w:val="32"/>
        </w:rPr>
        <w:t>项目投入</w:t>
      </w:r>
      <w:r>
        <w:rPr>
          <w:rFonts w:hint="eastAsia" w:eastAsia="仿宋_GB2312"/>
          <w:sz w:val="32"/>
          <w:szCs w:val="32"/>
        </w:rPr>
        <w:t>300万元</w:t>
      </w:r>
      <w:r>
        <w:rPr>
          <w:rFonts w:eastAsia="仿宋_GB2312"/>
          <w:sz w:val="32"/>
          <w:szCs w:val="32"/>
        </w:rPr>
        <w:t>预算资金</w:t>
      </w:r>
      <w:r>
        <w:rPr>
          <w:rFonts w:hint="eastAsia" w:eastAsia="仿宋_GB2312"/>
          <w:sz w:val="32"/>
          <w:szCs w:val="32"/>
        </w:rPr>
        <w:t>，</w:t>
      </w:r>
      <w:r>
        <w:rPr>
          <w:rFonts w:eastAsia="仿宋_GB2312"/>
          <w:sz w:val="32"/>
          <w:szCs w:val="32"/>
        </w:rPr>
        <w:t>产出</w:t>
      </w:r>
      <w:r>
        <w:rPr>
          <w:rFonts w:hint="eastAsia" w:eastAsia="仿宋_GB2312"/>
          <w:sz w:val="32"/>
          <w:szCs w:val="32"/>
        </w:rPr>
        <w:t>成果包括出具了136个项目的修改或者审查意见，完成了无资料地区课题研究</w:t>
      </w:r>
      <w:r>
        <w:rPr>
          <w:rFonts w:eastAsia="仿宋_GB2312"/>
          <w:sz w:val="32"/>
          <w:szCs w:val="32"/>
        </w:rPr>
        <w:t>，</w:t>
      </w:r>
      <w:r>
        <w:rPr>
          <w:rFonts w:hint="eastAsia" w:eastAsia="仿宋_GB2312"/>
          <w:sz w:val="32"/>
          <w:szCs w:val="32"/>
        </w:rPr>
        <w:t>在</w:t>
      </w:r>
      <w:r>
        <w:rPr>
          <w:rFonts w:eastAsia="仿宋_GB2312"/>
          <w:sz w:val="32"/>
          <w:szCs w:val="32"/>
        </w:rPr>
        <w:t>资金使用过程中</w:t>
      </w:r>
      <w:r>
        <w:rPr>
          <w:rFonts w:hint="eastAsia" w:eastAsia="仿宋_GB2312"/>
          <w:sz w:val="32"/>
          <w:szCs w:val="32"/>
        </w:rPr>
        <w:t>没有</w:t>
      </w:r>
      <w:r>
        <w:rPr>
          <w:rFonts w:eastAsia="仿宋_GB2312"/>
          <w:sz w:val="32"/>
          <w:szCs w:val="32"/>
        </w:rPr>
        <w:t>冗余环节与低效领域，实现</w:t>
      </w:r>
      <w:r>
        <w:rPr>
          <w:rFonts w:hint="eastAsia" w:eastAsia="仿宋_GB2312"/>
          <w:sz w:val="32"/>
          <w:szCs w:val="32"/>
        </w:rPr>
        <w:t>了</w:t>
      </w:r>
      <w:r>
        <w:rPr>
          <w:rFonts w:eastAsia="仿宋_GB2312"/>
          <w:sz w:val="32"/>
          <w:szCs w:val="32"/>
        </w:rPr>
        <w:t>项目在有限的预算资源下更高的绩效产出，提升</w:t>
      </w:r>
      <w:r>
        <w:rPr>
          <w:rFonts w:hint="eastAsia" w:eastAsia="仿宋_GB2312"/>
          <w:sz w:val="32"/>
          <w:szCs w:val="32"/>
        </w:rPr>
        <w:t>了</w:t>
      </w:r>
      <w:r>
        <w:rPr>
          <w:rFonts w:eastAsia="仿宋_GB2312"/>
          <w:sz w:val="32"/>
          <w:szCs w:val="32"/>
        </w:rPr>
        <w:t>整体资源利用效率，确保财政资金的合理、高效运用。</w:t>
      </w:r>
    </w:p>
    <w:p w14:paraId="4BE6FCEC">
      <w:pPr>
        <w:spacing w:after="0" w:line="560" w:lineRule="exact"/>
        <w:ind w:firstLine="640" w:firstLineChars="200"/>
        <w:outlineLvl w:val="3"/>
        <w:rPr>
          <w:rFonts w:eastAsia="仿宋_GB2312"/>
          <w:sz w:val="32"/>
          <w:szCs w:val="32"/>
        </w:rPr>
      </w:pPr>
      <w:bookmarkStart w:id="19" w:name="_Toc7051"/>
      <w:r>
        <w:rPr>
          <w:rFonts w:eastAsia="仿宋_GB2312"/>
          <w:sz w:val="32"/>
          <w:szCs w:val="32"/>
        </w:rPr>
        <w:t>（3）强化项目管理责任</w:t>
      </w:r>
      <w:bookmarkEnd w:id="19"/>
    </w:p>
    <w:p w14:paraId="0CF87BC6">
      <w:pPr>
        <w:spacing w:after="0" w:line="560" w:lineRule="exact"/>
        <w:ind w:firstLine="640" w:firstLineChars="200"/>
        <w:rPr>
          <w:rFonts w:eastAsia="仿宋_GB2312"/>
          <w:sz w:val="32"/>
          <w:szCs w:val="32"/>
        </w:rPr>
      </w:pPr>
      <w:r>
        <w:rPr>
          <w:rFonts w:eastAsia="仿宋_GB2312"/>
          <w:sz w:val="32"/>
          <w:szCs w:val="32"/>
        </w:rPr>
        <w:t>项目</w:t>
      </w:r>
      <w:r>
        <w:rPr>
          <w:rFonts w:hint="eastAsia" w:eastAsia="仿宋_GB2312"/>
          <w:sz w:val="32"/>
          <w:szCs w:val="32"/>
        </w:rPr>
        <w:t>实施过程中，</w:t>
      </w:r>
      <w:r>
        <w:rPr>
          <w:rFonts w:eastAsia="仿宋_GB2312"/>
          <w:sz w:val="32"/>
          <w:szCs w:val="32"/>
        </w:rPr>
        <w:t>各参与主体在预算绩效管理中的职责与任务</w:t>
      </w:r>
      <w:r>
        <w:rPr>
          <w:rFonts w:hint="eastAsia" w:eastAsia="仿宋_GB2312"/>
          <w:sz w:val="32"/>
          <w:szCs w:val="32"/>
        </w:rPr>
        <w:t>明确</w:t>
      </w:r>
      <w:r>
        <w:rPr>
          <w:rFonts w:eastAsia="仿宋_GB2312"/>
          <w:sz w:val="32"/>
          <w:szCs w:val="32"/>
        </w:rPr>
        <w:t>，借助绩效评价结果对项目管理过程进行监督与问责，促使增强</w:t>
      </w:r>
      <w:r>
        <w:rPr>
          <w:rFonts w:hint="eastAsia" w:eastAsia="仿宋_GB2312"/>
          <w:sz w:val="32"/>
          <w:szCs w:val="32"/>
        </w:rPr>
        <w:t>了</w:t>
      </w:r>
      <w:r>
        <w:rPr>
          <w:rFonts w:eastAsia="仿宋_GB2312"/>
          <w:sz w:val="32"/>
          <w:szCs w:val="32"/>
        </w:rPr>
        <w:t>项目管理者责任意识，主动优化管理流程，完善内部控制机制，提高项目管理水平与执行力，保障项目按计划、高质量推进。</w:t>
      </w:r>
    </w:p>
    <w:p w14:paraId="5436FDA4">
      <w:pPr>
        <w:spacing w:after="0" w:line="560" w:lineRule="exact"/>
        <w:ind w:firstLine="640" w:firstLineChars="200"/>
        <w:outlineLvl w:val="3"/>
        <w:rPr>
          <w:rFonts w:eastAsia="仿宋_GB2312"/>
          <w:sz w:val="32"/>
          <w:szCs w:val="32"/>
        </w:rPr>
      </w:pPr>
      <w:bookmarkStart w:id="20" w:name="_Toc19891"/>
      <w:r>
        <w:rPr>
          <w:rFonts w:eastAsia="仿宋_GB2312"/>
          <w:sz w:val="32"/>
          <w:szCs w:val="32"/>
        </w:rPr>
        <w:t>（4）为决策提供支持</w:t>
      </w:r>
      <w:bookmarkEnd w:id="20"/>
    </w:p>
    <w:p w14:paraId="50C0D0D3">
      <w:pPr>
        <w:spacing w:after="0" w:line="560" w:lineRule="exact"/>
        <w:ind w:firstLine="640" w:firstLineChars="200"/>
        <w:rPr>
          <w:rFonts w:eastAsia="仿宋_GB2312"/>
          <w:sz w:val="32"/>
          <w:szCs w:val="32"/>
        </w:rPr>
      </w:pPr>
      <w:r>
        <w:rPr>
          <w:rFonts w:eastAsia="仿宋_GB2312"/>
          <w:sz w:val="32"/>
          <w:szCs w:val="32"/>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14:paraId="5177C482">
      <w:pPr>
        <w:spacing w:after="0" w:line="560" w:lineRule="exact"/>
        <w:ind w:firstLine="640" w:firstLineChars="200"/>
        <w:outlineLvl w:val="3"/>
        <w:rPr>
          <w:rFonts w:eastAsia="仿宋_GB2312"/>
          <w:sz w:val="32"/>
          <w:szCs w:val="32"/>
        </w:rPr>
      </w:pPr>
      <w:bookmarkStart w:id="21" w:name="_Toc10690"/>
      <w:r>
        <w:rPr>
          <w:rFonts w:eastAsia="仿宋_GB2312"/>
          <w:sz w:val="32"/>
          <w:szCs w:val="32"/>
        </w:rPr>
        <w:t>（5）促进项目持续改进</w:t>
      </w:r>
      <w:bookmarkEnd w:id="21"/>
    </w:p>
    <w:p w14:paraId="11410DE9">
      <w:pPr>
        <w:spacing w:after="0" w:line="560" w:lineRule="exact"/>
        <w:ind w:firstLine="640" w:firstLineChars="200"/>
        <w:rPr>
          <w:rFonts w:eastAsia="仿宋_GB2312"/>
          <w:sz w:val="32"/>
          <w:szCs w:val="32"/>
        </w:rPr>
      </w:pPr>
      <w:r>
        <w:rPr>
          <w:rFonts w:eastAsia="仿宋_GB2312"/>
          <w:sz w:val="32"/>
          <w:szCs w:val="32"/>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14:paraId="7CF25AB6">
      <w:pPr>
        <w:spacing w:after="0" w:line="560" w:lineRule="exact"/>
        <w:ind w:firstLine="640" w:firstLineChars="200"/>
        <w:rPr>
          <w:rFonts w:eastAsia="仿宋_GB2312"/>
          <w:sz w:val="32"/>
          <w:szCs w:val="32"/>
        </w:rPr>
      </w:pPr>
      <w:r>
        <w:rPr>
          <w:rFonts w:eastAsia="仿宋_GB2312"/>
          <w:sz w:val="32"/>
          <w:szCs w:val="32"/>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14:paraId="09ACE7BE">
      <w:pPr>
        <w:spacing w:after="0" w:line="560" w:lineRule="exact"/>
        <w:ind w:firstLine="640" w:firstLineChars="200"/>
        <w:rPr>
          <w:rFonts w:eastAsia="仿宋_GB2312"/>
          <w:sz w:val="32"/>
          <w:szCs w:val="32"/>
        </w:rPr>
      </w:pPr>
      <w:r>
        <w:rPr>
          <w:rFonts w:hint="eastAsia" w:eastAsia="仿宋_GB2312"/>
          <w:sz w:val="32"/>
          <w:szCs w:val="32"/>
        </w:rPr>
        <w:t>本项目存在</w:t>
      </w:r>
      <w:r>
        <w:rPr>
          <w:rFonts w:eastAsia="仿宋_GB2312"/>
          <w:sz w:val="32"/>
          <w:szCs w:val="32"/>
        </w:rPr>
        <w:t>的问题</w:t>
      </w:r>
      <w:r>
        <w:rPr>
          <w:rFonts w:hint="eastAsia" w:eastAsia="仿宋_GB2312"/>
          <w:sz w:val="32"/>
          <w:szCs w:val="32"/>
        </w:rPr>
        <w:t>为专家咨询费未支付完成。原因分析是支付专家咨询费时因农行系统问题，开户行信息与实际不符，导致支付失败，因临近扎账，该笔费用于12月31日退回国库。改进措施：每季度资金支付要按进度完成；支付出现问题时，单位相关人员要及时发现问题并解决；要进一步提高资金管理，强化监督，提升支付效率。</w:t>
      </w:r>
    </w:p>
    <w:p w14:paraId="44D230A9">
      <w:pPr>
        <w:pStyle w:val="13"/>
        <w:widowControl w:val="0"/>
        <w:spacing w:before="0" w:after="0" w:line="560" w:lineRule="exact"/>
        <w:ind w:firstLine="640" w:firstLineChars="200"/>
        <w:jc w:val="both"/>
        <w:outlineLvl w:val="2"/>
        <w:rPr>
          <w:rFonts w:ascii="Times New Roman" w:hAnsi="Times New Roman" w:eastAsia="仿宋_GB2312"/>
          <w:b w:val="0"/>
          <w:bCs w:val="0"/>
        </w:rPr>
      </w:pPr>
      <w:bookmarkStart w:id="22" w:name="_Toc5355"/>
      <w:r>
        <w:rPr>
          <w:rFonts w:hint="eastAsia" w:ascii="Times New Roman" w:hAnsi="Times New Roman" w:eastAsia="仿宋_GB2312"/>
          <w:b w:val="0"/>
          <w:bCs w:val="0"/>
        </w:rPr>
        <w:t>2</w:t>
      </w:r>
      <w:r>
        <w:rPr>
          <w:rFonts w:ascii="Times New Roman" w:hAnsi="Times New Roman" w:eastAsia="仿宋_GB2312"/>
        </w:rPr>
        <w:t>.</w:t>
      </w:r>
      <w:r>
        <w:rPr>
          <w:rFonts w:ascii="Times New Roman" w:hAnsi="Times New Roman" w:eastAsia="仿宋_GB2312"/>
          <w:b w:val="0"/>
          <w:bCs w:val="0"/>
        </w:rPr>
        <w:t>绩效评价的对象</w:t>
      </w:r>
      <w:bookmarkEnd w:id="22"/>
    </w:p>
    <w:p w14:paraId="043B7345">
      <w:pPr>
        <w:pStyle w:val="13"/>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本项目预算绩效评价报告的评价对象是推进新疆水网及地县级水网骨干工程前期论证实施及其预算执行情况。该项目由新疆维吾尔自治区水利水电规划设计中心负责实施，旨在</w:t>
      </w:r>
      <w:r>
        <w:rPr>
          <w:rFonts w:hint="eastAsia" w:ascii="Times New Roman" w:hAnsi="Times New Roman" w:eastAsia="仿宋_GB2312"/>
          <w:b w:val="0"/>
          <w:bCs w:val="0"/>
        </w:rPr>
        <w:t>配合开展水网骨干水利工程项目的前期论证、技术审查、相关前瞻性课题研究</w:t>
      </w:r>
      <w:r>
        <w:rPr>
          <w:rFonts w:ascii="Times New Roman" w:hAnsi="Times New Roman" w:eastAsia="仿宋_GB2312"/>
          <w:b w:val="0"/>
          <w:bCs w:val="0"/>
        </w:rPr>
        <w:t>。项目预算涵盖从</w:t>
      </w:r>
      <w:r>
        <w:rPr>
          <w:rFonts w:hint="eastAsia" w:ascii="Times New Roman" w:hAnsi="Times New Roman" w:eastAsia="仿宋_GB2312"/>
          <w:b w:val="0"/>
          <w:bCs w:val="0"/>
        </w:rPr>
        <w:t>2025年1月1日</w:t>
      </w:r>
      <w:r>
        <w:rPr>
          <w:rFonts w:ascii="Times New Roman" w:hAnsi="Times New Roman" w:eastAsia="仿宋_GB2312"/>
          <w:b w:val="0"/>
          <w:bCs w:val="0"/>
        </w:rPr>
        <w:t>至</w:t>
      </w:r>
      <w:r>
        <w:rPr>
          <w:rFonts w:hint="eastAsia" w:ascii="Times New Roman" w:hAnsi="Times New Roman" w:eastAsia="仿宋_GB2312"/>
          <w:b w:val="0"/>
          <w:bCs w:val="0"/>
        </w:rPr>
        <w:t>2025年12月31日</w:t>
      </w:r>
      <w:r>
        <w:rPr>
          <w:rFonts w:ascii="Times New Roman" w:hAnsi="Times New Roman" w:eastAsia="仿宋_GB2312"/>
          <w:b w:val="0"/>
          <w:bCs w:val="0"/>
        </w:rPr>
        <w:t>的全部资金投入与支出，涉及资金总额为</w:t>
      </w:r>
      <w:r>
        <w:rPr>
          <w:rFonts w:hint="eastAsia" w:ascii="Times New Roman" w:hAnsi="Times New Roman" w:eastAsia="仿宋_GB2312"/>
          <w:b w:val="0"/>
          <w:bCs w:val="0"/>
        </w:rPr>
        <w:t>300</w:t>
      </w:r>
      <w:r>
        <w:rPr>
          <w:rFonts w:ascii="Times New Roman" w:hAnsi="Times New Roman" w:eastAsia="仿宋_GB2312"/>
          <w:b w:val="0"/>
          <w:bCs w:val="0"/>
        </w:rPr>
        <w:t>万元。</w:t>
      </w:r>
    </w:p>
    <w:p w14:paraId="3EB08B46">
      <w:pPr>
        <w:pStyle w:val="13"/>
        <w:widowControl w:val="0"/>
        <w:spacing w:before="0" w:after="0" w:line="560" w:lineRule="exact"/>
        <w:ind w:firstLine="640" w:firstLineChars="200"/>
        <w:jc w:val="both"/>
        <w:outlineLvl w:val="2"/>
        <w:rPr>
          <w:rFonts w:ascii="Times New Roman" w:hAnsi="Times New Roman" w:eastAsia="仿宋_GB2312"/>
          <w:b w:val="0"/>
          <w:bCs w:val="0"/>
        </w:rPr>
      </w:pPr>
      <w:bookmarkStart w:id="23" w:name="_Toc4258"/>
      <w:r>
        <w:rPr>
          <w:rFonts w:hint="eastAsia" w:ascii="Times New Roman" w:hAnsi="Times New Roman" w:eastAsia="仿宋_GB2312"/>
          <w:b w:val="0"/>
          <w:bCs w:val="0"/>
        </w:rPr>
        <w:t>3</w:t>
      </w:r>
      <w:r>
        <w:rPr>
          <w:rFonts w:ascii="Times New Roman" w:hAnsi="Times New Roman" w:eastAsia="仿宋_GB2312"/>
          <w:b w:val="0"/>
          <w:bCs w:val="0"/>
        </w:rPr>
        <w:t>.绩效评价的范围</w:t>
      </w:r>
      <w:bookmarkEnd w:id="23"/>
    </w:p>
    <w:p w14:paraId="03853B90">
      <w:pPr>
        <w:pStyle w:val="13"/>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本项目预算绩效评价报告的评价范围广泛而全面，涵盖了从项目立项至评价时点期间的所有关键预算活动和财务流程。具体而言，评价范围包括但不限于以下几个方面：</w:t>
      </w:r>
    </w:p>
    <w:p w14:paraId="622D7771">
      <w:pPr>
        <w:pStyle w:val="13"/>
        <w:widowControl w:val="0"/>
        <w:numPr>
          <w:ilvl w:val="0"/>
          <w:numId w:val="1"/>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项目预算编制与执行：全面审视项目预算的编制依据、合理性、科学性以及实际执行情况，包括预算调整的原因和效果。</w:t>
      </w:r>
    </w:p>
    <w:p w14:paraId="2542A890">
      <w:pPr>
        <w:pStyle w:val="13"/>
        <w:widowControl w:val="0"/>
        <w:numPr>
          <w:ilvl w:val="0"/>
          <w:numId w:val="1"/>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资金管理：深入分析项目资金的分配、使用和监管情况，确保资金使用的合规性、高效性和透明度。</w:t>
      </w:r>
    </w:p>
    <w:p w14:paraId="31B4AB59">
      <w:pPr>
        <w:pStyle w:val="13"/>
        <w:widowControl w:val="0"/>
        <w:numPr>
          <w:ilvl w:val="0"/>
          <w:numId w:val="1"/>
        </w:numPr>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项目实施进度与产出：评估项目是否按照既定计划顺利推进，各项任务是否</w:t>
      </w:r>
      <w:bookmarkStart w:id="24" w:name="OLE_LINK11"/>
      <w:r>
        <w:rPr>
          <w:rFonts w:ascii="Times New Roman" w:hAnsi="Times New Roman" w:eastAsia="仿宋_GB2312"/>
          <w:b w:val="0"/>
          <w:bCs w:val="0"/>
        </w:rPr>
        <w:t>按时完成，以及项</w:t>
      </w:r>
      <w:bookmarkEnd w:id="24"/>
      <w:r>
        <w:rPr>
          <w:rFonts w:ascii="Times New Roman" w:hAnsi="Times New Roman" w:eastAsia="仿宋_GB2312"/>
          <w:b w:val="0"/>
          <w:bCs w:val="0"/>
        </w:rPr>
        <w:t>目产出的数量、质量和时效性是否符合预期。</w:t>
      </w:r>
    </w:p>
    <w:p w14:paraId="4ACD7158">
      <w:pPr>
        <w:pStyle w:val="13"/>
        <w:widowControl w:val="0"/>
        <w:spacing w:before="0" w:after="0" w:line="560" w:lineRule="exact"/>
        <w:ind w:firstLine="640" w:firstLineChars="200"/>
        <w:jc w:val="both"/>
        <w:outlineLvl w:val="9"/>
        <w:rPr>
          <w:rFonts w:ascii="Times New Roman" w:hAnsi="Times New Roman" w:eastAsia="仿宋_GB2312"/>
          <w:b w:val="0"/>
          <w:bCs w:val="0"/>
        </w:rPr>
      </w:pPr>
      <w:r>
        <w:rPr>
          <w:rFonts w:hint="eastAsia" w:ascii="Times New Roman" w:hAnsi="Times New Roman" w:eastAsia="仿宋_GB2312"/>
          <w:b w:val="0"/>
          <w:bCs w:val="0"/>
        </w:rPr>
        <w:t>（4）</w:t>
      </w:r>
      <w:r>
        <w:rPr>
          <w:rFonts w:ascii="Times New Roman" w:hAnsi="Times New Roman" w:eastAsia="仿宋_GB2312"/>
          <w:b w:val="0"/>
          <w:bCs w:val="0"/>
        </w:rPr>
        <w:t>社会影响：</w:t>
      </w:r>
      <w:r>
        <w:rPr>
          <w:rFonts w:hint="eastAsia" w:ascii="Times New Roman" w:hAnsi="Times New Roman" w:eastAsia="仿宋_GB2312"/>
          <w:b w:val="0"/>
          <w:bCs w:val="0"/>
        </w:rPr>
        <w:t>完成骨干水利工程项目的前期论证、组织协调和技术审查，推动项目加快实施</w:t>
      </w:r>
      <w:r>
        <w:rPr>
          <w:rFonts w:ascii="Times New Roman" w:hAnsi="Times New Roman" w:eastAsia="仿宋_GB2312"/>
          <w:b w:val="0"/>
          <w:bCs w:val="0"/>
        </w:rPr>
        <w:t>。</w:t>
      </w:r>
      <w:r>
        <w:rPr>
          <w:rFonts w:hint="eastAsia" w:ascii="Times New Roman" w:hAnsi="Times New Roman" w:eastAsia="仿宋_GB2312"/>
          <w:b w:val="0"/>
          <w:bCs w:val="0"/>
        </w:rPr>
        <w:t>增加了调蓄库容，提高了调蓄能力，确保自治区党委、人民政府和水利厅党组关于加快实施水网建设规划的部署要求落实落地，进一步提升水资源对经济社会高质量发展的支撑和保障作用。</w:t>
      </w:r>
    </w:p>
    <w:p w14:paraId="3F305D95">
      <w:pPr>
        <w:spacing w:after="0" w:line="560" w:lineRule="exact"/>
        <w:ind w:firstLine="643" w:firstLineChars="200"/>
        <w:outlineLvl w:val="1"/>
      </w:pPr>
      <w:bookmarkStart w:id="25" w:name="_Toc29785"/>
      <w:r>
        <w:rPr>
          <w:rFonts w:eastAsia="楷体_GB2312"/>
          <w:b/>
          <w:bCs/>
          <w:sz w:val="32"/>
          <w:szCs w:val="32"/>
        </w:rPr>
        <w:t>（二）绩效评价原则、评价指标体系（详情见表1）、评价方法、评价标准。</w:t>
      </w:r>
      <w:bookmarkEnd w:id="25"/>
    </w:p>
    <w:p w14:paraId="22084E11">
      <w:pPr>
        <w:pStyle w:val="13"/>
        <w:widowControl w:val="0"/>
        <w:spacing w:before="0" w:after="0" w:line="560" w:lineRule="exact"/>
        <w:ind w:firstLine="640" w:firstLineChars="200"/>
        <w:jc w:val="both"/>
        <w:outlineLvl w:val="2"/>
        <w:rPr>
          <w:rFonts w:ascii="Times New Roman" w:hAnsi="Times New Roman" w:eastAsia="仿宋_GB2312"/>
          <w:b w:val="0"/>
          <w:bCs w:val="0"/>
        </w:rPr>
      </w:pPr>
      <w:bookmarkStart w:id="26" w:name="_Toc22859"/>
      <w:r>
        <w:rPr>
          <w:rFonts w:ascii="Times New Roman" w:hAnsi="Times New Roman" w:eastAsia="仿宋_GB2312"/>
          <w:b w:val="0"/>
          <w:bCs w:val="0"/>
        </w:rPr>
        <w:t>1</w:t>
      </w:r>
      <w:r>
        <w:rPr>
          <w:rFonts w:ascii="Times New Roman" w:hAnsi="Times New Roman" w:eastAsia="仿宋_GB2312"/>
        </w:rPr>
        <w:t>.</w:t>
      </w:r>
      <w:r>
        <w:rPr>
          <w:rFonts w:ascii="Times New Roman" w:hAnsi="Times New Roman" w:eastAsia="仿宋_GB2312"/>
          <w:b w:val="0"/>
          <w:bCs w:val="0"/>
        </w:rPr>
        <w:t>绩效评价原则</w:t>
      </w:r>
      <w:bookmarkEnd w:id="26"/>
    </w:p>
    <w:p w14:paraId="7AB21D20">
      <w:pPr>
        <w:spacing w:after="0"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14:paraId="5098BBD9">
      <w:pPr>
        <w:pStyle w:val="13"/>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14:paraId="3518C68D">
      <w:pPr>
        <w:pStyle w:val="13"/>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14:paraId="4B31B720">
      <w:pPr>
        <w:pStyle w:val="13"/>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14:paraId="698B3E49">
      <w:pPr>
        <w:pStyle w:val="13"/>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14:paraId="0B1DC307">
      <w:pPr>
        <w:pStyle w:val="13"/>
        <w:widowControl w:val="0"/>
        <w:spacing w:before="0" w:after="0" w:line="560" w:lineRule="exact"/>
        <w:ind w:firstLine="640" w:firstLineChars="200"/>
        <w:jc w:val="both"/>
        <w:outlineLvl w:val="2"/>
        <w:rPr>
          <w:rFonts w:ascii="Times New Roman" w:hAnsi="Times New Roman" w:eastAsia="仿宋_GB2312"/>
          <w:b w:val="0"/>
          <w:bCs w:val="0"/>
        </w:rPr>
      </w:pPr>
      <w:bookmarkStart w:id="27" w:name="_Toc31775"/>
      <w:r>
        <w:rPr>
          <w:rFonts w:ascii="Times New Roman" w:hAnsi="Times New Roman" w:eastAsia="仿宋_GB2312"/>
          <w:b w:val="0"/>
          <w:bCs w:val="0"/>
        </w:rPr>
        <w:t>2</w:t>
      </w:r>
      <w:r>
        <w:rPr>
          <w:rFonts w:ascii="Times New Roman" w:hAnsi="Times New Roman" w:eastAsia="仿宋_GB2312"/>
        </w:rPr>
        <w:t>.</w:t>
      </w:r>
      <w:r>
        <w:rPr>
          <w:rFonts w:ascii="Times New Roman" w:hAnsi="Times New Roman" w:eastAsia="仿宋_GB2312"/>
          <w:b w:val="0"/>
          <w:bCs w:val="0"/>
        </w:rPr>
        <w:t>评价指标体系</w:t>
      </w:r>
      <w:bookmarkEnd w:id="27"/>
    </w:p>
    <w:p w14:paraId="753D4AD7">
      <w:pPr>
        <w:spacing w:after="0"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14:paraId="63A51812">
      <w:pPr>
        <w:spacing w:after="0" w:line="560" w:lineRule="exact"/>
        <w:ind w:firstLine="708" w:firstLineChars="200"/>
        <w:outlineLvl w:val="3"/>
        <w:rPr>
          <w:rFonts w:eastAsia="仿宋_GB2312"/>
          <w:color w:val="000000"/>
          <w:spacing w:val="17"/>
          <w:sz w:val="32"/>
          <w:szCs w:val="32"/>
        </w:rPr>
      </w:pPr>
      <w:bookmarkStart w:id="28" w:name="_Toc22746"/>
      <w:r>
        <w:rPr>
          <w:rFonts w:eastAsia="仿宋_GB2312"/>
          <w:color w:val="000000"/>
          <w:spacing w:val="17"/>
          <w:sz w:val="32"/>
          <w:szCs w:val="32"/>
        </w:rPr>
        <w:t>（1）确定评价指标</w:t>
      </w:r>
      <w:bookmarkEnd w:id="28"/>
    </w:p>
    <w:p w14:paraId="3A78CC55">
      <w:pPr>
        <w:spacing w:after="0"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60D96E9A">
      <w:pPr>
        <w:spacing w:after="0" w:line="560" w:lineRule="exact"/>
        <w:ind w:firstLine="708" w:firstLineChars="200"/>
        <w:outlineLvl w:val="3"/>
        <w:rPr>
          <w:rFonts w:eastAsia="仿宋_GB2312"/>
          <w:color w:val="000000"/>
          <w:spacing w:val="17"/>
          <w:sz w:val="32"/>
          <w:szCs w:val="32"/>
        </w:rPr>
      </w:pPr>
      <w:bookmarkStart w:id="29" w:name="_Toc1142"/>
      <w:r>
        <w:rPr>
          <w:rFonts w:eastAsia="仿宋_GB2312"/>
          <w:color w:val="000000"/>
          <w:spacing w:val="17"/>
          <w:sz w:val="32"/>
          <w:szCs w:val="32"/>
        </w:rPr>
        <w:t>（2）确定权重</w:t>
      </w:r>
      <w:bookmarkEnd w:id="29"/>
    </w:p>
    <w:p w14:paraId="1D644426">
      <w:pPr>
        <w:spacing w:after="0" w:line="560" w:lineRule="exact"/>
        <w:ind w:firstLine="708" w:firstLineChars="200"/>
        <w:rPr>
          <w:rFonts w:eastAsia="仿宋_GB2312"/>
          <w:color w:val="FF0000"/>
          <w:spacing w:val="17"/>
          <w:sz w:val="32"/>
          <w:szCs w:val="32"/>
        </w:rPr>
      </w:pPr>
      <w:r>
        <w:rPr>
          <w:rFonts w:eastAsia="仿宋_GB2312"/>
          <w:color w:val="000000"/>
          <w:spacing w:val="17"/>
          <w:sz w:val="32"/>
          <w:szCs w:val="32"/>
        </w:rPr>
        <w:t>确定各个指标相对于项目总体绩效的权重分值。在绩效评价指标体系中，项目决策权重为20分，项目过程权重为20分，项目产出权重为40分，项目效益权重为20分。</w:t>
      </w:r>
    </w:p>
    <w:p w14:paraId="2C59B38A">
      <w:pPr>
        <w:spacing w:after="0" w:line="560" w:lineRule="exact"/>
        <w:ind w:firstLine="708" w:firstLineChars="200"/>
        <w:outlineLvl w:val="3"/>
        <w:rPr>
          <w:rFonts w:eastAsia="仿宋_GB2312"/>
          <w:color w:val="000000"/>
          <w:spacing w:val="17"/>
          <w:sz w:val="32"/>
          <w:szCs w:val="32"/>
        </w:rPr>
      </w:pPr>
      <w:bookmarkStart w:id="30" w:name="_Toc18406"/>
      <w:r>
        <w:rPr>
          <w:rFonts w:eastAsia="仿宋_GB2312"/>
          <w:color w:val="000000"/>
          <w:spacing w:val="17"/>
          <w:sz w:val="32"/>
          <w:szCs w:val="32"/>
        </w:rPr>
        <w:t>（3）确定指标标准值</w:t>
      </w:r>
      <w:bookmarkEnd w:id="30"/>
    </w:p>
    <w:p w14:paraId="2FE43A10">
      <w:pPr>
        <w:pStyle w:val="13"/>
        <w:spacing w:before="0" w:after="0" w:line="560" w:lineRule="exact"/>
        <w:ind w:firstLine="708" w:firstLineChars="200"/>
        <w:jc w:val="both"/>
        <w:outlineLvl w:val="9"/>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绩效评价总分值100分，根据综合评分结果，90（含）-100分为优、80（含）-90分为良、60（含）-80分为中、60分以下为差。</w:t>
      </w:r>
    </w:p>
    <w:p w14:paraId="6737E2CB">
      <w:pPr>
        <w:pStyle w:val="13"/>
        <w:widowControl w:val="0"/>
        <w:spacing w:before="0" w:after="0" w:line="56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14:paraId="22E35870">
      <w:pPr>
        <w:pStyle w:val="13"/>
        <w:widowControl w:val="0"/>
        <w:spacing w:before="0" w:after="0" w:line="560" w:lineRule="exact"/>
        <w:ind w:firstLine="640" w:firstLineChars="200"/>
        <w:jc w:val="both"/>
        <w:outlineLvl w:val="2"/>
        <w:rPr>
          <w:rFonts w:ascii="Times New Roman" w:hAnsi="Times New Roman" w:eastAsia="仿宋_GB2312"/>
          <w:b w:val="0"/>
          <w:bCs w:val="0"/>
        </w:rPr>
      </w:pPr>
      <w:bookmarkStart w:id="31" w:name="_Toc18365"/>
      <w:r>
        <w:rPr>
          <w:rFonts w:ascii="Times New Roman" w:hAnsi="Times New Roman" w:eastAsia="仿宋_GB2312"/>
          <w:b w:val="0"/>
          <w:bCs w:val="0"/>
        </w:rPr>
        <w:t>3.绩效评价方法</w:t>
      </w:r>
      <w:bookmarkEnd w:id="31"/>
    </w:p>
    <w:p w14:paraId="6027F582">
      <w:pPr>
        <w:spacing w:after="0"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绩效评价从项目决策、项目过程、项目产出、项目效益四个维度进行评价。评价对象为项目目标实施情况，评价核心为资金的支出完成情况和项目的产出效益。</w:t>
      </w:r>
    </w:p>
    <w:p w14:paraId="414AAD5D">
      <w:pPr>
        <w:spacing w:after="0" w:line="56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3F42B6DD">
      <w:pPr>
        <w:spacing w:after="0" w:line="560" w:lineRule="exact"/>
        <w:ind w:firstLine="708" w:firstLineChars="200"/>
        <w:rPr>
          <w:rFonts w:eastAsia="仿宋_GB2312"/>
          <w:color w:val="000000"/>
          <w:spacing w:val="17"/>
          <w:sz w:val="32"/>
          <w:szCs w:val="32"/>
        </w:rPr>
      </w:pPr>
      <w:r>
        <w:rPr>
          <w:rFonts w:eastAsia="仿宋_GB2312"/>
          <w:color w:val="000000"/>
          <w:spacing w:val="17"/>
          <w:sz w:val="32"/>
          <w:szCs w:val="32"/>
        </w:rPr>
        <w:t>（</w:t>
      </w:r>
      <w:r>
        <w:rPr>
          <w:rFonts w:hint="eastAsia" w:eastAsia="仿宋_GB2312"/>
          <w:color w:val="000000"/>
          <w:spacing w:val="17"/>
          <w:sz w:val="32"/>
          <w:szCs w:val="32"/>
        </w:rPr>
        <w:t>1</w:t>
      </w:r>
      <w:r>
        <w:rPr>
          <w:rFonts w:eastAsia="仿宋_GB2312"/>
          <w:color w:val="000000"/>
          <w:spacing w:val="17"/>
          <w:sz w:val="32"/>
          <w:szCs w:val="32"/>
        </w:rPr>
        <w:t>）比较法。是指将实施情况与绩效目标、历史情况、不同部门和地区同类支出情况进行比较的方法。</w:t>
      </w:r>
    </w:p>
    <w:p w14:paraId="72FB0938">
      <w:pPr>
        <w:spacing w:after="0" w:line="560" w:lineRule="exact"/>
        <w:ind w:firstLine="708" w:firstLineChars="200"/>
        <w:rPr>
          <w:rFonts w:eastAsia="仿宋_GB2312"/>
          <w:color w:val="000000"/>
          <w:spacing w:val="17"/>
          <w:sz w:val="32"/>
          <w:szCs w:val="32"/>
        </w:rPr>
      </w:pPr>
      <w:r>
        <w:rPr>
          <w:rFonts w:eastAsia="仿宋_GB2312"/>
          <w:color w:val="000000"/>
          <w:spacing w:val="17"/>
          <w:sz w:val="32"/>
          <w:szCs w:val="32"/>
        </w:rPr>
        <w:t>（</w:t>
      </w:r>
      <w:r>
        <w:rPr>
          <w:rFonts w:hint="eastAsia" w:eastAsia="仿宋_GB2312"/>
          <w:color w:val="000000"/>
          <w:spacing w:val="17"/>
          <w:sz w:val="32"/>
          <w:szCs w:val="32"/>
        </w:rPr>
        <w:t>2</w:t>
      </w:r>
      <w:r>
        <w:rPr>
          <w:rFonts w:eastAsia="仿宋_GB2312"/>
          <w:color w:val="000000"/>
          <w:spacing w:val="17"/>
          <w:sz w:val="32"/>
          <w:szCs w:val="32"/>
        </w:rPr>
        <w:t>）因素分析法。是指综合分析影响绩效目标实现、实施效果的内外部因素的方法。</w:t>
      </w:r>
    </w:p>
    <w:p w14:paraId="0BCCC7E8">
      <w:pPr>
        <w:spacing w:after="0" w:line="560" w:lineRule="exact"/>
        <w:ind w:firstLine="708" w:firstLineChars="200"/>
        <w:rPr>
          <w:rFonts w:eastAsia="仿宋_GB2312"/>
          <w:color w:val="000000"/>
          <w:spacing w:val="17"/>
          <w:sz w:val="32"/>
          <w:szCs w:val="32"/>
        </w:rPr>
      </w:pPr>
      <w:r>
        <w:rPr>
          <w:rFonts w:eastAsia="仿宋_GB2312"/>
          <w:color w:val="000000"/>
          <w:spacing w:val="17"/>
          <w:sz w:val="32"/>
          <w:szCs w:val="32"/>
        </w:rPr>
        <w:t>（</w:t>
      </w:r>
      <w:r>
        <w:rPr>
          <w:rFonts w:hint="eastAsia" w:eastAsia="仿宋_GB2312"/>
          <w:color w:val="000000"/>
          <w:spacing w:val="17"/>
          <w:sz w:val="32"/>
          <w:szCs w:val="32"/>
        </w:rPr>
        <w:t>3</w:t>
      </w:r>
      <w:r>
        <w:rPr>
          <w:rFonts w:eastAsia="仿宋_GB2312"/>
          <w:color w:val="000000"/>
          <w:spacing w:val="17"/>
          <w:sz w:val="32"/>
          <w:szCs w:val="32"/>
        </w:rPr>
        <w:t>）公众评判法。是指通过专家评估、公众问卷及抽样调查等方式进行评判的方法。</w:t>
      </w:r>
    </w:p>
    <w:p w14:paraId="22401AD8">
      <w:pPr>
        <w:pStyle w:val="13"/>
        <w:widowControl w:val="0"/>
        <w:spacing w:before="0" w:after="0" w:line="560" w:lineRule="exact"/>
        <w:ind w:firstLine="640" w:firstLineChars="200"/>
        <w:jc w:val="both"/>
        <w:outlineLvl w:val="2"/>
        <w:rPr>
          <w:rFonts w:ascii="Times New Roman" w:hAnsi="Times New Roman" w:eastAsia="仿宋_GB2312"/>
          <w:b w:val="0"/>
          <w:bCs w:val="0"/>
        </w:rPr>
      </w:pPr>
      <w:bookmarkStart w:id="32" w:name="_Toc21230"/>
      <w:r>
        <w:rPr>
          <w:rFonts w:ascii="Times New Roman" w:hAnsi="Times New Roman" w:eastAsia="仿宋_GB2312"/>
          <w:b w:val="0"/>
          <w:bCs w:val="0"/>
        </w:rPr>
        <w:t>4</w:t>
      </w:r>
      <w:r>
        <w:rPr>
          <w:rFonts w:ascii="Times New Roman" w:hAnsi="Times New Roman" w:eastAsia="仿宋_GB2312"/>
        </w:rPr>
        <w:t>.</w:t>
      </w:r>
      <w:r>
        <w:rPr>
          <w:rFonts w:ascii="Times New Roman" w:hAnsi="Times New Roman" w:eastAsia="仿宋_GB2312"/>
          <w:b w:val="0"/>
          <w:bCs w:val="0"/>
        </w:rPr>
        <w:t>评价标准</w:t>
      </w:r>
      <w:bookmarkEnd w:id="32"/>
    </w:p>
    <w:p w14:paraId="3B67BBCD">
      <w:pPr>
        <w:pStyle w:val="13"/>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绩效评价标准通常包括计划标准、行业标准、历史标准等，用于对绩效指标完成情况进行比较、分析、评价。</w:t>
      </w:r>
      <w:r>
        <w:rPr>
          <w:rFonts w:hint="eastAsia" w:ascii="Times New Roman" w:hAnsi="Times New Roman" w:eastAsia="仿宋_GB2312"/>
          <w:b w:val="0"/>
          <w:bCs w:val="0"/>
        </w:rPr>
        <w:t>具体绩效评价标准解释如下：</w:t>
      </w:r>
    </w:p>
    <w:p w14:paraId="45C20A20">
      <w:pPr>
        <w:pStyle w:val="13"/>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（1）计划标准。指以预先制定的目标、计划、预算、定额等作为评价标准。</w:t>
      </w:r>
    </w:p>
    <w:p w14:paraId="31F78C60">
      <w:pPr>
        <w:pStyle w:val="13"/>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（2）行业标准。指参照国家公布的行业指标数据制定的评价标准。</w:t>
      </w:r>
    </w:p>
    <w:p w14:paraId="2335108C">
      <w:pPr>
        <w:pStyle w:val="13"/>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（3）历史标准。指参照历史数据制定的评价标准，为体现绩效改进的原则，在可实现的条件下应当确定相对较高的评价标准。</w:t>
      </w:r>
    </w:p>
    <w:p w14:paraId="2DFEBCA3">
      <w:pPr>
        <w:pStyle w:val="13"/>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（4）财政部门和预算部门确认或认可的其他标准。</w:t>
      </w:r>
    </w:p>
    <w:p w14:paraId="7A07AD53">
      <w:pPr>
        <w:pStyle w:val="13"/>
        <w:widowControl w:val="0"/>
        <w:spacing w:before="0" w:after="0" w:line="560" w:lineRule="exact"/>
        <w:ind w:firstLine="640" w:firstLineChars="200"/>
        <w:jc w:val="both"/>
        <w:outlineLvl w:val="9"/>
      </w:pPr>
      <w:r>
        <w:rPr>
          <w:rFonts w:hint="eastAsia" w:ascii="Times New Roman" w:hAnsi="Times New Roman" w:eastAsia="仿宋_GB2312"/>
          <w:b w:val="0"/>
          <w:bCs w:val="0"/>
        </w:rPr>
        <w:t>本次绩效评价采用计划标准和</w:t>
      </w:r>
      <w:r>
        <w:rPr>
          <w:rFonts w:ascii="Times New Roman" w:hAnsi="Times New Roman" w:eastAsia="仿宋_GB2312"/>
          <w:b w:val="0"/>
          <w:bCs w:val="0"/>
        </w:rPr>
        <w:t>行业标准</w:t>
      </w:r>
      <w:r>
        <w:rPr>
          <w:rFonts w:hint="eastAsia" w:ascii="Times New Roman" w:hAnsi="Times New Roman" w:eastAsia="仿宋_GB2312"/>
          <w:b w:val="0"/>
          <w:bCs w:val="0"/>
        </w:rPr>
        <w:t>，以预先制定的目标、计划、预算、定额等作为评价标准，对比分析项目产出、效益的完成情况。对于定性指标，通过采集相关数据，运用等级描述法，设置分级标准，体现该指标认可程度的差异。对于定量指标，通过公式等方式予以量化，可以准确衡量，并设定目标值的考核指标。</w:t>
      </w:r>
    </w:p>
    <w:p w14:paraId="57B461C3">
      <w:pPr>
        <w:pStyle w:val="13"/>
        <w:numPr>
          <w:ilvl w:val="0"/>
          <w:numId w:val="2"/>
        </w:numPr>
        <w:spacing w:before="0" w:after="0" w:line="560" w:lineRule="exact"/>
        <w:ind w:firstLine="711" w:firstLineChars="200"/>
        <w:jc w:val="both"/>
        <w:outlineLvl w:val="1"/>
        <w:rPr>
          <w:rFonts w:ascii="Times New Roman" w:hAnsi="Times New Roman" w:eastAsia="楷体"/>
          <w:color w:val="000000"/>
          <w:spacing w:val="17"/>
        </w:rPr>
      </w:pPr>
      <w:bookmarkStart w:id="33" w:name="_Toc5544"/>
      <w:r>
        <w:rPr>
          <w:rFonts w:ascii="Times New Roman" w:hAnsi="Times New Roman" w:eastAsia="楷体"/>
          <w:color w:val="000000"/>
          <w:spacing w:val="17"/>
        </w:rPr>
        <w:t>绩效评价工作过程</w:t>
      </w:r>
      <w:bookmarkEnd w:id="33"/>
    </w:p>
    <w:p w14:paraId="4CA9BBAE">
      <w:pPr>
        <w:spacing w:after="0" w:line="560" w:lineRule="exact"/>
        <w:ind w:firstLine="640" w:firstLineChars="200"/>
        <w:outlineLvl w:val="2"/>
        <w:rPr>
          <w:rFonts w:eastAsia="仿宋_GB2312"/>
          <w:sz w:val="32"/>
          <w:szCs w:val="32"/>
        </w:rPr>
      </w:pPr>
      <w:bookmarkStart w:id="34" w:name="_Toc21316"/>
      <w:r>
        <w:rPr>
          <w:rFonts w:hint="eastAsia" w:eastAsia="仿宋_GB2312"/>
          <w:sz w:val="32"/>
          <w:szCs w:val="32"/>
        </w:rPr>
        <w:t>1.</w:t>
      </w:r>
      <w:r>
        <w:rPr>
          <w:rFonts w:eastAsia="仿宋_GB2312"/>
          <w:sz w:val="32"/>
          <w:szCs w:val="32"/>
        </w:rPr>
        <w:t>前期准备与规划</w:t>
      </w:r>
      <w:bookmarkEnd w:id="34"/>
    </w:p>
    <w:p w14:paraId="4EF00177">
      <w:pPr>
        <w:spacing w:after="0" w:line="560" w:lineRule="exact"/>
        <w:ind w:firstLine="640" w:firstLineChars="200"/>
        <w:rPr>
          <w:rFonts w:eastAsia="仿宋_GB2312"/>
          <w:sz w:val="32"/>
          <w:szCs w:val="32"/>
        </w:rPr>
      </w:pPr>
      <w:r>
        <w:rPr>
          <w:rFonts w:eastAsia="仿宋_GB2312"/>
          <w:sz w:val="32"/>
          <w:szCs w:val="32"/>
        </w:rPr>
        <w:t>在项目绩效评价工作启动之初，成立了专门的评价工作小组，小组成员由财务专家、项目管理专业人员及相关领域技术</w:t>
      </w:r>
      <w:r>
        <w:rPr>
          <w:rFonts w:hint="eastAsia" w:eastAsia="仿宋_GB2312"/>
          <w:sz w:val="32"/>
          <w:szCs w:val="32"/>
        </w:rPr>
        <w:t>成员</w:t>
      </w:r>
      <w:r>
        <w:rPr>
          <w:rFonts w:eastAsia="仿宋_GB2312"/>
          <w:sz w:val="32"/>
          <w:szCs w:val="32"/>
        </w:rPr>
        <w:t>组成，确保从多角度、全方位对项目绩效进行评价。同时，明确了评价工作的目标、范围、重点及时间安排，制定了详细的工作计划，为评价工作的顺利开展奠定了坚实基础。</w:t>
      </w:r>
    </w:p>
    <w:p w14:paraId="0EC14A37">
      <w:pPr>
        <w:spacing w:after="0" w:line="560" w:lineRule="exact"/>
        <w:ind w:firstLine="640" w:firstLineChars="200"/>
        <w:outlineLvl w:val="2"/>
        <w:rPr>
          <w:rFonts w:eastAsia="仿宋_GB2312"/>
          <w:sz w:val="32"/>
          <w:szCs w:val="32"/>
        </w:rPr>
      </w:pPr>
      <w:bookmarkStart w:id="35" w:name="_Toc12550"/>
      <w:r>
        <w:rPr>
          <w:rFonts w:hint="eastAsia" w:eastAsia="仿宋_GB2312"/>
          <w:sz w:val="32"/>
          <w:szCs w:val="32"/>
        </w:rPr>
        <w:t>2.</w:t>
      </w:r>
      <w:r>
        <w:rPr>
          <w:rFonts w:eastAsia="仿宋_GB2312"/>
          <w:sz w:val="32"/>
          <w:szCs w:val="32"/>
        </w:rPr>
        <w:t>指标体系构建</w:t>
      </w:r>
      <w:bookmarkEnd w:id="35"/>
    </w:p>
    <w:p w14:paraId="06716CA7">
      <w:pPr>
        <w:spacing w:after="0" w:line="560" w:lineRule="exact"/>
        <w:ind w:firstLine="640" w:firstLineChars="200"/>
        <w:rPr>
          <w:rFonts w:eastAsia="仿宋_GB2312"/>
          <w:sz w:val="32"/>
          <w:szCs w:val="32"/>
        </w:rPr>
      </w:pPr>
      <w:r>
        <w:rPr>
          <w:rFonts w:eastAsia="仿宋_GB2312"/>
          <w:sz w:val="32"/>
          <w:szCs w:val="32"/>
        </w:rPr>
        <w:t>依据项目的性质、目标以及预期成果，构建了科学合理的绩效评价指标体系。该指标体系涵盖了</w:t>
      </w:r>
      <w:r>
        <w:rPr>
          <w:rFonts w:eastAsia="仿宋_GB2312"/>
          <w:color w:val="000000"/>
          <w:spacing w:val="17"/>
          <w:sz w:val="32"/>
          <w:szCs w:val="32"/>
        </w:rPr>
        <w:t>项目决策、项目过程、项目产出、项目效益四个维度</w:t>
      </w:r>
      <w:r>
        <w:rPr>
          <w:rFonts w:eastAsia="仿宋_GB2312"/>
          <w:sz w:val="32"/>
          <w:szCs w:val="32"/>
        </w:rPr>
        <w:t>，选取了具有代表性和可衡量性的关键指标，并为每个指标设定了明确的评价标准与权重，确保评价结果能够全面、准确地反映项目的绩效状况。</w:t>
      </w:r>
    </w:p>
    <w:p w14:paraId="2DCC20C0">
      <w:pPr>
        <w:spacing w:after="0" w:line="560" w:lineRule="exact"/>
        <w:ind w:firstLine="640" w:firstLineChars="200"/>
        <w:outlineLvl w:val="2"/>
        <w:rPr>
          <w:rFonts w:eastAsia="仿宋_GB2312"/>
          <w:sz w:val="32"/>
          <w:szCs w:val="32"/>
        </w:rPr>
      </w:pPr>
      <w:bookmarkStart w:id="36" w:name="_Toc7217"/>
      <w:r>
        <w:rPr>
          <w:rFonts w:hint="eastAsia" w:eastAsia="仿宋_GB2312"/>
          <w:sz w:val="32"/>
          <w:szCs w:val="32"/>
        </w:rPr>
        <w:t>3.</w:t>
      </w:r>
      <w:r>
        <w:rPr>
          <w:rFonts w:eastAsia="仿宋_GB2312"/>
          <w:sz w:val="32"/>
          <w:szCs w:val="32"/>
        </w:rPr>
        <w:t>数据收集与整理</w:t>
      </w:r>
      <w:bookmarkEnd w:id="36"/>
    </w:p>
    <w:p w14:paraId="1C5D823F">
      <w:pPr>
        <w:spacing w:after="0" w:line="560" w:lineRule="exact"/>
        <w:ind w:firstLine="640" w:firstLineChars="200"/>
        <w:rPr>
          <w:rFonts w:eastAsia="仿宋_GB2312"/>
          <w:sz w:val="32"/>
          <w:szCs w:val="32"/>
        </w:rPr>
      </w:pPr>
      <w:r>
        <w:rPr>
          <w:rFonts w:eastAsia="仿宋_GB2312"/>
          <w:sz w:val="32"/>
          <w:szCs w:val="32"/>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14:paraId="05697C4F">
      <w:pPr>
        <w:spacing w:after="0" w:line="560" w:lineRule="exact"/>
        <w:ind w:firstLine="640" w:firstLineChars="200"/>
        <w:outlineLvl w:val="2"/>
        <w:rPr>
          <w:rFonts w:eastAsia="仿宋_GB2312"/>
          <w:sz w:val="32"/>
          <w:szCs w:val="32"/>
        </w:rPr>
      </w:pPr>
      <w:bookmarkStart w:id="37" w:name="_Toc13512"/>
      <w:r>
        <w:rPr>
          <w:rFonts w:hint="eastAsia" w:eastAsia="仿宋_GB2312"/>
          <w:sz w:val="32"/>
          <w:szCs w:val="32"/>
        </w:rPr>
        <w:t>4.</w:t>
      </w:r>
      <w:r>
        <w:rPr>
          <w:rFonts w:eastAsia="仿宋_GB2312"/>
          <w:sz w:val="32"/>
          <w:szCs w:val="32"/>
        </w:rPr>
        <w:t>数据分析与评估</w:t>
      </w:r>
      <w:bookmarkEnd w:id="37"/>
    </w:p>
    <w:p w14:paraId="3CBCB6CC">
      <w:pPr>
        <w:spacing w:after="0" w:line="560" w:lineRule="exact"/>
        <w:ind w:firstLine="640" w:firstLineChars="200"/>
        <w:rPr>
          <w:rFonts w:eastAsia="仿宋_GB2312"/>
          <w:sz w:val="32"/>
          <w:szCs w:val="32"/>
        </w:rPr>
      </w:pPr>
      <w:r>
        <w:rPr>
          <w:rFonts w:eastAsia="仿宋_GB2312"/>
          <w:sz w:val="32"/>
          <w:szCs w:val="32"/>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14:paraId="145A8A75">
      <w:pPr>
        <w:spacing w:after="0" w:line="560" w:lineRule="exact"/>
        <w:ind w:firstLine="640" w:firstLineChars="200"/>
        <w:outlineLvl w:val="2"/>
        <w:rPr>
          <w:rFonts w:eastAsia="仿宋_GB2312"/>
          <w:sz w:val="32"/>
          <w:szCs w:val="32"/>
        </w:rPr>
      </w:pPr>
      <w:bookmarkStart w:id="38" w:name="_Toc26222"/>
      <w:r>
        <w:rPr>
          <w:rFonts w:hint="eastAsia" w:eastAsia="仿宋_GB2312"/>
          <w:sz w:val="32"/>
          <w:szCs w:val="32"/>
        </w:rPr>
        <w:t>5.</w:t>
      </w:r>
      <w:r>
        <w:rPr>
          <w:rFonts w:eastAsia="仿宋_GB2312"/>
          <w:sz w:val="32"/>
          <w:szCs w:val="32"/>
        </w:rPr>
        <w:t>报告撰写与反馈</w:t>
      </w:r>
      <w:bookmarkEnd w:id="38"/>
    </w:p>
    <w:p w14:paraId="07AC1E7B">
      <w:pPr>
        <w:spacing w:after="0" w:line="560" w:lineRule="exact"/>
        <w:ind w:firstLine="640" w:firstLineChars="200"/>
        <w:rPr>
          <w:rFonts w:eastAsia="仿宋_GB2312"/>
          <w:sz w:val="32"/>
          <w:szCs w:val="32"/>
        </w:rPr>
      </w:pPr>
      <w:r>
        <w:rPr>
          <w:rFonts w:eastAsia="仿宋_GB2312"/>
          <w:sz w:val="32"/>
          <w:szCs w:val="32"/>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14:paraId="1C9EBE99">
      <w:pPr>
        <w:spacing w:after="0" w:line="560" w:lineRule="exact"/>
        <w:ind w:firstLine="640" w:firstLineChars="200"/>
        <w:outlineLvl w:val="2"/>
        <w:rPr>
          <w:rFonts w:eastAsia="仿宋_GB2312"/>
          <w:sz w:val="32"/>
          <w:szCs w:val="32"/>
        </w:rPr>
      </w:pPr>
      <w:bookmarkStart w:id="39" w:name="_Toc554"/>
      <w:r>
        <w:rPr>
          <w:rFonts w:hint="eastAsia" w:eastAsia="仿宋_GB2312"/>
          <w:sz w:val="32"/>
          <w:szCs w:val="32"/>
        </w:rPr>
        <w:t>6.</w:t>
      </w:r>
      <w:r>
        <w:rPr>
          <w:rFonts w:eastAsia="仿宋_GB2312"/>
          <w:sz w:val="32"/>
          <w:szCs w:val="32"/>
        </w:rPr>
        <w:t>后续跟踪与改进</w:t>
      </w:r>
      <w:bookmarkEnd w:id="39"/>
    </w:p>
    <w:p w14:paraId="0DA7DEC0">
      <w:pPr>
        <w:spacing w:after="0" w:line="560" w:lineRule="exact"/>
        <w:ind w:firstLine="640" w:firstLineChars="200"/>
        <w:rPr>
          <w:rFonts w:eastAsia="仿宋_GB2312"/>
          <w:sz w:val="32"/>
          <w:szCs w:val="32"/>
        </w:rPr>
      </w:pPr>
      <w:r>
        <w:rPr>
          <w:rFonts w:eastAsia="仿宋_GB2312"/>
          <w:sz w:val="32"/>
          <w:szCs w:val="32"/>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C7D44A2">
      <w:pPr>
        <w:numPr>
          <w:ilvl w:val="0"/>
          <w:numId w:val="3"/>
        </w:numPr>
        <w:spacing w:after="0" w:line="560" w:lineRule="exact"/>
        <w:ind w:firstLine="640" w:firstLineChars="200"/>
        <w:outlineLvl w:val="0"/>
        <w:rPr>
          <w:rFonts w:eastAsia="黑体"/>
          <w:sz w:val="32"/>
          <w:szCs w:val="32"/>
        </w:rPr>
      </w:pPr>
      <w:bookmarkStart w:id="40" w:name="_Toc29729"/>
      <w:r>
        <w:rPr>
          <w:rFonts w:eastAsia="黑体"/>
          <w:sz w:val="32"/>
          <w:szCs w:val="32"/>
        </w:rPr>
        <w:t>综合评价情况及评价结论（附相关评分表）</w:t>
      </w:r>
      <w:bookmarkEnd w:id="40"/>
    </w:p>
    <w:p w14:paraId="4729D22D">
      <w:pPr>
        <w:pStyle w:val="13"/>
        <w:spacing w:before="0" w:after="0" w:line="560" w:lineRule="exact"/>
        <w:ind w:firstLine="643" w:firstLineChars="200"/>
        <w:jc w:val="both"/>
        <w:outlineLvl w:val="1"/>
        <w:rPr>
          <w:rFonts w:ascii="Times New Roman" w:hAnsi="Times New Roman" w:eastAsia="楷体_GB2312"/>
        </w:rPr>
      </w:pPr>
      <w:bookmarkStart w:id="41" w:name="_Toc2344"/>
      <w:r>
        <w:rPr>
          <w:rFonts w:ascii="Times New Roman" w:hAnsi="Times New Roman" w:eastAsia="楷体_GB2312"/>
        </w:rPr>
        <w:t>（一）评价情况</w:t>
      </w:r>
      <w:bookmarkEnd w:id="41"/>
    </w:p>
    <w:p w14:paraId="34C291D9">
      <w:pPr>
        <w:pStyle w:val="12"/>
        <w:widowControl/>
        <w:spacing w:beforeAutospacing="0" w:afterAutospacing="0" w:line="560" w:lineRule="exact"/>
        <w:ind w:firstLine="640" w:firstLineChars="200"/>
        <w:rPr>
          <w:rFonts w:eastAsia="仿宋_GB2312"/>
          <w:sz w:val="32"/>
          <w:szCs w:val="32"/>
        </w:rPr>
      </w:pPr>
      <w:r>
        <w:rPr>
          <w:rFonts w:eastAsia="仿宋_GB2312"/>
          <w:sz w:val="32"/>
          <w:szCs w:val="32"/>
        </w:rPr>
        <w:t>本项目围绕预设绩效目标稳步推进，整体实施成效良好。目标达成方面，核心任务均按计划落地。项目管理层面，通过规范的立项审批、科学的预算编制与严格的资金管控，保障了项目实施的合规性与高效性，管理制度健全且执行到位，未出现重大流程偏差或资金使用问题。产出成果上，项目产出数量满足计划要求，质量符合相关标准规范，产出时效与成本控制均达到预期目标，综合效益方面，整体实现了项目预期的实施价值。</w:t>
      </w:r>
    </w:p>
    <w:p w14:paraId="44A8DED3">
      <w:pPr>
        <w:pStyle w:val="13"/>
        <w:spacing w:before="0" w:after="0" w:line="560" w:lineRule="exact"/>
        <w:ind w:firstLine="643" w:firstLineChars="200"/>
        <w:jc w:val="both"/>
        <w:outlineLvl w:val="1"/>
        <w:rPr>
          <w:rFonts w:ascii="Times New Roman" w:hAnsi="Times New Roman" w:eastAsia="楷体_GB2312"/>
        </w:rPr>
      </w:pPr>
      <w:bookmarkStart w:id="42" w:name="_Toc6653"/>
      <w:r>
        <w:rPr>
          <w:rFonts w:ascii="Times New Roman" w:hAnsi="Times New Roman" w:eastAsia="楷体_GB2312"/>
        </w:rPr>
        <w:t>（二）评价结论</w:t>
      </w:r>
      <w:bookmarkEnd w:id="42"/>
    </w:p>
    <w:p w14:paraId="6BAD6118">
      <w:pPr>
        <w:pStyle w:val="13"/>
        <w:widowControl w:val="0"/>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Times New Roman" w:hAnsi="Times New Roman" w:eastAsia="仿宋_GB2312"/>
          <w:b w:val="0"/>
          <w:bCs w:val="0"/>
        </w:rPr>
        <w:t>99.8</w:t>
      </w:r>
      <w:r>
        <w:rPr>
          <w:rFonts w:ascii="Times New Roman" w:hAnsi="Times New Roman" w:eastAsia="仿宋_GB2312"/>
          <w:b w:val="0"/>
          <w:bCs w:val="0"/>
        </w:rPr>
        <w:t>分，属于“优”。其中，项目决策类指标权重为20分，得分为</w:t>
      </w:r>
      <w:r>
        <w:rPr>
          <w:rFonts w:hint="eastAsia" w:ascii="Times New Roman" w:hAnsi="Times New Roman" w:eastAsia="仿宋_GB2312"/>
          <w:b w:val="0"/>
          <w:bCs w:val="0"/>
        </w:rPr>
        <w:t>20</w:t>
      </w:r>
      <w:r>
        <w:rPr>
          <w:rFonts w:ascii="Times New Roman" w:hAnsi="Times New Roman" w:eastAsia="仿宋_GB2312"/>
          <w:b w:val="0"/>
          <w:bCs w:val="0"/>
        </w:rPr>
        <w:t>分，得分率为</w:t>
      </w:r>
      <w:r>
        <w:rPr>
          <w:rFonts w:hint="eastAsia" w:ascii="Times New Roman" w:hAnsi="Times New Roman" w:eastAsia="仿宋_GB2312"/>
          <w:b w:val="0"/>
          <w:bCs w:val="0"/>
        </w:rPr>
        <w:t>100</w:t>
      </w:r>
      <w:r>
        <w:rPr>
          <w:rFonts w:ascii="Times New Roman" w:hAnsi="Times New Roman" w:eastAsia="仿宋_GB2312"/>
          <w:b w:val="0"/>
          <w:bCs w:val="0"/>
        </w:rPr>
        <w:t>%。项目过程类指标权重为20分，得分为</w:t>
      </w:r>
      <w:r>
        <w:rPr>
          <w:rFonts w:hint="eastAsia" w:ascii="Times New Roman" w:hAnsi="Times New Roman" w:eastAsia="仿宋_GB2312"/>
          <w:b w:val="0"/>
          <w:bCs w:val="0"/>
        </w:rPr>
        <w:t>19.9</w:t>
      </w:r>
      <w:r>
        <w:rPr>
          <w:rFonts w:ascii="Times New Roman" w:hAnsi="Times New Roman" w:eastAsia="仿宋_GB2312"/>
          <w:b w:val="0"/>
          <w:bCs w:val="0"/>
        </w:rPr>
        <w:t>分，得分率为</w:t>
      </w:r>
      <w:bookmarkStart w:id="43" w:name="OLE_LINK13"/>
      <w:r>
        <w:rPr>
          <w:rFonts w:hint="eastAsia" w:ascii="Times New Roman" w:hAnsi="Times New Roman" w:eastAsia="仿宋_GB2312"/>
          <w:b w:val="0"/>
          <w:bCs w:val="0"/>
        </w:rPr>
        <w:t>99.5</w:t>
      </w:r>
      <w:bookmarkEnd w:id="43"/>
      <w:r>
        <w:rPr>
          <w:rFonts w:ascii="Times New Roman" w:hAnsi="Times New Roman" w:eastAsia="仿宋_GB2312"/>
          <w:b w:val="0"/>
          <w:bCs w:val="0"/>
        </w:rPr>
        <w:t>%。项目产出类指标权重为40分，得分为</w:t>
      </w:r>
      <w:r>
        <w:rPr>
          <w:rFonts w:hint="eastAsia" w:ascii="Times New Roman" w:hAnsi="Times New Roman" w:eastAsia="仿宋_GB2312"/>
          <w:b w:val="0"/>
          <w:bCs w:val="0"/>
        </w:rPr>
        <w:t>40</w:t>
      </w:r>
      <w:r>
        <w:rPr>
          <w:rFonts w:ascii="Times New Roman" w:hAnsi="Times New Roman" w:eastAsia="仿宋_GB2312"/>
          <w:b w:val="0"/>
          <w:bCs w:val="0"/>
        </w:rPr>
        <w:t>分，得分率为</w:t>
      </w:r>
      <w:r>
        <w:rPr>
          <w:rFonts w:hint="eastAsia" w:ascii="Times New Roman" w:hAnsi="Times New Roman" w:eastAsia="仿宋_GB2312"/>
          <w:b w:val="0"/>
          <w:bCs w:val="0"/>
        </w:rPr>
        <w:t>100</w:t>
      </w:r>
      <w:r>
        <w:rPr>
          <w:rFonts w:ascii="Times New Roman" w:hAnsi="Times New Roman" w:eastAsia="仿宋_GB2312"/>
          <w:b w:val="0"/>
          <w:bCs w:val="0"/>
        </w:rPr>
        <w:t>%。项目效益类指标权重为20分，得分为</w:t>
      </w:r>
      <w:r>
        <w:rPr>
          <w:rFonts w:hint="eastAsia" w:ascii="Times New Roman" w:hAnsi="Times New Roman" w:eastAsia="仿宋_GB2312"/>
          <w:b w:val="0"/>
          <w:bCs w:val="0"/>
        </w:rPr>
        <w:t>19.9</w:t>
      </w:r>
      <w:r>
        <w:rPr>
          <w:rFonts w:ascii="Times New Roman" w:hAnsi="Times New Roman" w:eastAsia="仿宋_GB2312"/>
          <w:b w:val="0"/>
          <w:bCs w:val="0"/>
        </w:rPr>
        <w:t>分，得分率为</w:t>
      </w:r>
      <w:r>
        <w:rPr>
          <w:rFonts w:hint="eastAsia" w:ascii="Times New Roman" w:hAnsi="Times New Roman" w:eastAsia="仿宋_GB2312"/>
          <w:b w:val="0"/>
          <w:bCs w:val="0"/>
        </w:rPr>
        <w:t>99.5</w:t>
      </w:r>
      <w:r>
        <w:rPr>
          <w:rFonts w:ascii="Times New Roman" w:hAnsi="Times New Roman" w:eastAsia="仿宋_GB2312"/>
          <w:b w:val="0"/>
          <w:bCs w:val="0"/>
        </w:rPr>
        <w:t>%。具体打分情况详见</w:t>
      </w:r>
      <w:r>
        <w:rPr>
          <w:rFonts w:hint="eastAsia" w:ascii="Times New Roman" w:hAnsi="Times New Roman" w:eastAsia="仿宋_GB2312"/>
          <w:b w:val="0"/>
          <w:bCs w:val="0"/>
        </w:rPr>
        <w:t>下</w:t>
      </w:r>
      <w:r>
        <w:rPr>
          <w:rFonts w:ascii="Times New Roman" w:hAnsi="Times New Roman" w:eastAsia="仿宋_GB2312"/>
          <w:b w:val="0"/>
          <w:bCs w:val="0"/>
        </w:rPr>
        <w:t>表。</w:t>
      </w:r>
    </w:p>
    <w:p w14:paraId="29527258">
      <w:pPr>
        <w:spacing w:after="0" w:line="560" w:lineRule="exact"/>
        <w:jc w:val="center"/>
      </w:pPr>
      <w:r>
        <w:rPr>
          <w:rFonts w:eastAsia="仿宋_GB2312"/>
          <w:szCs w:val="21"/>
        </w:rPr>
        <w:t>表1综合评分表</w:t>
      </w:r>
    </w:p>
    <w:tbl>
      <w:tblPr>
        <w:tblStyle w:val="16"/>
        <w:tblW w:w="7672" w:type="dxa"/>
        <w:jc w:val="center"/>
        <w:tblLayout w:type="fixed"/>
        <w:tblCellMar>
          <w:top w:w="0" w:type="dxa"/>
          <w:left w:w="108" w:type="dxa"/>
          <w:bottom w:w="0" w:type="dxa"/>
          <w:right w:w="108" w:type="dxa"/>
        </w:tblCellMar>
      </w:tblPr>
      <w:tblGrid>
        <w:gridCol w:w="3174"/>
        <w:gridCol w:w="2193"/>
        <w:gridCol w:w="2305"/>
      </w:tblGrid>
      <w:tr w14:paraId="1C7B862A">
        <w:tblPrEx>
          <w:tblCellMar>
            <w:top w:w="0" w:type="dxa"/>
            <w:left w:w="108" w:type="dxa"/>
            <w:bottom w:w="0" w:type="dxa"/>
            <w:right w:w="108" w:type="dxa"/>
          </w:tblCellMar>
        </w:tblPrEx>
        <w:trPr>
          <w:trHeight w:val="63" w:hRule="atLeast"/>
          <w:tblHeader/>
          <w:jc w:val="center"/>
        </w:trPr>
        <w:tc>
          <w:tcPr>
            <w:tcW w:w="3174"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3959FC93">
            <w:pPr>
              <w:spacing w:after="0" w:line="560" w:lineRule="exact"/>
              <w:jc w:val="center"/>
              <w:rPr>
                <w:rFonts w:eastAsia="仿宋_GB2312"/>
                <w:b/>
                <w:bCs/>
                <w:color w:val="000000"/>
                <w:szCs w:val="21"/>
              </w:rPr>
            </w:pPr>
            <w:r>
              <w:rPr>
                <w:rFonts w:eastAsia="仿宋_GB2312"/>
                <w:b/>
                <w:bCs/>
                <w:color w:val="000000"/>
                <w:szCs w:val="21"/>
              </w:rPr>
              <w:t>一级指标</w:t>
            </w:r>
          </w:p>
        </w:tc>
        <w:tc>
          <w:tcPr>
            <w:tcW w:w="2193"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4E5E60E9">
            <w:pPr>
              <w:spacing w:after="0" w:line="560" w:lineRule="exact"/>
              <w:jc w:val="center"/>
              <w:rPr>
                <w:rFonts w:eastAsia="仿宋_GB2312"/>
                <w:b/>
                <w:bCs/>
                <w:color w:val="000000"/>
                <w:szCs w:val="21"/>
              </w:rPr>
            </w:pPr>
            <w:r>
              <w:rPr>
                <w:rFonts w:eastAsia="仿宋_GB2312"/>
                <w:b/>
                <w:bCs/>
                <w:color w:val="000000"/>
                <w:szCs w:val="21"/>
              </w:rPr>
              <w:t>权重分</w:t>
            </w:r>
          </w:p>
        </w:tc>
        <w:tc>
          <w:tcPr>
            <w:tcW w:w="2305"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09C93730">
            <w:pPr>
              <w:spacing w:after="0" w:line="560" w:lineRule="exact"/>
              <w:jc w:val="center"/>
              <w:rPr>
                <w:rFonts w:eastAsia="仿宋_GB2312"/>
                <w:b/>
                <w:bCs/>
                <w:color w:val="000000"/>
                <w:szCs w:val="21"/>
              </w:rPr>
            </w:pPr>
            <w:r>
              <w:rPr>
                <w:rFonts w:eastAsia="仿宋_GB2312"/>
                <w:b/>
                <w:bCs/>
                <w:color w:val="000000"/>
                <w:szCs w:val="21"/>
              </w:rPr>
              <w:t>得分</w:t>
            </w:r>
          </w:p>
        </w:tc>
      </w:tr>
      <w:tr w14:paraId="3E380B88">
        <w:tblPrEx>
          <w:tblCellMar>
            <w:top w:w="0" w:type="dxa"/>
            <w:left w:w="108" w:type="dxa"/>
            <w:bottom w:w="0" w:type="dxa"/>
            <w:right w:w="108" w:type="dxa"/>
          </w:tblCellMar>
        </w:tblPrEx>
        <w:trPr>
          <w:trHeight w:val="241" w:hRule="atLeast"/>
          <w:jc w:val="center"/>
        </w:trPr>
        <w:tc>
          <w:tcPr>
            <w:tcW w:w="3174" w:type="dxa"/>
            <w:tcBorders>
              <w:top w:val="nil"/>
              <w:left w:val="single" w:color="auto" w:sz="4" w:space="0"/>
              <w:bottom w:val="single" w:color="auto" w:sz="4" w:space="0"/>
              <w:right w:val="single" w:color="auto" w:sz="4" w:space="0"/>
            </w:tcBorders>
            <w:vAlign w:val="center"/>
          </w:tcPr>
          <w:p w14:paraId="57F84E1D">
            <w:pPr>
              <w:spacing w:after="0" w:line="560" w:lineRule="exact"/>
              <w:jc w:val="center"/>
              <w:rPr>
                <w:rFonts w:eastAsia="仿宋_GB2312"/>
                <w:color w:val="000000"/>
                <w:szCs w:val="21"/>
              </w:rPr>
            </w:pPr>
            <w:r>
              <w:rPr>
                <w:rFonts w:eastAsia="仿宋_GB2312"/>
                <w:color w:val="000000"/>
                <w:szCs w:val="21"/>
              </w:rPr>
              <w:t>项目决策</w:t>
            </w:r>
          </w:p>
        </w:tc>
        <w:tc>
          <w:tcPr>
            <w:tcW w:w="2193" w:type="dxa"/>
            <w:tcBorders>
              <w:top w:val="nil"/>
              <w:left w:val="nil"/>
              <w:bottom w:val="single" w:color="auto" w:sz="4" w:space="0"/>
              <w:right w:val="single" w:color="auto" w:sz="4" w:space="0"/>
            </w:tcBorders>
            <w:vAlign w:val="center"/>
          </w:tcPr>
          <w:p w14:paraId="06AC5446">
            <w:pPr>
              <w:spacing w:after="0" w:line="560" w:lineRule="exact"/>
              <w:jc w:val="center"/>
              <w:rPr>
                <w:rFonts w:eastAsia="仿宋_GB2312"/>
                <w:color w:val="000000"/>
                <w:szCs w:val="21"/>
              </w:rPr>
            </w:pPr>
            <w:r>
              <w:rPr>
                <w:rFonts w:eastAsia="仿宋_GB2312"/>
                <w:color w:val="000000"/>
                <w:szCs w:val="21"/>
              </w:rPr>
              <w:t>20</w:t>
            </w:r>
          </w:p>
        </w:tc>
        <w:tc>
          <w:tcPr>
            <w:tcW w:w="2305" w:type="dxa"/>
            <w:tcBorders>
              <w:top w:val="nil"/>
              <w:left w:val="nil"/>
              <w:bottom w:val="single" w:color="auto" w:sz="4" w:space="0"/>
              <w:right w:val="single" w:color="auto" w:sz="4" w:space="0"/>
            </w:tcBorders>
            <w:vAlign w:val="center"/>
          </w:tcPr>
          <w:p w14:paraId="2D7E97E5">
            <w:pPr>
              <w:spacing w:after="0" w:line="560" w:lineRule="exact"/>
              <w:jc w:val="center"/>
              <w:rPr>
                <w:rFonts w:eastAsia="仿宋_GB2312"/>
                <w:color w:val="000000"/>
                <w:szCs w:val="21"/>
              </w:rPr>
            </w:pPr>
            <w:r>
              <w:rPr>
                <w:rFonts w:hint="eastAsia" w:eastAsia="仿宋_GB2312"/>
                <w:color w:val="000000"/>
                <w:szCs w:val="21"/>
              </w:rPr>
              <w:t>20</w:t>
            </w:r>
          </w:p>
        </w:tc>
      </w:tr>
      <w:tr w14:paraId="6A6D2086">
        <w:tblPrEx>
          <w:tblCellMar>
            <w:top w:w="0" w:type="dxa"/>
            <w:left w:w="108" w:type="dxa"/>
            <w:bottom w:w="0" w:type="dxa"/>
            <w:right w:w="108" w:type="dxa"/>
          </w:tblCellMar>
        </w:tblPrEx>
        <w:trPr>
          <w:trHeight w:val="241" w:hRule="atLeast"/>
          <w:jc w:val="center"/>
        </w:trPr>
        <w:tc>
          <w:tcPr>
            <w:tcW w:w="3174" w:type="dxa"/>
            <w:tcBorders>
              <w:top w:val="nil"/>
              <w:left w:val="single" w:color="auto" w:sz="4" w:space="0"/>
              <w:bottom w:val="single" w:color="auto" w:sz="4" w:space="0"/>
              <w:right w:val="single" w:color="auto" w:sz="4" w:space="0"/>
            </w:tcBorders>
            <w:vAlign w:val="center"/>
          </w:tcPr>
          <w:p w14:paraId="7DD12539">
            <w:pPr>
              <w:spacing w:after="0" w:line="560" w:lineRule="exact"/>
              <w:jc w:val="center"/>
              <w:rPr>
                <w:rFonts w:eastAsia="仿宋_GB2312"/>
                <w:color w:val="000000"/>
                <w:szCs w:val="21"/>
              </w:rPr>
            </w:pPr>
            <w:r>
              <w:rPr>
                <w:rFonts w:eastAsia="仿宋_GB2312"/>
                <w:color w:val="000000"/>
                <w:szCs w:val="21"/>
              </w:rPr>
              <w:t>项目过程</w:t>
            </w:r>
          </w:p>
        </w:tc>
        <w:tc>
          <w:tcPr>
            <w:tcW w:w="2193" w:type="dxa"/>
            <w:tcBorders>
              <w:top w:val="nil"/>
              <w:left w:val="nil"/>
              <w:bottom w:val="single" w:color="auto" w:sz="4" w:space="0"/>
              <w:right w:val="single" w:color="auto" w:sz="4" w:space="0"/>
            </w:tcBorders>
            <w:vAlign w:val="center"/>
          </w:tcPr>
          <w:p w14:paraId="6A03C522">
            <w:pPr>
              <w:spacing w:after="0" w:line="560" w:lineRule="exact"/>
              <w:jc w:val="center"/>
              <w:rPr>
                <w:rFonts w:eastAsia="仿宋_GB2312"/>
                <w:color w:val="000000"/>
                <w:szCs w:val="21"/>
              </w:rPr>
            </w:pPr>
            <w:r>
              <w:rPr>
                <w:rFonts w:eastAsia="仿宋_GB2312"/>
                <w:color w:val="000000"/>
                <w:szCs w:val="21"/>
              </w:rPr>
              <w:t>20</w:t>
            </w:r>
          </w:p>
        </w:tc>
        <w:tc>
          <w:tcPr>
            <w:tcW w:w="2305" w:type="dxa"/>
            <w:tcBorders>
              <w:top w:val="nil"/>
              <w:left w:val="nil"/>
              <w:bottom w:val="single" w:color="auto" w:sz="4" w:space="0"/>
              <w:right w:val="single" w:color="auto" w:sz="4" w:space="0"/>
            </w:tcBorders>
            <w:vAlign w:val="center"/>
          </w:tcPr>
          <w:p w14:paraId="0A9AA0E6">
            <w:pPr>
              <w:spacing w:after="0" w:line="560" w:lineRule="exact"/>
              <w:jc w:val="center"/>
              <w:rPr>
                <w:rFonts w:eastAsia="仿宋_GB2312"/>
                <w:color w:val="000000"/>
                <w:szCs w:val="21"/>
              </w:rPr>
            </w:pPr>
            <w:r>
              <w:rPr>
                <w:rFonts w:hint="eastAsia" w:eastAsia="仿宋_GB2312"/>
                <w:color w:val="000000"/>
                <w:szCs w:val="21"/>
              </w:rPr>
              <w:t>19.9</w:t>
            </w:r>
          </w:p>
        </w:tc>
      </w:tr>
      <w:tr w14:paraId="083D1809">
        <w:tblPrEx>
          <w:tblCellMar>
            <w:top w:w="0" w:type="dxa"/>
            <w:left w:w="108" w:type="dxa"/>
            <w:bottom w:w="0" w:type="dxa"/>
            <w:right w:w="108" w:type="dxa"/>
          </w:tblCellMar>
        </w:tblPrEx>
        <w:trPr>
          <w:trHeight w:val="241" w:hRule="atLeast"/>
          <w:jc w:val="center"/>
        </w:trPr>
        <w:tc>
          <w:tcPr>
            <w:tcW w:w="3174" w:type="dxa"/>
            <w:tcBorders>
              <w:top w:val="nil"/>
              <w:left w:val="single" w:color="auto" w:sz="4" w:space="0"/>
              <w:bottom w:val="single" w:color="auto" w:sz="4" w:space="0"/>
              <w:right w:val="single" w:color="auto" w:sz="4" w:space="0"/>
            </w:tcBorders>
            <w:vAlign w:val="center"/>
          </w:tcPr>
          <w:p w14:paraId="71D96A49">
            <w:pPr>
              <w:spacing w:after="0" w:line="560" w:lineRule="exact"/>
              <w:jc w:val="center"/>
              <w:rPr>
                <w:rFonts w:eastAsia="仿宋_GB2312"/>
                <w:color w:val="000000"/>
                <w:szCs w:val="21"/>
              </w:rPr>
            </w:pPr>
            <w:r>
              <w:rPr>
                <w:rFonts w:eastAsia="仿宋_GB2312"/>
                <w:color w:val="000000"/>
                <w:szCs w:val="21"/>
              </w:rPr>
              <w:t>项目产出</w:t>
            </w:r>
          </w:p>
        </w:tc>
        <w:tc>
          <w:tcPr>
            <w:tcW w:w="2193" w:type="dxa"/>
            <w:tcBorders>
              <w:top w:val="nil"/>
              <w:left w:val="nil"/>
              <w:bottom w:val="single" w:color="auto" w:sz="4" w:space="0"/>
              <w:right w:val="single" w:color="auto" w:sz="4" w:space="0"/>
            </w:tcBorders>
            <w:vAlign w:val="center"/>
          </w:tcPr>
          <w:p w14:paraId="595C3766">
            <w:pPr>
              <w:spacing w:after="0" w:line="560" w:lineRule="exact"/>
              <w:jc w:val="center"/>
              <w:rPr>
                <w:rFonts w:eastAsia="仿宋_GB2312"/>
                <w:color w:val="000000"/>
                <w:szCs w:val="21"/>
              </w:rPr>
            </w:pPr>
            <w:r>
              <w:rPr>
                <w:rFonts w:eastAsia="仿宋_GB2312"/>
                <w:color w:val="000000"/>
                <w:szCs w:val="21"/>
              </w:rPr>
              <w:t>40</w:t>
            </w:r>
          </w:p>
        </w:tc>
        <w:tc>
          <w:tcPr>
            <w:tcW w:w="2305" w:type="dxa"/>
            <w:tcBorders>
              <w:top w:val="nil"/>
              <w:left w:val="nil"/>
              <w:bottom w:val="single" w:color="auto" w:sz="4" w:space="0"/>
              <w:right w:val="single" w:color="auto" w:sz="4" w:space="0"/>
            </w:tcBorders>
            <w:vAlign w:val="center"/>
          </w:tcPr>
          <w:p w14:paraId="6F2AE6FF">
            <w:pPr>
              <w:spacing w:after="0" w:line="560" w:lineRule="exact"/>
              <w:jc w:val="center"/>
              <w:rPr>
                <w:rFonts w:eastAsia="仿宋_GB2312"/>
                <w:color w:val="000000"/>
                <w:szCs w:val="21"/>
              </w:rPr>
            </w:pPr>
            <w:r>
              <w:rPr>
                <w:rFonts w:hint="eastAsia" w:eastAsia="仿宋_GB2312"/>
                <w:color w:val="000000"/>
                <w:szCs w:val="21"/>
              </w:rPr>
              <w:t>40</w:t>
            </w:r>
          </w:p>
        </w:tc>
      </w:tr>
      <w:tr w14:paraId="17468A90">
        <w:tblPrEx>
          <w:tblCellMar>
            <w:top w:w="0" w:type="dxa"/>
            <w:left w:w="108" w:type="dxa"/>
            <w:bottom w:w="0" w:type="dxa"/>
            <w:right w:w="108" w:type="dxa"/>
          </w:tblCellMar>
        </w:tblPrEx>
        <w:trPr>
          <w:trHeight w:val="241" w:hRule="atLeast"/>
          <w:jc w:val="center"/>
        </w:trPr>
        <w:tc>
          <w:tcPr>
            <w:tcW w:w="3174" w:type="dxa"/>
            <w:tcBorders>
              <w:top w:val="nil"/>
              <w:left w:val="single" w:color="auto" w:sz="4" w:space="0"/>
              <w:bottom w:val="single" w:color="auto" w:sz="4" w:space="0"/>
              <w:right w:val="single" w:color="auto" w:sz="4" w:space="0"/>
            </w:tcBorders>
            <w:vAlign w:val="center"/>
          </w:tcPr>
          <w:p w14:paraId="7AD5059B">
            <w:pPr>
              <w:spacing w:after="0" w:line="560" w:lineRule="exact"/>
              <w:jc w:val="center"/>
              <w:rPr>
                <w:rFonts w:eastAsia="仿宋_GB2312"/>
                <w:color w:val="000000"/>
                <w:szCs w:val="21"/>
              </w:rPr>
            </w:pPr>
            <w:r>
              <w:rPr>
                <w:rFonts w:eastAsia="仿宋_GB2312"/>
                <w:color w:val="000000"/>
                <w:szCs w:val="21"/>
              </w:rPr>
              <w:t>项目效益</w:t>
            </w:r>
          </w:p>
        </w:tc>
        <w:tc>
          <w:tcPr>
            <w:tcW w:w="2193" w:type="dxa"/>
            <w:tcBorders>
              <w:top w:val="nil"/>
              <w:left w:val="nil"/>
              <w:bottom w:val="single" w:color="auto" w:sz="4" w:space="0"/>
              <w:right w:val="single" w:color="auto" w:sz="4" w:space="0"/>
            </w:tcBorders>
            <w:vAlign w:val="center"/>
          </w:tcPr>
          <w:p w14:paraId="3A88B9A3">
            <w:pPr>
              <w:spacing w:after="0" w:line="560" w:lineRule="exact"/>
              <w:jc w:val="center"/>
              <w:rPr>
                <w:rFonts w:eastAsia="仿宋_GB2312"/>
                <w:color w:val="000000"/>
                <w:szCs w:val="21"/>
              </w:rPr>
            </w:pPr>
            <w:r>
              <w:rPr>
                <w:rFonts w:eastAsia="仿宋_GB2312"/>
                <w:color w:val="000000"/>
                <w:szCs w:val="21"/>
              </w:rPr>
              <w:t>20</w:t>
            </w:r>
          </w:p>
        </w:tc>
        <w:tc>
          <w:tcPr>
            <w:tcW w:w="2305" w:type="dxa"/>
            <w:tcBorders>
              <w:top w:val="nil"/>
              <w:left w:val="nil"/>
              <w:bottom w:val="single" w:color="auto" w:sz="4" w:space="0"/>
              <w:right w:val="single" w:color="auto" w:sz="4" w:space="0"/>
            </w:tcBorders>
            <w:vAlign w:val="center"/>
          </w:tcPr>
          <w:p w14:paraId="0C45EFFF">
            <w:pPr>
              <w:spacing w:after="0" w:line="560" w:lineRule="exact"/>
              <w:jc w:val="center"/>
              <w:rPr>
                <w:rFonts w:eastAsia="仿宋_GB2312"/>
                <w:color w:val="000000"/>
                <w:szCs w:val="21"/>
              </w:rPr>
            </w:pPr>
            <w:r>
              <w:rPr>
                <w:rFonts w:hint="eastAsia" w:eastAsia="仿宋_GB2312"/>
                <w:color w:val="000000"/>
                <w:szCs w:val="21"/>
              </w:rPr>
              <w:t>19.9</w:t>
            </w:r>
          </w:p>
        </w:tc>
      </w:tr>
      <w:tr w14:paraId="52E25F65">
        <w:tblPrEx>
          <w:tblCellMar>
            <w:top w:w="0" w:type="dxa"/>
            <w:left w:w="108" w:type="dxa"/>
            <w:bottom w:w="0" w:type="dxa"/>
            <w:right w:w="108" w:type="dxa"/>
          </w:tblCellMar>
        </w:tblPrEx>
        <w:trPr>
          <w:trHeight w:val="241" w:hRule="atLeast"/>
          <w:jc w:val="center"/>
        </w:trPr>
        <w:tc>
          <w:tcPr>
            <w:tcW w:w="3174" w:type="dxa"/>
            <w:tcBorders>
              <w:top w:val="nil"/>
              <w:left w:val="single" w:color="auto" w:sz="4" w:space="0"/>
              <w:bottom w:val="single" w:color="auto" w:sz="4" w:space="0"/>
              <w:right w:val="single" w:color="auto" w:sz="4" w:space="0"/>
            </w:tcBorders>
            <w:vAlign w:val="center"/>
          </w:tcPr>
          <w:p w14:paraId="0606B755">
            <w:pPr>
              <w:spacing w:after="0" w:line="560" w:lineRule="exact"/>
              <w:jc w:val="center"/>
              <w:rPr>
                <w:rFonts w:eastAsia="仿宋_GB2312"/>
                <w:b/>
                <w:bCs/>
                <w:color w:val="000000"/>
                <w:szCs w:val="21"/>
              </w:rPr>
            </w:pPr>
            <w:r>
              <w:rPr>
                <w:rFonts w:eastAsia="仿宋_GB2312"/>
                <w:b/>
                <w:bCs/>
                <w:color w:val="000000"/>
                <w:szCs w:val="21"/>
              </w:rPr>
              <w:t>合计</w:t>
            </w:r>
          </w:p>
        </w:tc>
        <w:tc>
          <w:tcPr>
            <w:tcW w:w="2193" w:type="dxa"/>
            <w:tcBorders>
              <w:top w:val="nil"/>
              <w:left w:val="nil"/>
              <w:bottom w:val="single" w:color="auto" w:sz="4" w:space="0"/>
              <w:right w:val="single" w:color="auto" w:sz="4" w:space="0"/>
            </w:tcBorders>
            <w:vAlign w:val="center"/>
          </w:tcPr>
          <w:p w14:paraId="57A07021">
            <w:pPr>
              <w:spacing w:after="0" w:line="560" w:lineRule="exact"/>
              <w:jc w:val="center"/>
              <w:rPr>
                <w:rFonts w:eastAsia="仿宋_GB2312"/>
                <w:b/>
                <w:bCs/>
                <w:color w:val="000000"/>
                <w:szCs w:val="21"/>
              </w:rPr>
            </w:pPr>
            <w:r>
              <w:rPr>
                <w:rFonts w:eastAsia="仿宋_GB2312"/>
                <w:b/>
                <w:bCs/>
                <w:color w:val="000000"/>
                <w:szCs w:val="21"/>
              </w:rPr>
              <w:t>100</w:t>
            </w:r>
          </w:p>
        </w:tc>
        <w:tc>
          <w:tcPr>
            <w:tcW w:w="2305" w:type="dxa"/>
            <w:tcBorders>
              <w:top w:val="nil"/>
              <w:left w:val="nil"/>
              <w:bottom w:val="single" w:color="auto" w:sz="4" w:space="0"/>
              <w:right w:val="single" w:color="auto" w:sz="4" w:space="0"/>
            </w:tcBorders>
            <w:vAlign w:val="center"/>
          </w:tcPr>
          <w:p w14:paraId="25E1BAA4">
            <w:pPr>
              <w:spacing w:after="0" w:line="560" w:lineRule="exact"/>
              <w:jc w:val="center"/>
              <w:rPr>
                <w:rFonts w:eastAsia="仿宋_GB2312"/>
                <w:b/>
                <w:bCs/>
                <w:color w:val="000000"/>
                <w:szCs w:val="21"/>
              </w:rPr>
            </w:pPr>
            <w:r>
              <w:rPr>
                <w:rFonts w:hint="eastAsia" w:eastAsia="仿宋_GB2312"/>
                <w:b/>
                <w:bCs/>
                <w:color w:val="000000"/>
                <w:szCs w:val="21"/>
              </w:rPr>
              <w:t>99.8</w:t>
            </w:r>
          </w:p>
        </w:tc>
      </w:tr>
    </w:tbl>
    <w:p w14:paraId="1079792C">
      <w:pPr>
        <w:pStyle w:val="2"/>
        <w:spacing w:after="0" w:line="560" w:lineRule="exact"/>
      </w:pPr>
    </w:p>
    <w:p w14:paraId="21D2F980">
      <w:pPr>
        <w:spacing w:after="0" w:line="560" w:lineRule="exact"/>
        <w:ind w:firstLine="640" w:firstLineChars="200"/>
        <w:outlineLvl w:val="0"/>
        <w:rPr>
          <w:rFonts w:eastAsia="黑体"/>
          <w:sz w:val="32"/>
          <w:szCs w:val="32"/>
        </w:rPr>
      </w:pPr>
      <w:bookmarkStart w:id="44" w:name="_Toc1453"/>
      <w:r>
        <w:rPr>
          <w:rFonts w:eastAsia="黑体"/>
          <w:sz w:val="32"/>
          <w:szCs w:val="32"/>
        </w:rPr>
        <w:t>四、绩效评价指标分析</w:t>
      </w:r>
      <w:bookmarkEnd w:id="44"/>
    </w:p>
    <w:p w14:paraId="5D731B20">
      <w:pPr>
        <w:pStyle w:val="13"/>
        <w:spacing w:before="0" w:after="0" w:line="560" w:lineRule="exact"/>
        <w:ind w:firstLine="643" w:firstLineChars="200"/>
        <w:jc w:val="both"/>
        <w:outlineLvl w:val="1"/>
        <w:rPr>
          <w:rFonts w:ascii="Times New Roman" w:hAnsi="Times New Roman" w:eastAsia="楷体_GB2312"/>
        </w:rPr>
      </w:pPr>
      <w:bookmarkStart w:id="45" w:name="_Toc32318"/>
      <w:r>
        <w:rPr>
          <w:rFonts w:ascii="Times New Roman" w:hAnsi="Times New Roman" w:eastAsia="楷体_GB2312"/>
        </w:rPr>
        <w:t>（一）项目决策情况</w:t>
      </w:r>
      <w:bookmarkEnd w:id="45"/>
    </w:p>
    <w:p w14:paraId="5B231E3D">
      <w:pPr>
        <w:spacing w:after="0" w:line="560" w:lineRule="exact"/>
        <w:ind w:firstLine="640" w:firstLineChars="200"/>
        <w:rPr>
          <w:rFonts w:eastAsia="仿宋_GB2312"/>
          <w:sz w:val="32"/>
          <w:szCs w:val="32"/>
        </w:rPr>
      </w:pPr>
      <w:r>
        <w:rPr>
          <w:rFonts w:eastAsia="仿宋_GB2312"/>
          <w:sz w:val="32"/>
          <w:szCs w:val="32"/>
        </w:rPr>
        <w:t>项目决策类指标包括项目立项、绩效目标和资金投入三方面的内容，由6个三级指标构成，权重分值为20分，实际得分</w:t>
      </w:r>
      <w:r>
        <w:rPr>
          <w:rFonts w:hint="eastAsia" w:eastAsia="仿宋_GB2312"/>
          <w:sz w:val="32"/>
          <w:szCs w:val="32"/>
        </w:rPr>
        <w:t>20</w:t>
      </w:r>
      <w:r>
        <w:rPr>
          <w:rFonts w:eastAsia="仿宋_GB2312"/>
          <w:sz w:val="32"/>
          <w:szCs w:val="32"/>
        </w:rPr>
        <w:t>分，得分率为</w:t>
      </w:r>
      <w:r>
        <w:rPr>
          <w:rFonts w:hint="eastAsia" w:eastAsia="仿宋_GB2312"/>
          <w:sz w:val="32"/>
          <w:szCs w:val="32"/>
        </w:rPr>
        <w:t>100</w:t>
      </w:r>
      <w:r>
        <w:rPr>
          <w:rFonts w:eastAsia="仿宋_GB2312"/>
          <w:sz w:val="32"/>
          <w:szCs w:val="32"/>
        </w:rPr>
        <w:t>%。</w:t>
      </w:r>
    </w:p>
    <w:p w14:paraId="54D6C5BF">
      <w:pPr>
        <w:pStyle w:val="24"/>
        <w:spacing w:after="0" w:line="560" w:lineRule="exact"/>
        <w:ind w:firstLine="640"/>
        <w:outlineLvl w:val="2"/>
        <w:rPr>
          <w:rFonts w:eastAsia="仿宋_GB2312"/>
          <w:b/>
          <w:bCs/>
          <w:sz w:val="32"/>
          <w:szCs w:val="32"/>
        </w:rPr>
      </w:pPr>
      <w:bookmarkStart w:id="46" w:name="_Toc24345"/>
      <w:r>
        <w:rPr>
          <w:rFonts w:eastAsia="仿宋_GB2312"/>
          <w:b/>
          <w:bCs/>
          <w:sz w:val="32"/>
          <w:szCs w:val="32"/>
        </w:rPr>
        <w:t>1.项目立项</w:t>
      </w:r>
      <w:bookmarkEnd w:id="46"/>
    </w:p>
    <w:p w14:paraId="078363F7">
      <w:pPr>
        <w:spacing w:after="0" w:line="560" w:lineRule="exact"/>
        <w:ind w:firstLine="640" w:firstLineChars="200"/>
        <w:outlineLvl w:val="3"/>
        <w:rPr>
          <w:rFonts w:eastAsia="仿宋_GB2312"/>
          <w:sz w:val="32"/>
          <w:szCs w:val="32"/>
        </w:rPr>
      </w:pPr>
      <w:bookmarkStart w:id="47" w:name="_Toc9358"/>
      <w:r>
        <w:rPr>
          <w:rFonts w:eastAsia="仿宋_GB2312"/>
          <w:sz w:val="32"/>
          <w:szCs w:val="32"/>
        </w:rPr>
        <w:t>（1）立项依据充分性</w:t>
      </w:r>
      <w:bookmarkEnd w:id="47"/>
    </w:p>
    <w:p w14:paraId="26E9D76A">
      <w:pPr>
        <w:spacing w:after="0" w:line="560" w:lineRule="exact"/>
        <w:ind w:firstLine="640" w:firstLineChars="200"/>
        <w:rPr>
          <w:rFonts w:eastAsia="仿宋_GB2312"/>
          <w:sz w:val="32"/>
          <w:szCs w:val="32"/>
        </w:rPr>
      </w:pPr>
      <w:r>
        <w:rPr>
          <w:rFonts w:eastAsia="仿宋_GB2312"/>
          <w:sz w:val="32"/>
          <w:szCs w:val="32"/>
        </w:rPr>
        <w:t>该项目立项符合国家相关法律法规及发展政策，符合行业规划要求，围绕本年度工作重点和工作计划制定经费预算，属于公共财政支持范围。项目实施前已梳理部门内部及跨部门同类项目，明确本项目的差异化定位，无重复立项情况；部门发展规划、职能文件、政策依据等资料齐全并规范归档，完全满足评分标准中“立项符合政策、与部门职责匹配、无重复立项”的全部评价要点，故得满分。</w:t>
      </w:r>
    </w:p>
    <w:p w14:paraId="1C943900">
      <w:pPr>
        <w:spacing w:after="0" w:line="560" w:lineRule="exact"/>
        <w:ind w:firstLine="640" w:firstLineChars="200"/>
        <w:outlineLvl w:val="3"/>
        <w:rPr>
          <w:rFonts w:eastAsia="仿宋_GB2312"/>
          <w:sz w:val="32"/>
          <w:szCs w:val="32"/>
        </w:rPr>
      </w:pPr>
      <w:bookmarkStart w:id="48" w:name="_Toc1295"/>
      <w:r>
        <w:rPr>
          <w:rFonts w:eastAsia="仿宋_GB2312"/>
          <w:sz w:val="32"/>
          <w:szCs w:val="32"/>
        </w:rPr>
        <w:t>（2）立项程序规范性</w:t>
      </w:r>
      <w:bookmarkEnd w:id="48"/>
    </w:p>
    <w:p w14:paraId="7A81A4A0">
      <w:pPr>
        <w:spacing w:after="0" w:line="560" w:lineRule="exact"/>
        <w:ind w:firstLine="640" w:firstLineChars="200"/>
        <w:rPr>
          <w:rFonts w:eastAsia="仿宋_GB2312"/>
          <w:sz w:val="32"/>
          <w:szCs w:val="32"/>
        </w:rPr>
      </w:pPr>
      <w:r>
        <w:rPr>
          <w:rFonts w:eastAsia="仿宋_GB2312"/>
          <w:sz w:val="32"/>
          <w:szCs w:val="32"/>
        </w:rPr>
        <w:t>项目申请、设立过程符合相关要求，严格按照审批流程准备符合要求的文件、材料；编制工作计划和经费预算，经过与部门项目分管领导沟通、筛选确定经费预算计划，最终通过部门集体决策会议审议确定立项，全程形成完整的审批文件、专家论证意见、会议纪要等资料，符合评分标准中“程序合规、材料齐全、经过论证与集体决策”的要求，故得满分。</w:t>
      </w:r>
    </w:p>
    <w:p w14:paraId="696DF9FD">
      <w:pPr>
        <w:pStyle w:val="24"/>
        <w:spacing w:after="0" w:line="560" w:lineRule="exact"/>
        <w:ind w:firstLine="640"/>
        <w:outlineLvl w:val="2"/>
        <w:rPr>
          <w:rFonts w:eastAsia="仿宋_GB2312"/>
          <w:b/>
          <w:bCs/>
          <w:sz w:val="32"/>
          <w:szCs w:val="32"/>
        </w:rPr>
      </w:pPr>
      <w:bookmarkStart w:id="49" w:name="_Toc22045"/>
      <w:r>
        <w:rPr>
          <w:rFonts w:eastAsia="仿宋_GB2312"/>
          <w:b/>
          <w:bCs/>
          <w:sz w:val="32"/>
          <w:szCs w:val="32"/>
        </w:rPr>
        <w:t>2.绩效目标</w:t>
      </w:r>
      <w:bookmarkEnd w:id="49"/>
    </w:p>
    <w:p w14:paraId="2887C2FA">
      <w:pPr>
        <w:spacing w:after="0" w:line="560" w:lineRule="exact"/>
        <w:ind w:firstLine="640" w:firstLineChars="200"/>
        <w:outlineLvl w:val="3"/>
        <w:rPr>
          <w:rFonts w:eastAsia="仿宋_GB2312"/>
          <w:sz w:val="32"/>
          <w:szCs w:val="32"/>
        </w:rPr>
      </w:pPr>
      <w:bookmarkStart w:id="50" w:name="_Toc15281"/>
      <w:r>
        <w:rPr>
          <w:rFonts w:eastAsia="仿宋_GB2312"/>
          <w:sz w:val="32"/>
          <w:szCs w:val="32"/>
        </w:rPr>
        <w:t>（1）绩效目标合理性</w:t>
      </w:r>
      <w:bookmarkEnd w:id="50"/>
    </w:p>
    <w:p w14:paraId="0111FA85">
      <w:pPr>
        <w:spacing w:after="0" w:line="560" w:lineRule="exact"/>
        <w:ind w:firstLine="640" w:firstLineChars="200"/>
        <w:rPr>
          <w:rFonts w:eastAsia="仿宋_GB2312"/>
          <w:sz w:val="32"/>
          <w:szCs w:val="32"/>
        </w:rPr>
      </w:pPr>
      <w:r>
        <w:rPr>
          <w:rFonts w:eastAsia="仿宋_GB2312"/>
          <w:sz w:val="32"/>
          <w:szCs w:val="32"/>
        </w:rPr>
        <w:t>本项目结合</w:t>
      </w:r>
      <w:r>
        <w:rPr>
          <w:rFonts w:hint="eastAsia" w:eastAsia="仿宋_GB2312"/>
          <w:sz w:val="32"/>
          <w:szCs w:val="32"/>
        </w:rPr>
        <w:t>：对关键技术进行研究及时对水网项目进行审查或技术讨论并出具意见</w:t>
      </w:r>
      <w:r>
        <w:rPr>
          <w:rFonts w:eastAsia="仿宋_GB2312"/>
          <w:sz w:val="32"/>
          <w:szCs w:val="32"/>
        </w:rPr>
        <w:t>、</w:t>
      </w:r>
      <w:r>
        <w:rPr>
          <w:rFonts w:hint="eastAsia" w:eastAsia="仿宋_GB2312"/>
          <w:sz w:val="32"/>
          <w:szCs w:val="32"/>
        </w:rPr>
        <w:t>对水网重点水利工程进行踏勘（调研）等</w:t>
      </w:r>
      <w:r>
        <w:rPr>
          <w:rFonts w:eastAsia="仿宋_GB2312"/>
          <w:sz w:val="32"/>
          <w:szCs w:val="32"/>
        </w:rPr>
        <w:t>实际，围绕“</w:t>
      </w:r>
      <w:r>
        <w:rPr>
          <w:rFonts w:hint="eastAsia" w:eastAsia="仿宋_GB2312"/>
          <w:sz w:val="32"/>
          <w:szCs w:val="32"/>
        </w:rPr>
        <w:t>项目</w:t>
      </w:r>
      <w:r>
        <w:rPr>
          <w:rFonts w:eastAsia="仿宋_GB2312"/>
          <w:sz w:val="32"/>
          <w:szCs w:val="32"/>
        </w:rPr>
        <w:t>总体目标”（如：推进新疆水网及地县级水网规划的“纲”“目”“结”骨干项目加快实施</w:t>
      </w:r>
      <w:r>
        <w:rPr>
          <w:rFonts w:hint="eastAsia" w:eastAsia="仿宋_GB2312"/>
          <w:sz w:val="32"/>
          <w:szCs w:val="32"/>
        </w:rPr>
        <w:t>；</w:t>
      </w:r>
      <w:r>
        <w:rPr>
          <w:rFonts w:eastAsia="仿宋_GB2312"/>
          <w:sz w:val="32"/>
          <w:szCs w:val="32"/>
        </w:rPr>
        <w:t>提高全区水资源配置能力、有效解决水资源时空分布不均</w:t>
      </w:r>
      <w:r>
        <w:rPr>
          <w:rFonts w:hint="eastAsia" w:eastAsia="仿宋_GB2312"/>
          <w:sz w:val="32"/>
          <w:szCs w:val="32"/>
        </w:rPr>
        <w:t>等</w:t>
      </w:r>
      <w:r>
        <w:rPr>
          <w:rFonts w:eastAsia="仿宋_GB2312"/>
          <w:sz w:val="32"/>
          <w:szCs w:val="32"/>
        </w:rPr>
        <w:t>问题</w:t>
      </w:r>
      <w:r>
        <w:rPr>
          <w:rFonts w:hint="eastAsia" w:eastAsia="仿宋_GB2312"/>
          <w:sz w:val="32"/>
          <w:szCs w:val="32"/>
        </w:rPr>
        <w:t>。</w:t>
      </w:r>
      <w:r>
        <w:rPr>
          <w:rFonts w:eastAsia="仿宋_GB2312"/>
          <w:sz w:val="32"/>
          <w:szCs w:val="32"/>
        </w:rPr>
        <w:t>）设定绩效目标，具体明确了</w:t>
      </w:r>
      <w:r>
        <w:rPr>
          <w:rFonts w:hint="eastAsia" w:eastAsia="仿宋_GB2312"/>
          <w:sz w:val="32"/>
          <w:szCs w:val="32"/>
        </w:rPr>
        <w:t>15项三级</w:t>
      </w:r>
      <w:r>
        <w:rPr>
          <w:rFonts w:eastAsia="仿宋_GB2312"/>
          <w:sz w:val="32"/>
          <w:szCs w:val="32"/>
        </w:rPr>
        <w:t>绩效目标的核心内容。目标设定依据充分，既参考了自治区党委、人民政府以及水利厅党组关于加快水利工程前期和建设的各项决策部署</w:t>
      </w:r>
      <w:r>
        <w:rPr>
          <w:rFonts w:hint="eastAsia" w:eastAsia="仿宋_GB2312"/>
          <w:sz w:val="32"/>
          <w:szCs w:val="32"/>
        </w:rPr>
        <w:t>；以及自治区人民政府关于新疆水略规划、新疆水网规划的批复文件。</w:t>
      </w:r>
      <w:r>
        <w:rPr>
          <w:rFonts w:eastAsia="仿宋_GB2312"/>
          <w:sz w:val="32"/>
          <w:szCs w:val="32"/>
        </w:rPr>
        <w:t>又匹配了部门年度工作重点，未超出项目实施的技术、资源、时间约束。绩效目标与项目实际工作内容高度相关</w:t>
      </w:r>
      <w:r>
        <w:rPr>
          <w:rFonts w:hint="eastAsia" w:eastAsia="仿宋_GB2312"/>
          <w:sz w:val="32"/>
          <w:szCs w:val="32"/>
        </w:rPr>
        <w:t>，通过前期论证和加强关键技术研究等，推进新疆水网及地县级水网规划的“纲”“目”“结”骨干项目加快实施；提高全区水资源配置能力、有效解决水资源时空分布不均的问题；增加全区水库调蓄库容，提升水资源调配能力和手段。</w:t>
      </w:r>
      <w:r>
        <w:rPr>
          <w:rFonts w:eastAsia="仿宋_GB2312"/>
          <w:sz w:val="32"/>
          <w:szCs w:val="32"/>
        </w:rPr>
        <w:t>且预算资金与目标投资额精准匹配</w:t>
      </w:r>
      <w:r>
        <w:rPr>
          <w:rFonts w:hint="eastAsia" w:eastAsia="仿宋_GB2312"/>
          <w:sz w:val="32"/>
          <w:szCs w:val="32"/>
        </w:rPr>
        <w:t>，</w:t>
      </w:r>
      <w:r>
        <w:rPr>
          <w:rFonts w:eastAsia="仿宋_GB2312"/>
          <w:sz w:val="32"/>
          <w:szCs w:val="32"/>
        </w:rPr>
        <w:t>对应</w:t>
      </w:r>
      <w:r>
        <w:rPr>
          <w:rFonts w:hint="eastAsia" w:eastAsia="仿宋_GB2312"/>
          <w:sz w:val="32"/>
          <w:szCs w:val="32"/>
        </w:rPr>
        <w:t>执行完成年度预算300万元，</w:t>
      </w:r>
      <w:r>
        <w:rPr>
          <w:rFonts w:eastAsia="仿宋_GB2312"/>
          <w:sz w:val="32"/>
          <w:szCs w:val="32"/>
        </w:rPr>
        <w:t>测算依据充分。完全符合评分标准中“目标有依据、与实际相关、效益符合正常业绩水平、与预算匹配”的评价要点，故得满分。</w:t>
      </w:r>
    </w:p>
    <w:p w14:paraId="72BF7CCC">
      <w:pPr>
        <w:spacing w:after="0" w:line="560" w:lineRule="exact"/>
        <w:ind w:firstLine="640" w:firstLineChars="200"/>
        <w:outlineLvl w:val="3"/>
        <w:rPr>
          <w:rFonts w:eastAsia="仿宋_GB2312"/>
          <w:sz w:val="32"/>
          <w:szCs w:val="32"/>
        </w:rPr>
      </w:pPr>
      <w:bookmarkStart w:id="51" w:name="_Toc12145"/>
      <w:r>
        <w:rPr>
          <w:rFonts w:eastAsia="仿宋_GB2312"/>
          <w:sz w:val="32"/>
          <w:szCs w:val="32"/>
        </w:rPr>
        <w:t>（2）绩效指标明确性</w:t>
      </w:r>
      <w:bookmarkEnd w:id="51"/>
    </w:p>
    <w:p w14:paraId="3D5D22A0">
      <w:pPr>
        <w:spacing w:after="0" w:line="560" w:lineRule="exact"/>
        <w:ind w:firstLine="640" w:firstLineChars="200"/>
        <w:rPr>
          <w:rFonts w:eastAsia="仿宋_GB2312"/>
          <w:sz w:val="32"/>
          <w:szCs w:val="32"/>
        </w:rPr>
      </w:pPr>
      <w:r>
        <w:rPr>
          <w:rFonts w:eastAsia="仿宋_GB2312"/>
          <w:sz w:val="32"/>
          <w:szCs w:val="32"/>
        </w:rPr>
        <w:t>项目将总体绩效目标细化分解为：</w:t>
      </w:r>
      <w:r>
        <w:rPr>
          <w:rFonts w:hint="eastAsia" w:eastAsia="仿宋_GB2312"/>
          <w:sz w:val="32"/>
          <w:szCs w:val="32"/>
        </w:rPr>
        <w:t>产出</w:t>
      </w:r>
      <w:r>
        <w:rPr>
          <w:rFonts w:eastAsia="仿宋_GB2312"/>
          <w:sz w:val="32"/>
          <w:szCs w:val="32"/>
        </w:rPr>
        <w:t>指标</w:t>
      </w:r>
      <w:r>
        <w:rPr>
          <w:rFonts w:hint="eastAsia" w:eastAsia="仿宋_GB2312"/>
          <w:sz w:val="32"/>
          <w:szCs w:val="32"/>
        </w:rPr>
        <w:t>权重40分</w:t>
      </w:r>
      <w:r>
        <w:rPr>
          <w:rFonts w:eastAsia="仿宋_GB2312"/>
          <w:sz w:val="32"/>
          <w:szCs w:val="32"/>
        </w:rPr>
        <w:t>、</w:t>
      </w:r>
      <w:r>
        <w:rPr>
          <w:rFonts w:hint="eastAsia" w:eastAsia="仿宋_GB2312"/>
          <w:sz w:val="32"/>
          <w:szCs w:val="32"/>
        </w:rPr>
        <w:t>成本</w:t>
      </w:r>
      <w:r>
        <w:rPr>
          <w:rFonts w:eastAsia="仿宋_GB2312"/>
          <w:sz w:val="32"/>
          <w:szCs w:val="32"/>
        </w:rPr>
        <w:t>指标</w:t>
      </w:r>
      <w:r>
        <w:rPr>
          <w:rFonts w:hint="eastAsia" w:eastAsia="仿宋_GB2312"/>
          <w:sz w:val="32"/>
          <w:szCs w:val="32"/>
        </w:rPr>
        <w:t>权重20分</w:t>
      </w:r>
      <w:r>
        <w:rPr>
          <w:rFonts w:eastAsia="仿宋_GB2312"/>
          <w:sz w:val="32"/>
          <w:szCs w:val="32"/>
        </w:rPr>
        <w:t>、效益指标</w:t>
      </w:r>
      <w:r>
        <w:rPr>
          <w:rFonts w:hint="eastAsia" w:eastAsia="仿宋_GB2312"/>
          <w:sz w:val="32"/>
          <w:szCs w:val="32"/>
        </w:rPr>
        <w:t>权重30分、满意度指标10分</w:t>
      </w:r>
      <w:r>
        <w:rPr>
          <w:rFonts w:eastAsia="仿宋_GB2312"/>
          <w:sz w:val="32"/>
          <w:szCs w:val="32"/>
        </w:rPr>
        <w:t>等可量化、可衡量的</w:t>
      </w:r>
      <w:r>
        <w:rPr>
          <w:rFonts w:hint="eastAsia" w:eastAsia="仿宋_GB2312"/>
          <w:sz w:val="32"/>
          <w:szCs w:val="32"/>
        </w:rPr>
        <w:t>四</w:t>
      </w:r>
      <w:r>
        <w:rPr>
          <w:rFonts w:eastAsia="仿宋_GB2312"/>
          <w:sz w:val="32"/>
          <w:szCs w:val="32"/>
        </w:rPr>
        <w:t>级指标，每个指标均明确了具体指标值（如：</w:t>
      </w:r>
      <w:r>
        <w:rPr>
          <w:rFonts w:hint="eastAsia" w:eastAsia="仿宋_GB2312"/>
          <w:sz w:val="32"/>
          <w:szCs w:val="32"/>
        </w:rPr>
        <w:t>成本</w:t>
      </w:r>
      <w:r>
        <w:rPr>
          <w:rFonts w:eastAsia="仿宋_GB2312"/>
          <w:sz w:val="32"/>
          <w:szCs w:val="32"/>
        </w:rPr>
        <w:t>指标</w:t>
      </w:r>
      <w:r>
        <w:rPr>
          <w:rFonts w:hint="eastAsia" w:eastAsia="仿宋_GB2312"/>
          <w:sz w:val="32"/>
          <w:szCs w:val="32"/>
        </w:rPr>
        <w:t>分为数量指标、质量指标、时效指标等</w:t>
      </w:r>
      <w:r>
        <w:rPr>
          <w:rFonts w:eastAsia="仿宋_GB2312"/>
          <w:sz w:val="32"/>
          <w:szCs w:val="32"/>
        </w:rPr>
        <w:t>），且指标值与项目目标任务数一一对应（如：“完成</w:t>
      </w:r>
      <w:r>
        <w:rPr>
          <w:rFonts w:hint="eastAsia" w:eastAsia="仿宋_GB2312"/>
          <w:sz w:val="32"/>
          <w:szCs w:val="32"/>
        </w:rPr>
        <w:t>关键技术研究2项且验收合格率</w:t>
      </w:r>
      <w:r>
        <w:rPr>
          <w:rFonts w:ascii="Arial" w:hAnsi="Arial" w:eastAsia="仿宋_GB2312" w:cs="Arial"/>
          <w:sz w:val="32"/>
          <w:szCs w:val="32"/>
        </w:rPr>
        <w:t>≧</w:t>
      </w:r>
      <w:r>
        <w:rPr>
          <w:rFonts w:hint="eastAsia" w:ascii="Arial" w:hAnsi="Arial" w:eastAsia="仿宋_GB2312" w:cs="Arial"/>
          <w:sz w:val="32"/>
          <w:szCs w:val="32"/>
        </w:rPr>
        <w:t>90%</w:t>
      </w:r>
      <w:r>
        <w:rPr>
          <w:rFonts w:hint="eastAsia" w:eastAsia="仿宋_GB2312"/>
          <w:sz w:val="32"/>
          <w:szCs w:val="32"/>
        </w:rPr>
        <w:t>及时对水网项目组织审查或技术讨论15项，踏勘（调研）6次，出具审查率</w:t>
      </w:r>
      <w:r>
        <w:rPr>
          <w:rFonts w:ascii="Arial" w:hAnsi="Arial" w:eastAsia="仿宋_GB2312" w:cs="Arial"/>
          <w:sz w:val="32"/>
          <w:szCs w:val="32"/>
        </w:rPr>
        <w:t>≧</w:t>
      </w:r>
      <w:r>
        <w:rPr>
          <w:rFonts w:hint="eastAsia" w:ascii="Arial" w:hAnsi="Arial" w:eastAsia="仿宋_GB2312" w:cs="Arial"/>
          <w:sz w:val="32"/>
          <w:szCs w:val="32"/>
        </w:rPr>
        <w:t>70%</w:t>
      </w:r>
      <w:r>
        <w:rPr>
          <w:rFonts w:hint="eastAsia" w:eastAsia="仿宋_GB2312"/>
          <w:sz w:val="32"/>
          <w:szCs w:val="32"/>
        </w:rPr>
        <w:t>等</w:t>
      </w:r>
      <w:r>
        <w:rPr>
          <w:rFonts w:eastAsia="仿宋_GB2312"/>
          <w:sz w:val="32"/>
          <w:szCs w:val="32"/>
        </w:rPr>
        <w:t>”）。指标设定清晰无歧义，既涵盖了产出</w:t>
      </w:r>
      <w:r>
        <w:rPr>
          <w:rFonts w:hint="eastAsia" w:eastAsia="仿宋_GB2312"/>
          <w:sz w:val="32"/>
          <w:szCs w:val="32"/>
        </w:rPr>
        <w:t>指标</w:t>
      </w:r>
      <w:r>
        <w:rPr>
          <w:rFonts w:eastAsia="仿宋_GB2312"/>
          <w:sz w:val="32"/>
          <w:szCs w:val="32"/>
        </w:rPr>
        <w:t>（如：</w:t>
      </w:r>
      <w:r>
        <w:rPr>
          <w:rFonts w:hint="eastAsia" w:eastAsia="仿宋_GB2312"/>
          <w:sz w:val="32"/>
          <w:szCs w:val="32"/>
        </w:rPr>
        <w:t>审查</w:t>
      </w:r>
      <w:r>
        <w:rPr>
          <w:rFonts w:eastAsia="仿宋_GB2312"/>
          <w:sz w:val="32"/>
          <w:szCs w:val="32"/>
        </w:rPr>
        <w:t>数量、</w:t>
      </w:r>
      <w:r>
        <w:rPr>
          <w:rFonts w:hint="eastAsia" w:eastAsia="仿宋_GB2312"/>
          <w:sz w:val="32"/>
          <w:szCs w:val="32"/>
        </w:rPr>
        <w:t>踏勘</w:t>
      </w:r>
      <w:r>
        <w:rPr>
          <w:rFonts w:eastAsia="仿宋_GB2312"/>
          <w:sz w:val="32"/>
          <w:szCs w:val="32"/>
        </w:rPr>
        <w:t>次数），也覆盖了</w:t>
      </w:r>
      <w:r>
        <w:rPr>
          <w:rFonts w:hint="eastAsia" w:eastAsia="仿宋_GB2312"/>
          <w:sz w:val="32"/>
          <w:szCs w:val="32"/>
        </w:rPr>
        <w:t>效益指标</w:t>
      </w:r>
      <w:r>
        <w:rPr>
          <w:rFonts w:eastAsia="仿宋_GB2312"/>
          <w:sz w:val="32"/>
          <w:szCs w:val="32"/>
        </w:rPr>
        <w:t>（如：</w:t>
      </w:r>
      <w:r>
        <w:rPr>
          <w:rFonts w:hint="eastAsia" w:eastAsia="仿宋_GB2312"/>
          <w:sz w:val="32"/>
          <w:szCs w:val="32"/>
        </w:rPr>
        <w:t>增加了全区水库调蓄库容以及</w:t>
      </w:r>
      <w:r>
        <w:rPr>
          <w:rFonts w:eastAsia="仿宋_GB2312"/>
          <w:sz w:val="32"/>
          <w:szCs w:val="32"/>
        </w:rPr>
        <w:t>群众满意度），满足评分标准中“指标细化分解、可衡量、与任务数对应”的要求，故得满分。</w:t>
      </w:r>
    </w:p>
    <w:p w14:paraId="52BE57DF">
      <w:pPr>
        <w:pStyle w:val="24"/>
        <w:spacing w:after="0" w:line="560" w:lineRule="exact"/>
        <w:ind w:firstLine="640"/>
        <w:outlineLvl w:val="2"/>
        <w:rPr>
          <w:rFonts w:eastAsia="仿宋_GB2312"/>
          <w:b/>
          <w:bCs/>
          <w:sz w:val="32"/>
          <w:szCs w:val="32"/>
        </w:rPr>
      </w:pPr>
      <w:bookmarkStart w:id="52" w:name="_Toc6828"/>
      <w:r>
        <w:rPr>
          <w:rFonts w:eastAsia="仿宋_GB2312"/>
          <w:b/>
          <w:bCs/>
          <w:sz w:val="32"/>
          <w:szCs w:val="32"/>
        </w:rPr>
        <w:t>3.资金投入</w:t>
      </w:r>
      <w:bookmarkEnd w:id="52"/>
    </w:p>
    <w:p w14:paraId="57084F34">
      <w:pPr>
        <w:spacing w:after="0" w:line="560" w:lineRule="exact"/>
        <w:ind w:firstLine="640" w:firstLineChars="200"/>
        <w:outlineLvl w:val="3"/>
        <w:rPr>
          <w:rFonts w:eastAsia="仿宋_GB2312"/>
          <w:sz w:val="32"/>
          <w:szCs w:val="32"/>
        </w:rPr>
      </w:pPr>
      <w:bookmarkStart w:id="53" w:name="_Toc10680"/>
      <w:r>
        <w:rPr>
          <w:rFonts w:eastAsia="仿宋_GB2312"/>
          <w:sz w:val="32"/>
          <w:szCs w:val="32"/>
        </w:rPr>
        <w:t>（1）预算编制科学性</w:t>
      </w:r>
      <w:bookmarkEnd w:id="53"/>
    </w:p>
    <w:p w14:paraId="0D4310E9">
      <w:pPr>
        <w:spacing w:after="0" w:line="560" w:lineRule="exact"/>
        <w:ind w:firstLine="640" w:firstLineChars="200"/>
        <w:rPr>
          <w:rFonts w:eastAsia="仿宋_GB2312"/>
          <w:sz w:val="32"/>
          <w:szCs w:val="32"/>
        </w:rPr>
      </w:pPr>
      <w:r>
        <w:rPr>
          <w:rFonts w:eastAsia="仿宋_GB2312"/>
          <w:sz w:val="32"/>
          <w:szCs w:val="32"/>
        </w:rPr>
        <w:t>本项目预算编制以“精准测算、按需配置”为原则，结合项目实施方案及具体任务清单开展，参考既往同类项目支出水平及当前物价水平，测算支出</w:t>
      </w:r>
      <w:r>
        <w:rPr>
          <w:rFonts w:hint="eastAsia" w:eastAsia="仿宋_GB2312"/>
          <w:sz w:val="32"/>
          <w:szCs w:val="32"/>
        </w:rPr>
        <w:t>300</w:t>
      </w:r>
      <w:r>
        <w:rPr>
          <w:rFonts w:eastAsia="仿宋_GB2312"/>
          <w:sz w:val="32"/>
          <w:szCs w:val="32"/>
        </w:rPr>
        <w:t>万元。预算编制过程经过业务科室、财务部门双重审核，无漏项、超项情况，预算内容与项目“</w:t>
      </w:r>
      <w:r>
        <w:rPr>
          <w:rFonts w:hint="eastAsia" w:eastAsia="仿宋_GB2312"/>
          <w:sz w:val="32"/>
          <w:szCs w:val="32"/>
        </w:rPr>
        <w:t>完成方案细化、资源配置、前期调研等</w:t>
      </w:r>
      <w:r>
        <w:rPr>
          <w:rFonts w:eastAsia="仿宋_GB2312"/>
          <w:sz w:val="32"/>
          <w:szCs w:val="32"/>
        </w:rPr>
        <w:t>核心任务”“</w:t>
      </w:r>
      <w:r>
        <w:rPr>
          <w:rFonts w:hint="eastAsia" w:eastAsia="仿宋_GB2312"/>
          <w:sz w:val="32"/>
          <w:szCs w:val="32"/>
        </w:rPr>
        <w:t>完成关键技术研究等</w:t>
      </w:r>
      <w:r>
        <w:rPr>
          <w:rFonts w:eastAsia="仿宋_GB2312"/>
          <w:sz w:val="32"/>
          <w:szCs w:val="32"/>
        </w:rPr>
        <w:t>产出目标”完全匹配，资金额度与各阶段工作任务量精准适配，符合评分标准中“经过科学论证、内容与项目匹配、额度依据充分、与工作任务匹配”的全部评价要点，故得满分。</w:t>
      </w:r>
    </w:p>
    <w:p w14:paraId="54C7E960">
      <w:pPr>
        <w:spacing w:after="0" w:line="560" w:lineRule="exact"/>
        <w:ind w:firstLine="640" w:firstLineChars="200"/>
        <w:outlineLvl w:val="3"/>
        <w:rPr>
          <w:rFonts w:eastAsia="仿宋_GB2312"/>
          <w:sz w:val="32"/>
          <w:szCs w:val="32"/>
        </w:rPr>
      </w:pPr>
      <w:bookmarkStart w:id="54" w:name="_Toc24011"/>
      <w:r>
        <w:rPr>
          <w:rFonts w:eastAsia="仿宋_GB2312"/>
          <w:sz w:val="32"/>
          <w:szCs w:val="32"/>
        </w:rPr>
        <w:t>（2）资金分配合理性</w:t>
      </w:r>
      <w:bookmarkEnd w:id="54"/>
    </w:p>
    <w:p w14:paraId="1FEF80F4">
      <w:pPr>
        <w:spacing w:after="0" w:line="560" w:lineRule="exact"/>
        <w:ind w:firstLine="640" w:firstLineChars="200"/>
        <w:rPr>
          <w:rFonts w:eastAsia="仿宋_GB2312"/>
          <w:sz w:val="32"/>
          <w:szCs w:val="32"/>
        </w:rPr>
      </w:pPr>
      <w:r>
        <w:rPr>
          <w:rFonts w:eastAsia="仿宋_GB2312"/>
          <w:sz w:val="32"/>
          <w:szCs w:val="32"/>
        </w:rPr>
        <w:t>本项目的资金分配遵循了公平、公正、透明的原则，确保了项目资源的合理配置与高效利用。在资金分配过程中，充分考虑了项目的实际需求与目标，对不同阶段、不同任务的资金进行了科学的规划与安排。</w:t>
      </w:r>
    </w:p>
    <w:p w14:paraId="01F34505">
      <w:pPr>
        <w:spacing w:after="0" w:line="560" w:lineRule="exact"/>
        <w:ind w:firstLine="640" w:firstLineChars="200"/>
        <w:rPr>
          <w:rFonts w:eastAsia="仿宋_GB2312"/>
          <w:sz w:val="32"/>
          <w:szCs w:val="32"/>
        </w:rPr>
      </w:pPr>
      <w:r>
        <w:rPr>
          <w:rFonts w:eastAsia="仿宋_GB2312"/>
          <w:sz w:val="32"/>
          <w:szCs w:val="32"/>
        </w:rPr>
        <w:t>具体而言，资金分配紧密结合了项目的特点与实际情况，对关键领域与重要环节给予了重点支持。同时，也注重资金的均衡分配，避免了资源浪费与资金闲置。此外，资金分配还充分考虑了风险因素，对可能出现的超支情况进行了预留与调整。</w:t>
      </w:r>
    </w:p>
    <w:p w14:paraId="77F474E0">
      <w:pPr>
        <w:spacing w:after="0" w:line="560" w:lineRule="exact"/>
        <w:ind w:firstLine="640" w:firstLineChars="200"/>
        <w:rPr>
          <w:rFonts w:eastAsia="仿宋_GB2312"/>
          <w:sz w:val="32"/>
          <w:szCs w:val="32"/>
        </w:rPr>
      </w:pPr>
      <w:r>
        <w:rPr>
          <w:rFonts w:eastAsia="仿宋_GB2312"/>
          <w:sz w:val="32"/>
          <w:szCs w:val="32"/>
        </w:rPr>
        <w:t>综上所述，本项目的资金分配是合理的、科学的，既符合项目的实际情况，又满足了资金使用的效益最大化要求。资金分配的合理性为项目的成功实施提供了有力的保障，也为项目的绩效评价奠定了坚实的基础，故得满分。</w:t>
      </w:r>
    </w:p>
    <w:p w14:paraId="71D613BF">
      <w:pPr>
        <w:pStyle w:val="13"/>
        <w:numPr>
          <w:ilvl w:val="0"/>
          <w:numId w:val="4"/>
        </w:numPr>
        <w:spacing w:before="0" w:after="0" w:line="560" w:lineRule="exact"/>
        <w:ind w:firstLine="643" w:firstLineChars="200"/>
        <w:jc w:val="both"/>
        <w:outlineLvl w:val="1"/>
        <w:rPr>
          <w:rFonts w:ascii="Times New Roman" w:hAnsi="Times New Roman" w:eastAsia="楷体"/>
        </w:rPr>
      </w:pPr>
      <w:bookmarkStart w:id="55" w:name="_Toc25505"/>
      <w:r>
        <w:rPr>
          <w:rFonts w:ascii="Times New Roman" w:hAnsi="Times New Roman" w:eastAsia="楷体"/>
        </w:rPr>
        <w:t>项目过程情况</w:t>
      </w:r>
      <w:bookmarkEnd w:id="55"/>
    </w:p>
    <w:p w14:paraId="2094C5C3">
      <w:pPr>
        <w:spacing w:after="0" w:line="560" w:lineRule="exact"/>
        <w:ind w:firstLine="640" w:firstLineChars="200"/>
        <w:rPr>
          <w:rFonts w:eastAsia="仿宋_GB2312"/>
          <w:sz w:val="32"/>
          <w:szCs w:val="32"/>
        </w:rPr>
      </w:pPr>
      <w:r>
        <w:rPr>
          <w:rFonts w:eastAsia="仿宋_GB2312"/>
          <w:sz w:val="32"/>
          <w:szCs w:val="32"/>
        </w:rPr>
        <w:t>项目过程类指标包括资金管理和组织实施两方面的内容，由5个三级指标构成，权重分值为20分，实际得分</w:t>
      </w:r>
      <w:r>
        <w:rPr>
          <w:rFonts w:hint="eastAsia" w:eastAsia="仿宋_GB2312"/>
          <w:sz w:val="32"/>
          <w:szCs w:val="32"/>
        </w:rPr>
        <w:t>19.9</w:t>
      </w:r>
      <w:r>
        <w:rPr>
          <w:rFonts w:eastAsia="仿宋_GB2312"/>
          <w:sz w:val="32"/>
          <w:szCs w:val="32"/>
        </w:rPr>
        <w:t>分，得分率为99.5%。</w:t>
      </w:r>
    </w:p>
    <w:p w14:paraId="117FE71A">
      <w:pPr>
        <w:pStyle w:val="24"/>
        <w:spacing w:after="0" w:line="560" w:lineRule="exact"/>
        <w:ind w:firstLine="640"/>
        <w:outlineLvl w:val="2"/>
        <w:rPr>
          <w:rFonts w:eastAsia="仿宋_GB2312"/>
          <w:b/>
          <w:bCs/>
          <w:sz w:val="32"/>
          <w:szCs w:val="32"/>
        </w:rPr>
      </w:pPr>
      <w:bookmarkStart w:id="56" w:name="_Toc23265"/>
      <w:r>
        <w:rPr>
          <w:rFonts w:eastAsia="仿宋_GB2312"/>
          <w:b/>
          <w:bCs/>
          <w:sz w:val="32"/>
          <w:szCs w:val="32"/>
        </w:rPr>
        <w:t>1.资金管理</w:t>
      </w:r>
      <w:bookmarkEnd w:id="56"/>
    </w:p>
    <w:p w14:paraId="2890C1FD">
      <w:pPr>
        <w:spacing w:after="0" w:line="560" w:lineRule="exact"/>
        <w:ind w:firstLine="640" w:firstLineChars="200"/>
        <w:outlineLvl w:val="3"/>
        <w:rPr>
          <w:rFonts w:eastAsia="仿宋_GB2312"/>
          <w:sz w:val="32"/>
          <w:szCs w:val="32"/>
        </w:rPr>
      </w:pPr>
      <w:bookmarkStart w:id="57" w:name="_Toc19976"/>
      <w:r>
        <w:rPr>
          <w:rFonts w:eastAsia="仿宋_GB2312"/>
          <w:sz w:val="32"/>
          <w:szCs w:val="32"/>
        </w:rPr>
        <w:t>（1）资金到位率</w:t>
      </w:r>
      <w:bookmarkEnd w:id="57"/>
    </w:p>
    <w:p w14:paraId="69C8B376">
      <w:pPr>
        <w:spacing w:after="0" w:line="560" w:lineRule="exact"/>
        <w:ind w:firstLine="640" w:firstLineChars="200"/>
        <w:rPr>
          <w:rFonts w:eastAsia="仿宋_GB2312"/>
          <w:sz w:val="32"/>
          <w:szCs w:val="32"/>
        </w:rPr>
      </w:pPr>
      <w:r>
        <w:rPr>
          <w:rFonts w:eastAsia="仿宋_GB2312"/>
          <w:sz w:val="32"/>
          <w:szCs w:val="32"/>
        </w:rPr>
        <w:t>本项目总投资</w:t>
      </w:r>
      <w:r>
        <w:rPr>
          <w:rFonts w:hint="eastAsia" w:eastAsia="仿宋_GB2312"/>
          <w:sz w:val="32"/>
          <w:szCs w:val="32"/>
        </w:rPr>
        <w:t>300</w:t>
      </w:r>
      <w:r>
        <w:rPr>
          <w:rFonts w:eastAsia="仿宋_GB2312"/>
          <w:sz w:val="32"/>
          <w:szCs w:val="32"/>
        </w:rPr>
        <w:t>万元，实际到位资金</w:t>
      </w:r>
      <w:r>
        <w:rPr>
          <w:rFonts w:hint="eastAsia" w:eastAsia="仿宋_GB2312"/>
          <w:sz w:val="32"/>
          <w:szCs w:val="32"/>
        </w:rPr>
        <w:t>300万元，资金</w:t>
      </w:r>
      <w:r>
        <w:rPr>
          <w:rFonts w:eastAsia="仿宋_GB2312"/>
          <w:sz w:val="32"/>
          <w:szCs w:val="32"/>
        </w:rPr>
        <w:t>到位率</w:t>
      </w:r>
      <w:r>
        <w:rPr>
          <w:rFonts w:hint="eastAsia" w:eastAsia="仿宋_GB2312"/>
          <w:sz w:val="32"/>
          <w:szCs w:val="32"/>
        </w:rPr>
        <w:t>100</w:t>
      </w:r>
      <w:r>
        <w:rPr>
          <w:rFonts w:eastAsia="仿宋_GB2312"/>
          <w:sz w:val="32"/>
          <w:szCs w:val="32"/>
        </w:rPr>
        <w:t>%</w:t>
      </w:r>
      <w:r>
        <w:rPr>
          <w:rFonts w:hint="eastAsia" w:eastAsia="仿宋_GB2312"/>
          <w:sz w:val="32"/>
          <w:szCs w:val="32"/>
        </w:rPr>
        <w:t>，该指标满分为4分，根据评分标准得4分。</w:t>
      </w:r>
    </w:p>
    <w:p w14:paraId="66CB30DE">
      <w:pPr>
        <w:spacing w:after="0" w:line="560" w:lineRule="exact"/>
        <w:ind w:firstLine="640" w:firstLineChars="200"/>
        <w:outlineLvl w:val="3"/>
        <w:rPr>
          <w:rFonts w:eastAsia="仿宋_GB2312"/>
          <w:sz w:val="32"/>
          <w:szCs w:val="32"/>
        </w:rPr>
      </w:pPr>
      <w:bookmarkStart w:id="58" w:name="_Toc20558"/>
      <w:r>
        <w:rPr>
          <w:rFonts w:eastAsia="仿宋_GB2312"/>
          <w:sz w:val="32"/>
          <w:szCs w:val="32"/>
        </w:rPr>
        <w:t>（2）预算执行率</w:t>
      </w:r>
      <w:bookmarkEnd w:id="58"/>
    </w:p>
    <w:p w14:paraId="493661C3">
      <w:pPr>
        <w:spacing w:after="0" w:line="560" w:lineRule="exact"/>
        <w:ind w:firstLine="640" w:firstLineChars="200"/>
        <w:rPr>
          <w:rFonts w:eastAsia="仿宋_GB2312"/>
          <w:sz w:val="32"/>
          <w:szCs w:val="32"/>
        </w:rPr>
      </w:pPr>
      <w:r>
        <w:rPr>
          <w:rFonts w:hint="eastAsia" w:eastAsia="仿宋_GB2312"/>
          <w:sz w:val="32"/>
          <w:szCs w:val="32"/>
        </w:rPr>
        <w:t>本项目全年预算300万元，全年实际</w:t>
      </w:r>
      <w:r>
        <w:rPr>
          <w:rFonts w:eastAsia="仿宋_GB2312"/>
          <w:sz w:val="32"/>
          <w:szCs w:val="32"/>
        </w:rPr>
        <w:t>支出</w:t>
      </w:r>
      <w:r>
        <w:rPr>
          <w:rFonts w:hint="eastAsia" w:eastAsia="仿宋_GB2312"/>
          <w:sz w:val="32"/>
          <w:szCs w:val="32"/>
        </w:rPr>
        <w:t>300</w:t>
      </w:r>
      <w:r>
        <w:rPr>
          <w:rFonts w:eastAsia="仿宋_GB2312"/>
          <w:sz w:val="32"/>
          <w:szCs w:val="32"/>
        </w:rPr>
        <w:t>万元，预算执行率为</w:t>
      </w:r>
      <w:r>
        <w:rPr>
          <w:rFonts w:hint="eastAsia" w:eastAsia="仿宋_GB2312"/>
          <w:sz w:val="32"/>
          <w:szCs w:val="32"/>
        </w:rPr>
        <w:t>99.87</w:t>
      </w:r>
      <w:r>
        <w:rPr>
          <w:rFonts w:eastAsia="仿宋_GB2312"/>
          <w:sz w:val="32"/>
          <w:szCs w:val="32"/>
        </w:rPr>
        <w:t>%</w:t>
      </w:r>
      <w:r>
        <w:rPr>
          <w:rFonts w:hint="eastAsia" w:eastAsia="仿宋_GB2312"/>
          <w:sz w:val="32"/>
          <w:szCs w:val="32"/>
        </w:rPr>
        <w:t>，该指标满分为4分，根据评分标准得3.9分。</w:t>
      </w:r>
    </w:p>
    <w:p w14:paraId="0F4E64DB">
      <w:pPr>
        <w:spacing w:after="0" w:line="560" w:lineRule="exact"/>
        <w:ind w:firstLine="640" w:firstLineChars="200"/>
        <w:outlineLvl w:val="3"/>
        <w:rPr>
          <w:rFonts w:eastAsia="仿宋_GB2312"/>
          <w:sz w:val="32"/>
          <w:szCs w:val="32"/>
        </w:rPr>
      </w:pPr>
      <w:bookmarkStart w:id="59" w:name="_Toc17145"/>
      <w:r>
        <w:rPr>
          <w:rFonts w:eastAsia="仿宋_GB2312"/>
          <w:sz w:val="32"/>
          <w:szCs w:val="32"/>
        </w:rPr>
        <w:t>（3）资金使用合规性</w:t>
      </w:r>
      <w:bookmarkEnd w:id="59"/>
    </w:p>
    <w:p w14:paraId="0415E79D">
      <w:pPr>
        <w:pStyle w:val="24"/>
        <w:spacing w:after="0" w:line="560" w:lineRule="exact"/>
        <w:ind w:firstLine="640"/>
        <w:outlineLvl w:val="2"/>
        <w:rPr>
          <w:rFonts w:eastAsia="仿宋_GB2312"/>
          <w:sz w:val="32"/>
          <w:szCs w:val="32"/>
        </w:rPr>
      </w:pPr>
      <w:bookmarkStart w:id="60" w:name="_Toc6256"/>
      <w:r>
        <w:rPr>
          <w:rFonts w:eastAsia="仿宋_GB2312"/>
          <w:sz w:val="32"/>
          <w:szCs w:val="32"/>
        </w:rPr>
        <w:t>项目资金使用严格遵守《中华人民共和国预算法》《专项资金管理办法》《</w:t>
      </w:r>
      <w:r>
        <w:rPr>
          <w:rFonts w:hint="eastAsia" w:eastAsia="仿宋_GB2312"/>
          <w:sz w:val="32"/>
          <w:szCs w:val="32"/>
        </w:rPr>
        <w:t>事业单位财务规则</w:t>
      </w:r>
      <w:r>
        <w:rPr>
          <w:rFonts w:eastAsia="仿宋_GB2312"/>
          <w:sz w:val="32"/>
          <w:szCs w:val="32"/>
        </w:rPr>
        <w:t>》等法律法规及财务制度，全程规范可控：①资金拨付均履行“申请-审核-审批”流程，附完整的合同、发票、验收单等佐证资料，</w:t>
      </w:r>
      <w:r>
        <w:rPr>
          <w:rFonts w:hint="eastAsia" w:eastAsia="仿宋_GB2312"/>
          <w:sz w:val="32"/>
          <w:szCs w:val="32"/>
        </w:rPr>
        <w:t>不存在</w:t>
      </w:r>
      <w:r>
        <w:rPr>
          <w:rFonts w:eastAsia="仿宋_GB2312"/>
          <w:sz w:val="32"/>
          <w:szCs w:val="32"/>
        </w:rPr>
        <w:t>无依据拨付情况；②严格执行专款专用，所有支出均与项目预算批复用途一致，无截留、挤占、挪用或虚列支出等违规行为；③财务核算规范，按项目单独建账、单独核算，支出科目分类准确，凭证齐全完整。项目实施期间未发生财务审计问题，完全符合评分标准中“符合财经法规、审批手续完备、用途合规、无违规行为”的全部要求，故得满分。</w:t>
      </w:r>
    </w:p>
    <w:p w14:paraId="1BEE3EE4">
      <w:pPr>
        <w:pStyle w:val="24"/>
        <w:spacing w:after="0" w:line="560" w:lineRule="exact"/>
        <w:ind w:firstLine="640"/>
        <w:outlineLvl w:val="2"/>
        <w:rPr>
          <w:rFonts w:eastAsia="仿宋_GB2312"/>
          <w:b/>
          <w:bCs/>
          <w:sz w:val="32"/>
          <w:szCs w:val="32"/>
        </w:rPr>
      </w:pPr>
      <w:r>
        <w:rPr>
          <w:rFonts w:eastAsia="仿宋_GB2312"/>
          <w:b/>
          <w:bCs/>
          <w:sz w:val="32"/>
          <w:szCs w:val="32"/>
        </w:rPr>
        <w:t>2.组织实施</w:t>
      </w:r>
      <w:bookmarkEnd w:id="60"/>
    </w:p>
    <w:p w14:paraId="5081C531">
      <w:pPr>
        <w:spacing w:after="0" w:line="560" w:lineRule="exact"/>
        <w:ind w:firstLine="640" w:firstLineChars="200"/>
        <w:outlineLvl w:val="3"/>
        <w:rPr>
          <w:rFonts w:eastAsia="仿宋_GB2312"/>
          <w:sz w:val="32"/>
          <w:szCs w:val="32"/>
        </w:rPr>
      </w:pPr>
      <w:bookmarkStart w:id="61" w:name="_Toc470"/>
      <w:r>
        <w:rPr>
          <w:rFonts w:eastAsia="仿宋_GB2312"/>
          <w:sz w:val="32"/>
          <w:szCs w:val="32"/>
        </w:rPr>
        <w:t>（1）管理制度健全性</w:t>
      </w:r>
      <w:bookmarkEnd w:id="61"/>
    </w:p>
    <w:p w14:paraId="25998880">
      <w:pPr>
        <w:pStyle w:val="24"/>
        <w:spacing w:after="0" w:line="560" w:lineRule="exact"/>
        <w:ind w:firstLine="640"/>
        <w:outlineLvl w:val="2"/>
        <w:rPr>
          <w:rFonts w:eastAsia="仿宋_GB2312"/>
          <w:sz w:val="32"/>
          <w:szCs w:val="32"/>
        </w:rPr>
      </w:pPr>
      <w:bookmarkStart w:id="62" w:name="_Toc29107"/>
      <w:r>
        <w:rPr>
          <w:rFonts w:eastAsia="仿宋_GB2312"/>
          <w:sz w:val="32"/>
          <w:szCs w:val="32"/>
        </w:rPr>
        <w:t>项目实施单位已制定《</w:t>
      </w:r>
      <w:r>
        <w:rPr>
          <w:rFonts w:hint="eastAsia" w:eastAsia="仿宋_GB2312"/>
          <w:sz w:val="32"/>
          <w:szCs w:val="32"/>
        </w:rPr>
        <w:t>重大</w:t>
      </w:r>
      <w:r>
        <w:rPr>
          <w:rFonts w:eastAsia="仿宋_GB2312"/>
          <w:sz w:val="32"/>
          <w:szCs w:val="32"/>
        </w:rPr>
        <w:t>项目</w:t>
      </w:r>
      <w:r>
        <w:rPr>
          <w:rFonts w:hint="eastAsia" w:eastAsia="仿宋_GB2312"/>
          <w:sz w:val="32"/>
          <w:szCs w:val="32"/>
        </w:rPr>
        <w:t>课题招投标</w:t>
      </w:r>
      <w:r>
        <w:rPr>
          <w:rFonts w:eastAsia="仿宋_GB2312"/>
          <w:sz w:val="32"/>
          <w:szCs w:val="32"/>
        </w:rPr>
        <w:t>管理办法》《</w:t>
      </w:r>
      <w:r>
        <w:rPr>
          <w:rFonts w:hint="eastAsia" w:eastAsia="仿宋_GB2312"/>
          <w:sz w:val="32"/>
          <w:szCs w:val="32"/>
        </w:rPr>
        <w:t>财务收支审批制度</w:t>
      </w:r>
      <w:r>
        <w:rPr>
          <w:rFonts w:eastAsia="仿宋_GB2312"/>
          <w:sz w:val="32"/>
          <w:szCs w:val="32"/>
        </w:rPr>
        <w:t>》等一系列专项制度，制度体系覆盖项目策划、实施、监控、收尾全流程</w:t>
      </w:r>
      <w:r>
        <w:rPr>
          <w:rFonts w:hint="eastAsia" w:eastAsia="仿宋_GB2312"/>
          <w:sz w:val="32"/>
          <w:szCs w:val="32"/>
        </w:rPr>
        <w:t>。</w:t>
      </w:r>
      <w:r>
        <w:rPr>
          <w:rFonts w:eastAsia="仿宋_GB2312"/>
          <w:sz w:val="32"/>
          <w:szCs w:val="32"/>
        </w:rPr>
        <w:t>业务管理制度明确了各部门职责分工（如：业务科室负责项目实施、财务科室负责资金管理）</w:t>
      </w:r>
      <w:r>
        <w:rPr>
          <w:rFonts w:hint="eastAsia" w:eastAsia="仿宋_GB2312"/>
          <w:sz w:val="32"/>
          <w:szCs w:val="32"/>
        </w:rPr>
        <w:t>。</w:t>
      </w:r>
      <w:r>
        <w:rPr>
          <w:rFonts w:eastAsia="仿宋_GB2312"/>
          <w:sz w:val="32"/>
          <w:szCs w:val="32"/>
        </w:rPr>
        <w:t>财务管理制度细化了资金拨付流程、报销标准、账务核算要求。所有制度均合法合规、内容完整，且与项目的实施特点高度适配，为项目顺利推进提供了坚实制度保障，符合评分标准中“有完善的财务和业务管理制度、制度合法合规完整”的要求，故得满分。</w:t>
      </w:r>
    </w:p>
    <w:p w14:paraId="2617113E">
      <w:pPr>
        <w:spacing w:after="0" w:line="560" w:lineRule="exact"/>
        <w:ind w:firstLine="640" w:firstLineChars="200"/>
        <w:outlineLvl w:val="3"/>
        <w:rPr>
          <w:rFonts w:eastAsia="仿宋_GB2312"/>
          <w:sz w:val="32"/>
          <w:szCs w:val="32"/>
        </w:rPr>
      </w:pPr>
      <w:r>
        <w:rPr>
          <w:rFonts w:eastAsia="仿宋_GB2312"/>
          <w:sz w:val="32"/>
          <w:szCs w:val="32"/>
        </w:rPr>
        <w:t>（2）制度执行有效性</w:t>
      </w:r>
      <w:bookmarkEnd w:id="62"/>
    </w:p>
    <w:p w14:paraId="53D9EC58">
      <w:pPr>
        <w:pStyle w:val="24"/>
        <w:spacing w:after="0" w:line="560" w:lineRule="exact"/>
        <w:ind w:firstLine="640"/>
        <w:outlineLvl w:val="2"/>
        <w:rPr>
          <w:rFonts w:eastAsia="仿宋_GB2312"/>
          <w:sz w:val="32"/>
          <w:szCs w:val="32"/>
        </w:rPr>
      </w:pPr>
      <w:r>
        <w:rPr>
          <w:rFonts w:eastAsia="仿宋_GB2312"/>
          <w:sz w:val="32"/>
          <w:szCs w:val="32"/>
        </w:rPr>
        <w:t>项目实施全过程严格执行各项管理制度，执行效果显著：①严格遵守法律法规及管理规定；②项目合同书、验收报告、财务凭证等资料齐全，均按要求及时归档</w:t>
      </w:r>
      <w:r>
        <w:rPr>
          <w:rFonts w:hint="eastAsia" w:eastAsia="仿宋_GB2312"/>
          <w:sz w:val="32"/>
          <w:szCs w:val="32"/>
        </w:rPr>
        <w:t>；</w:t>
      </w:r>
      <w:r>
        <w:rPr>
          <w:rFonts w:eastAsia="仿宋_GB2312"/>
          <w:sz w:val="32"/>
          <w:szCs w:val="32"/>
        </w:rPr>
        <w:t>③人员、场地、设备等实施条件全部落实到位，满足项目实施需求。制度执行无偏差，有效保障了项目按计划推进，符合评分标准中“遵守相关规定、调整手续完备、资料齐全归档、实施条件落实”的要求，故得满分。</w:t>
      </w:r>
    </w:p>
    <w:p w14:paraId="1725D97F">
      <w:pPr>
        <w:pStyle w:val="14"/>
        <w:spacing w:line="560" w:lineRule="exact"/>
        <w:ind w:firstLine="321" w:firstLineChars="100"/>
        <w:outlineLvl w:val="1"/>
        <w:rPr>
          <w:b/>
          <w:bCs/>
          <w:sz w:val="32"/>
          <w:szCs w:val="32"/>
        </w:rPr>
      </w:pPr>
      <w:bookmarkStart w:id="63" w:name="_Toc8612"/>
      <w:r>
        <w:rPr>
          <w:rFonts w:hint="eastAsia" w:eastAsia="楷体_GB2312"/>
          <w:b/>
          <w:bCs/>
          <w:sz w:val="32"/>
          <w:szCs w:val="32"/>
        </w:rPr>
        <w:t>（三）</w:t>
      </w:r>
      <w:r>
        <w:rPr>
          <w:rFonts w:eastAsia="楷体_GB2312"/>
          <w:b/>
          <w:bCs/>
          <w:sz w:val="32"/>
          <w:szCs w:val="32"/>
        </w:rPr>
        <w:t>项目</w:t>
      </w:r>
      <w:r>
        <w:rPr>
          <w:rFonts w:hint="eastAsia" w:eastAsia="楷体_GB2312"/>
          <w:b/>
          <w:bCs/>
          <w:sz w:val="32"/>
          <w:szCs w:val="32"/>
        </w:rPr>
        <w:t>产出</w:t>
      </w:r>
      <w:r>
        <w:rPr>
          <w:rFonts w:eastAsia="楷体_GB2312"/>
          <w:b/>
          <w:bCs/>
          <w:sz w:val="32"/>
          <w:szCs w:val="32"/>
        </w:rPr>
        <w:t>情况</w:t>
      </w:r>
      <w:bookmarkEnd w:id="63"/>
    </w:p>
    <w:p w14:paraId="1F57BE4C">
      <w:pPr>
        <w:spacing w:after="0" w:line="560" w:lineRule="exact"/>
        <w:ind w:firstLine="640" w:firstLineChars="200"/>
        <w:rPr>
          <w:rFonts w:eastAsia="仿宋_GB2312"/>
          <w:sz w:val="32"/>
          <w:szCs w:val="32"/>
        </w:rPr>
      </w:pPr>
      <w:r>
        <w:rPr>
          <w:rFonts w:eastAsia="仿宋_GB2312"/>
          <w:sz w:val="32"/>
          <w:szCs w:val="32"/>
        </w:rPr>
        <w:t>项目产出类指标包括产出数量、产出质量、产出时效、产出成本</w:t>
      </w:r>
      <w:r>
        <w:rPr>
          <w:rFonts w:hint="eastAsia" w:eastAsia="仿宋_GB2312"/>
          <w:sz w:val="32"/>
          <w:szCs w:val="32"/>
        </w:rPr>
        <w:t>四</w:t>
      </w:r>
      <w:r>
        <w:rPr>
          <w:rFonts w:eastAsia="仿宋_GB2312"/>
          <w:sz w:val="32"/>
          <w:szCs w:val="32"/>
        </w:rPr>
        <w:t>方面的内容，由</w:t>
      </w:r>
      <w:r>
        <w:rPr>
          <w:rFonts w:hint="eastAsia" w:eastAsia="仿宋_GB2312"/>
          <w:sz w:val="32"/>
          <w:szCs w:val="32"/>
        </w:rPr>
        <w:t>4</w:t>
      </w:r>
      <w:r>
        <w:rPr>
          <w:rFonts w:eastAsia="仿宋_GB2312"/>
          <w:sz w:val="32"/>
          <w:szCs w:val="32"/>
        </w:rPr>
        <w:t>个三级指标构成，权重分为40分，实际得分</w:t>
      </w:r>
      <w:r>
        <w:rPr>
          <w:rFonts w:hint="eastAsia" w:eastAsia="仿宋_GB2312"/>
          <w:sz w:val="32"/>
          <w:szCs w:val="32"/>
        </w:rPr>
        <w:t>40</w:t>
      </w:r>
      <w:r>
        <w:rPr>
          <w:rFonts w:eastAsia="仿宋_GB2312"/>
          <w:sz w:val="32"/>
          <w:szCs w:val="32"/>
        </w:rPr>
        <w:t>分，得分率为</w:t>
      </w:r>
      <w:r>
        <w:rPr>
          <w:rFonts w:hint="eastAsia" w:eastAsia="仿宋_GB2312"/>
          <w:sz w:val="32"/>
          <w:szCs w:val="32"/>
        </w:rPr>
        <w:t>100</w:t>
      </w:r>
      <w:r>
        <w:rPr>
          <w:rFonts w:eastAsia="仿宋_GB2312"/>
          <w:sz w:val="32"/>
          <w:szCs w:val="32"/>
        </w:rPr>
        <w:t>%。具体产出指标完成情况如下：</w:t>
      </w:r>
    </w:p>
    <w:p w14:paraId="6A434579">
      <w:pPr>
        <w:spacing w:after="0" w:line="560" w:lineRule="exact"/>
        <w:ind w:firstLine="640" w:firstLineChars="200"/>
        <w:rPr>
          <w:rFonts w:eastAsia="仿宋_GB2312"/>
          <w:sz w:val="32"/>
          <w:szCs w:val="32"/>
        </w:rPr>
      </w:pPr>
      <w:r>
        <w:rPr>
          <w:rFonts w:hint="eastAsia" w:eastAsia="仿宋_GB2312"/>
          <w:sz w:val="32"/>
          <w:szCs w:val="32"/>
        </w:rPr>
        <w:t>（1）</w:t>
      </w:r>
      <w:r>
        <w:rPr>
          <w:rFonts w:eastAsia="仿宋_GB2312"/>
          <w:sz w:val="32"/>
          <w:szCs w:val="32"/>
        </w:rPr>
        <w:t>实际完成率</w:t>
      </w:r>
    </w:p>
    <w:p w14:paraId="632606A7">
      <w:pPr>
        <w:spacing w:after="0" w:line="560" w:lineRule="exact"/>
        <w:ind w:firstLine="640" w:firstLineChars="200"/>
        <w:rPr>
          <w:rFonts w:eastAsia="仿宋_GB2312"/>
          <w:sz w:val="32"/>
          <w:szCs w:val="32"/>
        </w:rPr>
      </w:pPr>
      <w:r>
        <w:rPr>
          <w:rFonts w:eastAsia="仿宋_GB2312"/>
          <w:sz w:val="32"/>
          <w:szCs w:val="32"/>
        </w:rPr>
        <w:t>数量指标1：</w:t>
      </w:r>
      <w:r>
        <w:rPr>
          <w:rFonts w:hint="eastAsia" w:eastAsia="仿宋_GB2312"/>
          <w:sz w:val="32"/>
          <w:szCs w:val="32"/>
        </w:rPr>
        <w:t>完成关键技术研究</w:t>
      </w:r>
      <w:r>
        <w:rPr>
          <w:rFonts w:eastAsia="仿宋_GB2312"/>
          <w:sz w:val="32"/>
          <w:szCs w:val="32"/>
        </w:rPr>
        <w:t>，指标值：</w:t>
      </w:r>
      <w:r>
        <w:rPr>
          <w:rFonts w:hint="eastAsia" w:ascii="宋体" w:hAnsi="宋体" w:cs="宋体"/>
          <w:sz w:val="32"/>
          <w:szCs w:val="32"/>
        </w:rPr>
        <w:t>≧</w:t>
      </w:r>
      <w:r>
        <w:rPr>
          <w:rFonts w:hint="eastAsia" w:eastAsia="仿宋_GB2312"/>
          <w:sz w:val="32"/>
          <w:szCs w:val="32"/>
        </w:rPr>
        <w:t>2项</w:t>
      </w:r>
      <w:r>
        <w:rPr>
          <w:rFonts w:eastAsia="仿宋_GB2312"/>
          <w:sz w:val="32"/>
          <w:szCs w:val="32"/>
        </w:rPr>
        <w:t>，实际完成值：</w:t>
      </w:r>
      <w:r>
        <w:rPr>
          <w:rFonts w:hint="eastAsia" w:eastAsia="仿宋_GB2312"/>
          <w:sz w:val="32"/>
          <w:szCs w:val="32"/>
        </w:rPr>
        <w:t>=2项</w:t>
      </w:r>
      <w:r>
        <w:rPr>
          <w:rFonts w:eastAsia="仿宋_GB2312"/>
          <w:sz w:val="32"/>
          <w:szCs w:val="32"/>
        </w:rPr>
        <w:t>，指标完成率</w:t>
      </w:r>
      <w:r>
        <w:rPr>
          <w:rFonts w:hint="eastAsia" w:eastAsia="仿宋_GB2312"/>
          <w:sz w:val="32"/>
          <w:szCs w:val="32"/>
        </w:rPr>
        <w:t>100</w:t>
      </w:r>
      <w:r>
        <w:rPr>
          <w:rFonts w:eastAsia="仿宋_GB2312"/>
          <w:sz w:val="32"/>
          <w:szCs w:val="32"/>
        </w:rPr>
        <w:t>%，偏差原因：</w:t>
      </w:r>
      <w:r>
        <w:rPr>
          <w:rFonts w:hint="eastAsia" w:eastAsia="仿宋_GB2312"/>
          <w:sz w:val="32"/>
          <w:szCs w:val="32"/>
        </w:rPr>
        <w:t>已完成，无偏差。</w:t>
      </w:r>
    </w:p>
    <w:p w14:paraId="0032A536">
      <w:pPr>
        <w:spacing w:after="0" w:line="560" w:lineRule="exact"/>
        <w:ind w:firstLine="640" w:firstLineChars="200"/>
        <w:rPr>
          <w:rFonts w:eastAsia="仿宋_GB2312"/>
          <w:sz w:val="32"/>
          <w:szCs w:val="32"/>
        </w:rPr>
      </w:pPr>
      <w:r>
        <w:rPr>
          <w:rFonts w:eastAsia="仿宋_GB2312"/>
          <w:sz w:val="32"/>
          <w:szCs w:val="32"/>
        </w:rPr>
        <w:t>数量指标</w:t>
      </w:r>
      <w:r>
        <w:rPr>
          <w:rFonts w:hint="eastAsia" w:eastAsia="仿宋_GB2312"/>
          <w:sz w:val="32"/>
          <w:szCs w:val="32"/>
        </w:rPr>
        <w:t>2</w:t>
      </w:r>
      <w:r>
        <w:rPr>
          <w:rFonts w:eastAsia="仿宋_GB2312"/>
          <w:sz w:val="32"/>
          <w:szCs w:val="32"/>
        </w:rPr>
        <w:t>：</w:t>
      </w:r>
      <w:r>
        <w:rPr>
          <w:rFonts w:hint="eastAsia" w:eastAsia="仿宋_GB2312"/>
          <w:sz w:val="32"/>
          <w:szCs w:val="32"/>
        </w:rPr>
        <w:t>对水网重大水利工程进行现场勘察（调研）</w:t>
      </w:r>
      <w:r>
        <w:rPr>
          <w:rFonts w:eastAsia="仿宋_GB2312"/>
          <w:sz w:val="32"/>
          <w:szCs w:val="32"/>
        </w:rPr>
        <w:t>，指标值：</w:t>
      </w:r>
      <w:r>
        <w:rPr>
          <w:rFonts w:hint="eastAsia" w:ascii="宋体" w:hAnsi="宋体" w:cs="宋体"/>
          <w:sz w:val="32"/>
          <w:szCs w:val="32"/>
        </w:rPr>
        <w:t>≧</w:t>
      </w:r>
      <w:r>
        <w:rPr>
          <w:rFonts w:hint="eastAsia" w:eastAsia="仿宋_GB2312"/>
          <w:sz w:val="32"/>
          <w:szCs w:val="32"/>
        </w:rPr>
        <w:t>6次</w:t>
      </w:r>
      <w:r>
        <w:rPr>
          <w:rFonts w:eastAsia="仿宋_GB2312"/>
          <w:sz w:val="32"/>
          <w:szCs w:val="32"/>
        </w:rPr>
        <w:t>，实际完成值：</w:t>
      </w:r>
      <w:r>
        <w:rPr>
          <w:rFonts w:hint="eastAsia" w:eastAsia="仿宋_GB2312"/>
          <w:sz w:val="32"/>
          <w:szCs w:val="32"/>
        </w:rPr>
        <w:t>6次</w:t>
      </w:r>
      <w:r>
        <w:rPr>
          <w:rFonts w:eastAsia="仿宋_GB2312"/>
          <w:sz w:val="32"/>
          <w:szCs w:val="32"/>
        </w:rPr>
        <w:t>，指标完成率</w:t>
      </w:r>
      <w:r>
        <w:rPr>
          <w:rFonts w:hint="eastAsia" w:eastAsia="仿宋_GB2312"/>
          <w:sz w:val="32"/>
          <w:szCs w:val="32"/>
        </w:rPr>
        <w:t>100</w:t>
      </w:r>
      <w:r>
        <w:rPr>
          <w:rFonts w:eastAsia="仿宋_GB2312"/>
          <w:sz w:val="32"/>
          <w:szCs w:val="32"/>
        </w:rPr>
        <w:t>%，偏差原因：</w:t>
      </w:r>
      <w:r>
        <w:rPr>
          <w:rFonts w:hint="eastAsia" w:eastAsia="仿宋_GB2312"/>
          <w:sz w:val="32"/>
          <w:szCs w:val="32"/>
        </w:rPr>
        <w:t>已完成，无偏差。</w:t>
      </w:r>
    </w:p>
    <w:p w14:paraId="64E85A8E">
      <w:pPr>
        <w:spacing w:after="0" w:line="560" w:lineRule="exact"/>
        <w:ind w:firstLine="640" w:firstLineChars="200"/>
        <w:rPr>
          <w:rFonts w:eastAsia="仿宋_GB2312"/>
          <w:sz w:val="32"/>
          <w:szCs w:val="32"/>
        </w:rPr>
      </w:pPr>
      <w:r>
        <w:rPr>
          <w:rFonts w:eastAsia="仿宋_GB2312"/>
          <w:sz w:val="32"/>
          <w:szCs w:val="32"/>
        </w:rPr>
        <w:t>数量指标</w:t>
      </w:r>
      <w:r>
        <w:rPr>
          <w:rFonts w:hint="eastAsia" w:eastAsia="仿宋_GB2312"/>
          <w:sz w:val="32"/>
          <w:szCs w:val="32"/>
        </w:rPr>
        <w:t>3</w:t>
      </w:r>
      <w:r>
        <w:rPr>
          <w:rFonts w:eastAsia="仿宋_GB2312"/>
          <w:sz w:val="32"/>
          <w:szCs w:val="32"/>
        </w:rPr>
        <w:t>：</w:t>
      </w:r>
      <w:r>
        <w:rPr>
          <w:rFonts w:hint="eastAsia" w:eastAsia="仿宋_GB2312"/>
          <w:sz w:val="32"/>
          <w:szCs w:val="32"/>
        </w:rPr>
        <w:t>审查“纲”“结”类水利项目可研或初步设计</w:t>
      </w:r>
      <w:r>
        <w:rPr>
          <w:rFonts w:eastAsia="仿宋_GB2312"/>
          <w:sz w:val="32"/>
          <w:szCs w:val="32"/>
        </w:rPr>
        <w:t>，指标值：</w:t>
      </w:r>
      <w:r>
        <w:rPr>
          <w:rFonts w:hint="eastAsia" w:eastAsia="仿宋_GB2312"/>
          <w:sz w:val="32"/>
          <w:szCs w:val="32"/>
        </w:rPr>
        <w:t>=15项</w:t>
      </w:r>
      <w:r>
        <w:rPr>
          <w:rFonts w:eastAsia="仿宋_GB2312"/>
          <w:sz w:val="32"/>
          <w:szCs w:val="32"/>
        </w:rPr>
        <w:t>，实际完成值：</w:t>
      </w:r>
      <w:r>
        <w:rPr>
          <w:rFonts w:hint="eastAsia" w:eastAsia="仿宋_GB2312"/>
          <w:sz w:val="32"/>
          <w:szCs w:val="32"/>
        </w:rPr>
        <w:t>15项</w:t>
      </w:r>
      <w:r>
        <w:rPr>
          <w:rFonts w:eastAsia="仿宋_GB2312"/>
          <w:sz w:val="32"/>
          <w:szCs w:val="32"/>
        </w:rPr>
        <w:t>，指标完成率</w:t>
      </w:r>
      <w:r>
        <w:rPr>
          <w:rFonts w:hint="eastAsia" w:eastAsia="仿宋_GB2312"/>
          <w:sz w:val="32"/>
          <w:szCs w:val="32"/>
        </w:rPr>
        <w:t>100</w:t>
      </w:r>
      <w:r>
        <w:rPr>
          <w:rFonts w:eastAsia="仿宋_GB2312"/>
          <w:sz w:val="32"/>
          <w:szCs w:val="32"/>
        </w:rPr>
        <w:t>%，偏差原因：</w:t>
      </w:r>
      <w:r>
        <w:rPr>
          <w:rFonts w:hint="eastAsia" w:eastAsia="仿宋_GB2312"/>
          <w:sz w:val="32"/>
          <w:szCs w:val="32"/>
        </w:rPr>
        <w:t>已完成，无偏差。</w:t>
      </w:r>
    </w:p>
    <w:p w14:paraId="5423EFD4">
      <w:pPr>
        <w:spacing w:after="0" w:line="560" w:lineRule="exact"/>
        <w:ind w:firstLine="640" w:firstLineChars="200"/>
        <w:rPr>
          <w:rFonts w:eastAsia="仿宋_GB2312"/>
          <w:sz w:val="32"/>
          <w:szCs w:val="32"/>
        </w:rPr>
      </w:pPr>
      <w:r>
        <w:rPr>
          <w:rFonts w:hint="eastAsia" w:eastAsia="仿宋_GB2312"/>
          <w:sz w:val="32"/>
          <w:szCs w:val="32"/>
        </w:rPr>
        <w:t>该指标满分为18分，根据评分标准得18分。</w:t>
      </w:r>
    </w:p>
    <w:p w14:paraId="68E345EB">
      <w:pPr>
        <w:spacing w:after="0" w:line="560" w:lineRule="exact"/>
        <w:ind w:firstLine="640" w:firstLineChars="200"/>
        <w:rPr>
          <w:rFonts w:eastAsia="仿宋_GB2312"/>
          <w:sz w:val="32"/>
          <w:szCs w:val="32"/>
        </w:rPr>
      </w:pPr>
      <w:r>
        <w:rPr>
          <w:rFonts w:hint="eastAsia" w:eastAsia="仿宋_GB2312"/>
          <w:sz w:val="32"/>
          <w:szCs w:val="32"/>
        </w:rPr>
        <w:t>（2）质量达标率</w:t>
      </w:r>
      <w:r>
        <w:rPr>
          <w:rFonts w:eastAsia="仿宋_GB2312"/>
          <w:sz w:val="32"/>
          <w:szCs w:val="32"/>
        </w:rPr>
        <w:t>：</w:t>
      </w:r>
    </w:p>
    <w:p w14:paraId="5110AEB4">
      <w:pPr>
        <w:spacing w:after="0" w:line="560" w:lineRule="exact"/>
        <w:ind w:firstLine="640" w:firstLineChars="200"/>
        <w:rPr>
          <w:rFonts w:eastAsia="仿宋_GB2312"/>
          <w:sz w:val="32"/>
          <w:szCs w:val="32"/>
        </w:rPr>
      </w:pPr>
      <w:r>
        <w:rPr>
          <w:rFonts w:hint="eastAsia" w:eastAsia="仿宋_GB2312"/>
          <w:sz w:val="32"/>
          <w:szCs w:val="32"/>
        </w:rPr>
        <w:t>质量</w:t>
      </w:r>
      <w:r>
        <w:rPr>
          <w:rFonts w:eastAsia="仿宋_GB2312"/>
          <w:sz w:val="32"/>
          <w:szCs w:val="32"/>
        </w:rPr>
        <w:t>指标1：</w:t>
      </w:r>
      <w:r>
        <w:rPr>
          <w:rFonts w:hint="eastAsia" w:eastAsia="仿宋_GB2312"/>
          <w:sz w:val="32"/>
          <w:szCs w:val="32"/>
        </w:rPr>
        <w:t>关键技术研究验收合格率</w:t>
      </w:r>
      <w:r>
        <w:rPr>
          <w:rFonts w:eastAsia="仿宋_GB2312"/>
          <w:sz w:val="32"/>
          <w:szCs w:val="32"/>
        </w:rPr>
        <w:t>，指标值：</w:t>
      </w:r>
      <w:r>
        <w:rPr>
          <w:rFonts w:hint="eastAsia" w:ascii="宋体" w:hAnsi="宋体" w:cs="宋体"/>
          <w:sz w:val="32"/>
          <w:szCs w:val="32"/>
        </w:rPr>
        <w:t>≧90%</w:t>
      </w:r>
      <w:r>
        <w:rPr>
          <w:rFonts w:eastAsia="仿宋_GB2312"/>
          <w:sz w:val="32"/>
          <w:szCs w:val="32"/>
        </w:rPr>
        <w:t>，实际完成值：</w:t>
      </w:r>
      <w:r>
        <w:rPr>
          <w:rFonts w:hint="eastAsia" w:eastAsia="仿宋_GB2312"/>
          <w:sz w:val="32"/>
          <w:szCs w:val="32"/>
        </w:rPr>
        <w:t>=90%</w:t>
      </w:r>
      <w:r>
        <w:rPr>
          <w:rFonts w:eastAsia="仿宋_GB2312"/>
          <w:sz w:val="32"/>
          <w:szCs w:val="32"/>
        </w:rPr>
        <w:t>，指标完成率</w:t>
      </w:r>
      <w:r>
        <w:rPr>
          <w:rFonts w:hint="eastAsia" w:eastAsia="仿宋_GB2312"/>
          <w:sz w:val="32"/>
          <w:szCs w:val="32"/>
        </w:rPr>
        <w:t>100</w:t>
      </w:r>
      <w:r>
        <w:rPr>
          <w:rFonts w:eastAsia="仿宋_GB2312"/>
          <w:sz w:val="32"/>
          <w:szCs w:val="32"/>
        </w:rPr>
        <w:t>%，偏差原因：</w:t>
      </w:r>
      <w:r>
        <w:rPr>
          <w:rFonts w:hint="eastAsia" w:eastAsia="仿宋_GB2312"/>
          <w:sz w:val="32"/>
          <w:szCs w:val="32"/>
        </w:rPr>
        <w:t>已完成，无偏差。</w:t>
      </w:r>
    </w:p>
    <w:p w14:paraId="309D18B1">
      <w:pPr>
        <w:spacing w:after="0" w:line="560" w:lineRule="exact"/>
        <w:ind w:firstLine="640" w:firstLineChars="200"/>
        <w:rPr>
          <w:rFonts w:eastAsia="仿宋_GB2312"/>
          <w:sz w:val="32"/>
          <w:szCs w:val="32"/>
        </w:rPr>
      </w:pPr>
      <w:r>
        <w:rPr>
          <w:rFonts w:hint="eastAsia" w:eastAsia="仿宋_GB2312"/>
          <w:sz w:val="32"/>
          <w:szCs w:val="32"/>
        </w:rPr>
        <w:t>质量</w:t>
      </w:r>
      <w:r>
        <w:rPr>
          <w:rFonts w:eastAsia="仿宋_GB2312"/>
          <w:sz w:val="32"/>
          <w:szCs w:val="32"/>
        </w:rPr>
        <w:t>指标</w:t>
      </w:r>
      <w:r>
        <w:rPr>
          <w:rFonts w:hint="eastAsia" w:eastAsia="仿宋_GB2312"/>
          <w:sz w:val="32"/>
          <w:szCs w:val="32"/>
        </w:rPr>
        <w:t>2</w:t>
      </w:r>
      <w:r>
        <w:rPr>
          <w:rFonts w:eastAsia="仿宋_GB2312"/>
          <w:sz w:val="32"/>
          <w:szCs w:val="32"/>
        </w:rPr>
        <w:t>：</w:t>
      </w:r>
      <w:r>
        <w:rPr>
          <w:rFonts w:hint="eastAsia" w:eastAsia="仿宋_GB2312"/>
          <w:sz w:val="32"/>
          <w:szCs w:val="32"/>
        </w:rPr>
        <w:t>水网项目出局审查（核）率</w:t>
      </w:r>
      <w:r>
        <w:rPr>
          <w:rFonts w:eastAsia="仿宋_GB2312"/>
          <w:sz w:val="32"/>
          <w:szCs w:val="32"/>
        </w:rPr>
        <w:t>，指标值：</w:t>
      </w:r>
      <w:r>
        <w:rPr>
          <w:rFonts w:hint="eastAsia" w:ascii="宋体" w:hAnsi="宋体" w:cs="宋体"/>
          <w:sz w:val="32"/>
          <w:szCs w:val="32"/>
        </w:rPr>
        <w:t>≧70%</w:t>
      </w:r>
      <w:r>
        <w:rPr>
          <w:rFonts w:eastAsia="仿宋_GB2312"/>
          <w:sz w:val="32"/>
          <w:szCs w:val="32"/>
        </w:rPr>
        <w:t>，实际完成值：</w:t>
      </w:r>
      <w:r>
        <w:rPr>
          <w:rFonts w:hint="eastAsia" w:eastAsia="仿宋_GB2312"/>
          <w:sz w:val="32"/>
          <w:szCs w:val="32"/>
        </w:rPr>
        <w:t>=70%</w:t>
      </w:r>
      <w:r>
        <w:rPr>
          <w:rFonts w:eastAsia="仿宋_GB2312"/>
          <w:sz w:val="32"/>
          <w:szCs w:val="32"/>
        </w:rPr>
        <w:t>，指标完成率</w:t>
      </w:r>
      <w:r>
        <w:rPr>
          <w:rFonts w:hint="eastAsia" w:eastAsia="仿宋_GB2312"/>
          <w:sz w:val="32"/>
          <w:szCs w:val="32"/>
        </w:rPr>
        <w:t>100</w:t>
      </w:r>
      <w:r>
        <w:rPr>
          <w:rFonts w:eastAsia="仿宋_GB2312"/>
          <w:sz w:val="32"/>
          <w:szCs w:val="32"/>
        </w:rPr>
        <w:t>%，偏差原因：</w:t>
      </w:r>
      <w:r>
        <w:rPr>
          <w:rFonts w:hint="eastAsia" w:eastAsia="仿宋_GB2312"/>
          <w:sz w:val="32"/>
          <w:szCs w:val="32"/>
        </w:rPr>
        <w:t>已完成，无偏差。</w:t>
      </w:r>
    </w:p>
    <w:p w14:paraId="64F13290">
      <w:pPr>
        <w:spacing w:after="0" w:line="560" w:lineRule="exact"/>
        <w:ind w:firstLine="640" w:firstLineChars="200"/>
        <w:rPr>
          <w:rFonts w:eastAsia="仿宋_GB2312"/>
          <w:sz w:val="32"/>
          <w:szCs w:val="32"/>
        </w:rPr>
      </w:pPr>
      <w:r>
        <w:rPr>
          <w:rFonts w:hint="eastAsia" w:eastAsia="仿宋_GB2312"/>
          <w:sz w:val="32"/>
          <w:szCs w:val="32"/>
        </w:rPr>
        <w:t>质量</w:t>
      </w:r>
      <w:r>
        <w:rPr>
          <w:rFonts w:eastAsia="仿宋_GB2312"/>
          <w:sz w:val="32"/>
          <w:szCs w:val="32"/>
        </w:rPr>
        <w:t>指标</w:t>
      </w:r>
      <w:r>
        <w:rPr>
          <w:rFonts w:hint="eastAsia" w:eastAsia="仿宋_GB2312"/>
          <w:sz w:val="32"/>
          <w:szCs w:val="32"/>
        </w:rPr>
        <w:t>3</w:t>
      </w:r>
      <w:r>
        <w:rPr>
          <w:rFonts w:eastAsia="仿宋_GB2312"/>
          <w:sz w:val="32"/>
          <w:szCs w:val="32"/>
        </w:rPr>
        <w:t>：</w:t>
      </w:r>
      <w:r>
        <w:rPr>
          <w:rFonts w:hint="eastAsia" w:eastAsia="仿宋_GB2312"/>
          <w:sz w:val="32"/>
          <w:szCs w:val="32"/>
        </w:rPr>
        <w:t>水网项目可研和初步设计阶段投资概算变幅≤10%</w:t>
      </w:r>
      <w:r>
        <w:rPr>
          <w:rFonts w:eastAsia="仿宋_GB2312"/>
          <w:sz w:val="32"/>
          <w:szCs w:val="32"/>
        </w:rPr>
        <w:t>，指标值：</w:t>
      </w:r>
      <w:r>
        <w:rPr>
          <w:rFonts w:hint="eastAsia" w:ascii="宋体" w:hAnsi="宋体" w:cs="宋体"/>
          <w:sz w:val="32"/>
          <w:szCs w:val="32"/>
        </w:rPr>
        <w:t>≧</w:t>
      </w:r>
      <w:r>
        <w:rPr>
          <w:rFonts w:hint="eastAsia" w:eastAsia="仿宋_GB2312"/>
          <w:sz w:val="32"/>
          <w:szCs w:val="32"/>
        </w:rPr>
        <w:t>3个</w:t>
      </w:r>
      <w:r>
        <w:rPr>
          <w:rFonts w:eastAsia="仿宋_GB2312"/>
          <w:sz w:val="32"/>
          <w:szCs w:val="32"/>
        </w:rPr>
        <w:t>，实际完成值：</w:t>
      </w:r>
      <w:r>
        <w:rPr>
          <w:rFonts w:hint="eastAsia" w:eastAsia="仿宋_GB2312"/>
          <w:sz w:val="32"/>
          <w:szCs w:val="32"/>
        </w:rPr>
        <w:t>3个</w:t>
      </w:r>
      <w:r>
        <w:rPr>
          <w:rFonts w:eastAsia="仿宋_GB2312"/>
          <w:sz w:val="32"/>
          <w:szCs w:val="32"/>
        </w:rPr>
        <w:t>，指标完成率</w:t>
      </w:r>
      <w:r>
        <w:rPr>
          <w:rFonts w:hint="eastAsia" w:eastAsia="仿宋_GB2312"/>
          <w:sz w:val="32"/>
          <w:szCs w:val="32"/>
        </w:rPr>
        <w:t>100</w:t>
      </w:r>
      <w:r>
        <w:rPr>
          <w:rFonts w:eastAsia="仿宋_GB2312"/>
          <w:sz w:val="32"/>
          <w:szCs w:val="32"/>
        </w:rPr>
        <w:t>%，偏差原因：</w:t>
      </w:r>
      <w:r>
        <w:rPr>
          <w:rFonts w:hint="eastAsia" w:eastAsia="仿宋_GB2312"/>
          <w:sz w:val="32"/>
          <w:szCs w:val="32"/>
        </w:rPr>
        <w:t>已完成，无偏差。</w:t>
      </w:r>
    </w:p>
    <w:p w14:paraId="5ADE18A6">
      <w:pPr>
        <w:spacing w:after="0" w:line="560" w:lineRule="exact"/>
        <w:ind w:firstLine="640" w:firstLineChars="200"/>
      </w:pPr>
      <w:r>
        <w:rPr>
          <w:rFonts w:hint="eastAsia" w:eastAsia="仿宋_GB2312"/>
          <w:sz w:val="32"/>
          <w:szCs w:val="32"/>
        </w:rPr>
        <w:t>该指标满分为10分，根据评分标准得10分。</w:t>
      </w:r>
    </w:p>
    <w:p w14:paraId="19C0762B">
      <w:pPr>
        <w:spacing w:after="0" w:line="560" w:lineRule="exact"/>
        <w:ind w:firstLine="640" w:firstLineChars="200"/>
        <w:rPr>
          <w:rFonts w:eastAsia="仿宋_GB2312"/>
          <w:sz w:val="32"/>
          <w:szCs w:val="32"/>
        </w:rPr>
      </w:pPr>
      <w:r>
        <w:rPr>
          <w:rFonts w:hint="eastAsia" w:eastAsia="仿宋_GB2312"/>
          <w:sz w:val="32"/>
          <w:szCs w:val="32"/>
        </w:rPr>
        <w:t>（3）完成及时性</w:t>
      </w:r>
      <w:r>
        <w:rPr>
          <w:rFonts w:eastAsia="仿宋_GB2312"/>
          <w:sz w:val="32"/>
          <w:szCs w:val="32"/>
        </w:rPr>
        <w:t>：</w:t>
      </w:r>
    </w:p>
    <w:p w14:paraId="670D1C72">
      <w:pPr>
        <w:spacing w:after="0" w:line="560" w:lineRule="exact"/>
        <w:ind w:firstLine="640" w:firstLineChars="200"/>
        <w:rPr>
          <w:rFonts w:eastAsia="仿宋_GB2312"/>
          <w:sz w:val="32"/>
          <w:szCs w:val="32"/>
        </w:rPr>
      </w:pPr>
      <w:r>
        <w:rPr>
          <w:rFonts w:hint="eastAsia" w:eastAsia="仿宋_GB2312"/>
          <w:sz w:val="32"/>
          <w:szCs w:val="32"/>
        </w:rPr>
        <w:t>质量</w:t>
      </w:r>
      <w:r>
        <w:rPr>
          <w:rFonts w:eastAsia="仿宋_GB2312"/>
          <w:sz w:val="32"/>
          <w:szCs w:val="32"/>
        </w:rPr>
        <w:t>指标1：</w:t>
      </w:r>
      <w:r>
        <w:rPr>
          <w:rFonts w:hint="eastAsia" w:eastAsia="仿宋_GB2312"/>
          <w:sz w:val="32"/>
          <w:szCs w:val="32"/>
        </w:rPr>
        <w:t>及时组织对水网项目进行技术审查或讨论</w:t>
      </w:r>
      <w:r>
        <w:rPr>
          <w:rFonts w:eastAsia="仿宋_GB2312"/>
          <w:sz w:val="32"/>
          <w:szCs w:val="32"/>
        </w:rPr>
        <w:t>，指标值：</w:t>
      </w:r>
      <w:r>
        <w:rPr>
          <w:rFonts w:hint="eastAsia" w:eastAsia="仿宋_GB2312"/>
          <w:sz w:val="32"/>
          <w:szCs w:val="32"/>
        </w:rPr>
        <w:t>=12月底</w:t>
      </w:r>
      <w:r>
        <w:rPr>
          <w:rFonts w:eastAsia="仿宋_GB2312"/>
          <w:sz w:val="32"/>
          <w:szCs w:val="32"/>
        </w:rPr>
        <w:t>，实际完成值：</w:t>
      </w:r>
      <w:r>
        <w:rPr>
          <w:rFonts w:hint="eastAsia" w:eastAsia="仿宋_GB2312"/>
          <w:sz w:val="32"/>
          <w:szCs w:val="32"/>
        </w:rPr>
        <w:t>=12月底</w:t>
      </w:r>
      <w:r>
        <w:rPr>
          <w:rFonts w:eastAsia="仿宋_GB2312"/>
          <w:sz w:val="32"/>
          <w:szCs w:val="32"/>
        </w:rPr>
        <w:t>，指标完成率</w:t>
      </w:r>
      <w:r>
        <w:rPr>
          <w:rFonts w:hint="eastAsia" w:eastAsia="仿宋_GB2312"/>
          <w:sz w:val="32"/>
          <w:szCs w:val="32"/>
        </w:rPr>
        <w:t>100</w:t>
      </w:r>
      <w:r>
        <w:rPr>
          <w:rFonts w:eastAsia="仿宋_GB2312"/>
          <w:sz w:val="32"/>
          <w:szCs w:val="32"/>
        </w:rPr>
        <w:t>%，偏差原因：</w:t>
      </w:r>
      <w:r>
        <w:rPr>
          <w:rFonts w:hint="eastAsia" w:eastAsia="仿宋_GB2312"/>
          <w:sz w:val="32"/>
          <w:szCs w:val="32"/>
        </w:rPr>
        <w:t>已完成，无偏差。</w:t>
      </w:r>
    </w:p>
    <w:p w14:paraId="66365F02">
      <w:pPr>
        <w:spacing w:after="0" w:line="560" w:lineRule="exact"/>
        <w:ind w:firstLine="640" w:firstLineChars="200"/>
        <w:rPr>
          <w:rFonts w:eastAsia="仿宋_GB2312"/>
          <w:sz w:val="32"/>
          <w:szCs w:val="32"/>
        </w:rPr>
      </w:pPr>
      <w:r>
        <w:rPr>
          <w:rFonts w:hint="eastAsia" w:eastAsia="仿宋_GB2312"/>
          <w:sz w:val="32"/>
          <w:szCs w:val="32"/>
        </w:rPr>
        <w:t>质量</w:t>
      </w:r>
      <w:r>
        <w:rPr>
          <w:rFonts w:eastAsia="仿宋_GB2312"/>
          <w:sz w:val="32"/>
          <w:szCs w:val="32"/>
        </w:rPr>
        <w:t>指标</w:t>
      </w:r>
      <w:r>
        <w:rPr>
          <w:rFonts w:hint="eastAsia" w:eastAsia="仿宋_GB2312"/>
          <w:sz w:val="32"/>
          <w:szCs w:val="32"/>
        </w:rPr>
        <w:t>2</w:t>
      </w:r>
      <w:r>
        <w:rPr>
          <w:rFonts w:eastAsia="仿宋_GB2312"/>
          <w:sz w:val="32"/>
          <w:szCs w:val="32"/>
        </w:rPr>
        <w:t>：</w:t>
      </w:r>
      <w:r>
        <w:rPr>
          <w:rFonts w:hint="eastAsia" w:eastAsia="仿宋_GB2312"/>
          <w:sz w:val="32"/>
          <w:szCs w:val="32"/>
        </w:rPr>
        <w:t>按时对水网重大水利工程进行现场勘察（调研）</w:t>
      </w:r>
      <w:r>
        <w:rPr>
          <w:rFonts w:eastAsia="仿宋_GB2312"/>
          <w:sz w:val="32"/>
          <w:szCs w:val="32"/>
        </w:rPr>
        <w:t>，指标值：</w:t>
      </w:r>
      <w:r>
        <w:rPr>
          <w:rFonts w:hint="eastAsia" w:ascii="宋体" w:hAnsi="宋体" w:cs="宋体"/>
          <w:sz w:val="32"/>
          <w:szCs w:val="32"/>
        </w:rPr>
        <w:t>≦</w:t>
      </w:r>
      <w:r>
        <w:rPr>
          <w:rFonts w:hint="eastAsia" w:eastAsia="仿宋_GB2312"/>
          <w:sz w:val="32"/>
          <w:szCs w:val="32"/>
        </w:rPr>
        <w:t>20工作日</w:t>
      </w:r>
      <w:r>
        <w:rPr>
          <w:rFonts w:eastAsia="仿宋_GB2312"/>
          <w:sz w:val="32"/>
          <w:szCs w:val="32"/>
        </w:rPr>
        <w:t>，实际完成值：</w:t>
      </w:r>
      <w:r>
        <w:rPr>
          <w:rFonts w:hint="eastAsia" w:eastAsia="仿宋_GB2312"/>
          <w:sz w:val="32"/>
          <w:szCs w:val="32"/>
        </w:rPr>
        <w:t>=20工作日</w:t>
      </w:r>
      <w:r>
        <w:rPr>
          <w:rFonts w:eastAsia="仿宋_GB2312"/>
          <w:sz w:val="32"/>
          <w:szCs w:val="32"/>
        </w:rPr>
        <w:t>，指标完成率</w:t>
      </w:r>
      <w:r>
        <w:rPr>
          <w:rFonts w:hint="eastAsia" w:eastAsia="仿宋_GB2312"/>
          <w:sz w:val="32"/>
          <w:szCs w:val="32"/>
        </w:rPr>
        <w:t>100</w:t>
      </w:r>
      <w:r>
        <w:rPr>
          <w:rFonts w:eastAsia="仿宋_GB2312"/>
          <w:sz w:val="32"/>
          <w:szCs w:val="32"/>
        </w:rPr>
        <w:t>%，偏差原因：</w:t>
      </w:r>
      <w:r>
        <w:rPr>
          <w:rFonts w:hint="eastAsia" w:eastAsia="仿宋_GB2312"/>
          <w:sz w:val="32"/>
          <w:szCs w:val="32"/>
        </w:rPr>
        <w:t>已完成，无偏差。</w:t>
      </w:r>
    </w:p>
    <w:p w14:paraId="05BD32E6">
      <w:pPr>
        <w:spacing w:after="0" w:line="560" w:lineRule="exact"/>
        <w:ind w:firstLine="640" w:firstLineChars="200"/>
        <w:rPr>
          <w:rFonts w:eastAsia="仿宋_GB2312"/>
          <w:sz w:val="32"/>
          <w:szCs w:val="32"/>
        </w:rPr>
      </w:pPr>
      <w:r>
        <w:rPr>
          <w:rFonts w:hint="eastAsia" w:eastAsia="仿宋_GB2312"/>
          <w:sz w:val="32"/>
          <w:szCs w:val="32"/>
        </w:rPr>
        <w:t>质量</w:t>
      </w:r>
      <w:r>
        <w:rPr>
          <w:rFonts w:eastAsia="仿宋_GB2312"/>
          <w:sz w:val="32"/>
          <w:szCs w:val="32"/>
        </w:rPr>
        <w:t>指标</w:t>
      </w:r>
      <w:r>
        <w:rPr>
          <w:rFonts w:hint="eastAsia" w:eastAsia="仿宋_GB2312"/>
          <w:sz w:val="32"/>
          <w:szCs w:val="32"/>
        </w:rPr>
        <w:t>3</w:t>
      </w:r>
      <w:r>
        <w:rPr>
          <w:rFonts w:eastAsia="仿宋_GB2312"/>
          <w:sz w:val="32"/>
          <w:szCs w:val="32"/>
        </w:rPr>
        <w:t>：</w:t>
      </w:r>
      <w:r>
        <w:rPr>
          <w:rFonts w:hint="eastAsia" w:eastAsia="仿宋_GB2312"/>
          <w:sz w:val="32"/>
          <w:szCs w:val="32"/>
        </w:rPr>
        <w:t>及时出具相关审查意见</w:t>
      </w:r>
      <w:r>
        <w:rPr>
          <w:rFonts w:eastAsia="仿宋_GB2312"/>
          <w:sz w:val="32"/>
          <w:szCs w:val="32"/>
        </w:rPr>
        <w:t>，指标值：</w:t>
      </w:r>
      <w:r>
        <w:rPr>
          <w:rFonts w:hint="eastAsia" w:ascii="宋体" w:hAnsi="宋体" w:cs="宋体"/>
          <w:sz w:val="32"/>
          <w:szCs w:val="32"/>
        </w:rPr>
        <w:t>≦</w:t>
      </w:r>
      <w:r>
        <w:rPr>
          <w:rFonts w:hint="eastAsia" w:eastAsia="仿宋_GB2312"/>
          <w:sz w:val="32"/>
          <w:szCs w:val="32"/>
        </w:rPr>
        <w:t>20工作日</w:t>
      </w:r>
      <w:r>
        <w:rPr>
          <w:rFonts w:eastAsia="仿宋_GB2312"/>
          <w:sz w:val="32"/>
          <w:szCs w:val="32"/>
        </w:rPr>
        <w:t>，实际完成值：</w:t>
      </w:r>
      <w:r>
        <w:rPr>
          <w:rFonts w:hint="eastAsia" w:eastAsia="仿宋_GB2312"/>
          <w:sz w:val="32"/>
          <w:szCs w:val="32"/>
        </w:rPr>
        <w:t>=20工作日</w:t>
      </w:r>
      <w:r>
        <w:rPr>
          <w:rFonts w:eastAsia="仿宋_GB2312"/>
          <w:sz w:val="32"/>
          <w:szCs w:val="32"/>
        </w:rPr>
        <w:t>，指标完成率</w:t>
      </w:r>
      <w:r>
        <w:rPr>
          <w:rFonts w:hint="eastAsia" w:eastAsia="仿宋_GB2312"/>
          <w:sz w:val="32"/>
          <w:szCs w:val="32"/>
        </w:rPr>
        <w:t>100</w:t>
      </w:r>
      <w:r>
        <w:rPr>
          <w:rFonts w:eastAsia="仿宋_GB2312"/>
          <w:sz w:val="32"/>
          <w:szCs w:val="32"/>
        </w:rPr>
        <w:t>%，偏差原因：</w:t>
      </w:r>
      <w:r>
        <w:rPr>
          <w:rFonts w:hint="eastAsia" w:eastAsia="仿宋_GB2312"/>
          <w:sz w:val="32"/>
          <w:szCs w:val="32"/>
        </w:rPr>
        <w:t>已完成，无偏差。</w:t>
      </w:r>
    </w:p>
    <w:p w14:paraId="7708D0DB">
      <w:pPr>
        <w:spacing w:after="0" w:line="560" w:lineRule="exact"/>
        <w:ind w:firstLine="640" w:firstLineChars="200"/>
      </w:pPr>
      <w:r>
        <w:rPr>
          <w:rFonts w:hint="eastAsia" w:eastAsia="仿宋_GB2312"/>
          <w:sz w:val="32"/>
          <w:szCs w:val="32"/>
        </w:rPr>
        <w:t>该指标满分为12分，根据评分标准得12分。</w:t>
      </w:r>
    </w:p>
    <w:p w14:paraId="5FE726BA">
      <w:pPr>
        <w:pStyle w:val="14"/>
        <w:spacing w:line="560" w:lineRule="exact"/>
        <w:ind w:firstLine="643"/>
        <w:outlineLvl w:val="1"/>
        <w:rPr>
          <w:rFonts w:eastAsia="楷体_GB2312"/>
          <w:b/>
          <w:bCs/>
          <w:sz w:val="32"/>
          <w:szCs w:val="32"/>
        </w:rPr>
      </w:pPr>
      <w:bookmarkStart w:id="64" w:name="_Toc18470"/>
      <w:bookmarkStart w:id="65" w:name="_Toc21462"/>
      <w:r>
        <w:rPr>
          <w:rFonts w:hint="eastAsia" w:eastAsia="楷体_GB2312"/>
          <w:b/>
          <w:bCs/>
          <w:sz w:val="32"/>
          <w:szCs w:val="32"/>
        </w:rPr>
        <w:t>（四）</w:t>
      </w:r>
      <w:r>
        <w:rPr>
          <w:rFonts w:eastAsia="楷体_GB2312"/>
          <w:b/>
          <w:bCs/>
          <w:sz w:val="32"/>
          <w:szCs w:val="32"/>
        </w:rPr>
        <w:t>项目效益情况</w:t>
      </w:r>
      <w:bookmarkEnd w:id="64"/>
    </w:p>
    <w:p w14:paraId="176315E9">
      <w:pPr>
        <w:spacing w:after="0" w:line="560" w:lineRule="exact"/>
        <w:ind w:firstLine="640" w:firstLineChars="200"/>
        <w:rPr>
          <w:rFonts w:eastAsia="仿宋_GB2312"/>
          <w:sz w:val="32"/>
          <w:szCs w:val="32"/>
        </w:rPr>
      </w:pPr>
      <w:r>
        <w:rPr>
          <w:rFonts w:eastAsia="仿宋_GB2312"/>
          <w:sz w:val="32"/>
          <w:szCs w:val="32"/>
        </w:rPr>
        <w:t>项目效益类指标包括项目实施效益和满意度两方面的内容，由</w:t>
      </w:r>
      <w:r>
        <w:rPr>
          <w:rFonts w:hint="eastAsia" w:eastAsia="仿宋_GB2312"/>
          <w:sz w:val="32"/>
          <w:szCs w:val="32"/>
        </w:rPr>
        <w:t>2</w:t>
      </w:r>
      <w:r>
        <w:rPr>
          <w:rFonts w:eastAsia="仿宋_GB2312"/>
          <w:sz w:val="32"/>
          <w:szCs w:val="32"/>
        </w:rPr>
        <w:t>个三级指标构成，权重分为20分，实际得分</w:t>
      </w:r>
      <w:r>
        <w:rPr>
          <w:rFonts w:hint="eastAsia" w:eastAsia="仿宋_GB2312"/>
          <w:sz w:val="32"/>
          <w:szCs w:val="32"/>
        </w:rPr>
        <w:t>19.9</w:t>
      </w:r>
      <w:r>
        <w:rPr>
          <w:rFonts w:eastAsia="仿宋_GB2312"/>
          <w:sz w:val="32"/>
          <w:szCs w:val="32"/>
        </w:rPr>
        <w:t>分，得分率为</w:t>
      </w:r>
      <w:r>
        <w:rPr>
          <w:rFonts w:hint="eastAsia" w:eastAsia="仿宋_GB2312"/>
          <w:sz w:val="32"/>
          <w:szCs w:val="32"/>
        </w:rPr>
        <w:t>99.5</w:t>
      </w:r>
      <w:r>
        <w:rPr>
          <w:rFonts w:eastAsia="仿宋_GB2312"/>
          <w:sz w:val="32"/>
          <w:szCs w:val="32"/>
        </w:rPr>
        <w:t>%。具体效益指标及满意度指标完成情况如下：</w:t>
      </w:r>
    </w:p>
    <w:p w14:paraId="7DD79713">
      <w:pPr>
        <w:spacing w:after="0" w:line="560" w:lineRule="exact"/>
        <w:ind w:firstLine="640" w:firstLineChars="200"/>
        <w:outlineLvl w:val="2"/>
        <w:rPr>
          <w:rFonts w:eastAsia="仿宋_GB2312"/>
          <w:color w:val="FF0000"/>
          <w:sz w:val="32"/>
          <w:szCs w:val="32"/>
        </w:rPr>
      </w:pPr>
      <w:bookmarkStart w:id="66" w:name="_Toc21198"/>
      <w:r>
        <w:rPr>
          <w:rFonts w:hint="eastAsia" w:eastAsia="仿宋_GB2312"/>
          <w:sz w:val="32"/>
          <w:szCs w:val="32"/>
        </w:rPr>
        <w:t>（1）</w:t>
      </w:r>
      <w:r>
        <w:rPr>
          <w:rFonts w:eastAsia="仿宋_GB2312"/>
          <w:sz w:val="32"/>
          <w:szCs w:val="32"/>
        </w:rPr>
        <w:t>实施效益</w:t>
      </w:r>
      <w:bookmarkEnd w:id="66"/>
    </w:p>
    <w:p w14:paraId="7F317DDF">
      <w:pPr>
        <w:spacing w:after="0" w:line="560" w:lineRule="exact"/>
        <w:ind w:firstLine="640" w:firstLineChars="200"/>
        <w:rPr>
          <w:rFonts w:eastAsia="仿宋_GB2312"/>
          <w:sz w:val="32"/>
          <w:szCs w:val="32"/>
        </w:rPr>
      </w:pPr>
      <w:r>
        <w:rPr>
          <w:rFonts w:eastAsia="仿宋_GB2312"/>
          <w:sz w:val="32"/>
          <w:szCs w:val="32"/>
        </w:rPr>
        <w:t>社会效益指标：</w:t>
      </w:r>
    </w:p>
    <w:p w14:paraId="6612F103">
      <w:pPr>
        <w:spacing w:after="0" w:line="560" w:lineRule="exact"/>
        <w:ind w:firstLine="640" w:firstLineChars="200"/>
        <w:rPr>
          <w:rFonts w:eastAsia="仿宋_GB2312"/>
          <w:sz w:val="32"/>
          <w:szCs w:val="32"/>
        </w:rPr>
      </w:pPr>
      <w:r>
        <w:rPr>
          <w:rFonts w:hint="eastAsia" w:eastAsia="仿宋_GB2312"/>
          <w:sz w:val="32"/>
          <w:szCs w:val="32"/>
        </w:rPr>
        <w:t>增加全区水库库容、提高天然径流调蓄能力</w:t>
      </w:r>
      <w:r>
        <w:rPr>
          <w:rFonts w:eastAsia="仿宋_GB2312"/>
          <w:sz w:val="32"/>
          <w:szCs w:val="32"/>
        </w:rPr>
        <w:t>指标值：</w:t>
      </w:r>
      <w:r>
        <w:rPr>
          <w:rFonts w:hint="eastAsia" w:eastAsia="仿宋_GB2312"/>
          <w:sz w:val="32"/>
          <w:szCs w:val="32"/>
        </w:rPr>
        <w:t>&gt;=5000万立方米</w:t>
      </w:r>
      <w:r>
        <w:rPr>
          <w:rFonts w:eastAsia="仿宋_GB2312"/>
          <w:sz w:val="32"/>
          <w:szCs w:val="32"/>
        </w:rPr>
        <w:t>，实际完成值：</w:t>
      </w:r>
      <w:r>
        <w:rPr>
          <w:rFonts w:hint="eastAsia" w:eastAsia="仿宋_GB2312"/>
          <w:sz w:val="32"/>
          <w:szCs w:val="32"/>
        </w:rPr>
        <w:t>=5020万立方米</w:t>
      </w:r>
      <w:r>
        <w:rPr>
          <w:rFonts w:eastAsia="仿宋_GB2312"/>
          <w:sz w:val="32"/>
          <w:szCs w:val="32"/>
        </w:rPr>
        <w:t>，指标完成率</w:t>
      </w:r>
      <w:r>
        <w:rPr>
          <w:rFonts w:hint="eastAsia" w:eastAsia="仿宋_GB2312"/>
          <w:sz w:val="32"/>
          <w:szCs w:val="32"/>
        </w:rPr>
        <w:t>99.6</w:t>
      </w:r>
      <w:r>
        <w:rPr>
          <w:rFonts w:eastAsia="仿宋_GB2312"/>
          <w:sz w:val="32"/>
          <w:szCs w:val="32"/>
        </w:rPr>
        <w:t>%，偏差原因：</w:t>
      </w:r>
      <w:r>
        <w:rPr>
          <w:rFonts w:hint="eastAsia" w:eastAsia="仿宋_GB2312"/>
          <w:sz w:val="32"/>
          <w:szCs w:val="32"/>
        </w:rPr>
        <w:t>因已审查水库库容累计为5000</w:t>
      </w:r>
      <w:r>
        <w:rPr>
          <w:rFonts w:eastAsia="仿宋_GB2312"/>
          <w:sz w:val="32"/>
          <w:szCs w:val="32"/>
        </w:rPr>
        <w:t>万立方米</w:t>
      </w:r>
      <w:r>
        <w:rPr>
          <w:rFonts w:hint="eastAsia" w:eastAsia="仿宋_GB2312"/>
          <w:sz w:val="32"/>
          <w:szCs w:val="32"/>
        </w:rPr>
        <w:t>，超过原目标值20</w:t>
      </w:r>
      <w:r>
        <w:rPr>
          <w:rFonts w:eastAsia="仿宋_GB2312"/>
          <w:sz w:val="32"/>
          <w:szCs w:val="32"/>
        </w:rPr>
        <w:t>万立方米</w:t>
      </w:r>
      <w:r>
        <w:rPr>
          <w:rFonts w:hint="eastAsia" w:eastAsia="仿宋_GB2312"/>
          <w:sz w:val="32"/>
          <w:szCs w:val="32"/>
        </w:rPr>
        <w:t>，属于大于5000万立方米指标内。</w:t>
      </w:r>
    </w:p>
    <w:p w14:paraId="23581B8F">
      <w:pPr>
        <w:spacing w:after="0" w:line="560" w:lineRule="exact"/>
        <w:ind w:firstLine="640" w:firstLineChars="200"/>
        <w:outlineLvl w:val="0"/>
        <w:rPr>
          <w:rFonts w:hint="eastAsia" w:ascii="黑体" w:hAnsi="黑体" w:eastAsia="黑体" w:cs="黑体"/>
          <w:sz w:val="32"/>
          <w:szCs w:val="32"/>
        </w:rPr>
      </w:pPr>
      <w:r>
        <w:rPr>
          <w:rFonts w:hint="eastAsia" w:ascii="黑体" w:hAnsi="黑体" w:eastAsia="黑体" w:cs="黑体"/>
          <w:sz w:val="32"/>
          <w:szCs w:val="32"/>
        </w:rPr>
        <w:t>五、预算执行进度与</w:t>
      </w:r>
      <w:bookmarkEnd w:id="65"/>
      <w:r>
        <w:rPr>
          <w:rFonts w:hint="eastAsia" w:ascii="黑体" w:hAnsi="黑体" w:eastAsia="黑体" w:cs="黑体"/>
          <w:sz w:val="32"/>
          <w:szCs w:val="32"/>
        </w:rPr>
        <w:t>绩效指标偏差</w:t>
      </w:r>
    </w:p>
    <w:p w14:paraId="42E57272">
      <w:pPr>
        <w:pStyle w:val="24"/>
        <w:spacing w:after="0" w:line="560" w:lineRule="exact"/>
        <w:ind w:firstLine="640"/>
        <w:rPr>
          <w:rFonts w:eastAsia="仿宋_GB2312"/>
          <w:sz w:val="32"/>
          <w:szCs w:val="32"/>
        </w:rPr>
      </w:pPr>
      <w:r>
        <w:rPr>
          <w:rFonts w:eastAsia="仿宋_GB2312"/>
          <w:sz w:val="32"/>
          <w:szCs w:val="32"/>
        </w:rPr>
        <w:t>推进新疆水网及地县级水网骨干工程前期论证实施项目年初预算300万元，全年预算300万元，实际支出299.6万元，预算执行率为99.87%，项目绩效指标总体完成率为99.67%，总体偏差率为0.33%，偏差原因：资金支付异常情况未及时跟踪，导致未及时支付到位。改进措施：每季度资金支付要按进度完成;支付出现问题时，单位相关人员要及时发现问题并解决;要进一步提高资金管理，强化监督，提升支付效率。</w:t>
      </w:r>
    </w:p>
    <w:p w14:paraId="76897B8C">
      <w:pPr>
        <w:spacing w:after="0" w:line="560" w:lineRule="exact"/>
        <w:ind w:firstLine="640" w:firstLineChars="200"/>
        <w:outlineLvl w:val="0"/>
        <w:rPr>
          <w:rStyle w:val="23"/>
          <w:rFonts w:ascii="Times New Roman" w:hAnsi="Times New Roman" w:cs="Times New Roman"/>
          <w:color w:val="auto"/>
        </w:rPr>
      </w:pPr>
      <w:bookmarkStart w:id="67" w:name="_Toc18363"/>
      <w:r>
        <w:rPr>
          <w:rFonts w:hint="eastAsia" w:eastAsia="黑体"/>
          <w:sz w:val="32"/>
          <w:szCs w:val="32"/>
        </w:rPr>
        <w:t>六</w:t>
      </w:r>
      <w:r>
        <w:rPr>
          <w:rFonts w:eastAsia="仿宋_GB2312"/>
          <w:b/>
          <w:bCs/>
          <w:sz w:val="32"/>
          <w:szCs w:val="32"/>
        </w:rPr>
        <w:t>.</w:t>
      </w:r>
      <w:r>
        <w:rPr>
          <w:rFonts w:eastAsia="黑体"/>
          <w:sz w:val="32"/>
          <w:szCs w:val="32"/>
        </w:rPr>
        <w:t>主要经验及做法、存在的问题及原因分析</w:t>
      </w:r>
      <w:bookmarkEnd w:id="67"/>
    </w:p>
    <w:p w14:paraId="3B51A2C2">
      <w:pPr>
        <w:spacing w:after="0" w:line="560" w:lineRule="exact"/>
        <w:ind w:firstLine="627" w:firstLineChars="200"/>
        <w:outlineLvl w:val="1"/>
        <w:rPr>
          <w:rFonts w:eastAsia="楷体"/>
          <w:b/>
          <w:spacing w:val="-4"/>
          <w:sz w:val="32"/>
          <w:szCs w:val="32"/>
        </w:rPr>
      </w:pPr>
      <w:bookmarkStart w:id="68" w:name="_Toc22741"/>
      <w:r>
        <w:rPr>
          <w:rFonts w:eastAsia="楷体"/>
          <w:b/>
          <w:spacing w:val="-4"/>
          <w:sz w:val="32"/>
          <w:szCs w:val="32"/>
        </w:rPr>
        <w:t>（一）主要经验及做法</w:t>
      </w:r>
      <w:bookmarkEnd w:id="68"/>
    </w:p>
    <w:p w14:paraId="4E77BE1A">
      <w:pPr>
        <w:pStyle w:val="13"/>
        <w:spacing w:before="0" w:after="0" w:line="560" w:lineRule="exact"/>
        <w:ind w:firstLine="640" w:firstLineChars="200"/>
        <w:jc w:val="left"/>
        <w:outlineLvl w:val="9"/>
        <w:rPr>
          <w:rFonts w:ascii="Times New Roman" w:hAnsi="Times New Roman" w:eastAsia="仿宋_GB2312"/>
          <w:b w:val="0"/>
          <w:bCs w:val="0"/>
        </w:rPr>
      </w:pPr>
      <w:r>
        <w:rPr>
          <w:rFonts w:ascii="Times New Roman" w:hAnsi="Times New Roman" w:eastAsia="仿宋_GB2312"/>
          <w:b w:val="0"/>
          <w:bCs w:val="0"/>
        </w:rPr>
        <w:t>本项目在实施中注重精准施策与闭环管理。项目启动前，立足核心定位深入调研需求，明确总体目标与阶段性任务，科学编制实施方案和绩效指标体系，确保各环节任务分工、时间节点、责任主体清晰可控；资金管理上严格遵循 “预算引领、专款专用” 原则，从编制、使用到监控全流程把关，保障资金合规高效使用。</w:t>
      </w:r>
    </w:p>
    <w:p w14:paraId="6C271A6B">
      <w:pPr>
        <w:pStyle w:val="13"/>
        <w:spacing w:before="0" w:after="0" w:line="560" w:lineRule="exact"/>
        <w:ind w:firstLine="640" w:firstLineChars="200"/>
        <w:jc w:val="left"/>
        <w:outlineLvl w:val="9"/>
        <w:rPr>
          <w:rFonts w:ascii="Times New Roman" w:hAnsi="Times New Roman" w:eastAsia="仿宋_GB2312"/>
          <w:b w:val="0"/>
          <w:bCs w:val="0"/>
          <w:kern w:val="2"/>
        </w:rPr>
      </w:pPr>
      <w:r>
        <w:rPr>
          <w:rFonts w:ascii="Times New Roman" w:hAnsi="Times New Roman" w:eastAsia="仿宋_GB2312"/>
          <w:b w:val="0"/>
          <w:bCs w:val="0"/>
        </w:rPr>
        <w:t>同时，强化协同联动与过程管控，建立沟通协作机制，及时协调解决实施中的堵点问题；通过实施“纲”和“目”类项目对前期论证和加强关键技术研究</w:t>
      </w:r>
      <w:r>
        <w:rPr>
          <w:rFonts w:hint="eastAsia" w:ascii="Times New Roman" w:hAnsi="Times New Roman" w:eastAsia="仿宋_GB2312"/>
          <w:b w:val="0"/>
          <w:bCs w:val="0"/>
        </w:rPr>
        <w:t>，</w:t>
      </w:r>
      <w:r>
        <w:rPr>
          <w:rFonts w:ascii="Times New Roman" w:hAnsi="Times New Roman" w:eastAsia="仿宋_GB2312"/>
          <w:b w:val="0"/>
          <w:bCs w:val="0"/>
        </w:rPr>
        <w:t>提高全区水资源配置能力、有效解决水资源时</w:t>
      </w:r>
      <w:r>
        <w:rPr>
          <w:rFonts w:hint="eastAsia" w:ascii="Times New Roman" w:hAnsi="Times New Roman" w:eastAsia="仿宋_GB2312"/>
          <w:b w:val="0"/>
          <w:bCs w:val="0"/>
        </w:rPr>
        <w:t>空</w:t>
      </w:r>
      <w:r>
        <w:rPr>
          <w:rFonts w:ascii="Times New Roman" w:hAnsi="Times New Roman" w:eastAsia="仿宋_GB2312"/>
          <w:b w:val="0"/>
          <w:bCs w:val="0"/>
        </w:rPr>
        <w:t>分布不均的问题，通过实施“结”类项目增加全区水库</w:t>
      </w:r>
      <w:r>
        <w:rPr>
          <w:rFonts w:hint="eastAsia" w:ascii="Times New Roman" w:hAnsi="Times New Roman" w:eastAsia="仿宋_GB2312"/>
          <w:b w:val="0"/>
          <w:bCs w:val="0"/>
        </w:rPr>
        <w:t>调蓄库容</w:t>
      </w:r>
      <w:r>
        <w:rPr>
          <w:rFonts w:ascii="Times New Roman" w:hAnsi="Times New Roman" w:eastAsia="仿宋_GB2312"/>
          <w:b w:val="0"/>
          <w:bCs w:val="0"/>
        </w:rPr>
        <w:t>，提升水资源调配</w:t>
      </w:r>
      <w:r>
        <w:rPr>
          <w:rFonts w:hint="eastAsia" w:ascii="Times New Roman" w:hAnsi="Times New Roman" w:eastAsia="仿宋_GB2312"/>
          <w:b w:val="0"/>
          <w:bCs w:val="0"/>
        </w:rPr>
        <w:t>能力</w:t>
      </w:r>
      <w:r>
        <w:rPr>
          <w:rFonts w:ascii="Times New Roman" w:hAnsi="Times New Roman" w:eastAsia="仿宋_GB2312"/>
          <w:b w:val="0"/>
          <w:bCs w:val="0"/>
        </w:rPr>
        <w:t>。加快了实施水网建设规划的部署</w:t>
      </w:r>
      <w:r>
        <w:rPr>
          <w:rFonts w:hint="eastAsia" w:ascii="Times New Roman" w:hAnsi="Times New Roman" w:eastAsia="仿宋_GB2312"/>
          <w:b w:val="0"/>
          <w:bCs w:val="0"/>
        </w:rPr>
        <w:t>要求落</w:t>
      </w:r>
      <w:r>
        <w:rPr>
          <w:rFonts w:ascii="Times New Roman" w:hAnsi="Times New Roman" w:eastAsia="仿宋_GB2312"/>
          <w:b w:val="0"/>
          <w:bCs w:val="0"/>
        </w:rPr>
        <w:t>实落地，进一步提升了水资源对经济社会高质量发展的支撑和保障作用。推动项目产出持续发挥综合价值，为同类项目实施提供了实用参考。</w:t>
      </w:r>
    </w:p>
    <w:p w14:paraId="2BF57501">
      <w:pPr>
        <w:keepNext/>
        <w:keepLines/>
        <w:numPr>
          <w:ilvl w:val="0"/>
          <w:numId w:val="5"/>
        </w:numPr>
        <w:spacing w:after="0" w:line="560" w:lineRule="exact"/>
        <w:ind w:firstLine="643" w:firstLineChars="200"/>
        <w:outlineLvl w:val="1"/>
        <w:rPr>
          <w:rFonts w:eastAsia="楷体_GB2312"/>
          <w:b/>
          <w:bCs/>
          <w:sz w:val="32"/>
          <w:szCs w:val="32"/>
        </w:rPr>
      </w:pPr>
      <w:bookmarkStart w:id="69" w:name="_Toc7835"/>
      <w:r>
        <w:rPr>
          <w:rFonts w:eastAsia="楷体_GB2312"/>
          <w:b/>
          <w:bCs/>
          <w:sz w:val="32"/>
          <w:szCs w:val="32"/>
        </w:rPr>
        <w:t>存在的问题及原因分析</w:t>
      </w:r>
      <w:bookmarkEnd w:id="69"/>
    </w:p>
    <w:p w14:paraId="1C84A566">
      <w:pPr>
        <w:spacing w:after="0" w:line="560" w:lineRule="exact"/>
        <w:ind w:firstLine="640" w:firstLineChars="200"/>
        <w:rPr>
          <w:rFonts w:eastAsia="仿宋_GB2312"/>
          <w:sz w:val="32"/>
          <w:szCs w:val="32"/>
        </w:rPr>
      </w:pPr>
      <w:r>
        <w:rPr>
          <w:rFonts w:eastAsia="仿宋_GB2312"/>
          <w:sz w:val="32"/>
          <w:szCs w:val="32"/>
        </w:rPr>
        <w:t>1.相关绩效管理方面专业知识的系统性学习有待加强。各项指标的设置要进一步优化、完善，主要在细化、量化上改进。</w:t>
      </w:r>
    </w:p>
    <w:p w14:paraId="7AEAE676">
      <w:pPr>
        <w:spacing w:after="0" w:line="560" w:lineRule="exact"/>
        <w:ind w:firstLine="640" w:firstLineChars="200"/>
        <w:rPr>
          <w:rFonts w:eastAsia="仿宋_GB2312"/>
          <w:sz w:val="32"/>
          <w:szCs w:val="32"/>
        </w:rPr>
      </w:pPr>
      <w:r>
        <w:rPr>
          <w:rFonts w:eastAsia="仿宋_GB2312"/>
          <w:sz w:val="32"/>
          <w:szCs w:val="32"/>
        </w:rPr>
        <w:t>2.水网建设项目前期论证和关键技术研究还需深度研究</w:t>
      </w:r>
      <w:r>
        <w:rPr>
          <w:rFonts w:hint="eastAsia" w:eastAsia="仿宋_GB2312"/>
          <w:sz w:val="32"/>
          <w:szCs w:val="32"/>
        </w:rPr>
        <w:t>。</w:t>
      </w:r>
    </w:p>
    <w:p w14:paraId="537BC968">
      <w:pPr>
        <w:spacing w:after="0" w:line="560" w:lineRule="exact"/>
        <w:ind w:firstLine="640" w:firstLineChars="200"/>
        <w:rPr>
          <w:rFonts w:eastAsia="仿宋_GB2312"/>
          <w:sz w:val="32"/>
          <w:szCs w:val="32"/>
        </w:rPr>
      </w:pPr>
      <w:r>
        <w:rPr>
          <w:rFonts w:hint="eastAsia" w:eastAsia="仿宋_GB2312"/>
          <w:sz w:val="32"/>
          <w:szCs w:val="32"/>
        </w:rPr>
        <w:t>3.</w:t>
      </w:r>
      <w:r>
        <w:rPr>
          <w:rFonts w:eastAsia="仿宋_GB2312"/>
          <w:sz w:val="32"/>
          <w:szCs w:val="32"/>
        </w:rPr>
        <w:t>资金落实方面还需提高支付力度，提高协同联动能力，整体实施效率有待提高。</w:t>
      </w:r>
    </w:p>
    <w:p w14:paraId="47970B5F">
      <w:pPr>
        <w:spacing w:after="0" w:line="560" w:lineRule="exact"/>
        <w:ind w:firstLine="640" w:firstLineChars="200"/>
        <w:outlineLvl w:val="0"/>
        <w:rPr>
          <w:rFonts w:eastAsia="黑体"/>
          <w:sz w:val="32"/>
          <w:szCs w:val="32"/>
        </w:rPr>
      </w:pPr>
      <w:bookmarkStart w:id="70" w:name="_Toc25529"/>
      <w:r>
        <w:rPr>
          <w:rFonts w:hint="eastAsia" w:eastAsia="黑体"/>
          <w:sz w:val="32"/>
          <w:szCs w:val="32"/>
        </w:rPr>
        <w:t>七</w:t>
      </w:r>
      <w:r>
        <w:rPr>
          <w:rFonts w:eastAsia="黑体"/>
          <w:sz w:val="32"/>
          <w:szCs w:val="32"/>
        </w:rPr>
        <w:t>.有关建议</w:t>
      </w:r>
      <w:bookmarkEnd w:id="70"/>
    </w:p>
    <w:p w14:paraId="2CCC3E03">
      <w:pPr>
        <w:spacing w:after="0" w:line="560" w:lineRule="exact"/>
        <w:ind w:firstLine="640" w:firstLineChars="200"/>
        <w:rPr>
          <w:rFonts w:eastAsia="仿宋_GB2312"/>
          <w:sz w:val="32"/>
          <w:szCs w:val="32"/>
        </w:rPr>
      </w:pPr>
      <w:r>
        <w:rPr>
          <w:rFonts w:hint="eastAsia" w:eastAsia="仿宋_GB2312"/>
          <w:sz w:val="32"/>
          <w:szCs w:val="32"/>
        </w:rPr>
        <w:t>1.进一步健全资金管理制度，规范审批流程，防范资金使用风险，优化资金配置提升效益，切实发挥资金支撑保障作用。</w:t>
      </w:r>
    </w:p>
    <w:p w14:paraId="3AD81DD9">
      <w:pPr>
        <w:spacing w:after="0" w:line="560" w:lineRule="exact"/>
        <w:ind w:firstLine="640" w:firstLineChars="200"/>
        <w:rPr>
          <w:rFonts w:eastAsia="仿宋_GB2312"/>
          <w:sz w:val="32"/>
          <w:szCs w:val="32"/>
        </w:rPr>
      </w:pPr>
      <w:r>
        <w:rPr>
          <w:rFonts w:hint="eastAsia" w:eastAsia="仿宋_GB2312"/>
          <w:sz w:val="32"/>
          <w:szCs w:val="32"/>
        </w:rPr>
        <w:t>2.对项目全周期管理，加快项目实施进度，部门之间协同推进，确保项目落地见效。</w:t>
      </w:r>
    </w:p>
    <w:p w14:paraId="64652FEF">
      <w:pPr>
        <w:spacing w:after="0" w:line="560" w:lineRule="exact"/>
        <w:ind w:firstLine="640" w:firstLineChars="200"/>
        <w:rPr>
          <w:rFonts w:eastAsia="仿宋_GB2312"/>
          <w:sz w:val="32"/>
          <w:szCs w:val="32"/>
        </w:rPr>
      </w:pPr>
      <w:r>
        <w:rPr>
          <w:rFonts w:hint="eastAsia" w:eastAsia="仿宋_GB2312"/>
          <w:sz w:val="32"/>
          <w:szCs w:val="32"/>
        </w:rPr>
        <w:t>3.强化关键技术研究攻关与成效应用，提升标准化科学化水平，紧焦关键技术研究，强化项目科学论证，统筹“纲”“目”“结”骨干项目。推动项目均衡实施，加快落地，提高资金使用精准度:更好支撑高质量发展。</w:t>
      </w:r>
    </w:p>
    <w:p w14:paraId="26D14EED">
      <w:pPr>
        <w:spacing w:after="0" w:line="560" w:lineRule="exact"/>
        <w:ind w:firstLine="640" w:firstLineChars="200"/>
        <w:rPr>
          <w:rFonts w:eastAsia="仿宋_GB2312"/>
          <w:sz w:val="32"/>
          <w:szCs w:val="32"/>
        </w:rPr>
      </w:pPr>
      <w:r>
        <w:rPr>
          <w:rFonts w:hint="eastAsia" w:eastAsia="仿宋_GB2312"/>
          <w:sz w:val="32"/>
          <w:szCs w:val="32"/>
        </w:rPr>
        <w:t>4</w:t>
      </w:r>
      <w:r>
        <w:rPr>
          <w:rFonts w:eastAsia="仿宋_GB2312"/>
          <w:sz w:val="32"/>
          <w:szCs w:val="32"/>
        </w:rPr>
        <w:t>.进一步完善项目评价过程中有关数据和资料的收集、整理、审核及分析。项目启动时同步做好档案的归纳与整理，及时整理、收集、汇总，健全档案资料。项目后续管理有待进一步加强和跟踪</w:t>
      </w:r>
      <w:r>
        <w:rPr>
          <w:rFonts w:eastAsia="仿宋_GB2312"/>
          <w:sz w:val="36"/>
          <w:szCs w:val="32"/>
        </w:rPr>
        <w:t>。</w:t>
      </w:r>
    </w:p>
    <w:p w14:paraId="05D87AEA">
      <w:pPr>
        <w:spacing w:line="540" w:lineRule="exact"/>
        <w:ind w:firstLine="640" w:firstLineChars="200"/>
        <w:rPr>
          <w:rFonts w:eastAsia="仿宋_GB2312"/>
          <w:sz w:val="32"/>
          <w:szCs w:val="32"/>
        </w:rPr>
      </w:pPr>
      <w:r>
        <w:rPr>
          <w:rFonts w:hint="eastAsia" w:eastAsia="仿宋_GB2312"/>
          <w:sz w:val="32"/>
          <w:szCs w:val="32"/>
        </w:rPr>
        <w:t>5</w:t>
      </w:r>
      <w:r>
        <w:rPr>
          <w:rFonts w:eastAsia="仿宋_GB2312"/>
          <w:sz w:val="32"/>
          <w:szCs w:val="32"/>
        </w:rPr>
        <w:t>.进一步加强对绩效管理工作的组织领导，提高对预算绩效管理工作重要性的认识，总结经验查找问题，抓紧研究制定更全面更完善的绩效评价管理办法。加大对全面实施预算绩效管理和绩效管理工作的学习力度，让“花钱必问效，无效必问责”的理念深入工作每个环节。</w:t>
      </w:r>
    </w:p>
    <w:p w14:paraId="27C8D467">
      <w:pPr>
        <w:spacing w:after="0" w:line="560" w:lineRule="exact"/>
        <w:ind w:firstLine="640" w:firstLineChars="200"/>
        <w:outlineLvl w:val="0"/>
        <w:rPr>
          <w:rFonts w:eastAsia="黑体"/>
          <w:sz w:val="32"/>
          <w:szCs w:val="32"/>
        </w:rPr>
      </w:pPr>
      <w:bookmarkStart w:id="71" w:name="_Toc3065"/>
      <w:r>
        <w:rPr>
          <w:rFonts w:hint="eastAsia" w:eastAsia="黑体"/>
          <w:sz w:val="32"/>
          <w:szCs w:val="32"/>
        </w:rPr>
        <w:t>八</w:t>
      </w:r>
      <w:r>
        <w:rPr>
          <w:rFonts w:eastAsia="仿宋_GB2312"/>
          <w:b/>
          <w:bCs/>
          <w:sz w:val="32"/>
          <w:szCs w:val="32"/>
        </w:rPr>
        <w:t>.</w:t>
      </w:r>
      <w:r>
        <w:rPr>
          <w:rFonts w:eastAsia="黑体"/>
          <w:sz w:val="32"/>
          <w:szCs w:val="32"/>
        </w:rPr>
        <w:t>其他需要说</w:t>
      </w:r>
      <w:bookmarkStart w:id="72" w:name="page8"/>
      <w:bookmarkEnd w:id="72"/>
      <w:r>
        <w:rPr>
          <w:rFonts w:eastAsia="黑体"/>
          <w:sz w:val="32"/>
          <w:szCs w:val="32"/>
        </w:rPr>
        <w:t>明的问题</w:t>
      </w:r>
      <w:bookmarkEnd w:id="71"/>
    </w:p>
    <w:p w14:paraId="69933ACC">
      <w:pPr>
        <w:pStyle w:val="15"/>
        <w:spacing w:after="0" w:line="560" w:lineRule="exact"/>
        <w:ind w:left="0" w:leftChars="0" w:firstLine="640"/>
        <w:rPr>
          <w:rFonts w:ascii="Times New Roman" w:hAnsi="Times New Roman" w:eastAsia="仿宋_GB2312"/>
          <w:sz w:val="32"/>
          <w:szCs w:val="32"/>
        </w:rPr>
      </w:pPr>
      <w:r>
        <w:rPr>
          <w:rFonts w:ascii="Times New Roman" w:hAnsi="Times New Roman" w:eastAsia="仿宋_GB2312"/>
          <w:sz w:val="32"/>
          <w:szCs w:val="32"/>
        </w:rPr>
        <w:t>本项目无其他需说明的问题。</w:t>
      </w:r>
    </w:p>
    <w:p w14:paraId="073D5683">
      <w:pPr>
        <w:spacing w:after="0" w:line="240" w:lineRule="auto"/>
        <w:rPr>
          <w:rFonts w:eastAsia="黑体"/>
          <w:sz w:val="32"/>
          <w:szCs w:val="32"/>
        </w:rPr>
        <w:sectPr>
          <w:footerReference r:id="rId5" w:type="default"/>
          <w:pgSz w:w="11906" w:h="16838"/>
          <w:pgMar w:top="1440" w:right="1558" w:bottom="1440" w:left="1800" w:header="851" w:footer="992" w:gutter="0"/>
          <w:pgNumType w:start="1"/>
          <w:cols w:space="425" w:num="1"/>
          <w:docGrid w:type="lines" w:linePitch="312" w:charSpace="0"/>
        </w:sectPr>
      </w:pPr>
    </w:p>
    <w:p w14:paraId="17BE4C46">
      <w:pPr>
        <w:spacing w:after="0" w:line="240" w:lineRule="auto"/>
        <w:outlineLvl w:val="0"/>
        <w:rPr>
          <w:rFonts w:eastAsia="黑体"/>
          <w:sz w:val="32"/>
          <w:szCs w:val="32"/>
        </w:rPr>
      </w:pPr>
      <w:bookmarkStart w:id="73" w:name="_Toc15260"/>
      <w:r>
        <w:rPr>
          <w:rFonts w:hint="eastAsia" w:eastAsia="黑体"/>
          <w:sz w:val="32"/>
          <w:szCs w:val="32"/>
        </w:rPr>
        <w:t>附件1</w:t>
      </w:r>
      <w:bookmarkEnd w:id="73"/>
      <w:r>
        <w:rPr>
          <w:rFonts w:hint="eastAsia" w:eastAsia="黑体"/>
          <w:sz w:val="32"/>
          <w:szCs w:val="32"/>
        </w:rPr>
        <w:t>评价指标体系</w:t>
      </w:r>
    </w:p>
    <w:p w14:paraId="17F8DECE">
      <w:pPr>
        <w:pStyle w:val="24"/>
        <w:spacing w:after="0" w:line="240" w:lineRule="auto"/>
        <w:ind w:firstLine="562"/>
        <w:jc w:val="center"/>
        <w:rPr>
          <w:rFonts w:hint="eastAsia" w:ascii="仿宋_GB2312" w:hAnsi="仿宋_GB2312" w:eastAsia="仿宋_GB2312" w:cs="仿宋_GB2312"/>
          <w:sz w:val="28"/>
          <w:szCs w:val="40"/>
        </w:rPr>
      </w:pPr>
      <w:bookmarkStart w:id="74" w:name="_Toc30064_WPSOffice_Level1"/>
      <w:bookmarkStart w:id="75" w:name="_Toc26499_WPSOffice_Level2"/>
      <w:r>
        <w:rPr>
          <w:rFonts w:hint="eastAsia" w:ascii="仿宋_GB2312" w:hAnsi="仿宋_GB2312" w:eastAsia="仿宋_GB2312" w:cs="仿宋_GB2312"/>
          <w:b/>
          <w:bCs/>
          <w:sz w:val="28"/>
          <w:szCs w:val="40"/>
        </w:rPr>
        <w:t>推进新疆水网及地县级水网骨干工程前期论证实施项目绩效评价指标体系</w:t>
      </w:r>
      <w:bookmarkEnd w:id="74"/>
      <w:bookmarkEnd w:id="75"/>
    </w:p>
    <w:tbl>
      <w:tblPr>
        <w:tblStyle w:val="16"/>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2"/>
        <w:gridCol w:w="997"/>
        <w:gridCol w:w="1071"/>
        <w:gridCol w:w="1726"/>
        <w:gridCol w:w="5222"/>
        <w:gridCol w:w="1299"/>
        <w:gridCol w:w="1366"/>
      </w:tblGrid>
      <w:tr w14:paraId="14B6A4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552" w:hRule="atLeast"/>
          <w:tblHeader/>
          <w:jc w:val="center"/>
        </w:trPr>
        <w:tc>
          <w:tcPr>
            <w:tcW w:w="395" w:type="pct"/>
            <w:shd w:val="clear" w:color="auto" w:fill="FFFFFF"/>
            <w:vAlign w:val="center"/>
          </w:tcPr>
          <w:p w14:paraId="6859C7DE">
            <w:pPr>
              <w:widowControl/>
              <w:spacing w:line="200" w:lineRule="exact"/>
              <w:jc w:val="center"/>
              <w:rPr>
                <w:rFonts w:eastAsia="仿宋_GB2312"/>
                <w:b/>
                <w:bCs/>
                <w:color w:val="000000"/>
                <w:kern w:val="0"/>
                <w:sz w:val="18"/>
                <w:szCs w:val="18"/>
              </w:rPr>
            </w:pPr>
            <w:r>
              <w:rPr>
                <w:rFonts w:eastAsia="仿宋_GB2312"/>
                <w:b/>
                <w:bCs/>
                <w:color w:val="000000"/>
                <w:kern w:val="0"/>
                <w:sz w:val="18"/>
                <w:szCs w:val="18"/>
              </w:rPr>
              <w:t>一级指标</w:t>
            </w:r>
          </w:p>
        </w:tc>
        <w:tc>
          <w:tcPr>
            <w:tcW w:w="393" w:type="pct"/>
            <w:shd w:val="clear" w:color="auto" w:fill="FFFFFF"/>
            <w:vAlign w:val="center"/>
          </w:tcPr>
          <w:p w14:paraId="54E30436">
            <w:pPr>
              <w:widowControl/>
              <w:spacing w:line="200" w:lineRule="exact"/>
              <w:jc w:val="center"/>
              <w:rPr>
                <w:rFonts w:eastAsia="仿宋_GB2312"/>
                <w:b/>
                <w:bCs/>
                <w:color w:val="000000"/>
                <w:kern w:val="0"/>
                <w:sz w:val="18"/>
                <w:szCs w:val="18"/>
              </w:rPr>
            </w:pPr>
            <w:r>
              <w:rPr>
                <w:rFonts w:eastAsia="仿宋_GB2312"/>
                <w:b/>
                <w:bCs/>
                <w:color w:val="000000"/>
                <w:kern w:val="0"/>
                <w:sz w:val="18"/>
                <w:szCs w:val="18"/>
              </w:rPr>
              <w:t>二级指标</w:t>
            </w:r>
          </w:p>
        </w:tc>
        <w:tc>
          <w:tcPr>
            <w:tcW w:w="422" w:type="pct"/>
            <w:shd w:val="clear" w:color="auto" w:fill="FFFFFF"/>
            <w:vAlign w:val="center"/>
          </w:tcPr>
          <w:p w14:paraId="3997FFD9">
            <w:pPr>
              <w:widowControl/>
              <w:spacing w:line="200" w:lineRule="exact"/>
              <w:jc w:val="center"/>
              <w:rPr>
                <w:rFonts w:eastAsia="仿宋_GB2312"/>
                <w:b/>
                <w:bCs/>
                <w:color w:val="000000"/>
                <w:kern w:val="0"/>
                <w:sz w:val="18"/>
                <w:szCs w:val="18"/>
              </w:rPr>
            </w:pPr>
            <w:r>
              <w:rPr>
                <w:rFonts w:eastAsia="仿宋_GB2312"/>
                <w:b/>
                <w:bCs/>
                <w:color w:val="000000"/>
                <w:kern w:val="0"/>
                <w:sz w:val="18"/>
                <w:szCs w:val="18"/>
              </w:rPr>
              <w:t>三级指标</w:t>
            </w:r>
          </w:p>
        </w:tc>
        <w:tc>
          <w:tcPr>
            <w:tcW w:w="680" w:type="pct"/>
            <w:shd w:val="clear" w:color="auto" w:fill="FFFFFF"/>
            <w:vAlign w:val="center"/>
          </w:tcPr>
          <w:p w14:paraId="4D7ED41C">
            <w:pPr>
              <w:widowControl/>
              <w:spacing w:line="200" w:lineRule="exact"/>
              <w:jc w:val="center"/>
              <w:rPr>
                <w:rFonts w:eastAsia="仿宋_GB2312"/>
                <w:b/>
                <w:bCs/>
                <w:color w:val="000000"/>
                <w:kern w:val="0"/>
                <w:sz w:val="18"/>
                <w:szCs w:val="18"/>
              </w:rPr>
            </w:pPr>
            <w:r>
              <w:rPr>
                <w:rFonts w:eastAsia="仿宋_GB2312"/>
                <w:b/>
                <w:bCs/>
                <w:color w:val="000000"/>
                <w:kern w:val="0"/>
                <w:sz w:val="18"/>
                <w:szCs w:val="18"/>
              </w:rPr>
              <w:t>指标解释</w:t>
            </w:r>
          </w:p>
        </w:tc>
        <w:tc>
          <w:tcPr>
            <w:tcW w:w="2057" w:type="pct"/>
            <w:shd w:val="clear" w:color="auto" w:fill="FFFFFF"/>
            <w:vAlign w:val="center"/>
          </w:tcPr>
          <w:p w14:paraId="14492FAB">
            <w:pPr>
              <w:widowControl/>
              <w:spacing w:line="200" w:lineRule="exact"/>
              <w:jc w:val="center"/>
              <w:rPr>
                <w:rFonts w:eastAsia="仿宋_GB2312"/>
                <w:b/>
                <w:bCs/>
                <w:color w:val="000000"/>
                <w:kern w:val="0"/>
                <w:sz w:val="18"/>
                <w:szCs w:val="18"/>
              </w:rPr>
            </w:pPr>
            <w:r>
              <w:rPr>
                <w:rFonts w:eastAsia="仿宋_GB2312"/>
                <w:b/>
                <w:bCs/>
                <w:color w:val="000000"/>
                <w:kern w:val="0"/>
                <w:sz w:val="18"/>
                <w:szCs w:val="18"/>
              </w:rPr>
              <w:t>指标说明</w:t>
            </w:r>
          </w:p>
        </w:tc>
        <w:tc>
          <w:tcPr>
            <w:tcW w:w="512" w:type="pct"/>
            <w:shd w:val="clear" w:color="auto" w:fill="FFFFFF"/>
            <w:vAlign w:val="center"/>
          </w:tcPr>
          <w:p w14:paraId="3D47AF2A">
            <w:pPr>
              <w:widowControl/>
              <w:spacing w:line="200" w:lineRule="exact"/>
              <w:jc w:val="center"/>
              <w:rPr>
                <w:rFonts w:eastAsia="仿宋_GB2312"/>
                <w:b/>
                <w:bCs/>
                <w:color w:val="000000"/>
                <w:kern w:val="0"/>
                <w:sz w:val="18"/>
                <w:szCs w:val="18"/>
              </w:rPr>
            </w:pPr>
            <w:r>
              <w:rPr>
                <w:rFonts w:eastAsia="仿宋_GB2312"/>
                <w:b/>
                <w:bCs/>
                <w:color w:val="000000"/>
                <w:kern w:val="0"/>
                <w:sz w:val="18"/>
                <w:szCs w:val="18"/>
              </w:rPr>
              <w:t>权重</w:t>
            </w:r>
          </w:p>
        </w:tc>
        <w:tc>
          <w:tcPr>
            <w:tcW w:w="538" w:type="pct"/>
            <w:shd w:val="clear" w:color="auto" w:fill="FFFFFF"/>
            <w:vAlign w:val="center"/>
          </w:tcPr>
          <w:p w14:paraId="021F29B7">
            <w:pPr>
              <w:widowControl/>
              <w:spacing w:line="200" w:lineRule="exact"/>
              <w:jc w:val="center"/>
              <w:rPr>
                <w:rFonts w:eastAsia="仿宋_GB2312"/>
                <w:b/>
                <w:bCs/>
                <w:color w:val="000000"/>
                <w:kern w:val="0"/>
                <w:sz w:val="18"/>
                <w:szCs w:val="18"/>
              </w:rPr>
            </w:pPr>
            <w:r>
              <w:rPr>
                <w:rFonts w:eastAsia="仿宋_GB2312"/>
                <w:b/>
                <w:bCs/>
                <w:color w:val="000000"/>
                <w:kern w:val="0"/>
                <w:sz w:val="18"/>
                <w:szCs w:val="18"/>
              </w:rPr>
              <w:t>得分</w:t>
            </w:r>
          </w:p>
        </w:tc>
      </w:tr>
      <w:tr w14:paraId="665C09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5" w:type="pct"/>
            <w:vMerge w:val="restart"/>
            <w:shd w:val="clear" w:color="auto" w:fill="FFFFFF"/>
            <w:vAlign w:val="center"/>
          </w:tcPr>
          <w:p w14:paraId="2ACA3BC0">
            <w:pPr>
              <w:widowControl/>
              <w:spacing w:line="200" w:lineRule="exact"/>
              <w:jc w:val="center"/>
              <w:rPr>
                <w:rFonts w:eastAsia="仿宋_GB2312"/>
                <w:color w:val="000000"/>
                <w:kern w:val="0"/>
                <w:sz w:val="18"/>
                <w:szCs w:val="18"/>
              </w:rPr>
            </w:pPr>
          </w:p>
          <w:p w14:paraId="62211E73">
            <w:pPr>
              <w:widowControl/>
              <w:spacing w:line="200" w:lineRule="exact"/>
              <w:jc w:val="center"/>
              <w:rPr>
                <w:rFonts w:eastAsia="仿宋_GB2312"/>
                <w:color w:val="000000"/>
                <w:kern w:val="0"/>
                <w:sz w:val="18"/>
                <w:szCs w:val="18"/>
              </w:rPr>
            </w:pPr>
          </w:p>
          <w:p w14:paraId="5249D74E">
            <w:pPr>
              <w:widowControl/>
              <w:spacing w:line="200" w:lineRule="exact"/>
              <w:jc w:val="center"/>
              <w:rPr>
                <w:rFonts w:eastAsia="仿宋_GB2312"/>
                <w:color w:val="000000"/>
                <w:kern w:val="0"/>
                <w:sz w:val="18"/>
                <w:szCs w:val="18"/>
              </w:rPr>
            </w:pPr>
          </w:p>
          <w:p w14:paraId="2911B254">
            <w:pPr>
              <w:widowControl/>
              <w:spacing w:line="200" w:lineRule="exact"/>
              <w:jc w:val="center"/>
              <w:rPr>
                <w:rFonts w:eastAsia="仿宋_GB2312"/>
                <w:color w:val="000000"/>
                <w:kern w:val="0"/>
                <w:sz w:val="18"/>
                <w:szCs w:val="18"/>
              </w:rPr>
            </w:pPr>
          </w:p>
          <w:p w14:paraId="022E06F3">
            <w:pPr>
              <w:widowControl/>
              <w:spacing w:line="200" w:lineRule="exact"/>
              <w:jc w:val="center"/>
              <w:rPr>
                <w:rFonts w:eastAsia="仿宋_GB2312"/>
                <w:color w:val="000000"/>
                <w:kern w:val="0"/>
                <w:sz w:val="18"/>
                <w:szCs w:val="18"/>
              </w:rPr>
            </w:pPr>
          </w:p>
          <w:p w14:paraId="76FDD2BD">
            <w:pPr>
              <w:widowControl/>
              <w:spacing w:line="200" w:lineRule="exact"/>
              <w:jc w:val="center"/>
              <w:rPr>
                <w:rFonts w:eastAsia="仿宋_GB2312"/>
                <w:color w:val="000000"/>
                <w:kern w:val="0"/>
                <w:sz w:val="18"/>
                <w:szCs w:val="18"/>
              </w:rPr>
            </w:pPr>
          </w:p>
          <w:p w14:paraId="3480388C">
            <w:pPr>
              <w:widowControl/>
              <w:spacing w:line="200" w:lineRule="exact"/>
              <w:jc w:val="center"/>
              <w:rPr>
                <w:rFonts w:eastAsia="仿宋_GB2312"/>
                <w:color w:val="000000"/>
                <w:kern w:val="0"/>
                <w:sz w:val="18"/>
                <w:szCs w:val="18"/>
              </w:rPr>
            </w:pPr>
            <w:r>
              <w:rPr>
                <w:rFonts w:eastAsia="仿宋_GB2312"/>
                <w:color w:val="000000"/>
                <w:kern w:val="0"/>
                <w:sz w:val="18"/>
                <w:szCs w:val="18"/>
              </w:rPr>
              <w:t>决策</w:t>
            </w:r>
          </w:p>
        </w:tc>
        <w:tc>
          <w:tcPr>
            <w:tcW w:w="393" w:type="pct"/>
            <w:vMerge w:val="restart"/>
            <w:shd w:val="clear" w:color="auto" w:fill="FFFFFF"/>
            <w:vAlign w:val="center"/>
          </w:tcPr>
          <w:p w14:paraId="133E908B">
            <w:pPr>
              <w:widowControl/>
              <w:spacing w:line="200" w:lineRule="exact"/>
              <w:jc w:val="center"/>
              <w:rPr>
                <w:rFonts w:eastAsia="仿宋_GB2312"/>
                <w:color w:val="000000"/>
                <w:kern w:val="0"/>
                <w:sz w:val="18"/>
                <w:szCs w:val="18"/>
              </w:rPr>
            </w:pPr>
            <w:r>
              <w:rPr>
                <w:rFonts w:eastAsia="仿宋_GB2312"/>
                <w:color w:val="000000"/>
                <w:kern w:val="0"/>
                <w:sz w:val="18"/>
                <w:szCs w:val="18"/>
              </w:rPr>
              <w:t>项目立项</w:t>
            </w:r>
          </w:p>
        </w:tc>
        <w:tc>
          <w:tcPr>
            <w:tcW w:w="422" w:type="pct"/>
            <w:shd w:val="clear" w:color="auto" w:fill="FFFFFF"/>
            <w:vAlign w:val="center"/>
          </w:tcPr>
          <w:p w14:paraId="18C660B9">
            <w:pPr>
              <w:widowControl/>
              <w:spacing w:line="200" w:lineRule="exact"/>
              <w:jc w:val="center"/>
              <w:rPr>
                <w:rFonts w:eastAsia="仿宋_GB2312"/>
                <w:color w:val="000000"/>
                <w:kern w:val="0"/>
                <w:sz w:val="18"/>
                <w:szCs w:val="18"/>
              </w:rPr>
            </w:pPr>
            <w:r>
              <w:rPr>
                <w:rFonts w:eastAsia="仿宋_GB2312"/>
                <w:color w:val="000000"/>
                <w:kern w:val="0"/>
                <w:sz w:val="18"/>
                <w:szCs w:val="18"/>
              </w:rPr>
              <w:t>立项依据</w:t>
            </w:r>
          </w:p>
          <w:p w14:paraId="09C506B6">
            <w:pPr>
              <w:widowControl/>
              <w:spacing w:line="200" w:lineRule="exact"/>
              <w:jc w:val="center"/>
              <w:rPr>
                <w:rFonts w:eastAsia="仿宋_GB2312"/>
                <w:color w:val="000000"/>
                <w:kern w:val="0"/>
                <w:sz w:val="18"/>
                <w:szCs w:val="18"/>
              </w:rPr>
            </w:pPr>
            <w:r>
              <w:rPr>
                <w:rFonts w:eastAsia="仿宋_GB2312"/>
                <w:color w:val="000000"/>
                <w:kern w:val="0"/>
                <w:sz w:val="18"/>
                <w:szCs w:val="18"/>
              </w:rPr>
              <w:t>充分性</w:t>
            </w:r>
          </w:p>
        </w:tc>
        <w:tc>
          <w:tcPr>
            <w:tcW w:w="680" w:type="pct"/>
            <w:shd w:val="clear" w:color="auto" w:fill="FFFFFF"/>
            <w:vAlign w:val="center"/>
          </w:tcPr>
          <w:p w14:paraId="47C9CE52">
            <w:pPr>
              <w:widowControl/>
              <w:spacing w:line="200" w:lineRule="exact"/>
              <w:rPr>
                <w:rFonts w:eastAsia="仿宋_GB2312"/>
                <w:color w:val="000000"/>
                <w:kern w:val="0"/>
                <w:sz w:val="18"/>
                <w:szCs w:val="18"/>
              </w:rPr>
            </w:pPr>
            <w:r>
              <w:rPr>
                <w:rFonts w:eastAsia="仿宋_GB2312"/>
                <w:color w:val="000000"/>
                <w:kern w:val="0"/>
                <w:sz w:val="18"/>
                <w:szCs w:val="18"/>
              </w:rPr>
              <w:t>项目立项是否符合法律法规、相关政策、发展规划以及部门职责，用以反映和考核项目立项依据情况。</w:t>
            </w:r>
          </w:p>
        </w:tc>
        <w:tc>
          <w:tcPr>
            <w:tcW w:w="2057" w:type="pct"/>
            <w:shd w:val="clear" w:color="auto" w:fill="FFFFFF"/>
            <w:vAlign w:val="center"/>
          </w:tcPr>
          <w:p w14:paraId="43B89EFB">
            <w:pPr>
              <w:widowControl/>
              <w:spacing w:line="200" w:lineRule="exac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①项目立项是否符合国家法律法规、国民经济发展规划和相关政策；</w:t>
            </w:r>
            <w:r>
              <w:rPr>
                <w:rFonts w:eastAsia="仿宋_GB2312"/>
                <w:color w:val="000000"/>
                <w:kern w:val="0"/>
                <w:sz w:val="18"/>
                <w:szCs w:val="18"/>
              </w:rPr>
              <w:br w:type="textWrapping"/>
            </w:r>
            <w:r>
              <w:rPr>
                <w:rFonts w:eastAsia="仿宋_GB2312"/>
                <w:color w:val="000000"/>
                <w:kern w:val="0"/>
                <w:sz w:val="18"/>
                <w:szCs w:val="18"/>
              </w:rPr>
              <w:t>②项目立项是否符合行业发展规划和政策要求；</w:t>
            </w:r>
            <w:r>
              <w:rPr>
                <w:rFonts w:eastAsia="仿宋_GB2312"/>
                <w:color w:val="000000"/>
                <w:kern w:val="0"/>
                <w:sz w:val="18"/>
                <w:szCs w:val="18"/>
              </w:rPr>
              <w:br w:type="textWrapping"/>
            </w:r>
            <w:r>
              <w:rPr>
                <w:rFonts w:eastAsia="仿宋_GB2312"/>
                <w:color w:val="000000"/>
                <w:kern w:val="0"/>
                <w:sz w:val="18"/>
                <w:szCs w:val="18"/>
              </w:rPr>
              <w:t>③项目立项是否与部门职责范围相符，属于部门履职所需；</w:t>
            </w:r>
            <w:r>
              <w:rPr>
                <w:rFonts w:eastAsia="仿宋_GB2312"/>
                <w:color w:val="000000"/>
                <w:kern w:val="0"/>
                <w:sz w:val="18"/>
                <w:szCs w:val="18"/>
              </w:rPr>
              <w:br w:type="textWrapping"/>
            </w:r>
            <w:r>
              <w:rPr>
                <w:rFonts w:eastAsia="仿宋_GB2312"/>
                <w:color w:val="000000"/>
                <w:kern w:val="0"/>
                <w:sz w:val="18"/>
                <w:szCs w:val="18"/>
              </w:rPr>
              <w:t>④项目是否属于公共财政支持范围，是否符合中央、地方事权支出责任划分原则；</w:t>
            </w:r>
            <w:r>
              <w:rPr>
                <w:rFonts w:eastAsia="仿宋_GB2312"/>
                <w:color w:val="000000"/>
                <w:kern w:val="0"/>
                <w:sz w:val="18"/>
                <w:szCs w:val="18"/>
              </w:rPr>
              <w:br w:type="textWrapping"/>
            </w:r>
            <w:r>
              <w:rPr>
                <w:rFonts w:eastAsia="仿宋_GB2312"/>
                <w:color w:val="000000"/>
                <w:kern w:val="0"/>
                <w:sz w:val="18"/>
                <w:szCs w:val="18"/>
              </w:rPr>
              <w:t>⑤项目是否与相关部门同类项目或部门内部相关项目重复。</w:t>
            </w:r>
          </w:p>
        </w:tc>
        <w:tc>
          <w:tcPr>
            <w:tcW w:w="512" w:type="pct"/>
            <w:shd w:val="clear" w:color="auto" w:fill="FFFFFF"/>
            <w:vAlign w:val="center"/>
          </w:tcPr>
          <w:p w14:paraId="2DF1EA99">
            <w:pPr>
              <w:widowControl/>
              <w:spacing w:line="200" w:lineRule="exact"/>
              <w:jc w:val="center"/>
              <w:rPr>
                <w:rFonts w:eastAsia="仿宋_GB2312"/>
                <w:b/>
                <w:bCs/>
                <w:color w:val="000000"/>
                <w:kern w:val="0"/>
                <w:sz w:val="18"/>
                <w:szCs w:val="18"/>
              </w:rPr>
            </w:pPr>
            <w:r>
              <w:rPr>
                <w:rFonts w:eastAsia="仿宋_GB2312"/>
                <w:b/>
                <w:bCs/>
                <w:color w:val="000000"/>
                <w:kern w:val="0"/>
                <w:sz w:val="18"/>
                <w:szCs w:val="18"/>
              </w:rPr>
              <w:t>3</w:t>
            </w:r>
          </w:p>
        </w:tc>
        <w:tc>
          <w:tcPr>
            <w:tcW w:w="538" w:type="pct"/>
            <w:shd w:val="clear" w:color="auto" w:fill="FFFFFF"/>
            <w:vAlign w:val="center"/>
          </w:tcPr>
          <w:p w14:paraId="1B16896B">
            <w:pPr>
              <w:widowControl/>
              <w:spacing w:line="200" w:lineRule="exact"/>
              <w:jc w:val="center"/>
              <w:rPr>
                <w:rFonts w:eastAsia="仿宋_GB2312"/>
                <w:b/>
                <w:bCs/>
                <w:color w:val="000000"/>
                <w:kern w:val="0"/>
                <w:sz w:val="18"/>
                <w:szCs w:val="18"/>
              </w:rPr>
            </w:pPr>
            <w:r>
              <w:rPr>
                <w:rFonts w:hint="eastAsia" w:eastAsia="仿宋_GB2312"/>
                <w:b/>
                <w:bCs/>
                <w:color w:val="000000"/>
                <w:kern w:val="0"/>
                <w:sz w:val="18"/>
                <w:szCs w:val="18"/>
              </w:rPr>
              <w:t>3</w:t>
            </w:r>
          </w:p>
        </w:tc>
      </w:tr>
      <w:tr w14:paraId="1CBA39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5" w:type="pct"/>
            <w:vMerge w:val="continue"/>
            <w:shd w:val="clear" w:color="auto" w:fill="FFFFFF"/>
            <w:vAlign w:val="center"/>
          </w:tcPr>
          <w:p w14:paraId="6BB65D92">
            <w:pPr>
              <w:spacing w:line="200" w:lineRule="exact"/>
              <w:jc w:val="center"/>
              <w:rPr>
                <w:rFonts w:eastAsia="仿宋_GB2312"/>
                <w:color w:val="000000"/>
                <w:kern w:val="0"/>
                <w:sz w:val="18"/>
                <w:szCs w:val="18"/>
              </w:rPr>
            </w:pPr>
          </w:p>
        </w:tc>
        <w:tc>
          <w:tcPr>
            <w:tcW w:w="393" w:type="pct"/>
            <w:vMerge w:val="continue"/>
            <w:shd w:val="clear" w:color="auto" w:fill="FFFFFF"/>
            <w:vAlign w:val="center"/>
          </w:tcPr>
          <w:p w14:paraId="783D0C83">
            <w:pPr>
              <w:widowControl/>
              <w:spacing w:line="200" w:lineRule="exact"/>
              <w:jc w:val="center"/>
              <w:rPr>
                <w:rFonts w:eastAsia="仿宋_GB2312"/>
                <w:color w:val="000000"/>
                <w:kern w:val="0"/>
                <w:sz w:val="18"/>
                <w:szCs w:val="18"/>
              </w:rPr>
            </w:pPr>
          </w:p>
        </w:tc>
        <w:tc>
          <w:tcPr>
            <w:tcW w:w="422" w:type="pct"/>
            <w:shd w:val="clear" w:color="auto" w:fill="FFFFFF"/>
            <w:vAlign w:val="center"/>
          </w:tcPr>
          <w:p w14:paraId="34318AF3">
            <w:pPr>
              <w:widowControl/>
              <w:spacing w:line="200" w:lineRule="exact"/>
              <w:jc w:val="center"/>
              <w:rPr>
                <w:rFonts w:eastAsia="仿宋_GB2312"/>
                <w:color w:val="000000"/>
                <w:kern w:val="0"/>
                <w:sz w:val="18"/>
                <w:szCs w:val="18"/>
              </w:rPr>
            </w:pPr>
            <w:r>
              <w:rPr>
                <w:rFonts w:eastAsia="仿宋_GB2312"/>
                <w:color w:val="000000"/>
                <w:kern w:val="0"/>
                <w:sz w:val="18"/>
                <w:szCs w:val="18"/>
              </w:rPr>
              <w:t>立项程序</w:t>
            </w:r>
          </w:p>
          <w:p w14:paraId="21F3E416">
            <w:pPr>
              <w:widowControl/>
              <w:spacing w:line="200" w:lineRule="exact"/>
              <w:jc w:val="center"/>
              <w:rPr>
                <w:rFonts w:eastAsia="仿宋_GB2312"/>
                <w:color w:val="000000"/>
                <w:kern w:val="0"/>
                <w:sz w:val="18"/>
                <w:szCs w:val="18"/>
              </w:rPr>
            </w:pPr>
            <w:r>
              <w:rPr>
                <w:rFonts w:eastAsia="仿宋_GB2312"/>
                <w:color w:val="000000"/>
                <w:kern w:val="0"/>
                <w:sz w:val="18"/>
                <w:szCs w:val="18"/>
              </w:rPr>
              <w:t>规范性</w:t>
            </w:r>
          </w:p>
        </w:tc>
        <w:tc>
          <w:tcPr>
            <w:tcW w:w="680" w:type="pct"/>
            <w:shd w:val="clear" w:color="auto" w:fill="FFFFFF"/>
            <w:vAlign w:val="center"/>
          </w:tcPr>
          <w:p w14:paraId="4704EAD6">
            <w:pPr>
              <w:widowControl/>
              <w:spacing w:line="200" w:lineRule="exact"/>
              <w:rPr>
                <w:rFonts w:eastAsia="仿宋_GB2312"/>
                <w:color w:val="000000"/>
                <w:kern w:val="0"/>
                <w:sz w:val="18"/>
                <w:szCs w:val="18"/>
              </w:rPr>
            </w:pPr>
            <w:r>
              <w:rPr>
                <w:rFonts w:eastAsia="仿宋_GB2312"/>
                <w:color w:val="000000"/>
                <w:kern w:val="0"/>
                <w:sz w:val="18"/>
                <w:szCs w:val="18"/>
              </w:rPr>
              <w:t>项目申请、设立过程是否符合相关要求，用以反映和考核项目立项的规范情况。</w:t>
            </w:r>
          </w:p>
        </w:tc>
        <w:tc>
          <w:tcPr>
            <w:tcW w:w="2057" w:type="pct"/>
            <w:shd w:val="clear" w:color="auto" w:fill="FFFFFF"/>
            <w:vAlign w:val="center"/>
          </w:tcPr>
          <w:p w14:paraId="2C2D3CB2">
            <w:pPr>
              <w:widowControl/>
              <w:spacing w:line="200" w:lineRule="exac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①项目是否按照规定的程序申请设立；</w:t>
            </w:r>
            <w:r>
              <w:rPr>
                <w:rFonts w:eastAsia="仿宋_GB2312"/>
                <w:color w:val="000000"/>
                <w:kern w:val="0"/>
                <w:sz w:val="18"/>
                <w:szCs w:val="18"/>
              </w:rPr>
              <w:br w:type="textWrapping"/>
            </w:r>
            <w:r>
              <w:rPr>
                <w:rFonts w:eastAsia="仿宋_GB2312"/>
                <w:color w:val="000000"/>
                <w:kern w:val="0"/>
                <w:sz w:val="18"/>
                <w:szCs w:val="18"/>
              </w:rPr>
              <w:t>②审批文件、材料是否符合相关要求；</w:t>
            </w:r>
            <w:r>
              <w:rPr>
                <w:rFonts w:eastAsia="仿宋_GB2312"/>
                <w:color w:val="000000"/>
                <w:kern w:val="0"/>
                <w:sz w:val="18"/>
                <w:szCs w:val="18"/>
              </w:rPr>
              <w:br w:type="textWrapping"/>
            </w:r>
            <w:r>
              <w:rPr>
                <w:rFonts w:eastAsia="仿宋_GB2312"/>
                <w:color w:val="000000"/>
                <w:kern w:val="0"/>
                <w:sz w:val="18"/>
                <w:szCs w:val="18"/>
              </w:rPr>
              <w:t>③事前是否已经过必要的可行性研究、专家论证、风险评估、绩效评估、集体决策。</w:t>
            </w:r>
          </w:p>
        </w:tc>
        <w:tc>
          <w:tcPr>
            <w:tcW w:w="512" w:type="pct"/>
            <w:shd w:val="clear" w:color="auto" w:fill="FFFFFF"/>
            <w:vAlign w:val="center"/>
          </w:tcPr>
          <w:p w14:paraId="6725F4CE">
            <w:pPr>
              <w:widowControl/>
              <w:spacing w:line="200" w:lineRule="exact"/>
              <w:jc w:val="center"/>
              <w:rPr>
                <w:rFonts w:eastAsia="仿宋_GB2312"/>
                <w:b/>
                <w:bCs/>
                <w:color w:val="000000"/>
                <w:kern w:val="0"/>
                <w:sz w:val="18"/>
                <w:szCs w:val="18"/>
              </w:rPr>
            </w:pPr>
            <w:r>
              <w:rPr>
                <w:rFonts w:eastAsia="仿宋_GB2312"/>
                <w:b/>
                <w:bCs/>
                <w:color w:val="000000"/>
                <w:kern w:val="0"/>
                <w:sz w:val="18"/>
                <w:szCs w:val="18"/>
              </w:rPr>
              <w:t>3</w:t>
            </w:r>
          </w:p>
        </w:tc>
        <w:tc>
          <w:tcPr>
            <w:tcW w:w="538" w:type="pct"/>
            <w:shd w:val="clear" w:color="auto" w:fill="FFFFFF"/>
            <w:vAlign w:val="center"/>
          </w:tcPr>
          <w:p w14:paraId="18A56707">
            <w:pPr>
              <w:widowControl/>
              <w:spacing w:line="200" w:lineRule="exact"/>
              <w:jc w:val="center"/>
              <w:rPr>
                <w:rFonts w:eastAsia="仿宋_GB2312"/>
                <w:b/>
                <w:bCs/>
                <w:color w:val="000000"/>
                <w:kern w:val="0"/>
                <w:sz w:val="18"/>
                <w:szCs w:val="18"/>
              </w:rPr>
            </w:pPr>
            <w:r>
              <w:rPr>
                <w:rFonts w:hint="eastAsia" w:eastAsia="仿宋_GB2312"/>
                <w:b/>
                <w:bCs/>
                <w:color w:val="000000"/>
                <w:kern w:val="0"/>
                <w:sz w:val="18"/>
                <w:szCs w:val="18"/>
              </w:rPr>
              <w:t>3</w:t>
            </w:r>
          </w:p>
        </w:tc>
      </w:tr>
      <w:tr w14:paraId="4D1B88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5" w:type="pct"/>
            <w:vMerge w:val="continue"/>
            <w:shd w:val="clear" w:color="auto" w:fill="FFFFFF"/>
            <w:vAlign w:val="center"/>
          </w:tcPr>
          <w:p w14:paraId="30372102">
            <w:pPr>
              <w:spacing w:line="200" w:lineRule="exact"/>
              <w:jc w:val="center"/>
              <w:rPr>
                <w:rFonts w:eastAsia="仿宋_GB2312"/>
                <w:color w:val="000000"/>
                <w:kern w:val="0"/>
                <w:sz w:val="18"/>
                <w:szCs w:val="18"/>
              </w:rPr>
            </w:pPr>
          </w:p>
        </w:tc>
        <w:tc>
          <w:tcPr>
            <w:tcW w:w="393" w:type="pct"/>
            <w:vMerge w:val="restart"/>
            <w:shd w:val="clear" w:color="auto" w:fill="FFFFFF"/>
            <w:vAlign w:val="center"/>
          </w:tcPr>
          <w:p w14:paraId="481F62CB">
            <w:pPr>
              <w:widowControl/>
              <w:spacing w:line="200" w:lineRule="exact"/>
              <w:jc w:val="center"/>
              <w:rPr>
                <w:rFonts w:eastAsia="仿宋_GB2312"/>
                <w:color w:val="000000"/>
                <w:kern w:val="0"/>
                <w:sz w:val="18"/>
                <w:szCs w:val="18"/>
              </w:rPr>
            </w:pPr>
            <w:r>
              <w:rPr>
                <w:rFonts w:eastAsia="仿宋_GB2312"/>
                <w:color w:val="000000"/>
                <w:kern w:val="0"/>
                <w:sz w:val="18"/>
                <w:szCs w:val="18"/>
              </w:rPr>
              <w:t>绩效目标</w:t>
            </w:r>
          </w:p>
        </w:tc>
        <w:tc>
          <w:tcPr>
            <w:tcW w:w="422" w:type="pct"/>
            <w:shd w:val="clear" w:color="auto" w:fill="FFFFFF"/>
            <w:vAlign w:val="center"/>
          </w:tcPr>
          <w:p w14:paraId="3C729599">
            <w:pPr>
              <w:widowControl/>
              <w:spacing w:line="200" w:lineRule="exact"/>
              <w:jc w:val="center"/>
              <w:rPr>
                <w:rFonts w:eastAsia="仿宋_GB2312"/>
                <w:color w:val="000000"/>
                <w:kern w:val="0"/>
                <w:sz w:val="18"/>
                <w:szCs w:val="18"/>
              </w:rPr>
            </w:pPr>
            <w:r>
              <w:rPr>
                <w:rFonts w:eastAsia="仿宋_GB2312"/>
                <w:color w:val="000000"/>
                <w:kern w:val="0"/>
                <w:sz w:val="18"/>
                <w:szCs w:val="18"/>
              </w:rPr>
              <w:t>绩效目标</w:t>
            </w:r>
          </w:p>
          <w:p w14:paraId="2CF4F8A3">
            <w:pPr>
              <w:widowControl/>
              <w:spacing w:line="200" w:lineRule="exact"/>
              <w:jc w:val="center"/>
              <w:rPr>
                <w:rFonts w:eastAsia="仿宋_GB2312"/>
                <w:color w:val="000000"/>
                <w:kern w:val="0"/>
                <w:sz w:val="18"/>
                <w:szCs w:val="18"/>
              </w:rPr>
            </w:pPr>
            <w:r>
              <w:rPr>
                <w:rFonts w:eastAsia="仿宋_GB2312"/>
                <w:color w:val="000000"/>
                <w:kern w:val="0"/>
                <w:sz w:val="18"/>
                <w:szCs w:val="18"/>
              </w:rPr>
              <w:t>合理性</w:t>
            </w:r>
          </w:p>
        </w:tc>
        <w:tc>
          <w:tcPr>
            <w:tcW w:w="680" w:type="pct"/>
            <w:shd w:val="clear" w:color="000000" w:fill="FFFFFF"/>
            <w:vAlign w:val="center"/>
          </w:tcPr>
          <w:p w14:paraId="736336CC">
            <w:pPr>
              <w:widowControl/>
              <w:spacing w:line="200" w:lineRule="exact"/>
              <w:rPr>
                <w:rFonts w:eastAsia="仿宋_GB2312"/>
                <w:color w:val="000000"/>
                <w:kern w:val="0"/>
                <w:sz w:val="18"/>
                <w:szCs w:val="18"/>
              </w:rPr>
            </w:pPr>
            <w:r>
              <w:rPr>
                <w:rFonts w:eastAsia="仿宋_GB2312"/>
                <w:color w:val="000000"/>
                <w:kern w:val="0"/>
                <w:sz w:val="18"/>
                <w:szCs w:val="18"/>
              </w:rPr>
              <w:t>项目所设定的绩效目标是否依据充分，是否符合客观实际，用以反映和考核项目绩效目标与项目实施的相符情况。</w:t>
            </w:r>
          </w:p>
        </w:tc>
        <w:tc>
          <w:tcPr>
            <w:tcW w:w="2057" w:type="pct"/>
            <w:shd w:val="clear" w:color="000000" w:fill="FFFFFF"/>
            <w:vAlign w:val="center"/>
          </w:tcPr>
          <w:p w14:paraId="16EBF19A">
            <w:pPr>
              <w:widowControl/>
              <w:spacing w:line="200" w:lineRule="exact"/>
              <w:jc w:val="lef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（如未设定预算绩效目标，也可考核其他工作任务目标）</w:t>
            </w:r>
            <w:r>
              <w:rPr>
                <w:rFonts w:eastAsia="仿宋_GB2312"/>
                <w:color w:val="000000"/>
                <w:kern w:val="0"/>
                <w:sz w:val="18"/>
                <w:szCs w:val="18"/>
              </w:rPr>
              <w:br w:type="textWrapping"/>
            </w:r>
            <w:r>
              <w:rPr>
                <w:rFonts w:eastAsia="仿宋_GB2312"/>
                <w:color w:val="000000"/>
                <w:kern w:val="0"/>
                <w:sz w:val="18"/>
                <w:szCs w:val="18"/>
              </w:rPr>
              <w:t>①项目是否有绩效目标；</w:t>
            </w:r>
            <w:r>
              <w:rPr>
                <w:rFonts w:eastAsia="仿宋_GB2312"/>
                <w:color w:val="000000"/>
                <w:kern w:val="0"/>
                <w:sz w:val="18"/>
                <w:szCs w:val="18"/>
              </w:rPr>
              <w:br w:type="textWrapping"/>
            </w:r>
            <w:r>
              <w:rPr>
                <w:rFonts w:eastAsia="仿宋_GB2312"/>
                <w:color w:val="000000"/>
                <w:kern w:val="0"/>
                <w:sz w:val="18"/>
                <w:szCs w:val="18"/>
              </w:rPr>
              <w:t>②项目绩效目标与实际工作内容是否具有相关性；</w:t>
            </w:r>
            <w:r>
              <w:rPr>
                <w:rFonts w:eastAsia="仿宋_GB2312"/>
                <w:color w:val="000000"/>
                <w:kern w:val="0"/>
                <w:sz w:val="18"/>
                <w:szCs w:val="18"/>
              </w:rPr>
              <w:br w:type="textWrapping"/>
            </w:r>
            <w:r>
              <w:rPr>
                <w:rFonts w:eastAsia="仿宋_GB2312"/>
                <w:color w:val="000000"/>
                <w:kern w:val="0"/>
                <w:sz w:val="18"/>
                <w:szCs w:val="18"/>
              </w:rPr>
              <w:t>③项目预期产出效益和效果是否符合正常的业绩水平；</w:t>
            </w:r>
          </w:p>
          <w:p w14:paraId="70E86781">
            <w:pPr>
              <w:widowControl/>
              <w:spacing w:line="200" w:lineRule="exact"/>
              <w:jc w:val="left"/>
              <w:rPr>
                <w:rFonts w:eastAsia="仿宋_GB2312"/>
                <w:color w:val="000000"/>
                <w:kern w:val="0"/>
                <w:sz w:val="18"/>
                <w:szCs w:val="18"/>
              </w:rPr>
            </w:pPr>
            <w:r>
              <w:rPr>
                <w:rFonts w:eastAsia="仿宋_GB2312"/>
                <w:color w:val="000000"/>
                <w:kern w:val="0"/>
                <w:sz w:val="18"/>
                <w:szCs w:val="18"/>
              </w:rPr>
              <w:t>④是否与预算确定的项目投资额或资金量相匹配。</w:t>
            </w:r>
          </w:p>
        </w:tc>
        <w:tc>
          <w:tcPr>
            <w:tcW w:w="512" w:type="pct"/>
            <w:shd w:val="clear" w:color="000000" w:fill="FFFFFF"/>
            <w:vAlign w:val="center"/>
          </w:tcPr>
          <w:p w14:paraId="08EB741D">
            <w:pPr>
              <w:widowControl/>
              <w:spacing w:line="200" w:lineRule="exact"/>
              <w:jc w:val="center"/>
              <w:rPr>
                <w:rFonts w:eastAsia="仿宋_GB2312"/>
                <w:b/>
                <w:bCs/>
                <w:color w:val="000000"/>
                <w:kern w:val="0"/>
                <w:sz w:val="18"/>
                <w:szCs w:val="18"/>
              </w:rPr>
            </w:pPr>
            <w:r>
              <w:rPr>
                <w:rFonts w:eastAsia="仿宋_GB2312"/>
                <w:b/>
                <w:bCs/>
                <w:color w:val="000000"/>
                <w:kern w:val="0"/>
                <w:sz w:val="18"/>
                <w:szCs w:val="18"/>
              </w:rPr>
              <w:t>3</w:t>
            </w:r>
          </w:p>
        </w:tc>
        <w:tc>
          <w:tcPr>
            <w:tcW w:w="538" w:type="pct"/>
            <w:shd w:val="clear" w:color="000000" w:fill="FFFFFF"/>
            <w:vAlign w:val="center"/>
          </w:tcPr>
          <w:p w14:paraId="76BA0F9A">
            <w:pPr>
              <w:widowControl/>
              <w:spacing w:line="200" w:lineRule="exact"/>
              <w:jc w:val="center"/>
              <w:rPr>
                <w:rFonts w:eastAsia="仿宋_GB2312"/>
                <w:b/>
                <w:bCs/>
                <w:color w:val="000000"/>
                <w:kern w:val="0"/>
                <w:sz w:val="18"/>
                <w:szCs w:val="18"/>
              </w:rPr>
            </w:pPr>
            <w:r>
              <w:rPr>
                <w:rFonts w:hint="eastAsia" w:eastAsia="仿宋_GB2312"/>
                <w:b/>
                <w:bCs/>
                <w:color w:val="000000"/>
                <w:kern w:val="0"/>
                <w:sz w:val="18"/>
                <w:szCs w:val="18"/>
              </w:rPr>
              <w:t>3</w:t>
            </w:r>
          </w:p>
        </w:tc>
      </w:tr>
      <w:tr w14:paraId="094F71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5" w:type="pct"/>
            <w:vMerge w:val="continue"/>
            <w:shd w:val="clear" w:color="auto" w:fill="FFFFFF"/>
            <w:vAlign w:val="center"/>
          </w:tcPr>
          <w:p w14:paraId="3F26BE84">
            <w:pPr>
              <w:widowControl/>
              <w:spacing w:line="200" w:lineRule="exact"/>
              <w:jc w:val="center"/>
              <w:rPr>
                <w:rFonts w:eastAsia="仿宋_GB2312"/>
                <w:color w:val="000000"/>
                <w:kern w:val="0"/>
                <w:sz w:val="18"/>
                <w:szCs w:val="18"/>
              </w:rPr>
            </w:pPr>
          </w:p>
        </w:tc>
        <w:tc>
          <w:tcPr>
            <w:tcW w:w="393" w:type="pct"/>
            <w:vMerge w:val="continue"/>
            <w:shd w:val="clear" w:color="auto" w:fill="FFFFFF"/>
            <w:vAlign w:val="center"/>
          </w:tcPr>
          <w:p w14:paraId="5A843A8C">
            <w:pPr>
              <w:widowControl/>
              <w:spacing w:line="200" w:lineRule="exact"/>
              <w:jc w:val="center"/>
              <w:rPr>
                <w:rFonts w:eastAsia="仿宋_GB2312"/>
                <w:color w:val="000000"/>
                <w:kern w:val="0"/>
                <w:sz w:val="18"/>
                <w:szCs w:val="18"/>
              </w:rPr>
            </w:pPr>
          </w:p>
        </w:tc>
        <w:tc>
          <w:tcPr>
            <w:tcW w:w="422" w:type="pct"/>
            <w:shd w:val="clear" w:color="auto" w:fill="FFFFFF"/>
            <w:vAlign w:val="center"/>
          </w:tcPr>
          <w:p w14:paraId="1400045B">
            <w:pPr>
              <w:widowControl/>
              <w:spacing w:line="200" w:lineRule="exact"/>
              <w:jc w:val="center"/>
              <w:rPr>
                <w:rFonts w:eastAsia="仿宋_GB2312"/>
                <w:color w:val="000000"/>
                <w:kern w:val="0"/>
                <w:sz w:val="18"/>
                <w:szCs w:val="18"/>
              </w:rPr>
            </w:pPr>
            <w:r>
              <w:rPr>
                <w:rFonts w:eastAsia="仿宋_GB2312"/>
                <w:color w:val="000000"/>
                <w:kern w:val="0"/>
                <w:sz w:val="18"/>
                <w:szCs w:val="18"/>
              </w:rPr>
              <w:t>绩效指标</w:t>
            </w:r>
          </w:p>
          <w:p w14:paraId="40516A73">
            <w:pPr>
              <w:widowControl/>
              <w:spacing w:line="200" w:lineRule="exact"/>
              <w:jc w:val="center"/>
              <w:rPr>
                <w:rFonts w:eastAsia="仿宋_GB2312"/>
                <w:color w:val="000000"/>
                <w:kern w:val="0"/>
                <w:sz w:val="18"/>
                <w:szCs w:val="18"/>
              </w:rPr>
            </w:pPr>
            <w:r>
              <w:rPr>
                <w:rFonts w:eastAsia="仿宋_GB2312"/>
                <w:color w:val="000000"/>
                <w:kern w:val="0"/>
                <w:sz w:val="18"/>
                <w:szCs w:val="18"/>
              </w:rPr>
              <w:t>明确性</w:t>
            </w:r>
          </w:p>
        </w:tc>
        <w:tc>
          <w:tcPr>
            <w:tcW w:w="680" w:type="pct"/>
            <w:shd w:val="clear" w:color="000000" w:fill="FFFFFF"/>
            <w:vAlign w:val="center"/>
          </w:tcPr>
          <w:p w14:paraId="0DD98B2C">
            <w:pPr>
              <w:widowControl/>
              <w:spacing w:line="200" w:lineRule="exact"/>
              <w:rPr>
                <w:rFonts w:eastAsia="仿宋_GB2312"/>
                <w:color w:val="000000"/>
                <w:kern w:val="0"/>
                <w:sz w:val="18"/>
                <w:szCs w:val="18"/>
              </w:rPr>
            </w:pPr>
            <w:r>
              <w:rPr>
                <w:rFonts w:eastAsia="仿宋_GB2312"/>
                <w:color w:val="000000"/>
                <w:kern w:val="0"/>
                <w:sz w:val="18"/>
                <w:szCs w:val="18"/>
              </w:rPr>
              <w:t>依据绩效目标设定的绩效指标是否清晰、细化、可衡量等，用以反映和考核项目绩效目标的明细化情况。</w:t>
            </w:r>
          </w:p>
        </w:tc>
        <w:tc>
          <w:tcPr>
            <w:tcW w:w="2057" w:type="pct"/>
            <w:shd w:val="clear" w:color="000000" w:fill="FFFFFF"/>
            <w:vAlign w:val="center"/>
          </w:tcPr>
          <w:p w14:paraId="227EC0AE">
            <w:pPr>
              <w:widowControl/>
              <w:spacing w:line="200" w:lineRule="exac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①是否将项目绩效目标细化分解为具体的绩效指标；</w:t>
            </w:r>
            <w:r>
              <w:rPr>
                <w:rFonts w:eastAsia="仿宋_GB2312"/>
                <w:color w:val="000000"/>
                <w:kern w:val="0"/>
                <w:sz w:val="18"/>
                <w:szCs w:val="18"/>
              </w:rPr>
              <w:br w:type="textWrapping"/>
            </w:r>
            <w:r>
              <w:rPr>
                <w:rFonts w:eastAsia="仿宋_GB2312"/>
                <w:color w:val="000000"/>
                <w:kern w:val="0"/>
                <w:sz w:val="18"/>
                <w:szCs w:val="18"/>
              </w:rPr>
              <w:t>②是否通过清晰、可衡量的指标值予以体现；</w:t>
            </w:r>
            <w:r>
              <w:rPr>
                <w:rFonts w:eastAsia="仿宋_GB2312"/>
                <w:color w:val="000000"/>
                <w:kern w:val="0"/>
                <w:sz w:val="18"/>
                <w:szCs w:val="18"/>
              </w:rPr>
              <w:br w:type="textWrapping"/>
            </w:r>
            <w:r>
              <w:rPr>
                <w:rFonts w:eastAsia="仿宋_GB2312"/>
                <w:color w:val="000000"/>
                <w:kern w:val="0"/>
                <w:sz w:val="18"/>
                <w:szCs w:val="18"/>
              </w:rPr>
              <w:t>③是否与项目目标任务数或计划数相对应。</w:t>
            </w:r>
            <w:r>
              <w:rPr>
                <w:rFonts w:eastAsia="仿宋_GB2312"/>
                <w:color w:val="000000"/>
                <w:kern w:val="0"/>
                <w:sz w:val="18"/>
                <w:szCs w:val="18"/>
              </w:rPr>
              <w:br w:type="textWrapping"/>
            </w:r>
          </w:p>
        </w:tc>
        <w:tc>
          <w:tcPr>
            <w:tcW w:w="512" w:type="pct"/>
            <w:shd w:val="clear" w:color="000000" w:fill="FFFFFF"/>
            <w:vAlign w:val="center"/>
          </w:tcPr>
          <w:p w14:paraId="0D4AE2D6">
            <w:pPr>
              <w:widowControl/>
              <w:spacing w:line="200" w:lineRule="exact"/>
              <w:jc w:val="center"/>
              <w:rPr>
                <w:rFonts w:eastAsia="仿宋_GB2312"/>
                <w:b/>
                <w:bCs/>
                <w:color w:val="000000"/>
                <w:kern w:val="0"/>
                <w:sz w:val="18"/>
                <w:szCs w:val="18"/>
              </w:rPr>
            </w:pPr>
            <w:r>
              <w:rPr>
                <w:rFonts w:eastAsia="仿宋_GB2312"/>
                <w:b/>
                <w:bCs/>
                <w:color w:val="000000"/>
                <w:kern w:val="0"/>
                <w:sz w:val="18"/>
                <w:szCs w:val="18"/>
              </w:rPr>
              <w:t>3</w:t>
            </w:r>
          </w:p>
        </w:tc>
        <w:tc>
          <w:tcPr>
            <w:tcW w:w="538" w:type="pct"/>
            <w:shd w:val="clear" w:color="000000" w:fill="FFFFFF"/>
            <w:vAlign w:val="center"/>
          </w:tcPr>
          <w:p w14:paraId="0C387404">
            <w:pPr>
              <w:widowControl/>
              <w:spacing w:line="200" w:lineRule="exact"/>
              <w:jc w:val="center"/>
              <w:rPr>
                <w:rFonts w:eastAsia="仿宋_GB2312"/>
                <w:b/>
                <w:bCs/>
                <w:color w:val="000000"/>
                <w:kern w:val="0"/>
                <w:sz w:val="18"/>
                <w:szCs w:val="18"/>
              </w:rPr>
            </w:pPr>
            <w:r>
              <w:rPr>
                <w:rFonts w:hint="eastAsia" w:eastAsia="仿宋_GB2312"/>
                <w:b/>
                <w:bCs/>
                <w:color w:val="000000"/>
                <w:kern w:val="0"/>
                <w:sz w:val="18"/>
                <w:szCs w:val="18"/>
              </w:rPr>
              <w:t>3</w:t>
            </w:r>
          </w:p>
        </w:tc>
      </w:tr>
      <w:tr w14:paraId="08A7BC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5" w:type="pct"/>
            <w:vMerge w:val="continue"/>
            <w:shd w:val="clear" w:color="auto" w:fill="FFFFFF"/>
            <w:vAlign w:val="center"/>
          </w:tcPr>
          <w:p w14:paraId="457AE113">
            <w:pPr>
              <w:spacing w:line="200" w:lineRule="exact"/>
              <w:jc w:val="center"/>
              <w:rPr>
                <w:rFonts w:eastAsia="仿宋_GB2312"/>
                <w:color w:val="000000"/>
                <w:kern w:val="0"/>
                <w:sz w:val="18"/>
                <w:szCs w:val="18"/>
              </w:rPr>
            </w:pPr>
          </w:p>
        </w:tc>
        <w:tc>
          <w:tcPr>
            <w:tcW w:w="393" w:type="pct"/>
            <w:vMerge w:val="restart"/>
            <w:shd w:val="clear" w:color="auto" w:fill="FFFFFF"/>
            <w:vAlign w:val="center"/>
          </w:tcPr>
          <w:p w14:paraId="40837418">
            <w:pPr>
              <w:widowControl/>
              <w:spacing w:line="200" w:lineRule="exact"/>
              <w:jc w:val="center"/>
              <w:rPr>
                <w:rFonts w:eastAsia="仿宋_GB2312"/>
                <w:color w:val="000000"/>
                <w:kern w:val="0"/>
                <w:sz w:val="18"/>
                <w:szCs w:val="18"/>
              </w:rPr>
            </w:pPr>
            <w:r>
              <w:rPr>
                <w:rFonts w:eastAsia="仿宋_GB2312"/>
                <w:color w:val="000000"/>
                <w:kern w:val="0"/>
                <w:sz w:val="18"/>
                <w:szCs w:val="18"/>
              </w:rPr>
              <w:t>资金投入</w:t>
            </w:r>
          </w:p>
          <w:p w14:paraId="46F8259A">
            <w:pPr>
              <w:spacing w:line="200" w:lineRule="exact"/>
              <w:jc w:val="center"/>
              <w:rPr>
                <w:rFonts w:eastAsia="仿宋_GB2312"/>
                <w:color w:val="000000"/>
                <w:kern w:val="0"/>
                <w:sz w:val="18"/>
                <w:szCs w:val="18"/>
              </w:rPr>
            </w:pPr>
          </w:p>
        </w:tc>
        <w:tc>
          <w:tcPr>
            <w:tcW w:w="422" w:type="pct"/>
            <w:shd w:val="clear" w:color="auto" w:fill="FFFFFF"/>
            <w:vAlign w:val="center"/>
          </w:tcPr>
          <w:p w14:paraId="5B898F9E">
            <w:pPr>
              <w:widowControl/>
              <w:spacing w:line="200" w:lineRule="exact"/>
              <w:jc w:val="center"/>
              <w:rPr>
                <w:rFonts w:eastAsia="仿宋_GB2312"/>
                <w:color w:val="000000"/>
                <w:kern w:val="0"/>
                <w:sz w:val="18"/>
                <w:szCs w:val="18"/>
              </w:rPr>
            </w:pPr>
            <w:r>
              <w:rPr>
                <w:rFonts w:eastAsia="仿宋_GB2312"/>
                <w:color w:val="000000"/>
                <w:kern w:val="0"/>
                <w:sz w:val="18"/>
                <w:szCs w:val="18"/>
              </w:rPr>
              <w:t>预算编制</w:t>
            </w:r>
          </w:p>
          <w:p w14:paraId="07FA0C18">
            <w:pPr>
              <w:widowControl/>
              <w:spacing w:line="200" w:lineRule="exact"/>
              <w:jc w:val="center"/>
              <w:rPr>
                <w:rFonts w:eastAsia="仿宋_GB2312"/>
                <w:color w:val="000000"/>
                <w:kern w:val="0"/>
                <w:sz w:val="18"/>
                <w:szCs w:val="18"/>
              </w:rPr>
            </w:pPr>
            <w:r>
              <w:rPr>
                <w:rFonts w:eastAsia="仿宋_GB2312"/>
                <w:color w:val="000000"/>
                <w:kern w:val="0"/>
                <w:sz w:val="18"/>
                <w:szCs w:val="18"/>
              </w:rPr>
              <w:t>科学性</w:t>
            </w:r>
          </w:p>
        </w:tc>
        <w:tc>
          <w:tcPr>
            <w:tcW w:w="680" w:type="pct"/>
            <w:shd w:val="clear" w:color="auto" w:fill="FFFFFF"/>
            <w:vAlign w:val="center"/>
          </w:tcPr>
          <w:p w14:paraId="63674622">
            <w:pPr>
              <w:widowControl/>
              <w:spacing w:line="200" w:lineRule="exact"/>
              <w:rPr>
                <w:rFonts w:eastAsia="仿宋_GB2312"/>
                <w:color w:val="000000"/>
                <w:kern w:val="0"/>
                <w:sz w:val="18"/>
                <w:szCs w:val="18"/>
              </w:rPr>
            </w:pPr>
            <w:r>
              <w:rPr>
                <w:rFonts w:eastAsia="仿宋_GB2312"/>
                <w:color w:val="000000"/>
                <w:kern w:val="0"/>
                <w:sz w:val="18"/>
                <w:szCs w:val="18"/>
              </w:rPr>
              <w:t>项目预算编制是否经过科学论证、有明确标准，资金额度与年度目标是否相适应，用以反映和考核项目预算编制的科学性、合理性情况。</w:t>
            </w:r>
          </w:p>
        </w:tc>
        <w:tc>
          <w:tcPr>
            <w:tcW w:w="2057" w:type="pct"/>
            <w:shd w:val="clear" w:color="auto" w:fill="FFFFFF"/>
            <w:vAlign w:val="center"/>
          </w:tcPr>
          <w:p w14:paraId="14D8CF05">
            <w:pPr>
              <w:widowControl/>
              <w:spacing w:line="200" w:lineRule="exac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①预算编制是否经过科学论证；</w:t>
            </w:r>
            <w:r>
              <w:rPr>
                <w:rFonts w:eastAsia="仿宋_GB2312"/>
                <w:color w:val="000000"/>
                <w:kern w:val="0"/>
                <w:sz w:val="18"/>
                <w:szCs w:val="18"/>
              </w:rPr>
              <w:br w:type="textWrapping"/>
            </w:r>
            <w:r>
              <w:rPr>
                <w:rFonts w:eastAsia="仿宋_GB2312"/>
                <w:color w:val="000000"/>
                <w:kern w:val="0"/>
                <w:sz w:val="18"/>
                <w:szCs w:val="18"/>
              </w:rPr>
              <w:t>②预算内容与项目内容是否匹配；</w:t>
            </w:r>
            <w:r>
              <w:rPr>
                <w:rFonts w:eastAsia="仿宋_GB2312"/>
                <w:color w:val="000000"/>
                <w:kern w:val="0"/>
                <w:sz w:val="18"/>
                <w:szCs w:val="18"/>
              </w:rPr>
              <w:br w:type="textWrapping"/>
            </w:r>
            <w:r>
              <w:rPr>
                <w:rFonts w:eastAsia="仿宋_GB2312"/>
                <w:color w:val="000000"/>
                <w:kern w:val="0"/>
                <w:sz w:val="18"/>
                <w:szCs w:val="18"/>
              </w:rPr>
              <w:t>③预算额度测算依据是否充分，是否按照标准编制；</w:t>
            </w:r>
            <w:r>
              <w:rPr>
                <w:rFonts w:eastAsia="仿宋_GB2312"/>
                <w:color w:val="000000"/>
                <w:kern w:val="0"/>
                <w:sz w:val="18"/>
                <w:szCs w:val="18"/>
              </w:rPr>
              <w:br w:type="textWrapping"/>
            </w:r>
            <w:r>
              <w:rPr>
                <w:rFonts w:eastAsia="仿宋_GB2312"/>
                <w:color w:val="000000"/>
                <w:kern w:val="0"/>
                <w:sz w:val="18"/>
                <w:szCs w:val="18"/>
              </w:rPr>
              <w:t>④预算确定的项目投资额或资金量是否与工作任务相匹配。</w:t>
            </w:r>
          </w:p>
        </w:tc>
        <w:tc>
          <w:tcPr>
            <w:tcW w:w="512" w:type="pct"/>
            <w:shd w:val="clear" w:color="auto" w:fill="FFFFFF"/>
            <w:vAlign w:val="center"/>
          </w:tcPr>
          <w:p w14:paraId="7514B4E9">
            <w:pPr>
              <w:widowControl/>
              <w:spacing w:line="200" w:lineRule="exact"/>
              <w:jc w:val="center"/>
              <w:rPr>
                <w:rFonts w:eastAsia="仿宋_GB2312"/>
                <w:b/>
                <w:bCs/>
                <w:color w:val="000000"/>
                <w:kern w:val="0"/>
                <w:sz w:val="18"/>
                <w:szCs w:val="18"/>
              </w:rPr>
            </w:pPr>
            <w:r>
              <w:rPr>
                <w:rFonts w:eastAsia="仿宋_GB2312"/>
                <w:b/>
                <w:bCs/>
                <w:color w:val="000000"/>
                <w:kern w:val="0"/>
                <w:sz w:val="18"/>
                <w:szCs w:val="18"/>
              </w:rPr>
              <w:t>4</w:t>
            </w:r>
          </w:p>
        </w:tc>
        <w:tc>
          <w:tcPr>
            <w:tcW w:w="538" w:type="pct"/>
            <w:shd w:val="clear" w:color="auto" w:fill="FFFFFF"/>
            <w:vAlign w:val="center"/>
          </w:tcPr>
          <w:p w14:paraId="3663A865">
            <w:pPr>
              <w:widowControl/>
              <w:spacing w:line="200" w:lineRule="exact"/>
              <w:jc w:val="center"/>
              <w:rPr>
                <w:rFonts w:eastAsia="仿宋_GB2312"/>
                <w:b/>
                <w:bCs/>
                <w:color w:val="000000"/>
                <w:kern w:val="0"/>
                <w:sz w:val="18"/>
                <w:szCs w:val="18"/>
              </w:rPr>
            </w:pPr>
            <w:r>
              <w:rPr>
                <w:rFonts w:hint="eastAsia" w:eastAsia="仿宋_GB2312"/>
                <w:b/>
                <w:bCs/>
                <w:color w:val="000000"/>
                <w:kern w:val="0"/>
                <w:sz w:val="18"/>
                <w:szCs w:val="18"/>
              </w:rPr>
              <w:t>4</w:t>
            </w:r>
          </w:p>
        </w:tc>
      </w:tr>
      <w:tr w14:paraId="668D85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5" w:type="pct"/>
            <w:vMerge w:val="continue"/>
            <w:shd w:val="clear" w:color="auto" w:fill="FFFFFF"/>
            <w:vAlign w:val="center"/>
          </w:tcPr>
          <w:p w14:paraId="49663CD2">
            <w:pPr>
              <w:widowControl/>
              <w:spacing w:line="200" w:lineRule="exact"/>
              <w:jc w:val="center"/>
              <w:rPr>
                <w:rFonts w:eastAsia="仿宋_GB2312"/>
                <w:color w:val="000000"/>
                <w:kern w:val="0"/>
                <w:sz w:val="18"/>
                <w:szCs w:val="18"/>
              </w:rPr>
            </w:pPr>
          </w:p>
        </w:tc>
        <w:tc>
          <w:tcPr>
            <w:tcW w:w="393" w:type="pct"/>
            <w:vMerge w:val="continue"/>
            <w:shd w:val="clear" w:color="auto" w:fill="FFFFFF"/>
            <w:vAlign w:val="center"/>
          </w:tcPr>
          <w:p w14:paraId="6B2A317C">
            <w:pPr>
              <w:widowControl/>
              <w:spacing w:line="200" w:lineRule="exact"/>
              <w:jc w:val="center"/>
              <w:rPr>
                <w:rFonts w:eastAsia="仿宋_GB2312"/>
                <w:color w:val="000000"/>
                <w:kern w:val="0"/>
                <w:sz w:val="18"/>
                <w:szCs w:val="18"/>
              </w:rPr>
            </w:pPr>
          </w:p>
        </w:tc>
        <w:tc>
          <w:tcPr>
            <w:tcW w:w="422" w:type="pct"/>
            <w:shd w:val="clear" w:color="auto" w:fill="FFFFFF"/>
            <w:vAlign w:val="center"/>
          </w:tcPr>
          <w:p w14:paraId="5DE05555">
            <w:pPr>
              <w:widowControl/>
              <w:spacing w:line="200" w:lineRule="exact"/>
              <w:jc w:val="center"/>
              <w:rPr>
                <w:rFonts w:eastAsia="仿宋_GB2312"/>
                <w:color w:val="000000"/>
                <w:kern w:val="0"/>
                <w:sz w:val="18"/>
                <w:szCs w:val="18"/>
              </w:rPr>
            </w:pPr>
            <w:r>
              <w:rPr>
                <w:rFonts w:eastAsia="仿宋_GB2312"/>
                <w:color w:val="000000"/>
                <w:kern w:val="0"/>
                <w:sz w:val="18"/>
                <w:szCs w:val="18"/>
              </w:rPr>
              <w:t>资金分配</w:t>
            </w:r>
          </w:p>
          <w:p w14:paraId="7F87EA3E">
            <w:pPr>
              <w:widowControl/>
              <w:spacing w:line="200" w:lineRule="exact"/>
              <w:jc w:val="center"/>
              <w:rPr>
                <w:rFonts w:eastAsia="仿宋_GB2312"/>
                <w:color w:val="000000"/>
                <w:kern w:val="0"/>
                <w:sz w:val="18"/>
                <w:szCs w:val="18"/>
              </w:rPr>
            </w:pPr>
            <w:r>
              <w:rPr>
                <w:rFonts w:eastAsia="仿宋_GB2312"/>
                <w:color w:val="000000"/>
                <w:kern w:val="0"/>
                <w:sz w:val="18"/>
                <w:szCs w:val="18"/>
              </w:rPr>
              <w:t>合理性</w:t>
            </w:r>
          </w:p>
        </w:tc>
        <w:tc>
          <w:tcPr>
            <w:tcW w:w="680" w:type="pct"/>
            <w:shd w:val="clear" w:color="auto" w:fill="FFFFFF"/>
            <w:vAlign w:val="center"/>
          </w:tcPr>
          <w:p w14:paraId="4AD4542E">
            <w:pPr>
              <w:widowControl/>
              <w:spacing w:line="200" w:lineRule="exact"/>
              <w:rPr>
                <w:rFonts w:eastAsia="仿宋_GB2312"/>
                <w:color w:val="000000"/>
                <w:kern w:val="0"/>
                <w:sz w:val="18"/>
                <w:szCs w:val="18"/>
              </w:rPr>
            </w:pPr>
            <w:r>
              <w:rPr>
                <w:rFonts w:eastAsia="仿宋_GB2312"/>
                <w:color w:val="000000"/>
                <w:kern w:val="0"/>
                <w:sz w:val="18"/>
                <w:szCs w:val="18"/>
              </w:rPr>
              <w:t>项目预算资金分配是否有测算依据，与补助单位或地方实际是否相适应，用以反映和考核项目预算资金分配的科学性、合理性情况。</w:t>
            </w:r>
          </w:p>
        </w:tc>
        <w:tc>
          <w:tcPr>
            <w:tcW w:w="2057" w:type="pct"/>
            <w:shd w:val="clear" w:color="auto" w:fill="FFFFFF"/>
            <w:vAlign w:val="center"/>
          </w:tcPr>
          <w:p w14:paraId="5259CCFD">
            <w:pPr>
              <w:widowControl/>
              <w:spacing w:line="200" w:lineRule="exac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①预算资金分配依据是否充分；</w:t>
            </w:r>
            <w:r>
              <w:rPr>
                <w:rFonts w:eastAsia="仿宋_GB2312"/>
                <w:color w:val="000000"/>
                <w:kern w:val="0"/>
                <w:sz w:val="18"/>
                <w:szCs w:val="18"/>
              </w:rPr>
              <w:br w:type="textWrapping"/>
            </w:r>
            <w:r>
              <w:rPr>
                <w:rFonts w:eastAsia="仿宋_GB2312"/>
                <w:color w:val="000000"/>
                <w:kern w:val="0"/>
                <w:sz w:val="18"/>
                <w:szCs w:val="18"/>
              </w:rPr>
              <w:t>②资金分配额度是否合理，与项目单位或地方实际是否相适应。</w:t>
            </w:r>
          </w:p>
        </w:tc>
        <w:tc>
          <w:tcPr>
            <w:tcW w:w="512" w:type="pct"/>
            <w:shd w:val="clear" w:color="auto" w:fill="FFFFFF"/>
            <w:vAlign w:val="center"/>
          </w:tcPr>
          <w:p w14:paraId="73302263">
            <w:pPr>
              <w:widowControl/>
              <w:spacing w:line="200" w:lineRule="exact"/>
              <w:jc w:val="center"/>
              <w:rPr>
                <w:rFonts w:eastAsia="仿宋_GB2312"/>
                <w:b/>
                <w:bCs/>
                <w:color w:val="000000"/>
                <w:kern w:val="0"/>
                <w:sz w:val="18"/>
                <w:szCs w:val="18"/>
              </w:rPr>
            </w:pPr>
            <w:r>
              <w:rPr>
                <w:rFonts w:eastAsia="仿宋_GB2312"/>
                <w:b/>
                <w:bCs/>
                <w:color w:val="000000"/>
                <w:kern w:val="0"/>
                <w:sz w:val="18"/>
                <w:szCs w:val="18"/>
              </w:rPr>
              <w:t>4</w:t>
            </w:r>
          </w:p>
        </w:tc>
        <w:tc>
          <w:tcPr>
            <w:tcW w:w="538" w:type="pct"/>
            <w:shd w:val="clear" w:color="auto" w:fill="FFFFFF"/>
            <w:vAlign w:val="center"/>
          </w:tcPr>
          <w:p w14:paraId="5923ECB7">
            <w:pPr>
              <w:widowControl/>
              <w:spacing w:line="200" w:lineRule="exact"/>
              <w:jc w:val="center"/>
              <w:rPr>
                <w:rFonts w:eastAsia="仿宋_GB2312"/>
                <w:b/>
                <w:bCs/>
                <w:color w:val="000000"/>
                <w:kern w:val="0"/>
                <w:sz w:val="18"/>
                <w:szCs w:val="18"/>
              </w:rPr>
            </w:pPr>
            <w:r>
              <w:rPr>
                <w:rFonts w:hint="eastAsia" w:eastAsia="仿宋_GB2312"/>
                <w:b/>
                <w:bCs/>
                <w:color w:val="000000"/>
                <w:kern w:val="0"/>
                <w:sz w:val="18"/>
                <w:szCs w:val="18"/>
              </w:rPr>
              <w:t>4</w:t>
            </w:r>
          </w:p>
        </w:tc>
      </w:tr>
      <w:tr w14:paraId="67EEEB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5" w:type="pct"/>
            <w:vMerge w:val="restart"/>
            <w:shd w:val="clear" w:color="auto" w:fill="FFFFFF"/>
            <w:vAlign w:val="center"/>
          </w:tcPr>
          <w:p w14:paraId="6665F584">
            <w:pPr>
              <w:spacing w:line="200" w:lineRule="exact"/>
              <w:jc w:val="center"/>
              <w:rPr>
                <w:rFonts w:eastAsia="仿宋_GB2312"/>
                <w:color w:val="000000"/>
                <w:kern w:val="0"/>
                <w:sz w:val="18"/>
                <w:szCs w:val="18"/>
              </w:rPr>
            </w:pPr>
          </w:p>
          <w:p w14:paraId="3D12C7BB">
            <w:pPr>
              <w:spacing w:line="200" w:lineRule="exact"/>
              <w:jc w:val="center"/>
              <w:rPr>
                <w:rFonts w:eastAsia="仿宋_GB2312"/>
                <w:color w:val="000000"/>
                <w:kern w:val="0"/>
                <w:sz w:val="18"/>
                <w:szCs w:val="18"/>
              </w:rPr>
            </w:pPr>
          </w:p>
          <w:p w14:paraId="625371C3">
            <w:pPr>
              <w:spacing w:line="200" w:lineRule="exact"/>
              <w:jc w:val="center"/>
              <w:rPr>
                <w:rFonts w:eastAsia="仿宋_GB2312"/>
                <w:color w:val="000000"/>
                <w:kern w:val="0"/>
                <w:sz w:val="18"/>
                <w:szCs w:val="18"/>
              </w:rPr>
            </w:pPr>
          </w:p>
          <w:p w14:paraId="4DF9FEFC">
            <w:pPr>
              <w:spacing w:line="200" w:lineRule="exact"/>
              <w:jc w:val="center"/>
              <w:rPr>
                <w:rFonts w:eastAsia="仿宋_GB2312"/>
                <w:color w:val="000000"/>
                <w:kern w:val="0"/>
                <w:sz w:val="18"/>
                <w:szCs w:val="18"/>
              </w:rPr>
            </w:pPr>
          </w:p>
          <w:p w14:paraId="546A89C2">
            <w:pPr>
              <w:spacing w:line="200" w:lineRule="exact"/>
              <w:jc w:val="center"/>
              <w:rPr>
                <w:rFonts w:eastAsia="仿宋_GB2312"/>
                <w:color w:val="000000"/>
                <w:kern w:val="0"/>
                <w:sz w:val="18"/>
                <w:szCs w:val="18"/>
              </w:rPr>
            </w:pPr>
          </w:p>
          <w:p w14:paraId="66B4BBE8">
            <w:pPr>
              <w:spacing w:line="200" w:lineRule="exact"/>
              <w:jc w:val="center"/>
              <w:rPr>
                <w:rFonts w:eastAsia="仿宋_GB2312"/>
                <w:color w:val="000000"/>
                <w:kern w:val="0"/>
                <w:sz w:val="18"/>
                <w:szCs w:val="18"/>
              </w:rPr>
            </w:pPr>
          </w:p>
          <w:p w14:paraId="7A2CDC98">
            <w:pPr>
              <w:spacing w:line="200" w:lineRule="exact"/>
              <w:jc w:val="center"/>
              <w:rPr>
                <w:rFonts w:eastAsia="仿宋_GB2312"/>
                <w:color w:val="000000"/>
                <w:kern w:val="0"/>
                <w:sz w:val="18"/>
                <w:szCs w:val="18"/>
              </w:rPr>
            </w:pPr>
          </w:p>
          <w:p w14:paraId="7AA6ACB7">
            <w:pPr>
              <w:spacing w:line="200" w:lineRule="exact"/>
              <w:jc w:val="center"/>
              <w:rPr>
                <w:rFonts w:eastAsia="仿宋_GB2312"/>
                <w:color w:val="000000"/>
                <w:kern w:val="0"/>
                <w:sz w:val="18"/>
                <w:szCs w:val="18"/>
              </w:rPr>
            </w:pPr>
          </w:p>
          <w:p w14:paraId="29337D31">
            <w:pPr>
              <w:spacing w:line="200" w:lineRule="exact"/>
              <w:jc w:val="center"/>
              <w:rPr>
                <w:rFonts w:eastAsia="仿宋_GB2312"/>
                <w:color w:val="000000"/>
                <w:kern w:val="0"/>
                <w:sz w:val="18"/>
                <w:szCs w:val="18"/>
              </w:rPr>
            </w:pPr>
          </w:p>
          <w:p w14:paraId="25572FDD">
            <w:pPr>
              <w:spacing w:line="200" w:lineRule="exact"/>
              <w:jc w:val="center"/>
              <w:rPr>
                <w:rFonts w:eastAsia="仿宋_GB2312"/>
                <w:color w:val="000000"/>
                <w:kern w:val="0"/>
                <w:sz w:val="18"/>
                <w:szCs w:val="18"/>
              </w:rPr>
            </w:pPr>
          </w:p>
          <w:p w14:paraId="66B92364">
            <w:pPr>
              <w:spacing w:line="200" w:lineRule="exact"/>
              <w:jc w:val="center"/>
              <w:rPr>
                <w:rFonts w:eastAsia="仿宋_GB2312"/>
                <w:color w:val="000000"/>
                <w:kern w:val="0"/>
                <w:sz w:val="18"/>
                <w:szCs w:val="18"/>
              </w:rPr>
            </w:pPr>
          </w:p>
          <w:p w14:paraId="2882ABAF">
            <w:pPr>
              <w:spacing w:line="200" w:lineRule="exact"/>
              <w:jc w:val="center"/>
              <w:rPr>
                <w:rFonts w:eastAsia="仿宋_GB2312"/>
                <w:color w:val="000000"/>
                <w:kern w:val="0"/>
                <w:sz w:val="18"/>
                <w:szCs w:val="18"/>
              </w:rPr>
            </w:pPr>
          </w:p>
          <w:p w14:paraId="4916814B">
            <w:pPr>
              <w:spacing w:line="200" w:lineRule="exact"/>
              <w:jc w:val="center"/>
              <w:rPr>
                <w:rFonts w:eastAsia="仿宋_GB2312"/>
                <w:color w:val="000000"/>
                <w:kern w:val="0"/>
                <w:sz w:val="18"/>
                <w:szCs w:val="18"/>
              </w:rPr>
            </w:pPr>
          </w:p>
          <w:p w14:paraId="196D5AD7">
            <w:pPr>
              <w:spacing w:line="200" w:lineRule="exact"/>
              <w:jc w:val="center"/>
              <w:rPr>
                <w:rFonts w:eastAsia="仿宋_GB2312"/>
                <w:color w:val="000000"/>
                <w:kern w:val="0"/>
                <w:sz w:val="18"/>
                <w:szCs w:val="18"/>
              </w:rPr>
            </w:pPr>
          </w:p>
          <w:p w14:paraId="07E290CA">
            <w:pPr>
              <w:spacing w:line="200" w:lineRule="exact"/>
              <w:jc w:val="center"/>
              <w:rPr>
                <w:rFonts w:eastAsia="仿宋_GB2312"/>
                <w:color w:val="000000"/>
                <w:kern w:val="0"/>
                <w:sz w:val="18"/>
                <w:szCs w:val="18"/>
              </w:rPr>
            </w:pPr>
          </w:p>
          <w:p w14:paraId="07244C58">
            <w:pPr>
              <w:spacing w:line="200" w:lineRule="exact"/>
              <w:jc w:val="center"/>
              <w:rPr>
                <w:rFonts w:eastAsia="仿宋_GB2312"/>
                <w:color w:val="000000"/>
                <w:kern w:val="0"/>
                <w:sz w:val="18"/>
                <w:szCs w:val="18"/>
              </w:rPr>
            </w:pPr>
            <w:r>
              <w:rPr>
                <w:rFonts w:eastAsia="仿宋_GB2312"/>
                <w:color w:val="000000"/>
                <w:kern w:val="0"/>
                <w:sz w:val="18"/>
                <w:szCs w:val="18"/>
              </w:rPr>
              <w:t>过程</w:t>
            </w:r>
          </w:p>
          <w:p w14:paraId="14E0B82B">
            <w:pPr>
              <w:widowControl/>
              <w:spacing w:line="200" w:lineRule="exact"/>
              <w:jc w:val="center"/>
              <w:rPr>
                <w:rFonts w:eastAsia="仿宋_GB2312"/>
                <w:color w:val="000000"/>
                <w:kern w:val="0"/>
                <w:sz w:val="18"/>
                <w:szCs w:val="18"/>
              </w:rPr>
            </w:pPr>
          </w:p>
        </w:tc>
        <w:tc>
          <w:tcPr>
            <w:tcW w:w="393" w:type="pct"/>
            <w:vMerge w:val="restart"/>
            <w:shd w:val="clear" w:color="auto" w:fill="FFFFFF"/>
            <w:vAlign w:val="center"/>
          </w:tcPr>
          <w:p w14:paraId="6DF7EA55">
            <w:pPr>
              <w:widowControl/>
              <w:spacing w:line="200" w:lineRule="exact"/>
              <w:jc w:val="center"/>
              <w:rPr>
                <w:rFonts w:eastAsia="仿宋_GB2312"/>
                <w:color w:val="000000"/>
                <w:kern w:val="0"/>
                <w:sz w:val="18"/>
                <w:szCs w:val="18"/>
              </w:rPr>
            </w:pPr>
            <w:r>
              <w:rPr>
                <w:rFonts w:eastAsia="仿宋_GB2312"/>
                <w:color w:val="000000"/>
                <w:kern w:val="0"/>
                <w:sz w:val="18"/>
                <w:szCs w:val="18"/>
              </w:rPr>
              <w:t>资金管理</w:t>
            </w:r>
          </w:p>
        </w:tc>
        <w:tc>
          <w:tcPr>
            <w:tcW w:w="422" w:type="pct"/>
            <w:shd w:val="clear" w:color="auto" w:fill="FFFFFF"/>
            <w:vAlign w:val="center"/>
          </w:tcPr>
          <w:p w14:paraId="12EDC424">
            <w:pPr>
              <w:widowControl/>
              <w:spacing w:line="200" w:lineRule="exact"/>
              <w:jc w:val="center"/>
              <w:rPr>
                <w:rFonts w:eastAsia="仿宋_GB2312"/>
                <w:color w:val="000000"/>
                <w:kern w:val="0"/>
                <w:sz w:val="18"/>
                <w:szCs w:val="18"/>
              </w:rPr>
            </w:pPr>
            <w:r>
              <w:rPr>
                <w:rFonts w:eastAsia="仿宋_GB2312"/>
                <w:color w:val="000000"/>
                <w:kern w:val="0"/>
                <w:sz w:val="18"/>
                <w:szCs w:val="18"/>
              </w:rPr>
              <w:t>资金到位率</w:t>
            </w:r>
          </w:p>
        </w:tc>
        <w:tc>
          <w:tcPr>
            <w:tcW w:w="680" w:type="pct"/>
            <w:shd w:val="clear" w:color="000000" w:fill="FFFFFF"/>
            <w:vAlign w:val="center"/>
          </w:tcPr>
          <w:p w14:paraId="64686244">
            <w:pPr>
              <w:widowControl/>
              <w:spacing w:line="200" w:lineRule="exact"/>
              <w:rPr>
                <w:rFonts w:eastAsia="仿宋_GB2312"/>
                <w:color w:val="000000"/>
                <w:kern w:val="0"/>
                <w:sz w:val="18"/>
                <w:szCs w:val="18"/>
              </w:rPr>
            </w:pPr>
            <w:r>
              <w:rPr>
                <w:rFonts w:eastAsia="仿宋_GB2312"/>
                <w:color w:val="000000"/>
                <w:kern w:val="0"/>
                <w:sz w:val="18"/>
                <w:szCs w:val="18"/>
              </w:rPr>
              <w:t>实际到位资金与预算资金的比率，用以反映和考核资金落实情况对项目实施的总体保障程度。</w:t>
            </w:r>
          </w:p>
        </w:tc>
        <w:tc>
          <w:tcPr>
            <w:tcW w:w="2057" w:type="pct"/>
            <w:shd w:val="clear" w:color="000000" w:fill="FFFFFF"/>
            <w:vAlign w:val="center"/>
          </w:tcPr>
          <w:p w14:paraId="20F6BA06">
            <w:pPr>
              <w:widowControl/>
              <w:spacing w:line="200" w:lineRule="exact"/>
              <w:rPr>
                <w:rFonts w:eastAsia="仿宋_GB2312"/>
                <w:color w:val="000000"/>
                <w:kern w:val="0"/>
                <w:sz w:val="18"/>
                <w:szCs w:val="18"/>
              </w:rPr>
            </w:pPr>
            <w:r>
              <w:rPr>
                <w:rFonts w:eastAsia="仿宋_GB2312"/>
                <w:color w:val="000000"/>
                <w:kern w:val="0"/>
                <w:sz w:val="18"/>
                <w:szCs w:val="18"/>
              </w:rPr>
              <w:t>资金到位率=（实际到位资金/预算资金）×100%。</w:t>
            </w:r>
          </w:p>
          <w:p w14:paraId="71E4B24B">
            <w:pPr>
              <w:widowControl/>
              <w:spacing w:line="200" w:lineRule="exact"/>
              <w:rPr>
                <w:rFonts w:eastAsia="仿宋_GB2312"/>
                <w:color w:val="000000"/>
                <w:kern w:val="0"/>
                <w:sz w:val="18"/>
                <w:szCs w:val="18"/>
              </w:rPr>
            </w:pPr>
            <w:r>
              <w:rPr>
                <w:rFonts w:eastAsia="仿宋_GB2312"/>
                <w:color w:val="000000"/>
                <w:kern w:val="0"/>
                <w:sz w:val="18"/>
                <w:szCs w:val="18"/>
              </w:rPr>
              <w:t>实际到位资金：一定时期（本年度或项目期）内落实到具体项目的资金。</w:t>
            </w:r>
          </w:p>
          <w:p w14:paraId="7B66E81F">
            <w:pPr>
              <w:widowControl/>
              <w:spacing w:line="200" w:lineRule="exact"/>
              <w:rPr>
                <w:rFonts w:eastAsia="仿宋_GB2312"/>
                <w:color w:val="000000"/>
                <w:kern w:val="0"/>
                <w:sz w:val="18"/>
                <w:szCs w:val="18"/>
              </w:rPr>
            </w:pPr>
            <w:r>
              <w:rPr>
                <w:rFonts w:eastAsia="仿宋_GB2312"/>
                <w:color w:val="000000"/>
                <w:kern w:val="0"/>
                <w:sz w:val="18"/>
                <w:szCs w:val="18"/>
              </w:rPr>
              <w:t>预算资金：一定时期（本年度或项目期）内预算安排到具体项目的资金。</w:t>
            </w:r>
          </w:p>
        </w:tc>
        <w:tc>
          <w:tcPr>
            <w:tcW w:w="512" w:type="pct"/>
            <w:shd w:val="clear" w:color="000000" w:fill="FFFFFF"/>
            <w:vAlign w:val="center"/>
          </w:tcPr>
          <w:p w14:paraId="3A232846">
            <w:pPr>
              <w:widowControl/>
              <w:spacing w:line="200" w:lineRule="exact"/>
              <w:jc w:val="center"/>
              <w:rPr>
                <w:rFonts w:eastAsia="仿宋_GB2312"/>
                <w:b/>
                <w:bCs/>
                <w:color w:val="000000"/>
                <w:kern w:val="0"/>
                <w:sz w:val="18"/>
                <w:szCs w:val="18"/>
              </w:rPr>
            </w:pPr>
            <w:r>
              <w:rPr>
                <w:rFonts w:eastAsia="仿宋_GB2312"/>
                <w:b/>
                <w:bCs/>
                <w:color w:val="000000"/>
                <w:kern w:val="0"/>
                <w:sz w:val="18"/>
                <w:szCs w:val="18"/>
              </w:rPr>
              <w:t>4</w:t>
            </w:r>
          </w:p>
        </w:tc>
        <w:tc>
          <w:tcPr>
            <w:tcW w:w="538" w:type="pct"/>
            <w:shd w:val="clear" w:color="000000" w:fill="FFFFFF"/>
            <w:vAlign w:val="center"/>
          </w:tcPr>
          <w:p w14:paraId="3A9C7658">
            <w:pPr>
              <w:widowControl/>
              <w:spacing w:line="200" w:lineRule="exact"/>
              <w:jc w:val="center"/>
              <w:rPr>
                <w:rFonts w:eastAsia="仿宋_GB2312"/>
                <w:b/>
                <w:bCs/>
                <w:color w:val="000000"/>
                <w:kern w:val="0"/>
                <w:sz w:val="18"/>
                <w:szCs w:val="18"/>
              </w:rPr>
            </w:pPr>
            <w:r>
              <w:rPr>
                <w:rFonts w:hint="eastAsia" w:eastAsia="仿宋_GB2312"/>
                <w:b/>
                <w:bCs/>
                <w:color w:val="000000"/>
                <w:kern w:val="0"/>
                <w:sz w:val="18"/>
                <w:szCs w:val="18"/>
              </w:rPr>
              <w:t>4</w:t>
            </w:r>
          </w:p>
        </w:tc>
      </w:tr>
      <w:tr w14:paraId="4224F3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5" w:type="pct"/>
            <w:vMerge w:val="continue"/>
            <w:shd w:val="clear" w:color="auto" w:fill="FFFFFF"/>
            <w:vAlign w:val="center"/>
          </w:tcPr>
          <w:p w14:paraId="10FB26D1">
            <w:pPr>
              <w:spacing w:line="200" w:lineRule="exact"/>
              <w:jc w:val="center"/>
              <w:rPr>
                <w:rFonts w:eastAsia="仿宋_GB2312"/>
                <w:color w:val="000000"/>
                <w:kern w:val="0"/>
                <w:sz w:val="18"/>
                <w:szCs w:val="18"/>
              </w:rPr>
            </w:pPr>
          </w:p>
        </w:tc>
        <w:tc>
          <w:tcPr>
            <w:tcW w:w="393" w:type="pct"/>
            <w:vMerge w:val="continue"/>
            <w:shd w:val="clear" w:color="auto" w:fill="FFFFFF"/>
            <w:vAlign w:val="center"/>
          </w:tcPr>
          <w:p w14:paraId="6B78DDCD">
            <w:pPr>
              <w:spacing w:line="200" w:lineRule="exact"/>
              <w:jc w:val="center"/>
              <w:rPr>
                <w:rFonts w:eastAsia="仿宋_GB2312"/>
                <w:color w:val="000000"/>
                <w:kern w:val="0"/>
                <w:sz w:val="18"/>
                <w:szCs w:val="18"/>
              </w:rPr>
            </w:pPr>
          </w:p>
        </w:tc>
        <w:tc>
          <w:tcPr>
            <w:tcW w:w="422" w:type="pct"/>
            <w:shd w:val="clear" w:color="auto" w:fill="FFFFFF"/>
            <w:vAlign w:val="center"/>
          </w:tcPr>
          <w:p w14:paraId="5936ACF7">
            <w:pPr>
              <w:widowControl/>
              <w:spacing w:line="200" w:lineRule="exact"/>
              <w:jc w:val="center"/>
              <w:rPr>
                <w:rFonts w:eastAsia="仿宋_GB2312"/>
                <w:color w:val="000000"/>
                <w:kern w:val="0"/>
                <w:sz w:val="18"/>
                <w:szCs w:val="18"/>
              </w:rPr>
            </w:pPr>
            <w:r>
              <w:rPr>
                <w:rFonts w:eastAsia="仿宋_GB2312"/>
                <w:color w:val="000000"/>
                <w:kern w:val="0"/>
                <w:sz w:val="18"/>
                <w:szCs w:val="18"/>
              </w:rPr>
              <w:t>预算执行率</w:t>
            </w:r>
          </w:p>
        </w:tc>
        <w:tc>
          <w:tcPr>
            <w:tcW w:w="680" w:type="pct"/>
            <w:shd w:val="clear" w:color="auto" w:fill="FFFFFF"/>
            <w:vAlign w:val="center"/>
          </w:tcPr>
          <w:p w14:paraId="7262F397">
            <w:pPr>
              <w:widowControl/>
              <w:spacing w:line="200" w:lineRule="exact"/>
              <w:rPr>
                <w:rFonts w:eastAsia="仿宋_GB2312"/>
                <w:color w:val="000000"/>
                <w:kern w:val="0"/>
                <w:sz w:val="18"/>
                <w:szCs w:val="18"/>
              </w:rPr>
            </w:pPr>
            <w:r>
              <w:rPr>
                <w:rFonts w:eastAsia="仿宋_GB2312"/>
                <w:color w:val="000000"/>
                <w:kern w:val="0"/>
                <w:sz w:val="18"/>
                <w:szCs w:val="18"/>
              </w:rPr>
              <w:t>项目预算资金是否按照计划执行，用以反映或考核项目预算执行情况。</w:t>
            </w:r>
          </w:p>
        </w:tc>
        <w:tc>
          <w:tcPr>
            <w:tcW w:w="2057" w:type="pct"/>
            <w:shd w:val="clear" w:color="auto" w:fill="FFFFFF"/>
            <w:vAlign w:val="center"/>
          </w:tcPr>
          <w:p w14:paraId="2BF92392">
            <w:pPr>
              <w:widowControl/>
              <w:spacing w:line="200" w:lineRule="exact"/>
              <w:rPr>
                <w:rFonts w:eastAsia="仿宋_GB2312"/>
                <w:color w:val="000000"/>
                <w:kern w:val="0"/>
                <w:sz w:val="18"/>
                <w:szCs w:val="18"/>
              </w:rPr>
            </w:pPr>
            <w:r>
              <w:rPr>
                <w:rFonts w:eastAsia="仿宋_GB2312"/>
                <w:color w:val="000000"/>
                <w:kern w:val="0"/>
                <w:sz w:val="18"/>
                <w:szCs w:val="18"/>
              </w:rPr>
              <w:t>预算执行率=（实际支出资金/实际到位资金）×100%。</w:t>
            </w:r>
            <w:r>
              <w:rPr>
                <w:rFonts w:eastAsia="仿宋_GB2312"/>
                <w:color w:val="000000"/>
                <w:kern w:val="0"/>
                <w:sz w:val="18"/>
                <w:szCs w:val="18"/>
              </w:rPr>
              <w:br w:type="textWrapping"/>
            </w:r>
            <w:r>
              <w:rPr>
                <w:rFonts w:eastAsia="仿宋_GB2312"/>
                <w:color w:val="000000"/>
                <w:kern w:val="0"/>
                <w:sz w:val="18"/>
                <w:szCs w:val="18"/>
              </w:rPr>
              <w:t>实际支出资金：一定时期（本年度或项目期）内项目实际拨付的资金。</w:t>
            </w:r>
          </w:p>
        </w:tc>
        <w:tc>
          <w:tcPr>
            <w:tcW w:w="512" w:type="pct"/>
            <w:shd w:val="clear" w:color="auto" w:fill="FFFFFF"/>
            <w:vAlign w:val="center"/>
          </w:tcPr>
          <w:p w14:paraId="539711B0">
            <w:pPr>
              <w:widowControl/>
              <w:spacing w:line="200" w:lineRule="exact"/>
              <w:jc w:val="center"/>
              <w:rPr>
                <w:rFonts w:eastAsia="仿宋_GB2312"/>
                <w:b/>
                <w:bCs/>
                <w:color w:val="000000"/>
                <w:kern w:val="0"/>
                <w:sz w:val="18"/>
                <w:szCs w:val="18"/>
              </w:rPr>
            </w:pPr>
            <w:r>
              <w:rPr>
                <w:rFonts w:eastAsia="仿宋_GB2312"/>
                <w:b/>
                <w:bCs/>
                <w:color w:val="000000"/>
                <w:kern w:val="0"/>
                <w:sz w:val="18"/>
                <w:szCs w:val="18"/>
              </w:rPr>
              <w:t>4</w:t>
            </w:r>
          </w:p>
        </w:tc>
        <w:tc>
          <w:tcPr>
            <w:tcW w:w="538" w:type="pct"/>
            <w:shd w:val="clear" w:color="auto" w:fill="FFFFFF"/>
            <w:vAlign w:val="center"/>
          </w:tcPr>
          <w:p w14:paraId="7D39FFFD">
            <w:pPr>
              <w:widowControl/>
              <w:spacing w:line="200" w:lineRule="exact"/>
              <w:jc w:val="center"/>
              <w:rPr>
                <w:rFonts w:eastAsia="仿宋_GB2312"/>
                <w:b/>
                <w:bCs/>
                <w:color w:val="000000"/>
                <w:kern w:val="0"/>
                <w:sz w:val="18"/>
                <w:szCs w:val="18"/>
              </w:rPr>
            </w:pPr>
            <w:r>
              <w:rPr>
                <w:rFonts w:hint="eastAsia" w:eastAsia="仿宋_GB2312"/>
                <w:b/>
                <w:bCs/>
                <w:color w:val="000000"/>
                <w:kern w:val="0"/>
                <w:sz w:val="18"/>
                <w:szCs w:val="18"/>
              </w:rPr>
              <w:t>3.9</w:t>
            </w:r>
          </w:p>
        </w:tc>
      </w:tr>
      <w:tr w14:paraId="2796E7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5" w:type="pct"/>
            <w:vMerge w:val="continue"/>
            <w:shd w:val="clear" w:color="auto" w:fill="FFFFFF"/>
            <w:vAlign w:val="center"/>
          </w:tcPr>
          <w:p w14:paraId="3406AAF5">
            <w:pPr>
              <w:spacing w:line="200" w:lineRule="exact"/>
              <w:jc w:val="center"/>
              <w:rPr>
                <w:rFonts w:eastAsia="仿宋_GB2312"/>
                <w:color w:val="000000"/>
                <w:kern w:val="0"/>
                <w:sz w:val="18"/>
                <w:szCs w:val="18"/>
              </w:rPr>
            </w:pPr>
          </w:p>
        </w:tc>
        <w:tc>
          <w:tcPr>
            <w:tcW w:w="393" w:type="pct"/>
            <w:shd w:val="clear" w:color="auto" w:fill="FFFFFF"/>
            <w:vAlign w:val="center"/>
          </w:tcPr>
          <w:p w14:paraId="02FF1FDB">
            <w:pPr>
              <w:widowControl/>
              <w:spacing w:line="200" w:lineRule="exact"/>
              <w:jc w:val="center"/>
              <w:rPr>
                <w:rFonts w:eastAsia="仿宋_GB2312"/>
                <w:color w:val="000000"/>
                <w:kern w:val="0"/>
                <w:sz w:val="18"/>
                <w:szCs w:val="18"/>
              </w:rPr>
            </w:pPr>
            <w:r>
              <w:rPr>
                <w:rFonts w:eastAsia="仿宋_GB2312"/>
                <w:color w:val="000000"/>
                <w:kern w:val="0"/>
                <w:sz w:val="18"/>
                <w:szCs w:val="18"/>
              </w:rPr>
              <w:t>资金管理</w:t>
            </w:r>
          </w:p>
        </w:tc>
        <w:tc>
          <w:tcPr>
            <w:tcW w:w="422" w:type="pct"/>
            <w:shd w:val="clear" w:color="auto" w:fill="FFFFFF"/>
            <w:vAlign w:val="center"/>
          </w:tcPr>
          <w:p w14:paraId="7F588195">
            <w:pPr>
              <w:widowControl/>
              <w:spacing w:line="200" w:lineRule="exact"/>
              <w:jc w:val="center"/>
              <w:rPr>
                <w:rFonts w:eastAsia="仿宋_GB2312"/>
                <w:color w:val="000000"/>
                <w:kern w:val="0"/>
                <w:sz w:val="18"/>
                <w:szCs w:val="18"/>
              </w:rPr>
            </w:pPr>
            <w:r>
              <w:rPr>
                <w:rFonts w:eastAsia="仿宋_GB2312"/>
                <w:color w:val="000000"/>
                <w:kern w:val="0"/>
                <w:sz w:val="18"/>
                <w:szCs w:val="18"/>
              </w:rPr>
              <w:t>资金使用</w:t>
            </w:r>
          </w:p>
          <w:p w14:paraId="3EDA6635">
            <w:pPr>
              <w:widowControl/>
              <w:spacing w:line="200" w:lineRule="exact"/>
              <w:jc w:val="center"/>
              <w:rPr>
                <w:rFonts w:eastAsia="仿宋_GB2312"/>
                <w:color w:val="000000"/>
                <w:kern w:val="0"/>
                <w:sz w:val="18"/>
                <w:szCs w:val="18"/>
              </w:rPr>
            </w:pPr>
            <w:r>
              <w:rPr>
                <w:rFonts w:eastAsia="仿宋_GB2312"/>
                <w:color w:val="000000"/>
                <w:kern w:val="0"/>
                <w:sz w:val="18"/>
                <w:szCs w:val="18"/>
              </w:rPr>
              <w:t>合规性</w:t>
            </w:r>
          </w:p>
        </w:tc>
        <w:tc>
          <w:tcPr>
            <w:tcW w:w="680" w:type="pct"/>
            <w:shd w:val="clear" w:color="000000" w:fill="FFFFFF"/>
            <w:vAlign w:val="center"/>
          </w:tcPr>
          <w:p w14:paraId="6632791B">
            <w:pPr>
              <w:widowControl/>
              <w:spacing w:line="200" w:lineRule="exact"/>
              <w:rPr>
                <w:rFonts w:eastAsia="仿宋_GB2312"/>
                <w:color w:val="000000"/>
                <w:kern w:val="0"/>
                <w:sz w:val="18"/>
                <w:szCs w:val="18"/>
              </w:rPr>
            </w:pPr>
            <w:r>
              <w:rPr>
                <w:rFonts w:eastAsia="仿宋_GB2312"/>
                <w:color w:val="000000"/>
                <w:kern w:val="0"/>
                <w:sz w:val="18"/>
                <w:szCs w:val="18"/>
              </w:rPr>
              <w:t>项目资金使用是否符合相关的财务管理制度规定，用以反映和考核项目资金的规范运行情况。</w:t>
            </w:r>
          </w:p>
        </w:tc>
        <w:tc>
          <w:tcPr>
            <w:tcW w:w="2057" w:type="pct"/>
            <w:shd w:val="clear" w:color="000000" w:fill="FFFFFF"/>
            <w:vAlign w:val="center"/>
          </w:tcPr>
          <w:p w14:paraId="6E09B3C7">
            <w:pPr>
              <w:widowControl/>
              <w:spacing w:line="200" w:lineRule="exac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①是否符合国家财经法规和财务管理制度以及有关专项资金管理办法的规定；</w:t>
            </w:r>
            <w:r>
              <w:rPr>
                <w:rFonts w:eastAsia="仿宋_GB2312"/>
                <w:color w:val="000000"/>
                <w:kern w:val="0"/>
                <w:sz w:val="18"/>
                <w:szCs w:val="18"/>
              </w:rPr>
              <w:br w:type="textWrapping"/>
            </w:r>
            <w:r>
              <w:rPr>
                <w:rFonts w:eastAsia="仿宋_GB2312"/>
                <w:color w:val="000000"/>
                <w:kern w:val="0"/>
                <w:sz w:val="18"/>
                <w:szCs w:val="18"/>
              </w:rPr>
              <w:t>②资金的拨付是否有完整的审批程序和手续；</w:t>
            </w:r>
            <w:r>
              <w:rPr>
                <w:rFonts w:eastAsia="仿宋_GB2312"/>
                <w:color w:val="000000"/>
                <w:kern w:val="0"/>
                <w:sz w:val="18"/>
                <w:szCs w:val="18"/>
              </w:rPr>
              <w:br w:type="textWrapping"/>
            </w:r>
            <w:r>
              <w:rPr>
                <w:rFonts w:eastAsia="仿宋_GB2312"/>
                <w:color w:val="000000"/>
                <w:kern w:val="0"/>
                <w:sz w:val="18"/>
                <w:szCs w:val="18"/>
              </w:rPr>
              <w:t>③是否符合项目预算批复或合同规定的用途；</w:t>
            </w:r>
            <w:r>
              <w:rPr>
                <w:rFonts w:eastAsia="仿宋_GB2312"/>
                <w:color w:val="000000"/>
                <w:kern w:val="0"/>
                <w:sz w:val="18"/>
                <w:szCs w:val="18"/>
              </w:rPr>
              <w:br w:type="textWrapping"/>
            </w:r>
            <w:r>
              <w:rPr>
                <w:rFonts w:eastAsia="仿宋_GB2312"/>
                <w:color w:val="000000"/>
                <w:kern w:val="0"/>
                <w:sz w:val="18"/>
                <w:szCs w:val="18"/>
              </w:rPr>
              <w:t>④是否存在截留、挤占、挪用、虚列支出等情况。</w:t>
            </w:r>
          </w:p>
        </w:tc>
        <w:tc>
          <w:tcPr>
            <w:tcW w:w="512" w:type="pct"/>
            <w:shd w:val="clear" w:color="000000" w:fill="FFFFFF"/>
            <w:vAlign w:val="center"/>
          </w:tcPr>
          <w:p w14:paraId="40CDE878">
            <w:pPr>
              <w:widowControl/>
              <w:spacing w:line="200" w:lineRule="exact"/>
              <w:jc w:val="center"/>
              <w:rPr>
                <w:rFonts w:eastAsia="仿宋_GB2312"/>
                <w:b/>
                <w:bCs/>
                <w:color w:val="000000"/>
                <w:kern w:val="0"/>
                <w:sz w:val="18"/>
                <w:szCs w:val="18"/>
              </w:rPr>
            </w:pPr>
            <w:r>
              <w:rPr>
                <w:rFonts w:eastAsia="仿宋_GB2312"/>
                <w:b/>
                <w:bCs/>
                <w:color w:val="000000"/>
                <w:kern w:val="0"/>
                <w:sz w:val="18"/>
                <w:szCs w:val="18"/>
              </w:rPr>
              <w:t>4</w:t>
            </w:r>
          </w:p>
        </w:tc>
        <w:tc>
          <w:tcPr>
            <w:tcW w:w="538" w:type="pct"/>
            <w:shd w:val="clear" w:color="000000" w:fill="FFFFFF"/>
            <w:vAlign w:val="center"/>
          </w:tcPr>
          <w:p w14:paraId="51D84F6D">
            <w:pPr>
              <w:widowControl/>
              <w:spacing w:line="200" w:lineRule="exact"/>
              <w:jc w:val="center"/>
              <w:rPr>
                <w:rFonts w:eastAsia="仿宋_GB2312"/>
                <w:b/>
                <w:bCs/>
                <w:color w:val="000000"/>
                <w:kern w:val="0"/>
                <w:sz w:val="18"/>
                <w:szCs w:val="18"/>
              </w:rPr>
            </w:pPr>
            <w:r>
              <w:rPr>
                <w:rFonts w:hint="eastAsia" w:eastAsia="仿宋_GB2312"/>
                <w:b/>
                <w:bCs/>
                <w:color w:val="000000"/>
                <w:kern w:val="0"/>
                <w:sz w:val="18"/>
                <w:szCs w:val="18"/>
              </w:rPr>
              <w:t>4</w:t>
            </w:r>
          </w:p>
        </w:tc>
      </w:tr>
      <w:tr w14:paraId="04D96A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5" w:type="pct"/>
            <w:vMerge w:val="continue"/>
            <w:shd w:val="clear" w:color="auto" w:fill="FFFFFF"/>
            <w:vAlign w:val="center"/>
          </w:tcPr>
          <w:p w14:paraId="3775AC9F">
            <w:pPr>
              <w:spacing w:line="200" w:lineRule="exact"/>
              <w:jc w:val="center"/>
              <w:rPr>
                <w:rFonts w:eastAsia="仿宋_GB2312"/>
                <w:color w:val="000000"/>
                <w:kern w:val="0"/>
                <w:sz w:val="18"/>
                <w:szCs w:val="18"/>
              </w:rPr>
            </w:pPr>
          </w:p>
        </w:tc>
        <w:tc>
          <w:tcPr>
            <w:tcW w:w="393" w:type="pct"/>
            <w:vMerge w:val="restart"/>
            <w:shd w:val="clear" w:color="auto" w:fill="FFFFFF"/>
            <w:vAlign w:val="center"/>
          </w:tcPr>
          <w:p w14:paraId="4EA1DF81">
            <w:pPr>
              <w:widowControl/>
              <w:spacing w:line="200" w:lineRule="exact"/>
              <w:jc w:val="center"/>
              <w:rPr>
                <w:rFonts w:eastAsia="仿宋_GB2312"/>
                <w:color w:val="000000"/>
                <w:kern w:val="0"/>
                <w:sz w:val="18"/>
                <w:szCs w:val="18"/>
              </w:rPr>
            </w:pPr>
            <w:r>
              <w:rPr>
                <w:rFonts w:eastAsia="仿宋_GB2312"/>
                <w:color w:val="000000"/>
                <w:kern w:val="0"/>
                <w:sz w:val="18"/>
                <w:szCs w:val="18"/>
              </w:rPr>
              <w:t>组织实施</w:t>
            </w:r>
          </w:p>
          <w:p w14:paraId="52913E55">
            <w:pPr>
              <w:spacing w:line="200" w:lineRule="exact"/>
              <w:jc w:val="center"/>
              <w:rPr>
                <w:rFonts w:eastAsia="仿宋_GB2312"/>
                <w:color w:val="000000"/>
                <w:kern w:val="0"/>
                <w:sz w:val="18"/>
                <w:szCs w:val="18"/>
              </w:rPr>
            </w:pPr>
          </w:p>
        </w:tc>
        <w:tc>
          <w:tcPr>
            <w:tcW w:w="422" w:type="pct"/>
            <w:shd w:val="clear" w:color="auto" w:fill="FFFFFF"/>
            <w:vAlign w:val="center"/>
          </w:tcPr>
          <w:p w14:paraId="7D958EC8">
            <w:pPr>
              <w:widowControl/>
              <w:spacing w:line="200" w:lineRule="exact"/>
              <w:jc w:val="center"/>
              <w:rPr>
                <w:rFonts w:eastAsia="仿宋_GB2312"/>
                <w:color w:val="000000"/>
                <w:kern w:val="0"/>
                <w:sz w:val="18"/>
                <w:szCs w:val="18"/>
              </w:rPr>
            </w:pPr>
            <w:r>
              <w:rPr>
                <w:rFonts w:eastAsia="仿宋_GB2312"/>
                <w:color w:val="000000"/>
                <w:kern w:val="0"/>
                <w:sz w:val="18"/>
                <w:szCs w:val="18"/>
              </w:rPr>
              <w:t>管理制度</w:t>
            </w:r>
          </w:p>
          <w:p w14:paraId="51FC6DEE">
            <w:pPr>
              <w:widowControl/>
              <w:spacing w:line="200" w:lineRule="exact"/>
              <w:jc w:val="center"/>
              <w:rPr>
                <w:rFonts w:eastAsia="仿宋_GB2312"/>
                <w:color w:val="000000"/>
                <w:kern w:val="0"/>
                <w:sz w:val="18"/>
                <w:szCs w:val="18"/>
              </w:rPr>
            </w:pPr>
            <w:r>
              <w:rPr>
                <w:rFonts w:eastAsia="仿宋_GB2312"/>
                <w:color w:val="000000"/>
                <w:kern w:val="0"/>
                <w:sz w:val="18"/>
                <w:szCs w:val="18"/>
              </w:rPr>
              <w:t>健全性</w:t>
            </w:r>
          </w:p>
        </w:tc>
        <w:tc>
          <w:tcPr>
            <w:tcW w:w="680" w:type="pct"/>
            <w:shd w:val="clear" w:color="000000" w:fill="FFFFFF"/>
            <w:vAlign w:val="center"/>
          </w:tcPr>
          <w:p w14:paraId="09E22A36">
            <w:pPr>
              <w:widowControl/>
              <w:spacing w:line="200" w:lineRule="exact"/>
              <w:rPr>
                <w:rFonts w:eastAsia="仿宋_GB2312"/>
                <w:color w:val="000000"/>
                <w:kern w:val="0"/>
                <w:sz w:val="18"/>
                <w:szCs w:val="18"/>
              </w:rPr>
            </w:pPr>
            <w:r>
              <w:rPr>
                <w:rFonts w:eastAsia="仿宋_GB2312"/>
                <w:color w:val="000000"/>
                <w:kern w:val="0"/>
                <w:sz w:val="18"/>
                <w:szCs w:val="18"/>
              </w:rPr>
              <w:t>项目实施单位的财务和业务管理制度是否健全，用以反映和考核财务和业务管理制度对项目顺利实施的保障情况。</w:t>
            </w:r>
          </w:p>
        </w:tc>
        <w:tc>
          <w:tcPr>
            <w:tcW w:w="2057" w:type="pct"/>
            <w:shd w:val="clear" w:color="000000" w:fill="FFFFFF"/>
            <w:vAlign w:val="center"/>
          </w:tcPr>
          <w:p w14:paraId="24AD233F">
            <w:pPr>
              <w:widowControl/>
              <w:spacing w:line="200" w:lineRule="exac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①是否已制定或具有相应的财务和业务管理制度；</w:t>
            </w:r>
            <w:r>
              <w:rPr>
                <w:rFonts w:eastAsia="仿宋_GB2312"/>
                <w:color w:val="000000"/>
                <w:kern w:val="0"/>
                <w:sz w:val="18"/>
                <w:szCs w:val="18"/>
              </w:rPr>
              <w:br w:type="textWrapping"/>
            </w:r>
            <w:r>
              <w:rPr>
                <w:rFonts w:eastAsia="仿宋_GB2312"/>
                <w:color w:val="000000"/>
                <w:kern w:val="0"/>
                <w:sz w:val="18"/>
                <w:szCs w:val="18"/>
              </w:rPr>
              <w:t>②财务和业务管理制度是否合法、合规、完整。</w:t>
            </w:r>
          </w:p>
        </w:tc>
        <w:tc>
          <w:tcPr>
            <w:tcW w:w="512" w:type="pct"/>
            <w:shd w:val="clear" w:color="000000" w:fill="FFFFFF"/>
            <w:vAlign w:val="center"/>
          </w:tcPr>
          <w:p w14:paraId="79AA7E8B">
            <w:pPr>
              <w:widowControl/>
              <w:spacing w:line="200" w:lineRule="exact"/>
              <w:jc w:val="center"/>
              <w:rPr>
                <w:rFonts w:eastAsia="仿宋_GB2312"/>
                <w:b/>
                <w:bCs/>
                <w:color w:val="000000"/>
                <w:kern w:val="0"/>
                <w:sz w:val="18"/>
                <w:szCs w:val="18"/>
              </w:rPr>
            </w:pPr>
            <w:r>
              <w:rPr>
                <w:rFonts w:eastAsia="仿宋_GB2312"/>
                <w:b/>
                <w:bCs/>
                <w:color w:val="000000"/>
                <w:kern w:val="0"/>
                <w:sz w:val="18"/>
                <w:szCs w:val="18"/>
              </w:rPr>
              <w:t>4</w:t>
            </w:r>
          </w:p>
        </w:tc>
        <w:tc>
          <w:tcPr>
            <w:tcW w:w="538" w:type="pct"/>
            <w:shd w:val="clear" w:color="000000" w:fill="FFFFFF"/>
            <w:vAlign w:val="center"/>
          </w:tcPr>
          <w:p w14:paraId="57336350">
            <w:pPr>
              <w:widowControl/>
              <w:spacing w:line="200" w:lineRule="exact"/>
              <w:jc w:val="center"/>
              <w:rPr>
                <w:rFonts w:eastAsia="仿宋_GB2312"/>
                <w:b/>
                <w:bCs/>
                <w:color w:val="000000"/>
                <w:kern w:val="0"/>
                <w:sz w:val="18"/>
                <w:szCs w:val="18"/>
              </w:rPr>
            </w:pPr>
            <w:r>
              <w:rPr>
                <w:rFonts w:hint="eastAsia" w:eastAsia="仿宋_GB2312"/>
                <w:b/>
                <w:bCs/>
                <w:color w:val="000000"/>
                <w:kern w:val="0"/>
                <w:sz w:val="18"/>
                <w:szCs w:val="18"/>
              </w:rPr>
              <w:t>4</w:t>
            </w:r>
          </w:p>
        </w:tc>
      </w:tr>
      <w:tr w14:paraId="15A886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5" w:type="pct"/>
            <w:vMerge w:val="continue"/>
            <w:shd w:val="clear" w:color="auto" w:fill="FFFFFF"/>
            <w:vAlign w:val="center"/>
          </w:tcPr>
          <w:p w14:paraId="4CD3F714">
            <w:pPr>
              <w:widowControl/>
              <w:spacing w:line="200" w:lineRule="exact"/>
              <w:jc w:val="center"/>
              <w:rPr>
                <w:rFonts w:eastAsia="仿宋_GB2312"/>
                <w:color w:val="000000"/>
                <w:kern w:val="0"/>
                <w:sz w:val="18"/>
                <w:szCs w:val="18"/>
              </w:rPr>
            </w:pPr>
          </w:p>
        </w:tc>
        <w:tc>
          <w:tcPr>
            <w:tcW w:w="393" w:type="pct"/>
            <w:vMerge w:val="continue"/>
            <w:shd w:val="clear" w:color="auto" w:fill="FFFFFF"/>
            <w:vAlign w:val="center"/>
          </w:tcPr>
          <w:p w14:paraId="5C4FBC7B">
            <w:pPr>
              <w:widowControl/>
              <w:spacing w:line="200" w:lineRule="exact"/>
              <w:jc w:val="center"/>
              <w:rPr>
                <w:rFonts w:eastAsia="仿宋_GB2312"/>
                <w:color w:val="000000"/>
                <w:kern w:val="0"/>
                <w:sz w:val="18"/>
                <w:szCs w:val="18"/>
              </w:rPr>
            </w:pPr>
          </w:p>
        </w:tc>
        <w:tc>
          <w:tcPr>
            <w:tcW w:w="422" w:type="pct"/>
            <w:shd w:val="clear" w:color="auto" w:fill="FFFFFF"/>
            <w:vAlign w:val="center"/>
          </w:tcPr>
          <w:p w14:paraId="773390F7">
            <w:pPr>
              <w:widowControl/>
              <w:spacing w:line="200" w:lineRule="exact"/>
              <w:jc w:val="center"/>
              <w:rPr>
                <w:rFonts w:eastAsia="仿宋_GB2312"/>
                <w:color w:val="000000"/>
                <w:kern w:val="0"/>
                <w:sz w:val="18"/>
                <w:szCs w:val="18"/>
              </w:rPr>
            </w:pPr>
            <w:r>
              <w:rPr>
                <w:rFonts w:eastAsia="仿宋_GB2312"/>
                <w:color w:val="000000"/>
                <w:kern w:val="0"/>
                <w:sz w:val="18"/>
                <w:szCs w:val="18"/>
              </w:rPr>
              <w:t>制度执行</w:t>
            </w:r>
          </w:p>
          <w:p w14:paraId="42729008">
            <w:pPr>
              <w:widowControl/>
              <w:spacing w:line="200" w:lineRule="exact"/>
              <w:jc w:val="center"/>
              <w:rPr>
                <w:rFonts w:eastAsia="仿宋_GB2312"/>
                <w:color w:val="000000"/>
                <w:kern w:val="0"/>
                <w:sz w:val="18"/>
                <w:szCs w:val="18"/>
              </w:rPr>
            </w:pPr>
            <w:r>
              <w:rPr>
                <w:rFonts w:eastAsia="仿宋_GB2312"/>
                <w:color w:val="000000"/>
                <w:kern w:val="0"/>
                <w:sz w:val="18"/>
                <w:szCs w:val="18"/>
              </w:rPr>
              <w:t>有效性</w:t>
            </w:r>
          </w:p>
        </w:tc>
        <w:tc>
          <w:tcPr>
            <w:tcW w:w="680" w:type="pct"/>
            <w:shd w:val="clear" w:color="000000" w:fill="FFFFFF"/>
            <w:vAlign w:val="center"/>
          </w:tcPr>
          <w:p w14:paraId="73780CAB">
            <w:pPr>
              <w:widowControl/>
              <w:spacing w:line="200" w:lineRule="exact"/>
              <w:rPr>
                <w:rFonts w:eastAsia="仿宋_GB2312"/>
                <w:color w:val="000000"/>
                <w:kern w:val="0"/>
                <w:sz w:val="18"/>
                <w:szCs w:val="18"/>
              </w:rPr>
            </w:pPr>
            <w:r>
              <w:rPr>
                <w:rFonts w:eastAsia="仿宋_GB2312"/>
                <w:color w:val="000000"/>
                <w:kern w:val="0"/>
                <w:sz w:val="18"/>
                <w:szCs w:val="18"/>
              </w:rPr>
              <w:t>项目实施是否符合相关管理规定，用以反映和考核相关管理制度的有效执行情况。</w:t>
            </w:r>
          </w:p>
        </w:tc>
        <w:tc>
          <w:tcPr>
            <w:tcW w:w="2057" w:type="pct"/>
            <w:shd w:val="clear" w:color="000000" w:fill="FFFFFF"/>
            <w:vAlign w:val="center"/>
          </w:tcPr>
          <w:p w14:paraId="1BFF98EC">
            <w:pPr>
              <w:widowControl/>
              <w:spacing w:line="200" w:lineRule="exact"/>
              <w:rPr>
                <w:rFonts w:eastAsia="仿宋_GB2312"/>
                <w:color w:val="000000"/>
                <w:kern w:val="0"/>
                <w:sz w:val="18"/>
                <w:szCs w:val="18"/>
              </w:rPr>
            </w:pPr>
            <w:r>
              <w:rPr>
                <w:rFonts w:eastAsia="仿宋_GB2312"/>
                <w:color w:val="000000"/>
                <w:kern w:val="0"/>
                <w:sz w:val="18"/>
                <w:szCs w:val="18"/>
              </w:rPr>
              <w:t>评价要点：</w:t>
            </w:r>
            <w:r>
              <w:rPr>
                <w:rFonts w:eastAsia="仿宋_GB2312"/>
                <w:color w:val="000000"/>
                <w:kern w:val="0"/>
                <w:sz w:val="18"/>
                <w:szCs w:val="18"/>
              </w:rPr>
              <w:br w:type="textWrapping"/>
            </w:r>
            <w:r>
              <w:rPr>
                <w:rFonts w:eastAsia="仿宋_GB2312"/>
                <w:color w:val="000000"/>
                <w:kern w:val="0"/>
                <w:sz w:val="18"/>
                <w:szCs w:val="18"/>
              </w:rPr>
              <w:t>①是否遵守相关法律法规和相关管理规定；</w:t>
            </w:r>
            <w:r>
              <w:rPr>
                <w:rFonts w:eastAsia="仿宋_GB2312"/>
                <w:color w:val="000000"/>
                <w:kern w:val="0"/>
                <w:sz w:val="18"/>
                <w:szCs w:val="18"/>
              </w:rPr>
              <w:br w:type="textWrapping"/>
            </w:r>
            <w:r>
              <w:rPr>
                <w:rFonts w:eastAsia="仿宋_GB2312"/>
                <w:color w:val="000000"/>
                <w:kern w:val="0"/>
                <w:sz w:val="18"/>
                <w:szCs w:val="18"/>
              </w:rPr>
              <w:t>②项目调整及支出调整手续是否完备；</w:t>
            </w:r>
            <w:r>
              <w:rPr>
                <w:rFonts w:eastAsia="仿宋_GB2312"/>
                <w:color w:val="000000"/>
                <w:kern w:val="0"/>
                <w:sz w:val="18"/>
                <w:szCs w:val="18"/>
              </w:rPr>
              <w:br w:type="textWrapping"/>
            </w:r>
            <w:r>
              <w:rPr>
                <w:rFonts w:eastAsia="仿宋_GB2312"/>
                <w:color w:val="000000"/>
                <w:kern w:val="0"/>
                <w:sz w:val="18"/>
                <w:szCs w:val="18"/>
              </w:rPr>
              <w:t>③项目合同书、验收报告、技术鉴定等资料是否齐全并及时归档；</w:t>
            </w:r>
            <w:r>
              <w:rPr>
                <w:rFonts w:eastAsia="仿宋_GB2312"/>
                <w:color w:val="000000"/>
                <w:kern w:val="0"/>
                <w:sz w:val="18"/>
                <w:szCs w:val="18"/>
              </w:rPr>
              <w:br w:type="textWrapping"/>
            </w:r>
            <w:r>
              <w:rPr>
                <w:rFonts w:eastAsia="仿宋_GB2312"/>
                <w:color w:val="000000"/>
                <w:kern w:val="0"/>
                <w:sz w:val="18"/>
                <w:szCs w:val="18"/>
              </w:rPr>
              <w:t>④项目实施的人员条件、场地设备、信息支撑等是否落实到位。</w:t>
            </w:r>
          </w:p>
        </w:tc>
        <w:tc>
          <w:tcPr>
            <w:tcW w:w="512" w:type="pct"/>
            <w:shd w:val="clear" w:color="000000" w:fill="FFFFFF"/>
            <w:vAlign w:val="center"/>
          </w:tcPr>
          <w:p w14:paraId="568710D3">
            <w:pPr>
              <w:widowControl/>
              <w:spacing w:line="200" w:lineRule="exact"/>
              <w:jc w:val="center"/>
              <w:rPr>
                <w:rFonts w:eastAsia="仿宋_GB2312"/>
                <w:b/>
                <w:bCs/>
                <w:color w:val="000000"/>
                <w:kern w:val="0"/>
                <w:sz w:val="18"/>
                <w:szCs w:val="18"/>
              </w:rPr>
            </w:pPr>
            <w:r>
              <w:rPr>
                <w:rFonts w:eastAsia="仿宋_GB2312"/>
                <w:b/>
                <w:bCs/>
                <w:color w:val="000000"/>
                <w:kern w:val="0"/>
                <w:sz w:val="18"/>
                <w:szCs w:val="18"/>
              </w:rPr>
              <w:t>4</w:t>
            </w:r>
          </w:p>
        </w:tc>
        <w:tc>
          <w:tcPr>
            <w:tcW w:w="538" w:type="pct"/>
            <w:shd w:val="clear" w:color="000000" w:fill="FFFFFF"/>
            <w:vAlign w:val="center"/>
          </w:tcPr>
          <w:p w14:paraId="23AAFE0A">
            <w:pPr>
              <w:widowControl/>
              <w:spacing w:line="200" w:lineRule="exact"/>
              <w:jc w:val="center"/>
              <w:rPr>
                <w:rFonts w:eastAsia="仿宋_GB2312"/>
                <w:b/>
                <w:bCs/>
                <w:color w:val="000000"/>
                <w:kern w:val="0"/>
                <w:sz w:val="18"/>
                <w:szCs w:val="18"/>
              </w:rPr>
            </w:pPr>
            <w:r>
              <w:rPr>
                <w:rFonts w:hint="eastAsia" w:eastAsia="仿宋_GB2312"/>
                <w:b/>
                <w:bCs/>
                <w:color w:val="000000"/>
                <w:kern w:val="0"/>
                <w:sz w:val="18"/>
                <w:szCs w:val="18"/>
              </w:rPr>
              <w:t>4</w:t>
            </w:r>
          </w:p>
        </w:tc>
      </w:tr>
      <w:tr w14:paraId="50F419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5" w:type="pct"/>
            <w:vMerge w:val="restart"/>
            <w:shd w:val="clear" w:color="auto" w:fill="FFFFFF"/>
            <w:vAlign w:val="center"/>
          </w:tcPr>
          <w:p w14:paraId="21517826">
            <w:pPr>
              <w:widowControl/>
              <w:spacing w:line="200" w:lineRule="exact"/>
              <w:jc w:val="center"/>
              <w:rPr>
                <w:rFonts w:eastAsia="仿宋_GB2312"/>
                <w:color w:val="000000"/>
                <w:kern w:val="0"/>
                <w:sz w:val="18"/>
                <w:szCs w:val="18"/>
              </w:rPr>
            </w:pPr>
            <w:r>
              <w:rPr>
                <w:rFonts w:eastAsia="仿宋_GB2312"/>
                <w:color w:val="000000"/>
                <w:kern w:val="0"/>
                <w:sz w:val="18"/>
                <w:szCs w:val="18"/>
              </w:rPr>
              <w:t>产出</w:t>
            </w:r>
          </w:p>
        </w:tc>
        <w:tc>
          <w:tcPr>
            <w:tcW w:w="393" w:type="pct"/>
            <w:shd w:val="clear" w:color="auto" w:fill="FFFFFF"/>
            <w:vAlign w:val="center"/>
          </w:tcPr>
          <w:p w14:paraId="665511C9">
            <w:pPr>
              <w:widowControl/>
              <w:spacing w:line="200" w:lineRule="exact"/>
              <w:jc w:val="center"/>
              <w:rPr>
                <w:rFonts w:eastAsia="仿宋_GB2312"/>
                <w:color w:val="000000"/>
                <w:kern w:val="0"/>
                <w:sz w:val="18"/>
                <w:szCs w:val="18"/>
              </w:rPr>
            </w:pPr>
            <w:r>
              <w:rPr>
                <w:rFonts w:eastAsia="仿宋_GB2312"/>
                <w:color w:val="000000"/>
                <w:kern w:val="0"/>
                <w:sz w:val="18"/>
                <w:szCs w:val="18"/>
              </w:rPr>
              <w:t>产出数量</w:t>
            </w:r>
          </w:p>
        </w:tc>
        <w:tc>
          <w:tcPr>
            <w:tcW w:w="422" w:type="pct"/>
            <w:shd w:val="clear" w:color="auto" w:fill="FFFFFF"/>
            <w:vAlign w:val="center"/>
          </w:tcPr>
          <w:p w14:paraId="15C6A6B4">
            <w:pPr>
              <w:widowControl/>
              <w:spacing w:line="200" w:lineRule="exact"/>
              <w:jc w:val="center"/>
              <w:rPr>
                <w:rFonts w:eastAsia="仿宋_GB2312"/>
                <w:color w:val="000000"/>
                <w:kern w:val="0"/>
                <w:sz w:val="18"/>
                <w:szCs w:val="18"/>
              </w:rPr>
            </w:pPr>
            <w:r>
              <w:rPr>
                <w:rFonts w:eastAsia="仿宋_GB2312"/>
                <w:color w:val="000000"/>
                <w:kern w:val="0"/>
                <w:sz w:val="18"/>
                <w:szCs w:val="18"/>
              </w:rPr>
              <w:t>实际完成率</w:t>
            </w:r>
          </w:p>
        </w:tc>
        <w:tc>
          <w:tcPr>
            <w:tcW w:w="680" w:type="pct"/>
            <w:shd w:val="clear" w:color="000000" w:fill="FFFFFF"/>
            <w:vAlign w:val="center"/>
          </w:tcPr>
          <w:p w14:paraId="21995366">
            <w:pPr>
              <w:widowControl/>
              <w:spacing w:line="200" w:lineRule="exact"/>
              <w:rPr>
                <w:rFonts w:eastAsia="仿宋_GB2312"/>
                <w:color w:val="000000"/>
                <w:kern w:val="0"/>
                <w:sz w:val="18"/>
                <w:szCs w:val="18"/>
              </w:rPr>
            </w:pPr>
            <w:r>
              <w:rPr>
                <w:rFonts w:eastAsia="仿宋_GB2312"/>
                <w:color w:val="000000"/>
                <w:kern w:val="0"/>
                <w:sz w:val="18"/>
                <w:szCs w:val="18"/>
              </w:rPr>
              <w:t>项目实施的实际产出数与计划产出数的比率，用以反映和考核项目产出数量目标的实现程度。</w:t>
            </w:r>
          </w:p>
        </w:tc>
        <w:tc>
          <w:tcPr>
            <w:tcW w:w="2057" w:type="pct"/>
            <w:shd w:val="clear" w:color="000000" w:fill="FFFFFF"/>
            <w:vAlign w:val="center"/>
          </w:tcPr>
          <w:p w14:paraId="409C0292">
            <w:pPr>
              <w:widowControl/>
              <w:spacing w:line="200" w:lineRule="exact"/>
              <w:rPr>
                <w:rFonts w:eastAsia="仿宋_GB2312"/>
                <w:color w:val="000000"/>
                <w:kern w:val="0"/>
                <w:sz w:val="18"/>
                <w:szCs w:val="18"/>
              </w:rPr>
            </w:pPr>
            <w:r>
              <w:rPr>
                <w:rFonts w:eastAsia="仿宋_GB2312"/>
                <w:color w:val="000000"/>
                <w:kern w:val="0"/>
                <w:sz w:val="18"/>
                <w:szCs w:val="18"/>
              </w:rPr>
              <w:t>实际完成率=（实际产出数/计划产出数）×100%。</w:t>
            </w:r>
            <w:r>
              <w:rPr>
                <w:rFonts w:eastAsia="仿宋_GB2312"/>
                <w:color w:val="000000"/>
                <w:kern w:val="0"/>
                <w:sz w:val="18"/>
                <w:szCs w:val="18"/>
              </w:rPr>
              <w:br w:type="textWrapping"/>
            </w:r>
            <w:r>
              <w:rPr>
                <w:rFonts w:eastAsia="仿宋_GB2312"/>
                <w:color w:val="000000"/>
                <w:kern w:val="0"/>
                <w:sz w:val="18"/>
                <w:szCs w:val="18"/>
              </w:rPr>
              <w:t>实际产出数：一定时期（本年度或项目期）内项目实际产出的产品或提供的服务数量。</w:t>
            </w:r>
            <w:r>
              <w:rPr>
                <w:rFonts w:eastAsia="仿宋_GB2312"/>
                <w:color w:val="000000"/>
                <w:kern w:val="0"/>
                <w:sz w:val="18"/>
                <w:szCs w:val="18"/>
              </w:rPr>
              <w:br w:type="textWrapping"/>
            </w:r>
            <w:r>
              <w:rPr>
                <w:rFonts w:eastAsia="仿宋_GB2312"/>
                <w:color w:val="000000"/>
                <w:kern w:val="0"/>
                <w:sz w:val="18"/>
                <w:szCs w:val="18"/>
              </w:rPr>
              <w:t>计划产出数：项目绩效目标确定的在一定时期（本年度或项目期）内计划产出的产品或提供的服务数量。</w:t>
            </w:r>
          </w:p>
        </w:tc>
        <w:tc>
          <w:tcPr>
            <w:tcW w:w="512" w:type="pct"/>
            <w:shd w:val="clear" w:color="000000" w:fill="FFFFFF"/>
            <w:vAlign w:val="center"/>
          </w:tcPr>
          <w:p w14:paraId="436FB941">
            <w:pPr>
              <w:widowControl/>
              <w:spacing w:line="200" w:lineRule="exact"/>
              <w:jc w:val="center"/>
              <w:rPr>
                <w:rFonts w:eastAsia="仿宋_GB2312"/>
                <w:b/>
                <w:bCs/>
                <w:color w:val="000000"/>
                <w:kern w:val="0"/>
                <w:sz w:val="18"/>
                <w:szCs w:val="18"/>
              </w:rPr>
            </w:pPr>
            <w:r>
              <w:rPr>
                <w:rFonts w:eastAsia="仿宋_GB2312"/>
                <w:b/>
                <w:bCs/>
                <w:color w:val="000000"/>
                <w:kern w:val="0"/>
                <w:sz w:val="18"/>
                <w:szCs w:val="18"/>
              </w:rPr>
              <w:t>10</w:t>
            </w:r>
          </w:p>
        </w:tc>
        <w:tc>
          <w:tcPr>
            <w:tcW w:w="538" w:type="pct"/>
            <w:shd w:val="clear" w:color="000000" w:fill="FFFFFF"/>
            <w:vAlign w:val="center"/>
          </w:tcPr>
          <w:p w14:paraId="1B21E0E4">
            <w:pPr>
              <w:widowControl/>
              <w:spacing w:line="200" w:lineRule="exact"/>
              <w:jc w:val="center"/>
              <w:rPr>
                <w:rFonts w:eastAsia="仿宋_GB2312"/>
                <w:b/>
                <w:bCs/>
                <w:color w:val="000000"/>
                <w:kern w:val="0"/>
                <w:sz w:val="18"/>
                <w:szCs w:val="18"/>
              </w:rPr>
            </w:pPr>
            <w:r>
              <w:rPr>
                <w:rFonts w:hint="eastAsia" w:eastAsia="仿宋_GB2312"/>
                <w:b/>
                <w:bCs/>
                <w:color w:val="000000"/>
                <w:kern w:val="0"/>
                <w:sz w:val="18"/>
                <w:szCs w:val="18"/>
              </w:rPr>
              <w:t>10</w:t>
            </w:r>
          </w:p>
        </w:tc>
      </w:tr>
      <w:tr w14:paraId="23A933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5" w:type="pct"/>
            <w:vMerge w:val="continue"/>
            <w:shd w:val="clear" w:color="auto" w:fill="FFFFFF"/>
            <w:vAlign w:val="center"/>
          </w:tcPr>
          <w:p w14:paraId="07CC4E15">
            <w:pPr>
              <w:widowControl/>
              <w:spacing w:line="200" w:lineRule="exact"/>
              <w:jc w:val="center"/>
              <w:rPr>
                <w:rFonts w:eastAsia="仿宋_GB2312"/>
                <w:color w:val="000000"/>
                <w:kern w:val="0"/>
                <w:sz w:val="18"/>
                <w:szCs w:val="18"/>
              </w:rPr>
            </w:pPr>
          </w:p>
        </w:tc>
        <w:tc>
          <w:tcPr>
            <w:tcW w:w="393" w:type="pct"/>
            <w:shd w:val="clear" w:color="auto" w:fill="FFFFFF"/>
            <w:vAlign w:val="center"/>
          </w:tcPr>
          <w:p w14:paraId="7A4F2F7B">
            <w:pPr>
              <w:widowControl/>
              <w:spacing w:line="200" w:lineRule="exact"/>
              <w:jc w:val="center"/>
              <w:rPr>
                <w:rFonts w:eastAsia="仿宋_GB2312"/>
                <w:color w:val="000000"/>
                <w:kern w:val="0"/>
                <w:sz w:val="18"/>
                <w:szCs w:val="18"/>
              </w:rPr>
            </w:pPr>
            <w:r>
              <w:rPr>
                <w:rFonts w:eastAsia="仿宋_GB2312"/>
                <w:color w:val="000000"/>
                <w:kern w:val="0"/>
                <w:sz w:val="18"/>
                <w:szCs w:val="18"/>
              </w:rPr>
              <w:t>产出质量</w:t>
            </w:r>
          </w:p>
        </w:tc>
        <w:tc>
          <w:tcPr>
            <w:tcW w:w="422" w:type="pct"/>
            <w:shd w:val="clear" w:color="auto" w:fill="FFFFFF"/>
            <w:vAlign w:val="center"/>
          </w:tcPr>
          <w:p w14:paraId="40F50860">
            <w:pPr>
              <w:widowControl/>
              <w:spacing w:line="200" w:lineRule="exact"/>
              <w:jc w:val="center"/>
              <w:rPr>
                <w:rFonts w:eastAsia="仿宋_GB2312"/>
                <w:color w:val="000000"/>
                <w:kern w:val="0"/>
                <w:sz w:val="18"/>
                <w:szCs w:val="18"/>
              </w:rPr>
            </w:pPr>
            <w:r>
              <w:rPr>
                <w:rFonts w:eastAsia="仿宋_GB2312"/>
                <w:color w:val="000000"/>
                <w:kern w:val="0"/>
                <w:sz w:val="18"/>
                <w:szCs w:val="18"/>
              </w:rPr>
              <w:t>质量达标率</w:t>
            </w:r>
          </w:p>
        </w:tc>
        <w:tc>
          <w:tcPr>
            <w:tcW w:w="680" w:type="pct"/>
            <w:shd w:val="clear" w:color="000000" w:fill="FFFFFF"/>
            <w:vAlign w:val="center"/>
          </w:tcPr>
          <w:p w14:paraId="18BCCCCE">
            <w:pPr>
              <w:widowControl/>
              <w:spacing w:line="200" w:lineRule="exact"/>
              <w:rPr>
                <w:rFonts w:eastAsia="仿宋_GB2312"/>
                <w:color w:val="000000"/>
                <w:kern w:val="0"/>
                <w:sz w:val="18"/>
                <w:szCs w:val="18"/>
              </w:rPr>
            </w:pPr>
            <w:r>
              <w:rPr>
                <w:rFonts w:eastAsia="仿宋_GB2312"/>
                <w:color w:val="000000"/>
                <w:kern w:val="0"/>
                <w:sz w:val="18"/>
                <w:szCs w:val="18"/>
              </w:rPr>
              <w:t>项目完成的质量达标产出数与实际产出数的比率，用以反映和考核项目产出质量目标的实现程度。</w:t>
            </w:r>
          </w:p>
        </w:tc>
        <w:tc>
          <w:tcPr>
            <w:tcW w:w="2057" w:type="pct"/>
            <w:shd w:val="clear" w:color="000000" w:fill="FFFFFF"/>
            <w:vAlign w:val="center"/>
          </w:tcPr>
          <w:p w14:paraId="2A4E2DE9">
            <w:pPr>
              <w:widowControl/>
              <w:spacing w:line="200" w:lineRule="exact"/>
              <w:rPr>
                <w:rFonts w:eastAsia="仿宋_GB2312"/>
                <w:color w:val="000000"/>
                <w:kern w:val="0"/>
                <w:sz w:val="18"/>
                <w:szCs w:val="18"/>
              </w:rPr>
            </w:pPr>
            <w:r>
              <w:rPr>
                <w:rFonts w:eastAsia="仿宋_GB2312"/>
                <w:color w:val="000000"/>
                <w:kern w:val="0"/>
                <w:sz w:val="18"/>
                <w:szCs w:val="18"/>
              </w:rPr>
              <w:t>质量达标率=（质量达标产出数/实际产出数）×100%。</w:t>
            </w:r>
          </w:p>
          <w:p w14:paraId="176B21A5">
            <w:pPr>
              <w:widowControl/>
              <w:spacing w:line="200" w:lineRule="exact"/>
              <w:rPr>
                <w:rFonts w:eastAsia="仿宋_GB2312"/>
                <w:color w:val="000000"/>
                <w:kern w:val="0"/>
                <w:sz w:val="18"/>
                <w:szCs w:val="18"/>
              </w:rPr>
            </w:pPr>
            <w:r>
              <w:rPr>
                <w:rFonts w:eastAsia="仿宋_GB2312"/>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03707F30">
            <w:pPr>
              <w:widowControl/>
              <w:spacing w:line="200" w:lineRule="exact"/>
              <w:jc w:val="center"/>
              <w:rPr>
                <w:rFonts w:eastAsia="仿宋_GB2312"/>
                <w:b/>
                <w:bCs/>
                <w:color w:val="000000"/>
                <w:kern w:val="0"/>
                <w:sz w:val="18"/>
                <w:szCs w:val="18"/>
              </w:rPr>
            </w:pPr>
            <w:r>
              <w:rPr>
                <w:rFonts w:eastAsia="仿宋_GB2312"/>
                <w:b/>
                <w:bCs/>
                <w:color w:val="000000"/>
                <w:kern w:val="0"/>
                <w:sz w:val="18"/>
                <w:szCs w:val="18"/>
              </w:rPr>
              <w:t>10</w:t>
            </w:r>
          </w:p>
        </w:tc>
        <w:tc>
          <w:tcPr>
            <w:tcW w:w="538" w:type="pct"/>
            <w:shd w:val="clear" w:color="000000" w:fill="FFFFFF"/>
            <w:vAlign w:val="center"/>
          </w:tcPr>
          <w:p w14:paraId="1162845D">
            <w:pPr>
              <w:widowControl/>
              <w:spacing w:line="200" w:lineRule="exact"/>
              <w:jc w:val="center"/>
              <w:rPr>
                <w:rFonts w:eastAsia="仿宋_GB2312"/>
                <w:b/>
                <w:bCs/>
                <w:color w:val="000000"/>
                <w:kern w:val="0"/>
                <w:sz w:val="18"/>
                <w:szCs w:val="18"/>
              </w:rPr>
            </w:pPr>
            <w:r>
              <w:rPr>
                <w:rFonts w:hint="eastAsia" w:eastAsia="仿宋_GB2312"/>
                <w:b/>
                <w:bCs/>
                <w:color w:val="000000"/>
                <w:kern w:val="0"/>
                <w:sz w:val="18"/>
                <w:szCs w:val="18"/>
              </w:rPr>
              <w:t>10</w:t>
            </w:r>
          </w:p>
        </w:tc>
      </w:tr>
      <w:tr w14:paraId="502D9D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5" w:type="pct"/>
            <w:vMerge w:val="continue"/>
            <w:shd w:val="clear" w:color="auto" w:fill="FFFFFF"/>
            <w:vAlign w:val="center"/>
          </w:tcPr>
          <w:p w14:paraId="182DA928">
            <w:pPr>
              <w:spacing w:line="200" w:lineRule="exact"/>
              <w:jc w:val="center"/>
              <w:rPr>
                <w:rFonts w:eastAsia="仿宋_GB2312"/>
                <w:color w:val="000000"/>
                <w:kern w:val="0"/>
                <w:sz w:val="18"/>
                <w:szCs w:val="18"/>
              </w:rPr>
            </w:pPr>
          </w:p>
        </w:tc>
        <w:tc>
          <w:tcPr>
            <w:tcW w:w="393" w:type="pct"/>
            <w:shd w:val="clear" w:color="auto" w:fill="FFFFFF"/>
            <w:vAlign w:val="center"/>
          </w:tcPr>
          <w:p w14:paraId="265D1C3A">
            <w:pPr>
              <w:spacing w:line="200" w:lineRule="exact"/>
              <w:jc w:val="center"/>
              <w:rPr>
                <w:rFonts w:eastAsia="仿宋_GB2312"/>
                <w:color w:val="000000"/>
                <w:kern w:val="0"/>
                <w:sz w:val="18"/>
                <w:szCs w:val="18"/>
              </w:rPr>
            </w:pPr>
            <w:r>
              <w:rPr>
                <w:rFonts w:eastAsia="仿宋_GB2312"/>
                <w:color w:val="000000"/>
                <w:kern w:val="0"/>
                <w:sz w:val="18"/>
                <w:szCs w:val="18"/>
              </w:rPr>
              <w:t>产出时效</w:t>
            </w:r>
          </w:p>
        </w:tc>
        <w:tc>
          <w:tcPr>
            <w:tcW w:w="422" w:type="pct"/>
            <w:shd w:val="clear" w:color="auto" w:fill="FFFFFF"/>
            <w:vAlign w:val="center"/>
          </w:tcPr>
          <w:p w14:paraId="181E2FFA">
            <w:pPr>
              <w:widowControl/>
              <w:spacing w:line="200" w:lineRule="exact"/>
              <w:jc w:val="center"/>
              <w:rPr>
                <w:rFonts w:eastAsia="仿宋_GB2312"/>
                <w:color w:val="000000"/>
                <w:kern w:val="0"/>
                <w:sz w:val="18"/>
                <w:szCs w:val="18"/>
              </w:rPr>
            </w:pPr>
            <w:r>
              <w:rPr>
                <w:rFonts w:eastAsia="仿宋_GB2312"/>
                <w:color w:val="000000"/>
                <w:kern w:val="0"/>
                <w:sz w:val="18"/>
                <w:szCs w:val="18"/>
              </w:rPr>
              <w:t>完成及时性</w:t>
            </w:r>
          </w:p>
        </w:tc>
        <w:tc>
          <w:tcPr>
            <w:tcW w:w="680" w:type="pct"/>
            <w:shd w:val="clear" w:color="000000" w:fill="FFFFFF"/>
            <w:vAlign w:val="center"/>
          </w:tcPr>
          <w:p w14:paraId="78ED762D">
            <w:pPr>
              <w:widowControl/>
              <w:spacing w:line="200" w:lineRule="exact"/>
              <w:rPr>
                <w:rFonts w:eastAsia="仿宋_GB2312"/>
                <w:color w:val="000000"/>
                <w:kern w:val="0"/>
                <w:sz w:val="18"/>
                <w:szCs w:val="18"/>
              </w:rPr>
            </w:pPr>
            <w:r>
              <w:rPr>
                <w:rFonts w:eastAsia="仿宋_GB2312"/>
                <w:color w:val="000000"/>
                <w:kern w:val="0"/>
                <w:sz w:val="18"/>
                <w:szCs w:val="18"/>
              </w:rPr>
              <w:t>项目实际完成时间与计划完成时间的比较，用以反映和考核项目产出时效目标的实现程度。</w:t>
            </w:r>
          </w:p>
        </w:tc>
        <w:tc>
          <w:tcPr>
            <w:tcW w:w="2057" w:type="pct"/>
            <w:shd w:val="clear" w:color="000000" w:fill="FFFFFF"/>
            <w:vAlign w:val="center"/>
          </w:tcPr>
          <w:p w14:paraId="3F8EC3CA">
            <w:pPr>
              <w:widowControl/>
              <w:spacing w:line="200" w:lineRule="exact"/>
              <w:rPr>
                <w:rFonts w:eastAsia="仿宋_GB2312"/>
                <w:color w:val="000000"/>
                <w:kern w:val="0"/>
                <w:sz w:val="18"/>
                <w:szCs w:val="18"/>
              </w:rPr>
            </w:pPr>
            <w:r>
              <w:rPr>
                <w:rFonts w:eastAsia="仿宋_GB2312"/>
                <w:color w:val="000000"/>
                <w:kern w:val="0"/>
                <w:sz w:val="18"/>
                <w:szCs w:val="18"/>
              </w:rPr>
              <w:t>实际完成时间：项目实施单位完成该项目实际所耗用的时间。</w:t>
            </w:r>
            <w:r>
              <w:rPr>
                <w:rFonts w:eastAsia="仿宋_GB2312"/>
                <w:color w:val="000000"/>
                <w:kern w:val="0"/>
                <w:sz w:val="18"/>
                <w:szCs w:val="18"/>
              </w:rPr>
              <w:br w:type="textWrapping"/>
            </w:r>
            <w:r>
              <w:rPr>
                <w:rFonts w:eastAsia="仿宋_GB2312"/>
                <w:color w:val="000000"/>
                <w:kern w:val="0"/>
                <w:sz w:val="18"/>
                <w:szCs w:val="18"/>
              </w:rPr>
              <w:t>计划完成时间：按照项目实施计划或相关规定完成该项目所需的时间。</w:t>
            </w:r>
          </w:p>
        </w:tc>
        <w:tc>
          <w:tcPr>
            <w:tcW w:w="512" w:type="pct"/>
            <w:shd w:val="clear" w:color="000000" w:fill="FFFFFF"/>
            <w:vAlign w:val="center"/>
          </w:tcPr>
          <w:p w14:paraId="7938F94F">
            <w:pPr>
              <w:widowControl/>
              <w:spacing w:line="200" w:lineRule="exact"/>
              <w:jc w:val="center"/>
              <w:rPr>
                <w:rFonts w:eastAsia="仿宋_GB2312"/>
                <w:b/>
                <w:bCs/>
                <w:color w:val="000000"/>
                <w:kern w:val="0"/>
                <w:sz w:val="18"/>
                <w:szCs w:val="18"/>
              </w:rPr>
            </w:pPr>
            <w:r>
              <w:rPr>
                <w:rFonts w:eastAsia="仿宋_GB2312"/>
                <w:b/>
                <w:bCs/>
                <w:color w:val="000000"/>
                <w:kern w:val="0"/>
                <w:sz w:val="18"/>
                <w:szCs w:val="18"/>
              </w:rPr>
              <w:t>10</w:t>
            </w:r>
          </w:p>
        </w:tc>
        <w:tc>
          <w:tcPr>
            <w:tcW w:w="538" w:type="pct"/>
            <w:shd w:val="clear" w:color="000000" w:fill="FFFFFF"/>
            <w:vAlign w:val="center"/>
          </w:tcPr>
          <w:p w14:paraId="7105DC92">
            <w:pPr>
              <w:widowControl/>
              <w:spacing w:line="200" w:lineRule="exact"/>
              <w:jc w:val="center"/>
              <w:rPr>
                <w:rFonts w:eastAsia="仿宋_GB2312"/>
                <w:b/>
                <w:bCs/>
                <w:color w:val="000000"/>
                <w:kern w:val="0"/>
                <w:sz w:val="18"/>
                <w:szCs w:val="18"/>
              </w:rPr>
            </w:pPr>
            <w:r>
              <w:rPr>
                <w:rFonts w:hint="eastAsia" w:eastAsia="仿宋_GB2312"/>
                <w:b/>
                <w:bCs/>
                <w:color w:val="000000"/>
                <w:kern w:val="0"/>
                <w:sz w:val="18"/>
                <w:szCs w:val="18"/>
              </w:rPr>
              <w:t>10</w:t>
            </w:r>
          </w:p>
        </w:tc>
      </w:tr>
      <w:tr w14:paraId="500E394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5" w:type="pct"/>
            <w:vMerge w:val="continue"/>
            <w:shd w:val="clear" w:color="auto" w:fill="FFFFFF"/>
            <w:vAlign w:val="center"/>
          </w:tcPr>
          <w:p w14:paraId="67A3BBCA">
            <w:pPr>
              <w:widowControl/>
              <w:spacing w:line="200" w:lineRule="exact"/>
              <w:jc w:val="center"/>
              <w:rPr>
                <w:rFonts w:eastAsia="仿宋_GB2312"/>
                <w:color w:val="000000"/>
                <w:kern w:val="0"/>
                <w:sz w:val="18"/>
                <w:szCs w:val="18"/>
              </w:rPr>
            </w:pPr>
          </w:p>
        </w:tc>
        <w:tc>
          <w:tcPr>
            <w:tcW w:w="393" w:type="pct"/>
            <w:shd w:val="clear" w:color="auto" w:fill="FFFFFF"/>
            <w:vAlign w:val="center"/>
          </w:tcPr>
          <w:p w14:paraId="46E40F32">
            <w:pPr>
              <w:widowControl/>
              <w:spacing w:line="200" w:lineRule="exact"/>
              <w:jc w:val="center"/>
              <w:rPr>
                <w:rFonts w:eastAsia="仿宋_GB2312"/>
                <w:color w:val="000000"/>
                <w:kern w:val="0"/>
                <w:sz w:val="18"/>
                <w:szCs w:val="18"/>
              </w:rPr>
            </w:pPr>
            <w:r>
              <w:rPr>
                <w:rFonts w:eastAsia="仿宋_GB2312"/>
                <w:color w:val="000000"/>
                <w:kern w:val="0"/>
                <w:sz w:val="18"/>
                <w:szCs w:val="18"/>
              </w:rPr>
              <w:t>产出成本</w:t>
            </w:r>
          </w:p>
        </w:tc>
        <w:tc>
          <w:tcPr>
            <w:tcW w:w="422" w:type="pct"/>
            <w:shd w:val="clear" w:color="auto" w:fill="FFFFFF"/>
            <w:vAlign w:val="center"/>
          </w:tcPr>
          <w:p w14:paraId="7BB8AB4C">
            <w:pPr>
              <w:widowControl/>
              <w:spacing w:line="200" w:lineRule="exact"/>
              <w:jc w:val="center"/>
              <w:rPr>
                <w:rFonts w:eastAsia="仿宋_GB2312"/>
                <w:color w:val="000000"/>
                <w:kern w:val="0"/>
                <w:sz w:val="18"/>
                <w:szCs w:val="18"/>
              </w:rPr>
            </w:pPr>
            <w:r>
              <w:rPr>
                <w:rFonts w:eastAsia="仿宋_GB2312"/>
                <w:color w:val="000000"/>
                <w:kern w:val="0"/>
                <w:sz w:val="18"/>
                <w:szCs w:val="18"/>
              </w:rPr>
              <w:t>成本节约率</w:t>
            </w:r>
          </w:p>
        </w:tc>
        <w:tc>
          <w:tcPr>
            <w:tcW w:w="680" w:type="pct"/>
            <w:shd w:val="clear" w:color="000000" w:fill="FFFFFF"/>
            <w:vAlign w:val="center"/>
          </w:tcPr>
          <w:p w14:paraId="5795A3B1">
            <w:pPr>
              <w:widowControl/>
              <w:spacing w:line="200" w:lineRule="exact"/>
              <w:rPr>
                <w:rFonts w:eastAsia="仿宋_GB2312"/>
                <w:color w:val="000000"/>
                <w:kern w:val="0"/>
                <w:sz w:val="18"/>
                <w:szCs w:val="18"/>
              </w:rPr>
            </w:pPr>
            <w:r>
              <w:rPr>
                <w:rFonts w:eastAsia="仿宋_GB2312"/>
                <w:color w:val="000000"/>
                <w:kern w:val="0"/>
                <w:sz w:val="18"/>
                <w:szCs w:val="18"/>
              </w:rPr>
              <w:t>完成项目计划工作目标的实际节约成本与计划成本的比率，用以反映和考核项目的成本节约程度。</w:t>
            </w:r>
          </w:p>
        </w:tc>
        <w:tc>
          <w:tcPr>
            <w:tcW w:w="2057" w:type="pct"/>
            <w:shd w:val="clear" w:color="000000" w:fill="FFFFFF"/>
            <w:vAlign w:val="center"/>
          </w:tcPr>
          <w:p w14:paraId="7DB5C391">
            <w:pPr>
              <w:widowControl/>
              <w:spacing w:line="200" w:lineRule="exact"/>
              <w:rPr>
                <w:rFonts w:eastAsia="仿宋_GB2312"/>
                <w:color w:val="000000"/>
                <w:kern w:val="0"/>
                <w:sz w:val="18"/>
                <w:szCs w:val="18"/>
              </w:rPr>
            </w:pPr>
            <w:r>
              <w:rPr>
                <w:rFonts w:eastAsia="仿宋_GB2312"/>
                <w:color w:val="000000"/>
                <w:kern w:val="0"/>
                <w:sz w:val="18"/>
                <w:szCs w:val="18"/>
              </w:rPr>
              <w:br w:type="textWrapping"/>
            </w:r>
            <w:r>
              <w:rPr>
                <w:rFonts w:eastAsia="仿宋_GB2312"/>
                <w:color w:val="000000"/>
                <w:kern w:val="0"/>
                <w:sz w:val="18"/>
                <w:szCs w:val="18"/>
              </w:rPr>
              <w:t>成本节约率=[（计划成本-实际成本）/计划成本]×100%。</w:t>
            </w:r>
            <w:r>
              <w:rPr>
                <w:rFonts w:eastAsia="仿宋_GB2312"/>
                <w:color w:val="000000"/>
                <w:kern w:val="0"/>
                <w:sz w:val="18"/>
                <w:szCs w:val="18"/>
              </w:rPr>
              <w:br w:type="textWrapping"/>
            </w:r>
            <w:r>
              <w:rPr>
                <w:rFonts w:eastAsia="仿宋_GB2312"/>
                <w:color w:val="000000"/>
                <w:kern w:val="0"/>
                <w:sz w:val="18"/>
                <w:szCs w:val="18"/>
              </w:rPr>
              <w:t>实际成本：项目实施单位如期、保质、保量完成既定工作目标实际所耗费的支出。</w:t>
            </w:r>
            <w:r>
              <w:rPr>
                <w:rFonts w:eastAsia="仿宋_GB2312"/>
                <w:color w:val="000000"/>
                <w:kern w:val="0"/>
                <w:sz w:val="18"/>
                <w:szCs w:val="18"/>
              </w:rPr>
              <w:br w:type="textWrapping"/>
            </w:r>
            <w:r>
              <w:rPr>
                <w:rFonts w:eastAsia="仿宋_GB2312"/>
                <w:color w:val="000000"/>
                <w:kern w:val="0"/>
                <w:sz w:val="18"/>
                <w:szCs w:val="18"/>
              </w:rPr>
              <w:t>计划成本：项目实施单位为完成工作目标计划安排的支出，一般以项目预算为参考。</w:t>
            </w:r>
          </w:p>
        </w:tc>
        <w:tc>
          <w:tcPr>
            <w:tcW w:w="512" w:type="pct"/>
            <w:shd w:val="clear" w:color="000000" w:fill="FFFFFF"/>
            <w:vAlign w:val="center"/>
          </w:tcPr>
          <w:p w14:paraId="6EA7A18F">
            <w:pPr>
              <w:widowControl/>
              <w:spacing w:line="200" w:lineRule="exact"/>
              <w:jc w:val="center"/>
              <w:rPr>
                <w:rFonts w:eastAsia="仿宋_GB2312"/>
                <w:b/>
                <w:bCs/>
                <w:color w:val="000000"/>
                <w:kern w:val="0"/>
                <w:sz w:val="18"/>
                <w:szCs w:val="18"/>
              </w:rPr>
            </w:pPr>
            <w:r>
              <w:rPr>
                <w:rFonts w:eastAsia="仿宋_GB2312"/>
                <w:b/>
                <w:bCs/>
                <w:color w:val="000000"/>
                <w:kern w:val="0"/>
                <w:sz w:val="18"/>
                <w:szCs w:val="18"/>
              </w:rPr>
              <w:t>10</w:t>
            </w:r>
          </w:p>
        </w:tc>
        <w:tc>
          <w:tcPr>
            <w:tcW w:w="538" w:type="pct"/>
            <w:shd w:val="clear" w:color="000000" w:fill="FFFFFF"/>
            <w:vAlign w:val="center"/>
          </w:tcPr>
          <w:p w14:paraId="05982E7B">
            <w:pPr>
              <w:widowControl/>
              <w:spacing w:line="200" w:lineRule="exact"/>
              <w:jc w:val="center"/>
              <w:rPr>
                <w:rFonts w:eastAsia="仿宋_GB2312"/>
                <w:b/>
                <w:bCs/>
                <w:color w:val="000000"/>
                <w:kern w:val="0"/>
                <w:sz w:val="18"/>
                <w:szCs w:val="18"/>
              </w:rPr>
            </w:pPr>
            <w:r>
              <w:rPr>
                <w:rFonts w:hint="eastAsia" w:eastAsia="仿宋_GB2312"/>
                <w:b/>
                <w:bCs/>
                <w:color w:val="000000"/>
                <w:kern w:val="0"/>
                <w:sz w:val="18"/>
                <w:szCs w:val="18"/>
              </w:rPr>
              <w:t>10</w:t>
            </w:r>
          </w:p>
        </w:tc>
      </w:tr>
      <w:tr w14:paraId="2E39D7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5" w:type="pct"/>
            <w:vMerge w:val="restart"/>
            <w:shd w:val="clear" w:color="auto" w:fill="FFFFFF"/>
            <w:vAlign w:val="center"/>
          </w:tcPr>
          <w:p w14:paraId="798867F9">
            <w:pPr>
              <w:widowControl/>
              <w:spacing w:line="200" w:lineRule="exact"/>
              <w:jc w:val="center"/>
              <w:rPr>
                <w:rFonts w:eastAsia="仿宋_GB2312"/>
                <w:color w:val="000000"/>
                <w:kern w:val="0"/>
                <w:sz w:val="18"/>
                <w:szCs w:val="18"/>
              </w:rPr>
            </w:pPr>
            <w:r>
              <w:rPr>
                <w:rFonts w:eastAsia="仿宋_GB2312"/>
                <w:color w:val="000000"/>
                <w:kern w:val="0"/>
                <w:sz w:val="18"/>
                <w:szCs w:val="18"/>
              </w:rPr>
              <w:t>效益</w:t>
            </w:r>
          </w:p>
        </w:tc>
        <w:tc>
          <w:tcPr>
            <w:tcW w:w="393" w:type="pct"/>
            <w:vMerge w:val="restart"/>
            <w:shd w:val="clear" w:color="auto" w:fill="FFFFFF"/>
            <w:vAlign w:val="center"/>
          </w:tcPr>
          <w:p w14:paraId="2F2704E4">
            <w:pPr>
              <w:widowControl/>
              <w:spacing w:line="200" w:lineRule="exact"/>
              <w:jc w:val="center"/>
              <w:rPr>
                <w:rFonts w:eastAsia="仿宋_GB2312"/>
                <w:color w:val="000000"/>
                <w:kern w:val="0"/>
                <w:sz w:val="18"/>
                <w:szCs w:val="18"/>
              </w:rPr>
            </w:pPr>
            <w:r>
              <w:rPr>
                <w:rFonts w:eastAsia="仿宋_GB2312"/>
                <w:color w:val="000000"/>
                <w:kern w:val="0"/>
                <w:sz w:val="18"/>
                <w:szCs w:val="18"/>
              </w:rPr>
              <w:t>项目效益</w:t>
            </w:r>
          </w:p>
        </w:tc>
        <w:tc>
          <w:tcPr>
            <w:tcW w:w="422" w:type="pct"/>
            <w:shd w:val="clear" w:color="auto" w:fill="FFFFFF"/>
            <w:vAlign w:val="center"/>
          </w:tcPr>
          <w:p w14:paraId="7E915E94">
            <w:pPr>
              <w:widowControl/>
              <w:spacing w:line="200" w:lineRule="exact"/>
              <w:jc w:val="center"/>
              <w:rPr>
                <w:rFonts w:eastAsia="仿宋_GB2312"/>
                <w:color w:val="000000"/>
                <w:kern w:val="0"/>
                <w:sz w:val="18"/>
                <w:szCs w:val="18"/>
              </w:rPr>
            </w:pPr>
            <w:r>
              <w:rPr>
                <w:rFonts w:eastAsia="仿宋_GB2312"/>
                <w:color w:val="000000"/>
                <w:kern w:val="0"/>
                <w:sz w:val="18"/>
                <w:szCs w:val="18"/>
              </w:rPr>
              <w:t>实施效益</w:t>
            </w:r>
          </w:p>
        </w:tc>
        <w:tc>
          <w:tcPr>
            <w:tcW w:w="680" w:type="pct"/>
            <w:shd w:val="clear" w:color="auto" w:fill="FFFFFF"/>
            <w:vAlign w:val="center"/>
          </w:tcPr>
          <w:p w14:paraId="136FAD97">
            <w:pPr>
              <w:widowControl/>
              <w:spacing w:line="200" w:lineRule="exact"/>
              <w:jc w:val="left"/>
              <w:rPr>
                <w:rFonts w:eastAsia="仿宋_GB2312"/>
                <w:color w:val="000000"/>
                <w:kern w:val="0"/>
                <w:sz w:val="18"/>
                <w:szCs w:val="18"/>
              </w:rPr>
            </w:pPr>
            <w:r>
              <w:rPr>
                <w:rFonts w:eastAsia="仿宋_GB2312"/>
                <w:color w:val="000000"/>
                <w:kern w:val="0"/>
                <w:sz w:val="18"/>
                <w:szCs w:val="18"/>
              </w:rPr>
              <w:t>项目实施所产生的效益。</w:t>
            </w:r>
          </w:p>
        </w:tc>
        <w:tc>
          <w:tcPr>
            <w:tcW w:w="2057" w:type="pct"/>
            <w:shd w:val="clear" w:color="auto" w:fill="FFFFFF"/>
            <w:vAlign w:val="center"/>
          </w:tcPr>
          <w:p w14:paraId="728255B9">
            <w:pPr>
              <w:widowControl/>
              <w:spacing w:line="200" w:lineRule="exact"/>
              <w:rPr>
                <w:rFonts w:eastAsia="仿宋_GB2312"/>
                <w:color w:val="000000"/>
                <w:kern w:val="0"/>
                <w:sz w:val="18"/>
                <w:szCs w:val="18"/>
              </w:rPr>
            </w:pPr>
            <w:r>
              <w:rPr>
                <w:rFonts w:eastAsia="仿宋_GB2312"/>
                <w:color w:val="000000"/>
                <w:kern w:val="0"/>
                <w:sz w:val="18"/>
                <w:szCs w:val="18"/>
              </w:rPr>
              <w:t>项目实施所产生的社会效益、经济效益、生态效益、可持续影响等。可根据项目实际情况有选择地设置和细化。</w:t>
            </w:r>
          </w:p>
        </w:tc>
        <w:tc>
          <w:tcPr>
            <w:tcW w:w="512" w:type="pct"/>
            <w:shd w:val="clear" w:color="auto" w:fill="FFFFFF"/>
            <w:vAlign w:val="center"/>
          </w:tcPr>
          <w:p w14:paraId="7A0E30BD">
            <w:pPr>
              <w:widowControl/>
              <w:spacing w:line="200" w:lineRule="exact"/>
              <w:jc w:val="center"/>
              <w:rPr>
                <w:rFonts w:eastAsia="仿宋_GB2312"/>
                <w:b/>
                <w:bCs/>
                <w:color w:val="000000"/>
                <w:kern w:val="0"/>
                <w:sz w:val="18"/>
                <w:szCs w:val="18"/>
              </w:rPr>
            </w:pPr>
            <w:r>
              <w:rPr>
                <w:rFonts w:eastAsia="仿宋_GB2312"/>
                <w:b/>
                <w:bCs/>
                <w:color w:val="000000"/>
                <w:kern w:val="0"/>
                <w:sz w:val="18"/>
                <w:szCs w:val="18"/>
              </w:rPr>
              <w:t>10</w:t>
            </w:r>
          </w:p>
        </w:tc>
        <w:tc>
          <w:tcPr>
            <w:tcW w:w="538" w:type="pct"/>
            <w:shd w:val="clear" w:color="auto" w:fill="FFFFFF"/>
            <w:vAlign w:val="center"/>
          </w:tcPr>
          <w:p w14:paraId="46DDD395">
            <w:pPr>
              <w:widowControl/>
              <w:spacing w:line="200" w:lineRule="exact"/>
              <w:jc w:val="center"/>
              <w:rPr>
                <w:rFonts w:eastAsia="仿宋_GB2312"/>
                <w:b/>
                <w:bCs/>
                <w:color w:val="000000"/>
                <w:kern w:val="0"/>
                <w:sz w:val="18"/>
                <w:szCs w:val="18"/>
              </w:rPr>
            </w:pPr>
            <w:r>
              <w:rPr>
                <w:rFonts w:hint="eastAsia" w:eastAsia="仿宋_GB2312"/>
                <w:b/>
                <w:bCs/>
                <w:color w:val="000000"/>
                <w:kern w:val="0"/>
                <w:sz w:val="18"/>
                <w:szCs w:val="18"/>
              </w:rPr>
              <w:t>9.9</w:t>
            </w:r>
          </w:p>
        </w:tc>
      </w:tr>
      <w:tr w14:paraId="15BC7D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5" w:type="pct"/>
            <w:vMerge w:val="continue"/>
            <w:shd w:val="clear" w:color="auto" w:fill="FFFFFF"/>
            <w:vAlign w:val="center"/>
          </w:tcPr>
          <w:p w14:paraId="0BCCDA0E">
            <w:pPr>
              <w:widowControl/>
              <w:spacing w:line="200" w:lineRule="exact"/>
              <w:jc w:val="center"/>
              <w:rPr>
                <w:rFonts w:eastAsia="仿宋_GB2312"/>
                <w:color w:val="000000"/>
                <w:kern w:val="0"/>
                <w:sz w:val="18"/>
                <w:szCs w:val="18"/>
              </w:rPr>
            </w:pPr>
          </w:p>
        </w:tc>
        <w:tc>
          <w:tcPr>
            <w:tcW w:w="393" w:type="pct"/>
            <w:vMerge w:val="continue"/>
            <w:shd w:val="clear" w:color="auto" w:fill="FFFFFF"/>
            <w:vAlign w:val="center"/>
          </w:tcPr>
          <w:p w14:paraId="6A2A0247">
            <w:pPr>
              <w:widowControl/>
              <w:spacing w:line="200" w:lineRule="exact"/>
              <w:jc w:val="center"/>
              <w:rPr>
                <w:rFonts w:eastAsia="仿宋_GB2312"/>
                <w:color w:val="000000"/>
                <w:kern w:val="0"/>
                <w:sz w:val="18"/>
                <w:szCs w:val="18"/>
              </w:rPr>
            </w:pPr>
          </w:p>
        </w:tc>
        <w:tc>
          <w:tcPr>
            <w:tcW w:w="422" w:type="pct"/>
            <w:shd w:val="clear" w:color="auto" w:fill="FFFFFF"/>
            <w:vAlign w:val="center"/>
          </w:tcPr>
          <w:p w14:paraId="3A88FB10">
            <w:pPr>
              <w:widowControl/>
              <w:spacing w:line="200" w:lineRule="exact"/>
              <w:jc w:val="center"/>
              <w:rPr>
                <w:rFonts w:eastAsia="仿宋_GB2312"/>
                <w:color w:val="000000"/>
                <w:kern w:val="0"/>
                <w:sz w:val="18"/>
                <w:szCs w:val="18"/>
              </w:rPr>
            </w:pPr>
            <w:r>
              <w:rPr>
                <w:rFonts w:eastAsia="仿宋_GB2312"/>
                <w:color w:val="000000"/>
                <w:kern w:val="0"/>
                <w:sz w:val="18"/>
                <w:szCs w:val="18"/>
              </w:rPr>
              <w:t>满意度</w:t>
            </w:r>
          </w:p>
        </w:tc>
        <w:tc>
          <w:tcPr>
            <w:tcW w:w="680" w:type="pct"/>
            <w:shd w:val="clear" w:color="000000" w:fill="FFFFFF"/>
            <w:vAlign w:val="center"/>
          </w:tcPr>
          <w:p w14:paraId="69F3477E">
            <w:pPr>
              <w:widowControl/>
              <w:spacing w:line="200" w:lineRule="exact"/>
              <w:rPr>
                <w:rFonts w:eastAsia="仿宋_GB2312"/>
                <w:color w:val="000000"/>
                <w:kern w:val="0"/>
                <w:sz w:val="18"/>
                <w:szCs w:val="18"/>
              </w:rPr>
            </w:pPr>
            <w:r>
              <w:rPr>
                <w:rFonts w:eastAsia="仿宋_GB2312"/>
                <w:color w:val="000000"/>
                <w:kern w:val="0"/>
                <w:sz w:val="18"/>
                <w:szCs w:val="18"/>
              </w:rPr>
              <w:t>社会公众或服务对象对项目实施效果的满意程度。</w:t>
            </w:r>
          </w:p>
        </w:tc>
        <w:tc>
          <w:tcPr>
            <w:tcW w:w="2057" w:type="pct"/>
            <w:shd w:val="clear" w:color="000000" w:fill="FFFFFF"/>
            <w:vAlign w:val="center"/>
          </w:tcPr>
          <w:p w14:paraId="11D51132">
            <w:pPr>
              <w:widowControl/>
              <w:spacing w:line="200" w:lineRule="exact"/>
              <w:rPr>
                <w:rFonts w:eastAsia="仿宋_GB2312"/>
                <w:color w:val="000000"/>
                <w:kern w:val="0"/>
                <w:sz w:val="18"/>
                <w:szCs w:val="18"/>
              </w:rPr>
            </w:pPr>
            <w:r>
              <w:rPr>
                <w:rFonts w:eastAsia="仿宋_GB2312"/>
                <w:color w:val="000000"/>
                <w:kern w:val="0"/>
                <w:sz w:val="18"/>
                <w:szCs w:val="18"/>
              </w:rPr>
              <w:t>社会公众或服务对象是指因该项目实施而受到影响的部门（单位）、群体或个人。一般采取社会调查的方式。</w:t>
            </w:r>
          </w:p>
        </w:tc>
        <w:tc>
          <w:tcPr>
            <w:tcW w:w="512" w:type="pct"/>
            <w:shd w:val="clear" w:color="000000" w:fill="FFFFFF"/>
            <w:vAlign w:val="center"/>
          </w:tcPr>
          <w:p w14:paraId="107A6AFC">
            <w:pPr>
              <w:widowControl/>
              <w:spacing w:line="200" w:lineRule="exact"/>
              <w:jc w:val="center"/>
              <w:rPr>
                <w:rFonts w:eastAsia="仿宋_GB2312"/>
                <w:b/>
                <w:bCs/>
                <w:color w:val="000000"/>
                <w:kern w:val="0"/>
                <w:sz w:val="18"/>
                <w:szCs w:val="18"/>
              </w:rPr>
            </w:pPr>
            <w:r>
              <w:rPr>
                <w:rFonts w:eastAsia="仿宋_GB2312"/>
                <w:b/>
                <w:bCs/>
                <w:color w:val="000000"/>
                <w:kern w:val="0"/>
                <w:sz w:val="18"/>
                <w:szCs w:val="18"/>
              </w:rPr>
              <w:t>10</w:t>
            </w:r>
          </w:p>
        </w:tc>
        <w:tc>
          <w:tcPr>
            <w:tcW w:w="538" w:type="pct"/>
            <w:shd w:val="clear" w:color="000000" w:fill="FFFFFF"/>
            <w:vAlign w:val="center"/>
          </w:tcPr>
          <w:p w14:paraId="067072C2">
            <w:pPr>
              <w:widowControl/>
              <w:spacing w:line="200" w:lineRule="exact"/>
              <w:jc w:val="center"/>
              <w:rPr>
                <w:rFonts w:eastAsia="仿宋_GB2312"/>
                <w:b/>
                <w:bCs/>
                <w:color w:val="000000"/>
                <w:kern w:val="0"/>
                <w:sz w:val="18"/>
                <w:szCs w:val="18"/>
              </w:rPr>
            </w:pPr>
            <w:r>
              <w:rPr>
                <w:rFonts w:hint="eastAsia" w:eastAsia="仿宋_GB2312"/>
                <w:b/>
                <w:bCs/>
                <w:color w:val="000000"/>
                <w:kern w:val="0"/>
                <w:sz w:val="18"/>
                <w:szCs w:val="18"/>
              </w:rPr>
              <w:t>10</w:t>
            </w:r>
          </w:p>
        </w:tc>
      </w:tr>
      <w:tr w14:paraId="40F7DA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91" w:hRule="atLeast"/>
          <w:jc w:val="center"/>
        </w:trPr>
        <w:tc>
          <w:tcPr>
            <w:tcW w:w="3948" w:type="pct"/>
            <w:gridSpan w:val="5"/>
            <w:shd w:val="clear" w:color="auto" w:fill="FFFFFF"/>
            <w:vAlign w:val="center"/>
          </w:tcPr>
          <w:p w14:paraId="5B7DB424">
            <w:pPr>
              <w:widowControl/>
              <w:spacing w:line="200" w:lineRule="exact"/>
              <w:jc w:val="center"/>
              <w:rPr>
                <w:rFonts w:eastAsia="仿宋_GB2312"/>
                <w:b/>
                <w:bCs/>
                <w:color w:val="000000"/>
                <w:kern w:val="0"/>
                <w:sz w:val="18"/>
                <w:szCs w:val="18"/>
              </w:rPr>
            </w:pPr>
            <w:r>
              <w:rPr>
                <w:rFonts w:hint="eastAsia" w:eastAsia="仿宋_GB2312"/>
                <w:b/>
                <w:bCs/>
                <w:color w:val="000000"/>
                <w:kern w:val="0"/>
                <w:sz w:val="18"/>
                <w:szCs w:val="18"/>
              </w:rPr>
              <w:t>合计</w:t>
            </w:r>
          </w:p>
        </w:tc>
        <w:tc>
          <w:tcPr>
            <w:tcW w:w="512" w:type="pct"/>
            <w:shd w:val="clear" w:color="000000" w:fill="FFFFFF"/>
            <w:vAlign w:val="center"/>
          </w:tcPr>
          <w:p w14:paraId="74EC301D">
            <w:pPr>
              <w:widowControl/>
              <w:spacing w:line="200" w:lineRule="exact"/>
              <w:jc w:val="center"/>
              <w:rPr>
                <w:rFonts w:eastAsia="仿宋_GB2312"/>
                <w:b/>
                <w:bCs/>
                <w:color w:val="000000"/>
                <w:kern w:val="0"/>
                <w:sz w:val="18"/>
                <w:szCs w:val="18"/>
              </w:rPr>
            </w:pPr>
            <w:r>
              <w:rPr>
                <w:rFonts w:hint="eastAsia" w:eastAsia="仿宋_GB2312"/>
                <w:b/>
                <w:bCs/>
                <w:color w:val="000000"/>
                <w:kern w:val="0"/>
                <w:sz w:val="18"/>
                <w:szCs w:val="18"/>
              </w:rPr>
              <w:t>100</w:t>
            </w:r>
          </w:p>
        </w:tc>
        <w:tc>
          <w:tcPr>
            <w:tcW w:w="538" w:type="pct"/>
            <w:shd w:val="clear" w:color="000000" w:fill="FFFFFF"/>
            <w:vAlign w:val="center"/>
          </w:tcPr>
          <w:p w14:paraId="2F5C62C1">
            <w:pPr>
              <w:widowControl/>
              <w:spacing w:line="200" w:lineRule="exact"/>
              <w:jc w:val="center"/>
              <w:rPr>
                <w:rFonts w:eastAsia="仿宋_GB2312"/>
                <w:b/>
                <w:bCs/>
                <w:color w:val="000000"/>
                <w:kern w:val="0"/>
                <w:sz w:val="18"/>
                <w:szCs w:val="18"/>
              </w:rPr>
            </w:pPr>
            <w:r>
              <w:rPr>
                <w:rFonts w:hint="eastAsia" w:eastAsia="仿宋_GB2312"/>
                <w:b/>
                <w:bCs/>
                <w:color w:val="000000"/>
                <w:kern w:val="0"/>
                <w:sz w:val="18"/>
                <w:szCs w:val="18"/>
              </w:rPr>
              <w:t>99.8</w:t>
            </w:r>
          </w:p>
        </w:tc>
      </w:tr>
    </w:tbl>
    <w:p w14:paraId="0C12F673">
      <w:pPr>
        <w:spacing w:line="200" w:lineRule="exact"/>
        <w:sectPr>
          <w:pgSz w:w="16838" w:h="11906" w:orient="landscape"/>
          <w:pgMar w:top="1800" w:right="1440" w:bottom="1558" w:left="1440" w:header="851" w:footer="992" w:gutter="0"/>
          <w:cols w:space="425" w:num="1"/>
          <w:docGrid w:type="lines" w:linePitch="312" w:charSpace="0"/>
        </w:sectPr>
      </w:pPr>
    </w:p>
    <w:p w14:paraId="42405795">
      <w:pPr>
        <w:spacing w:after="0" w:line="240" w:lineRule="auto"/>
        <w:jc w:val="left"/>
        <w:outlineLvl w:val="0"/>
        <w:rPr>
          <w:rFonts w:hint="eastAsia" w:ascii="黑体" w:hAnsi="黑体" w:eastAsia="黑体" w:cs="黑体"/>
          <w:b/>
          <w:bCs/>
          <w:color w:val="000000"/>
          <w:kern w:val="0"/>
          <w:sz w:val="32"/>
          <w:szCs w:val="32"/>
        </w:rPr>
      </w:pPr>
      <w:bookmarkStart w:id="76" w:name="_Toc17917"/>
      <w:r>
        <w:rPr>
          <w:rFonts w:hint="eastAsia" w:ascii="黑体" w:hAnsi="黑体" w:eastAsia="黑体" w:cs="黑体"/>
          <w:b/>
          <w:bCs/>
          <w:color w:val="000000"/>
          <w:kern w:val="0"/>
          <w:sz w:val="32"/>
          <w:szCs w:val="32"/>
        </w:rPr>
        <w:t>附件2</w:t>
      </w:r>
      <w:bookmarkEnd w:id="76"/>
      <w:r>
        <w:rPr>
          <w:rFonts w:hint="eastAsia" w:ascii="黑体" w:hAnsi="黑体" w:eastAsia="黑体" w:cs="黑体"/>
          <w:b/>
          <w:bCs/>
          <w:color w:val="000000"/>
          <w:kern w:val="0"/>
          <w:sz w:val="32"/>
          <w:szCs w:val="32"/>
        </w:rPr>
        <w:t>项目支出绩效自评表</w:t>
      </w:r>
    </w:p>
    <w:p w14:paraId="4697449D">
      <w:pPr>
        <w:spacing w:after="0" w:line="240" w:lineRule="auto"/>
        <w:jc w:val="center"/>
        <w:rPr>
          <w:rFonts w:hint="eastAsia" w:ascii="仿宋_GB2312" w:hAnsi="仿宋_GB2312" w:eastAsia="仿宋_GB2312" w:cs="仿宋_GB2312"/>
          <w:b/>
          <w:bCs/>
          <w:color w:val="000000"/>
          <w:kern w:val="0"/>
          <w:sz w:val="28"/>
          <w:szCs w:val="28"/>
        </w:rPr>
      </w:pPr>
      <w:r>
        <w:rPr>
          <w:rFonts w:hint="eastAsia" w:ascii="仿宋_GB2312" w:hAnsi="仿宋_GB2312" w:eastAsia="仿宋_GB2312" w:cs="仿宋_GB2312"/>
          <w:b/>
          <w:bCs/>
          <w:color w:val="000000"/>
          <w:kern w:val="0"/>
          <w:sz w:val="28"/>
          <w:szCs w:val="28"/>
        </w:rPr>
        <w:t>项目支出绩效自评表</w:t>
      </w:r>
    </w:p>
    <w:p w14:paraId="559DAEA6">
      <w:pPr>
        <w:spacing w:after="0" w:line="240" w:lineRule="auto"/>
        <w:jc w:val="center"/>
        <w:rPr>
          <w:rFonts w:eastAsia="仿宋_GB2312"/>
          <w:b/>
          <w:bCs/>
          <w:color w:val="000000"/>
          <w:kern w:val="0"/>
          <w:sz w:val="22"/>
          <w:szCs w:val="22"/>
        </w:rPr>
      </w:pPr>
      <w:r>
        <w:rPr>
          <w:rFonts w:eastAsia="仿宋_GB2312"/>
          <w:b/>
          <w:bCs/>
          <w:color w:val="000000"/>
          <w:kern w:val="0"/>
          <w:sz w:val="22"/>
          <w:szCs w:val="22"/>
        </w:rPr>
        <w:t>（202</w:t>
      </w:r>
      <w:r>
        <w:rPr>
          <w:rFonts w:hint="eastAsia" w:eastAsia="仿宋_GB2312"/>
          <w:b/>
          <w:bCs/>
          <w:color w:val="000000"/>
          <w:kern w:val="0"/>
          <w:sz w:val="22"/>
          <w:szCs w:val="22"/>
        </w:rPr>
        <w:t>5</w:t>
      </w:r>
      <w:r>
        <w:rPr>
          <w:rFonts w:eastAsia="仿宋_GB2312"/>
          <w:b/>
          <w:bCs/>
          <w:color w:val="000000"/>
          <w:kern w:val="0"/>
          <w:sz w:val="22"/>
          <w:szCs w:val="22"/>
        </w:rPr>
        <w:t>年度）</w:t>
      </w:r>
    </w:p>
    <w:tbl>
      <w:tblPr>
        <w:tblStyle w:val="16"/>
        <w:tblW w:w="5000" w:type="pct"/>
        <w:tblInd w:w="0" w:type="dxa"/>
        <w:tblLayout w:type="autofit"/>
        <w:tblCellMar>
          <w:top w:w="0" w:type="dxa"/>
          <w:left w:w="108" w:type="dxa"/>
          <w:bottom w:w="0" w:type="dxa"/>
          <w:right w:w="108" w:type="dxa"/>
        </w:tblCellMar>
      </w:tblPr>
      <w:tblGrid>
        <w:gridCol w:w="591"/>
        <w:gridCol w:w="779"/>
        <w:gridCol w:w="984"/>
        <w:gridCol w:w="2540"/>
        <w:gridCol w:w="862"/>
        <w:gridCol w:w="1267"/>
        <w:gridCol w:w="465"/>
        <w:gridCol w:w="573"/>
        <w:gridCol w:w="865"/>
        <w:gridCol w:w="763"/>
        <w:gridCol w:w="896"/>
        <w:gridCol w:w="831"/>
        <w:gridCol w:w="958"/>
        <w:gridCol w:w="700"/>
        <w:gridCol w:w="876"/>
        <w:gridCol w:w="224"/>
      </w:tblGrid>
      <w:tr w14:paraId="34A06626">
        <w:tblPrEx>
          <w:tblCellMar>
            <w:top w:w="0" w:type="dxa"/>
            <w:left w:w="108" w:type="dxa"/>
            <w:bottom w:w="0" w:type="dxa"/>
            <w:right w:w="108" w:type="dxa"/>
          </w:tblCellMar>
        </w:tblPrEx>
        <w:tc>
          <w:tcPr>
            <w:tcW w:w="484" w:type="pct"/>
            <w:gridSpan w:val="2"/>
            <w:tcBorders>
              <w:top w:val="single" w:color="auto" w:sz="4" w:space="0"/>
              <w:left w:val="single" w:color="auto" w:sz="4" w:space="0"/>
              <w:bottom w:val="single" w:color="auto" w:sz="4" w:space="0"/>
              <w:right w:val="single" w:color="auto" w:sz="4" w:space="0"/>
            </w:tcBorders>
            <w:vAlign w:val="center"/>
          </w:tcPr>
          <w:p w14:paraId="766DCB69">
            <w:pPr>
              <w:widowControl/>
              <w:spacing w:after="0" w:line="200" w:lineRule="exact"/>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项目名称</w:t>
            </w:r>
          </w:p>
        </w:tc>
        <w:tc>
          <w:tcPr>
            <w:tcW w:w="4436" w:type="pct"/>
            <w:gridSpan w:val="14"/>
            <w:tcBorders>
              <w:top w:val="single" w:color="auto" w:sz="4" w:space="0"/>
              <w:left w:val="nil"/>
              <w:bottom w:val="single" w:color="auto" w:sz="4" w:space="0"/>
              <w:right w:val="single" w:color="auto" w:sz="4" w:space="0"/>
            </w:tcBorders>
            <w:vAlign w:val="center"/>
          </w:tcPr>
          <w:p w14:paraId="7E7FC10B">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推进新疆水网及地县级水网骨干工程前期论证实施</w:t>
            </w:r>
          </w:p>
        </w:tc>
      </w:tr>
      <w:tr w14:paraId="4A6C9294">
        <w:tblPrEx>
          <w:tblCellMar>
            <w:top w:w="0" w:type="dxa"/>
            <w:left w:w="108" w:type="dxa"/>
            <w:bottom w:w="0" w:type="dxa"/>
            <w:right w:w="108" w:type="dxa"/>
          </w:tblCellMar>
        </w:tblPrEx>
        <w:tc>
          <w:tcPr>
            <w:tcW w:w="484" w:type="pct"/>
            <w:gridSpan w:val="2"/>
            <w:tcBorders>
              <w:top w:val="single" w:color="auto" w:sz="4" w:space="0"/>
              <w:left w:val="single" w:color="auto" w:sz="4" w:space="0"/>
              <w:bottom w:val="single" w:color="auto" w:sz="4" w:space="0"/>
              <w:right w:val="single" w:color="auto" w:sz="4" w:space="0"/>
            </w:tcBorders>
            <w:vAlign w:val="center"/>
          </w:tcPr>
          <w:p w14:paraId="337A79DA">
            <w:pPr>
              <w:widowControl/>
              <w:spacing w:after="0" w:line="200" w:lineRule="exact"/>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主管部门</w:t>
            </w:r>
          </w:p>
        </w:tc>
        <w:tc>
          <w:tcPr>
            <w:tcW w:w="2158" w:type="pct"/>
            <w:gridSpan w:val="5"/>
            <w:tcBorders>
              <w:top w:val="single" w:color="auto" w:sz="4" w:space="0"/>
              <w:left w:val="nil"/>
              <w:bottom w:val="single" w:color="auto" w:sz="4" w:space="0"/>
              <w:right w:val="single" w:color="auto" w:sz="4" w:space="0"/>
            </w:tcBorders>
            <w:vAlign w:val="center"/>
          </w:tcPr>
          <w:p w14:paraId="4C8E1421">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776" w:type="pct"/>
            <w:gridSpan w:val="3"/>
            <w:tcBorders>
              <w:top w:val="single" w:color="auto" w:sz="4" w:space="0"/>
              <w:left w:val="nil"/>
              <w:bottom w:val="single" w:color="auto" w:sz="4" w:space="0"/>
              <w:right w:val="single" w:color="auto" w:sz="4" w:space="0"/>
            </w:tcBorders>
            <w:vAlign w:val="center"/>
          </w:tcPr>
          <w:p w14:paraId="1B5A30A7">
            <w:pPr>
              <w:widowControl/>
              <w:spacing w:after="0" w:line="200" w:lineRule="exact"/>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实施单位</w:t>
            </w:r>
          </w:p>
        </w:tc>
        <w:tc>
          <w:tcPr>
            <w:tcW w:w="1503" w:type="pct"/>
            <w:gridSpan w:val="6"/>
            <w:tcBorders>
              <w:top w:val="single" w:color="auto" w:sz="4" w:space="0"/>
              <w:left w:val="nil"/>
              <w:bottom w:val="single" w:color="auto" w:sz="4" w:space="0"/>
              <w:right w:val="single" w:color="auto" w:sz="4" w:space="0"/>
            </w:tcBorders>
            <w:vAlign w:val="center"/>
          </w:tcPr>
          <w:p w14:paraId="40006B94">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新疆维吾尔自治区水利水电规划设计中心</w:t>
            </w:r>
          </w:p>
        </w:tc>
      </w:tr>
      <w:tr w14:paraId="5D1EFE1C">
        <w:tblPrEx>
          <w:tblCellMar>
            <w:top w:w="0" w:type="dxa"/>
            <w:left w:w="108" w:type="dxa"/>
            <w:bottom w:w="0" w:type="dxa"/>
            <w:right w:w="108" w:type="dxa"/>
          </w:tblCellMar>
        </w:tblPrEx>
        <w:tc>
          <w:tcPr>
            <w:tcW w:w="484" w:type="pct"/>
            <w:gridSpan w:val="2"/>
            <w:vMerge w:val="restart"/>
            <w:tcBorders>
              <w:top w:val="single" w:color="auto" w:sz="4" w:space="0"/>
              <w:left w:val="single" w:color="auto" w:sz="4" w:space="0"/>
              <w:bottom w:val="single" w:color="auto" w:sz="4" w:space="0"/>
              <w:right w:val="single" w:color="auto" w:sz="4" w:space="0"/>
            </w:tcBorders>
            <w:vAlign w:val="center"/>
          </w:tcPr>
          <w:p w14:paraId="128D783C">
            <w:pPr>
              <w:widowControl/>
              <w:spacing w:after="0" w:line="200" w:lineRule="exact"/>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项目资金</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（万元）</w:t>
            </w:r>
          </w:p>
        </w:tc>
        <w:tc>
          <w:tcPr>
            <w:tcW w:w="1243" w:type="pct"/>
            <w:gridSpan w:val="2"/>
            <w:tcBorders>
              <w:top w:val="single" w:color="auto" w:sz="4" w:space="0"/>
              <w:left w:val="nil"/>
              <w:bottom w:val="single" w:color="auto" w:sz="4" w:space="0"/>
              <w:right w:val="single" w:color="auto" w:sz="4" w:space="0"/>
            </w:tcBorders>
            <w:vAlign w:val="center"/>
          </w:tcPr>
          <w:p w14:paraId="43C56106">
            <w:pPr>
              <w:widowControl/>
              <w:spacing w:after="0" w:line="200" w:lineRule="exact"/>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　</w:t>
            </w:r>
          </w:p>
        </w:tc>
        <w:tc>
          <w:tcPr>
            <w:tcW w:w="304" w:type="pct"/>
            <w:tcBorders>
              <w:top w:val="nil"/>
              <w:left w:val="nil"/>
              <w:bottom w:val="single" w:color="auto" w:sz="4" w:space="0"/>
              <w:right w:val="single" w:color="auto" w:sz="4" w:space="0"/>
            </w:tcBorders>
            <w:vAlign w:val="center"/>
          </w:tcPr>
          <w:p w14:paraId="61E7636E">
            <w:pPr>
              <w:widowControl/>
              <w:spacing w:after="0" w:line="200" w:lineRule="exact"/>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年初预算数</w:t>
            </w:r>
          </w:p>
        </w:tc>
        <w:tc>
          <w:tcPr>
            <w:tcW w:w="611" w:type="pct"/>
            <w:gridSpan w:val="2"/>
            <w:tcBorders>
              <w:top w:val="single" w:color="auto" w:sz="4" w:space="0"/>
              <w:left w:val="nil"/>
              <w:bottom w:val="single" w:color="auto" w:sz="4" w:space="0"/>
              <w:right w:val="single" w:color="auto" w:sz="4" w:space="0"/>
            </w:tcBorders>
            <w:vAlign w:val="center"/>
          </w:tcPr>
          <w:p w14:paraId="359A4A29">
            <w:pPr>
              <w:widowControl/>
              <w:spacing w:after="0" w:line="200" w:lineRule="exact"/>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全年预算数</w:t>
            </w:r>
          </w:p>
        </w:tc>
        <w:tc>
          <w:tcPr>
            <w:tcW w:w="776" w:type="pct"/>
            <w:gridSpan w:val="3"/>
            <w:tcBorders>
              <w:top w:val="single" w:color="auto" w:sz="4" w:space="0"/>
              <w:left w:val="nil"/>
              <w:bottom w:val="single" w:color="auto" w:sz="4" w:space="0"/>
              <w:right w:val="single" w:color="auto" w:sz="4" w:space="0"/>
            </w:tcBorders>
            <w:vAlign w:val="center"/>
          </w:tcPr>
          <w:p w14:paraId="5BDD2C66">
            <w:pPr>
              <w:widowControl/>
              <w:spacing w:after="0" w:line="200" w:lineRule="exact"/>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全年执行数</w:t>
            </w:r>
          </w:p>
        </w:tc>
        <w:tc>
          <w:tcPr>
            <w:tcW w:w="609" w:type="pct"/>
            <w:gridSpan w:val="2"/>
            <w:tcBorders>
              <w:top w:val="single" w:color="auto" w:sz="4" w:space="0"/>
              <w:left w:val="nil"/>
              <w:bottom w:val="single" w:color="auto" w:sz="4" w:space="0"/>
              <w:right w:val="single" w:color="auto" w:sz="4" w:space="0"/>
            </w:tcBorders>
            <w:vAlign w:val="center"/>
          </w:tcPr>
          <w:p w14:paraId="311A8272">
            <w:pPr>
              <w:widowControl/>
              <w:spacing w:after="0" w:line="200" w:lineRule="exact"/>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分值</w:t>
            </w:r>
          </w:p>
        </w:tc>
        <w:tc>
          <w:tcPr>
            <w:tcW w:w="585" w:type="pct"/>
            <w:gridSpan w:val="2"/>
            <w:tcBorders>
              <w:top w:val="single" w:color="auto" w:sz="4" w:space="0"/>
              <w:left w:val="nil"/>
              <w:bottom w:val="single" w:color="auto" w:sz="4" w:space="0"/>
              <w:right w:val="single" w:color="auto" w:sz="4" w:space="0"/>
            </w:tcBorders>
            <w:vAlign w:val="center"/>
          </w:tcPr>
          <w:p w14:paraId="13A79C41">
            <w:pPr>
              <w:widowControl/>
              <w:spacing w:after="0" w:line="200" w:lineRule="exact"/>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执行率</w:t>
            </w:r>
          </w:p>
        </w:tc>
        <w:tc>
          <w:tcPr>
            <w:tcW w:w="309" w:type="pct"/>
            <w:gridSpan w:val="2"/>
            <w:tcBorders>
              <w:top w:val="nil"/>
              <w:left w:val="nil"/>
              <w:bottom w:val="single" w:color="auto" w:sz="4" w:space="0"/>
              <w:right w:val="single" w:color="auto" w:sz="4" w:space="0"/>
            </w:tcBorders>
            <w:vAlign w:val="center"/>
          </w:tcPr>
          <w:p w14:paraId="1C2E189F">
            <w:pPr>
              <w:widowControl/>
              <w:spacing w:after="0" w:line="200" w:lineRule="exact"/>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得分</w:t>
            </w:r>
          </w:p>
        </w:tc>
      </w:tr>
      <w:tr w14:paraId="1AC1D712">
        <w:tblPrEx>
          <w:tblCellMar>
            <w:top w:w="0" w:type="dxa"/>
            <w:left w:w="108" w:type="dxa"/>
            <w:bottom w:w="0" w:type="dxa"/>
            <w:right w:w="108" w:type="dxa"/>
          </w:tblCellMar>
        </w:tblPrEx>
        <w:tc>
          <w:tcPr>
            <w:tcW w:w="484" w:type="pct"/>
            <w:gridSpan w:val="2"/>
            <w:vMerge w:val="continue"/>
            <w:tcBorders>
              <w:top w:val="single" w:color="auto" w:sz="4" w:space="0"/>
              <w:left w:val="single" w:color="auto" w:sz="4" w:space="0"/>
              <w:bottom w:val="single" w:color="auto" w:sz="4" w:space="0"/>
              <w:right w:val="single" w:color="auto" w:sz="4" w:space="0"/>
            </w:tcBorders>
            <w:vAlign w:val="center"/>
          </w:tcPr>
          <w:p w14:paraId="594891BA">
            <w:pPr>
              <w:widowControl/>
              <w:spacing w:after="0" w:line="200" w:lineRule="exact"/>
              <w:jc w:val="left"/>
              <w:rPr>
                <w:rFonts w:hint="eastAsia" w:ascii="宋体" w:hAnsi="宋体" w:cs="宋体"/>
                <w:b/>
                <w:bCs/>
                <w:color w:val="000000"/>
                <w:kern w:val="0"/>
                <w:sz w:val="18"/>
                <w:szCs w:val="18"/>
              </w:rPr>
            </w:pPr>
          </w:p>
        </w:tc>
        <w:tc>
          <w:tcPr>
            <w:tcW w:w="1243" w:type="pct"/>
            <w:gridSpan w:val="2"/>
            <w:tcBorders>
              <w:top w:val="single" w:color="auto" w:sz="4" w:space="0"/>
              <w:left w:val="nil"/>
              <w:bottom w:val="single" w:color="auto" w:sz="4" w:space="0"/>
              <w:right w:val="single" w:color="auto" w:sz="4" w:space="0"/>
            </w:tcBorders>
            <w:vAlign w:val="center"/>
          </w:tcPr>
          <w:p w14:paraId="42FDCBA5">
            <w:pPr>
              <w:widowControl/>
              <w:spacing w:after="0" w:line="200" w:lineRule="exact"/>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年度资金总额</w:t>
            </w:r>
          </w:p>
        </w:tc>
        <w:tc>
          <w:tcPr>
            <w:tcW w:w="304" w:type="pct"/>
            <w:tcBorders>
              <w:top w:val="nil"/>
              <w:left w:val="nil"/>
              <w:bottom w:val="single" w:color="auto" w:sz="4" w:space="0"/>
              <w:right w:val="single" w:color="auto" w:sz="4" w:space="0"/>
            </w:tcBorders>
            <w:vAlign w:val="center"/>
          </w:tcPr>
          <w:p w14:paraId="34A66F4A">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300.00</w:t>
            </w:r>
          </w:p>
        </w:tc>
        <w:tc>
          <w:tcPr>
            <w:tcW w:w="611" w:type="pct"/>
            <w:gridSpan w:val="2"/>
            <w:tcBorders>
              <w:top w:val="single" w:color="auto" w:sz="4" w:space="0"/>
              <w:left w:val="nil"/>
              <w:bottom w:val="single" w:color="auto" w:sz="4" w:space="0"/>
              <w:right w:val="single" w:color="auto" w:sz="4" w:space="0"/>
            </w:tcBorders>
            <w:vAlign w:val="center"/>
          </w:tcPr>
          <w:p w14:paraId="442AB9C0">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300.00</w:t>
            </w:r>
          </w:p>
        </w:tc>
        <w:tc>
          <w:tcPr>
            <w:tcW w:w="776" w:type="pct"/>
            <w:gridSpan w:val="3"/>
            <w:tcBorders>
              <w:top w:val="single" w:color="auto" w:sz="4" w:space="0"/>
              <w:left w:val="nil"/>
              <w:bottom w:val="single" w:color="auto" w:sz="4" w:space="0"/>
              <w:right w:val="single" w:color="auto" w:sz="4" w:space="0"/>
            </w:tcBorders>
            <w:vAlign w:val="center"/>
          </w:tcPr>
          <w:p w14:paraId="34A3BCED">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299.60</w:t>
            </w:r>
          </w:p>
        </w:tc>
        <w:tc>
          <w:tcPr>
            <w:tcW w:w="609" w:type="pct"/>
            <w:gridSpan w:val="2"/>
            <w:tcBorders>
              <w:top w:val="single" w:color="auto" w:sz="4" w:space="0"/>
              <w:left w:val="nil"/>
              <w:bottom w:val="single" w:color="auto" w:sz="4" w:space="0"/>
              <w:right w:val="single" w:color="auto" w:sz="4" w:space="0"/>
            </w:tcBorders>
            <w:vAlign w:val="center"/>
          </w:tcPr>
          <w:p w14:paraId="17D0A6E2">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585" w:type="pct"/>
            <w:gridSpan w:val="2"/>
            <w:tcBorders>
              <w:top w:val="single" w:color="auto" w:sz="4" w:space="0"/>
              <w:left w:val="nil"/>
              <w:bottom w:val="single" w:color="auto" w:sz="4" w:space="0"/>
              <w:right w:val="single" w:color="auto" w:sz="4" w:space="0"/>
            </w:tcBorders>
            <w:vAlign w:val="center"/>
          </w:tcPr>
          <w:p w14:paraId="7B2AD64F">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99.87%</w:t>
            </w:r>
          </w:p>
        </w:tc>
        <w:tc>
          <w:tcPr>
            <w:tcW w:w="309" w:type="pct"/>
            <w:gridSpan w:val="2"/>
            <w:tcBorders>
              <w:top w:val="nil"/>
              <w:left w:val="nil"/>
              <w:bottom w:val="single" w:color="auto" w:sz="4" w:space="0"/>
              <w:right w:val="single" w:color="auto" w:sz="4" w:space="0"/>
            </w:tcBorders>
            <w:vAlign w:val="center"/>
          </w:tcPr>
          <w:p w14:paraId="6C3A6955">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9.97</w:t>
            </w:r>
          </w:p>
        </w:tc>
      </w:tr>
      <w:tr w14:paraId="512E7F95">
        <w:tblPrEx>
          <w:tblCellMar>
            <w:top w:w="0" w:type="dxa"/>
            <w:left w:w="108" w:type="dxa"/>
            <w:bottom w:w="0" w:type="dxa"/>
            <w:right w:w="108" w:type="dxa"/>
          </w:tblCellMar>
        </w:tblPrEx>
        <w:tc>
          <w:tcPr>
            <w:tcW w:w="484" w:type="pct"/>
            <w:gridSpan w:val="2"/>
            <w:vMerge w:val="continue"/>
            <w:tcBorders>
              <w:top w:val="single" w:color="auto" w:sz="4" w:space="0"/>
              <w:left w:val="single" w:color="auto" w:sz="4" w:space="0"/>
              <w:bottom w:val="single" w:color="auto" w:sz="4" w:space="0"/>
              <w:right w:val="single" w:color="auto" w:sz="4" w:space="0"/>
            </w:tcBorders>
            <w:vAlign w:val="center"/>
          </w:tcPr>
          <w:p w14:paraId="5E956344">
            <w:pPr>
              <w:widowControl/>
              <w:spacing w:after="0" w:line="200" w:lineRule="exact"/>
              <w:jc w:val="left"/>
              <w:rPr>
                <w:rFonts w:hint="eastAsia" w:ascii="宋体" w:hAnsi="宋体" w:cs="宋体"/>
                <w:b/>
                <w:bCs/>
                <w:color w:val="000000"/>
                <w:kern w:val="0"/>
                <w:sz w:val="18"/>
                <w:szCs w:val="18"/>
              </w:rPr>
            </w:pPr>
          </w:p>
        </w:tc>
        <w:tc>
          <w:tcPr>
            <w:tcW w:w="1243" w:type="pct"/>
            <w:gridSpan w:val="2"/>
            <w:tcBorders>
              <w:top w:val="single" w:color="auto" w:sz="4" w:space="0"/>
              <w:left w:val="nil"/>
              <w:bottom w:val="single" w:color="auto" w:sz="4" w:space="0"/>
              <w:right w:val="single" w:color="auto" w:sz="4" w:space="0"/>
            </w:tcBorders>
            <w:vAlign w:val="center"/>
          </w:tcPr>
          <w:p w14:paraId="065FA60B">
            <w:pPr>
              <w:widowControl/>
              <w:spacing w:after="0" w:line="200" w:lineRule="exact"/>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其中：当年财政拨款</w:t>
            </w:r>
          </w:p>
        </w:tc>
        <w:tc>
          <w:tcPr>
            <w:tcW w:w="304" w:type="pct"/>
            <w:tcBorders>
              <w:top w:val="nil"/>
              <w:left w:val="nil"/>
              <w:bottom w:val="single" w:color="auto" w:sz="4" w:space="0"/>
              <w:right w:val="single" w:color="auto" w:sz="4" w:space="0"/>
            </w:tcBorders>
            <w:vAlign w:val="center"/>
          </w:tcPr>
          <w:p w14:paraId="68DD8265">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300.00</w:t>
            </w:r>
          </w:p>
        </w:tc>
        <w:tc>
          <w:tcPr>
            <w:tcW w:w="611" w:type="pct"/>
            <w:gridSpan w:val="2"/>
            <w:tcBorders>
              <w:top w:val="single" w:color="auto" w:sz="4" w:space="0"/>
              <w:left w:val="nil"/>
              <w:bottom w:val="single" w:color="auto" w:sz="4" w:space="0"/>
              <w:right w:val="single" w:color="auto" w:sz="4" w:space="0"/>
            </w:tcBorders>
            <w:vAlign w:val="center"/>
          </w:tcPr>
          <w:p w14:paraId="47465649">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300.00</w:t>
            </w:r>
          </w:p>
        </w:tc>
        <w:tc>
          <w:tcPr>
            <w:tcW w:w="776" w:type="pct"/>
            <w:gridSpan w:val="3"/>
            <w:tcBorders>
              <w:top w:val="single" w:color="auto" w:sz="4" w:space="0"/>
              <w:left w:val="nil"/>
              <w:bottom w:val="single" w:color="auto" w:sz="4" w:space="0"/>
              <w:right w:val="single" w:color="auto" w:sz="4" w:space="0"/>
            </w:tcBorders>
            <w:vAlign w:val="center"/>
          </w:tcPr>
          <w:p w14:paraId="2705804C">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299.60</w:t>
            </w:r>
          </w:p>
        </w:tc>
        <w:tc>
          <w:tcPr>
            <w:tcW w:w="609" w:type="pct"/>
            <w:gridSpan w:val="2"/>
            <w:tcBorders>
              <w:top w:val="single" w:color="auto" w:sz="4" w:space="0"/>
              <w:left w:val="nil"/>
              <w:bottom w:val="single" w:color="auto" w:sz="4" w:space="0"/>
              <w:right w:val="single" w:color="auto" w:sz="4" w:space="0"/>
            </w:tcBorders>
            <w:vAlign w:val="center"/>
          </w:tcPr>
          <w:p w14:paraId="00A16F3E">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85" w:type="pct"/>
            <w:gridSpan w:val="2"/>
            <w:tcBorders>
              <w:top w:val="single" w:color="auto" w:sz="4" w:space="0"/>
              <w:left w:val="nil"/>
              <w:bottom w:val="single" w:color="auto" w:sz="4" w:space="0"/>
              <w:right w:val="single" w:color="auto" w:sz="4" w:space="0"/>
            </w:tcBorders>
            <w:vAlign w:val="center"/>
          </w:tcPr>
          <w:p w14:paraId="73161CCC">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309" w:type="pct"/>
            <w:gridSpan w:val="2"/>
            <w:tcBorders>
              <w:top w:val="nil"/>
              <w:left w:val="nil"/>
              <w:bottom w:val="single" w:color="auto" w:sz="4" w:space="0"/>
              <w:right w:val="single" w:color="auto" w:sz="4" w:space="0"/>
            </w:tcBorders>
            <w:vAlign w:val="center"/>
          </w:tcPr>
          <w:p w14:paraId="71C783A4">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r>
      <w:tr w14:paraId="00B06DCD">
        <w:tblPrEx>
          <w:tblCellMar>
            <w:top w:w="0" w:type="dxa"/>
            <w:left w:w="108" w:type="dxa"/>
            <w:bottom w:w="0" w:type="dxa"/>
            <w:right w:w="108" w:type="dxa"/>
          </w:tblCellMar>
        </w:tblPrEx>
        <w:tc>
          <w:tcPr>
            <w:tcW w:w="484" w:type="pct"/>
            <w:gridSpan w:val="2"/>
            <w:vMerge w:val="continue"/>
            <w:tcBorders>
              <w:top w:val="single" w:color="auto" w:sz="4" w:space="0"/>
              <w:left w:val="single" w:color="auto" w:sz="4" w:space="0"/>
              <w:bottom w:val="single" w:color="auto" w:sz="4" w:space="0"/>
              <w:right w:val="single" w:color="auto" w:sz="4" w:space="0"/>
            </w:tcBorders>
            <w:vAlign w:val="center"/>
          </w:tcPr>
          <w:p w14:paraId="0CDFC201">
            <w:pPr>
              <w:widowControl/>
              <w:spacing w:after="0" w:line="200" w:lineRule="exact"/>
              <w:jc w:val="left"/>
              <w:rPr>
                <w:rFonts w:hint="eastAsia" w:ascii="宋体" w:hAnsi="宋体" w:cs="宋体"/>
                <w:b/>
                <w:bCs/>
                <w:color w:val="000000"/>
                <w:kern w:val="0"/>
                <w:sz w:val="18"/>
                <w:szCs w:val="18"/>
              </w:rPr>
            </w:pPr>
          </w:p>
        </w:tc>
        <w:tc>
          <w:tcPr>
            <w:tcW w:w="1243" w:type="pct"/>
            <w:gridSpan w:val="2"/>
            <w:tcBorders>
              <w:top w:val="single" w:color="auto" w:sz="4" w:space="0"/>
              <w:left w:val="nil"/>
              <w:bottom w:val="single" w:color="auto" w:sz="4" w:space="0"/>
              <w:right w:val="single" w:color="auto" w:sz="4" w:space="0"/>
            </w:tcBorders>
            <w:vAlign w:val="center"/>
          </w:tcPr>
          <w:p w14:paraId="19BC1F9A">
            <w:pPr>
              <w:widowControl/>
              <w:spacing w:after="0" w:line="200" w:lineRule="exact"/>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 xml:space="preserve">  其他资金</w:t>
            </w:r>
          </w:p>
        </w:tc>
        <w:tc>
          <w:tcPr>
            <w:tcW w:w="304" w:type="pct"/>
            <w:tcBorders>
              <w:top w:val="nil"/>
              <w:left w:val="nil"/>
              <w:bottom w:val="single" w:color="auto" w:sz="4" w:space="0"/>
              <w:right w:val="single" w:color="auto" w:sz="4" w:space="0"/>
            </w:tcBorders>
            <w:vAlign w:val="center"/>
          </w:tcPr>
          <w:p w14:paraId="5B95E2D5">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611" w:type="pct"/>
            <w:gridSpan w:val="2"/>
            <w:tcBorders>
              <w:top w:val="single" w:color="auto" w:sz="4" w:space="0"/>
              <w:left w:val="nil"/>
              <w:bottom w:val="single" w:color="auto" w:sz="4" w:space="0"/>
              <w:right w:val="single" w:color="auto" w:sz="4" w:space="0"/>
            </w:tcBorders>
            <w:vAlign w:val="center"/>
          </w:tcPr>
          <w:p w14:paraId="5965E8D4">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776" w:type="pct"/>
            <w:gridSpan w:val="3"/>
            <w:tcBorders>
              <w:top w:val="single" w:color="auto" w:sz="4" w:space="0"/>
              <w:left w:val="nil"/>
              <w:bottom w:val="single" w:color="auto" w:sz="4" w:space="0"/>
              <w:right w:val="single" w:color="auto" w:sz="4" w:space="0"/>
            </w:tcBorders>
            <w:vAlign w:val="center"/>
          </w:tcPr>
          <w:p w14:paraId="447E871D">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0.00</w:t>
            </w:r>
          </w:p>
        </w:tc>
        <w:tc>
          <w:tcPr>
            <w:tcW w:w="609" w:type="pct"/>
            <w:gridSpan w:val="2"/>
            <w:tcBorders>
              <w:top w:val="single" w:color="auto" w:sz="4" w:space="0"/>
              <w:left w:val="nil"/>
              <w:bottom w:val="single" w:color="auto" w:sz="4" w:space="0"/>
              <w:right w:val="single" w:color="auto" w:sz="4" w:space="0"/>
            </w:tcBorders>
            <w:vAlign w:val="center"/>
          </w:tcPr>
          <w:p w14:paraId="77C20D6A">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585" w:type="pct"/>
            <w:gridSpan w:val="2"/>
            <w:tcBorders>
              <w:top w:val="single" w:color="auto" w:sz="4" w:space="0"/>
              <w:left w:val="nil"/>
              <w:bottom w:val="single" w:color="auto" w:sz="4" w:space="0"/>
              <w:right w:val="single" w:color="auto" w:sz="4" w:space="0"/>
            </w:tcBorders>
            <w:vAlign w:val="center"/>
          </w:tcPr>
          <w:p w14:paraId="6291FE59">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309" w:type="pct"/>
            <w:gridSpan w:val="2"/>
            <w:tcBorders>
              <w:top w:val="nil"/>
              <w:left w:val="nil"/>
              <w:bottom w:val="single" w:color="auto" w:sz="4" w:space="0"/>
              <w:right w:val="single" w:color="auto" w:sz="4" w:space="0"/>
            </w:tcBorders>
            <w:vAlign w:val="center"/>
          </w:tcPr>
          <w:p w14:paraId="5EB61B7E">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r>
      <w:tr w14:paraId="57EE80CA">
        <w:tblPrEx>
          <w:tblCellMar>
            <w:top w:w="0" w:type="dxa"/>
            <w:left w:w="108" w:type="dxa"/>
            <w:bottom w:w="0" w:type="dxa"/>
            <w:right w:w="108" w:type="dxa"/>
          </w:tblCellMar>
        </w:tblPrEx>
        <w:tc>
          <w:tcPr>
            <w:tcW w:w="209" w:type="pct"/>
            <w:vMerge w:val="restart"/>
            <w:tcBorders>
              <w:top w:val="nil"/>
              <w:left w:val="single" w:color="auto" w:sz="4" w:space="0"/>
              <w:bottom w:val="single" w:color="auto" w:sz="4" w:space="0"/>
              <w:right w:val="single" w:color="auto" w:sz="4" w:space="0"/>
            </w:tcBorders>
            <w:vAlign w:val="center"/>
          </w:tcPr>
          <w:p w14:paraId="1AB962A4">
            <w:pPr>
              <w:widowControl/>
              <w:spacing w:after="0" w:line="200" w:lineRule="exact"/>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年度总体目标</w:t>
            </w:r>
          </w:p>
        </w:tc>
        <w:tc>
          <w:tcPr>
            <w:tcW w:w="2433" w:type="pct"/>
            <w:gridSpan w:val="6"/>
            <w:tcBorders>
              <w:top w:val="single" w:color="auto" w:sz="4" w:space="0"/>
              <w:left w:val="nil"/>
              <w:bottom w:val="single" w:color="auto" w:sz="4" w:space="0"/>
              <w:right w:val="single" w:color="auto" w:sz="4" w:space="0"/>
            </w:tcBorders>
            <w:vAlign w:val="center"/>
          </w:tcPr>
          <w:p w14:paraId="6B43DE12">
            <w:pPr>
              <w:widowControl/>
              <w:spacing w:after="0" w:line="200" w:lineRule="exact"/>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预期目标</w:t>
            </w:r>
          </w:p>
        </w:tc>
        <w:tc>
          <w:tcPr>
            <w:tcW w:w="2279" w:type="pct"/>
            <w:gridSpan w:val="9"/>
            <w:tcBorders>
              <w:top w:val="single" w:color="auto" w:sz="4" w:space="0"/>
              <w:left w:val="nil"/>
              <w:bottom w:val="single" w:color="auto" w:sz="4" w:space="0"/>
              <w:right w:val="single" w:color="auto" w:sz="4" w:space="0"/>
            </w:tcBorders>
            <w:vAlign w:val="center"/>
          </w:tcPr>
          <w:p w14:paraId="248E2583">
            <w:pPr>
              <w:widowControl/>
              <w:spacing w:after="0" w:line="200" w:lineRule="exact"/>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实际完成情况</w:t>
            </w:r>
          </w:p>
        </w:tc>
      </w:tr>
      <w:tr w14:paraId="1296BD3F">
        <w:tblPrEx>
          <w:tblCellMar>
            <w:top w:w="0" w:type="dxa"/>
            <w:left w:w="108" w:type="dxa"/>
            <w:bottom w:w="0" w:type="dxa"/>
            <w:right w:w="108" w:type="dxa"/>
          </w:tblCellMar>
        </w:tblPrEx>
        <w:trPr>
          <w:trHeight w:val="549" w:hRule="exact"/>
        </w:trPr>
        <w:tc>
          <w:tcPr>
            <w:tcW w:w="209" w:type="pct"/>
            <w:vMerge w:val="continue"/>
            <w:tcBorders>
              <w:top w:val="nil"/>
              <w:left w:val="single" w:color="auto" w:sz="4" w:space="0"/>
              <w:bottom w:val="single" w:color="auto" w:sz="4" w:space="0"/>
              <w:right w:val="single" w:color="auto" w:sz="4" w:space="0"/>
            </w:tcBorders>
            <w:vAlign w:val="center"/>
          </w:tcPr>
          <w:p w14:paraId="0CAE7682">
            <w:pPr>
              <w:widowControl/>
              <w:spacing w:after="0" w:line="200" w:lineRule="exact"/>
              <w:jc w:val="left"/>
              <w:rPr>
                <w:rFonts w:hint="eastAsia" w:ascii="宋体" w:hAnsi="宋体" w:cs="宋体"/>
                <w:b/>
                <w:bCs/>
                <w:color w:val="000000"/>
                <w:kern w:val="0"/>
                <w:sz w:val="18"/>
                <w:szCs w:val="18"/>
              </w:rPr>
            </w:pPr>
          </w:p>
        </w:tc>
        <w:tc>
          <w:tcPr>
            <w:tcW w:w="2433" w:type="pct"/>
            <w:gridSpan w:val="6"/>
            <w:tcBorders>
              <w:top w:val="single" w:color="auto" w:sz="4" w:space="0"/>
              <w:left w:val="nil"/>
              <w:bottom w:val="single" w:color="auto" w:sz="4" w:space="0"/>
              <w:right w:val="single" w:color="auto" w:sz="4" w:space="0"/>
            </w:tcBorders>
            <w:vAlign w:val="center"/>
          </w:tcPr>
          <w:p w14:paraId="721D4338">
            <w:pPr>
              <w:widowControl/>
              <w:spacing w:after="0" w:line="200" w:lineRule="exact"/>
              <w:jc w:val="center"/>
              <w:rPr>
                <w:rFonts w:hint="eastAsia" w:ascii="宋体" w:hAnsi="宋体" w:cs="宋体"/>
                <w:color w:val="000000"/>
                <w:kern w:val="0"/>
                <w:sz w:val="15"/>
                <w:szCs w:val="15"/>
              </w:rPr>
            </w:pPr>
            <w:r>
              <w:rPr>
                <w:rFonts w:hint="eastAsia" w:ascii="宋体" w:hAnsi="宋体" w:cs="宋体"/>
                <w:color w:val="000000"/>
                <w:kern w:val="0"/>
                <w:sz w:val="15"/>
                <w:szCs w:val="15"/>
              </w:rPr>
              <w:t>执行完成年度预算300万元。通过前期论证和加强关键技术研究等，推进新疆水网及地县级水网规划的“纲”“目”“结”骨干项目加快实施。通过实施“纲”和“目”类项目提高全区水资源配置能力、有效解决水资源时空分布不均的问题；通过实施“结”类项目增加全区水库调蓄库容，提升水资源调配能力和手段。确保自治区党委、人民政府和水利厅党组关于加快实施水网建设规划的部署要求落实落地，进一步提升水资源对经济社会高质量发展的支撑和保障作用。</w:t>
            </w:r>
          </w:p>
        </w:tc>
        <w:tc>
          <w:tcPr>
            <w:tcW w:w="2279" w:type="pct"/>
            <w:gridSpan w:val="9"/>
            <w:tcBorders>
              <w:top w:val="single" w:color="auto" w:sz="4" w:space="0"/>
              <w:left w:val="nil"/>
              <w:bottom w:val="single" w:color="auto" w:sz="4" w:space="0"/>
              <w:right w:val="single" w:color="auto" w:sz="4" w:space="0"/>
            </w:tcBorders>
            <w:vAlign w:val="center"/>
          </w:tcPr>
          <w:p w14:paraId="4CB1D812">
            <w:pPr>
              <w:widowControl/>
              <w:spacing w:after="0" w:line="200" w:lineRule="exact"/>
              <w:jc w:val="center"/>
              <w:rPr>
                <w:rFonts w:hint="eastAsia" w:ascii="宋体" w:hAnsi="宋体" w:cs="宋体"/>
                <w:color w:val="000000"/>
                <w:kern w:val="0"/>
                <w:sz w:val="15"/>
                <w:szCs w:val="15"/>
              </w:rPr>
            </w:pPr>
            <w:r>
              <w:rPr>
                <w:rFonts w:hint="eastAsia" w:ascii="宋体" w:hAnsi="宋体" w:cs="宋体"/>
                <w:color w:val="000000"/>
                <w:kern w:val="0"/>
                <w:sz w:val="15"/>
                <w:szCs w:val="15"/>
              </w:rPr>
              <w:t>两项关键技术研究已完成，验收完成提交了相应成果；对水网重大水利工程及时组织安排审查，对修改到位的报告及时出具了审查意见，并开展了现场踏勘（调研）；可研和初步设计阶段投资概算变幅保持低于10%，增加了全区水库库容，提高了天然径流量调蓄能力。也提高了资金支付力度，关键技术研究、踏勘、场地租赁费、专家咨询费、其他费等，基本上支付完成。</w:t>
            </w:r>
          </w:p>
        </w:tc>
      </w:tr>
      <w:tr w14:paraId="5B32B76C">
        <w:tblPrEx>
          <w:tblCellMar>
            <w:top w:w="0" w:type="dxa"/>
            <w:left w:w="108" w:type="dxa"/>
            <w:bottom w:w="0" w:type="dxa"/>
            <w:right w:w="108" w:type="dxa"/>
          </w:tblCellMar>
        </w:tblPrEx>
        <w:trPr>
          <w:trHeight w:val="521" w:hRule="atLeast"/>
        </w:trPr>
        <w:tc>
          <w:tcPr>
            <w:tcW w:w="209" w:type="pct"/>
            <w:vMerge w:val="restart"/>
            <w:tcBorders>
              <w:top w:val="nil"/>
              <w:left w:val="single" w:color="auto" w:sz="4" w:space="0"/>
              <w:bottom w:val="single" w:color="auto" w:sz="4" w:space="0"/>
              <w:right w:val="single" w:color="auto" w:sz="4" w:space="0"/>
            </w:tcBorders>
            <w:vAlign w:val="center"/>
          </w:tcPr>
          <w:p w14:paraId="52554EB3">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275" w:type="pct"/>
            <w:vMerge w:val="restart"/>
            <w:tcBorders>
              <w:top w:val="nil"/>
              <w:left w:val="single" w:color="auto" w:sz="4" w:space="0"/>
              <w:bottom w:val="single" w:color="auto" w:sz="4" w:space="0"/>
              <w:right w:val="single" w:color="auto" w:sz="4" w:space="0"/>
            </w:tcBorders>
            <w:vAlign w:val="center"/>
          </w:tcPr>
          <w:p w14:paraId="743AE53D">
            <w:pPr>
              <w:widowControl/>
              <w:spacing w:after="0" w:line="200" w:lineRule="exact"/>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一级指标</w:t>
            </w:r>
          </w:p>
        </w:tc>
        <w:tc>
          <w:tcPr>
            <w:tcW w:w="347" w:type="pct"/>
            <w:vMerge w:val="restart"/>
            <w:tcBorders>
              <w:top w:val="nil"/>
              <w:left w:val="single" w:color="auto" w:sz="4" w:space="0"/>
              <w:bottom w:val="single" w:color="auto" w:sz="4" w:space="0"/>
              <w:right w:val="single" w:color="auto" w:sz="4" w:space="0"/>
            </w:tcBorders>
            <w:vAlign w:val="center"/>
          </w:tcPr>
          <w:p w14:paraId="38E52FED">
            <w:pPr>
              <w:widowControl/>
              <w:spacing w:after="0" w:line="200" w:lineRule="exact"/>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二级指标</w:t>
            </w:r>
          </w:p>
        </w:tc>
        <w:tc>
          <w:tcPr>
            <w:tcW w:w="896" w:type="pct"/>
            <w:vMerge w:val="restart"/>
            <w:tcBorders>
              <w:top w:val="nil"/>
              <w:left w:val="single" w:color="auto" w:sz="4" w:space="0"/>
              <w:bottom w:val="single" w:color="auto" w:sz="4" w:space="0"/>
              <w:right w:val="single" w:color="auto" w:sz="4" w:space="0"/>
            </w:tcBorders>
            <w:vAlign w:val="center"/>
          </w:tcPr>
          <w:p w14:paraId="544C8E6F">
            <w:pPr>
              <w:widowControl/>
              <w:spacing w:after="0" w:line="200" w:lineRule="exact"/>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三级指标</w:t>
            </w:r>
          </w:p>
        </w:tc>
        <w:tc>
          <w:tcPr>
            <w:tcW w:w="304" w:type="pct"/>
            <w:vMerge w:val="restart"/>
            <w:tcBorders>
              <w:top w:val="nil"/>
              <w:left w:val="single" w:color="auto" w:sz="4" w:space="0"/>
              <w:bottom w:val="single" w:color="auto" w:sz="4" w:space="0"/>
              <w:right w:val="single" w:color="auto" w:sz="4" w:space="0"/>
            </w:tcBorders>
            <w:vAlign w:val="center"/>
          </w:tcPr>
          <w:p w14:paraId="20B8DA7D">
            <w:pPr>
              <w:widowControl/>
              <w:spacing w:after="0" w:line="200" w:lineRule="exact"/>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权重</w:t>
            </w:r>
          </w:p>
        </w:tc>
        <w:tc>
          <w:tcPr>
            <w:tcW w:w="447" w:type="pct"/>
            <w:vMerge w:val="restart"/>
            <w:tcBorders>
              <w:top w:val="nil"/>
              <w:left w:val="single" w:color="auto" w:sz="4" w:space="0"/>
              <w:bottom w:val="single" w:color="auto" w:sz="4" w:space="0"/>
              <w:right w:val="single" w:color="auto" w:sz="4" w:space="0"/>
            </w:tcBorders>
            <w:vAlign w:val="center"/>
          </w:tcPr>
          <w:p w14:paraId="46463B0A">
            <w:pPr>
              <w:widowControl/>
              <w:spacing w:after="0" w:line="200" w:lineRule="exact"/>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目标值</w:t>
            </w:r>
          </w:p>
        </w:tc>
        <w:tc>
          <w:tcPr>
            <w:tcW w:w="366" w:type="pct"/>
            <w:gridSpan w:val="2"/>
            <w:vMerge w:val="restart"/>
            <w:tcBorders>
              <w:top w:val="nil"/>
              <w:left w:val="single" w:color="auto" w:sz="4" w:space="0"/>
              <w:bottom w:val="single" w:color="auto" w:sz="4" w:space="0"/>
              <w:right w:val="single" w:color="auto" w:sz="4" w:space="0"/>
            </w:tcBorders>
            <w:vAlign w:val="center"/>
          </w:tcPr>
          <w:p w14:paraId="55540700">
            <w:pPr>
              <w:widowControl/>
              <w:spacing w:after="0" w:line="200" w:lineRule="exact"/>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业绩值</w:t>
            </w:r>
          </w:p>
        </w:tc>
        <w:tc>
          <w:tcPr>
            <w:tcW w:w="305" w:type="pct"/>
            <w:vMerge w:val="restart"/>
            <w:tcBorders>
              <w:top w:val="nil"/>
              <w:left w:val="single" w:color="auto" w:sz="4" w:space="0"/>
              <w:bottom w:val="single" w:color="auto" w:sz="4" w:space="0"/>
              <w:right w:val="single" w:color="auto" w:sz="4" w:space="0"/>
            </w:tcBorders>
            <w:vAlign w:val="center"/>
          </w:tcPr>
          <w:p w14:paraId="01225254">
            <w:pPr>
              <w:widowControl/>
              <w:spacing w:after="0" w:line="200" w:lineRule="exact"/>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完成率</w:t>
            </w:r>
          </w:p>
        </w:tc>
        <w:tc>
          <w:tcPr>
            <w:tcW w:w="268" w:type="pct"/>
            <w:vMerge w:val="restart"/>
            <w:tcBorders>
              <w:top w:val="nil"/>
              <w:left w:val="single" w:color="auto" w:sz="4" w:space="0"/>
              <w:bottom w:val="single" w:color="auto" w:sz="4" w:space="0"/>
              <w:right w:val="single" w:color="auto" w:sz="4" w:space="0"/>
            </w:tcBorders>
            <w:vAlign w:val="center"/>
          </w:tcPr>
          <w:p w14:paraId="2E8529C9">
            <w:pPr>
              <w:widowControl/>
              <w:spacing w:after="0" w:line="200" w:lineRule="exact"/>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指标得分</w:t>
            </w:r>
          </w:p>
        </w:tc>
        <w:tc>
          <w:tcPr>
            <w:tcW w:w="316" w:type="pct"/>
            <w:vMerge w:val="restart"/>
            <w:tcBorders>
              <w:top w:val="nil"/>
              <w:left w:val="single" w:color="auto" w:sz="4" w:space="0"/>
              <w:bottom w:val="single" w:color="auto" w:sz="4" w:space="0"/>
              <w:right w:val="single" w:color="auto" w:sz="4" w:space="0"/>
            </w:tcBorders>
            <w:vAlign w:val="center"/>
          </w:tcPr>
          <w:p w14:paraId="09371169">
            <w:pPr>
              <w:widowControl/>
              <w:spacing w:after="0" w:line="200" w:lineRule="exact"/>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指标值设定依据</w:t>
            </w:r>
          </w:p>
        </w:tc>
        <w:tc>
          <w:tcPr>
            <w:tcW w:w="293" w:type="pct"/>
            <w:vMerge w:val="restart"/>
            <w:tcBorders>
              <w:top w:val="nil"/>
              <w:left w:val="single" w:color="auto" w:sz="4" w:space="0"/>
              <w:bottom w:val="single" w:color="auto" w:sz="4" w:space="0"/>
              <w:right w:val="single" w:color="auto" w:sz="4" w:space="0"/>
            </w:tcBorders>
            <w:vAlign w:val="center"/>
          </w:tcPr>
          <w:p w14:paraId="0B097AF2">
            <w:pPr>
              <w:widowControl/>
              <w:spacing w:after="0" w:line="200" w:lineRule="exact"/>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上年完成情况</w:t>
            </w:r>
          </w:p>
        </w:tc>
        <w:tc>
          <w:tcPr>
            <w:tcW w:w="338" w:type="pct"/>
            <w:vMerge w:val="restart"/>
            <w:tcBorders>
              <w:top w:val="nil"/>
              <w:left w:val="single" w:color="auto" w:sz="4" w:space="0"/>
              <w:bottom w:val="single" w:color="auto" w:sz="4" w:space="0"/>
              <w:right w:val="single" w:color="auto" w:sz="4" w:space="0"/>
            </w:tcBorders>
            <w:vAlign w:val="center"/>
          </w:tcPr>
          <w:p w14:paraId="444B8F2C">
            <w:pPr>
              <w:widowControl/>
              <w:spacing w:after="0" w:line="200" w:lineRule="exact"/>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赋分规则</w:t>
            </w:r>
          </w:p>
        </w:tc>
        <w:tc>
          <w:tcPr>
            <w:tcW w:w="247" w:type="pct"/>
            <w:vMerge w:val="restart"/>
            <w:tcBorders>
              <w:top w:val="nil"/>
              <w:left w:val="single" w:color="auto" w:sz="4" w:space="0"/>
              <w:bottom w:val="single" w:color="auto" w:sz="4" w:space="0"/>
              <w:right w:val="single" w:color="auto" w:sz="4" w:space="0"/>
            </w:tcBorders>
            <w:vAlign w:val="center"/>
          </w:tcPr>
          <w:p w14:paraId="369FA88E">
            <w:pPr>
              <w:widowControl/>
              <w:spacing w:after="0" w:line="200" w:lineRule="exact"/>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佐证资料</w:t>
            </w:r>
          </w:p>
        </w:tc>
        <w:tc>
          <w:tcPr>
            <w:tcW w:w="309" w:type="pct"/>
            <w:gridSpan w:val="2"/>
            <w:vMerge w:val="restart"/>
            <w:tcBorders>
              <w:top w:val="nil"/>
              <w:left w:val="single" w:color="auto" w:sz="4" w:space="0"/>
              <w:bottom w:val="single" w:color="auto" w:sz="4" w:space="0"/>
              <w:right w:val="single" w:color="auto" w:sz="4" w:space="0"/>
            </w:tcBorders>
            <w:vAlign w:val="center"/>
          </w:tcPr>
          <w:p w14:paraId="15818D22">
            <w:pPr>
              <w:widowControl/>
              <w:spacing w:after="0" w:line="200" w:lineRule="exact"/>
              <w:jc w:val="center"/>
              <w:rPr>
                <w:rFonts w:hint="eastAsia" w:ascii="宋体" w:hAnsi="宋体" w:cs="宋体"/>
                <w:b/>
                <w:bCs/>
                <w:color w:val="000000"/>
                <w:kern w:val="0"/>
                <w:sz w:val="18"/>
                <w:szCs w:val="18"/>
              </w:rPr>
            </w:pPr>
            <w:bookmarkStart w:id="77" w:name="OLE_LINK16"/>
            <w:r>
              <w:rPr>
                <w:rFonts w:hint="eastAsia" w:ascii="宋体" w:hAnsi="宋体" w:cs="宋体"/>
                <w:b/>
                <w:bCs/>
                <w:color w:val="000000"/>
                <w:kern w:val="0"/>
                <w:sz w:val="18"/>
                <w:szCs w:val="18"/>
              </w:rPr>
              <w:t>偏差原</w:t>
            </w:r>
          </w:p>
          <w:p w14:paraId="32688A08">
            <w:pPr>
              <w:widowControl/>
              <w:spacing w:after="0" w:line="200" w:lineRule="exact"/>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因分析</w:t>
            </w:r>
          </w:p>
          <w:p w14:paraId="57822A28">
            <w:pPr>
              <w:widowControl/>
              <w:spacing w:after="0" w:line="200" w:lineRule="exact"/>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及改进</w:t>
            </w:r>
          </w:p>
          <w:p w14:paraId="7F7B9C3D">
            <w:pPr>
              <w:widowControl/>
              <w:spacing w:after="0" w:line="200" w:lineRule="exact"/>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措施</w:t>
            </w:r>
            <w:bookmarkEnd w:id="77"/>
          </w:p>
        </w:tc>
      </w:tr>
      <w:tr w14:paraId="253E3DE7">
        <w:tblPrEx>
          <w:tblCellMar>
            <w:top w:w="0" w:type="dxa"/>
            <w:left w:w="108" w:type="dxa"/>
            <w:bottom w:w="0" w:type="dxa"/>
            <w:right w:w="108" w:type="dxa"/>
          </w:tblCellMar>
        </w:tblPrEx>
        <w:trPr>
          <w:trHeight w:val="90" w:hRule="atLeast"/>
        </w:trPr>
        <w:tc>
          <w:tcPr>
            <w:tcW w:w="209" w:type="pct"/>
            <w:vMerge w:val="continue"/>
            <w:tcBorders>
              <w:top w:val="nil"/>
              <w:left w:val="single" w:color="auto" w:sz="4" w:space="0"/>
              <w:bottom w:val="single" w:color="auto" w:sz="4" w:space="0"/>
              <w:right w:val="single" w:color="auto" w:sz="4" w:space="0"/>
            </w:tcBorders>
            <w:vAlign w:val="center"/>
          </w:tcPr>
          <w:p w14:paraId="7D760A90">
            <w:pPr>
              <w:widowControl/>
              <w:spacing w:after="0" w:line="200" w:lineRule="exact"/>
              <w:jc w:val="left"/>
              <w:rPr>
                <w:rFonts w:hint="eastAsia" w:ascii="宋体" w:hAnsi="宋体" w:cs="宋体"/>
                <w:color w:val="000000"/>
                <w:kern w:val="0"/>
                <w:sz w:val="18"/>
                <w:szCs w:val="18"/>
              </w:rPr>
            </w:pPr>
          </w:p>
        </w:tc>
        <w:tc>
          <w:tcPr>
            <w:tcW w:w="275" w:type="pct"/>
            <w:vMerge w:val="continue"/>
            <w:tcBorders>
              <w:top w:val="nil"/>
              <w:left w:val="single" w:color="auto" w:sz="4" w:space="0"/>
              <w:bottom w:val="single" w:color="auto" w:sz="4" w:space="0"/>
              <w:right w:val="single" w:color="auto" w:sz="4" w:space="0"/>
            </w:tcBorders>
            <w:vAlign w:val="center"/>
          </w:tcPr>
          <w:p w14:paraId="4D4C9E2F">
            <w:pPr>
              <w:widowControl/>
              <w:spacing w:after="0" w:line="200" w:lineRule="exact"/>
              <w:jc w:val="left"/>
              <w:rPr>
                <w:rFonts w:hint="eastAsia" w:ascii="宋体" w:hAnsi="宋体" w:cs="宋体"/>
                <w:b/>
                <w:bCs/>
                <w:color w:val="000000"/>
                <w:kern w:val="0"/>
                <w:sz w:val="18"/>
                <w:szCs w:val="18"/>
              </w:rPr>
            </w:pPr>
          </w:p>
        </w:tc>
        <w:tc>
          <w:tcPr>
            <w:tcW w:w="347" w:type="pct"/>
            <w:vMerge w:val="continue"/>
            <w:tcBorders>
              <w:top w:val="nil"/>
              <w:left w:val="single" w:color="auto" w:sz="4" w:space="0"/>
              <w:bottom w:val="single" w:color="auto" w:sz="4" w:space="0"/>
              <w:right w:val="single" w:color="auto" w:sz="4" w:space="0"/>
            </w:tcBorders>
            <w:vAlign w:val="center"/>
          </w:tcPr>
          <w:p w14:paraId="1B9D6E6C">
            <w:pPr>
              <w:widowControl/>
              <w:spacing w:after="0" w:line="200" w:lineRule="exact"/>
              <w:jc w:val="left"/>
              <w:rPr>
                <w:rFonts w:hint="eastAsia" w:ascii="宋体" w:hAnsi="宋体" w:cs="宋体"/>
                <w:b/>
                <w:bCs/>
                <w:color w:val="000000"/>
                <w:kern w:val="0"/>
                <w:sz w:val="18"/>
                <w:szCs w:val="18"/>
              </w:rPr>
            </w:pPr>
          </w:p>
        </w:tc>
        <w:tc>
          <w:tcPr>
            <w:tcW w:w="896" w:type="pct"/>
            <w:vMerge w:val="continue"/>
            <w:tcBorders>
              <w:top w:val="nil"/>
              <w:left w:val="single" w:color="auto" w:sz="4" w:space="0"/>
              <w:bottom w:val="single" w:color="auto" w:sz="4" w:space="0"/>
              <w:right w:val="single" w:color="auto" w:sz="4" w:space="0"/>
            </w:tcBorders>
            <w:vAlign w:val="center"/>
          </w:tcPr>
          <w:p w14:paraId="7BF68477">
            <w:pPr>
              <w:widowControl/>
              <w:spacing w:after="0" w:line="200" w:lineRule="exact"/>
              <w:jc w:val="left"/>
              <w:rPr>
                <w:rFonts w:hint="eastAsia" w:ascii="宋体" w:hAnsi="宋体" w:cs="宋体"/>
                <w:b/>
                <w:bCs/>
                <w:color w:val="000000"/>
                <w:kern w:val="0"/>
                <w:sz w:val="18"/>
                <w:szCs w:val="18"/>
              </w:rPr>
            </w:pPr>
          </w:p>
        </w:tc>
        <w:tc>
          <w:tcPr>
            <w:tcW w:w="304" w:type="pct"/>
            <w:vMerge w:val="continue"/>
            <w:tcBorders>
              <w:top w:val="nil"/>
              <w:left w:val="single" w:color="auto" w:sz="4" w:space="0"/>
              <w:bottom w:val="single" w:color="auto" w:sz="4" w:space="0"/>
              <w:right w:val="single" w:color="auto" w:sz="4" w:space="0"/>
            </w:tcBorders>
            <w:vAlign w:val="center"/>
          </w:tcPr>
          <w:p w14:paraId="3DFACA8D">
            <w:pPr>
              <w:widowControl/>
              <w:spacing w:after="0" w:line="200" w:lineRule="exact"/>
              <w:jc w:val="left"/>
              <w:rPr>
                <w:rFonts w:hint="eastAsia" w:ascii="宋体" w:hAnsi="宋体" w:cs="宋体"/>
                <w:b/>
                <w:bCs/>
                <w:color w:val="000000"/>
                <w:kern w:val="0"/>
                <w:sz w:val="18"/>
                <w:szCs w:val="18"/>
              </w:rPr>
            </w:pPr>
          </w:p>
        </w:tc>
        <w:tc>
          <w:tcPr>
            <w:tcW w:w="447" w:type="pct"/>
            <w:vMerge w:val="continue"/>
            <w:tcBorders>
              <w:top w:val="nil"/>
              <w:left w:val="single" w:color="auto" w:sz="4" w:space="0"/>
              <w:bottom w:val="single" w:color="auto" w:sz="4" w:space="0"/>
              <w:right w:val="single" w:color="auto" w:sz="4" w:space="0"/>
            </w:tcBorders>
            <w:vAlign w:val="center"/>
          </w:tcPr>
          <w:p w14:paraId="3EE19B99">
            <w:pPr>
              <w:widowControl/>
              <w:spacing w:after="0" w:line="200" w:lineRule="exact"/>
              <w:jc w:val="left"/>
              <w:rPr>
                <w:rFonts w:hint="eastAsia" w:ascii="宋体" w:hAnsi="宋体" w:cs="宋体"/>
                <w:b/>
                <w:bCs/>
                <w:color w:val="000000"/>
                <w:kern w:val="0"/>
                <w:sz w:val="18"/>
                <w:szCs w:val="18"/>
              </w:rPr>
            </w:pPr>
          </w:p>
        </w:tc>
        <w:tc>
          <w:tcPr>
            <w:tcW w:w="366" w:type="pct"/>
            <w:gridSpan w:val="2"/>
            <w:vMerge w:val="continue"/>
            <w:tcBorders>
              <w:top w:val="nil"/>
              <w:left w:val="single" w:color="auto" w:sz="4" w:space="0"/>
              <w:bottom w:val="single" w:color="auto" w:sz="4" w:space="0"/>
              <w:right w:val="single" w:color="auto" w:sz="4" w:space="0"/>
            </w:tcBorders>
            <w:vAlign w:val="center"/>
          </w:tcPr>
          <w:p w14:paraId="03AB4665">
            <w:pPr>
              <w:widowControl/>
              <w:spacing w:after="0" w:line="200" w:lineRule="exact"/>
              <w:jc w:val="left"/>
              <w:rPr>
                <w:rFonts w:hint="eastAsia" w:ascii="宋体" w:hAnsi="宋体" w:cs="宋体"/>
                <w:b/>
                <w:bCs/>
                <w:color w:val="000000"/>
                <w:kern w:val="0"/>
                <w:sz w:val="18"/>
                <w:szCs w:val="18"/>
              </w:rPr>
            </w:pPr>
          </w:p>
        </w:tc>
        <w:tc>
          <w:tcPr>
            <w:tcW w:w="305" w:type="pct"/>
            <w:vMerge w:val="continue"/>
            <w:tcBorders>
              <w:top w:val="nil"/>
              <w:left w:val="single" w:color="auto" w:sz="4" w:space="0"/>
              <w:bottom w:val="single" w:color="auto" w:sz="4" w:space="0"/>
              <w:right w:val="single" w:color="auto" w:sz="4" w:space="0"/>
            </w:tcBorders>
            <w:vAlign w:val="center"/>
          </w:tcPr>
          <w:p w14:paraId="598C5C29">
            <w:pPr>
              <w:widowControl/>
              <w:spacing w:after="0" w:line="200" w:lineRule="exact"/>
              <w:jc w:val="left"/>
              <w:rPr>
                <w:rFonts w:hint="eastAsia" w:ascii="宋体" w:hAnsi="宋体" w:cs="宋体"/>
                <w:b/>
                <w:bCs/>
                <w:color w:val="000000"/>
                <w:kern w:val="0"/>
                <w:sz w:val="18"/>
                <w:szCs w:val="18"/>
              </w:rPr>
            </w:pPr>
          </w:p>
        </w:tc>
        <w:tc>
          <w:tcPr>
            <w:tcW w:w="268" w:type="pct"/>
            <w:vMerge w:val="continue"/>
            <w:tcBorders>
              <w:top w:val="nil"/>
              <w:left w:val="single" w:color="auto" w:sz="4" w:space="0"/>
              <w:bottom w:val="single" w:color="auto" w:sz="4" w:space="0"/>
              <w:right w:val="single" w:color="auto" w:sz="4" w:space="0"/>
            </w:tcBorders>
            <w:vAlign w:val="center"/>
          </w:tcPr>
          <w:p w14:paraId="0216593E">
            <w:pPr>
              <w:widowControl/>
              <w:spacing w:after="0" w:line="200" w:lineRule="exact"/>
              <w:jc w:val="left"/>
              <w:rPr>
                <w:rFonts w:hint="eastAsia" w:ascii="宋体" w:hAnsi="宋体" w:cs="宋体"/>
                <w:b/>
                <w:bCs/>
                <w:color w:val="000000"/>
                <w:kern w:val="0"/>
                <w:sz w:val="18"/>
                <w:szCs w:val="18"/>
              </w:rPr>
            </w:pPr>
          </w:p>
        </w:tc>
        <w:tc>
          <w:tcPr>
            <w:tcW w:w="316" w:type="pct"/>
            <w:vMerge w:val="continue"/>
            <w:tcBorders>
              <w:top w:val="nil"/>
              <w:left w:val="single" w:color="auto" w:sz="4" w:space="0"/>
              <w:bottom w:val="single" w:color="auto" w:sz="4" w:space="0"/>
              <w:right w:val="single" w:color="auto" w:sz="4" w:space="0"/>
            </w:tcBorders>
            <w:vAlign w:val="center"/>
          </w:tcPr>
          <w:p w14:paraId="5AA58C9E">
            <w:pPr>
              <w:widowControl/>
              <w:spacing w:after="0" w:line="200" w:lineRule="exact"/>
              <w:jc w:val="left"/>
              <w:rPr>
                <w:rFonts w:hint="eastAsia" w:ascii="宋体" w:hAnsi="宋体" w:cs="宋体"/>
                <w:b/>
                <w:bCs/>
                <w:color w:val="000000"/>
                <w:kern w:val="0"/>
                <w:sz w:val="18"/>
                <w:szCs w:val="18"/>
              </w:rPr>
            </w:pPr>
          </w:p>
        </w:tc>
        <w:tc>
          <w:tcPr>
            <w:tcW w:w="293" w:type="pct"/>
            <w:vMerge w:val="continue"/>
            <w:tcBorders>
              <w:top w:val="nil"/>
              <w:left w:val="single" w:color="auto" w:sz="4" w:space="0"/>
              <w:bottom w:val="single" w:color="auto" w:sz="4" w:space="0"/>
              <w:right w:val="single" w:color="auto" w:sz="4" w:space="0"/>
            </w:tcBorders>
            <w:vAlign w:val="center"/>
          </w:tcPr>
          <w:p w14:paraId="18B41689">
            <w:pPr>
              <w:widowControl/>
              <w:spacing w:after="0" w:line="200" w:lineRule="exact"/>
              <w:jc w:val="left"/>
              <w:rPr>
                <w:rFonts w:hint="eastAsia" w:ascii="宋体" w:hAnsi="宋体" w:cs="宋体"/>
                <w:b/>
                <w:bCs/>
                <w:color w:val="000000"/>
                <w:kern w:val="0"/>
                <w:sz w:val="18"/>
                <w:szCs w:val="18"/>
              </w:rPr>
            </w:pPr>
          </w:p>
        </w:tc>
        <w:tc>
          <w:tcPr>
            <w:tcW w:w="338" w:type="pct"/>
            <w:vMerge w:val="continue"/>
            <w:tcBorders>
              <w:top w:val="nil"/>
              <w:left w:val="single" w:color="auto" w:sz="4" w:space="0"/>
              <w:bottom w:val="single" w:color="auto" w:sz="4" w:space="0"/>
              <w:right w:val="single" w:color="auto" w:sz="4" w:space="0"/>
            </w:tcBorders>
            <w:vAlign w:val="center"/>
          </w:tcPr>
          <w:p w14:paraId="2A0339FC">
            <w:pPr>
              <w:widowControl/>
              <w:spacing w:after="0" w:line="200" w:lineRule="exact"/>
              <w:jc w:val="left"/>
              <w:rPr>
                <w:rFonts w:hint="eastAsia" w:ascii="宋体" w:hAnsi="宋体" w:cs="宋体"/>
                <w:b/>
                <w:bCs/>
                <w:color w:val="000000"/>
                <w:kern w:val="0"/>
                <w:sz w:val="18"/>
                <w:szCs w:val="18"/>
              </w:rPr>
            </w:pPr>
          </w:p>
        </w:tc>
        <w:tc>
          <w:tcPr>
            <w:tcW w:w="247" w:type="pct"/>
            <w:vMerge w:val="continue"/>
            <w:tcBorders>
              <w:top w:val="nil"/>
              <w:left w:val="single" w:color="auto" w:sz="4" w:space="0"/>
              <w:bottom w:val="single" w:color="auto" w:sz="4" w:space="0"/>
              <w:right w:val="single" w:color="auto" w:sz="4" w:space="0"/>
            </w:tcBorders>
            <w:vAlign w:val="center"/>
          </w:tcPr>
          <w:p w14:paraId="75211F3B">
            <w:pPr>
              <w:widowControl/>
              <w:spacing w:after="0" w:line="200" w:lineRule="exact"/>
              <w:jc w:val="left"/>
              <w:rPr>
                <w:rFonts w:hint="eastAsia" w:ascii="宋体" w:hAnsi="宋体" w:cs="宋体"/>
                <w:b/>
                <w:bCs/>
                <w:color w:val="000000"/>
                <w:kern w:val="0"/>
                <w:sz w:val="18"/>
                <w:szCs w:val="18"/>
              </w:rPr>
            </w:pPr>
          </w:p>
        </w:tc>
        <w:tc>
          <w:tcPr>
            <w:tcW w:w="309" w:type="pct"/>
            <w:vMerge w:val="continue"/>
            <w:tcBorders>
              <w:top w:val="nil"/>
              <w:left w:val="single" w:color="auto" w:sz="4" w:space="0"/>
              <w:bottom w:val="single" w:color="auto" w:sz="4" w:space="0"/>
              <w:right w:val="single" w:color="auto" w:sz="4" w:space="0"/>
            </w:tcBorders>
            <w:vAlign w:val="center"/>
          </w:tcPr>
          <w:p w14:paraId="16A3D725">
            <w:pPr>
              <w:widowControl/>
              <w:spacing w:after="0" w:line="200" w:lineRule="exact"/>
              <w:jc w:val="left"/>
              <w:rPr>
                <w:rFonts w:hint="eastAsia" w:ascii="宋体" w:hAnsi="宋体" w:cs="宋体"/>
                <w:b/>
                <w:bCs/>
                <w:color w:val="000000"/>
                <w:kern w:val="0"/>
                <w:sz w:val="18"/>
                <w:szCs w:val="18"/>
              </w:rPr>
            </w:pPr>
          </w:p>
        </w:tc>
        <w:tc>
          <w:tcPr>
            <w:tcW w:w="80" w:type="pct"/>
            <w:tcBorders>
              <w:top w:val="nil"/>
              <w:left w:val="nil"/>
              <w:bottom w:val="nil"/>
              <w:right w:val="nil"/>
            </w:tcBorders>
            <w:noWrap/>
            <w:vAlign w:val="center"/>
          </w:tcPr>
          <w:p w14:paraId="0AB7F21E">
            <w:pPr>
              <w:widowControl/>
              <w:spacing w:after="0" w:line="200" w:lineRule="exact"/>
              <w:jc w:val="center"/>
              <w:rPr>
                <w:rFonts w:hint="eastAsia" w:ascii="宋体" w:hAnsi="宋体" w:cs="宋体"/>
                <w:b/>
                <w:bCs/>
                <w:color w:val="000000"/>
                <w:kern w:val="0"/>
                <w:sz w:val="18"/>
                <w:szCs w:val="18"/>
              </w:rPr>
            </w:pPr>
          </w:p>
        </w:tc>
      </w:tr>
      <w:tr w14:paraId="63E43B64">
        <w:tblPrEx>
          <w:tblCellMar>
            <w:top w:w="0" w:type="dxa"/>
            <w:left w:w="108" w:type="dxa"/>
            <w:bottom w:w="0" w:type="dxa"/>
            <w:right w:w="108" w:type="dxa"/>
          </w:tblCellMar>
        </w:tblPrEx>
        <w:tc>
          <w:tcPr>
            <w:tcW w:w="209" w:type="pct"/>
            <w:vMerge w:val="restart"/>
            <w:tcBorders>
              <w:top w:val="nil"/>
              <w:left w:val="single" w:color="auto" w:sz="4" w:space="0"/>
              <w:bottom w:val="single" w:color="auto" w:sz="4" w:space="0"/>
              <w:right w:val="single" w:color="auto" w:sz="4" w:space="0"/>
            </w:tcBorders>
            <w:vAlign w:val="center"/>
          </w:tcPr>
          <w:p w14:paraId="2FC2D6F1">
            <w:pPr>
              <w:widowControl/>
              <w:spacing w:after="0" w:line="200" w:lineRule="exact"/>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年度绩效指标完成情况</w:t>
            </w:r>
          </w:p>
        </w:tc>
        <w:tc>
          <w:tcPr>
            <w:tcW w:w="275" w:type="pct"/>
            <w:vMerge w:val="restart"/>
            <w:tcBorders>
              <w:top w:val="nil"/>
              <w:left w:val="single" w:color="auto" w:sz="4" w:space="0"/>
              <w:bottom w:val="single" w:color="auto" w:sz="4" w:space="0"/>
              <w:right w:val="single" w:color="auto" w:sz="4" w:space="0"/>
            </w:tcBorders>
            <w:vAlign w:val="center"/>
          </w:tcPr>
          <w:p w14:paraId="14A6C2D3">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产</w:t>
            </w:r>
          </w:p>
          <w:p w14:paraId="3D90316B">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出</w:t>
            </w:r>
          </w:p>
          <w:p w14:paraId="63F2EDC5">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指</w:t>
            </w:r>
          </w:p>
          <w:p w14:paraId="44103E05">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标</w:t>
            </w:r>
          </w:p>
        </w:tc>
        <w:tc>
          <w:tcPr>
            <w:tcW w:w="347" w:type="pct"/>
            <w:tcBorders>
              <w:top w:val="nil"/>
              <w:left w:val="nil"/>
              <w:bottom w:val="single" w:color="auto" w:sz="4" w:space="0"/>
              <w:right w:val="single" w:color="auto" w:sz="4" w:space="0"/>
            </w:tcBorders>
            <w:vAlign w:val="center"/>
          </w:tcPr>
          <w:p w14:paraId="2BAD09D5">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数量指标</w:t>
            </w:r>
          </w:p>
        </w:tc>
        <w:tc>
          <w:tcPr>
            <w:tcW w:w="896" w:type="pct"/>
            <w:tcBorders>
              <w:top w:val="nil"/>
              <w:left w:val="nil"/>
              <w:bottom w:val="single" w:color="auto" w:sz="4" w:space="0"/>
              <w:right w:val="single" w:color="auto" w:sz="4" w:space="0"/>
            </w:tcBorders>
            <w:vAlign w:val="center"/>
          </w:tcPr>
          <w:p w14:paraId="632A5070">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完成关键技术研究</w:t>
            </w:r>
          </w:p>
        </w:tc>
        <w:tc>
          <w:tcPr>
            <w:tcW w:w="304" w:type="pct"/>
            <w:tcBorders>
              <w:top w:val="nil"/>
              <w:left w:val="nil"/>
              <w:bottom w:val="single" w:color="auto" w:sz="4" w:space="0"/>
              <w:right w:val="single" w:color="auto" w:sz="4" w:space="0"/>
            </w:tcBorders>
            <w:vAlign w:val="center"/>
          </w:tcPr>
          <w:p w14:paraId="031617E2">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447" w:type="pct"/>
            <w:tcBorders>
              <w:top w:val="nil"/>
              <w:left w:val="nil"/>
              <w:bottom w:val="single" w:color="auto" w:sz="4" w:space="0"/>
              <w:right w:val="single" w:color="auto" w:sz="4" w:space="0"/>
            </w:tcBorders>
            <w:vAlign w:val="center"/>
          </w:tcPr>
          <w:p w14:paraId="511ADED6">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&gt;=2项</w:t>
            </w:r>
          </w:p>
        </w:tc>
        <w:tc>
          <w:tcPr>
            <w:tcW w:w="366" w:type="pct"/>
            <w:gridSpan w:val="2"/>
            <w:tcBorders>
              <w:top w:val="nil"/>
              <w:left w:val="nil"/>
              <w:bottom w:val="single" w:color="auto" w:sz="4" w:space="0"/>
              <w:right w:val="single" w:color="auto" w:sz="4" w:space="0"/>
            </w:tcBorders>
            <w:vAlign w:val="center"/>
          </w:tcPr>
          <w:p w14:paraId="62177C4F">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=2项</w:t>
            </w:r>
          </w:p>
        </w:tc>
        <w:tc>
          <w:tcPr>
            <w:tcW w:w="305" w:type="pct"/>
            <w:tcBorders>
              <w:top w:val="nil"/>
              <w:left w:val="nil"/>
              <w:bottom w:val="single" w:color="auto" w:sz="4" w:space="0"/>
              <w:right w:val="single" w:color="auto" w:sz="4" w:space="0"/>
            </w:tcBorders>
            <w:vAlign w:val="center"/>
          </w:tcPr>
          <w:p w14:paraId="53BBCAAD">
            <w:pPr>
              <w:widowControl/>
              <w:spacing w:after="0" w:line="200" w:lineRule="exact"/>
              <w:jc w:val="center"/>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rPr>
              <w:t>100</w:t>
            </w:r>
            <w:r>
              <w:rPr>
                <w:rFonts w:hint="eastAsia" w:ascii="宋体" w:hAnsi="宋体" w:cs="宋体"/>
                <w:color w:val="000000"/>
                <w:kern w:val="0"/>
                <w:sz w:val="18"/>
                <w:szCs w:val="18"/>
                <w:lang w:val="en-US" w:eastAsia="zh-CN"/>
              </w:rPr>
              <w:t>%</w:t>
            </w:r>
          </w:p>
        </w:tc>
        <w:tc>
          <w:tcPr>
            <w:tcW w:w="268" w:type="pct"/>
            <w:tcBorders>
              <w:top w:val="nil"/>
              <w:left w:val="nil"/>
              <w:bottom w:val="single" w:color="auto" w:sz="4" w:space="0"/>
              <w:right w:val="single" w:color="auto" w:sz="4" w:space="0"/>
            </w:tcBorders>
            <w:vAlign w:val="center"/>
          </w:tcPr>
          <w:p w14:paraId="4B251F15">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10</w:t>
            </w:r>
          </w:p>
        </w:tc>
        <w:tc>
          <w:tcPr>
            <w:tcW w:w="316" w:type="pct"/>
            <w:tcBorders>
              <w:top w:val="nil"/>
              <w:left w:val="nil"/>
              <w:bottom w:val="single" w:color="auto" w:sz="4" w:space="0"/>
              <w:right w:val="single" w:color="auto" w:sz="4" w:space="0"/>
            </w:tcBorders>
            <w:vAlign w:val="center"/>
          </w:tcPr>
          <w:p w14:paraId="0E400F44">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计划标准</w:t>
            </w:r>
          </w:p>
        </w:tc>
        <w:tc>
          <w:tcPr>
            <w:tcW w:w="293" w:type="pct"/>
            <w:tcBorders>
              <w:top w:val="nil"/>
              <w:left w:val="nil"/>
              <w:bottom w:val="single" w:color="auto" w:sz="4" w:space="0"/>
              <w:right w:val="single" w:color="auto" w:sz="4" w:space="0"/>
            </w:tcBorders>
            <w:vAlign w:val="center"/>
          </w:tcPr>
          <w:p w14:paraId="0FF2B0F1">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338" w:type="pct"/>
            <w:tcBorders>
              <w:top w:val="nil"/>
              <w:left w:val="nil"/>
              <w:bottom w:val="single" w:color="auto" w:sz="4" w:space="0"/>
              <w:right w:val="single" w:color="auto" w:sz="4" w:space="0"/>
            </w:tcBorders>
            <w:vAlign w:val="center"/>
          </w:tcPr>
          <w:p w14:paraId="3C7B65CB">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按照完成比例赋分</w:t>
            </w:r>
          </w:p>
        </w:tc>
        <w:tc>
          <w:tcPr>
            <w:tcW w:w="247" w:type="pct"/>
            <w:tcBorders>
              <w:top w:val="nil"/>
              <w:left w:val="nil"/>
              <w:bottom w:val="single" w:color="auto" w:sz="4" w:space="0"/>
              <w:right w:val="single" w:color="auto" w:sz="4" w:space="0"/>
            </w:tcBorders>
            <w:vAlign w:val="center"/>
          </w:tcPr>
          <w:p w14:paraId="3EC98C3A">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正式材料</w:t>
            </w:r>
          </w:p>
        </w:tc>
        <w:tc>
          <w:tcPr>
            <w:tcW w:w="309" w:type="pct"/>
            <w:tcBorders>
              <w:top w:val="nil"/>
              <w:left w:val="nil"/>
              <w:bottom w:val="single" w:color="auto" w:sz="4" w:space="0"/>
              <w:right w:val="single" w:color="auto" w:sz="4" w:space="0"/>
            </w:tcBorders>
            <w:vAlign w:val="center"/>
          </w:tcPr>
          <w:p w14:paraId="771F8850">
            <w:pPr>
              <w:widowControl/>
              <w:spacing w:after="0" w:line="200" w:lineRule="exact"/>
              <w:jc w:val="center"/>
              <w:rPr>
                <w:rFonts w:hint="eastAsia" w:ascii="宋体" w:hAnsi="宋体" w:cs="宋体"/>
                <w:color w:val="000000"/>
                <w:kern w:val="0"/>
                <w:sz w:val="18"/>
                <w:szCs w:val="18"/>
              </w:rPr>
            </w:pPr>
          </w:p>
        </w:tc>
        <w:tc>
          <w:tcPr>
            <w:tcW w:w="80" w:type="pct"/>
            <w:vAlign w:val="center"/>
          </w:tcPr>
          <w:p w14:paraId="2581D950">
            <w:pPr>
              <w:widowControl/>
              <w:spacing w:after="0" w:line="200" w:lineRule="exact"/>
              <w:jc w:val="left"/>
              <w:rPr>
                <w:rFonts w:eastAsia="Times New Roman"/>
                <w:kern w:val="0"/>
                <w:sz w:val="20"/>
                <w:szCs w:val="20"/>
              </w:rPr>
            </w:pPr>
          </w:p>
        </w:tc>
      </w:tr>
      <w:tr w14:paraId="3EECE666">
        <w:tblPrEx>
          <w:tblCellMar>
            <w:top w:w="0" w:type="dxa"/>
            <w:left w:w="108" w:type="dxa"/>
            <w:bottom w:w="0" w:type="dxa"/>
            <w:right w:w="108" w:type="dxa"/>
          </w:tblCellMar>
        </w:tblPrEx>
        <w:tc>
          <w:tcPr>
            <w:tcW w:w="209" w:type="pct"/>
            <w:vMerge w:val="continue"/>
            <w:tcBorders>
              <w:top w:val="nil"/>
              <w:left w:val="single" w:color="auto" w:sz="4" w:space="0"/>
              <w:bottom w:val="single" w:color="auto" w:sz="4" w:space="0"/>
              <w:right w:val="single" w:color="auto" w:sz="4" w:space="0"/>
            </w:tcBorders>
            <w:vAlign w:val="center"/>
          </w:tcPr>
          <w:p w14:paraId="42956A92">
            <w:pPr>
              <w:widowControl/>
              <w:spacing w:after="0" w:line="200" w:lineRule="exact"/>
              <w:jc w:val="left"/>
              <w:rPr>
                <w:rFonts w:hint="eastAsia" w:ascii="宋体" w:hAnsi="宋体" w:cs="宋体"/>
                <w:b/>
                <w:bCs/>
                <w:color w:val="000000"/>
                <w:kern w:val="0"/>
                <w:sz w:val="18"/>
                <w:szCs w:val="18"/>
              </w:rPr>
            </w:pPr>
          </w:p>
        </w:tc>
        <w:tc>
          <w:tcPr>
            <w:tcW w:w="275" w:type="pct"/>
            <w:vMerge w:val="continue"/>
            <w:tcBorders>
              <w:top w:val="nil"/>
              <w:left w:val="single" w:color="auto" w:sz="4" w:space="0"/>
              <w:bottom w:val="single" w:color="auto" w:sz="4" w:space="0"/>
              <w:right w:val="single" w:color="auto" w:sz="4" w:space="0"/>
            </w:tcBorders>
            <w:vAlign w:val="center"/>
          </w:tcPr>
          <w:p w14:paraId="26795996">
            <w:pPr>
              <w:widowControl/>
              <w:spacing w:after="0" w:line="200" w:lineRule="exact"/>
              <w:jc w:val="left"/>
              <w:rPr>
                <w:rFonts w:hint="eastAsia" w:ascii="宋体" w:hAnsi="宋体" w:cs="宋体"/>
                <w:color w:val="000000"/>
                <w:kern w:val="0"/>
                <w:sz w:val="18"/>
                <w:szCs w:val="18"/>
              </w:rPr>
            </w:pPr>
          </w:p>
        </w:tc>
        <w:tc>
          <w:tcPr>
            <w:tcW w:w="347" w:type="pct"/>
            <w:tcBorders>
              <w:top w:val="nil"/>
              <w:left w:val="nil"/>
              <w:bottom w:val="single" w:color="auto" w:sz="4" w:space="0"/>
              <w:right w:val="single" w:color="auto" w:sz="4" w:space="0"/>
            </w:tcBorders>
            <w:vAlign w:val="center"/>
          </w:tcPr>
          <w:p w14:paraId="258C6948">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数量指标</w:t>
            </w:r>
          </w:p>
        </w:tc>
        <w:tc>
          <w:tcPr>
            <w:tcW w:w="896" w:type="pct"/>
            <w:tcBorders>
              <w:top w:val="nil"/>
              <w:left w:val="nil"/>
              <w:bottom w:val="single" w:color="auto" w:sz="4" w:space="0"/>
              <w:right w:val="single" w:color="auto" w:sz="4" w:space="0"/>
            </w:tcBorders>
            <w:vAlign w:val="center"/>
          </w:tcPr>
          <w:p w14:paraId="5D59B8EF">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对水网重大水利工程进行现场勘察（调研）</w:t>
            </w:r>
          </w:p>
        </w:tc>
        <w:tc>
          <w:tcPr>
            <w:tcW w:w="304" w:type="pct"/>
            <w:tcBorders>
              <w:top w:val="nil"/>
              <w:left w:val="nil"/>
              <w:bottom w:val="single" w:color="auto" w:sz="4" w:space="0"/>
              <w:right w:val="single" w:color="auto" w:sz="4" w:space="0"/>
            </w:tcBorders>
            <w:vAlign w:val="center"/>
          </w:tcPr>
          <w:p w14:paraId="4E60BC8E">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447" w:type="pct"/>
            <w:tcBorders>
              <w:top w:val="nil"/>
              <w:left w:val="nil"/>
              <w:bottom w:val="single" w:color="auto" w:sz="4" w:space="0"/>
              <w:right w:val="single" w:color="auto" w:sz="4" w:space="0"/>
            </w:tcBorders>
            <w:vAlign w:val="center"/>
          </w:tcPr>
          <w:p w14:paraId="72ABDBE6">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&gt;=6次</w:t>
            </w:r>
          </w:p>
        </w:tc>
        <w:tc>
          <w:tcPr>
            <w:tcW w:w="366" w:type="pct"/>
            <w:gridSpan w:val="2"/>
            <w:tcBorders>
              <w:top w:val="nil"/>
              <w:left w:val="nil"/>
              <w:bottom w:val="single" w:color="auto" w:sz="4" w:space="0"/>
              <w:right w:val="single" w:color="auto" w:sz="4" w:space="0"/>
            </w:tcBorders>
            <w:vAlign w:val="center"/>
          </w:tcPr>
          <w:p w14:paraId="14AE1776">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=6次</w:t>
            </w:r>
          </w:p>
        </w:tc>
        <w:tc>
          <w:tcPr>
            <w:tcW w:w="305" w:type="pct"/>
            <w:tcBorders>
              <w:top w:val="nil"/>
              <w:left w:val="nil"/>
              <w:bottom w:val="single" w:color="auto" w:sz="4" w:space="0"/>
              <w:right w:val="single" w:color="auto" w:sz="4" w:space="0"/>
            </w:tcBorders>
            <w:vAlign w:val="center"/>
          </w:tcPr>
          <w:p w14:paraId="2923674E">
            <w:pPr>
              <w:widowControl/>
              <w:spacing w:after="0" w:line="200" w:lineRule="exact"/>
              <w:jc w:val="center"/>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rPr>
              <w:t>100</w:t>
            </w:r>
            <w:r>
              <w:rPr>
                <w:rFonts w:hint="eastAsia" w:ascii="宋体" w:hAnsi="宋体" w:cs="宋体"/>
                <w:color w:val="000000"/>
                <w:kern w:val="0"/>
                <w:sz w:val="18"/>
                <w:szCs w:val="18"/>
                <w:lang w:val="en-US" w:eastAsia="zh-CN"/>
              </w:rPr>
              <w:t>%</w:t>
            </w:r>
          </w:p>
        </w:tc>
        <w:tc>
          <w:tcPr>
            <w:tcW w:w="268" w:type="pct"/>
            <w:tcBorders>
              <w:top w:val="nil"/>
              <w:left w:val="nil"/>
              <w:bottom w:val="single" w:color="auto" w:sz="4" w:space="0"/>
              <w:right w:val="single" w:color="auto" w:sz="4" w:space="0"/>
            </w:tcBorders>
            <w:vAlign w:val="center"/>
          </w:tcPr>
          <w:p w14:paraId="76E0DF9B">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316" w:type="pct"/>
            <w:tcBorders>
              <w:top w:val="nil"/>
              <w:left w:val="nil"/>
              <w:bottom w:val="single" w:color="auto" w:sz="4" w:space="0"/>
              <w:right w:val="single" w:color="auto" w:sz="4" w:space="0"/>
            </w:tcBorders>
            <w:vAlign w:val="center"/>
          </w:tcPr>
          <w:p w14:paraId="5A8E3293">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计划标准</w:t>
            </w:r>
          </w:p>
        </w:tc>
        <w:tc>
          <w:tcPr>
            <w:tcW w:w="293" w:type="pct"/>
            <w:tcBorders>
              <w:top w:val="nil"/>
              <w:left w:val="nil"/>
              <w:bottom w:val="single" w:color="auto" w:sz="4" w:space="0"/>
              <w:right w:val="single" w:color="auto" w:sz="4" w:space="0"/>
            </w:tcBorders>
            <w:vAlign w:val="center"/>
          </w:tcPr>
          <w:p w14:paraId="51188863">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338" w:type="pct"/>
            <w:tcBorders>
              <w:top w:val="nil"/>
              <w:left w:val="nil"/>
              <w:bottom w:val="single" w:color="auto" w:sz="4" w:space="0"/>
              <w:right w:val="single" w:color="auto" w:sz="4" w:space="0"/>
            </w:tcBorders>
            <w:vAlign w:val="center"/>
          </w:tcPr>
          <w:p w14:paraId="1226E452">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按照完成比例赋分</w:t>
            </w:r>
          </w:p>
        </w:tc>
        <w:tc>
          <w:tcPr>
            <w:tcW w:w="247" w:type="pct"/>
            <w:tcBorders>
              <w:top w:val="nil"/>
              <w:left w:val="nil"/>
              <w:bottom w:val="single" w:color="auto" w:sz="4" w:space="0"/>
              <w:right w:val="single" w:color="auto" w:sz="4" w:space="0"/>
            </w:tcBorders>
            <w:vAlign w:val="center"/>
          </w:tcPr>
          <w:p w14:paraId="54D50403">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正式材料</w:t>
            </w:r>
          </w:p>
        </w:tc>
        <w:tc>
          <w:tcPr>
            <w:tcW w:w="309" w:type="pct"/>
            <w:tcBorders>
              <w:top w:val="nil"/>
              <w:left w:val="nil"/>
              <w:bottom w:val="single" w:color="auto" w:sz="4" w:space="0"/>
              <w:right w:val="single" w:color="auto" w:sz="4" w:space="0"/>
            </w:tcBorders>
            <w:vAlign w:val="center"/>
          </w:tcPr>
          <w:p w14:paraId="585ED55A">
            <w:pPr>
              <w:widowControl/>
              <w:spacing w:after="0" w:line="200" w:lineRule="exact"/>
              <w:jc w:val="center"/>
              <w:rPr>
                <w:rFonts w:hint="eastAsia" w:ascii="宋体" w:hAnsi="宋体" w:cs="宋体"/>
                <w:color w:val="000000"/>
                <w:kern w:val="0"/>
                <w:sz w:val="18"/>
                <w:szCs w:val="18"/>
              </w:rPr>
            </w:pPr>
          </w:p>
        </w:tc>
        <w:tc>
          <w:tcPr>
            <w:tcW w:w="80" w:type="pct"/>
            <w:vAlign w:val="center"/>
          </w:tcPr>
          <w:p w14:paraId="6577B799">
            <w:pPr>
              <w:widowControl/>
              <w:spacing w:after="0" w:line="200" w:lineRule="exact"/>
              <w:jc w:val="left"/>
              <w:rPr>
                <w:rFonts w:eastAsia="Times New Roman"/>
                <w:kern w:val="0"/>
                <w:sz w:val="20"/>
                <w:szCs w:val="20"/>
              </w:rPr>
            </w:pPr>
          </w:p>
        </w:tc>
      </w:tr>
      <w:tr w14:paraId="50258D77">
        <w:tblPrEx>
          <w:tblCellMar>
            <w:top w:w="0" w:type="dxa"/>
            <w:left w:w="108" w:type="dxa"/>
            <w:bottom w:w="0" w:type="dxa"/>
            <w:right w:w="108" w:type="dxa"/>
          </w:tblCellMar>
        </w:tblPrEx>
        <w:tc>
          <w:tcPr>
            <w:tcW w:w="209" w:type="pct"/>
            <w:vMerge w:val="continue"/>
            <w:tcBorders>
              <w:top w:val="nil"/>
              <w:left w:val="single" w:color="auto" w:sz="4" w:space="0"/>
              <w:bottom w:val="single" w:color="auto" w:sz="4" w:space="0"/>
              <w:right w:val="single" w:color="auto" w:sz="4" w:space="0"/>
            </w:tcBorders>
            <w:vAlign w:val="center"/>
          </w:tcPr>
          <w:p w14:paraId="022437AB">
            <w:pPr>
              <w:widowControl/>
              <w:spacing w:after="0" w:line="200" w:lineRule="exact"/>
              <w:jc w:val="left"/>
              <w:rPr>
                <w:rFonts w:hint="eastAsia" w:ascii="宋体" w:hAnsi="宋体" w:cs="宋体"/>
                <w:b/>
                <w:bCs/>
                <w:color w:val="000000"/>
                <w:kern w:val="0"/>
                <w:sz w:val="18"/>
                <w:szCs w:val="18"/>
              </w:rPr>
            </w:pPr>
          </w:p>
        </w:tc>
        <w:tc>
          <w:tcPr>
            <w:tcW w:w="275" w:type="pct"/>
            <w:vMerge w:val="continue"/>
            <w:tcBorders>
              <w:top w:val="nil"/>
              <w:left w:val="single" w:color="auto" w:sz="4" w:space="0"/>
              <w:bottom w:val="single" w:color="auto" w:sz="4" w:space="0"/>
              <w:right w:val="single" w:color="auto" w:sz="4" w:space="0"/>
            </w:tcBorders>
            <w:vAlign w:val="center"/>
          </w:tcPr>
          <w:p w14:paraId="0A657262">
            <w:pPr>
              <w:widowControl/>
              <w:spacing w:after="0" w:line="200" w:lineRule="exact"/>
              <w:jc w:val="left"/>
              <w:rPr>
                <w:rFonts w:hint="eastAsia" w:ascii="宋体" w:hAnsi="宋体" w:cs="宋体"/>
                <w:color w:val="000000"/>
                <w:kern w:val="0"/>
                <w:sz w:val="18"/>
                <w:szCs w:val="18"/>
              </w:rPr>
            </w:pPr>
          </w:p>
        </w:tc>
        <w:tc>
          <w:tcPr>
            <w:tcW w:w="347" w:type="pct"/>
            <w:tcBorders>
              <w:top w:val="nil"/>
              <w:left w:val="nil"/>
              <w:bottom w:val="single" w:color="auto" w:sz="4" w:space="0"/>
              <w:right w:val="single" w:color="auto" w:sz="4" w:space="0"/>
            </w:tcBorders>
            <w:vAlign w:val="center"/>
          </w:tcPr>
          <w:p w14:paraId="0EE5EB48">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数量指标</w:t>
            </w:r>
          </w:p>
        </w:tc>
        <w:tc>
          <w:tcPr>
            <w:tcW w:w="896" w:type="pct"/>
            <w:tcBorders>
              <w:top w:val="nil"/>
              <w:left w:val="nil"/>
              <w:bottom w:val="single" w:color="auto" w:sz="4" w:space="0"/>
              <w:right w:val="single" w:color="auto" w:sz="4" w:space="0"/>
            </w:tcBorders>
            <w:vAlign w:val="center"/>
          </w:tcPr>
          <w:p w14:paraId="007BD07A">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审查“纲”“结”类水利项目可研或初步设计</w:t>
            </w:r>
          </w:p>
        </w:tc>
        <w:tc>
          <w:tcPr>
            <w:tcW w:w="304" w:type="pct"/>
            <w:tcBorders>
              <w:top w:val="nil"/>
              <w:left w:val="nil"/>
              <w:bottom w:val="single" w:color="auto" w:sz="4" w:space="0"/>
              <w:right w:val="single" w:color="auto" w:sz="4" w:space="0"/>
            </w:tcBorders>
            <w:vAlign w:val="center"/>
          </w:tcPr>
          <w:p w14:paraId="2B06F72E">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447" w:type="pct"/>
            <w:tcBorders>
              <w:top w:val="nil"/>
              <w:left w:val="nil"/>
              <w:bottom w:val="single" w:color="auto" w:sz="4" w:space="0"/>
              <w:right w:val="single" w:color="auto" w:sz="4" w:space="0"/>
            </w:tcBorders>
            <w:vAlign w:val="center"/>
          </w:tcPr>
          <w:p w14:paraId="09A32B1C">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=15项</w:t>
            </w:r>
          </w:p>
        </w:tc>
        <w:tc>
          <w:tcPr>
            <w:tcW w:w="366" w:type="pct"/>
            <w:gridSpan w:val="2"/>
            <w:tcBorders>
              <w:top w:val="nil"/>
              <w:left w:val="nil"/>
              <w:bottom w:val="single" w:color="auto" w:sz="4" w:space="0"/>
              <w:right w:val="single" w:color="auto" w:sz="4" w:space="0"/>
            </w:tcBorders>
            <w:vAlign w:val="center"/>
          </w:tcPr>
          <w:p w14:paraId="7064408A">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=15项</w:t>
            </w:r>
          </w:p>
        </w:tc>
        <w:tc>
          <w:tcPr>
            <w:tcW w:w="305" w:type="pct"/>
            <w:tcBorders>
              <w:top w:val="nil"/>
              <w:left w:val="nil"/>
              <w:bottom w:val="single" w:color="auto" w:sz="4" w:space="0"/>
              <w:right w:val="single" w:color="auto" w:sz="4" w:space="0"/>
            </w:tcBorders>
            <w:vAlign w:val="center"/>
          </w:tcPr>
          <w:p w14:paraId="45C19BD5">
            <w:pPr>
              <w:widowControl/>
              <w:spacing w:after="0" w:line="200" w:lineRule="exact"/>
              <w:jc w:val="center"/>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rPr>
              <w:t>100</w:t>
            </w:r>
            <w:r>
              <w:rPr>
                <w:rFonts w:hint="eastAsia" w:ascii="宋体" w:hAnsi="宋体" w:cs="宋体"/>
                <w:color w:val="000000"/>
                <w:kern w:val="0"/>
                <w:sz w:val="18"/>
                <w:szCs w:val="18"/>
                <w:lang w:val="en-US" w:eastAsia="zh-CN"/>
              </w:rPr>
              <w:t>%</w:t>
            </w:r>
          </w:p>
        </w:tc>
        <w:tc>
          <w:tcPr>
            <w:tcW w:w="268" w:type="pct"/>
            <w:tcBorders>
              <w:top w:val="nil"/>
              <w:left w:val="nil"/>
              <w:bottom w:val="single" w:color="auto" w:sz="4" w:space="0"/>
              <w:right w:val="single" w:color="auto" w:sz="4" w:space="0"/>
            </w:tcBorders>
            <w:vAlign w:val="center"/>
          </w:tcPr>
          <w:p w14:paraId="03147754">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316" w:type="pct"/>
            <w:tcBorders>
              <w:top w:val="nil"/>
              <w:left w:val="nil"/>
              <w:bottom w:val="single" w:color="auto" w:sz="4" w:space="0"/>
              <w:right w:val="single" w:color="auto" w:sz="4" w:space="0"/>
            </w:tcBorders>
            <w:vAlign w:val="center"/>
          </w:tcPr>
          <w:p w14:paraId="10FB9733">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计划标准</w:t>
            </w:r>
          </w:p>
        </w:tc>
        <w:tc>
          <w:tcPr>
            <w:tcW w:w="293" w:type="pct"/>
            <w:tcBorders>
              <w:top w:val="nil"/>
              <w:left w:val="nil"/>
              <w:bottom w:val="single" w:color="auto" w:sz="4" w:space="0"/>
              <w:right w:val="single" w:color="auto" w:sz="4" w:space="0"/>
            </w:tcBorders>
            <w:vAlign w:val="center"/>
          </w:tcPr>
          <w:p w14:paraId="4D7C0C81">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338" w:type="pct"/>
            <w:tcBorders>
              <w:top w:val="nil"/>
              <w:left w:val="nil"/>
              <w:bottom w:val="single" w:color="auto" w:sz="4" w:space="0"/>
              <w:right w:val="single" w:color="auto" w:sz="4" w:space="0"/>
            </w:tcBorders>
            <w:vAlign w:val="center"/>
          </w:tcPr>
          <w:p w14:paraId="313DD7AC">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按照完成比例赋分</w:t>
            </w:r>
          </w:p>
        </w:tc>
        <w:tc>
          <w:tcPr>
            <w:tcW w:w="247" w:type="pct"/>
            <w:tcBorders>
              <w:top w:val="nil"/>
              <w:left w:val="nil"/>
              <w:bottom w:val="single" w:color="auto" w:sz="4" w:space="0"/>
              <w:right w:val="single" w:color="auto" w:sz="4" w:space="0"/>
            </w:tcBorders>
            <w:vAlign w:val="center"/>
          </w:tcPr>
          <w:p w14:paraId="7CD09A6B">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工作资料</w:t>
            </w:r>
          </w:p>
        </w:tc>
        <w:tc>
          <w:tcPr>
            <w:tcW w:w="309" w:type="pct"/>
            <w:tcBorders>
              <w:top w:val="nil"/>
              <w:left w:val="nil"/>
              <w:bottom w:val="single" w:color="auto" w:sz="4" w:space="0"/>
              <w:right w:val="single" w:color="auto" w:sz="4" w:space="0"/>
            </w:tcBorders>
            <w:vAlign w:val="center"/>
          </w:tcPr>
          <w:p w14:paraId="3E520E25">
            <w:pPr>
              <w:widowControl/>
              <w:spacing w:after="0" w:line="200" w:lineRule="exact"/>
              <w:jc w:val="center"/>
              <w:rPr>
                <w:rFonts w:hint="eastAsia" w:ascii="宋体" w:hAnsi="宋体" w:cs="宋体"/>
                <w:color w:val="000000"/>
                <w:kern w:val="0"/>
                <w:sz w:val="18"/>
                <w:szCs w:val="18"/>
              </w:rPr>
            </w:pPr>
          </w:p>
        </w:tc>
        <w:tc>
          <w:tcPr>
            <w:tcW w:w="80" w:type="pct"/>
            <w:vAlign w:val="center"/>
          </w:tcPr>
          <w:p w14:paraId="3B8BA522">
            <w:pPr>
              <w:widowControl/>
              <w:spacing w:after="0" w:line="200" w:lineRule="exact"/>
              <w:jc w:val="left"/>
              <w:rPr>
                <w:rFonts w:eastAsia="Times New Roman"/>
                <w:kern w:val="0"/>
                <w:sz w:val="20"/>
                <w:szCs w:val="20"/>
              </w:rPr>
            </w:pPr>
          </w:p>
        </w:tc>
      </w:tr>
      <w:tr w14:paraId="7ED28F20">
        <w:tblPrEx>
          <w:tblCellMar>
            <w:top w:w="0" w:type="dxa"/>
            <w:left w:w="108" w:type="dxa"/>
            <w:bottom w:w="0" w:type="dxa"/>
            <w:right w:w="108" w:type="dxa"/>
          </w:tblCellMar>
        </w:tblPrEx>
        <w:tc>
          <w:tcPr>
            <w:tcW w:w="209" w:type="pct"/>
            <w:vMerge w:val="continue"/>
            <w:tcBorders>
              <w:top w:val="nil"/>
              <w:left w:val="single" w:color="auto" w:sz="4" w:space="0"/>
              <w:bottom w:val="single" w:color="auto" w:sz="4" w:space="0"/>
              <w:right w:val="single" w:color="auto" w:sz="4" w:space="0"/>
            </w:tcBorders>
            <w:vAlign w:val="center"/>
          </w:tcPr>
          <w:p w14:paraId="13764C62">
            <w:pPr>
              <w:widowControl/>
              <w:spacing w:after="0" w:line="200" w:lineRule="exact"/>
              <w:jc w:val="left"/>
              <w:rPr>
                <w:rFonts w:hint="eastAsia" w:ascii="宋体" w:hAnsi="宋体" w:cs="宋体"/>
                <w:b/>
                <w:bCs/>
                <w:color w:val="000000"/>
                <w:kern w:val="0"/>
                <w:sz w:val="18"/>
                <w:szCs w:val="18"/>
              </w:rPr>
            </w:pPr>
          </w:p>
        </w:tc>
        <w:tc>
          <w:tcPr>
            <w:tcW w:w="275" w:type="pct"/>
            <w:vMerge w:val="continue"/>
            <w:tcBorders>
              <w:top w:val="nil"/>
              <w:left w:val="single" w:color="auto" w:sz="4" w:space="0"/>
              <w:bottom w:val="single" w:color="auto" w:sz="4" w:space="0"/>
              <w:right w:val="single" w:color="auto" w:sz="4" w:space="0"/>
            </w:tcBorders>
            <w:vAlign w:val="center"/>
          </w:tcPr>
          <w:p w14:paraId="708893D9">
            <w:pPr>
              <w:widowControl/>
              <w:spacing w:after="0" w:line="200" w:lineRule="exact"/>
              <w:jc w:val="left"/>
              <w:rPr>
                <w:rFonts w:hint="eastAsia" w:ascii="宋体" w:hAnsi="宋体" w:cs="宋体"/>
                <w:color w:val="000000"/>
                <w:kern w:val="0"/>
                <w:sz w:val="18"/>
                <w:szCs w:val="18"/>
              </w:rPr>
            </w:pPr>
          </w:p>
        </w:tc>
        <w:tc>
          <w:tcPr>
            <w:tcW w:w="347" w:type="pct"/>
            <w:tcBorders>
              <w:top w:val="nil"/>
              <w:left w:val="nil"/>
              <w:bottom w:val="single" w:color="auto" w:sz="4" w:space="0"/>
              <w:right w:val="single" w:color="auto" w:sz="4" w:space="0"/>
            </w:tcBorders>
            <w:vAlign w:val="center"/>
          </w:tcPr>
          <w:p w14:paraId="6B1012BF">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质量指标</w:t>
            </w:r>
          </w:p>
        </w:tc>
        <w:tc>
          <w:tcPr>
            <w:tcW w:w="896" w:type="pct"/>
            <w:tcBorders>
              <w:top w:val="nil"/>
              <w:left w:val="nil"/>
              <w:bottom w:val="single" w:color="auto" w:sz="4" w:space="0"/>
              <w:right w:val="single" w:color="auto" w:sz="4" w:space="0"/>
            </w:tcBorders>
            <w:vAlign w:val="center"/>
          </w:tcPr>
          <w:p w14:paraId="0577D605">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关键技术研究验收合格率</w:t>
            </w:r>
          </w:p>
        </w:tc>
        <w:tc>
          <w:tcPr>
            <w:tcW w:w="304" w:type="pct"/>
            <w:tcBorders>
              <w:top w:val="nil"/>
              <w:left w:val="nil"/>
              <w:bottom w:val="single" w:color="auto" w:sz="4" w:space="0"/>
              <w:right w:val="single" w:color="auto" w:sz="4" w:space="0"/>
            </w:tcBorders>
            <w:vAlign w:val="center"/>
          </w:tcPr>
          <w:p w14:paraId="15BB317E">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447" w:type="pct"/>
            <w:tcBorders>
              <w:top w:val="nil"/>
              <w:left w:val="nil"/>
              <w:bottom w:val="single" w:color="auto" w:sz="4" w:space="0"/>
              <w:right w:val="single" w:color="auto" w:sz="4" w:space="0"/>
            </w:tcBorders>
            <w:vAlign w:val="center"/>
          </w:tcPr>
          <w:p w14:paraId="71EA9458">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&gt;=90%</w:t>
            </w:r>
          </w:p>
        </w:tc>
        <w:tc>
          <w:tcPr>
            <w:tcW w:w="366" w:type="pct"/>
            <w:gridSpan w:val="2"/>
            <w:tcBorders>
              <w:top w:val="nil"/>
              <w:left w:val="nil"/>
              <w:bottom w:val="single" w:color="auto" w:sz="4" w:space="0"/>
              <w:right w:val="single" w:color="auto" w:sz="4" w:space="0"/>
            </w:tcBorders>
            <w:vAlign w:val="center"/>
          </w:tcPr>
          <w:p w14:paraId="0280D625">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=90%</w:t>
            </w:r>
          </w:p>
        </w:tc>
        <w:tc>
          <w:tcPr>
            <w:tcW w:w="305" w:type="pct"/>
            <w:tcBorders>
              <w:top w:val="nil"/>
              <w:left w:val="nil"/>
              <w:bottom w:val="single" w:color="auto" w:sz="4" w:space="0"/>
              <w:right w:val="single" w:color="auto" w:sz="4" w:space="0"/>
            </w:tcBorders>
            <w:vAlign w:val="center"/>
          </w:tcPr>
          <w:p w14:paraId="0342BDFB">
            <w:pPr>
              <w:widowControl/>
              <w:spacing w:after="0" w:line="200" w:lineRule="exact"/>
              <w:jc w:val="center"/>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rPr>
              <w:t>100</w:t>
            </w:r>
            <w:r>
              <w:rPr>
                <w:rFonts w:hint="eastAsia" w:ascii="宋体" w:hAnsi="宋体" w:cs="宋体"/>
                <w:color w:val="000000"/>
                <w:kern w:val="0"/>
                <w:sz w:val="18"/>
                <w:szCs w:val="18"/>
                <w:lang w:val="en-US" w:eastAsia="zh-CN"/>
              </w:rPr>
              <w:t>%</w:t>
            </w:r>
          </w:p>
        </w:tc>
        <w:tc>
          <w:tcPr>
            <w:tcW w:w="268" w:type="pct"/>
            <w:tcBorders>
              <w:top w:val="nil"/>
              <w:left w:val="nil"/>
              <w:bottom w:val="single" w:color="auto" w:sz="4" w:space="0"/>
              <w:right w:val="single" w:color="auto" w:sz="4" w:space="0"/>
            </w:tcBorders>
            <w:vAlign w:val="center"/>
          </w:tcPr>
          <w:p w14:paraId="77B6F46C">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316" w:type="pct"/>
            <w:tcBorders>
              <w:top w:val="nil"/>
              <w:left w:val="nil"/>
              <w:bottom w:val="single" w:color="auto" w:sz="4" w:space="0"/>
              <w:right w:val="single" w:color="auto" w:sz="4" w:space="0"/>
            </w:tcBorders>
            <w:vAlign w:val="center"/>
          </w:tcPr>
          <w:p w14:paraId="768BDFDE">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计划标准</w:t>
            </w:r>
          </w:p>
        </w:tc>
        <w:tc>
          <w:tcPr>
            <w:tcW w:w="293" w:type="pct"/>
            <w:tcBorders>
              <w:top w:val="nil"/>
              <w:left w:val="nil"/>
              <w:bottom w:val="single" w:color="auto" w:sz="4" w:space="0"/>
              <w:right w:val="single" w:color="auto" w:sz="4" w:space="0"/>
            </w:tcBorders>
            <w:vAlign w:val="center"/>
          </w:tcPr>
          <w:p w14:paraId="0410FDA6">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338" w:type="pct"/>
            <w:tcBorders>
              <w:top w:val="nil"/>
              <w:left w:val="nil"/>
              <w:bottom w:val="single" w:color="auto" w:sz="4" w:space="0"/>
              <w:right w:val="single" w:color="auto" w:sz="4" w:space="0"/>
            </w:tcBorders>
            <w:vAlign w:val="center"/>
          </w:tcPr>
          <w:p w14:paraId="6F1489AD">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按照完成比例赋分</w:t>
            </w:r>
          </w:p>
        </w:tc>
        <w:tc>
          <w:tcPr>
            <w:tcW w:w="247" w:type="pct"/>
            <w:tcBorders>
              <w:top w:val="nil"/>
              <w:left w:val="nil"/>
              <w:bottom w:val="single" w:color="auto" w:sz="4" w:space="0"/>
              <w:right w:val="single" w:color="auto" w:sz="4" w:space="0"/>
            </w:tcBorders>
            <w:vAlign w:val="center"/>
          </w:tcPr>
          <w:p w14:paraId="57D00FFF">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工作资料</w:t>
            </w:r>
          </w:p>
        </w:tc>
        <w:tc>
          <w:tcPr>
            <w:tcW w:w="309" w:type="pct"/>
            <w:tcBorders>
              <w:top w:val="nil"/>
              <w:left w:val="nil"/>
              <w:bottom w:val="single" w:color="auto" w:sz="4" w:space="0"/>
              <w:right w:val="single" w:color="auto" w:sz="4" w:space="0"/>
            </w:tcBorders>
            <w:vAlign w:val="center"/>
          </w:tcPr>
          <w:p w14:paraId="1ECDA8D6">
            <w:pPr>
              <w:widowControl/>
              <w:spacing w:after="0" w:line="200" w:lineRule="exact"/>
              <w:jc w:val="center"/>
              <w:rPr>
                <w:rFonts w:hint="eastAsia" w:ascii="宋体" w:hAnsi="宋体" w:cs="宋体"/>
                <w:color w:val="000000"/>
                <w:kern w:val="0"/>
                <w:sz w:val="18"/>
                <w:szCs w:val="18"/>
              </w:rPr>
            </w:pPr>
          </w:p>
        </w:tc>
        <w:tc>
          <w:tcPr>
            <w:tcW w:w="80" w:type="pct"/>
            <w:vAlign w:val="center"/>
          </w:tcPr>
          <w:p w14:paraId="53517E55">
            <w:pPr>
              <w:widowControl/>
              <w:spacing w:after="0" w:line="200" w:lineRule="exact"/>
              <w:jc w:val="left"/>
              <w:rPr>
                <w:rFonts w:eastAsia="Times New Roman"/>
                <w:kern w:val="0"/>
                <w:sz w:val="20"/>
                <w:szCs w:val="20"/>
              </w:rPr>
            </w:pPr>
          </w:p>
        </w:tc>
      </w:tr>
      <w:tr w14:paraId="3AE6966D">
        <w:tblPrEx>
          <w:tblCellMar>
            <w:top w:w="0" w:type="dxa"/>
            <w:left w:w="108" w:type="dxa"/>
            <w:bottom w:w="0" w:type="dxa"/>
            <w:right w:w="108" w:type="dxa"/>
          </w:tblCellMar>
        </w:tblPrEx>
        <w:tc>
          <w:tcPr>
            <w:tcW w:w="209" w:type="pct"/>
            <w:vMerge w:val="continue"/>
            <w:tcBorders>
              <w:top w:val="nil"/>
              <w:left w:val="single" w:color="auto" w:sz="4" w:space="0"/>
              <w:bottom w:val="single" w:color="auto" w:sz="4" w:space="0"/>
              <w:right w:val="single" w:color="auto" w:sz="4" w:space="0"/>
            </w:tcBorders>
            <w:vAlign w:val="center"/>
          </w:tcPr>
          <w:p w14:paraId="6560E762">
            <w:pPr>
              <w:widowControl/>
              <w:spacing w:after="0" w:line="200" w:lineRule="exact"/>
              <w:jc w:val="left"/>
              <w:rPr>
                <w:rFonts w:hint="eastAsia" w:ascii="宋体" w:hAnsi="宋体" w:cs="宋体"/>
                <w:b/>
                <w:bCs/>
                <w:color w:val="000000"/>
                <w:kern w:val="0"/>
                <w:sz w:val="18"/>
                <w:szCs w:val="18"/>
              </w:rPr>
            </w:pPr>
          </w:p>
        </w:tc>
        <w:tc>
          <w:tcPr>
            <w:tcW w:w="275" w:type="pct"/>
            <w:vMerge w:val="continue"/>
            <w:tcBorders>
              <w:top w:val="nil"/>
              <w:left w:val="single" w:color="auto" w:sz="4" w:space="0"/>
              <w:bottom w:val="single" w:color="auto" w:sz="4" w:space="0"/>
              <w:right w:val="single" w:color="auto" w:sz="4" w:space="0"/>
            </w:tcBorders>
            <w:vAlign w:val="center"/>
          </w:tcPr>
          <w:p w14:paraId="62F68C80">
            <w:pPr>
              <w:widowControl/>
              <w:spacing w:after="0" w:line="200" w:lineRule="exact"/>
              <w:jc w:val="left"/>
              <w:rPr>
                <w:rFonts w:hint="eastAsia" w:ascii="宋体" w:hAnsi="宋体" w:cs="宋体"/>
                <w:color w:val="000000"/>
                <w:kern w:val="0"/>
                <w:sz w:val="18"/>
                <w:szCs w:val="18"/>
              </w:rPr>
            </w:pPr>
          </w:p>
        </w:tc>
        <w:tc>
          <w:tcPr>
            <w:tcW w:w="347" w:type="pct"/>
            <w:tcBorders>
              <w:top w:val="nil"/>
              <w:left w:val="nil"/>
              <w:bottom w:val="single" w:color="auto" w:sz="4" w:space="0"/>
              <w:right w:val="single" w:color="auto" w:sz="4" w:space="0"/>
            </w:tcBorders>
            <w:vAlign w:val="center"/>
          </w:tcPr>
          <w:p w14:paraId="528E009B">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质量指标</w:t>
            </w:r>
          </w:p>
        </w:tc>
        <w:tc>
          <w:tcPr>
            <w:tcW w:w="896" w:type="pct"/>
            <w:tcBorders>
              <w:top w:val="nil"/>
              <w:left w:val="nil"/>
              <w:bottom w:val="single" w:color="auto" w:sz="4" w:space="0"/>
              <w:right w:val="single" w:color="auto" w:sz="4" w:space="0"/>
            </w:tcBorders>
            <w:vAlign w:val="center"/>
          </w:tcPr>
          <w:p w14:paraId="35522D0B">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水网项目出具审查（核）率</w:t>
            </w:r>
          </w:p>
        </w:tc>
        <w:tc>
          <w:tcPr>
            <w:tcW w:w="304" w:type="pct"/>
            <w:tcBorders>
              <w:top w:val="nil"/>
              <w:left w:val="nil"/>
              <w:bottom w:val="single" w:color="auto" w:sz="4" w:space="0"/>
              <w:right w:val="single" w:color="auto" w:sz="4" w:space="0"/>
            </w:tcBorders>
            <w:vAlign w:val="center"/>
          </w:tcPr>
          <w:p w14:paraId="1572D35D">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447" w:type="pct"/>
            <w:tcBorders>
              <w:top w:val="nil"/>
              <w:left w:val="nil"/>
              <w:bottom w:val="single" w:color="auto" w:sz="4" w:space="0"/>
              <w:right w:val="single" w:color="auto" w:sz="4" w:space="0"/>
            </w:tcBorders>
            <w:vAlign w:val="center"/>
          </w:tcPr>
          <w:p w14:paraId="687659C2">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&gt;=70%</w:t>
            </w:r>
          </w:p>
        </w:tc>
        <w:tc>
          <w:tcPr>
            <w:tcW w:w="366" w:type="pct"/>
            <w:gridSpan w:val="2"/>
            <w:tcBorders>
              <w:top w:val="nil"/>
              <w:left w:val="nil"/>
              <w:bottom w:val="single" w:color="auto" w:sz="4" w:space="0"/>
              <w:right w:val="single" w:color="auto" w:sz="4" w:space="0"/>
            </w:tcBorders>
            <w:vAlign w:val="center"/>
          </w:tcPr>
          <w:p w14:paraId="42638386">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=70%</w:t>
            </w:r>
          </w:p>
        </w:tc>
        <w:tc>
          <w:tcPr>
            <w:tcW w:w="305" w:type="pct"/>
            <w:tcBorders>
              <w:top w:val="nil"/>
              <w:left w:val="nil"/>
              <w:bottom w:val="single" w:color="auto" w:sz="4" w:space="0"/>
              <w:right w:val="single" w:color="auto" w:sz="4" w:space="0"/>
            </w:tcBorders>
            <w:vAlign w:val="center"/>
          </w:tcPr>
          <w:p w14:paraId="371C6682">
            <w:pPr>
              <w:widowControl/>
              <w:spacing w:after="0" w:line="200" w:lineRule="exact"/>
              <w:jc w:val="center"/>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rPr>
              <w:t>100</w:t>
            </w:r>
            <w:r>
              <w:rPr>
                <w:rFonts w:hint="eastAsia" w:ascii="宋体" w:hAnsi="宋体" w:cs="宋体"/>
                <w:color w:val="000000"/>
                <w:kern w:val="0"/>
                <w:sz w:val="18"/>
                <w:szCs w:val="18"/>
                <w:lang w:val="en-US" w:eastAsia="zh-CN"/>
              </w:rPr>
              <w:t>%</w:t>
            </w:r>
          </w:p>
        </w:tc>
        <w:tc>
          <w:tcPr>
            <w:tcW w:w="268" w:type="pct"/>
            <w:tcBorders>
              <w:top w:val="nil"/>
              <w:left w:val="nil"/>
              <w:bottom w:val="single" w:color="auto" w:sz="4" w:space="0"/>
              <w:right w:val="single" w:color="auto" w:sz="4" w:space="0"/>
            </w:tcBorders>
            <w:vAlign w:val="center"/>
          </w:tcPr>
          <w:p w14:paraId="785873F8">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316" w:type="pct"/>
            <w:tcBorders>
              <w:top w:val="nil"/>
              <w:left w:val="nil"/>
              <w:bottom w:val="single" w:color="auto" w:sz="4" w:space="0"/>
              <w:right w:val="single" w:color="auto" w:sz="4" w:space="0"/>
            </w:tcBorders>
            <w:vAlign w:val="center"/>
          </w:tcPr>
          <w:p w14:paraId="2C727438">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计划标准</w:t>
            </w:r>
          </w:p>
        </w:tc>
        <w:tc>
          <w:tcPr>
            <w:tcW w:w="293" w:type="pct"/>
            <w:tcBorders>
              <w:top w:val="nil"/>
              <w:left w:val="nil"/>
              <w:bottom w:val="single" w:color="auto" w:sz="4" w:space="0"/>
              <w:right w:val="single" w:color="auto" w:sz="4" w:space="0"/>
            </w:tcBorders>
            <w:vAlign w:val="center"/>
          </w:tcPr>
          <w:p w14:paraId="002F72F8">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338" w:type="pct"/>
            <w:tcBorders>
              <w:top w:val="nil"/>
              <w:left w:val="nil"/>
              <w:bottom w:val="single" w:color="auto" w:sz="4" w:space="0"/>
              <w:right w:val="single" w:color="auto" w:sz="4" w:space="0"/>
            </w:tcBorders>
            <w:vAlign w:val="center"/>
          </w:tcPr>
          <w:p w14:paraId="37D25AD0">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按照完成比例赋分</w:t>
            </w:r>
          </w:p>
        </w:tc>
        <w:tc>
          <w:tcPr>
            <w:tcW w:w="247" w:type="pct"/>
            <w:tcBorders>
              <w:top w:val="nil"/>
              <w:left w:val="nil"/>
              <w:bottom w:val="single" w:color="auto" w:sz="4" w:space="0"/>
              <w:right w:val="single" w:color="auto" w:sz="4" w:space="0"/>
            </w:tcBorders>
            <w:vAlign w:val="center"/>
          </w:tcPr>
          <w:p w14:paraId="37F2A5CE">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正式材料</w:t>
            </w:r>
          </w:p>
        </w:tc>
        <w:tc>
          <w:tcPr>
            <w:tcW w:w="309" w:type="pct"/>
            <w:tcBorders>
              <w:top w:val="nil"/>
              <w:left w:val="nil"/>
              <w:bottom w:val="single" w:color="auto" w:sz="4" w:space="0"/>
              <w:right w:val="single" w:color="auto" w:sz="4" w:space="0"/>
            </w:tcBorders>
            <w:vAlign w:val="center"/>
          </w:tcPr>
          <w:p w14:paraId="7A532EF8">
            <w:pPr>
              <w:widowControl/>
              <w:spacing w:after="0" w:line="200" w:lineRule="exact"/>
              <w:jc w:val="center"/>
              <w:rPr>
                <w:rFonts w:hint="eastAsia" w:ascii="宋体" w:hAnsi="宋体" w:cs="宋体"/>
                <w:color w:val="000000"/>
                <w:kern w:val="0"/>
                <w:sz w:val="18"/>
                <w:szCs w:val="18"/>
              </w:rPr>
            </w:pPr>
          </w:p>
        </w:tc>
        <w:tc>
          <w:tcPr>
            <w:tcW w:w="80" w:type="pct"/>
            <w:vAlign w:val="center"/>
          </w:tcPr>
          <w:p w14:paraId="5AF21E02">
            <w:pPr>
              <w:widowControl/>
              <w:spacing w:after="0" w:line="200" w:lineRule="exact"/>
              <w:jc w:val="left"/>
              <w:rPr>
                <w:rFonts w:eastAsia="Times New Roman"/>
                <w:kern w:val="0"/>
                <w:sz w:val="20"/>
                <w:szCs w:val="20"/>
              </w:rPr>
            </w:pPr>
          </w:p>
        </w:tc>
      </w:tr>
      <w:tr w14:paraId="55EAB62A">
        <w:tblPrEx>
          <w:tblCellMar>
            <w:top w:w="0" w:type="dxa"/>
            <w:left w:w="108" w:type="dxa"/>
            <w:bottom w:w="0" w:type="dxa"/>
            <w:right w:w="108" w:type="dxa"/>
          </w:tblCellMar>
        </w:tblPrEx>
        <w:tc>
          <w:tcPr>
            <w:tcW w:w="209" w:type="pct"/>
            <w:vMerge w:val="continue"/>
            <w:tcBorders>
              <w:top w:val="nil"/>
              <w:left w:val="single" w:color="auto" w:sz="4" w:space="0"/>
              <w:bottom w:val="single" w:color="auto" w:sz="4" w:space="0"/>
              <w:right w:val="single" w:color="auto" w:sz="4" w:space="0"/>
            </w:tcBorders>
            <w:vAlign w:val="center"/>
          </w:tcPr>
          <w:p w14:paraId="0E59517E">
            <w:pPr>
              <w:widowControl/>
              <w:spacing w:after="0" w:line="200" w:lineRule="exact"/>
              <w:jc w:val="left"/>
              <w:rPr>
                <w:rFonts w:hint="eastAsia" w:ascii="宋体" w:hAnsi="宋体" w:cs="宋体"/>
                <w:b/>
                <w:bCs/>
                <w:color w:val="000000"/>
                <w:kern w:val="0"/>
                <w:sz w:val="18"/>
                <w:szCs w:val="18"/>
              </w:rPr>
            </w:pPr>
          </w:p>
        </w:tc>
        <w:tc>
          <w:tcPr>
            <w:tcW w:w="275" w:type="pct"/>
            <w:vMerge w:val="continue"/>
            <w:tcBorders>
              <w:top w:val="nil"/>
              <w:left w:val="single" w:color="auto" w:sz="4" w:space="0"/>
              <w:bottom w:val="single" w:color="auto" w:sz="4" w:space="0"/>
              <w:right w:val="single" w:color="auto" w:sz="4" w:space="0"/>
            </w:tcBorders>
            <w:vAlign w:val="center"/>
          </w:tcPr>
          <w:p w14:paraId="3950ECB3">
            <w:pPr>
              <w:widowControl/>
              <w:spacing w:after="0" w:line="200" w:lineRule="exact"/>
              <w:jc w:val="left"/>
              <w:rPr>
                <w:rFonts w:hint="eastAsia" w:ascii="宋体" w:hAnsi="宋体" w:cs="宋体"/>
                <w:color w:val="000000"/>
                <w:kern w:val="0"/>
                <w:sz w:val="18"/>
                <w:szCs w:val="18"/>
              </w:rPr>
            </w:pPr>
          </w:p>
        </w:tc>
        <w:tc>
          <w:tcPr>
            <w:tcW w:w="347" w:type="pct"/>
            <w:tcBorders>
              <w:top w:val="nil"/>
              <w:left w:val="nil"/>
              <w:bottom w:val="single" w:color="auto" w:sz="4" w:space="0"/>
              <w:right w:val="single" w:color="auto" w:sz="4" w:space="0"/>
            </w:tcBorders>
            <w:vAlign w:val="center"/>
          </w:tcPr>
          <w:p w14:paraId="5D4A1E8C">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质量指标</w:t>
            </w:r>
          </w:p>
        </w:tc>
        <w:tc>
          <w:tcPr>
            <w:tcW w:w="896" w:type="pct"/>
            <w:tcBorders>
              <w:top w:val="nil"/>
              <w:left w:val="nil"/>
              <w:bottom w:val="single" w:color="auto" w:sz="4" w:space="0"/>
              <w:right w:val="single" w:color="auto" w:sz="4" w:space="0"/>
            </w:tcBorders>
            <w:vAlign w:val="center"/>
          </w:tcPr>
          <w:p w14:paraId="25B2BBF1">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水网项目可研和初步设计阶段投资概算变幅≤10%</w:t>
            </w:r>
          </w:p>
        </w:tc>
        <w:tc>
          <w:tcPr>
            <w:tcW w:w="304" w:type="pct"/>
            <w:tcBorders>
              <w:top w:val="nil"/>
              <w:left w:val="nil"/>
              <w:bottom w:val="single" w:color="auto" w:sz="4" w:space="0"/>
              <w:right w:val="single" w:color="auto" w:sz="4" w:space="0"/>
            </w:tcBorders>
            <w:vAlign w:val="center"/>
          </w:tcPr>
          <w:p w14:paraId="6AA6CD60">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447" w:type="pct"/>
            <w:tcBorders>
              <w:top w:val="nil"/>
              <w:left w:val="nil"/>
              <w:bottom w:val="single" w:color="auto" w:sz="4" w:space="0"/>
              <w:right w:val="single" w:color="auto" w:sz="4" w:space="0"/>
            </w:tcBorders>
            <w:vAlign w:val="center"/>
          </w:tcPr>
          <w:p w14:paraId="135AA383">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&gt;=3个</w:t>
            </w:r>
          </w:p>
        </w:tc>
        <w:tc>
          <w:tcPr>
            <w:tcW w:w="366" w:type="pct"/>
            <w:gridSpan w:val="2"/>
            <w:tcBorders>
              <w:top w:val="nil"/>
              <w:left w:val="nil"/>
              <w:bottom w:val="single" w:color="auto" w:sz="4" w:space="0"/>
              <w:right w:val="single" w:color="auto" w:sz="4" w:space="0"/>
            </w:tcBorders>
            <w:vAlign w:val="center"/>
          </w:tcPr>
          <w:p w14:paraId="7FD4A569">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=3个</w:t>
            </w:r>
          </w:p>
        </w:tc>
        <w:tc>
          <w:tcPr>
            <w:tcW w:w="305" w:type="pct"/>
            <w:tcBorders>
              <w:top w:val="nil"/>
              <w:left w:val="nil"/>
              <w:bottom w:val="single" w:color="auto" w:sz="4" w:space="0"/>
              <w:right w:val="single" w:color="auto" w:sz="4" w:space="0"/>
            </w:tcBorders>
            <w:vAlign w:val="center"/>
          </w:tcPr>
          <w:p w14:paraId="70BF357A">
            <w:pPr>
              <w:widowControl/>
              <w:spacing w:after="0" w:line="200" w:lineRule="exact"/>
              <w:jc w:val="center"/>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rPr>
              <w:t>100</w:t>
            </w:r>
            <w:r>
              <w:rPr>
                <w:rFonts w:hint="eastAsia" w:ascii="宋体" w:hAnsi="宋体" w:cs="宋体"/>
                <w:color w:val="000000"/>
                <w:kern w:val="0"/>
                <w:sz w:val="18"/>
                <w:szCs w:val="18"/>
                <w:lang w:val="en-US" w:eastAsia="zh-CN"/>
              </w:rPr>
              <w:t>%</w:t>
            </w:r>
          </w:p>
        </w:tc>
        <w:tc>
          <w:tcPr>
            <w:tcW w:w="268" w:type="pct"/>
            <w:tcBorders>
              <w:top w:val="nil"/>
              <w:left w:val="nil"/>
              <w:bottom w:val="single" w:color="auto" w:sz="4" w:space="0"/>
              <w:right w:val="single" w:color="auto" w:sz="4" w:space="0"/>
            </w:tcBorders>
            <w:vAlign w:val="center"/>
          </w:tcPr>
          <w:p w14:paraId="0742B630">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316" w:type="pct"/>
            <w:tcBorders>
              <w:top w:val="nil"/>
              <w:left w:val="nil"/>
              <w:bottom w:val="single" w:color="auto" w:sz="4" w:space="0"/>
              <w:right w:val="single" w:color="auto" w:sz="4" w:space="0"/>
            </w:tcBorders>
            <w:shd w:val="clear" w:color="000000" w:fill="auto"/>
            <w:vAlign w:val="center"/>
          </w:tcPr>
          <w:p w14:paraId="39E1EB8B">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行业标准</w:t>
            </w:r>
          </w:p>
        </w:tc>
        <w:tc>
          <w:tcPr>
            <w:tcW w:w="293" w:type="pct"/>
            <w:tcBorders>
              <w:top w:val="nil"/>
              <w:left w:val="nil"/>
              <w:bottom w:val="single" w:color="auto" w:sz="4" w:space="0"/>
              <w:right w:val="single" w:color="auto" w:sz="4" w:space="0"/>
            </w:tcBorders>
            <w:vAlign w:val="center"/>
          </w:tcPr>
          <w:p w14:paraId="22FECDD2">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338" w:type="pct"/>
            <w:tcBorders>
              <w:top w:val="nil"/>
              <w:left w:val="nil"/>
              <w:bottom w:val="single" w:color="auto" w:sz="4" w:space="0"/>
              <w:right w:val="single" w:color="auto" w:sz="4" w:space="0"/>
            </w:tcBorders>
            <w:vAlign w:val="center"/>
          </w:tcPr>
          <w:p w14:paraId="6DE2DA72">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按照完成比例赋分</w:t>
            </w:r>
          </w:p>
        </w:tc>
        <w:tc>
          <w:tcPr>
            <w:tcW w:w="247" w:type="pct"/>
            <w:tcBorders>
              <w:top w:val="nil"/>
              <w:left w:val="nil"/>
              <w:bottom w:val="single" w:color="auto" w:sz="4" w:space="0"/>
              <w:right w:val="single" w:color="auto" w:sz="4" w:space="0"/>
            </w:tcBorders>
            <w:vAlign w:val="center"/>
          </w:tcPr>
          <w:p w14:paraId="50E9C201">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正式材料</w:t>
            </w:r>
          </w:p>
        </w:tc>
        <w:tc>
          <w:tcPr>
            <w:tcW w:w="309" w:type="pct"/>
            <w:tcBorders>
              <w:top w:val="nil"/>
              <w:left w:val="nil"/>
              <w:bottom w:val="single" w:color="auto" w:sz="4" w:space="0"/>
              <w:right w:val="single" w:color="auto" w:sz="4" w:space="0"/>
            </w:tcBorders>
            <w:vAlign w:val="center"/>
          </w:tcPr>
          <w:p w14:paraId="7009E316">
            <w:pPr>
              <w:widowControl/>
              <w:spacing w:after="0" w:line="200" w:lineRule="exact"/>
              <w:jc w:val="center"/>
              <w:rPr>
                <w:rFonts w:hint="eastAsia" w:ascii="宋体" w:hAnsi="宋体" w:cs="宋体"/>
                <w:color w:val="000000"/>
                <w:kern w:val="0"/>
                <w:sz w:val="18"/>
                <w:szCs w:val="18"/>
              </w:rPr>
            </w:pPr>
          </w:p>
        </w:tc>
        <w:tc>
          <w:tcPr>
            <w:tcW w:w="80" w:type="pct"/>
            <w:vAlign w:val="center"/>
          </w:tcPr>
          <w:p w14:paraId="3493EE1A">
            <w:pPr>
              <w:widowControl/>
              <w:spacing w:after="0" w:line="200" w:lineRule="exact"/>
              <w:jc w:val="left"/>
              <w:rPr>
                <w:rFonts w:eastAsia="Times New Roman"/>
                <w:kern w:val="0"/>
                <w:sz w:val="20"/>
                <w:szCs w:val="20"/>
              </w:rPr>
            </w:pPr>
          </w:p>
        </w:tc>
      </w:tr>
      <w:tr w14:paraId="25AFA36C">
        <w:tblPrEx>
          <w:tblCellMar>
            <w:top w:w="0" w:type="dxa"/>
            <w:left w:w="108" w:type="dxa"/>
            <w:bottom w:w="0" w:type="dxa"/>
            <w:right w:w="108" w:type="dxa"/>
          </w:tblCellMar>
        </w:tblPrEx>
        <w:tc>
          <w:tcPr>
            <w:tcW w:w="209" w:type="pct"/>
            <w:vMerge w:val="continue"/>
            <w:tcBorders>
              <w:top w:val="nil"/>
              <w:left w:val="single" w:color="auto" w:sz="4" w:space="0"/>
              <w:bottom w:val="single" w:color="auto" w:sz="4" w:space="0"/>
              <w:right w:val="single" w:color="auto" w:sz="4" w:space="0"/>
            </w:tcBorders>
            <w:vAlign w:val="center"/>
          </w:tcPr>
          <w:p w14:paraId="131B60F3">
            <w:pPr>
              <w:widowControl/>
              <w:spacing w:after="0" w:line="200" w:lineRule="exact"/>
              <w:jc w:val="left"/>
              <w:rPr>
                <w:rFonts w:hint="eastAsia" w:ascii="宋体" w:hAnsi="宋体" w:cs="宋体"/>
                <w:b/>
                <w:bCs/>
                <w:color w:val="000000"/>
                <w:kern w:val="0"/>
                <w:sz w:val="18"/>
                <w:szCs w:val="18"/>
              </w:rPr>
            </w:pPr>
          </w:p>
        </w:tc>
        <w:tc>
          <w:tcPr>
            <w:tcW w:w="275" w:type="pct"/>
            <w:vMerge w:val="continue"/>
            <w:tcBorders>
              <w:top w:val="nil"/>
              <w:left w:val="single" w:color="auto" w:sz="4" w:space="0"/>
              <w:bottom w:val="single" w:color="auto" w:sz="4" w:space="0"/>
              <w:right w:val="single" w:color="auto" w:sz="4" w:space="0"/>
            </w:tcBorders>
            <w:vAlign w:val="center"/>
          </w:tcPr>
          <w:p w14:paraId="134F0A59">
            <w:pPr>
              <w:widowControl/>
              <w:spacing w:after="0" w:line="200" w:lineRule="exact"/>
              <w:jc w:val="left"/>
              <w:rPr>
                <w:rFonts w:hint="eastAsia" w:ascii="宋体" w:hAnsi="宋体" w:cs="宋体"/>
                <w:color w:val="000000"/>
                <w:kern w:val="0"/>
                <w:sz w:val="18"/>
                <w:szCs w:val="18"/>
              </w:rPr>
            </w:pPr>
          </w:p>
        </w:tc>
        <w:tc>
          <w:tcPr>
            <w:tcW w:w="347" w:type="pct"/>
            <w:tcBorders>
              <w:top w:val="nil"/>
              <w:left w:val="nil"/>
              <w:bottom w:val="single" w:color="auto" w:sz="4" w:space="0"/>
              <w:right w:val="single" w:color="auto" w:sz="4" w:space="0"/>
            </w:tcBorders>
            <w:vAlign w:val="center"/>
          </w:tcPr>
          <w:p w14:paraId="2742D0CF">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时效指标</w:t>
            </w:r>
          </w:p>
        </w:tc>
        <w:tc>
          <w:tcPr>
            <w:tcW w:w="896" w:type="pct"/>
            <w:tcBorders>
              <w:top w:val="nil"/>
              <w:left w:val="nil"/>
              <w:bottom w:val="single" w:color="auto" w:sz="4" w:space="0"/>
              <w:right w:val="single" w:color="auto" w:sz="4" w:space="0"/>
            </w:tcBorders>
            <w:vAlign w:val="center"/>
          </w:tcPr>
          <w:p w14:paraId="678A06B4">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及时组织对水网项目进行技术审查或讨论</w:t>
            </w:r>
          </w:p>
        </w:tc>
        <w:tc>
          <w:tcPr>
            <w:tcW w:w="304" w:type="pct"/>
            <w:tcBorders>
              <w:top w:val="nil"/>
              <w:left w:val="nil"/>
              <w:bottom w:val="single" w:color="auto" w:sz="4" w:space="0"/>
              <w:right w:val="single" w:color="auto" w:sz="4" w:space="0"/>
            </w:tcBorders>
            <w:vAlign w:val="center"/>
          </w:tcPr>
          <w:p w14:paraId="3A58AA17">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447" w:type="pct"/>
            <w:tcBorders>
              <w:top w:val="nil"/>
              <w:left w:val="nil"/>
              <w:bottom w:val="single" w:color="auto" w:sz="4" w:space="0"/>
              <w:right w:val="single" w:color="auto" w:sz="4" w:space="0"/>
            </w:tcBorders>
            <w:vAlign w:val="center"/>
          </w:tcPr>
          <w:p w14:paraId="4DC9D25A">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=12月底</w:t>
            </w:r>
          </w:p>
        </w:tc>
        <w:tc>
          <w:tcPr>
            <w:tcW w:w="366" w:type="pct"/>
            <w:gridSpan w:val="2"/>
            <w:tcBorders>
              <w:top w:val="nil"/>
              <w:left w:val="nil"/>
              <w:bottom w:val="single" w:color="auto" w:sz="4" w:space="0"/>
              <w:right w:val="single" w:color="auto" w:sz="4" w:space="0"/>
            </w:tcBorders>
            <w:vAlign w:val="center"/>
          </w:tcPr>
          <w:p w14:paraId="60956757">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=12月底</w:t>
            </w:r>
          </w:p>
        </w:tc>
        <w:tc>
          <w:tcPr>
            <w:tcW w:w="305" w:type="pct"/>
            <w:tcBorders>
              <w:top w:val="nil"/>
              <w:left w:val="nil"/>
              <w:bottom w:val="single" w:color="auto" w:sz="4" w:space="0"/>
              <w:right w:val="single" w:color="auto" w:sz="4" w:space="0"/>
            </w:tcBorders>
            <w:vAlign w:val="center"/>
          </w:tcPr>
          <w:p w14:paraId="06B7F96B">
            <w:pPr>
              <w:widowControl/>
              <w:spacing w:after="0" w:line="200" w:lineRule="exact"/>
              <w:jc w:val="center"/>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rPr>
              <w:t>100</w:t>
            </w:r>
            <w:r>
              <w:rPr>
                <w:rFonts w:hint="eastAsia" w:ascii="宋体" w:hAnsi="宋体" w:cs="宋体"/>
                <w:color w:val="000000"/>
                <w:kern w:val="0"/>
                <w:sz w:val="18"/>
                <w:szCs w:val="18"/>
                <w:lang w:val="en-US" w:eastAsia="zh-CN"/>
              </w:rPr>
              <w:t>%</w:t>
            </w:r>
          </w:p>
        </w:tc>
        <w:tc>
          <w:tcPr>
            <w:tcW w:w="268" w:type="pct"/>
            <w:tcBorders>
              <w:top w:val="nil"/>
              <w:left w:val="nil"/>
              <w:bottom w:val="single" w:color="auto" w:sz="4" w:space="0"/>
              <w:right w:val="single" w:color="auto" w:sz="4" w:space="0"/>
            </w:tcBorders>
            <w:vAlign w:val="center"/>
          </w:tcPr>
          <w:p w14:paraId="34A5899A">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316" w:type="pct"/>
            <w:tcBorders>
              <w:top w:val="nil"/>
              <w:left w:val="nil"/>
              <w:bottom w:val="single" w:color="auto" w:sz="4" w:space="0"/>
              <w:right w:val="single" w:color="auto" w:sz="4" w:space="0"/>
            </w:tcBorders>
            <w:vAlign w:val="center"/>
          </w:tcPr>
          <w:p w14:paraId="4AC9B5FA">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计划标准</w:t>
            </w:r>
          </w:p>
        </w:tc>
        <w:tc>
          <w:tcPr>
            <w:tcW w:w="293" w:type="pct"/>
            <w:tcBorders>
              <w:top w:val="nil"/>
              <w:left w:val="nil"/>
              <w:bottom w:val="single" w:color="auto" w:sz="4" w:space="0"/>
              <w:right w:val="single" w:color="auto" w:sz="4" w:space="0"/>
            </w:tcBorders>
            <w:vAlign w:val="center"/>
          </w:tcPr>
          <w:p w14:paraId="4141B714">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338" w:type="pct"/>
            <w:tcBorders>
              <w:top w:val="nil"/>
              <w:left w:val="nil"/>
              <w:bottom w:val="single" w:color="auto" w:sz="4" w:space="0"/>
              <w:right w:val="single" w:color="auto" w:sz="4" w:space="0"/>
            </w:tcBorders>
            <w:vAlign w:val="center"/>
          </w:tcPr>
          <w:p w14:paraId="2C9E402E">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按照完成比例赋分</w:t>
            </w:r>
          </w:p>
        </w:tc>
        <w:tc>
          <w:tcPr>
            <w:tcW w:w="247" w:type="pct"/>
            <w:tcBorders>
              <w:top w:val="nil"/>
              <w:left w:val="nil"/>
              <w:bottom w:val="single" w:color="auto" w:sz="4" w:space="0"/>
              <w:right w:val="single" w:color="auto" w:sz="4" w:space="0"/>
            </w:tcBorders>
            <w:vAlign w:val="center"/>
          </w:tcPr>
          <w:p w14:paraId="051C1998">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工作资料</w:t>
            </w:r>
          </w:p>
        </w:tc>
        <w:tc>
          <w:tcPr>
            <w:tcW w:w="309" w:type="pct"/>
            <w:tcBorders>
              <w:top w:val="nil"/>
              <w:left w:val="nil"/>
              <w:bottom w:val="single" w:color="auto" w:sz="4" w:space="0"/>
              <w:right w:val="single" w:color="auto" w:sz="4" w:space="0"/>
            </w:tcBorders>
            <w:vAlign w:val="center"/>
          </w:tcPr>
          <w:p w14:paraId="35F217FE">
            <w:pPr>
              <w:widowControl/>
              <w:spacing w:after="0" w:line="200" w:lineRule="exact"/>
              <w:jc w:val="center"/>
              <w:rPr>
                <w:rFonts w:hint="eastAsia" w:ascii="宋体" w:hAnsi="宋体" w:cs="宋体"/>
                <w:color w:val="000000"/>
                <w:kern w:val="0"/>
                <w:sz w:val="18"/>
                <w:szCs w:val="18"/>
              </w:rPr>
            </w:pPr>
          </w:p>
        </w:tc>
        <w:tc>
          <w:tcPr>
            <w:tcW w:w="80" w:type="pct"/>
            <w:vAlign w:val="center"/>
          </w:tcPr>
          <w:p w14:paraId="6F39577A">
            <w:pPr>
              <w:widowControl/>
              <w:spacing w:after="0" w:line="200" w:lineRule="exact"/>
              <w:jc w:val="left"/>
              <w:rPr>
                <w:rFonts w:eastAsia="Times New Roman"/>
                <w:kern w:val="0"/>
                <w:sz w:val="20"/>
                <w:szCs w:val="20"/>
              </w:rPr>
            </w:pPr>
          </w:p>
        </w:tc>
      </w:tr>
      <w:tr w14:paraId="256B2FAC">
        <w:tblPrEx>
          <w:tblCellMar>
            <w:top w:w="0" w:type="dxa"/>
            <w:left w:w="108" w:type="dxa"/>
            <w:bottom w:w="0" w:type="dxa"/>
            <w:right w:w="108" w:type="dxa"/>
          </w:tblCellMar>
        </w:tblPrEx>
        <w:tc>
          <w:tcPr>
            <w:tcW w:w="209" w:type="pct"/>
            <w:vMerge w:val="continue"/>
            <w:tcBorders>
              <w:top w:val="nil"/>
              <w:left w:val="single" w:color="auto" w:sz="4" w:space="0"/>
              <w:bottom w:val="single" w:color="auto" w:sz="4" w:space="0"/>
              <w:right w:val="single" w:color="auto" w:sz="4" w:space="0"/>
            </w:tcBorders>
            <w:vAlign w:val="center"/>
          </w:tcPr>
          <w:p w14:paraId="6B22AA71">
            <w:pPr>
              <w:widowControl/>
              <w:spacing w:after="0" w:line="200" w:lineRule="exact"/>
              <w:jc w:val="left"/>
              <w:rPr>
                <w:rFonts w:hint="eastAsia" w:ascii="宋体" w:hAnsi="宋体" w:cs="宋体"/>
                <w:b/>
                <w:bCs/>
                <w:color w:val="000000"/>
                <w:kern w:val="0"/>
                <w:sz w:val="18"/>
                <w:szCs w:val="18"/>
              </w:rPr>
            </w:pPr>
          </w:p>
        </w:tc>
        <w:tc>
          <w:tcPr>
            <w:tcW w:w="275" w:type="pct"/>
            <w:vMerge w:val="continue"/>
            <w:tcBorders>
              <w:top w:val="nil"/>
              <w:left w:val="single" w:color="auto" w:sz="4" w:space="0"/>
              <w:bottom w:val="single" w:color="auto" w:sz="4" w:space="0"/>
              <w:right w:val="single" w:color="auto" w:sz="4" w:space="0"/>
            </w:tcBorders>
            <w:vAlign w:val="center"/>
          </w:tcPr>
          <w:p w14:paraId="60AFC322">
            <w:pPr>
              <w:widowControl/>
              <w:spacing w:after="0" w:line="200" w:lineRule="exact"/>
              <w:jc w:val="left"/>
              <w:rPr>
                <w:rFonts w:hint="eastAsia" w:ascii="宋体" w:hAnsi="宋体" w:cs="宋体"/>
                <w:color w:val="000000"/>
                <w:kern w:val="0"/>
                <w:sz w:val="18"/>
                <w:szCs w:val="18"/>
              </w:rPr>
            </w:pPr>
          </w:p>
        </w:tc>
        <w:tc>
          <w:tcPr>
            <w:tcW w:w="347" w:type="pct"/>
            <w:tcBorders>
              <w:top w:val="nil"/>
              <w:left w:val="nil"/>
              <w:bottom w:val="single" w:color="auto" w:sz="4" w:space="0"/>
              <w:right w:val="single" w:color="auto" w:sz="4" w:space="0"/>
            </w:tcBorders>
            <w:vAlign w:val="center"/>
          </w:tcPr>
          <w:p w14:paraId="1BD6006F">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时效指标</w:t>
            </w:r>
          </w:p>
        </w:tc>
        <w:tc>
          <w:tcPr>
            <w:tcW w:w="896" w:type="pct"/>
            <w:tcBorders>
              <w:top w:val="nil"/>
              <w:left w:val="nil"/>
              <w:bottom w:val="single" w:color="auto" w:sz="4" w:space="0"/>
              <w:right w:val="single" w:color="auto" w:sz="4" w:space="0"/>
            </w:tcBorders>
            <w:vAlign w:val="center"/>
          </w:tcPr>
          <w:p w14:paraId="670B9045">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按时对水网重大水利工程进行现场勘察（调研）</w:t>
            </w:r>
          </w:p>
        </w:tc>
        <w:tc>
          <w:tcPr>
            <w:tcW w:w="304" w:type="pct"/>
            <w:tcBorders>
              <w:top w:val="nil"/>
              <w:left w:val="nil"/>
              <w:bottom w:val="single" w:color="auto" w:sz="4" w:space="0"/>
              <w:right w:val="single" w:color="auto" w:sz="4" w:space="0"/>
            </w:tcBorders>
            <w:vAlign w:val="center"/>
          </w:tcPr>
          <w:p w14:paraId="348F51C0">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447" w:type="pct"/>
            <w:tcBorders>
              <w:top w:val="nil"/>
              <w:left w:val="nil"/>
              <w:bottom w:val="single" w:color="auto" w:sz="4" w:space="0"/>
              <w:right w:val="single" w:color="auto" w:sz="4" w:space="0"/>
            </w:tcBorders>
            <w:vAlign w:val="center"/>
          </w:tcPr>
          <w:p w14:paraId="0D4740CD">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&lt;=20工作日</w:t>
            </w:r>
          </w:p>
        </w:tc>
        <w:tc>
          <w:tcPr>
            <w:tcW w:w="366" w:type="pct"/>
            <w:gridSpan w:val="2"/>
            <w:tcBorders>
              <w:top w:val="nil"/>
              <w:left w:val="nil"/>
              <w:bottom w:val="single" w:color="auto" w:sz="4" w:space="0"/>
              <w:right w:val="single" w:color="auto" w:sz="4" w:space="0"/>
            </w:tcBorders>
            <w:vAlign w:val="center"/>
          </w:tcPr>
          <w:p w14:paraId="4A15EC8F">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=20工作日</w:t>
            </w:r>
          </w:p>
        </w:tc>
        <w:tc>
          <w:tcPr>
            <w:tcW w:w="305" w:type="pct"/>
            <w:tcBorders>
              <w:top w:val="nil"/>
              <w:left w:val="nil"/>
              <w:bottom w:val="single" w:color="auto" w:sz="4" w:space="0"/>
              <w:right w:val="single" w:color="auto" w:sz="4" w:space="0"/>
            </w:tcBorders>
            <w:vAlign w:val="center"/>
          </w:tcPr>
          <w:p w14:paraId="2DB76023">
            <w:pPr>
              <w:widowControl/>
              <w:spacing w:after="0" w:line="200" w:lineRule="exact"/>
              <w:jc w:val="center"/>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rPr>
              <w:t>100</w:t>
            </w:r>
            <w:r>
              <w:rPr>
                <w:rFonts w:hint="eastAsia" w:ascii="宋体" w:hAnsi="宋体" w:cs="宋体"/>
                <w:color w:val="000000"/>
                <w:kern w:val="0"/>
                <w:sz w:val="18"/>
                <w:szCs w:val="18"/>
                <w:lang w:val="en-US" w:eastAsia="zh-CN"/>
              </w:rPr>
              <w:t>%</w:t>
            </w:r>
          </w:p>
        </w:tc>
        <w:tc>
          <w:tcPr>
            <w:tcW w:w="268" w:type="pct"/>
            <w:tcBorders>
              <w:top w:val="nil"/>
              <w:left w:val="nil"/>
              <w:bottom w:val="single" w:color="auto" w:sz="4" w:space="0"/>
              <w:right w:val="single" w:color="auto" w:sz="4" w:space="0"/>
            </w:tcBorders>
            <w:vAlign w:val="center"/>
          </w:tcPr>
          <w:p w14:paraId="4514567A">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4</w:t>
            </w:r>
          </w:p>
        </w:tc>
        <w:tc>
          <w:tcPr>
            <w:tcW w:w="316" w:type="pct"/>
            <w:tcBorders>
              <w:top w:val="nil"/>
              <w:left w:val="nil"/>
              <w:bottom w:val="single" w:color="auto" w:sz="4" w:space="0"/>
              <w:right w:val="single" w:color="auto" w:sz="4" w:space="0"/>
            </w:tcBorders>
            <w:vAlign w:val="center"/>
          </w:tcPr>
          <w:p w14:paraId="5403FC07">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计划标准</w:t>
            </w:r>
          </w:p>
        </w:tc>
        <w:tc>
          <w:tcPr>
            <w:tcW w:w="293" w:type="pct"/>
            <w:tcBorders>
              <w:top w:val="nil"/>
              <w:left w:val="nil"/>
              <w:bottom w:val="single" w:color="auto" w:sz="4" w:space="0"/>
              <w:right w:val="single" w:color="auto" w:sz="4" w:space="0"/>
            </w:tcBorders>
            <w:vAlign w:val="center"/>
          </w:tcPr>
          <w:p w14:paraId="6829D44D">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338" w:type="pct"/>
            <w:tcBorders>
              <w:top w:val="nil"/>
              <w:left w:val="nil"/>
              <w:bottom w:val="single" w:color="auto" w:sz="4" w:space="0"/>
              <w:right w:val="single" w:color="auto" w:sz="4" w:space="0"/>
            </w:tcBorders>
            <w:vAlign w:val="center"/>
          </w:tcPr>
          <w:p w14:paraId="4F77AE01">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按照完成比例赋分</w:t>
            </w:r>
          </w:p>
        </w:tc>
        <w:tc>
          <w:tcPr>
            <w:tcW w:w="247" w:type="pct"/>
            <w:tcBorders>
              <w:top w:val="nil"/>
              <w:left w:val="nil"/>
              <w:bottom w:val="single" w:color="auto" w:sz="4" w:space="0"/>
              <w:right w:val="single" w:color="auto" w:sz="4" w:space="0"/>
            </w:tcBorders>
            <w:vAlign w:val="center"/>
          </w:tcPr>
          <w:p w14:paraId="75339967">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工作资料</w:t>
            </w:r>
          </w:p>
        </w:tc>
        <w:tc>
          <w:tcPr>
            <w:tcW w:w="309" w:type="pct"/>
            <w:tcBorders>
              <w:top w:val="nil"/>
              <w:left w:val="nil"/>
              <w:bottom w:val="single" w:color="auto" w:sz="4" w:space="0"/>
              <w:right w:val="single" w:color="auto" w:sz="4" w:space="0"/>
            </w:tcBorders>
            <w:vAlign w:val="center"/>
          </w:tcPr>
          <w:p w14:paraId="07CDAD0D">
            <w:pPr>
              <w:widowControl/>
              <w:spacing w:after="0" w:line="200" w:lineRule="exact"/>
              <w:jc w:val="center"/>
              <w:rPr>
                <w:rFonts w:hint="eastAsia" w:ascii="宋体" w:hAnsi="宋体" w:cs="宋体"/>
                <w:color w:val="000000"/>
                <w:kern w:val="0"/>
                <w:sz w:val="18"/>
                <w:szCs w:val="18"/>
              </w:rPr>
            </w:pPr>
          </w:p>
        </w:tc>
        <w:tc>
          <w:tcPr>
            <w:tcW w:w="80" w:type="pct"/>
            <w:vAlign w:val="center"/>
          </w:tcPr>
          <w:p w14:paraId="7BF9CC72">
            <w:pPr>
              <w:widowControl/>
              <w:spacing w:after="0" w:line="200" w:lineRule="exact"/>
              <w:jc w:val="left"/>
              <w:rPr>
                <w:rFonts w:eastAsia="Times New Roman"/>
                <w:kern w:val="0"/>
                <w:sz w:val="20"/>
                <w:szCs w:val="20"/>
              </w:rPr>
            </w:pPr>
          </w:p>
        </w:tc>
      </w:tr>
      <w:tr w14:paraId="0C3BD621">
        <w:tblPrEx>
          <w:tblCellMar>
            <w:top w:w="0" w:type="dxa"/>
            <w:left w:w="108" w:type="dxa"/>
            <w:bottom w:w="0" w:type="dxa"/>
            <w:right w:w="108" w:type="dxa"/>
          </w:tblCellMar>
        </w:tblPrEx>
        <w:tc>
          <w:tcPr>
            <w:tcW w:w="209" w:type="pct"/>
            <w:vMerge w:val="continue"/>
            <w:tcBorders>
              <w:top w:val="nil"/>
              <w:left w:val="single" w:color="auto" w:sz="4" w:space="0"/>
              <w:bottom w:val="single" w:color="auto" w:sz="4" w:space="0"/>
              <w:right w:val="single" w:color="auto" w:sz="4" w:space="0"/>
            </w:tcBorders>
            <w:vAlign w:val="center"/>
          </w:tcPr>
          <w:p w14:paraId="788EBB5E">
            <w:pPr>
              <w:widowControl/>
              <w:spacing w:after="0" w:line="200" w:lineRule="exact"/>
              <w:jc w:val="left"/>
              <w:rPr>
                <w:rFonts w:hint="eastAsia" w:ascii="宋体" w:hAnsi="宋体" w:cs="宋体"/>
                <w:b/>
                <w:bCs/>
                <w:color w:val="000000"/>
                <w:kern w:val="0"/>
                <w:sz w:val="18"/>
                <w:szCs w:val="18"/>
              </w:rPr>
            </w:pPr>
          </w:p>
        </w:tc>
        <w:tc>
          <w:tcPr>
            <w:tcW w:w="275" w:type="pct"/>
            <w:vMerge w:val="continue"/>
            <w:tcBorders>
              <w:top w:val="nil"/>
              <w:left w:val="single" w:color="auto" w:sz="4" w:space="0"/>
              <w:bottom w:val="single" w:color="auto" w:sz="4" w:space="0"/>
              <w:right w:val="single" w:color="auto" w:sz="4" w:space="0"/>
            </w:tcBorders>
            <w:vAlign w:val="center"/>
          </w:tcPr>
          <w:p w14:paraId="166D0CD5">
            <w:pPr>
              <w:widowControl/>
              <w:spacing w:after="0" w:line="200" w:lineRule="exact"/>
              <w:jc w:val="left"/>
              <w:rPr>
                <w:rFonts w:hint="eastAsia" w:ascii="宋体" w:hAnsi="宋体" w:cs="宋体"/>
                <w:color w:val="000000"/>
                <w:kern w:val="0"/>
                <w:sz w:val="18"/>
                <w:szCs w:val="18"/>
              </w:rPr>
            </w:pPr>
          </w:p>
        </w:tc>
        <w:tc>
          <w:tcPr>
            <w:tcW w:w="347" w:type="pct"/>
            <w:tcBorders>
              <w:top w:val="nil"/>
              <w:left w:val="nil"/>
              <w:bottom w:val="single" w:color="auto" w:sz="4" w:space="0"/>
              <w:right w:val="single" w:color="auto" w:sz="4" w:space="0"/>
            </w:tcBorders>
            <w:vAlign w:val="center"/>
          </w:tcPr>
          <w:p w14:paraId="7AA199B7">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时效指标</w:t>
            </w:r>
          </w:p>
        </w:tc>
        <w:tc>
          <w:tcPr>
            <w:tcW w:w="896" w:type="pct"/>
            <w:tcBorders>
              <w:top w:val="nil"/>
              <w:left w:val="nil"/>
              <w:bottom w:val="single" w:color="auto" w:sz="4" w:space="0"/>
              <w:right w:val="single" w:color="auto" w:sz="4" w:space="0"/>
            </w:tcBorders>
            <w:vAlign w:val="center"/>
          </w:tcPr>
          <w:p w14:paraId="6DDB25F3">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及时出具相关审查意见</w:t>
            </w:r>
          </w:p>
        </w:tc>
        <w:tc>
          <w:tcPr>
            <w:tcW w:w="304" w:type="pct"/>
            <w:tcBorders>
              <w:top w:val="nil"/>
              <w:left w:val="nil"/>
              <w:bottom w:val="single" w:color="auto" w:sz="4" w:space="0"/>
              <w:right w:val="single" w:color="auto" w:sz="4" w:space="0"/>
            </w:tcBorders>
            <w:vAlign w:val="center"/>
          </w:tcPr>
          <w:p w14:paraId="6501FA0A">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447" w:type="pct"/>
            <w:tcBorders>
              <w:top w:val="nil"/>
              <w:left w:val="nil"/>
              <w:bottom w:val="single" w:color="auto" w:sz="4" w:space="0"/>
              <w:right w:val="single" w:color="auto" w:sz="4" w:space="0"/>
            </w:tcBorders>
            <w:vAlign w:val="center"/>
          </w:tcPr>
          <w:p w14:paraId="1E3E065C">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&lt;=20工作日</w:t>
            </w:r>
          </w:p>
        </w:tc>
        <w:tc>
          <w:tcPr>
            <w:tcW w:w="366" w:type="pct"/>
            <w:gridSpan w:val="2"/>
            <w:tcBorders>
              <w:top w:val="nil"/>
              <w:left w:val="nil"/>
              <w:bottom w:val="single" w:color="auto" w:sz="4" w:space="0"/>
              <w:right w:val="single" w:color="auto" w:sz="4" w:space="0"/>
            </w:tcBorders>
            <w:vAlign w:val="center"/>
          </w:tcPr>
          <w:p w14:paraId="345FE277">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=20工作日</w:t>
            </w:r>
          </w:p>
        </w:tc>
        <w:tc>
          <w:tcPr>
            <w:tcW w:w="305" w:type="pct"/>
            <w:tcBorders>
              <w:top w:val="nil"/>
              <w:left w:val="nil"/>
              <w:bottom w:val="single" w:color="auto" w:sz="4" w:space="0"/>
              <w:right w:val="single" w:color="auto" w:sz="4" w:space="0"/>
            </w:tcBorders>
            <w:vAlign w:val="center"/>
          </w:tcPr>
          <w:p w14:paraId="1D63C7E7">
            <w:pPr>
              <w:widowControl/>
              <w:spacing w:after="0" w:line="200" w:lineRule="exact"/>
              <w:jc w:val="center"/>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rPr>
              <w:t>100</w:t>
            </w:r>
            <w:r>
              <w:rPr>
                <w:rFonts w:hint="eastAsia" w:ascii="宋体" w:hAnsi="宋体" w:cs="宋体"/>
                <w:color w:val="000000"/>
                <w:kern w:val="0"/>
                <w:sz w:val="18"/>
                <w:szCs w:val="18"/>
                <w:lang w:val="en-US" w:eastAsia="zh-CN"/>
              </w:rPr>
              <w:t>%</w:t>
            </w:r>
          </w:p>
        </w:tc>
        <w:tc>
          <w:tcPr>
            <w:tcW w:w="268" w:type="pct"/>
            <w:tcBorders>
              <w:top w:val="nil"/>
              <w:left w:val="nil"/>
              <w:bottom w:val="single" w:color="auto" w:sz="4" w:space="0"/>
              <w:right w:val="single" w:color="auto" w:sz="4" w:space="0"/>
            </w:tcBorders>
            <w:vAlign w:val="center"/>
          </w:tcPr>
          <w:p w14:paraId="71D9AEFC">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316" w:type="pct"/>
            <w:tcBorders>
              <w:top w:val="nil"/>
              <w:left w:val="nil"/>
              <w:bottom w:val="single" w:color="auto" w:sz="4" w:space="0"/>
              <w:right w:val="single" w:color="auto" w:sz="4" w:space="0"/>
            </w:tcBorders>
            <w:vAlign w:val="center"/>
          </w:tcPr>
          <w:p w14:paraId="1F07AB3A">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计划标准</w:t>
            </w:r>
          </w:p>
        </w:tc>
        <w:tc>
          <w:tcPr>
            <w:tcW w:w="293" w:type="pct"/>
            <w:tcBorders>
              <w:top w:val="nil"/>
              <w:left w:val="nil"/>
              <w:bottom w:val="single" w:color="auto" w:sz="4" w:space="0"/>
              <w:right w:val="single" w:color="auto" w:sz="4" w:space="0"/>
            </w:tcBorders>
            <w:vAlign w:val="center"/>
          </w:tcPr>
          <w:p w14:paraId="1FC86DB2">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338" w:type="pct"/>
            <w:tcBorders>
              <w:top w:val="nil"/>
              <w:left w:val="nil"/>
              <w:bottom w:val="single" w:color="auto" w:sz="4" w:space="0"/>
              <w:right w:val="single" w:color="auto" w:sz="4" w:space="0"/>
            </w:tcBorders>
            <w:vAlign w:val="center"/>
          </w:tcPr>
          <w:p w14:paraId="353019B2">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按照完成比例赋分</w:t>
            </w:r>
          </w:p>
        </w:tc>
        <w:tc>
          <w:tcPr>
            <w:tcW w:w="247" w:type="pct"/>
            <w:tcBorders>
              <w:top w:val="nil"/>
              <w:left w:val="nil"/>
              <w:bottom w:val="single" w:color="auto" w:sz="4" w:space="0"/>
              <w:right w:val="single" w:color="auto" w:sz="4" w:space="0"/>
            </w:tcBorders>
            <w:vAlign w:val="center"/>
          </w:tcPr>
          <w:p w14:paraId="1A1DDC94">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工作资料</w:t>
            </w:r>
          </w:p>
        </w:tc>
        <w:tc>
          <w:tcPr>
            <w:tcW w:w="309" w:type="pct"/>
            <w:tcBorders>
              <w:top w:val="nil"/>
              <w:left w:val="nil"/>
              <w:bottom w:val="single" w:color="auto" w:sz="4" w:space="0"/>
              <w:right w:val="single" w:color="auto" w:sz="4" w:space="0"/>
            </w:tcBorders>
            <w:vAlign w:val="center"/>
          </w:tcPr>
          <w:p w14:paraId="4D91AC90">
            <w:pPr>
              <w:widowControl/>
              <w:spacing w:after="0" w:line="200" w:lineRule="exact"/>
              <w:jc w:val="center"/>
              <w:rPr>
                <w:rFonts w:hint="eastAsia" w:ascii="宋体" w:hAnsi="宋体" w:cs="宋体"/>
                <w:color w:val="000000"/>
                <w:kern w:val="0"/>
                <w:sz w:val="18"/>
                <w:szCs w:val="18"/>
              </w:rPr>
            </w:pPr>
          </w:p>
        </w:tc>
        <w:tc>
          <w:tcPr>
            <w:tcW w:w="80" w:type="pct"/>
            <w:vAlign w:val="center"/>
          </w:tcPr>
          <w:p w14:paraId="2819ED18">
            <w:pPr>
              <w:widowControl/>
              <w:spacing w:after="0" w:line="200" w:lineRule="exact"/>
              <w:jc w:val="left"/>
              <w:rPr>
                <w:rFonts w:eastAsia="Times New Roman"/>
                <w:kern w:val="0"/>
                <w:sz w:val="20"/>
                <w:szCs w:val="20"/>
              </w:rPr>
            </w:pPr>
          </w:p>
        </w:tc>
      </w:tr>
      <w:tr w14:paraId="00A159B8">
        <w:tblPrEx>
          <w:tblCellMar>
            <w:top w:w="0" w:type="dxa"/>
            <w:left w:w="108" w:type="dxa"/>
            <w:bottom w:w="0" w:type="dxa"/>
            <w:right w:w="108" w:type="dxa"/>
          </w:tblCellMar>
        </w:tblPrEx>
        <w:tc>
          <w:tcPr>
            <w:tcW w:w="209" w:type="pct"/>
            <w:vMerge w:val="continue"/>
            <w:tcBorders>
              <w:top w:val="nil"/>
              <w:left w:val="single" w:color="auto" w:sz="4" w:space="0"/>
              <w:bottom w:val="single" w:color="auto" w:sz="4" w:space="0"/>
              <w:right w:val="single" w:color="auto" w:sz="4" w:space="0"/>
            </w:tcBorders>
            <w:vAlign w:val="center"/>
          </w:tcPr>
          <w:p w14:paraId="12FA4157">
            <w:pPr>
              <w:widowControl/>
              <w:spacing w:after="0" w:line="200" w:lineRule="exact"/>
              <w:jc w:val="left"/>
              <w:rPr>
                <w:rFonts w:hint="eastAsia" w:ascii="宋体" w:hAnsi="宋体" w:cs="宋体"/>
                <w:b/>
                <w:bCs/>
                <w:color w:val="000000"/>
                <w:kern w:val="0"/>
                <w:sz w:val="18"/>
                <w:szCs w:val="18"/>
              </w:rPr>
            </w:pPr>
          </w:p>
        </w:tc>
        <w:tc>
          <w:tcPr>
            <w:tcW w:w="275" w:type="pct"/>
            <w:vMerge w:val="restart"/>
            <w:tcBorders>
              <w:top w:val="nil"/>
              <w:left w:val="single" w:color="auto" w:sz="4" w:space="0"/>
              <w:bottom w:val="single" w:color="auto" w:sz="4" w:space="0"/>
              <w:right w:val="single" w:color="auto" w:sz="4" w:space="0"/>
            </w:tcBorders>
            <w:vAlign w:val="center"/>
          </w:tcPr>
          <w:p w14:paraId="7EB6E797">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成</w:t>
            </w:r>
          </w:p>
          <w:p w14:paraId="2FDF1FBF">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本</w:t>
            </w:r>
          </w:p>
          <w:p w14:paraId="10FF559B">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指</w:t>
            </w:r>
          </w:p>
          <w:p w14:paraId="7865C26B">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标</w:t>
            </w:r>
          </w:p>
        </w:tc>
        <w:tc>
          <w:tcPr>
            <w:tcW w:w="347" w:type="pct"/>
            <w:tcBorders>
              <w:top w:val="nil"/>
              <w:left w:val="nil"/>
              <w:bottom w:val="single" w:color="auto" w:sz="4" w:space="0"/>
              <w:right w:val="single" w:color="auto" w:sz="4" w:space="0"/>
            </w:tcBorders>
            <w:vAlign w:val="center"/>
          </w:tcPr>
          <w:p w14:paraId="3571CB4B">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经济成本指标</w:t>
            </w:r>
          </w:p>
        </w:tc>
        <w:tc>
          <w:tcPr>
            <w:tcW w:w="896" w:type="pct"/>
            <w:tcBorders>
              <w:top w:val="nil"/>
              <w:left w:val="nil"/>
              <w:bottom w:val="single" w:color="auto" w:sz="4" w:space="0"/>
              <w:right w:val="single" w:color="auto" w:sz="4" w:space="0"/>
            </w:tcBorders>
            <w:vAlign w:val="center"/>
          </w:tcPr>
          <w:p w14:paraId="4CC2A223">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关键技术研究成本</w:t>
            </w:r>
          </w:p>
        </w:tc>
        <w:tc>
          <w:tcPr>
            <w:tcW w:w="304" w:type="pct"/>
            <w:tcBorders>
              <w:top w:val="nil"/>
              <w:left w:val="nil"/>
              <w:bottom w:val="single" w:color="auto" w:sz="4" w:space="0"/>
              <w:right w:val="single" w:color="auto" w:sz="4" w:space="0"/>
            </w:tcBorders>
            <w:vAlign w:val="center"/>
          </w:tcPr>
          <w:p w14:paraId="62972151">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9</w:t>
            </w:r>
          </w:p>
        </w:tc>
        <w:tc>
          <w:tcPr>
            <w:tcW w:w="447" w:type="pct"/>
            <w:tcBorders>
              <w:top w:val="nil"/>
              <w:left w:val="nil"/>
              <w:bottom w:val="single" w:color="auto" w:sz="4" w:space="0"/>
              <w:right w:val="single" w:color="auto" w:sz="4" w:space="0"/>
            </w:tcBorders>
            <w:vAlign w:val="center"/>
          </w:tcPr>
          <w:p w14:paraId="08441084">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&lt;=137万元</w:t>
            </w:r>
          </w:p>
        </w:tc>
        <w:tc>
          <w:tcPr>
            <w:tcW w:w="366" w:type="pct"/>
            <w:gridSpan w:val="2"/>
            <w:tcBorders>
              <w:top w:val="nil"/>
              <w:left w:val="nil"/>
              <w:bottom w:val="single" w:color="auto" w:sz="4" w:space="0"/>
              <w:right w:val="single" w:color="auto" w:sz="4" w:space="0"/>
            </w:tcBorders>
            <w:vAlign w:val="center"/>
          </w:tcPr>
          <w:p w14:paraId="14ED9F59">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=137万元</w:t>
            </w:r>
          </w:p>
        </w:tc>
        <w:tc>
          <w:tcPr>
            <w:tcW w:w="305" w:type="pct"/>
            <w:tcBorders>
              <w:top w:val="nil"/>
              <w:left w:val="nil"/>
              <w:bottom w:val="single" w:color="auto" w:sz="4" w:space="0"/>
              <w:right w:val="single" w:color="auto" w:sz="4" w:space="0"/>
            </w:tcBorders>
            <w:vAlign w:val="center"/>
          </w:tcPr>
          <w:p w14:paraId="11DA0465">
            <w:pPr>
              <w:widowControl/>
              <w:spacing w:after="0" w:line="200" w:lineRule="exact"/>
              <w:jc w:val="center"/>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rPr>
              <w:t>100</w:t>
            </w:r>
            <w:r>
              <w:rPr>
                <w:rFonts w:hint="eastAsia" w:ascii="宋体" w:hAnsi="宋体" w:cs="宋体"/>
                <w:color w:val="000000"/>
                <w:kern w:val="0"/>
                <w:sz w:val="18"/>
                <w:szCs w:val="18"/>
                <w:lang w:val="en-US" w:eastAsia="zh-CN"/>
              </w:rPr>
              <w:t>%</w:t>
            </w:r>
          </w:p>
        </w:tc>
        <w:tc>
          <w:tcPr>
            <w:tcW w:w="268" w:type="pct"/>
            <w:tcBorders>
              <w:top w:val="nil"/>
              <w:left w:val="nil"/>
              <w:bottom w:val="single" w:color="auto" w:sz="4" w:space="0"/>
              <w:right w:val="single" w:color="auto" w:sz="4" w:space="0"/>
            </w:tcBorders>
            <w:vAlign w:val="center"/>
          </w:tcPr>
          <w:p w14:paraId="09208E13">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9</w:t>
            </w:r>
          </w:p>
        </w:tc>
        <w:tc>
          <w:tcPr>
            <w:tcW w:w="316" w:type="pct"/>
            <w:tcBorders>
              <w:top w:val="nil"/>
              <w:left w:val="nil"/>
              <w:bottom w:val="single" w:color="auto" w:sz="4" w:space="0"/>
              <w:right w:val="single" w:color="auto" w:sz="4" w:space="0"/>
            </w:tcBorders>
            <w:vAlign w:val="center"/>
          </w:tcPr>
          <w:p w14:paraId="13C930E7">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计划标准</w:t>
            </w:r>
          </w:p>
        </w:tc>
        <w:tc>
          <w:tcPr>
            <w:tcW w:w="293" w:type="pct"/>
            <w:tcBorders>
              <w:top w:val="nil"/>
              <w:left w:val="nil"/>
              <w:bottom w:val="single" w:color="auto" w:sz="4" w:space="0"/>
              <w:right w:val="single" w:color="auto" w:sz="4" w:space="0"/>
            </w:tcBorders>
            <w:vAlign w:val="center"/>
          </w:tcPr>
          <w:p w14:paraId="5D91F0F1">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338" w:type="pct"/>
            <w:tcBorders>
              <w:top w:val="nil"/>
              <w:left w:val="nil"/>
              <w:bottom w:val="single" w:color="auto" w:sz="4" w:space="0"/>
              <w:right w:val="single" w:color="auto" w:sz="4" w:space="0"/>
            </w:tcBorders>
            <w:vAlign w:val="center"/>
          </w:tcPr>
          <w:p w14:paraId="2701A905">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按照完成比例赋分</w:t>
            </w:r>
          </w:p>
        </w:tc>
        <w:tc>
          <w:tcPr>
            <w:tcW w:w="247" w:type="pct"/>
            <w:tcBorders>
              <w:top w:val="nil"/>
              <w:left w:val="nil"/>
              <w:bottom w:val="single" w:color="auto" w:sz="4" w:space="0"/>
              <w:right w:val="single" w:color="auto" w:sz="4" w:space="0"/>
            </w:tcBorders>
            <w:vAlign w:val="center"/>
          </w:tcPr>
          <w:p w14:paraId="16A1AA04">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原始凭证</w:t>
            </w:r>
          </w:p>
        </w:tc>
        <w:tc>
          <w:tcPr>
            <w:tcW w:w="309" w:type="pct"/>
            <w:tcBorders>
              <w:top w:val="nil"/>
              <w:left w:val="nil"/>
              <w:bottom w:val="single" w:color="auto" w:sz="4" w:space="0"/>
              <w:right w:val="single" w:color="auto" w:sz="4" w:space="0"/>
            </w:tcBorders>
            <w:vAlign w:val="center"/>
          </w:tcPr>
          <w:p w14:paraId="596BD856">
            <w:pPr>
              <w:widowControl/>
              <w:spacing w:after="0" w:line="200" w:lineRule="exact"/>
              <w:jc w:val="center"/>
              <w:rPr>
                <w:rFonts w:hint="eastAsia" w:ascii="宋体" w:hAnsi="宋体" w:cs="宋体"/>
                <w:color w:val="000000"/>
                <w:kern w:val="0"/>
                <w:sz w:val="18"/>
                <w:szCs w:val="18"/>
              </w:rPr>
            </w:pPr>
          </w:p>
        </w:tc>
        <w:tc>
          <w:tcPr>
            <w:tcW w:w="80" w:type="pct"/>
            <w:vAlign w:val="center"/>
          </w:tcPr>
          <w:p w14:paraId="38412E1C">
            <w:pPr>
              <w:widowControl/>
              <w:spacing w:after="0" w:line="200" w:lineRule="exact"/>
              <w:jc w:val="left"/>
              <w:rPr>
                <w:rFonts w:eastAsia="Times New Roman"/>
                <w:kern w:val="0"/>
                <w:sz w:val="20"/>
                <w:szCs w:val="20"/>
              </w:rPr>
            </w:pPr>
          </w:p>
        </w:tc>
      </w:tr>
      <w:tr w14:paraId="3B750C6B">
        <w:tblPrEx>
          <w:tblCellMar>
            <w:top w:w="0" w:type="dxa"/>
            <w:left w:w="108" w:type="dxa"/>
            <w:bottom w:w="0" w:type="dxa"/>
            <w:right w:w="108" w:type="dxa"/>
          </w:tblCellMar>
        </w:tblPrEx>
        <w:tc>
          <w:tcPr>
            <w:tcW w:w="209" w:type="pct"/>
            <w:vMerge w:val="continue"/>
            <w:tcBorders>
              <w:top w:val="nil"/>
              <w:left w:val="single" w:color="auto" w:sz="4" w:space="0"/>
              <w:bottom w:val="single" w:color="auto" w:sz="4" w:space="0"/>
              <w:right w:val="single" w:color="auto" w:sz="4" w:space="0"/>
            </w:tcBorders>
            <w:vAlign w:val="center"/>
          </w:tcPr>
          <w:p w14:paraId="7B7A177A">
            <w:pPr>
              <w:widowControl/>
              <w:spacing w:after="0" w:line="200" w:lineRule="exact"/>
              <w:jc w:val="left"/>
              <w:rPr>
                <w:rFonts w:hint="eastAsia" w:ascii="宋体" w:hAnsi="宋体" w:cs="宋体"/>
                <w:b/>
                <w:bCs/>
                <w:color w:val="000000"/>
                <w:kern w:val="0"/>
                <w:sz w:val="18"/>
                <w:szCs w:val="18"/>
              </w:rPr>
            </w:pPr>
          </w:p>
        </w:tc>
        <w:tc>
          <w:tcPr>
            <w:tcW w:w="275" w:type="pct"/>
            <w:vMerge w:val="continue"/>
            <w:tcBorders>
              <w:top w:val="nil"/>
              <w:left w:val="single" w:color="auto" w:sz="4" w:space="0"/>
              <w:bottom w:val="single" w:color="auto" w:sz="4" w:space="0"/>
              <w:right w:val="single" w:color="auto" w:sz="4" w:space="0"/>
            </w:tcBorders>
            <w:vAlign w:val="center"/>
          </w:tcPr>
          <w:p w14:paraId="13D588F3">
            <w:pPr>
              <w:widowControl/>
              <w:spacing w:after="0" w:line="200" w:lineRule="exact"/>
              <w:jc w:val="left"/>
              <w:rPr>
                <w:rFonts w:hint="eastAsia" w:ascii="宋体" w:hAnsi="宋体" w:cs="宋体"/>
                <w:color w:val="000000"/>
                <w:kern w:val="0"/>
                <w:sz w:val="18"/>
                <w:szCs w:val="18"/>
              </w:rPr>
            </w:pPr>
          </w:p>
        </w:tc>
        <w:tc>
          <w:tcPr>
            <w:tcW w:w="347" w:type="pct"/>
            <w:tcBorders>
              <w:top w:val="nil"/>
              <w:left w:val="nil"/>
              <w:bottom w:val="single" w:color="auto" w:sz="4" w:space="0"/>
              <w:right w:val="single" w:color="auto" w:sz="4" w:space="0"/>
            </w:tcBorders>
            <w:vAlign w:val="center"/>
          </w:tcPr>
          <w:p w14:paraId="432B7ECD">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经济成本指标</w:t>
            </w:r>
          </w:p>
        </w:tc>
        <w:tc>
          <w:tcPr>
            <w:tcW w:w="896" w:type="pct"/>
            <w:tcBorders>
              <w:top w:val="nil"/>
              <w:left w:val="nil"/>
              <w:bottom w:val="single" w:color="auto" w:sz="4" w:space="0"/>
              <w:right w:val="single" w:color="auto" w:sz="4" w:space="0"/>
            </w:tcBorders>
            <w:vAlign w:val="center"/>
          </w:tcPr>
          <w:p w14:paraId="52557BDF">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现场踏勘、调研成本</w:t>
            </w:r>
          </w:p>
        </w:tc>
        <w:tc>
          <w:tcPr>
            <w:tcW w:w="304" w:type="pct"/>
            <w:tcBorders>
              <w:top w:val="nil"/>
              <w:left w:val="nil"/>
              <w:bottom w:val="single" w:color="auto" w:sz="4" w:space="0"/>
              <w:right w:val="single" w:color="auto" w:sz="4" w:space="0"/>
            </w:tcBorders>
            <w:vAlign w:val="center"/>
          </w:tcPr>
          <w:p w14:paraId="3A665CCC">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447" w:type="pct"/>
            <w:tcBorders>
              <w:top w:val="nil"/>
              <w:left w:val="nil"/>
              <w:bottom w:val="single" w:color="auto" w:sz="4" w:space="0"/>
              <w:right w:val="single" w:color="auto" w:sz="4" w:space="0"/>
            </w:tcBorders>
            <w:vAlign w:val="center"/>
          </w:tcPr>
          <w:p w14:paraId="260D3180">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&lt;=98.12万元</w:t>
            </w:r>
          </w:p>
        </w:tc>
        <w:tc>
          <w:tcPr>
            <w:tcW w:w="366" w:type="pct"/>
            <w:gridSpan w:val="2"/>
            <w:tcBorders>
              <w:top w:val="nil"/>
              <w:left w:val="nil"/>
              <w:bottom w:val="single" w:color="auto" w:sz="4" w:space="0"/>
              <w:right w:val="single" w:color="auto" w:sz="4" w:space="0"/>
            </w:tcBorders>
            <w:vAlign w:val="center"/>
          </w:tcPr>
          <w:p w14:paraId="13E9B991">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=98.12万元</w:t>
            </w:r>
          </w:p>
        </w:tc>
        <w:tc>
          <w:tcPr>
            <w:tcW w:w="305" w:type="pct"/>
            <w:tcBorders>
              <w:top w:val="nil"/>
              <w:left w:val="nil"/>
              <w:bottom w:val="single" w:color="auto" w:sz="4" w:space="0"/>
              <w:right w:val="single" w:color="auto" w:sz="4" w:space="0"/>
            </w:tcBorders>
            <w:vAlign w:val="center"/>
          </w:tcPr>
          <w:p w14:paraId="17924561">
            <w:pPr>
              <w:widowControl/>
              <w:spacing w:after="0" w:line="200" w:lineRule="exact"/>
              <w:jc w:val="center"/>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rPr>
              <w:t>100</w:t>
            </w:r>
            <w:r>
              <w:rPr>
                <w:rFonts w:hint="eastAsia" w:ascii="宋体" w:hAnsi="宋体" w:cs="宋体"/>
                <w:color w:val="000000"/>
                <w:kern w:val="0"/>
                <w:sz w:val="18"/>
                <w:szCs w:val="18"/>
                <w:lang w:val="en-US" w:eastAsia="zh-CN"/>
              </w:rPr>
              <w:t>%</w:t>
            </w:r>
          </w:p>
        </w:tc>
        <w:tc>
          <w:tcPr>
            <w:tcW w:w="268" w:type="pct"/>
            <w:tcBorders>
              <w:top w:val="nil"/>
              <w:left w:val="nil"/>
              <w:bottom w:val="single" w:color="auto" w:sz="4" w:space="0"/>
              <w:right w:val="single" w:color="auto" w:sz="4" w:space="0"/>
            </w:tcBorders>
            <w:vAlign w:val="center"/>
          </w:tcPr>
          <w:p w14:paraId="69993792">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5</w:t>
            </w:r>
          </w:p>
        </w:tc>
        <w:tc>
          <w:tcPr>
            <w:tcW w:w="316" w:type="pct"/>
            <w:tcBorders>
              <w:top w:val="nil"/>
              <w:left w:val="nil"/>
              <w:bottom w:val="single" w:color="auto" w:sz="4" w:space="0"/>
              <w:right w:val="single" w:color="auto" w:sz="4" w:space="0"/>
            </w:tcBorders>
            <w:vAlign w:val="center"/>
          </w:tcPr>
          <w:p w14:paraId="2CAF200D">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计划标准</w:t>
            </w:r>
          </w:p>
        </w:tc>
        <w:tc>
          <w:tcPr>
            <w:tcW w:w="293" w:type="pct"/>
            <w:tcBorders>
              <w:top w:val="nil"/>
              <w:left w:val="nil"/>
              <w:bottom w:val="single" w:color="auto" w:sz="4" w:space="0"/>
              <w:right w:val="single" w:color="auto" w:sz="4" w:space="0"/>
            </w:tcBorders>
            <w:vAlign w:val="center"/>
          </w:tcPr>
          <w:p w14:paraId="10977596">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338" w:type="pct"/>
            <w:tcBorders>
              <w:top w:val="nil"/>
              <w:left w:val="nil"/>
              <w:bottom w:val="single" w:color="auto" w:sz="4" w:space="0"/>
              <w:right w:val="single" w:color="auto" w:sz="4" w:space="0"/>
            </w:tcBorders>
            <w:vAlign w:val="center"/>
          </w:tcPr>
          <w:p w14:paraId="2DD66380">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按照完成比例赋分</w:t>
            </w:r>
          </w:p>
        </w:tc>
        <w:tc>
          <w:tcPr>
            <w:tcW w:w="247" w:type="pct"/>
            <w:tcBorders>
              <w:top w:val="nil"/>
              <w:left w:val="nil"/>
              <w:bottom w:val="single" w:color="auto" w:sz="4" w:space="0"/>
              <w:right w:val="single" w:color="auto" w:sz="4" w:space="0"/>
            </w:tcBorders>
            <w:vAlign w:val="center"/>
          </w:tcPr>
          <w:p w14:paraId="493010DF">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原始凭证</w:t>
            </w:r>
          </w:p>
        </w:tc>
        <w:tc>
          <w:tcPr>
            <w:tcW w:w="309" w:type="pct"/>
            <w:tcBorders>
              <w:top w:val="nil"/>
              <w:left w:val="nil"/>
              <w:bottom w:val="single" w:color="auto" w:sz="4" w:space="0"/>
              <w:right w:val="single" w:color="auto" w:sz="4" w:space="0"/>
            </w:tcBorders>
            <w:vAlign w:val="center"/>
          </w:tcPr>
          <w:p w14:paraId="351E11DE">
            <w:pPr>
              <w:widowControl/>
              <w:spacing w:after="0" w:line="200" w:lineRule="exact"/>
              <w:jc w:val="center"/>
              <w:rPr>
                <w:rFonts w:hint="eastAsia" w:ascii="宋体" w:hAnsi="宋体" w:cs="宋体"/>
                <w:color w:val="000000"/>
                <w:kern w:val="0"/>
                <w:sz w:val="18"/>
                <w:szCs w:val="18"/>
              </w:rPr>
            </w:pPr>
          </w:p>
        </w:tc>
        <w:tc>
          <w:tcPr>
            <w:tcW w:w="80" w:type="pct"/>
            <w:vAlign w:val="center"/>
          </w:tcPr>
          <w:p w14:paraId="3D3A3987">
            <w:pPr>
              <w:widowControl/>
              <w:spacing w:after="0" w:line="200" w:lineRule="exact"/>
              <w:jc w:val="left"/>
              <w:rPr>
                <w:rFonts w:eastAsia="Times New Roman"/>
                <w:kern w:val="0"/>
                <w:sz w:val="20"/>
                <w:szCs w:val="20"/>
              </w:rPr>
            </w:pPr>
          </w:p>
        </w:tc>
      </w:tr>
      <w:tr w14:paraId="47BA44D4">
        <w:tblPrEx>
          <w:tblCellMar>
            <w:top w:w="0" w:type="dxa"/>
            <w:left w:w="108" w:type="dxa"/>
            <w:bottom w:w="0" w:type="dxa"/>
            <w:right w:w="108" w:type="dxa"/>
          </w:tblCellMar>
        </w:tblPrEx>
        <w:tc>
          <w:tcPr>
            <w:tcW w:w="209" w:type="pct"/>
            <w:vMerge w:val="continue"/>
            <w:tcBorders>
              <w:top w:val="nil"/>
              <w:left w:val="single" w:color="auto" w:sz="4" w:space="0"/>
              <w:bottom w:val="single" w:color="auto" w:sz="4" w:space="0"/>
              <w:right w:val="single" w:color="auto" w:sz="4" w:space="0"/>
            </w:tcBorders>
            <w:vAlign w:val="center"/>
          </w:tcPr>
          <w:p w14:paraId="7396CA59">
            <w:pPr>
              <w:widowControl/>
              <w:spacing w:after="0" w:line="200" w:lineRule="exact"/>
              <w:jc w:val="left"/>
              <w:rPr>
                <w:rFonts w:hint="eastAsia" w:ascii="宋体" w:hAnsi="宋体" w:cs="宋体"/>
                <w:b/>
                <w:bCs/>
                <w:color w:val="000000"/>
                <w:kern w:val="0"/>
                <w:sz w:val="18"/>
                <w:szCs w:val="18"/>
              </w:rPr>
            </w:pPr>
          </w:p>
        </w:tc>
        <w:tc>
          <w:tcPr>
            <w:tcW w:w="275" w:type="pct"/>
            <w:vMerge w:val="continue"/>
            <w:tcBorders>
              <w:top w:val="nil"/>
              <w:left w:val="single" w:color="auto" w:sz="4" w:space="0"/>
              <w:bottom w:val="single" w:color="auto" w:sz="4" w:space="0"/>
              <w:right w:val="single" w:color="auto" w:sz="4" w:space="0"/>
            </w:tcBorders>
            <w:vAlign w:val="center"/>
          </w:tcPr>
          <w:p w14:paraId="645B3375">
            <w:pPr>
              <w:widowControl/>
              <w:spacing w:after="0" w:line="200" w:lineRule="exact"/>
              <w:jc w:val="left"/>
              <w:rPr>
                <w:rFonts w:hint="eastAsia" w:ascii="宋体" w:hAnsi="宋体" w:cs="宋体"/>
                <w:color w:val="000000"/>
                <w:kern w:val="0"/>
                <w:sz w:val="18"/>
                <w:szCs w:val="18"/>
              </w:rPr>
            </w:pPr>
          </w:p>
        </w:tc>
        <w:tc>
          <w:tcPr>
            <w:tcW w:w="347" w:type="pct"/>
            <w:tcBorders>
              <w:top w:val="nil"/>
              <w:left w:val="nil"/>
              <w:bottom w:val="single" w:color="auto" w:sz="4" w:space="0"/>
              <w:right w:val="single" w:color="auto" w:sz="4" w:space="0"/>
            </w:tcBorders>
            <w:vAlign w:val="center"/>
          </w:tcPr>
          <w:p w14:paraId="181093A0">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经济成本指标</w:t>
            </w:r>
          </w:p>
        </w:tc>
        <w:tc>
          <w:tcPr>
            <w:tcW w:w="896" w:type="pct"/>
            <w:tcBorders>
              <w:top w:val="nil"/>
              <w:left w:val="nil"/>
              <w:bottom w:val="single" w:color="auto" w:sz="4" w:space="0"/>
              <w:right w:val="single" w:color="auto" w:sz="4" w:space="0"/>
            </w:tcBorders>
            <w:vAlign w:val="center"/>
          </w:tcPr>
          <w:p w14:paraId="18D6316F">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专家咨询费</w:t>
            </w:r>
          </w:p>
        </w:tc>
        <w:tc>
          <w:tcPr>
            <w:tcW w:w="304" w:type="pct"/>
            <w:tcBorders>
              <w:top w:val="nil"/>
              <w:left w:val="nil"/>
              <w:bottom w:val="single" w:color="auto" w:sz="4" w:space="0"/>
              <w:right w:val="single" w:color="auto" w:sz="4" w:space="0"/>
            </w:tcBorders>
            <w:vAlign w:val="center"/>
          </w:tcPr>
          <w:p w14:paraId="261EFA19">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3</w:t>
            </w:r>
          </w:p>
        </w:tc>
        <w:tc>
          <w:tcPr>
            <w:tcW w:w="447" w:type="pct"/>
            <w:tcBorders>
              <w:top w:val="nil"/>
              <w:left w:val="nil"/>
              <w:bottom w:val="single" w:color="auto" w:sz="4" w:space="0"/>
              <w:right w:val="single" w:color="auto" w:sz="4" w:space="0"/>
            </w:tcBorders>
            <w:vAlign w:val="center"/>
          </w:tcPr>
          <w:p w14:paraId="456F6F6C">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&lt;=15.40万元</w:t>
            </w:r>
          </w:p>
        </w:tc>
        <w:tc>
          <w:tcPr>
            <w:tcW w:w="366" w:type="pct"/>
            <w:gridSpan w:val="2"/>
            <w:tcBorders>
              <w:top w:val="nil"/>
              <w:left w:val="nil"/>
              <w:bottom w:val="single" w:color="auto" w:sz="4" w:space="0"/>
              <w:right w:val="single" w:color="auto" w:sz="4" w:space="0"/>
            </w:tcBorders>
            <w:vAlign w:val="center"/>
          </w:tcPr>
          <w:p w14:paraId="6AD164BC">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=15万元</w:t>
            </w:r>
          </w:p>
        </w:tc>
        <w:tc>
          <w:tcPr>
            <w:tcW w:w="305" w:type="pct"/>
            <w:tcBorders>
              <w:top w:val="nil"/>
              <w:left w:val="nil"/>
              <w:bottom w:val="single" w:color="auto" w:sz="4" w:space="0"/>
              <w:right w:val="single" w:color="auto" w:sz="4" w:space="0"/>
            </w:tcBorders>
            <w:vAlign w:val="center"/>
          </w:tcPr>
          <w:p w14:paraId="2CAAA7A1">
            <w:pPr>
              <w:widowControl/>
              <w:spacing w:after="0" w:line="200" w:lineRule="exact"/>
              <w:jc w:val="center"/>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rPr>
              <w:t>97.4</w:t>
            </w:r>
            <w:r>
              <w:rPr>
                <w:rFonts w:hint="eastAsia" w:ascii="宋体" w:hAnsi="宋体" w:cs="宋体"/>
                <w:color w:val="000000"/>
                <w:kern w:val="0"/>
                <w:sz w:val="18"/>
                <w:szCs w:val="18"/>
                <w:lang w:val="en-US" w:eastAsia="zh-CN"/>
              </w:rPr>
              <w:t>%</w:t>
            </w:r>
          </w:p>
        </w:tc>
        <w:tc>
          <w:tcPr>
            <w:tcW w:w="268" w:type="pct"/>
            <w:tcBorders>
              <w:top w:val="nil"/>
              <w:left w:val="nil"/>
              <w:bottom w:val="single" w:color="auto" w:sz="4" w:space="0"/>
              <w:right w:val="single" w:color="auto" w:sz="4" w:space="0"/>
            </w:tcBorders>
            <w:vAlign w:val="center"/>
          </w:tcPr>
          <w:p w14:paraId="22F64AA8">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2.81</w:t>
            </w:r>
          </w:p>
        </w:tc>
        <w:tc>
          <w:tcPr>
            <w:tcW w:w="316" w:type="pct"/>
            <w:tcBorders>
              <w:top w:val="nil"/>
              <w:left w:val="nil"/>
              <w:bottom w:val="single" w:color="auto" w:sz="4" w:space="0"/>
              <w:right w:val="single" w:color="auto" w:sz="4" w:space="0"/>
            </w:tcBorders>
            <w:vAlign w:val="center"/>
          </w:tcPr>
          <w:p w14:paraId="40B23782">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计划标准</w:t>
            </w:r>
          </w:p>
        </w:tc>
        <w:tc>
          <w:tcPr>
            <w:tcW w:w="293" w:type="pct"/>
            <w:tcBorders>
              <w:top w:val="nil"/>
              <w:left w:val="nil"/>
              <w:bottom w:val="single" w:color="auto" w:sz="4" w:space="0"/>
              <w:right w:val="single" w:color="auto" w:sz="4" w:space="0"/>
            </w:tcBorders>
            <w:vAlign w:val="center"/>
          </w:tcPr>
          <w:p w14:paraId="31FD10D2">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338" w:type="pct"/>
            <w:tcBorders>
              <w:top w:val="nil"/>
              <w:left w:val="nil"/>
              <w:bottom w:val="single" w:color="auto" w:sz="4" w:space="0"/>
              <w:right w:val="single" w:color="auto" w:sz="4" w:space="0"/>
            </w:tcBorders>
            <w:vAlign w:val="center"/>
          </w:tcPr>
          <w:p w14:paraId="33781C70">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按照完成比例赋分</w:t>
            </w:r>
          </w:p>
        </w:tc>
        <w:tc>
          <w:tcPr>
            <w:tcW w:w="247" w:type="pct"/>
            <w:tcBorders>
              <w:top w:val="nil"/>
              <w:left w:val="nil"/>
              <w:bottom w:val="single" w:color="auto" w:sz="4" w:space="0"/>
              <w:right w:val="single" w:color="auto" w:sz="4" w:space="0"/>
            </w:tcBorders>
            <w:vAlign w:val="center"/>
          </w:tcPr>
          <w:p w14:paraId="568BC060">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原始凭证</w:t>
            </w:r>
          </w:p>
        </w:tc>
        <w:tc>
          <w:tcPr>
            <w:tcW w:w="309" w:type="pct"/>
            <w:tcBorders>
              <w:top w:val="nil"/>
              <w:left w:val="nil"/>
              <w:bottom w:val="single" w:color="auto" w:sz="4" w:space="0"/>
              <w:right w:val="single" w:color="auto" w:sz="4" w:space="0"/>
            </w:tcBorders>
            <w:vAlign w:val="center"/>
          </w:tcPr>
          <w:p w14:paraId="0DDF8E1D">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80" w:type="pct"/>
            <w:vAlign w:val="center"/>
          </w:tcPr>
          <w:p w14:paraId="3AC392E5">
            <w:pPr>
              <w:widowControl/>
              <w:spacing w:after="0" w:line="200" w:lineRule="exact"/>
              <w:jc w:val="left"/>
              <w:rPr>
                <w:rFonts w:eastAsia="Times New Roman"/>
                <w:kern w:val="0"/>
                <w:sz w:val="20"/>
                <w:szCs w:val="20"/>
              </w:rPr>
            </w:pPr>
          </w:p>
        </w:tc>
      </w:tr>
      <w:tr w14:paraId="1403F271">
        <w:tblPrEx>
          <w:tblCellMar>
            <w:top w:w="0" w:type="dxa"/>
            <w:left w:w="108" w:type="dxa"/>
            <w:bottom w:w="0" w:type="dxa"/>
            <w:right w:w="108" w:type="dxa"/>
          </w:tblCellMar>
        </w:tblPrEx>
        <w:tc>
          <w:tcPr>
            <w:tcW w:w="209" w:type="pct"/>
            <w:vMerge w:val="continue"/>
            <w:tcBorders>
              <w:top w:val="nil"/>
              <w:left w:val="single" w:color="auto" w:sz="4" w:space="0"/>
              <w:bottom w:val="single" w:color="auto" w:sz="4" w:space="0"/>
              <w:right w:val="single" w:color="auto" w:sz="4" w:space="0"/>
            </w:tcBorders>
            <w:vAlign w:val="center"/>
          </w:tcPr>
          <w:p w14:paraId="381C5927">
            <w:pPr>
              <w:widowControl/>
              <w:spacing w:after="0" w:line="200" w:lineRule="exact"/>
              <w:jc w:val="left"/>
              <w:rPr>
                <w:rFonts w:hint="eastAsia" w:ascii="宋体" w:hAnsi="宋体" w:cs="宋体"/>
                <w:b/>
                <w:bCs/>
                <w:color w:val="000000"/>
                <w:kern w:val="0"/>
                <w:sz w:val="18"/>
                <w:szCs w:val="18"/>
              </w:rPr>
            </w:pPr>
          </w:p>
        </w:tc>
        <w:tc>
          <w:tcPr>
            <w:tcW w:w="275" w:type="pct"/>
            <w:vMerge w:val="continue"/>
            <w:tcBorders>
              <w:top w:val="nil"/>
              <w:left w:val="single" w:color="auto" w:sz="4" w:space="0"/>
              <w:bottom w:val="single" w:color="auto" w:sz="4" w:space="0"/>
              <w:right w:val="single" w:color="auto" w:sz="4" w:space="0"/>
            </w:tcBorders>
            <w:vAlign w:val="center"/>
          </w:tcPr>
          <w:p w14:paraId="377BB01E">
            <w:pPr>
              <w:widowControl/>
              <w:spacing w:after="0" w:line="200" w:lineRule="exact"/>
              <w:jc w:val="left"/>
              <w:rPr>
                <w:rFonts w:hint="eastAsia" w:ascii="宋体" w:hAnsi="宋体" w:cs="宋体"/>
                <w:color w:val="000000"/>
                <w:kern w:val="0"/>
                <w:sz w:val="18"/>
                <w:szCs w:val="18"/>
              </w:rPr>
            </w:pPr>
          </w:p>
        </w:tc>
        <w:tc>
          <w:tcPr>
            <w:tcW w:w="347" w:type="pct"/>
            <w:tcBorders>
              <w:top w:val="nil"/>
              <w:left w:val="nil"/>
              <w:bottom w:val="single" w:color="auto" w:sz="4" w:space="0"/>
              <w:right w:val="single" w:color="auto" w:sz="4" w:space="0"/>
            </w:tcBorders>
            <w:vAlign w:val="center"/>
          </w:tcPr>
          <w:p w14:paraId="221713CF">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经济成本指标</w:t>
            </w:r>
          </w:p>
        </w:tc>
        <w:tc>
          <w:tcPr>
            <w:tcW w:w="896" w:type="pct"/>
            <w:tcBorders>
              <w:top w:val="nil"/>
              <w:left w:val="nil"/>
              <w:bottom w:val="single" w:color="auto" w:sz="4" w:space="0"/>
              <w:right w:val="single" w:color="auto" w:sz="4" w:space="0"/>
            </w:tcBorders>
            <w:vAlign w:val="center"/>
          </w:tcPr>
          <w:p w14:paraId="1EB96149">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场地租赁费</w:t>
            </w:r>
          </w:p>
        </w:tc>
        <w:tc>
          <w:tcPr>
            <w:tcW w:w="304" w:type="pct"/>
            <w:tcBorders>
              <w:top w:val="nil"/>
              <w:left w:val="nil"/>
              <w:bottom w:val="single" w:color="auto" w:sz="4" w:space="0"/>
              <w:right w:val="single" w:color="auto" w:sz="4" w:space="0"/>
            </w:tcBorders>
            <w:vAlign w:val="center"/>
          </w:tcPr>
          <w:p w14:paraId="2AA8CEC2">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447" w:type="pct"/>
            <w:tcBorders>
              <w:top w:val="nil"/>
              <w:left w:val="nil"/>
              <w:bottom w:val="single" w:color="auto" w:sz="4" w:space="0"/>
              <w:right w:val="single" w:color="auto" w:sz="4" w:space="0"/>
            </w:tcBorders>
            <w:vAlign w:val="center"/>
          </w:tcPr>
          <w:p w14:paraId="68DA174B">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&lt;=7.5万元</w:t>
            </w:r>
          </w:p>
        </w:tc>
        <w:tc>
          <w:tcPr>
            <w:tcW w:w="366" w:type="pct"/>
            <w:gridSpan w:val="2"/>
            <w:tcBorders>
              <w:top w:val="nil"/>
              <w:left w:val="nil"/>
              <w:bottom w:val="single" w:color="auto" w:sz="4" w:space="0"/>
              <w:right w:val="single" w:color="auto" w:sz="4" w:space="0"/>
            </w:tcBorders>
            <w:vAlign w:val="center"/>
          </w:tcPr>
          <w:p w14:paraId="539B3543">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=7.5万元</w:t>
            </w:r>
          </w:p>
        </w:tc>
        <w:tc>
          <w:tcPr>
            <w:tcW w:w="305" w:type="pct"/>
            <w:tcBorders>
              <w:top w:val="nil"/>
              <w:left w:val="nil"/>
              <w:bottom w:val="single" w:color="auto" w:sz="4" w:space="0"/>
              <w:right w:val="single" w:color="auto" w:sz="4" w:space="0"/>
            </w:tcBorders>
            <w:vAlign w:val="center"/>
          </w:tcPr>
          <w:p w14:paraId="6A6521AF">
            <w:pPr>
              <w:widowControl/>
              <w:spacing w:after="0" w:line="200" w:lineRule="exact"/>
              <w:jc w:val="center"/>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rPr>
              <w:t>100</w:t>
            </w:r>
            <w:r>
              <w:rPr>
                <w:rFonts w:hint="eastAsia" w:ascii="宋体" w:hAnsi="宋体" w:cs="宋体"/>
                <w:color w:val="000000"/>
                <w:kern w:val="0"/>
                <w:sz w:val="18"/>
                <w:szCs w:val="18"/>
                <w:lang w:val="en-US" w:eastAsia="zh-CN"/>
              </w:rPr>
              <w:t>%</w:t>
            </w:r>
          </w:p>
        </w:tc>
        <w:tc>
          <w:tcPr>
            <w:tcW w:w="268" w:type="pct"/>
            <w:tcBorders>
              <w:top w:val="nil"/>
              <w:left w:val="nil"/>
              <w:bottom w:val="single" w:color="auto" w:sz="4" w:space="0"/>
              <w:right w:val="single" w:color="auto" w:sz="4" w:space="0"/>
            </w:tcBorders>
            <w:vAlign w:val="center"/>
          </w:tcPr>
          <w:p w14:paraId="61089C11">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1</w:t>
            </w:r>
          </w:p>
        </w:tc>
        <w:tc>
          <w:tcPr>
            <w:tcW w:w="316" w:type="pct"/>
            <w:tcBorders>
              <w:top w:val="nil"/>
              <w:left w:val="nil"/>
              <w:bottom w:val="single" w:color="auto" w:sz="4" w:space="0"/>
              <w:right w:val="single" w:color="auto" w:sz="4" w:space="0"/>
            </w:tcBorders>
            <w:vAlign w:val="center"/>
          </w:tcPr>
          <w:p w14:paraId="3323A425">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计划标准</w:t>
            </w:r>
          </w:p>
        </w:tc>
        <w:tc>
          <w:tcPr>
            <w:tcW w:w="293" w:type="pct"/>
            <w:tcBorders>
              <w:top w:val="nil"/>
              <w:left w:val="nil"/>
              <w:bottom w:val="single" w:color="auto" w:sz="4" w:space="0"/>
              <w:right w:val="single" w:color="auto" w:sz="4" w:space="0"/>
            </w:tcBorders>
            <w:vAlign w:val="center"/>
          </w:tcPr>
          <w:p w14:paraId="44AF641F">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338" w:type="pct"/>
            <w:tcBorders>
              <w:top w:val="nil"/>
              <w:left w:val="nil"/>
              <w:bottom w:val="single" w:color="auto" w:sz="4" w:space="0"/>
              <w:right w:val="single" w:color="auto" w:sz="4" w:space="0"/>
            </w:tcBorders>
            <w:vAlign w:val="center"/>
          </w:tcPr>
          <w:p w14:paraId="651E3371">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按照完成比例赋分</w:t>
            </w:r>
          </w:p>
        </w:tc>
        <w:tc>
          <w:tcPr>
            <w:tcW w:w="247" w:type="pct"/>
            <w:tcBorders>
              <w:top w:val="nil"/>
              <w:left w:val="nil"/>
              <w:bottom w:val="single" w:color="auto" w:sz="4" w:space="0"/>
              <w:right w:val="single" w:color="auto" w:sz="4" w:space="0"/>
            </w:tcBorders>
            <w:vAlign w:val="center"/>
          </w:tcPr>
          <w:p w14:paraId="6302F0B7">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原始凭证</w:t>
            </w:r>
          </w:p>
        </w:tc>
        <w:tc>
          <w:tcPr>
            <w:tcW w:w="309" w:type="pct"/>
            <w:tcBorders>
              <w:top w:val="nil"/>
              <w:left w:val="nil"/>
              <w:bottom w:val="single" w:color="auto" w:sz="4" w:space="0"/>
              <w:right w:val="single" w:color="auto" w:sz="4" w:space="0"/>
            </w:tcBorders>
            <w:vAlign w:val="center"/>
          </w:tcPr>
          <w:p w14:paraId="718C9EF2">
            <w:pPr>
              <w:widowControl/>
              <w:spacing w:after="0" w:line="200" w:lineRule="exact"/>
              <w:jc w:val="center"/>
              <w:rPr>
                <w:rFonts w:hint="eastAsia" w:ascii="宋体" w:hAnsi="宋体" w:cs="宋体"/>
                <w:color w:val="000000"/>
                <w:kern w:val="0"/>
                <w:sz w:val="18"/>
                <w:szCs w:val="18"/>
              </w:rPr>
            </w:pPr>
          </w:p>
        </w:tc>
        <w:tc>
          <w:tcPr>
            <w:tcW w:w="80" w:type="pct"/>
            <w:vAlign w:val="center"/>
          </w:tcPr>
          <w:p w14:paraId="54E4CFFE">
            <w:pPr>
              <w:widowControl/>
              <w:spacing w:after="0" w:line="200" w:lineRule="exact"/>
              <w:jc w:val="left"/>
              <w:rPr>
                <w:rFonts w:eastAsia="Times New Roman"/>
                <w:kern w:val="0"/>
                <w:sz w:val="20"/>
                <w:szCs w:val="20"/>
              </w:rPr>
            </w:pPr>
          </w:p>
        </w:tc>
      </w:tr>
      <w:tr w14:paraId="0571970D">
        <w:tblPrEx>
          <w:tblCellMar>
            <w:top w:w="0" w:type="dxa"/>
            <w:left w:w="108" w:type="dxa"/>
            <w:bottom w:w="0" w:type="dxa"/>
            <w:right w:w="108" w:type="dxa"/>
          </w:tblCellMar>
        </w:tblPrEx>
        <w:tc>
          <w:tcPr>
            <w:tcW w:w="209" w:type="pct"/>
            <w:vMerge w:val="continue"/>
            <w:tcBorders>
              <w:top w:val="nil"/>
              <w:left w:val="single" w:color="auto" w:sz="4" w:space="0"/>
              <w:bottom w:val="single" w:color="auto" w:sz="4" w:space="0"/>
              <w:right w:val="single" w:color="auto" w:sz="4" w:space="0"/>
            </w:tcBorders>
            <w:vAlign w:val="center"/>
          </w:tcPr>
          <w:p w14:paraId="0AA019E9">
            <w:pPr>
              <w:widowControl/>
              <w:spacing w:after="0" w:line="200" w:lineRule="exact"/>
              <w:jc w:val="left"/>
              <w:rPr>
                <w:rFonts w:hint="eastAsia" w:ascii="宋体" w:hAnsi="宋体" w:cs="宋体"/>
                <w:b/>
                <w:bCs/>
                <w:color w:val="000000"/>
                <w:kern w:val="0"/>
                <w:sz w:val="18"/>
                <w:szCs w:val="18"/>
              </w:rPr>
            </w:pPr>
          </w:p>
        </w:tc>
        <w:tc>
          <w:tcPr>
            <w:tcW w:w="275" w:type="pct"/>
            <w:vMerge w:val="continue"/>
            <w:tcBorders>
              <w:top w:val="nil"/>
              <w:left w:val="single" w:color="auto" w:sz="4" w:space="0"/>
              <w:bottom w:val="single" w:color="auto" w:sz="4" w:space="0"/>
              <w:right w:val="single" w:color="auto" w:sz="4" w:space="0"/>
            </w:tcBorders>
            <w:vAlign w:val="center"/>
          </w:tcPr>
          <w:p w14:paraId="0CEE4608">
            <w:pPr>
              <w:widowControl/>
              <w:spacing w:after="0" w:line="200" w:lineRule="exact"/>
              <w:jc w:val="left"/>
              <w:rPr>
                <w:rFonts w:hint="eastAsia" w:ascii="宋体" w:hAnsi="宋体" w:cs="宋体"/>
                <w:color w:val="000000"/>
                <w:kern w:val="0"/>
                <w:sz w:val="18"/>
                <w:szCs w:val="18"/>
              </w:rPr>
            </w:pPr>
          </w:p>
        </w:tc>
        <w:tc>
          <w:tcPr>
            <w:tcW w:w="347" w:type="pct"/>
            <w:tcBorders>
              <w:top w:val="nil"/>
              <w:left w:val="nil"/>
              <w:bottom w:val="single" w:color="auto" w:sz="4" w:space="0"/>
              <w:right w:val="single" w:color="auto" w:sz="4" w:space="0"/>
            </w:tcBorders>
            <w:vAlign w:val="center"/>
          </w:tcPr>
          <w:p w14:paraId="49D3E044">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经济成本指标</w:t>
            </w:r>
          </w:p>
        </w:tc>
        <w:tc>
          <w:tcPr>
            <w:tcW w:w="896" w:type="pct"/>
            <w:tcBorders>
              <w:top w:val="nil"/>
              <w:left w:val="nil"/>
              <w:bottom w:val="single" w:color="auto" w:sz="4" w:space="0"/>
              <w:right w:val="single" w:color="auto" w:sz="4" w:space="0"/>
            </w:tcBorders>
            <w:vAlign w:val="center"/>
          </w:tcPr>
          <w:p w14:paraId="524840BA">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其他费用</w:t>
            </w:r>
          </w:p>
        </w:tc>
        <w:tc>
          <w:tcPr>
            <w:tcW w:w="304" w:type="pct"/>
            <w:tcBorders>
              <w:top w:val="nil"/>
              <w:left w:val="nil"/>
              <w:bottom w:val="single" w:color="auto" w:sz="4" w:space="0"/>
              <w:right w:val="single" w:color="auto" w:sz="4" w:space="0"/>
            </w:tcBorders>
            <w:vAlign w:val="center"/>
          </w:tcPr>
          <w:p w14:paraId="2F3BB7F7">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447" w:type="pct"/>
            <w:tcBorders>
              <w:top w:val="nil"/>
              <w:left w:val="nil"/>
              <w:bottom w:val="single" w:color="auto" w:sz="4" w:space="0"/>
              <w:right w:val="single" w:color="auto" w:sz="4" w:space="0"/>
            </w:tcBorders>
            <w:vAlign w:val="center"/>
          </w:tcPr>
          <w:p w14:paraId="1C5B1774">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&lt;=41.98万元</w:t>
            </w:r>
          </w:p>
        </w:tc>
        <w:tc>
          <w:tcPr>
            <w:tcW w:w="366" w:type="pct"/>
            <w:gridSpan w:val="2"/>
            <w:tcBorders>
              <w:top w:val="nil"/>
              <w:left w:val="nil"/>
              <w:bottom w:val="single" w:color="auto" w:sz="4" w:space="0"/>
              <w:right w:val="single" w:color="auto" w:sz="4" w:space="0"/>
            </w:tcBorders>
            <w:vAlign w:val="center"/>
          </w:tcPr>
          <w:p w14:paraId="090DD4CE">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=41.98万元</w:t>
            </w:r>
          </w:p>
        </w:tc>
        <w:tc>
          <w:tcPr>
            <w:tcW w:w="305" w:type="pct"/>
            <w:tcBorders>
              <w:top w:val="nil"/>
              <w:left w:val="nil"/>
              <w:bottom w:val="single" w:color="auto" w:sz="4" w:space="0"/>
              <w:right w:val="single" w:color="auto" w:sz="4" w:space="0"/>
            </w:tcBorders>
            <w:vAlign w:val="center"/>
          </w:tcPr>
          <w:p w14:paraId="77C85FD8">
            <w:pPr>
              <w:widowControl/>
              <w:spacing w:after="0" w:line="200" w:lineRule="exact"/>
              <w:jc w:val="center"/>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rPr>
              <w:t>100</w:t>
            </w:r>
            <w:r>
              <w:rPr>
                <w:rFonts w:hint="eastAsia" w:ascii="宋体" w:hAnsi="宋体" w:cs="宋体"/>
                <w:color w:val="000000"/>
                <w:kern w:val="0"/>
                <w:sz w:val="18"/>
                <w:szCs w:val="18"/>
                <w:lang w:val="en-US" w:eastAsia="zh-CN"/>
              </w:rPr>
              <w:t>%</w:t>
            </w:r>
          </w:p>
        </w:tc>
        <w:tc>
          <w:tcPr>
            <w:tcW w:w="268" w:type="pct"/>
            <w:tcBorders>
              <w:top w:val="nil"/>
              <w:left w:val="nil"/>
              <w:bottom w:val="single" w:color="auto" w:sz="4" w:space="0"/>
              <w:right w:val="single" w:color="auto" w:sz="4" w:space="0"/>
            </w:tcBorders>
            <w:vAlign w:val="center"/>
          </w:tcPr>
          <w:p w14:paraId="4ED89F04">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2</w:t>
            </w:r>
          </w:p>
        </w:tc>
        <w:tc>
          <w:tcPr>
            <w:tcW w:w="316" w:type="pct"/>
            <w:tcBorders>
              <w:top w:val="nil"/>
              <w:left w:val="nil"/>
              <w:bottom w:val="single" w:color="auto" w:sz="4" w:space="0"/>
              <w:right w:val="single" w:color="auto" w:sz="4" w:space="0"/>
            </w:tcBorders>
            <w:vAlign w:val="center"/>
          </w:tcPr>
          <w:p w14:paraId="289E47DB">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计划标准</w:t>
            </w:r>
          </w:p>
        </w:tc>
        <w:tc>
          <w:tcPr>
            <w:tcW w:w="293" w:type="pct"/>
            <w:tcBorders>
              <w:top w:val="nil"/>
              <w:left w:val="nil"/>
              <w:bottom w:val="single" w:color="auto" w:sz="4" w:space="0"/>
              <w:right w:val="single" w:color="auto" w:sz="4" w:space="0"/>
            </w:tcBorders>
            <w:vAlign w:val="center"/>
          </w:tcPr>
          <w:p w14:paraId="3862B744">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338" w:type="pct"/>
            <w:tcBorders>
              <w:top w:val="nil"/>
              <w:left w:val="nil"/>
              <w:bottom w:val="single" w:color="auto" w:sz="4" w:space="0"/>
              <w:right w:val="single" w:color="auto" w:sz="4" w:space="0"/>
            </w:tcBorders>
            <w:vAlign w:val="center"/>
          </w:tcPr>
          <w:p w14:paraId="4CFA9873">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按照完成比例赋分</w:t>
            </w:r>
          </w:p>
        </w:tc>
        <w:tc>
          <w:tcPr>
            <w:tcW w:w="247" w:type="pct"/>
            <w:tcBorders>
              <w:top w:val="nil"/>
              <w:left w:val="nil"/>
              <w:bottom w:val="single" w:color="auto" w:sz="4" w:space="0"/>
              <w:right w:val="single" w:color="auto" w:sz="4" w:space="0"/>
            </w:tcBorders>
            <w:vAlign w:val="center"/>
          </w:tcPr>
          <w:p w14:paraId="4568A32E">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原始凭证</w:t>
            </w:r>
          </w:p>
        </w:tc>
        <w:tc>
          <w:tcPr>
            <w:tcW w:w="309" w:type="pct"/>
            <w:tcBorders>
              <w:top w:val="nil"/>
              <w:left w:val="nil"/>
              <w:bottom w:val="single" w:color="auto" w:sz="4" w:space="0"/>
              <w:right w:val="single" w:color="auto" w:sz="4" w:space="0"/>
            </w:tcBorders>
            <w:vAlign w:val="center"/>
          </w:tcPr>
          <w:p w14:paraId="0CF872D5">
            <w:pPr>
              <w:widowControl/>
              <w:spacing w:after="0" w:line="200" w:lineRule="exact"/>
              <w:jc w:val="center"/>
              <w:rPr>
                <w:rFonts w:hint="eastAsia" w:ascii="宋体" w:hAnsi="宋体" w:cs="宋体"/>
                <w:color w:val="000000"/>
                <w:kern w:val="0"/>
                <w:sz w:val="18"/>
                <w:szCs w:val="18"/>
              </w:rPr>
            </w:pPr>
          </w:p>
        </w:tc>
        <w:tc>
          <w:tcPr>
            <w:tcW w:w="80" w:type="pct"/>
            <w:vAlign w:val="center"/>
          </w:tcPr>
          <w:p w14:paraId="31D603A6">
            <w:pPr>
              <w:widowControl/>
              <w:spacing w:after="0" w:line="200" w:lineRule="exact"/>
              <w:jc w:val="left"/>
              <w:rPr>
                <w:rFonts w:eastAsia="Times New Roman"/>
                <w:kern w:val="0"/>
                <w:sz w:val="20"/>
                <w:szCs w:val="20"/>
              </w:rPr>
            </w:pPr>
          </w:p>
        </w:tc>
      </w:tr>
      <w:tr w14:paraId="1F9B9DC2">
        <w:tblPrEx>
          <w:tblCellMar>
            <w:top w:w="0" w:type="dxa"/>
            <w:left w:w="108" w:type="dxa"/>
            <w:bottom w:w="0" w:type="dxa"/>
            <w:right w:w="108" w:type="dxa"/>
          </w:tblCellMar>
        </w:tblPrEx>
        <w:tc>
          <w:tcPr>
            <w:tcW w:w="209" w:type="pct"/>
            <w:vMerge w:val="continue"/>
            <w:tcBorders>
              <w:top w:val="nil"/>
              <w:left w:val="single" w:color="auto" w:sz="4" w:space="0"/>
              <w:bottom w:val="single" w:color="auto" w:sz="4" w:space="0"/>
              <w:right w:val="single" w:color="auto" w:sz="4" w:space="0"/>
            </w:tcBorders>
            <w:vAlign w:val="center"/>
          </w:tcPr>
          <w:p w14:paraId="72FCC051">
            <w:pPr>
              <w:widowControl/>
              <w:spacing w:after="0" w:line="200" w:lineRule="exact"/>
              <w:jc w:val="left"/>
              <w:rPr>
                <w:rFonts w:hint="eastAsia" w:ascii="宋体" w:hAnsi="宋体" w:cs="宋体"/>
                <w:b/>
                <w:bCs/>
                <w:color w:val="000000"/>
                <w:kern w:val="0"/>
                <w:sz w:val="18"/>
                <w:szCs w:val="18"/>
              </w:rPr>
            </w:pPr>
          </w:p>
        </w:tc>
        <w:tc>
          <w:tcPr>
            <w:tcW w:w="275" w:type="pct"/>
            <w:vMerge w:val="continue"/>
            <w:tcBorders>
              <w:top w:val="nil"/>
              <w:left w:val="single" w:color="auto" w:sz="4" w:space="0"/>
              <w:bottom w:val="single" w:color="auto" w:sz="4" w:space="0"/>
              <w:right w:val="single" w:color="auto" w:sz="4" w:space="0"/>
            </w:tcBorders>
            <w:vAlign w:val="center"/>
          </w:tcPr>
          <w:p w14:paraId="165D69C1">
            <w:pPr>
              <w:widowControl/>
              <w:spacing w:after="0" w:line="200" w:lineRule="exact"/>
              <w:jc w:val="left"/>
              <w:rPr>
                <w:rFonts w:hint="eastAsia" w:ascii="宋体" w:hAnsi="宋体" w:cs="宋体"/>
                <w:color w:val="000000"/>
                <w:kern w:val="0"/>
                <w:sz w:val="18"/>
                <w:szCs w:val="18"/>
              </w:rPr>
            </w:pPr>
          </w:p>
        </w:tc>
        <w:tc>
          <w:tcPr>
            <w:tcW w:w="347" w:type="pct"/>
            <w:tcBorders>
              <w:top w:val="nil"/>
              <w:left w:val="nil"/>
              <w:bottom w:val="single" w:color="auto" w:sz="4" w:space="0"/>
              <w:right w:val="single" w:color="auto" w:sz="4" w:space="0"/>
            </w:tcBorders>
            <w:vAlign w:val="center"/>
          </w:tcPr>
          <w:p w14:paraId="7E0090FD">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社会成本指标</w:t>
            </w:r>
          </w:p>
        </w:tc>
        <w:tc>
          <w:tcPr>
            <w:tcW w:w="896" w:type="pct"/>
            <w:tcBorders>
              <w:top w:val="nil"/>
              <w:left w:val="nil"/>
              <w:bottom w:val="single" w:color="auto" w:sz="4" w:space="0"/>
              <w:right w:val="single" w:color="auto" w:sz="4" w:space="0"/>
            </w:tcBorders>
            <w:vAlign w:val="center"/>
          </w:tcPr>
          <w:p w14:paraId="2FEEDF9B">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04" w:type="pct"/>
            <w:tcBorders>
              <w:top w:val="nil"/>
              <w:left w:val="nil"/>
              <w:bottom w:val="single" w:color="auto" w:sz="4" w:space="0"/>
              <w:right w:val="single" w:color="auto" w:sz="4" w:space="0"/>
            </w:tcBorders>
            <w:vAlign w:val="center"/>
          </w:tcPr>
          <w:p w14:paraId="358B525F">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447" w:type="pct"/>
            <w:tcBorders>
              <w:top w:val="nil"/>
              <w:left w:val="nil"/>
              <w:bottom w:val="single" w:color="auto" w:sz="4" w:space="0"/>
              <w:right w:val="single" w:color="auto" w:sz="4" w:space="0"/>
            </w:tcBorders>
            <w:vAlign w:val="center"/>
          </w:tcPr>
          <w:p w14:paraId="25A70582">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66" w:type="pct"/>
            <w:gridSpan w:val="2"/>
            <w:tcBorders>
              <w:top w:val="nil"/>
              <w:left w:val="nil"/>
              <w:bottom w:val="single" w:color="auto" w:sz="4" w:space="0"/>
              <w:right w:val="single" w:color="auto" w:sz="4" w:space="0"/>
            </w:tcBorders>
            <w:vAlign w:val="center"/>
          </w:tcPr>
          <w:p w14:paraId="1BA7432B">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05" w:type="pct"/>
            <w:tcBorders>
              <w:top w:val="nil"/>
              <w:left w:val="nil"/>
              <w:bottom w:val="single" w:color="auto" w:sz="4" w:space="0"/>
              <w:right w:val="single" w:color="auto" w:sz="4" w:space="0"/>
            </w:tcBorders>
            <w:vAlign w:val="center"/>
          </w:tcPr>
          <w:p w14:paraId="654524BE">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268" w:type="pct"/>
            <w:tcBorders>
              <w:top w:val="nil"/>
              <w:left w:val="nil"/>
              <w:bottom w:val="single" w:color="auto" w:sz="4" w:space="0"/>
              <w:right w:val="single" w:color="auto" w:sz="4" w:space="0"/>
            </w:tcBorders>
            <w:vAlign w:val="center"/>
          </w:tcPr>
          <w:p w14:paraId="74B5AE01">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16" w:type="pct"/>
            <w:tcBorders>
              <w:top w:val="nil"/>
              <w:left w:val="nil"/>
              <w:bottom w:val="single" w:color="auto" w:sz="4" w:space="0"/>
              <w:right w:val="single" w:color="auto" w:sz="4" w:space="0"/>
            </w:tcBorders>
            <w:vAlign w:val="center"/>
          </w:tcPr>
          <w:p w14:paraId="56F7B389">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293" w:type="pct"/>
            <w:tcBorders>
              <w:top w:val="nil"/>
              <w:left w:val="nil"/>
              <w:bottom w:val="single" w:color="auto" w:sz="4" w:space="0"/>
              <w:right w:val="single" w:color="auto" w:sz="4" w:space="0"/>
            </w:tcBorders>
            <w:vAlign w:val="center"/>
          </w:tcPr>
          <w:p w14:paraId="17E50652">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38" w:type="pct"/>
            <w:tcBorders>
              <w:top w:val="nil"/>
              <w:left w:val="nil"/>
              <w:bottom w:val="single" w:color="auto" w:sz="4" w:space="0"/>
              <w:right w:val="single" w:color="auto" w:sz="4" w:space="0"/>
            </w:tcBorders>
            <w:vAlign w:val="center"/>
          </w:tcPr>
          <w:p w14:paraId="1341B8A6">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247" w:type="pct"/>
            <w:tcBorders>
              <w:top w:val="nil"/>
              <w:left w:val="nil"/>
              <w:bottom w:val="single" w:color="auto" w:sz="4" w:space="0"/>
              <w:right w:val="single" w:color="auto" w:sz="4" w:space="0"/>
            </w:tcBorders>
            <w:vAlign w:val="center"/>
          </w:tcPr>
          <w:p w14:paraId="11173AFF">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09" w:type="pct"/>
            <w:tcBorders>
              <w:top w:val="nil"/>
              <w:left w:val="nil"/>
              <w:bottom w:val="single" w:color="auto" w:sz="4" w:space="0"/>
              <w:right w:val="single" w:color="auto" w:sz="4" w:space="0"/>
            </w:tcBorders>
            <w:vAlign w:val="center"/>
          </w:tcPr>
          <w:p w14:paraId="2F1F7EBF">
            <w:pPr>
              <w:widowControl/>
              <w:spacing w:after="0" w:line="200" w:lineRule="exact"/>
              <w:jc w:val="center"/>
              <w:rPr>
                <w:rFonts w:hint="eastAsia" w:ascii="宋体" w:hAnsi="宋体" w:cs="宋体"/>
                <w:color w:val="000000"/>
                <w:kern w:val="0"/>
                <w:sz w:val="18"/>
                <w:szCs w:val="18"/>
              </w:rPr>
            </w:pPr>
          </w:p>
        </w:tc>
        <w:tc>
          <w:tcPr>
            <w:tcW w:w="80" w:type="pct"/>
            <w:vAlign w:val="center"/>
          </w:tcPr>
          <w:p w14:paraId="2F7DE451">
            <w:pPr>
              <w:widowControl/>
              <w:spacing w:after="0" w:line="200" w:lineRule="exact"/>
              <w:jc w:val="left"/>
              <w:rPr>
                <w:rFonts w:eastAsia="Times New Roman"/>
                <w:kern w:val="0"/>
                <w:sz w:val="20"/>
                <w:szCs w:val="20"/>
              </w:rPr>
            </w:pPr>
          </w:p>
        </w:tc>
      </w:tr>
      <w:tr w14:paraId="06E75996">
        <w:tblPrEx>
          <w:tblCellMar>
            <w:top w:w="0" w:type="dxa"/>
            <w:left w:w="108" w:type="dxa"/>
            <w:bottom w:w="0" w:type="dxa"/>
            <w:right w:w="108" w:type="dxa"/>
          </w:tblCellMar>
        </w:tblPrEx>
        <w:tc>
          <w:tcPr>
            <w:tcW w:w="209" w:type="pct"/>
            <w:vMerge w:val="continue"/>
            <w:tcBorders>
              <w:top w:val="nil"/>
              <w:left w:val="single" w:color="auto" w:sz="4" w:space="0"/>
              <w:bottom w:val="single" w:color="auto" w:sz="4" w:space="0"/>
              <w:right w:val="single" w:color="auto" w:sz="4" w:space="0"/>
            </w:tcBorders>
            <w:vAlign w:val="center"/>
          </w:tcPr>
          <w:p w14:paraId="0D02FD3C">
            <w:pPr>
              <w:widowControl/>
              <w:spacing w:after="0" w:line="200" w:lineRule="exact"/>
              <w:jc w:val="left"/>
              <w:rPr>
                <w:rFonts w:hint="eastAsia" w:ascii="宋体" w:hAnsi="宋体" w:cs="宋体"/>
                <w:b/>
                <w:bCs/>
                <w:color w:val="000000"/>
                <w:kern w:val="0"/>
                <w:sz w:val="18"/>
                <w:szCs w:val="18"/>
              </w:rPr>
            </w:pPr>
          </w:p>
        </w:tc>
        <w:tc>
          <w:tcPr>
            <w:tcW w:w="275" w:type="pct"/>
            <w:vMerge w:val="continue"/>
            <w:tcBorders>
              <w:top w:val="nil"/>
              <w:left w:val="single" w:color="auto" w:sz="4" w:space="0"/>
              <w:bottom w:val="single" w:color="auto" w:sz="4" w:space="0"/>
              <w:right w:val="single" w:color="auto" w:sz="4" w:space="0"/>
            </w:tcBorders>
            <w:vAlign w:val="center"/>
          </w:tcPr>
          <w:p w14:paraId="057B18FD">
            <w:pPr>
              <w:widowControl/>
              <w:spacing w:after="0" w:line="200" w:lineRule="exact"/>
              <w:jc w:val="left"/>
              <w:rPr>
                <w:rFonts w:hint="eastAsia" w:ascii="宋体" w:hAnsi="宋体" w:cs="宋体"/>
                <w:color w:val="000000"/>
                <w:kern w:val="0"/>
                <w:sz w:val="18"/>
                <w:szCs w:val="18"/>
              </w:rPr>
            </w:pPr>
          </w:p>
        </w:tc>
        <w:tc>
          <w:tcPr>
            <w:tcW w:w="347" w:type="pct"/>
            <w:tcBorders>
              <w:top w:val="nil"/>
              <w:left w:val="nil"/>
              <w:bottom w:val="single" w:color="auto" w:sz="4" w:space="0"/>
              <w:right w:val="single" w:color="auto" w:sz="4" w:space="0"/>
            </w:tcBorders>
            <w:vAlign w:val="center"/>
          </w:tcPr>
          <w:p w14:paraId="41448F71">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生态环境成本指标</w:t>
            </w:r>
          </w:p>
        </w:tc>
        <w:tc>
          <w:tcPr>
            <w:tcW w:w="896" w:type="pct"/>
            <w:tcBorders>
              <w:top w:val="nil"/>
              <w:left w:val="nil"/>
              <w:bottom w:val="single" w:color="auto" w:sz="4" w:space="0"/>
              <w:right w:val="single" w:color="auto" w:sz="4" w:space="0"/>
            </w:tcBorders>
            <w:vAlign w:val="center"/>
          </w:tcPr>
          <w:p w14:paraId="24D09D26">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04" w:type="pct"/>
            <w:tcBorders>
              <w:top w:val="nil"/>
              <w:left w:val="nil"/>
              <w:bottom w:val="single" w:color="auto" w:sz="4" w:space="0"/>
              <w:right w:val="single" w:color="auto" w:sz="4" w:space="0"/>
            </w:tcBorders>
            <w:vAlign w:val="center"/>
          </w:tcPr>
          <w:p w14:paraId="39415C9C">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447" w:type="pct"/>
            <w:tcBorders>
              <w:top w:val="nil"/>
              <w:left w:val="nil"/>
              <w:bottom w:val="single" w:color="auto" w:sz="4" w:space="0"/>
              <w:right w:val="single" w:color="auto" w:sz="4" w:space="0"/>
            </w:tcBorders>
            <w:vAlign w:val="center"/>
          </w:tcPr>
          <w:p w14:paraId="793F42A2">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66" w:type="pct"/>
            <w:gridSpan w:val="2"/>
            <w:tcBorders>
              <w:top w:val="nil"/>
              <w:left w:val="nil"/>
              <w:bottom w:val="single" w:color="auto" w:sz="4" w:space="0"/>
              <w:right w:val="single" w:color="auto" w:sz="4" w:space="0"/>
            </w:tcBorders>
            <w:vAlign w:val="center"/>
          </w:tcPr>
          <w:p w14:paraId="7AFCE413">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05" w:type="pct"/>
            <w:tcBorders>
              <w:top w:val="nil"/>
              <w:left w:val="nil"/>
              <w:bottom w:val="single" w:color="auto" w:sz="4" w:space="0"/>
              <w:right w:val="single" w:color="auto" w:sz="4" w:space="0"/>
            </w:tcBorders>
            <w:vAlign w:val="center"/>
          </w:tcPr>
          <w:p w14:paraId="4C7D2EB2">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268" w:type="pct"/>
            <w:tcBorders>
              <w:top w:val="nil"/>
              <w:left w:val="nil"/>
              <w:bottom w:val="single" w:color="auto" w:sz="4" w:space="0"/>
              <w:right w:val="single" w:color="auto" w:sz="4" w:space="0"/>
            </w:tcBorders>
            <w:vAlign w:val="center"/>
          </w:tcPr>
          <w:p w14:paraId="4CC0D8BF">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16" w:type="pct"/>
            <w:tcBorders>
              <w:top w:val="nil"/>
              <w:left w:val="nil"/>
              <w:bottom w:val="single" w:color="auto" w:sz="4" w:space="0"/>
              <w:right w:val="single" w:color="auto" w:sz="4" w:space="0"/>
            </w:tcBorders>
            <w:vAlign w:val="center"/>
          </w:tcPr>
          <w:p w14:paraId="4BD254F7">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293" w:type="pct"/>
            <w:tcBorders>
              <w:top w:val="nil"/>
              <w:left w:val="nil"/>
              <w:bottom w:val="single" w:color="auto" w:sz="4" w:space="0"/>
              <w:right w:val="single" w:color="auto" w:sz="4" w:space="0"/>
            </w:tcBorders>
            <w:vAlign w:val="center"/>
          </w:tcPr>
          <w:p w14:paraId="20CFA684">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38" w:type="pct"/>
            <w:tcBorders>
              <w:top w:val="nil"/>
              <w:left w:val="nil"/>
              <w:bottom w:val="single" w:color="auto" w:sz="4" w:space="0"/>
              <w:right w:val="single" w:color="auto" w:sz="4" w:space="0"/>
            </w:tcBorders>
            <w:vAlign w:val="center"/>
          </w:tcPr>
          <w:p w14:paraId="0A3D35B2">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247" w:type="pct"/>
            <w:tcBorders>
              <w:top w:val="nil"/>
              <w:left w:val="nil"/>
              <w:bottom w:val="single" w:color="auto" w:sz="4" w:space="0"/>
              <w:right w:val="single" w:color="auto" w:sz="4" w:space="0"/>
            </w:tcBorders>
            <w:vAlign w:val="center"/>
          </w:tcPr>
          <w:p w14:paraId="2228C0CF">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09" w:type="pct"/>
            <w:tcBorders>
              <w:top w:val="nil"/>
              <w:left w:val="nil"/>
              <w:bottom w:val="single" w:color="auto" w:sz="4" w:space="0"/>
              <w:right w:val="single" w:color="auto" w:sz="4" w:space="0"/>
            </w:tcBorders>
            <w:vAlign w:val="center"/>
          </w:tcPr>
          <w:p w14:paraId="367B9A8C">
            <w:pPr>
              <w:widowControl/>
              <w:spacing w:after="0" w:line="200" w:lineRule="exact"/>
              <w:jc w:val="center"/>
              <w:rPr>
                <w:rFonts w:hint="eastAsia" w:ascii="宋体" w:hAnsi="宋体" w:cs="宋体"/>
                <w:color w:val="000000"/>
                <w:kern w:val="0"/>
                <w:sz w:val="18"/>
                <w:szCs w:val="18"/>
              </w:rPr>
            </w:pPr>
          </w:p>
        </w:tc>
        <w:tc>
          <w:tcPr>
            <w:tcW w:w="80" w:type="pct"/>
            <w:vAlign w:val="center"/>
          </w:tcPr>
          <w:p w14:paraId="299364E4">
            <w:pPr>
              <w:widowControl/>
              <w:spacing w:after="0" w:line="200" w:lineRule="exact"/>
              <w:jc w:val="left"/>
              <w:rPr>
                <w:rFonts w:eastAsia="Times New Roman"/>
                <w:kern w:val="0"/>
                <w:sz w:val="20"/>
                <w:szCs w:val="20"/>
              </w:rPr>
            </w:pPr>
          </w:p>
        </w:tc>
      </w:tr>
      <w:tr w14:paraId="09844FCD">
        <w:tblPrEx>
          <w:tblCellMar>
            <w:top w:w="0" w:type="dxa"/>
            <w:left w:w="108" w:type="dxa"/>
            <w:bottom w:w="0" w:type="dxa"/>
            <w:right w:w="108" w:type="dxa"/>
          </w:tblCellMar>
        </w:tblPrEx>
        <w:tc>
          <w:tcPr>
            <w:tcW w:w="209" w:type="pct"/>
            <w:vMerge w:val="continue"/>
            <w:tcBorders>
              <w:top w:val="nil"/>
              <w:left w:val="single" w:color="auto" w:sz="4" w:space="0"/>
              <w:bottom w:val="single" w:color="auto" w:sz="4" w:space="0"/>
              <w:right w:val="single" w:color="auto" w:sz="4" w:space="0"/>
            </w:tcBorders>
            <w:vAlign w:val="center"/>
          </w:tcPr>
          <w:p w14:paraId="22EBDA3C">
            <w:pPr>
              <w:widowControl/>
              <w:spacing w:after="0" w:line="200" w:lineRule="exact"/>
              <w:jc w:val="left"/>
              <w:rPr>
                <w:rFonts w:hint="eastAsia" w:ascii="宋体" w:hAnsi="宋体" w:cs="宋体"/>
                <w:b/>
                <w:bCs/>
                <w:color w:val="000000"/>
                <w:kern w:val="0"/>
                <w:sz w:val="18"/>
                <w:szCs w:val="18"/>
              </w:rPr>
            </w:pPr>
          </w:p>
        </w:tc>
        <w:tc>
          <w:tcPr>
            <w:tcW w:w="275" w:type="pct"/>
            <w:vMerge w:val="restart"/>
            <w:tcBorders>
              <w:top w:val="nil"/>
              <w:left w:val="single" w:color="auto" w:sz="4" w:space="0"/>
              <w:bottom w:val="single" w:color="auto" w:sz="4" w:space="0"/>
              <w:right w:val="single" w:color="auto" w:sz="4" w:space="0"/>
            </w:tcBorders>
            <w:vAlign w:val="center"/>
          </w:tcPr>
          <w:p w14:paraId="623D9587">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效益指标</w:t>
            </w:r>
          </w:p>
        </w:tc>
        <w:tc>
          <w:tcPr>
            <w:tcW w:w="347" w:type="pct"/>
            <w:tcBorders>
              <w:top w:val="nil"/>
              <w:left w:val="nil"/>
              <w:bottom w:val="single" w:color="auto" w:sz="4" w:space="0"/>
              <w:right w:val="single" w:color="auto" w:sz="4" w:space="0"/>
            </w:tcBorders>
            <w:vAlign w:val="center"/>
          </w:tcPr>
          <w:p w14:paraId="6ACE352E">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经济效益指标</w:t>
            </w:r>
          </w:p>
        </w:tc>
        <w:tc>
          <w:tcPr>
            <w:tcW w:w="896" w:type="pct"/>
            <w:tcBorders>
              <w:top w:val="nil"/>
              <w:left w:val="nil"/>
              <w:bottom w:val="single" w:color="auto" w:sz="4" w:space="0"/>
              <w:right w:val="single" w:color="auto" w:sz="4" w:space="0"/>
            </w:tcBorders>
            <w:vAlign w:val="center"/>
          </w:tcPr>
          <w:p w14:paraId="3EDEFE2E">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04" w:type="pct"/>
            <w:tcBorders>
              <w:top w:val="nil"/>
              <w:left w:val="nil"/>
              <w:bottom w:val="single" w:color="auto" w:sz="4" w:space="0"/>
              <w:right w:val="single" w:color="auto" w:sz="4" w:space="0"/>
            </w:tcBorders>
            <w:vAlign w:val="center"/>
          </w:tcPr>
          <w:p w14:paraId="303343A6">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447" w:type="pct"/>
            <w:tcBorders>
              <w:top w:val="nil"/>
              <w:left w:val="nil"/>
              <w:bottom w:val="single" w:color="auto" w:sz="4" w:space="0"/>
              <w:right w:val="single" w:color="auto" w:sz="4" w:space="0"/>
            </w:tcBorders>
            <w:vAlign w:val="center"/>
          </w:tcPr>
          <w:p w14:paraId="1931078C">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66" w:type="pct"/>
            <w:gridSpan w:val="2"/>
            <w:tcBorders>
              <w:top w:val="nil"/>
              <w:left w:val="nil"/>
              <w:bottom w:val="single" w:color="auto" w:sz="4" w:space="0"/>
              <w:right w:val="single" w:color="auto" w:sz="4" w:space="0"/>
            </w:tcBorders>
            <w:vAlign w:val="center"/>
          </w:tcPr>
          <w:p w14:paraId="42FFB3E4">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05" w:type="pct"/>
            <w:tcBorders>
              <w:top w:val="nil"/>
              <w:left w:val="nil"/>
              <w:bottom w:val="single" w:color="auto" w:sz="4" w:space="0"/>
              <w:right w:val="single" w:color="auto" w:sz="4" w:space="0"/>
            </w:tcBorders>
            <w:vAlign w:val="center"/>
          </w:tcPr>
          <w:p w14:paraId="755E66EB">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268" w:type="pct"/>
            <w:tcBorders>
              <w:top w:val="nil"/>
              <w:left w:val="nil"/>
              <w:bottom w:val="single" w:color="auto" w:sz="4" w:space="0"/>
              <w:right w:val="single" w:color="auto" w:sz="4" w:space="0"/>
            </w:tcBorders>
            <w:vAlign w:val="center"/>
          </w:tcPr>
          <w:p w14:paraId="2E7DD77E">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16" w:type="pct"/>
            <w:tcBorders>
              <w:top w:val="nil"/>
              <w:left w:val="nil"/>
              <w:bottom w:val="single" w:color="auto" w:sz="4" w:space="0"/>
              <w:right w:val="single" w:color="auto" w:sz="4" w:space="0"/>
            </w:tcBorders>
            <w:vAlign w:val="center"/>
          </w:tcPr>
          <w:p w14:paraId="737FE407">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293" w:type="pct"/>
            <w:tcBorders>
              <w:top w:val="nil"/>
              <w:left w:val="nil"/>
              <w:bottom w:val="single" w:color="auto" w:sz="4" w:space="0"/>
              <w:right w:val="single" w:color="auto" w:sz="4" w:space="0"/>
            </w:tcBorders>
            <w:vAlign w:val="center"/>
          </w:tcPr>
          <w:p w14:paraId="6FBD1F36">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38" w:type="pct"/>
            <w:tcBorders>
              <w:top w:val="nil"/>
              <w:left w:val="nil"/>
              <w:bottom w:val="single" w:color="auto" w:sz="4" w:space="0"/>
              <w:right w:val="single" w:color="auto" w:sz="4" w:space="0"/>
            </w:tcBorders>
            <w:vAlign w:val="center"/>
          </w:tcPr>
          <w:p w14:paraId="40E8B842">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247" w:type="pct"/>
            <w:tcBorders>
              <w:top w:val="nil"/>
              <w:left w:val="nil"/>
              <w:bottom w:val="single" w:color="auto" w:sz="4" w:space="0"/>
              <w:right w:val="single" w:color="auto" w:sz="4" w:space="0"/>
            </w:tcBorders>
            <w:vAlign w:val="center"/>
          </w:tcPr>
          <w:p w14:paraId="0E4E1938">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09" w:type="pct"/>
            <w:tcBorders>
              <w:top w:val="nil"/>
              <w:left w:val="nil"/>
              <w:bottom w:val="single" w:color="auto" w:sz="4" w:space="0"/>
              <w:right w:val="single" w:color="auto" w:sz="4" w:space="0"/>
            </w:tcBorders>
            <w:vAlign w:val="center"/>
          </w:tcPr>
          <w:p w14:paraId="60C3D6B2">
            <w:pPr>
              <w:widowControl/>
              <w:spacing w:after="0" w:line="200" w:lineRule="exact"/>
              <w:jc w:val="center"/>
              <w:rPr>
                <w:rFonts w:hint="eastAsia" w:ascii="宋体" w:hAnsi="宋体" w:cs="宋体"/>
                <w:color w:val="000000"/>
                <w:kern w:val="0"/>
                <w:sz w:val="18"/>
                <w:szCs w:val="18"/>
              </w:rPr>
            </w:pPr>
          </w:p>
        </w:tc>
        <w:tc>
          <w:tcPr>
            <w:tcW w:w="80" w:type="pct"/>
            <w:vAlign w:val="center"/>
          </w:tcPr>
          <w:p w14:paraId="790701A7">
            <w:pPr>
              <w:widowControl/>
              <w:spacing w:after="0" w:line="200" w:lineRule="exact"/>
              <w:jc w:val="left"/>
              <w:rPr>
                <w:rFonts w:eastAsia="Times New Roman"/>
                <w:kern w:val="0"/>
                <w:sz w:val="20"/>
                <w:szCs w:val="20"/>
              </w:rPr>
            </w:pPr>
          </w:p>
        </w:tc>
      </w:tr>
      <w:tr w14:paraId="167AC1F9">
        <w:tblPrEx>
          <w:tblCellMar>
            <w:top w:w="0" w:type="dxa"/>
            <w:left w:w="108" w:type="dxa"/>
            <w:bottom w:w="0" w:type="dxa"/>
            <w:right w:w="108" w:type="dxa"/>
          </w:tblCellMar>
        </w:tblPrEx>
        <w:tc>
          <w:tcPr>
            <w:tcW w:w="209" w:type="pct"/>
            <w:vMerge w:val="continue"/>
            <w:tcBorders>
              <w:top w:val="nil"/>
              <w:left w:val="single" w:color="auto" w:sz="4" w:space="0"/>
              <w:bottom w:val="single" w:color="auto" w:sz="4" w:space="0"/>
              <w:right w:val="single" w:color="auto" w:sz="4" w:space="0"/>
            </w:tcBorders>
            <w:vAlign w:val="center"/>
          </w:tcPr>
          <w:p w14:paraId="5299137F">
            <w:pPr>
              <w:widowControl/>
              <w:spacing w:after="0" w:line="200" w:lineRule="exact"/>
              <w:jc w:val="left"/>
              <w:rPr>
                <w:rFonts w:hint="eastAsia" w:ascii="宋体" w:hAnsi="宋体" w:cs="宋体"/>
                <w:b/>
                <w:bCs/>
                <w:color w:val="000000"/>
                <w:kern w:val="0"/>
                <w:sz w:val="18"/>
                <w:szCs w:val="18"/>
              </w:rPr>
            </w:pPr>
          </w:p>
        </w:tc>
        <w:tc>
          <w:tcPr>
            <w:tcW w:w="275" w:type="pct"/>
            <w:vMerge w:val="continue"/>
            <w:tcBorders>
              <w:top w:val="nil"/>
              <w:left w:val="single" w:color="auto" w:sz="4" w:space="0"/>
              <w:bottom w:val="single" w:color="auto" w:sz="4" w:space="0"/>
              <w:right w:val="single" w:color="auto" w:sz="4" w:space="0"/>
            </w:tcBorders>
            <w:vAlign w:val="center"/>
          </w:tcPr>
          <w:p w14:paraId="2974C9E8">
            <w:pPr>
              <w:widowControl/>
              <w:spacing w:after="0" w:line="200" w:lineRule="exact"/>
              <w:jc w:val="left"/>
              <w:rPr>
                <w:rFonts w:hint="eastAsia" w:ascii="宋体" w:hAnsi="宋体" w:cs="宋体"/>
                <w:color w:val="000000"/>
                <w:kern w:val="0"/>
                <w:sz w:val="18"/>
                <w:szCs w:val="18"/>
              </w:rPr>
            </w:pPr>
          </w:p>
        </w:tc>
        <w:tc>
          <w:tcPr>
            <w:tcW w:w="347" w:type="pct"/>
            <w:tcBorders>
              <w:top w:val="nil"/>
              <w:left w:val="nil"/>
              <w:bottom w:val="single" w:color="auto" w:sz="4" w:space="0"/>
              <w:right w:val="single" w:color="auto" w:sz="4" w:space="0"/>
            </w:tcBorders>
            <w:vAlign w:val="center"/>
          </w:tcPr>
          <w:p w14:paraId="289F4DDB">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社会效益指标</w:t>
            </w:r>
          </w:p>
        </w:tc>
        <w:tc>
          <w:tcPr>
            <w:tcW w:w="896" w:type="pct"/>
            <w:tcBorders>
              <w:top w:val="nil"/>
              <w:left w:val="nil"/>
              <w:bottom w:val="single" w:color="auto" w:sz="4" w:space="0"/>
              <w:right w:val="single" w:color="auto" w:sz="4" w:space="0"/>
            </w:tcBorders>
            <w:vAlign w:val="center"/>
          </w:tcPr>
          <w:p w14:paraId="569D83FE">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增加全区水库库容、提高天然径流调蓄能力</w:t>
            </w:r>
          </w:p>
        </w:tc>
        <w:tc>
          <w:tcPr>
            <w:tcW w:w="304" w:type="pct"/>
            <w:tcBorders>
              <w:top w:val="nil"/>
              <w:left w:val="nil"/>
              <w:bottom w:val="single" w:color="auto" w:sz="4" w:space="0"/>
              <w:right w:val="single" w:color="auto" w:sz="4" w:space="0"/>
            </w:tcBorders>
            <w:vAlign w:val="center"/>
          </w:tcPr>
          <w:p w14:paraId="7B56E1E8">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30</w:t>
            </w:r>
          </w:p>
        </w:tc>
        <w:tc>
          <w:tcPr>
            <w:tcW w:w="447" w:type="pct"/>
            <w:tcBorders>
              <w:top w:val="nil"/>
              <w:left w:val="nil"/>
              <w:bottom w:val="single" w:color="auto" w:sz="4" w:space="0"/>
              <w:right w:val="single" w:color="auto" w:sz="4" w:space="0"/>
            </w:tcBorders>
            <w:vAlign w:val="center"/>
          </w:tcPr>
          <w:p w14:paraId="5FBABE52">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&gt;=5000万立方米</w:t>
            </w:r>
          </w:p>
        </w:tc>
        <w:tc>
          <w:tcPr>
            <w:tcW w:w="366" w:type="pct"/>
            <w:gridSpan w:val="2"/>
            <w:tcBorders>
              <w:top w:val="nil"/>
              <w:left w:val="nil"/>
              <w:bottom w:val="single" w:color="auto" w:sz="4" w:space="0"/>
              <w:right w:val="single" w:color="auto" w:sz="4" w:space="0"/>
            </w:tcBorders>
            <w:vAlign w:val="center"/>
          </w:tcPr>
          <w:p w14:paraId="4F5716F2">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=5020万立方米</w:t>
            </w:r>
          </w:p>
        </w:tc>
        <w:tc>
          <w:tcPr>
            <w:tcW w:w="305" w:type="pct"/>
            <w:tcBorders>
              <w:top w:val="nil"/>
              <w:left w:val="nil"/>
              <w:bottom w:val="single" w:color="auto" w:sz="4" w:space="0"/>
              <w:right w:val="single" w:color="auto" w:sz="4" w:space="0"/>
            </w:tcBorders>
            <w:vAlign w:val="center"/>
          </w:tcPr>
          <w:p w14:paraId="38F3C1B4">
            <w:pPr>
              <w:widowControl/>
              <w:spacing w:after="0" w:line="200" w:lineRule="exact"/>
              <w:jc w:val="center"/>
              <w:rPr>
                <w:rFonts w:hint="eastAsia" w:ascii="宋体" w:hAnsi="宋体" w:eastAsia="宋体" w:cs="宋体"/>
                <w:color w:val="000000"/>
                <w:kern w:val="0"/>
                <w:sz w:val="18"/>
                <w:szCs w:val="18"/>
                <w:lang w:val="en-US" w:eastAsia="zh-CN"/>
              </w:rPr>
            </w:pPr>
            <w:r>
              <w:rPr>
                <w:rFonts w:hint="eastAsia" w:ascii="宋体" w:hAnsi="宋体" w:cs="宋体"/>
                <w:color w:val="000000"/>
                <w:kern w:val="0"/>
                <w:sz w:val="18"/>
                <w:szCs w:val="18"/>
              </w:rPr>
              <w:t>100.4</w:t>
            </w:r>
            <w:r>
              <w:rPr>
                <w:rFonts w:hint="eastAsia" w:ascii="宋体" w:hAnsi="宋体" w:cs="宋体"/>
                <w:color w:val="000000"/>
                <w:kern w:val="0"/>
                <w:sz w:val="18"/>
                <w:szCs w:val="18"/>
                <w:lang w:val="en-US" w:eastAsia="zh-CN"/>
              </w:rPr>
              <w:t>%</w:t>
            </w:r>
            <w:bookmarkStart w:id="78" w:name="_GoBack"/>
            <w:bookmarkEnd w:id="78"/>
          </w:p>
        </w:tc>
        <w:tc>
          <w:tcPr>
            <w:tcW w:w="268" w:type="pct"/>
            <w:tcBorders>
              <w:top w:val="nil"/>
              <w:left w:val="nil"/>
              <w:bottom w:val="single" w:color="auto" w:sz="4" w:space="0"/>
              <w:right w:val="single" w:color="auto" w:sz="4" w:space="0"/>
            </w:tcBorders>
            <w:vAlign w:val="center"/>
          </w:tcPr>
          <w:p w14:paraId="3A444974">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29.88</w:t>
            </w:r>
          </w:p>
        </w:tc>
        <w:tc>
          <w:tcPr>
            <w:tcW w:w="316" w:type="pct"/>
            <w:tcBorders>
              <w:top w:val="nil"/>
              <w:left w:val="nil"/>
              <w:bottom w:val="single" w:color="auto" w:sz="4" w:space="0"/>
              <w:right w:val="single" w:color="auto" w:sz="4" w:space="0"/>
            </w:tcBorders>
            <w:vAlign w:val="center"/>
          </w:tcPr>
          <w:p w14:paraId="24A8354A">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计划标准</w:t>
            </w:r>
          </w:p>
        </w:tc>
        <w:tc>
          <w:tcPr>
            <w:tcW w:w="293" w:type="pct"/>
            <w:tcBorders>
              <w:top w:val="nil"/>
              <w:left w:val="nil"/>
              <w:bottom w:val="single" w:color="auto" w:sz="4" w:space="0"/>
              <w:right w:val="single" w:color="auto" w:sz="4" w:space="0"/>
            </w:tcBorders>
            <w:vAlign w:val="center"/>
          </w:tcPr>
          <w:p w14:paraId="5CD439EB">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w:t>
            </w:r>
          </w:p>
        </w:tc>
        <w:tc>
          <w:tcPr>
            <w:tcW w:w="338" w:type="pct"/>
            <w:tcBorders>
              <w:top w:val="nil"/>
              <w:left w:val="nil"/>
              <w:bottom w:val="single" w:color="auto" w:sz="4" w:space="0"/>
              <w:right w:val="single" w:color="auto" w:sz="4" w:space="0"/>
            </w:tcBorders>
            <w:vAlign w:val="center"/>
          </w:tcPr>
          <w:p w14:paraId="48E02EFE">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按照完成比例赋分</w:t>
            </w:r>
          </w:p>
        </w:tc>
        <w:tc>
          <w:tcPr>
            <w:tcW w:w="247" w:type="pct"/>
            <w:tcBorders>
              <w:top w:val="nil"/>
              <w:left w:val="nil"/>
              <w:bottom w:val="single" w:color="auto" w:sz="4" w:space="0"/>
              <w:right w:val="single" w:color="auto" w:sz="4" w:space="0"/>
            </w:tcBorders>
            <w:vAlign w:val="center"/>
          </w:tcPr>
          <w:p w14:paraId="08C47715">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工作资料</w:t>
            </w:r>
          </w:p>
        </w:tc>
        <w:tc>
          <w:tcPr>
            <w:tcW w:w="309" w:type="pct"/>
            <w:tcBorders>
              <w:top w:val="nil"/>
              <w:left w:val="nil"/>
              <w:bottom w:val="single" w:color="auto" w:sz="4" w:space="0"/>
              <w:right w:val="single" w:color="auto" w:sz="4" w:space="0"/>
            </w:tcBorders>
            <w:vAlign w:val="center"/>
          </w:tcPr>
          <w:p w14:paraId="3764C80A">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80" w:type="pct"/>
            <w:vAlign w:val="center"/>
          </w:tcPr>
          <w:p w14:paraId="3C3A5FAD">
            <w:pPr>
              <w:widowControl/>
              <w:spacing w:after="0" w:line="200" w:lineRule="exact"/>
              <w:jc w:val="left"/>
              <w:rPr>
                <w:rFonts w:eastAsia="Times New Roman"/>
                <w:kern w:val="0"/>
                <w:sz w:val="20"/>
                <w:szCs w:val="20"/>
              </w:rPr>
            </w:pPr>
          </w:p>
        </w:tc>
      </w:tr>
      <w:tr w14:paraId="35B53620">
        <w:tblPrEx>
          <w:tblCellMar>
            <w:top w:w="0" w:type="dxa"/>
            <w:left w:w="108" w:type="dxa"/>
            <w:bottom w:w="0" w:type="dxa"/>
            <w:right w:w="108" w:type="dxa"/>
          </w:tblCellMar>
        </w:tblPrEx>
        <w:tc>
          <w:tcPr>
            <w:tcW w:w="209" w:type="pct"/>
            <w:vMerge w:val="continue"/>
            <w:tcBorders>
              <w:top w:val="nil"/>
              <w:left w:val="single" w:color="auto" w:sz="4" w:space="0"/>
              <w:bottom w:val="single" w:color="auto" w:sz="4" w:space="0"/>
              <w:right w:val="single" w:color="auto" w:sz="4" w:space="0"/>
            </w:tcBorders>
            <w:vAlign w:val="center"/>
          </w:tcPr>
          <w:p w14:paraId="0A8436DA">
            <w:pPr>
              <w:widowControl/>
              <w:spacing w:after="0" w:line="200" w:lineRule="exact"/>
              <w:jc w:val="left"/>
              <w:rPr>
                <w:rFonts w:hint="eastAsia" w:ascii="宋体" w:hAnsi="宋体" w:cs="宋体"/>
                <w:b/>
                <w:bCs/>
                <w:color w:val="000000"/>
                <w:kern w:val="0"/>
                <w:sz w:val="18"/>
                <w:szCs w:val="18"/>
              </w:rPr>
            </w:pPr>
          </w:p>
        </w:tc>
        <w:tc>
          <w:tcPr>
            <w:tcW w:w="275" w:type="pct"/>
            <w:vMerge w:val="continue"/>
            <w:tcBorders>
              <w:top w:val="nil"/>
              <w:left w:val="single" w:color="auto" w:sz="4" w:space="0"/>
              <w:bottom w:val="single" w:color="auto" w:sz="4" w:space="0"/>
              <w:right w:val="single" w:color="auto" w:sz="4" w:space="0"/>
            </w:tcBorders>
            <w:vAlign w:val="center"/>
          </w:tcPr>
          <w:p w14:paraId="64737187">
            <w:pPr>
              <w:widowControl/>
              <w:spacing w:after="0" w:line="200" w:lineRule="exact"/>
              <w:jc w:val="left"/>
              <w:rPr>
                <w:rFonts w:hint="eastAsia" w:ascii="宋体" w:hAnsi="宋体" w:cs="宋体"/>
                <w:color w:val="000000"/>
                <w:kern w:val="0"/>
                <w:sz w:val="18"/>
                <w:szCs w:val="18"/>
              </w:rPr>
            </w:pPr>
          </w:p>
        </w:tc>
        <w:tc>
          <w:tcPr>
            <w:tcW w:w="347" w:type="pct"/>
            <w:tcBorders>
              <w:top w:val="nil"/>
              <w:left w:val="nil"/>
              <w:bottom w:val="single" w:color="auto" w:sz="4" w:space="0"/>
              <w:right w:val="single" w:color="auto" w:sz="4" w:space="0"/>
            </w:tcBorders>
            <w:vAlign w:val="center"/>
          </w:tcPr>
          <w:p w14:paraId="57729FA4">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生态效益指标</w:t>
            </w:r>
          </w:p>
        </w:tc>
        <w:tc>
          <w:tcPr>
            <w:tcW w:w="896" w:type="pct"/>
            <w:tcBorders>
              <w:top w:val="nil"/>
              <w:left w:val="nil"/>
              <w:bottom w:val="single" w:color="auto" w:sz="4" w:space="0"/>
              <w:right w:val="single" w:color="auto" w:sz="4" w:space="0"/>
            </w:tcBorders>
            <w:vAlign w:val="center"/>
          </w:tcPr>
          <w:p w14:paraId="765AC43C">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04" w:type="pct"/>
            <w:tcBorders>
              <w:top w:val="nil"/>
              <w:left w:val="nil"/>
              <w:bottom w:val="single" w:color="auto" w:sz="4" w:space="0"/>
              <w:right w:val="single" w:color="auto" w:sz="4" w:space="0"/>
            </w:tcBorders>
            <w:vAlign w:val="center"/>
          </w:tcPr>
          <w:p w14:paraId="2BD5BD27">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447" w:type="pct"/>
            <w:tcBorders>
              <w:top w:val="nil"/>
              <w:left w:val="nil"/>
              <w:bottom w:val="single" w:color="auto" w:sz="4" w:space="0"/>
              <w:right w:val="single" w:color="auto" w:sz="4" w:space="0"/>
            </w:tcBorders>
            <w:vAlign w:val="center"/>
          </w:tcPr>
          <w:p w14:paraId="1E7F7D02">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66" w:type="pct"/>
            <w:gridSpan w:val="2"/>
            <w:tcBorders>
              <w:top w:val="nil"/>
              <w:left w:val="nil"/>
              <w:bottom w:val="single" w:color="auto" w:sz="4" w:space="0"/>
              <w:right w:val="single" w:color="auto" w:sz="4" w:space="0"/>
            </w:tcBorders>
            <w:vAlign w:val="center"/>
          </w:tcPr>
          <w:p w14:paraId="5D6DEC68">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05" w:type="pct"/>
            <w:tcBorders>
              <w:top w:val="nil"/>
              <w:left w:val="nil"/>
              <w:bottom w:val="single" w:color="auto" w:sz="4" w:space="0"/>
              <w:right w:val="single" w:color="auto" w:sz="4" w:space="0"/>
            </w:tcBorders>
            <w:vAlign w:val="center"/>
          </w:tcPr>
          <w:p w14:paraId="5DB6AB8D">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268" w:type="pct"/>
            <w:tcBorders>
              <w:top w:val="nil"/>
              <w:left w:val="nil"/>
              <w:bottom w:val="single" w:color="auto" w:sz="4" w:space="0"/>
              <w:right w:val="single" w:color="auto" w:sz="4" w:space="0"/>
            </w:tcBorders>
            <w:vAlign w:val="center"/>
          </w:tcPr>
          <w:p w14:paraId="327740BB">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16" w:type="pct"/>
            <w:tcBorders>
              <w:top w:val="nil"/>
              <w:left w:val="nil"/>
              <w:bottom w:val="single" w:color="auto" w:sz="4" w:space="0"/>
              <w:right w:val="single" w:color="auto" w:sz="4" w:space="0"/>
            </w:tcBorders>
            <w:vAlign w:val="center"/>
          </w:tcPr>
          <w:p w14:paraId="5AC3B931">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293" w:type="pct"/>
            <w:tcBorders>
              <w:top w:val="nil"/>
              <w:left w:val="nil"/>
              <w:bottom w:val="single" w:color="auto" w:sz="4" w:space="0"/>
              <w:right w:val="single" w:color="auto" w:sz="4" w:space="0"/>
            </w:tcBorders>
            <w:vAlign w:val="center"/>
          </w:tcPr>
          <w:p w14:paraId="1F80005C">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38" w:type="pct"/>
            <w:tcBorders>
              <w:top w:val="nil"/>
              <w:left w:val="nil"/>
              <w:bottom w:val="single" w:color="auto" w:sz="4" w:space="0"/>
              <w:right w:val="single" w:color="auto" w:sz="4" w:space="0"/>
            </w:tcBorders>
            <w:vAlign w:val="center"/>
          </w:tcPr>
          <w:p w14:paraId="0F12EBCF">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247" w:type="pct"/>
            <w:tcBorders>
              <w:top w:val="nil"/>
              <w:left w:val="nil"/>
              <w:bottom w:val="single" w:color="auto" w:sz="4" w:space="0"/>
              <w:right w:val="single" w:color="auto" w:sz="4" w:space="0"/>
            </w:tcBorders>
            <w:vAlign w:val="center"/>
          </w:tcPr>
          <w:p w14:paraId="5AA6D6A9">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09" w:type="pct"/>
            <w:tcBorders>
              <w:top w:val="nil"/>
              <w:left w:val="nil"/>
              <w:bottom w:val="single" w:color="auto" w:sz="4" w:space="0"/>
              <w:right w:val="single" w:color="auto" w:sz="4" w:space="0"/>
            </w:tcBorders>
            <w:vAlign w:val="center"/>
          </w:tcPr>
          <w:p w14:paraId="3A4A39FA">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80" w:type="pct"/>
            <w:vAlign w:val="center"/>
          </w:tcPr>
          <w:p w14:paraId="66C3C36C">
            <w:pPr>
              <w:widowControl/>
              <w:spacing w:after="0" w:line="200" w:lineRule="exact"/>
              <w:jc w:val="left"/>
              <w:rPr>
                <w:rFonts w:eastAsia="Times New Roman"/>
                <w:kern w:val="0"/>
                <w:sz w:val="20"/>
                <w:szCs w:val="20"/>
              </w:rPr>
            </w:pPr>
          </w:p>
        </w:tc>
      </w:tr>
      <w:tr w14:paraId="07F93B5D">
        <w:tblPrEx>
          <w:tblCellMar>
            <w:top w:w="0" w:type="dxa"/>
            <w:left w:w="108" w:type="dxa"/>
            <w:bottom w:w="0" w:type="dxa"/>
            <w:right w:w="108" w:type="dxa"/>
          </w:tblCellMar>
        </w:tblPrEx>
        <w:tc>
          <w:tcPr>
            <w:tcW w:w="209" w:type="pct"/>
            <w:vMerge w:val="continue"/>
            <w:tcBorders>
              <w:top w:val="nil"/>
              <w:left w:val="single" w:color="auto" w:sz="4" w:space="0"/>
              <w:bottom w:val="single" w:color="auto" w:sz="4" w:space="0"/>
              <w:right w:val="single" w:color="auto" w:sz="4" w:space="0"/>
            </w:tcBorders>
            <w:vAlign w:val="center"/>
          </w:tcPr>
          <w:p w14:paraId="150CF15C">
            <w:pPr>
              <w:widowControl/>
              <w:spacing w:after="0" w:line="200" w:lineRule="exact"/>
              <w:jc w:val="left"/>
              <w:rPr>
                <w:rFonts w:hint="eastAsia" w:ascii="宋体" w:hAnsi="宋体" w:cs="宋体"/>
                <w:b/>
                <w:bCs/>
                <w:color w:val="000000"/>
                <w:kern w:val="0"/>
                <w:sz w:val="18"/>
                <w:szCs w:val="18"/>
              </w:rPr>
            </w:pPr>
          </w:p>
        </w:tc>
        <w:tc>
          <w:tcPr>
            <w:tcW w:w="275" w:type="pct"/>
            <w:tcBorders>
              <w:top w:val="nil"/>
              <w:left w:val="nil"/>
              <w:bottom w:val="single" w:color="auto" w:sz="4" w:space="0"/>
              <w:right w:val="single" w:color="auto" w:sz="4" w:space="0"/>
            </w:tcBorders>
            <w:vAlign w:val="center"/>
          </w:tcPr>
          <w:p w14:paraId="0EC6A0B2">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满意度指标</w:t>
            </w:r>
          </w:p>
        </w:tc>
        <w:tc>
          <w:tcPr>
            <w:tcW w:w="347" w:type="pct"/>
            <w:tcBorders>
              <w:top w:val="nil"/>
              <w:left w:val="nil"/>
              <w:bottom w:val="single" w:color="auto" w:sz="4" w:space="0"/>
              <w:right w:val="single" w:color="auto" w:sz="4" w:space="0"/>
            </w:tcBorders>
            <w:vAlign w:val="center"/>
          </w:tcPr>
          <w:p w14:paraId="38365208">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满意度指标</w:t>
            </w:r>
          </w:p>
        </w:tc>
        <w:tc>
          <w:tcPr>
            <w:tcW w:w="896" w:type="pct"/>
            <w:tcBorders>
              <w:top w:val="nil"/>
              <w:left w:val="nil"/>
              <w:bottom w:val="single" w:color="auto" w:sz="4" w:space="0"/>
              <w:right w:val="single" w:color="auto" w:sz="4" w:space="0"/>
            </w:tcBorders>
            <w:vAlign w:val="center"/>
          </w:tcPr>
          <w:p w14:paraId="24BF8C4E">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04" w:type="pct"/>
            <w:tcBorders>
              <w:top w:val="nil"/>
              <w:left w:val="nil"/>
              <w:bottom w:val="single" w:color="auto" w:sz="4" w:space="0"/>
              <w:right w:val="single" w:color="auto" w:sz="4" w:space="0"/>
            </w:tcBorders>
            <w:vAlign w:val="center"/>
          </w:tcPr>
          <w:p w14:paraId="5749BF88">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447" w:type="pct"/>
            <w:tcBorders>
              <w:top w:val="nil"/>
              <w:left w:val="nil"/>
              <w:bottom w:val="single" w:color="auto" w:sz="4" w:space="0"/>
              <w:right w:val="single" w:color="auto" w:sz="4" w:space="0"/>
            </w:tcBorders>
            <w:vAlign w:val="center"/>
          </w:tcPr>
          <w:p w14:paraId="612BC451">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66" w:type="pct"/>
            <w:gridSpan w:val="2"/>
            <w:tcBorders>
              <w:top w:val="nil"/>
              <w:left w:val="nil"/>
              <w:bottom w:val="single" w:color="auto" w:sz="4" w:space="0"/>
              <w:right w:val="single" w:color="auto" w:sz="4" w:space="0"/>
            </w:tcBorders>
            <w:vAlign w:val="center"/>
          </w:tcPr>
          <w:p w14:paraId="4076F413">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05" w:type="pct"/>
            <w:tcBorders>
              <w:top w:val="nil"/>
              <w:left w:val="nil"/>
              <w:bottom w:val="single" w:color="auto" w:sz="4" w:space="0"/>
              <w:right w:val="single" w:color="auto" w:sz="4" w:space="0"/>
            </w:tcBorders>
            <w:vAlign w:val="center"/>
          </w:tcPr>
          <w:p w14:paraId="22E05225">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268" w:type="pct"/>
            <w:tcBorders>
              <w:top w:val="nil"/>
              <w:left w:val="nil"/>
              <w:bottom w:val="single" w:color="auto" w:sz="4" w:space="0"/>
              <w:right w:val="single" w:color="auto" w:sz="4" w:space="0"/>
            </w:tcBorders>
            <w:vAlign w:val="center"/>
          </w:tcPr>
          <w:p w14:paraId="6979BC84">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16" w:type="pct"/>
            <w:tcBorders>
              <w:top w:val="nil"/>
              <w:left w:val="nil"/>
              <w:bottom w:val="single" w:color="auto" w:sz="4" w:space="0"/>
              <w:right w:val="single" w:color="auto" w:sz="4" w:space="0"/>
            </w:tcBorders>
            <w:vAlign w:val="center"/>
          </w:tcPr>
          <w:p w14:paraId="4AF69C5D">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293" w:type="pct"/>
            <w:tcBorders>
              <w:top w:val="nil"/>
              <w:left w:val="nil"/>
              <w:bottom w:val="single" w:color="auto" w:sz="4" w:space="0"/>
              <w:right w:val="single" w:color="auto" w:sz="4" w:space="0"/>
            </w:tcBorders>
            <w:vAlign w:val="center"/>
          </w:tcPr>
          <w:p w14:paraId="0378E05F">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38" w:type="pct"/>
            <w:tcBorders>
              <w:top w:val="nil"/>
              <w:left w:val="nil"/>
              <w:bottom w:val="single" w:color="auto" w:sz="4" w:space="0"/>
              <w:right w:val="single" w:color="auto" w:sz="4" w:space="0"/>
            </w:tcBorders>
            <w:vAlign w:val="center"/>
          </w:tcPr>
          <w:p w14:paraId="65682735">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247" w:type="pct"/>
            <w:tcBorders>
              <w:top w:val="nil"/>
              <w:left w:val="nil"/>
              <w:bottom w:val="single" w:color="auto" w:sz="4" w:space="0"/>
              <w:right w:val="single" w:color="auto" w:sz="4" w:space="0"/>
            </w:tcBorders>
            <w:vAlign w:val="center"/>
          </w:tcPr>
          <w:p w14:paraId="0B9E6282">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09" w:type="pct"/>
            <w:tcBorders>
              <w:top w:val="nil"/>
              <w:left w:val="nil"/>
              <w:bottom w:val="single" w:color="auto" w:sz="4" w:space="0"/>
              <w:right w:val="single" w:color="auto" w:sz="4" w:space="0"/>
            </w:tcBorders>
            <w:vAlign w:val="center"/>
          </w:tcPr>
          <w:p w14:paraId="5194A14C">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80" w:type="pct"/>
            <w:vAlign w:val="center"/>
          </w:tcPr>
          <w:p w14:paraId="3A70EEDD">
            <w:pPr>
              <w:widowControl/>
              <w:spacing w:after="0" w:line="200" w:lineRule="exact"/>
              <w:jc w:val="left"/>
              <w:rPr>
                <w:rFonts w:eastAsia="Times New Roman"/>
                <w:kern w:val="0"/>
                <w:sz w:val="20"/>
                <w:szCs w:val="20"/>
              </w:rPr>
            </w:pPr>
          </w:p>
        </w:tc>
      </w:tr>
      <w:tr w14:paraId="3C4DD4E7">
        <w:tblPrEx>
          <w:tblCellMar>
            <w:top w:w="0" w:type="dxa"/>
            <w:left w:w="108" w:type="dxa"/>
            <w:bottom w:w="0" w:type="dxa"/>
            <w:right w:w="108" w:type="dxa"/>
          </w:tblCellMar>
        </w:tblPrEx>
        <w:tc>
          <w:tcPr>
            <w:tcW w:w="1727" w:type="pct"/>
            <w:gridSpan w:val="4"/>
            <w:tcBorders>
              <w:top w:val="single" w:color="auto" w:sz="4" w:space="0"/>
              <w:left w:val="single" w:color="auto" w:sz="4" w:space="0"/>
              <w:bottom w:val="single" w:color="auto" w:sz="4" w:space="0"/>
              <w:right w:val="nil"/>
            </w:tcBorders>
            <w:vAlign w:val="center"/>
          </w:tcPr>
          <w:p w14:paraId="0E80A57C">
            <w:pPr>
              <w:widowControl/>
              <w:spacing w:after="0" w:line="200" w:lineRule="exact"/>
              <w:jc w:val="center"/>
              <w:rPr>
                <w:rFonts w:hint="eastAsia" w:ascii="宋体" w:hAnsi="宋体" w:cs="宋体"/>
                <w:b/>
                <w:bCs/>
                <w:color w:val="000000"/>
                <w:kern w:val="0"/>
                <w:sz w:val="18"/>
                <w:szCs w:val="18"/>
              </w:rPr>
            </w:pPr>
            <w:r>
              <w:rPr>
                <w:rFonts w:hint="eastAsia" w:ascii="宋体" w:hAnsi="宋体" w:cs="宋体"/>
                <w:b/>
                <w:bCs/>
                <w:color w:val="000000"/>
                <w:kern w:val="0"/>
                <w:sz w:val="18"/>
                <w:szCs w:val="18"/>
              </w:rPr>
              <w:t>总分</w:t>
            </w:r>
          </w:p>
        </w:tc>
        <w:tc>
          <w:tcPr>
            <w:tcW w:w="304" w:type="pct"/>
            <w:tcBorders>
              <w:top w:val="nil"/>
              <w:left w:val="single" w:color="auto" w:sz="4" w:space="0"/>
              <w:bottom w:val="single" w:color="auto" w:sz="4" w:space="0"/>
              <w:right w:val="single" w:color="auto" w:sz="4" w:space="0"/>
            </w:tcBorders>
            <w:vAlign w:val="center"/>
          </w:tcPr>
          <w:p w14:paraId="7E5B145F">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100</w:t>
            </w:r>
          </w:p>
        </w:tc>
        <w:tc>
          <w:tcPr>
            <w:tcW w:w="447" w:type="pct"/>
            <w:tcBorders>
              <w:top w:val="nil"/>
              <w:left w:val="nil"/>
              <w:bottom w:val="single" w:color="auto" w:sz="4" w:space="0"/>
              <w:right w:val="single" w:color="auto" w:sz="4" w:space="0"/>
            </w:tcBorders>
            <w:vAlign w:val="center"/>
          </w:tcPr>
          <w:p w14:paraId="49D0C33C">
            <w:pPr>
              <w:widowControl/>
              <w:spacing w:after="0" w:line="200" w:lineRule="exact"/>
              <w:jc w:val="left"/>
              <w:rPr>
                <w:rFonts w:hint="eastAsia" w:ascii="宋体" w:hAnsi="宋体" w:cs="宋体"/>
                <w:b/>
                <w:bCs/>
                <w:color w:val="000000"/>
                <w:kern w:val="0"/>
                <w:sz w:val="18"/>
                <w:szCs w:val="18"/>
              </w:rPr>
            </w:pPr>
            <w:r>
              <w:rPr>
                <w:rFonts w:hint="eastAsia" w:ascii="宋体" w:hAnsi="宋体" w:cs="宋体"/>
                <w:b/>
                <w:bCs/>
                <w:color w:val="000000"/>
                <w:kern w:val="0"/>
                <w:sz w:val="18"/>
                <w:szCs w:val="18"/>
              </w:rPr>
              <w:t>　</w:t>
            </w:r>
          </w:p>
        </w:tc>
        <w:tc>
          <w:tcPr>
            <w:tcW w:w="366" w:type="pct"/>
            <w:gridSpan w:val="2"/>
            <w:tcBorders>
              <w:top w:val="nil"/>
              <w:left w:val="nil"/>
              <w:bottom w:val="single" w:color="auto" w:sz="4" w:space="0"/>
              <w:right w:val="single" w:color="auto" w:sz="4" w:space="0"/>
            </w:tcBorders>
            <w:vAlign w:val="center"/>
          </w:tcPr>
          <w:p w14:paraId="069C8D77">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05" w:type="pct"/>
            <w:tcBorders>
              <w:top w:val="nil"/>
              <w:left w:val="nil"/>
              <w:bottom w:val="single" w:color="auto" w:sz="4" w:space="0"/>
              <w:right w:val="single" w:color="auto" w:sz="4" w:space="0"/>
            </w:tcBorders>
            <w:vAlign w:val="center"/>
          </w:tcPr>
          <w:p w14:paraId="2145C5E8">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268" w:type="pct"/>
            <w:tcBorders>
              <w:top w:val="nil"/>
              <w:left w:val="nil"/>
              <w:bottom w:val="single" w:color="auto" w:sz="4" w:space="0"/>
              <w:right w:val="single" w:color="auto" w:sz="4" w:space="0"/>
            </w:tcBorders>
            <w:vAlign w:val="center"/>
          </w:tcPr>
          <w:p w14:paraId="3CFB961A">
            <w:pPr>
              <w:widowControl/>
              <w:spacing w:after="0" w:line="200" w:lineRule="exact"/>
              <w:jc w:val="center"/>
              <w:rPr>
                <w:rFonts w:hint="eastAsia" w:ascii="宋体" w:hAnsi="宋体" w:cs="宋体"/>
                <w:color w:val="000000"/>
                <w:kern w:val="0"/>
                <w:sz w:val="18"/>
                <w:szCs w:val="18"/>
              </w:rPr>
            </w:pPr>
            <w:r>
              <w:rPr>
                <w:rFonts w:hint="eastAsia" w:ascii="宋体" w:hAnsi="宋体" w:cs="宋体"/>
                <w:color w:val="000000"/>
                <w:kern w:val="0"/>
                <w:sz w:val="18"/>
                <w:szCs w:val="18"/>
              </w:rPr>
              <w:t>99.66</w:t>
            </w:r>
          </w:p>
        </w:tc>
        <w:tc>
          <w:tcPr>
            <w:tcW w:w="316" w:type="pct"/>
            <w:tcBorders>
              <w:top w:val="nil"/>
              <w:left w:val="nil"/>
              <w:bottom w:val="single" w:color="auto" w:sz="4" w:space="0"/>
              <w:right w:val="single" w:color="auto" w:sz="4" w:space="0"/>
            </w:tcBorders>
            <w:vAlign w:val="center"/>
          </w:tcPr>
          <w:p w14:paraId="10E85EE9">
            <w:pPr>
              <w:widowControl/>
              <w:spacing w:after="0" w:line="20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293" w:type="pct"/>
            <w:tcBorders>
              <w:top w:val="nil"/>
              <w:left w:val="nil"/>
              <w:bottom w:val="single" w:color="auto" w:sz="4" w:space="0"/>
              <w:right w:val="single" w:color="auto" w:sz="4" w:space="0"/>
            </w:tcBorders>
            <w:vAlign w:val="center"/>
          </w:tcPr>
          <w:p w14:paraId="1BD72956">
            <w:pPr>
              <w:widowControl/>
              <w:spacing w:after="0" w:line="20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38" w:type="pct"/>
            <w:tcBorders>
              <w:top w:val="nil"/>
              <w:left w:val="nil"/>
              <w:bottom w:val="single" w:color="auto" w:sz="4" w:space="0"/>
              <w:right w:val="single" w:color="auto" w:sz="4" w:space="0"/>
            </w:tcBorders>
            <w:vAlign w:val="center"/>
          </w:tcPr>
          <w:p w14:paraId="4C7A00C4">
            <w:pPr>
              <w:widowControl/>
              <w:spacing w:after="0" w:line="20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247" w:type="pct"/>
            <w:tcBorders>
              <w:top w:val="nil"/>
              <w:left w:val="nil"/>
              <w:bottom w:val="single" w:color="auto" w:sz="4" w:space="0"/>
              <w:right w:val="single" w:color="auto" w:sz="4" w:space="0"/>
            </w:tcBorders>
            <w:vAlign w:val="center"/>
          </w:tcPr>
          <w:p w14:paraId="54BD7B9B">
            <w:pPr>
              <w:widowControl/>
              <w:spacing w:after="0" w:line="20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309" w:type="pct"/>
            <w:tcBorders>
              <w:top w:val="nil"/>
              <w:left w:val="nil"/>
              <w:bottom w:val="single" w:color="auto" w:sz="4" w:space="0"/>
              <w:right w:val="single" w:color="auto" w:sz="4" w:space="0"/>
            </w:tcBorders>
            <w:vAlign w:val="center"/>
          </w:tcPr>
          <w:p w14:paraId="78F3E415">
            <w:pPr>
              <w:widowControl/>
              <w:spacing w:after="0" w:line="200" w:lineRule="exact"/>
              <w:jc w:val="left"/>
              <w:rPr>
                <w:rFonts w:hint="eastAsia" w:ascii="宋体" w:hAnsi="宋体" w:cs="宋体"/>
                <w:color w:val="000000"/>
                <w:kern w:val="0"/>
                <w:sz w:val="18"/>
                <w:szCs w:val="18"/>
              </w:rPr>
            </w:pPr>
            <w:r>
              <w:rPr>
                <w:rFonts w:hint="eastAsia" w:ascii="宋体" w:hAnsi="宋体" w:cs="宋体"/>
                <w:color w:val="000000"/>
                <w:kern w:val="0"/>
                <w:sz w:val="18"/>
                <w:szCs w:val="18"/>
              </w:rPr>
              <w:t>　</w:t>
            </w:r>
          </w:p>
        </w:tc>
        <w:tc>
          <w:tcPr>
            <w:tcW w:w="80" w:type="pct"/>
            <w:vAlign w:val="center"/>
          </w:tcPr>
          <w:p w14:paraId="1210E8AA">
            <w:pPr>
              <w:widowControl/>
              <w:spacing w:after="0" w:line="200" w:lineRule="exact"/>
              <w:jc w:val="left"/>
              <w:rPr>
                <w:rFonts w:eastAsia="Times New Roman"/>
                <w:kern w:val="0"/>
                <w:sz w:val="20"/>
                <w:szCs w:val="20"/>
              </w:rPr>
            </w:pPr>
          </w:p>
        </w:tc>
      </w:tr>
    </w:tbl>
    <w:p w14:paraId="5D2C1ED4">
      <w:pPr>
        <w:widowControl/>
        <w:spacing w:after="0" w:line="200" w:lineRule="exact"/>
        <w:rPr>
          <w:rFonts w:hint="eastAsia" w:ascii="宋体" w:hAnsi="宋体" w:cs="宋体"/>
          <w:color w:val="000000"/>
          <w:kern w:val="0"/>
          <w:sz w:val="18"/>
          <w:szCs w:val="18"/>
        </w:rPr>
      </w:pPr>
      <w:r>
        <w:rPr>
          <w:rFonts w:hint="eastAsia"/>
        </w:rPr>
        <w:t>*备注：偏差原因分析及改进措施</w:t>
      </w:r>
      <w:r>
        <w:rPr>
          <w:rFonts w:hint="eastAsia" w:ascii="宋体" w:hAnsi="宋体" w:cs="宋体"/>
          <w:color w:val="000000"/>
          <w:kern w:val="0"/>
          <w:sz w:val="18"/>
          <w:szCs w:val="18"/>
        </w:rPr>
        <w:t>原因：支付专家咨询费时因农行系统问题使得开户行信息发生变化，导致支付失败，因临近扎账，于12月31日该笔费用退回国库。改进措施：每季度资金支付要按进度完成；支付出现问题时，单位相关人员要及时发现问题并解决；要进一步提高资金管理，强化监督，提升支付效率。</w:t>
      </w:r>
    </w:p>
    <w:p w14:paraId="0DAF05B3">
      <w:pPr>
        <w:pStyle w:val="2"/>
        <w:spacing w:line="200" w:lineRule="exact"/>
      </w:pPr>
    </w:p>
    <w:sectPr>
      <w:pgSz w:w="16838" w:h="11906" w:orient="landscape"/>
      <w:pgMar w:top="1800" w:right="1440" w:bottom="1558"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D12FDAA0-480E-4E03-A409-3DBD1D462438}"/>
  </w:font>
  <w:font w:name="黑体">
    <w:panose1 w:val="02010609060101010101"/>
    <w:charset w:val="86"/>
    <w:family w:val="auto"/>
    <w:pitch w:val="default"/>
    <w:sig w:usb0="800002BF" w:usb1="38CF7CFA" w:usb2="00000016" w:usb3="00000000" w:csb0="00040001" w:csb1="00000000"/>
    <w:embedRegular r:id="rId2" w:fontKey="{996AB1EB-7C2E-4813-AC98-6A7ED1CE1D2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3" w:fontKey="{D9C14A43-8895-455D-A8AA-485EE3038397}"/>
  </w:font>
  <w:font w:name="华文中宋">
    <w:altName w:val="宋体"/>
    <w:panose1 w:val="02010600040101010101"/>
    <w:charset w:val="86"/>
    <w:family w:val="auto"/>
    <w:pitch w:val="default"/>
    <w:sig w:usb0="00000000" w:usb1="00000000" w:usb2="00000000" w:usb3="00000000" w:csb0="0004009F" w:csb1="DFD70000"/>
    <w:embedRegular r:id="rId4" w:fontKey="{045945FC-A8B9-4ADC-BE97-AFE7ADC43AAE}"/>
  </w:font>
  <w:font w:name="方正小标宋_GBK">
    <w:panose1 w:val="03000509000000000000"/>
    <w:charset w:val="86"/>
    <w:family w:val="script"/>
    <w:pitch w:val="default"/>
    <w:sig w:usb0="00000001" w:usb1="080E0000" w:usb2="00000000" w:usb3="00000000" w:csb0="00040000" w:csb1="00000000"/>
    <w:embedRegular r:id="rId5" w:fontKey="{8EA7F08D-7DDD-4C29-A035-8E7CD13D6D1F}"/>
  </w:font>
  <w:font w:name="楷体_GB2312">
    <w:panose1 w:val="02010609030101010101"/>
    <w:charset w:val="86"/>
    <w:family w:val="modern"/>
    <w:pitch w:val="default"/>
    <w:sig w:usb0="00000001" w:usb1="080E0000" w:usb2="00000000" w:usb3="00000000" w:csb0="00040000" w:csb1="00000000"/>
    <w:embedRegular r:id="rId6" w:fontKey="{E25D18DC-B6CB-4D91-A55D-92A663D04537}"/>
  </w:font>
  <w:font w:name="楷体">
    <w:panose1 w:val="02010609060101010101"/>
    <w:charset w:val="86"/>
    <w:family w:val="modern"/>
    <w:pitch w:val="default"/>
    <w:sig w:usb0="800002BF" w:usb1="38CF7CFA" w:usb2="00000016" w:usb3="00000000" w:csb0="00040001" w:csb1="00000000"/>
    <w:embedRegular r:id="rId7" w:fontKey="{4253AD9D-4E9D-425C-8E43-CFA4CCC43DBE}"/>
  </w:font>
  <w:font w:name="WPSEMBED3">
    <w:panose1 w:val="03000509000000000000"/>
    <w:charset w:val="86"/>
    <w:family w:val="auto"/>
    <w:pitch w:val="default"/>
    <w:sig w:usb0="00000001" w:usb1="080E0000" w:usb2="00000000" w:usb3="00000000" w:csb0="00040000" w:csb1="00000000"/>
  </w:font>
  <w:font w:name="WPSEMBED1">
    <w:panose1 w:val="02010609030101010101"/>
    <w:charset w:val="86"/>
    <w:family w:val="auto"/>
    <w:pitch w:val="default"/>
    <w:sig w:usb0="00000001" w:usb1="080E0000" w:usb2="00000000" w:usb3="00000000" w:csb0="00040000" w:csb1="00000000"/>
  </w:font>
  <w:font w:name="WPSEMBED4">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14:paraId="494A26D0">
        <w:pPr>
          <w:pStyle w:val="7"/>
          <w:jc w:val="center"/>
        </w:pPr>
        <w:r>
          <w:fldChar w:fldCharType="begin"/>
        </w:r>
        <w:r>
          <w:instrText xml:space="preserve">PAGE   \* MERGEFORMAT</w:instrText>
        </w:r>
        <w:r>
          <w:fldChar w:fldCharType="separate"/>
        </w:r>
        <w:r>
          <w:rPr>
            <w:lang w:val="zh-CN"/>
          </w:rPr>
          <w:t>13</w:t>
        </w:r>
        <w:r>
          <w:fldChar w:fldCharType="end"/>
        </w:r>
      </w:p>
    </w:sdtContent>
  </w:sdt>
  <w:p w14:paraId="39BB142F">
    <w:pPr>
      <w:pStyle w:val="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2"/>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NotTrackMoves/>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diOGM5NzlhN2JhOTc3OTljZTBmY2FhN2MzNTk3ODEifQ=="/>
  </w:docVars>
  <w:rsids>
    <w:rsidRoot w:val="FF6C4049"/>
    <w:rsid w:val="000332FF"/>
    <w:rsid w:val="000E71E9"/>
    <w:rsid w:val="0012597B"/>
    <w:rsid w:val="00155159"/>
    <w:rsid w:val="001912B4"/>
    <w:rsid w:val="001A346D"/>
    <w:rsid w:val="001D228A"/>
    <w:rsid w:val="001D495F"/>
    <w:rsid w:val="00203350"/>
    <w:rsid w:val="0022454C"/>
    <w:rsid w:val="00340DE8"/>
    <w:rsid w:val="00346375"/>
    <w:rsid w:val="00355127"/>
    <w:rsid w:val="0036307D"/>
    <w:rsid w:val="0037321A"/>
    <w:rsid w:val="00391433"/>
    <w:rsid w:val="003A2886"/>
    <w:rsid w:val="003D3BBC"/>
    <w:rsid w:val="00433A47"/>
    <w:rsid w:val="00454ABF"/>
    <w:rsid w:val="00465886"/>
    <w:rsid w:val="00470180"/>
    <w:rsid w:val="004B00D5"/>
    <w:rsid w:val="00512B6B"/>
    <w:rsid w:val="00557F2D"/>
    <w:rsid w:val="00602BF2"/>
    <w:rsid w:val="00634EF8"/>
    <w:rsid w:val="00654E8D"/>
    <w:rsid w:val="006F02F4"/>
    <w:rsid w:val="006F323A"/>
    <w:rsid w:val="006F5086"/>
    <w:rsid w:val="006F7242"/>
    <w:rsid w:val="007916BF"/>
    <w:rsid w:val="007B168A"/>
    <w:rsid w:val="00801515"/>
    <w:rsid w:val="00827263"/>
    <w:rsid w:val="008452E7"/>
    <w:rsid w:val="00894AB4"/>
    <w:rsid w:val="00894D30"/>
    <w:rsid w:val="008B2CFE"/>
    <w:rsid w:val="008F203E"/>
    <w:rsid w:val="0093056B"/>
    <w:rsid w:val="009742D2"/>
    <w:rsid w:val="009C06B3"/>
    <w:rsid w:val="00AD09B4"/>
    <w:rsid w:val="00AD24B8"/>
    <w:rsid w:val="00AF3D14"/>
    <w:rsid w:val="00AF7DFD"/>
    <w:rsid w:val="00B3649D"/>
    <w:rsid w:val="00B766F7"/>
    <w:rsid w:val="00B80DC9"/>
    <w:rsid w:val="00B934E0"/>
    <w:rsid w:val="00BC0282"/>
    <w:rsid w:val="00BC5EC2"/>
    <w:rsid w:val="00BF0633"/>
    <w:rsid w:val="00C13C07"/>
    <w:rsid w:val="00C46669"/>
    <w:rsid w:val="00C6066C"/>
    <w:rsid w:val="00C7620F"/>
    <w:rsid w:val="00CB16F1"/>
    <w:rsid w:val="00CE3A35"/>
    <w:rsid w:val="00D14946"/>
    <w:rsid w:val="00D54D09"/>
    <w:rsid w:val="00D90EBE"/>
    <w:rsid w:val="00D96642"/>
    <w:rsid w:val="00DB3B3C"/>
    <w:rsid w:val="00DB5992"/>
    <w:rsid w:val="00DC41B9"/>
    <w:rsid w:val="00E24A8D"/>
    <w:rsid w:val="00E26A11"/>
    <w:rsid w:val="00EC467E"/>
    <w:rsid w:val="00EF372F"/>
    <w:rsid w:val="00F15E8B"/>
    <w:rsid w:val="00F26FF6"/>
    <w:rsid w:val="00F41FAA"/>
    <w:rsid w:val="00FC0A53"/>
    <w:rsid w:val="011E0236"/>
    <w:rsid w:val="01610122"/>
    <w:rsid w:val="01B80F22"/>
    <w:rsid w:val="02510197"/>
    <w:rsid w:val="030F6088"/>
    <w:rsid w:val="036D1000"/>
    <w:rsid w:val="03EC461B"/>
    <w:rsid w:val="04820ADC"/>
    <w:rsid w:val="04FC7963"/>
    <w:rsid w:val="057E12A3"/>
    <w:rsid w:val="05C15B5C"/>
    <w:rsid w:val="05FD4EE6"/>
    <w:rsid w:val="064C13A1"/>
    <w:rsid w:val="07397B77"/>
    <w:rsid w:val="07EB626D"/>
    <w:rsid w:val="084E1401"/>
    <w:rsid w:val="09BD6691"/>
    <w:rsid w:val="0AD007F3"/>
    <w:rsid w:val="0AFC15E8"/>
    <w:rsid w:val="0B0E7513"/>
    <w:rsid w:val="0B3F14D4"/>
    <w:rsid w:val="0BAB6B6A"/>
    <w:rsid w:val="0C061FF2"/>
    <w:rsid w:val="0CE42333"/>
    <w:rsid w:val="0DE46363"/>
    <w:rsid w:val="0E3C619F"/>
    <w:rsid w:val="0E6801EC"/>
    <w:rsid w:val="0EFE4AC2"/>
    <w:rsid w:val="0F6F3B45"/>
    <w:rsid w:val="11170296"/>
    <w:rsid w:val="11B60016"/>
    <w:rsid w:val="13471461"/>
    <w:rsid w:val="13B90F01"/>
    <w:rsid w:val="141E2B33"/>
    <w:rsid w:val="155E4C4D"/>
    <w:rsid w:val="16290DB7"/>
    <w:rsid w:val="164D0F49"/>
    <w:rsid w:val="16D276A1"/>
    <w:rsid w:val="16E318AE"/>
    <w:rsid w:val="17462648"/>
    <w:rsid w:val="181066D2"/>
    <w:rsid w:val="18177FE3"/>
    <w:rsid w:val="199944A6"/>
    <w:rsid w:val="19AD23A6"/>
    <w:rsid w:val="1A2B4F63"/>
    <w:rsid w:val="1A564145"/>
    <w:rsid w:val="1AD938CB"/>
    <w:rsid w:val="1AE2543D"/>
    <w:rsid w:val="1C671E73"/>
    <w:rsid w:val="1D1125A5"/>
    <w:rsid w:val="1D322C47"/>
    <w:rsid w:val="1D77D8E2"/>
    <w:rsid w:val="1DFD00C3"/>
    <w:rsid w:val="1E6E5F01"/>
    <w:rsid w:val="1E934856"/>
    <w:rsid w:val="1F1840BF"/>
    <w:rsid w:val="20C067BC"/>
    <w:rsid w:val="22B21F60"/>
    <w:rsid w:val="23111551"/>
    <w:rsid w:val="23616034"/>
    <w:rsid w:val="23D4607E"/>
    <w:rsid w:val="241E5A50"/>
    <w:rsid w:val="24264886"/>
    <w:rsid w:val="24480FA2"/>
    <w:rsid w:val="246663D3"/>
    <w:rsid w:val="25227A45"/>
    <w:rsid w:val="258A1202"/>
    <w:rsid w:val="26AC3A6A"/>
    <w:rsid w:val="26B26BA7"/>
    <w:rsid w:val="27C923FA"/>
    <w:rsid w:val="281178FD"/>
    <w:rsid w:val="294855A0"/>
    <w:rsid w:val="2ADA0E92"/>
    <w:rsid w:val="2AEA2DB3"/>
    <w:rsid w:val="2B9D7E25"/>
    <w:rsid w:val="2BE45A54"/>
    <w:rsid w:val="2C212804"/>
    <w:rsid w:val="2C7C7A3B"/>
    <w:rsid w:val="2C923702"/>
    <w:rsid w:val="2E20089A"/>
    <w:rsid w:val="2E861EE7"/>
    <w:rsid w:val="2EFC0D68"/>
    <w:rsid w:val="2F364819"/>
    <w:rsid w:val="2FBEBE15"/>
    <w:rsid w:val="2FD63906"/>
    <w:rsid w:val="3117146D"/>
    <w:rsid w:val="31570A76"/>
    <w:rsid w:val="316D029A"/>
    <w:rsid w:val="34554E47"/>
    <w:rsid w:val="346C4839"/>
    <w:rsid w:val="35146474"/>
    <w:rsid w:val="36DE12F2"/>
    <w:rsid w:val="37215DAE"/>
    <w:rsid w:val="37F87CF5"/>
    <w:rsid w:val="37FF88B5"/>
    <w:rsid w:val="38AD52DE"/>
    <w:rsid w:val="38CA40DD"/>
    <w:rsid w:val="395104A1"/>
    <w:rsid w:val="395F2B56"/>
    <w:rsid w:val="3972CAAF"/>
    <w:rsid w:val="3B5D312D"/>
    <w:rsid w:val="3BBA0580"/>
    <w:rsid w:val="3BD79CBD"/>
    <w:rsid w:val="3BECE841"/>
    <w:rsid w:val="3C706E90"/>
    <w:rsid w:val="3CDE204C"/>
    <w:rsid w:val="3D363C36"/>
    <w:rsid w:val="3DF76ED9"/>
    <w:rsid w:val="3E5FD85D"/>
    <w:rsid w:val="3E636CAD"/>
    <w:rsid w:val="3E720C9E"/>
    <w:rsid w:val="3E9C3F6D"/>
    <w:rsid w:val="3EB5D766"/>
    <w:rsid w:val="3F6F4847"/>
    <w:rsid w:val="3FB11C9A"/>
    <w:rsid w:val="3FF7797D"/>
    <w:rsid w:val="3FFF479F"/>
    <w:rsid w:val="401D10DD"/>
    <w:rsid w:val="40DC2D46"/>
    <w:rsid w:val="41AF2209"/>
    <w:rsid w:val="424B1F31"/>
    <w:rsid w:val="431A7B56"/>
    <w:rsid w:val="43601655"/>
    <w:rsid w:val="458B6AE9"/>
    <w:rsid w:val="459C748E"/>
    <w:rsid w:val="45E15804"/>
    <w:rsid w:val="464B69A4"/>
    <w:rsid w:val="46690BD8"/>
    <w:rsid w:val="46953E87"/>
    <w:rsid w:val="47132FF3"/>
    <w:rsid w:val="47501D98"/>
    <w:rsid w:val="47BB35B6"/>
    <w:rsid w:val="47D26417"/>
    <w:rsid w:val="47DB5B06"/>
    <w:rsid w:val="48D013E2"/>
    <w:rsid w:val="49C10D2B"/>
    <w:rsid w:val="49F70BF1"/>
    <w:rsid w:val="4B4340EE"/>
    <w:rsid w:val="4BF06537"/>
    <w:rsid w:val="4D9E1AAF"/>
    <w:rsid w:val="4E9F74D8"/>
    <w:rsid w:val="4EBF236C"/>
    <w:rsid w:val="4F336227"/>
    <w:rsid w:val="503D507A"/>
    <w:rsid w:val="504B57F2"/>
    <w:rsid w:val="505E1082"/>
    <w:rsid w:val="51FA74D0"/>
    <w:rsid w:val="528A5B24"/>
    <w:rsid w:val="52AA4A52"/>
    <w:rsid w:val="54E56216"/>
    <w:rsid w:val="550F5041"/>
    <w:rsid w:val="55EF9063"/>
    <w:rsid w:val="56277B56"/>
    <w:rsid w:val="574A40F1"/>
    <w:rsid w:val="57D91936"/>
    <w:rsid w:val="57DE308B"/>
    <w:rsid w:val="589C4E3D"/>
    <w:rsid w:val="59943D66"/>
    <w:rsid w:val="59E051FD"/>
    <w:rsid w:val="59E6355E"/>
    <w:rsid w:val="59F974AC"/>
    <w:rsid w:val="5A184997"/>
    <w:rsid w:val="5A3F7C21"/>
    <w:rsid w:val="5B0F321D"/>
    <w:rsid w:val="5B821531"/>
    <w:rsid w:val="5B933012"/>
    <w:rsid w:val="5BFF6039"/>
    <w:rsid w:val="5C476399"/>
    <w:rsid w:val="5D76A616"/>
    <w:rsid w:val="5D7F20B9"/>
    <w:rsid w:val="5DAC7D0E"/>
    <w:rsid w:val="5DF254FF"/>
    <w:rsid w:val="5DFBDB62"/>
    <w:rsid w:val="5E4F2952"/>
    <w:rsid w:val="5EE70A30"/>
    <w:rsid w:val="5F374479"/>
    <w:rsid w:val="5F98B5AF"/>
    <w:rsid w:val="5FFE8511"/>
    <w:rsid w:val="5FFEACE2"/>
    <w:rsid w:val="609D5BF6"/>
    <w:rsid w:val="60E455D3"/>
    <w:rsid w:val="61073070"/>
    <w:rsid w:val="61113EEE"/>
    <w:rsid w:val="61B9080E"/>
    <w:rsid w:val="61DF3FED"/>
    <w:rsid w:val="62A212A2"/>
    <w:rsid w:val="62AA63A9"/>
    <w:rsid w:val="63D95197"/>
    <w:rsid w:val="642B176B"/>
    <w:rsid w:val="643EE26D"/>
    <w:rsid w:val="650224CC"/>
    <w:rsid w:val="656019A0"/>
    <w:rsid w:val="65D29C79"/>
    <w:rsid w:val="65F242EE"/>
    <w:rsid w:val="666D7E19"/>
    <w:rsid w:val="66C51A03"/>
    <w:rsid w:val="68376930"/>
    <w:rsid w:val="683F3494"/>
    <w:rsid w:val="68F91E38"/>
    <w:rsid w:val="69767E03"/>
    <w:rsid w:val="69AB7160"/>
    <w:rsid w:val="6A99742E"/>
    <w:rsid w:val="6B3158B9"/>
    <w:rsid w:val="6BA02A3F"/>
    <w:rsid w:val="6C1E5A53"/>
    <w:rsid w:val="6C7F76DF"/>
    <w:rsid w:val="6DD20F3C"/>
    <w:rsid w:val="6F5C41AC"/>
    <w:rsid w:val="6F7593A4"/>
    <w:rsid w:val="6F7FF181"/>
    <w:rsid w:val="6FAF6C78"/>
    <w:rsid w:val="6FD66A2F"/>
    <w:rsid w:val="70044E57"/>
    <w:rsid w:val="701B08E6"/>
    <w:rsid w:val="707A7747"/>
    <w:rsid w:val="716167CC"/>
    <w:rsid w:val="718A7AD1"/>
    <w:rsid w:val="72A44BC2"/>
    <w:rsid w:val="72F67375"/>
    <w:rsid w:val="7317C656"/>
    <w:rsid w:val="734ED73F"/>
    <w:rsid w:val="73C82B32"/>
    <w:rsid w:val="73F94DAE"/>
    <w:rsid w:val="73FF7760"/>
    <w:rsid w:val="74220495"/>
    <w:rsid w:val="747D1B6F"/>
    <w:rsid w:val="749E5641"/>
    <w:rsid w:val="756B19C7"/>
    <w:rsid w:val="758B206A"/>
    <w:rsid w:val="75FF7E6A"/>
    <w:rsid w:val="76271066"/>
    <w:rsid w:val="768BBFCF"/>
    <w:rsid w:val="76FE7C84"/>
    <w:rsid w:val="7755292F"/>
    <w:rsid w:val="77EF7A28"/>
    <w:rsid w:val="77FD8BE9"/>
    <w:rsid w:val="78000AED"/>
    <w:rsid w:val="78DD2BDC"/>
    <w:rsid w:val="78FE2B52"/>
    <w:rsid w:val="79055C6B"/>
    <w:rsid w:val="79A7270D"/>
    <w:rsid w:val="79A9BD3F"/>
    <w:rsid w:val="79CBC420"/>
    <w:rsid w:val="7AAE004A"/>
    <w:rsid w:val="7B346CFF"/>
    <w:rsid w:val="7B776F12"/>
    <w:rsid w:val="7BBD6CF5"/>
    <w:rsid w:val="7BC40083"/>
    <w:rsid w:val="7BFFFDD0"/>
    <w:rsid w:val="7C091F3A"/>
    <w:rsid w:val="7C336E5F"/>
    <w:rsid w:val="7C466CEA"/>
    <w:rsid w:val="7C6F8E1C"/>
    <w:rsid w:val="7C796AE7"/>
    <w:rsid w:val="7C8D4919"/>
    <w:rsid w:val="7CBE4AD3"/>
    <w:rsid w:val="7D7A5F86"/>
    <w:rsid w:val="7DA71A0B"/>
    <w:rsid w:val="7DA7AA50"/>
    <w:rsid w:val="7E1F4626"/>
    <w:rsid w:val="7E4B683A"/>
    <w:rsid w:val="7E525DAD"/>
    <w:rsid w:val="7E5E656D"/>
    <w:rsid w:val="7E8F2BCB"/>
    <w:rsid w:val="7E955D07"/>
    <w:rsid w:val="7EA5419C"/>
    <w:rsid w:val="7EAF0B77"/>
    <w:rsid w:val="7F37BB4E"/>
    <w:rsid w:val="7FDF95D1"/>
    <w:rsid w:val="7FDF9A6B"/>
    <w:rsid w:val="7FEF918E"/>
    <w:rsid w:val="7FF4FB6F"/>
    <w:rsid w:val="7FF76F7D"/>
    <w:rsid w:val="7FF7FF27"/>
    <w:rsid w:val="7FFDF714"/>
    <w:rsid w:val="85FDAC96"/>
    <w:rsid w:val="A5DE984E"/>
    <w:rsid w:val="AF3FCD8C"/>
    <w:rsid w:val="AFDFF22E"/>
    <w:rsid w:val="B57A0227"/>
    <w:rsid w:val="B9FA2A43"/>
    <w:rsid w:val="BAEC75A4"/>
    <w:rsid w:val="BCDC6DC8"/>
    <w:rsid w:val="BF7BA1E4"/>
    <w:rsid w:val="BFDF04FA"/>
    <w:rsid w:val="BFE227EF"/>
    <w:rsid w:val="C7FE9C5E"/>
    <w:rsid w:val="C7FEB6EF"/>
    <w:rsid w:val="CF2A1ABD"/>
    <w:rsid w:val="CF7D614C"/>
    <w:rsid w:val="CFDC4444"/>
    <w:rsid w:val="D37FAF48"/>
    <w:rsid w:val="DA7D3CD9"/>
    <w:rsid w:val="DAFFF76B"/>
    <w:rsid w:val="DBA46940"/>
    <w:rsid w:val="DBDC0ADA"/>
    <w:rsid w:val="DBDDF356"/>
    <w:rsid w:val="DBEF08C3"/>
    <w:rsid w:val="DCEE01D2"/>
    <w:rsid w:val="DEDE2B06"/>
    <w:rsid w:val="DF7B9FD6"/>
    <w:rsid w:val="DFFFC415"/>
    <w:rsid w:val="E37BEB44"/>
    <w:rsid w:val="EAFEFA49"/>
    <w:rsid w:val="EBFA31C2"/>
    <w:rsid w:val="EEB9C230"/>
    <w:rsid w:val="EFCB5322"/>
    <w:rsid w:val="F3F4A11B"/>
    <w:rsid w:val="F56C6CE5"/>
    <w:rsid w:val="F9EF7BED"/>
    <w:rsid w:val="F9FBD02B"/>
    <w:rsid w:val="F9FD0650"/>
    <w:rsid w:val="F9FD7907"/>
    <w:rsid w:val="FAEF933D"/>
    <w:rsid w:val="FB1F5951"/>
    <w:rsid w:val="FB3A4A6A"/>
    <w:rsid w:val="FBBEBB06"/>
    <w:rsid w:val="FCEA2520"/>
    <w:rsid w:val="FCFF63EF"/>
    <w:rsid w:val="FD7F5D1E"/>
    <w:rsid w:val="FEEF016D"/>
    <w:rsid w:val="FF3BF87E"/>
    <w:rsid w:val="FF6C4049"/>
    <w:rsid w:val="FF78F63F"/>
    <w:rsid w:val="FF8D2000"/>
    <w:rsid w:val="FFB6678D"/>
    <w:rsid w:val="FFCF25E0"/>
    <w:rsid w:val="FFDB19CF"/>
    <w:rsid w:val="FFF88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8">
    <w:name w:val="Default Paragraph Font"/>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4">
    <w:name w:val="Body Text Indent"/>
    <w:basedOn w:val="1"/>
    <w:qFormat/>
    <w:uiPriority w:val="0"/>
    <w:pPr>
      <w:spacing w:after="120"/>
      <w:ind w:left="420" w:leftChars="200"/>
    </w:pPr>
    <w:rPr>
      <w:rFonts w:ascii="Calibri" w:hAnsi="Calibri"/>
    </w:rPr>
  </w:style>
  <w:style w:type="paragraph" w:styleId="5">
    <w:name w:val="toc 3"/>
    <w:basedOn w:val="1"/>
    <w:next w:val="1"/>
    <w:qFormat/>
    <w:uiPriority w:val="0"/>
    <w:pPr>
      <w:ind w:left="840" w:leftChars="400"/>
    </w:pPr>
  </w:style>
  <w:style w:type="paragraph" w:styleId="6">
    <w:name w:val="Balloon Text"/>
    <w:basedOn w:val="1"/>
    <w:link w:val="25"/>
    <w:qFormat/>
    <w:uiPriority w:val="0"/>
    <w:rPr>
      <w:sz w:val="18"/>
      <w:szCs w:val="18"/>
    </w:rPr>
  </w:style>
  <w:style w:type="paragraph" w:styleId="7">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0"/>
    <w:pPr>
      <w:tabs>
        <w:tab w:val="right" w:leader="dot" w:pos="7980"/>
        <w:tab w:val="right" w:leader="dot" w:pos="8190"/>
      </w:tabs>
    </w:pPr>
    <w:rPr>
      <w:rFonts w:ascii="Calibri" w:hAnsi="Calibri" w:eastAsia="仿宋_GB2312"/>
      <w:sz w:val="32"/>
    </w:rPr>
  </w:style>
  <w:style w:type="paragraph" w:styleId="10">
    <w:name w:val="toc 4"/>
    <w:basedOn w:val="1"/>
    <w:next w:val="1"/>
    <w:qFormat/>
    <w:uiPriority w:val="0"/>
    <w:pPr>
      <w:ind w:left="1260" w:leftChars="600"/>
    </w:pPr>
  </w:style>
  <w:style w:type="paragraph" w:styleId="11">
    <w:name w:val="toc 2"/>
    <w:basedOn w:val="1"/>
    <w:next w:val="1"/>
    <w:qFormat/>
    <w:uiPriority w:val="0"/>
    <w:pPr>
      <w:ind w:left="420" w:leftChars="200"/>
    </w:pPr>
  </w:style>
  <w:style w:type="paragraph" w:styleId="12">
    <w:name w:val="Normal (Web)"/>
    <w:basedOn w:val="1"/>
    <w:qFormat/>
    <w:uiPriority w:val="0"/>
    <w:pPr>
      <w:spacing w:beforeAutospacing="1" w:after="0" w:afterAutospacing="1"/>
      <w:jc w:val="left"/>
    </w:pPr>
    <w:rPr>
      <w:kern w:val="0"/>
      <w:sz w:val="24"/>
    </w:rPr>
  </w:style>
  <w:style w:type="paragraph" w:styleId="13">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4">
    <w:name w:val="Body Text First Indent"/>
    <w:basedOn w:val="2"/>
    <w:link w:val="29"/>
    <w:qFormat/>
    <w:uiPriority w:val="0"/>
    <w:pPr>
      <w:spacing w:after="0"/>
      <w:ind w:firstLine="200" w:firstLineChars="200"/>
    </w:pPr>
  </w:style>
  <w:style w:type="paragraph" w:styleId="15">
    <w:name w:val="Body Text First Indent 2"/>
    <w:basedOn w:val="4"/>
    <w:qFormat/>
    <w:uiPriority w:val="0"/>
    <w:pPr>
      <w:ind w:firstLine="420" w:firstLineChars="200"/>
    </w:pPr>
  </w:style>
  <w:style w:type="table" w:styleId="17">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9">
    <w:name w:val="Strong"/>
    <w:basedOn w:val="18"/>
    <w:qFormat/>
    <w:uiPriority w:val="0"/>
    <w:rPr>
      <w:b/>
      <w:bCs/>
    </w:rPr>
  </w:style>
  <w:style w:type="paragraph" w:customStyle="1" w:styleId="20">
    <w:name w:val="Comment Text"/>
    <w:basedOn w:val="1"/>
    <w:link w:val="27"/>
    <w:qFormat/>
    <w:uiPriority w:val="0"/>
    <w:pPr>
      <w:jc w:val="left"/>
    </w:pPr>
  </w:style>
  <w:style w:type="paragraph" w:customStyle="1" w:styleId="21">
    <w:name w:val="Comment Subject"/>
    <w:basedOn w:val="20"/>
    <w:next w:val="20"/>
    <w:link w:val="28"/>
    <w:qFormat/>
    <w:uiPriority w:val="0"/>
    <w:rPr>
      <w:b/>
      <w:bCs/>
    </w:rPr>
  </w:style>
  <w:style w:type="character" w:customStyle="1" w:styleId="22">
    <w:name w:val="Comment Reference"/>
    <w:basedOn w:val="18"/>
    <w:qFormat/>
    <w:uiPriority w:val="0"/>
    <w:rPr>
      <w:sz w:val="21"/>
      <w:szCs w:val="21"/>
    </w:rPr>
  </w:style>
  <w:style w:type="character" w:customStyle="1" w:styleId="23">
    <w:name w:val="fontstyle01"/>
    <w:qFormat/>
    <w:uiPriority w:val="0"/>
    <w:rPr>
      <w:rFonts w:ascii="仿宋_GB2312" w:hAnsi="仿宋_GB2312" w:eastAsia="仿宋_GB2312" w:cs="仿宋_GB2312"/>
      <w:color w:val="000000"/>
      <w:sz w:val="32"/>
      <w:szCs w:val="32"/>
    </w:rPr>
  </w:style>
  <w:style w:type="paragraph" w:customStyle="1" w:styleId="24">
    <w:name w:val="闻政-正文段落文字"/>
    <w:basedOn w:val="1"/>
    <w:qFormat/>
    <w:uiPriority w:val="3"/>
    <w:pPr>
      <w:spacing w:line="500" w:lineRule="exact"/>
      <w:ind w:firstLine="200"/>
    </w:pPr>
    <w:rPr>
      <w:kern w:val="0"/>
      <w:szCs w:val="28"/>
    </w:rPr>
  </w:style>
  <w:style w:type="character" w:customStyle="1" w:styleId="25">
    <w:name w:val="批注框文本 字符"/>
    <w:basedOn w:val="18"/>
    <w:link w:val="6"/>
    <w:qFormat/>
    <w:uiPriority w:val="0"/>
    <w:rPr>
      <w:rFonts w:ascii="Times New Roman" w:hAnsi="Times New Roman" w:eastAsia="宋体" w:cs="Times New Roman"/>
      <w:kern w:val="2"/>
      <w:sz w:val="18"/>
      <w:szCs w:val="18"/>
    </w:rPr>
  </w:style>
  <w:style w:type="character" w:customStyle="1" w:styleId="26">
    <w:name w:val="页眉 字符"/>
    <w:basedOn w:val="18"/>
    <w:link w:val="8"/>
    <w:qFormat/>
    <w:uiPriority w:val="0"/>
    <w:rPr>
      <w:rFonts w:ascii="Times New Roman" w:hAnsi="Times New Roman" w:eastAsia="宋体" w:cs="Times New Roman"/>
      <w:kern w:val="2"/>
      <w:sz w:val="18"/>
      <w:szCs w:val="18"/>
    </w:rPr>
  </w:style>
  <w:style w:type="character" w:customStyle="1" w:styleId="27">
    <w:name w:val="批注文字 字符"/>
    <w:basedOn w:val="18"/>
    <w:link w:val="20"/>
    <w:qFormat/>
    <w:uiPriority w:val="0"/>
    <w:rPr>
      <w:rFonts w:ascii="Times New Roman" w:hAnsi="Times New Roman" w:eastAsia="宋体" w:cs="Times New Roman"/>
      <w:kern w:val="2"/>
      <w:sz w:val="21"/>
      <w:szCs w:val="24"/>
    </w:rPr>
  </w:style>
  <w:style w:type="character" w:customStyle="1" w:styleId="28">
    <w:name w:val="批注主题 字符"/>
    <w:basedOn w:val="27"/>
    <w:link w:val="21"/>
    <w:qFormat/>
    <w:uiPriority w:val="0"/>
    <w:rPr>
      <w:rFonts w:ascii="Times New Roman" w:hAnsi="Times New Roman" w:eastAsia="宋体" w:cs="Times New Roman"/>
      <w:b/>
      <w:bCs/>
      <w:kern w:val="2"/>
      <w:sz w:val="21"/>
      <w:szCs w:val="24"/>
    </w:rPr>
  </w:style>
  <w:style w:type="character" w:customStyle="1" w:styleId="29">
    <w:name w:val="正文文本首行缩进 字符"/>
    <w:basedOn w:val="18"/>
    <w:link w:val="14"/>
    <w:qFormat/>
    <w:uiPriority w:val="0"/>
    <w:rPr>
      <w:kern w:val="2"/>
      <w:sz w:val="21"/>
      <w:szCs w:val="24"/>
    </w:rPr>
  </w:style>
  <w:style w:type="paragraph" w:customStyle="1" w:styleId="30">
    <w:name w:val="Revision"/>
    <w:hidden/>
    <w:unhideWhenUsed/>
    <w:qFormat/>
    <w:uiPriority w:val="99"/>
    <w:pPr>
      <w:spacing w:after="0" w:line="240" w:lineRule="auto"/>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7743</Words>
  <Characters>7924</Characters>
  <Lines>125</Lines>
  <Paragraphs>35</Paragraphs>
  <TotalTime>14</TotalTime>
  <ScaleCrop>false</ScaleCrop>
  <LinksUpToDate>false</LinksUpToDate>
  <CharactersWithSpaces>7996</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2026-08-17T08:13:00Z</dcterms:created>
  <dc:creator>审核人</dc:creator>
  <cp:lastModifiedBy>来财&amp;十个勤天</cp:lastModifiedBy>
  <dcterms:modified xsi:type="dcterms:W3CDTF">2026-08-28T03:59:22Z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08AF2EB8AF8C4BCCB37DE1C8BAA342F8_13</vt:lpwstr>
  </property>
  <property fmtid="{D5CDD505-2E9C-101B-9397-08002B2CF9AE}" pid="4" name="KSOTemplateDocerSaveRecord">
    <vt:lpwstr>eyJoZGlkIjoiZTliZGUwNWM5NjQxODUyZjhjYWVlMWZjZWZmNTI5MzgiLCJ1c2VySWQiOiIzNzI2MDMzNTYifQ==</vt:lpwstr>
  </property>
</Properties>
</file>