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0194A"/>
    <w:p w14:paraId="7972C623">
      <w:pPr>
        <w:spacing w:line="540" w:lineRule="exact"/>
        <w:jc w:val="center"/>
        <w:rPr>
          <w:rFonts w:hint="default" w:ascii="Times New Roman" w:hAnsi="Times New Roman" w:eastAsia="华文中宋" w:cs="Times New Roman"/>
          <w:b/>
          <w:kern w:val="0"/>
          <w:sz w:val="52"/>
          <w:szCs w:val="52"/>
        </w:rPr>
      </w:pPr>
    </w:p>
    <w:p w14:paraId="31223C4B">
      <w:pPr>
        <w:spacing w:line="540" w:lineRule="exact"/>
        <w:rPr>
          <w:rFonts w:hint="default" w:ascii="Times New Roman" w:hAnsi="Times New Roman" w:eastAsia="华文中宋" w:cs="Times New Roman"/>
          <w:b/>
          <w:kern w:val="0"/>
          <w:sz w:val="52"/>
          <w:szCs w:val="52"/>
        </w:rPr>
      </w:pPr>
    </w:p>
    <w:p w14:paraId="1349975A">
      <w:pPr>
        <w:spacing w:line="540" w:lineRule="exact"/>
        <w:jc w:val="center"/>
        <w:rPr>
          <w:rFonts w:hint="default" w:ascii="Times New Roman" w:hAnsi="Times New Roman" w:eastAsia="华文中宋" w:cs="Times New Roman"/>
          <w:b/>
          <w:kern w:val="0"/>
          <w:sz w:val="52"/>
          <w:szCs w:val="52"/>
        </w:rPr>
      </w:pPr>
    </w:p>
    <w:p w14:paraId="4BC9279B">
      <w:pPr>
        <w:spacing w:line="540" w:lineRule="exact"/>
        <w:jc w:val="center"/>
        <w:rPr>
          <w:rFonts w:hint="default" w:ascii="Times New Roman" w:hAnsi="Times New Roman" w:eastAsia="华文中宋" w:cs="Times New Roman"/>
          <w:b/>
          <w:kern w:val="0"/>
          <w:sz w:val="52"/>
          <w:szCs w:val="52"/>
        </w:rPr>
      </w:pPr>
    </w:p>
    <w:p w14:paraId="2D87B362">
      <w:pPr>
        <w:spacing w:line="540" w:lineRule="exact"/>
        <w:jc w:val="center"/>
        <w:rPr>
          <w:rFonts w:hint="default" w:ascii="Times New Roman" w:hAnsi="Times New Roman" w:eastAsia="方正小标宋_GBK" w:cs="Times New Roman"/>
          <w:kern w:val="0"/>
          <w:sz w:val="48"/>
          <w:szCs w:val="48"/>
        </w:rPr>
      </w:pPr>
      <w:r>
        <w:rPr>
          <w:rFonts w:hint="eastAsia" w:ascii="Times New Roman" w:hAnsi="Times New Roman" w:eastAsia="方正小标宋_GBK" w:cs="Times New Roman"/>
          <w:kern w:val="0"/>
          <w:sz w:val="48"/>
          <w:szCs w:val="48"/>
          <w:lang w:val="en-US" w:eastAsia="zh-CN"/>
        </w:rPr>
        <w:t>自治区水利发展资金专项</w:t>
      </w:r>
      <w:r>
        <w:rPr>
          <w:rFonts w:hint="default" w:ascii="Times New Roman" w:hAnsi="Times New Roman" w:eastAsia="方正小标宋_GBK" w:cs="Times New Roman"/>
          <w:kern w:val="0"/>
          <w:sz w:val="48"/>
          <w:szCs w:val="48"/>
        </w:rPr>
        <w:t>项目支出绩效评价报告</w:t>
      </w:r>
    </w:p>
    <w:p w14:paraId="0B4302F6">
      <w:pPr>
        <w:spacing w:line="540" w:lineRule="exact"/>
        <w:jc w:val="center"/>
        <w:rPr>
          <w:rFonts w:hint="default" w:ascii="Times New Roman" w:hAnsi="Times New Roman" w:eastAsia="华文中宋" w:cs="Times New Roman"/>
          <w:b/>
          <w:kern w:val="0"/>
          <w:sz w:val="52"/>
          <w:szCs w:val="52"/>
        </w:rPr>
      </w:pPr>
    </w:p>
    <w:p w14:paraId="17241DFF">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eastAsia" w:eastAsia="仿宋_GB2312" w:cs="Times New Roman"/>
          <w:kern w:val="0"/>
          <w:sz w:val="36"/>
          <w:szCs w:val="36"/>
          <w:lang w:val="en-US" w:eastAsia="zh-CN"/>
        </w:rPr>
        <w:t>5</w:t>
      </w:r>
      <w:r>
        <w:rPr>
          <w:rFonts w:hint="default" w:ascii="Times New Roman" w:hAnsi="Times New Roman" w:eastAsia="仿宋_GB2312" w:cs="Times New Roman"/>
          <w:kern w:val="0"/>
          <w:sz w:val="36"/>
          <w:szCs w:val="36"/>
        </w:rPr>
        <w:t>年度）</w:t>
      </w:r>
    </w:p>
    <w:p w14:paraId="36908D81">
      <w:pPr>
        <w:spacing w:line="540" w:lineRule="exact"/>
        <w:jc w:val="center"/>
        <w:rPr>
          <w:rFonts w:hint="default" w:ascii="Times New Roman" w:hAnsi="Times New Roman" w:eastAsia="仿宋_GB2312" w:cs="Times New Roman"/>
          <w:kern w:val="0"/>
          <w:sz w:val="30"/>
          <w:szCs w:val="30"/>
        </w:rPr>
      </w:pPr>
    </w:p>
    <w:p w14:paraId="01571C70">
      <w:pPr>
        <w:spacing w:line="540" w:lineRule="exact"/>
        <w:jc w:val="center"/>
        <w:rPr>
          <w:rFonts w:hint="default" w:ascii="Times New Roman" w:hAnsi="Times New Roman" w:eastAsia="仿宋_GB2312" w:cs="Times New Roman"/>
          <w:kern w:val="0"/>
          <w:sz w:val="30"/>
          <w:szCs w:val="30"/>
        </w:rPr>
      </w:pPr>
    </w:p>
    <w:p w14:paraId="3499ED27">
      <w:pPr>
        <w:spacing w:line="540" w:lineRule="exact"/>
        <w:jc w:val="center"/>
        <w:rPr>
          <w:rFonts w:hint="default" w:ascii="Times New Roman" w:hAnsi="Times New Roman" w:eastAsia="仿宋_GB2312" w:cs="Times New Roman"/>
          <w:kern w:val="0"/>
          <w:sz w:val="30"/>
          <w:szCs w:val="30"/>
        </w:rPr>
      </w:pPr>
    </w:p>
    <w:p w14:paraId="74A12C8C">
      <w:pPr>
        <w:spacing w:line="540" w:lineRule="exact"/>
        <w:jc w:val="center"/>
        <w:rPr>
          <w:rFonts w:hint="default" w:ascii="Times New Roman" w:hAnsi="Times New Roman" w:eastAsia="仿宋_GB2312" w:cs="Times New Roman"/>
          <w:kern w:val="0"/>
          <w:sz w:val="30"/>
          <w:szCs w:val="30"/>
        </w:rPr>
      </w:pPr>
    </w:p>
    <w:p w14:paraId="63C1FCDB">
      <w:pPr>
        <w:spacing w:line="540" w:lineRule="exact"/>
        <w:jc w:val="center"/>
        <w:rPr>
          <w:rFonts w:hint="default" w:ascii="Times New Roman" w:hAnsi="Times New Roman" w:eastAsia="仿宋_GB2312" w:cs="Times New Roman"/>
          <w:kern w:val="0"/>
          <w:sz w:val="30"/>
          <w:szCs w:val="30"/>
        </w:rPr>
      </w:pPr>
    </w:p>
    <w:p w14:paraId="2630E0CE">
      <w:pPr>
        <w:spacing w:line="540" w:lineRule="exact"/>
        <w:jc w:val="center"/>
        <w:rPr>
          <w:rFonts w:hint="default" w:ascii="Times New Roman" w:hAnsi="Times New Roman" w:eastAsia="仿宋_GB2312" w:cs="Times New Roman"/>
          <w:kern w:val="0"/>
          <w:sz w:val="30"/>
          <w:szCs w:val="30"/>
        </w:rPr>
      </w:pPr>
    </w:p>
    <w:p w14:paraId="2A42DBEB">
      <w:pPr>
        <w:spacing w:line="540" w:lineRule="exact"/>
        <w:jc w:val="center"/>
        <w:rPr>
          <w:rFonts w:hint="default" w:ascii="Times New Roman" w:hAnsi="Times New Roman" w:eastAsia="仿宋_GB2312" w:cs="Times New Roman"/>
          <w:kern w:val="0"/>
          <w:sz w:val="30"/>
          <w:szCs w:val="30"/>
        </w:rPr>
      </w:pPr>
    </w:p>
    <w:p w14:paraId="24D9B514">
      <w:pPr>
        <w:spacing w:line="540" w:lineRule="exact"/>
        <w:jc w:val="center"/>
        <w:rPr>
          <w:rFonts w:hint="default" w:ascii="Times New Roman" w:hAnsi="Times New Roman" w:eastAsia="仿宋_GB2312" w:cs="Times New Roman"/>
          <w:kern w:val="0"/>
          <w:sz w:val="30"/>
          <w:szCs w:val="30"/>
        </w:rPr>
      </w:pPr>
    </w:p>
    <w:p w14:paraId="01B4F4EB">
      <w:pPr>
        <w:spacing w:line="700" w:lineRule="exact"/>
        <w:jc w:val="left"/>
        <w:rPr>
          <w:rFonts w:hint="default"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项目名称：</w:t>
      </w:r>
      <w:r>
        <w:rPr>
          <w:rFonts w:hint="eastAsia" w:eastAsia="仿宋_GB2312" w:cs="Times New Roman"/>
          <w:kern w:val="0"/>
          <w:sz w:val="36"/>
          <w:szCs w:val="36"/>
          <w:lang w:val="en-US" w:eastAsia="zh-CN"/>
        </w:rPr>
        <w:t>自治区水利发展资金专项</w:t>
      </w:r>
    </w:p>
    <w:p w14:paraId="5FECB092">
      <w:pPr>
        <w:spacing w:line="700" w:lineRule="exact"/>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自治区克孜勒苏水文勘测中心</w:t>
      </w:r>
    </w:p>
    <w:p w14:paraId="147A7DB7">
      <w:pPr>
        <w:spacing w:line="700" w:lineRule="exact"/>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新疆维吾尔自治区水利厅</w:t>
      </w:r>
    </w:p>
    <w:p w14:paraId="13DED2D0">
      <w:pPr>
        <w:spacing w:line="700" w:lineRule="exact"/>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时京林</w:t>
      </w:r>
    </w:p>
    <w:p w14:paraId="78E0F329">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2026</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24</w:t>
      </w:r>
      <w:r>
        <w:rPr>
          <w:rFonts w:hint="default" w:ascii="Times New Roman" w:hAnsi="Times New Roman" w:eastAsia="仿宋_GB2312" w:cs="Times New Roman"/>
          <w:kern w:val="0"/>
          <w:sz w:val="36"/>
          <w:szCs w:val="36"/>
        </w:rPr>
        <w:t>日</w:t>
      </w:r>
    </w:p>
    <w:p w14:paraId="5D435A3F">
      <w:pPr>
        <w:spacing w:line="540" w:lineRule="exact"/>
        <w:jc w:val="center"/>
        <w:rPr>
          <w:rFonts w:hint="default" w:ascii="Times New Roman" w:hAnsi="Times New Roman" w:eastAsia="仿宋_GB2312" w:cs="Times New Roman"/>
          <w:kern w:val="0"/>
          <w:sz w:val="30"/>
          <w:szCs w:val="30"/>
        </w:rPr>
      </w:pPr>
    </w:p>
    <w:p w14:paraId="078CD1F5">
      <w:pPr>
        <w:rPr>
          <w:rFonts w:hint="default" w:ascii="Times New Roman" w:hAnsi="Times New Roman" w:eastAsia="仿宋_GB2312" w:cs="Times New Roman"/>
          <w:kern w:val="0"/>
          <w:sz w:val="30"/>
          <w:szCs w:val="30"/>
        </w:rPr>
      </w:pPr>
      <w:r>
        <w:rPr>
          <w:rFonts w:hint="default" w:ascii="Times New Roman" w:hAnsi="Times New Roman" w:eastAsia="仿宋_GB2312" w:cs="Times New Roman"/>
          <w:kern w:val="0"/>
          <w:sz w:val="30"/>
          <w:szCs w:val="30"/>
        </w:rPr>
        <w:br w:type="page"/>
      </w:r>
    </w:p>
    <w:p w14:paraId="556EE205">
      <w:pPr>
        <w:spacing w:line="540" w:lineRule="exact"/>
        <w:jc w:val="center"/>
        <w:rPr>
          <w:rFonts w:hint="default" w:ascii="Times New Roman" w:hAnsi="Times New Roman" w:eastAsia="仿宋_GB2312" w:cs="Times New Roman"/>
          <w:kern w:val="0"/>
          <w:sz w:val="30"/>
          <w:szCs w:val="30"/>
        </w:rPr>
      </w:pPr>
    </w:p>
    <w:sdt>
      <w:sdtPr>
        <w:rPr>
          <w:rFonts w:ascii="宋体" w:hAnsi="宋体" w:eastAsia="宋体" w:cs="Times New Roman"/>
          <w:b/>
          <w:bCs/>
          <w:kern w:val="2"/>
          <w:sz w:val="44"/>
          <w:szCs w:val="44"/>
          <w:lang w:val="en-US" w:eastAsia="zh-CN" w:bidi="ar-SA"/>
        </w:rPr>
        <w:id w:val="147456767"/>
        <w15:color w:val="DBDBDB"/>
        <w:docPartObj>
          <w:docPartGallery w:val="Table of Contents"/>
          <w:docPartUnique/>
        </w:docPartObj>
      </w:sdtPr>
      <w:sdtEndPr>
        <w:rPr>
          <w:rFonts w:hint="default" w:ascii="Times New Roman" w:hAnsi="Times New Roman" w:eastAsia="宋体" w:cs="Times New Roman"/>
          <w:b/>
          <w:bCs/>
          <w:kern w:val="2"/>
          <w:sz w:val="21"/>
          <w:szCs w:val="24"/>
          <w:lang w:val="en-US" w:eastAsia="zh-CN" w:bidi="ar-SA"/>
        </w:rPr>
      </w:sdtEndPr>
      <w:sdtContent>
        <w:p w14:paraId="70AE170C">
          <w:pPr>
            <w:spacing w:before="0" w:beforeLines="0" w:after="0" w:afterLines="0" w:line="240" w:lineRule="auto"/>
            <w:ind w:left="0" w:leftChars="0" w:right="0" w:rightChars="0" w:firstLine="0" w:firstLineChars="0"/>
            <w:jc w:val="center"/>
            <w:rPr>
              <w:b/>
              <w:bCs/>
              <w:sz w:val="44"/>
              <w:szCs w:val="44"/>
            </w:rPr>
          </w:pPr>
          <w:r>
            <w:rPr>
              <w:rFonts w:ascii="宋体" w:hAnsi="宋体" w:eastAsia="宋体"/>
              <w:b/>
              <w:bCs/>
              <w:sz w:val="44"/>
              <w:szCs w:val="44"/>
            </w:rPr>
            <w:t>目录</w:t>
          </w:r>
        </w:p>
        <w:p w14:paraId="4CDB5703">
          <w:pPr>
            <w:pStyle w:val="9"/>
            <w:tabs>
              <w:tab w:val="right" w:leader="middleDot" w:pos="8548"/>
              <w:tab w:val="clear" w:pos="7980"/>
              <w:tab w:val="clear" w:pos="8190"/>
            </w:tabs>
            <w:rPr>
              <w:rFonts w:hint="eastAsia" w:ascii="仿宋_GB2312" w:hAnsi="仿宋_GB2312" w:eastAsia="仿宋_GB2312" w:cs="仿宋_GB2312"/>
              <w:sz w:val="32"/>
              <w:szCs w:val="32"/>
            </w:rPr>
          </w:pPr>
          <w:r>
            <w:rPr>
              <w:rFonts w:hint="default"/>
            </w:rPr>
            <w:fldChar w:fldCharType="begin"/>
          </w:r>
          <w:r>
            <w:rPr>
              <w:rFonts w:hint="default"/>
            </w:rPr>
            <w:instrText xml:space="preserve">TOC \o "1-9" \h \u</w:instrText>
          </w:r>
          <w:r>
            <w:rPr>
              <w:rFonts w:hint="default"/>
            </w:rPr>
            <w:fldChar w:fldCharType="separate"/>
          </w:r>
          <w:r>
            <w:fldChar w:fldCharType="begin"/>
          </w:r>
          <w:r>
            <w:instrText xml:space="preserve"> HYPERLINK \l "_Toc3458" </w:instrText>
          </w:r>
          <w:r>
            <w:fldChar w:fldCharType="separate"/>
          </w:r>
          <w:r>
            <w:rPr>
              <w:rFonts w:hint="eastAsia" w:ascii="仿宋_GB2312" w:hAnsi="仿宋_GB2312" w:eastAsia="仿宋_GB2312" w:cs="仿宋_GB2312"/>
              <w:bCs/>
              <w:sz w:val="32"/>
              <w:szCs w:val="32"/>
            </w:rPr>
            <w:t>一、基本情况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_Toc3458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312EFDA">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"_Toc16251" </w:instrText>
          </w:r>
          <w:r>
            <w:fldChar w:fldCharType="separate"/>
          </w:r>
          <w:r>
            <w:rPr>
              <w:rFonts w:hint="eastAsia" w:ascii="仿宋_GB2312" w:hAnsi="仿宋_GB2312" w:eastAsia="仿宋_GB2312" w:cs="仿宋_GB2312"/>
              <w:bCs/>
              <w:sz w:val="32"/>
              <w:szCs w:val="32"/>
            </w:rPr>
            <w:t>（一）项目概况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_Toc16251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34CA206">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"_Toc11655" </w:instrText>
          </w:r>
          <w:r>
            <w:fldChar w:fldCharType="separate"/>
          </w:r>
          <w:r>
            <w:rPr>
              <w:rFonts w:hint="eastAsia" w:ascii="仿宋_GB2312" w:hAnsi="仿宋_GB2312" w:eastAsia="仿宋_GB2312" w:cs="仿宋_GB2312"/>
              <w:bCs/>
              <w:sz w:val="32"/>
              <w:szCs w:val="32"/>
            </w:rPr>
            <w:t>（二）项目绩效目标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_Toc11655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1A3238C">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"_Toc25712" </w:instrText>
          </w:r>
          <w:r>
            <w:fldChar w:fldCharType="separate"/>
          </w:r>
          <w:r>
            <w:rPr>
              <w:rFonts w:hint="eastAsia" w:ascii="仿宋_GB2312" w:hAnsi="仿宋_GB2312" w:eastAsia="仿宋_GB2312" w:cs="仿宋_GB2312"/>
              <w:sz w:val="32"/>
              <w:szCs w:val="32"/>
            </w:rPr>
            <w:t>二、绩效评价工作开展情况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_Toc25712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91ADF8B">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"_Toc20967" </w:instrText>
          </w:r>
          <w:r>
            <w:fldChar w:fldCharType="separate"/>
          </w:r>
          <w:r>
            <w:rPr>
              <w:rFonts w:hint="eastAsia" w:ascii="仿宋_GB2312" w:hAnsi="仿宋_GB2312" w:eastAsia="仿宋_GB2312" w:cs="仿宋_GB2312"/>
              <w:bCs/>
              <w:sz w:val="32"/>
              <w:szCs w:val="32"/>
            </w:rPr>
            <w:t>（一）绩效评价目的、对象和范围</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_Toc20967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D8477B4">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"_Toc29785" </w:instrText>
          </w:r>
          <w:r>
            <w:fldChar w:fldCharType="separate"/>
          </w:r>
          <w:r>
            <w:rPr>
              <w:rFonts w:hint="eastAsia" w:ascii="仿宋_GB2312" w:hAnsi="仿宋_GB2312" w:eastAsia="仿宋_GB2312" w:cs="仿宋_GB2312"/>
              <w:bCs/>
              <w:sz w:val="32"/>
              <w:szCs w:val="32"/>
            </w:rPr>
            <w:t>（二）绩效评价原则、评价指标体系（详情见表1）、评价方法、评价标准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_Toc29785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4366343">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"_Toc5544" </w:instrText>
          </w:r>
          <w:r>
            <w:fldChar w:fldCharType="separate"/>
          </w:r>
          <w:r>
            <w:rPr>
              <w:rFonts w:hint="eastAsia" w:ascii="仿宋_GB2312" w:hAnsi="仿宋_GB2312" w:eastAsia="仿宋_GB2312" w:cs="仿宋_GB2312"/>
              <w:spacing w:val="17"/>
              <w:sz w:val="32"/>
              <w:szCs w:val="32"/>
            </w:rPr>
            <w:t>（三）绩效评价工作过程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_Toc5544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9BD6E2B">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"_Toc29729" </w:instrText>
          </w:r>
          <w:r>
            <w:fldChar w:fldCharType="separate"/>
          </w:r>
          <w:r>
            <w:rPr>
              <w:rFonts w:hint="eastAsia" w:ascii="仿宋_GB2312" w:hAnsi="仿宋_GB2312" w:eastAsia="仿宋_GB2312" w:cs="仿宋_GB2312"/>
              <w:sz w:val="32"/>
              <w:szCs w:val="32"/>
            </w:rPr>
            <w:t>三、综合评价情况及评价结论（附相关评分表）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089AC5D">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"_Toc2344" </w:instrText>
          </w:r>
          <w: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评价情况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2B9A1E5">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"_Toc6653" </w:instrText>
          </w:r>
          <w: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评价结论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_Toc6653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6739A86">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"_Toc1453" </w:instrText>
          </w:r>
          <w:r>
            <w:fldChar w:fldCharType="separate"/>
          </w:r>
          <w:r>
            <w:rPr>
              <w:rFonts w:hint="eastAsia" w:ascii="仿宋_GB2312" w:hAnsi="仿宋_GB2312" w:eastAsia="仿宋_GB2312" w:cs="仿宋_GB2312"/>
              <w:sz w:val="32"/>
              <w:szCs w:val="32"/>
            </w:rPr>
            <w:t>四、绩效评价指标分析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6BCFD10">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"_Toc32318" </w:instrText>
          </w:r>
          <w:r>
            <w:fldChar w:fldCharType="separate"/>
          </w:r>
          <w:r>
            <w:rPr>
              <w:rFonts w:hint="eastAsia" w:ascii="仿宋_GB2312" w:hAnsi="仿宋_GB2312" w:eastAsia="仿宋_GB2312" w:cs="仿宋_GB2312"/>
              <w:sz w:val="32"/>
              <w:szCs w:val="32"/>
            </w:rPr>
            <w:t>（一）项目决策情况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_Toc32318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82A06EC">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"_Toc25505" </w:instrText>
          </w:r>
          <w:r>
            <w:fldChar w:fldCharType="separate"/>
          </w:r>
          <w:r>
            <w:rPr>
              <w:rFonts w:hint="eastAsia" w:ascii="仿宋_GB2312" w:hAnsi="仿宋_GB2312" w:eastAsia="仿宋_GB2312" w:cs="仿宋_GB2312"/>
              <w:sz w:val="32"/>
              <w:szCs w:val="32"/>
            </w:rPr>
            <w:t>（二）项目过程情况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_Toc25505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D004B56">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"_Toc8612" </w:instrText>
          </w:r>
          <w:r>
            <w:fldChar w:fldCharType="separate"/>
          </w:r>
          <w:r>
            <w:rPr>
              <w:rFonts w:hint="eastAsia" w:ascii="仿宋_GB2312" w:hAnsi="仿宋_GB2312" w:eastAsia="仿宋_GB2312" w:cs="仿宋_GB2312"/>
              <w:bCs/>
              <w:sz w:val="32"/>
              <w:szCs w:val="32"/>
            </w:rPr>
            <w:t>（三）项目产出</w:t>
          </w:r>
          <w:r>
            <w:rPr>
              <w:rFonts w:hint="eastAsia" w:ascii="仿宋_GB2312" w:hAnsi="仿宋_GB2312" w:eastAsia="仿宋_GB2312" w:cs="仿宋_GB2312"/>
              <w:bCs/>
              <w:sz w:val="32"/>
              <w:szCs w:val="32"/>
              <w:lang w:val="en-US" w:eastAsia="zh-CN"/>
            </w:rPr>
            <w:t>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_Toc8612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EAE59F5">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"_Toc18470" </w:instrText>
          </w:r>
          <w:r>
            <w:fldChar w:fldCharType="separate"/>
          </w:r>
          <w:r>
            <w:rPr>
              <w:rFonts w:hint="eastAsia" w:ascii="仿宋_GB2312" w:hAnsi="仿宋_GB2312" w:eastAsia="仿宋_GB2312" w:cs="仿宋_GB2312"/>
              <w:bCs/>
              <w:sz w:val="32"/>
              <w:szCs w:val="32"/>
              <w:lang w:val="en-US" w:eastAsia="zh-CN"/>
            </w:rPr>
            <w:t>（四）项目效益情况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_Toc18470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A3DB8BE">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"_Toc21462" </w:instrText>
          </w:r>
          <w:r>
            <w:fldChar w:fldCharType="separate"/>
          </w:r>
          <w:r>
            <w:rPr>
              <w:rFonts w:hint="eastAsia" w:ascii="仿宋_GB2312" w:hAnsi="仿宋_GB2312" w:eastAsia="仿宋_GB2312" w:cs="仿宋_GB2312"/>
              <w:bCs w:val="0"/>
              <w:sz w:val="32"/>
              <w:szCs w:val="32"/>
              <w:lang w:val="en-US" w:eastAsia="zh-CN"/>
            </w:rPr>
            <w:t>五、</w:t>
          </w:r>
          <w:r>
            <w:rPr>
              <w:rFonts w:hint="eastAsia" w:ascii="仿宋_GB2312" w:hAnsi="仿宋_GB2312" w:eastAsia="仿宋_GB2312" w:cs="仿宋_GB2312"/>
              <w:bCs w:val="0"/>
              <w:sz w:val="32"/>
              <w:szCs w:val="32"/>
              <w:lang w:val="en-US"/>
            </w:rPr>
            <w:t>预算执行进度与绩效指标偏差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_Toc21462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88976E9">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"_Toc18363" </w:instrText>
          </w:r>
          <w:r>
            <w:fldChar w:fldCharType="separate"/>
          </w:r>
          <w:r>
            <w:rPr>
              <w:rFonts w:hint="eastAsia" w:ascii="仿宋_GB2312" w:hAnsi="仿宋_GB2312" w:eastAsia="仿宋_GB2312" w:cs="仿宋_GB2312"/>
              <w:sz w:val="32"/>
              <w:szCs w:val="32"/>
              <w:lang w:val="en-US" w:eastAsia="zh-CN"/>
            </w:rPr>
            <w:t>六</w:t>
          </w:r>
          <w:r>
            <w:rPr>
              <w:rFonts w:hint="eastAsia" w:ascii="仿宋_GB2312" w:hAnsi="仿宋_GB2312" w:cs="仿宋_GB2312"/>
              <w:bCs/>
              <w:sz w:val="32"/>
              <w:szCs w:val="32"/>
              <w:lang w:val="en-US" w:eastAsia="zh-CN"/>
            </w:rPr>
            <w:t>、</w:t>
          </w:r>
          <w:r>
            <w:rPr>
              <w:rFonts w:hint="eastAsia" w:ascii="仿宋_GB2312" w:hAnsi="仿宋_GB2312" w:eastAsia="仿宋_GB2312" w:cs="仿宋_GB2312"/>
              <w:sz w:val="32"/>
              <w:szCs w:val="32"/>
            </w:rPr>
            <w:t>主要经验及做法、存在的问题及原因分析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_Toc18363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1901F5E">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"_Toc22741" </w:instrText>
          </w:r>
          <w:r>
            <w:fldChar w:fldCharType="separate"/>
          </w:r>
          <w:r>
            <w:rPr>
              <w:rFonts w:hint="eastAsia" w:ascii="仿宋_GB2312" w:hAnsi="仿宋_GB2312" w:eastAsia="仿宋_GB2312" w:cs="仿宋_GB2312"/>
              <w:spacing w:val="-4"/>
              <w:sz w:val="32"/>
              <w:szCs w:val="32"/>
            </w:rPr>
            <w:t>（一）主要经验及做法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_Toc22741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0EB5DAD">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"_Toc7835" </w:instrText>
          </w:r>
          <w:r>
            <w:fldChar w:fldCharType="separate"/>
          </w:r>
          <w:r>
            <w:rPr>
              <w:rFonts w:hint="eastAsia" w:ascii="仿宋_GB2312" w:hAnsi="仿宋_GB2312" w:eastAsia="仿宋_GB2312" w:cs="仿宋_GB2312"/>
              <w:bCs/>
              <w:sz w:val="32"/>
              <w:szCs w:val="32"/>
            </w:rPr>
            <w:t>（二）存在的问题及原因分析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_Toc7835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AF118FE">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"_Toc25529" </w:instrText>
          </w:r>
          <w:r>
            <w:fldChar w:fldCharType="separate"/>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有关建议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_Toc25529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C55396D">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"_Toc3065" </w:instrText>
          </w:r>
          <w:r>
            <w:fldChar w:fldCharType="separate"/>
          </w: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sz w:val="32"/>
              <w:szCs w:val="32"/>
            </w:rPr>
            <w:t>其他需要说明的问题</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_Toc3065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E258ABB">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"_Toc15260" </w:instrText>
          </w:r>
          <w:r>
            <w:fldChar w:fldCharType="separate"/>
          </w:r>
          <w:r>
            <w:rPr>
              <w:rFonts w:hint="eastAsia" w:ascii="仿宋_GB2312" w:hAnsi="仿宋_GB2312" w:eastAsia="仿宋_GB2312" w:cs="仿宋_GB2312"/>
              <w:sz w:val="32"/>
              <w:szCs w:val="32"/>
              <w:lang w:val="en-US" w:eastAsia="zh-CN"/>
            </w:rPr>
            <w:t>附件1</w:t>
          </w:r>
          <w:r>
            <w:rPr>
              <w:rFonts w:hint="eastAsia" w:ascii="仿宋_GB2312" w:hAnsi="仿宋_GB2312" w:cs="仿宋_GB2312"/>
              <w:sz w:val="32"/>
              <w:szCs w:val="32"/>
              <w:lang w:val="en-US" w:eastAsia="zh-CN"/>
            </w:rPr>
            <w:t xml:space="preserve"> 评价指标体系</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_Toc15260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1FD19D5">
          <w:pPr>
            <w:pStyle w:val="9"/>
            <w:tabs>
              <w:tab w:val="right" w:leader="middleDot" w:pos="8548"/>
              <w:tab w:val="clear" w:pos="7980"/>
              <w:tab w:val="clear" w:pos="8190"/>
            </w:tabs>
          </w:pPr>
          <w:r>
            <w:fldChar w:fldCharType="begin"/>
          </w:r>
          <w:r>
            <w:instrText xml:space="preserve"> HYPERLINK \l "_Toc17917" </w:instrText>
          </w:r>
          <w:r>
            <w:fldChar w:fldCharType="separate"/>
          </w:r>
          <w:r>
            <w:rPr>
              <w:rFonts w:hint="eastAsia" w:ascii="仿宋_GB2312" w:hAnsi="仿宋_GB2312" w:eastAsia="仿宋_GB2312" w:cs="仿宋_GB2312"/>
              <w:bCs/>
              <w:i w:val="0"/>
              <w:iCs w:val="0"/>
              <w:kern w:val="0"/>
              <w:sz w:val="32"/>
              <w:szCs w:val="32"/>
              <w:lang w:val="en-US" w:eastAsia="zh-CN"/>
            </w:rPr>
            <w:t>附件2</w:t>
          </w:r>
          <w:r>
            <w:rPr>
              <w:rFonts w:hint="eastAsia" w:ascii="仿宋_GB2312" w:hAnsi="仿宋_GB2312" w:cs="仿宋_GB2312"/>
              <w:bCs/>
              <w:i w:val="0"/>
              <w:iCs w:val="0"/>
              <w:kern w:val="0"/>
              <w:sz w:val="32"/>
              <w:szCs w:val="32"/>
              <w:lang w:val="en-US" w:eastAsia="zh-CN"/>
            </w:rPr>
            <w:t xml:space="preserve"> 项目支出绩效自评表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_Toc17917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14147F4">
          <w:pPr>
            <w:rPr>
              <w:rFonts w:hint="default" w:ascii="Times New Roman" w:hAnsi="Times New Roman" w:eastAsia="宋体" w:cs="Times New Roman"/>
              <w:kern w:val="2"/>
              <w:sz w:val="21"/>
              <w:szCs w:val="24"/>
              <w:lang w:val="en-US" w:eastAsia="zh-CN" w:bidi="ar-SA"/>
            </w:rPr>
          </w:pPr>
          <w:r>
            <w:rPr>
              <w:rFonts w:hint="default"/>
            </w:rPr>
            <w:fldChar w:fldCharType="end"/>
          </w:r>
        </w:p>
      </w:sdtContent>
    </w:sdt>
    <w:p w14:paraId="7814BBF5">
      <w:pPr>
        <w:rPr>
          <w:rFonts w:hint="default" w:ascii="Times New Roman" w:hAnsi="Times New Roman" w:eastAsia="宋体" w:cs="Times New Roman"/>
          <w:kern w:val="2"/>
          <w:sz w:val="21"/>
          <w:szCs w:val="24"/>
          <w:lang w:val="en-US" w:eastAsia="zh-CN" w:bidi="ar-SA"/>
        </w:rPr>
      </w:pPr>
    </w:p>
    <w:p w14:paraId="6D081F2F">
      <w:pPr>
        <w:spacing w:line="540" w:lineRule="exact"/>
        <w:jc w:val="center"/>
        <w:rPr>
          <w:rFonts w:hint="default" w:ascii="Times New Roman" w:hAnsi="Times New Roman" w:eastAsia="仿宋_GB2312" w:cs="Times New Roman"/>
          <w:kern w:val="0"/>
          <w:sz w:val="30"/>
          <w:szCs w:val="30"/>
        </w:rPr>
      </w:pPr>
    </w:p>
    <w:p w14:paraId="6D60B81B">
      <w:pPr>
        <w:spacing w:line="540" w:lineRule="exact"/>
        <w:rPr>
          <w:rFonts w:hint="default" w:ascii="Times New Roman" w:hAnsi="Times New Roman" w:eastAsia="仿宋_GB2312" w:cs="Times New Roman"/>
          <w:kern w:val="0"/>
          <w:sz w:val="30"/>
          <w:szCs w:val="30"/>
        </w:rPr>
      </w:pPr>
    </w:p>
    <w:p w14:paraId="1A7F7895">
      <w:pPr>
        <w:spacing w:line="540" w:lineRule="exact"/>
        <w:jc w:val="center"/>
        <w:rPr>
          <w:rFonts w:hint="default" w:ascii="Times New Roman" w:hAnsi="Times New Roman" w:eastAsia="仿宋_GB2312" w:cs="Times New Roman"/>
          <w:kern w:val="0"/>
          <w:sz w:val="30"/>
          <w:szCs w:val="30"/>
        </w:rPr>
      </w:pPr>
    </w:p>
    <w:p w14:paraId="0CE51C48">
      <w:pPr>
        <w:pStyle w:val="2"/>
        <w:rPr>
          <w:rFonts w:hint="default" w:ascii="Times New Roman" w:hAnsi="Times New Roman" w:eastAsia="仿宋_GB2312" w:cs="Times New Roman"/>
          <w:kern w:val="0"/>
          <w:sz w:val="30"/>
          <w:szCs w:val="30"/>
        </w:rPr>
      </w:pPr>
    </w:p>
    <w:p w14:paraId="580F55B0">
      <w:pPr>
        <w:pStyle w:val="2"/>
        <w:rPr>
          <w:rFonts w:hint="default" w:ascii="Times New Roman" w:hAnsi="Times New Roman" w:eastAsia="仿宋_GB2312" w:cs="Times New Roman"/>
          <w:kern w:val="0"/>
          <w:sz w:val="30"/>
          <w:szCs w:val="30"/>
        </w:rPr>
      </w:pPr>
    </w:p>
    <w:p w14:paraId="4F89ED15">
      <w:pPr>
        <w:pStyle w:val="2"/>
        <w:rPr>
          <w:rFonts w:hint="default" w:ascii="Times New Roman" w:hAnsi="Times New Roman" w:eastAsia="仿宋_GB2312" w:cs="Times New Roman"/>
          <w:kern w:val="0"/>
          <w:sz w:val="30"/>
          <w:szCs w:val="30"/>
        </w:rPr>
      </w:pPr>
    </w:p>
    <w:p w14:paraId="27F7887D">
      <w:pPr>
        <w:pStyle w:val="2"/>
        <w:rPr>
          <w:rFonts w:hint="default" w:ascii="Times New Roman" w:hAnsi="Times New Roman" w:eastAsia="仿宋_GB2312" w:cs="Times New Roman"/>
          <w:kern w:val="0"/>
          <w:sz w:val="30"/>
          <w:szCs w:val="30"/>
        </w:rPr>
      </w:pPr>
    </w:p>
    <w:p w14:paraId="56B5F628">
      <w:pPr>
        <w:pStyle w:val="2"/>
        <w:rPr>
          <w:rFonts w:hint="default" w:ascii="Times New Roman" w:hAnsi="Times New Roman" w:eastAsia="仿宋_GB2312" w:cs="Times New Roman"/>
          <w:kern w:val="0"/>
          <w:sz w:val="30"/>
          <w:szCs w:val="30"/>
        </w:rPr>
      </w:pPr>
    </w:p>
    <w:p w14:paraId="38892DCC">
      <w:pPr>
        <w:pStyle w:val="2"/>
        <w:rPr>
          <w:rFonts w:hint="default" w:ascii="Times New Roman" w:hAnsi="Times New Roman" w:eastAsia="仿宋_GB2312" w:cs="Times New Roman"/>
          <w:kern w:val="0"/>
          <w:sz w:val="30"/>
          <w:szCs w:val="30"/>
        </w:rPr>
      </w:pPr>
    </w:p>
    <w:p w14:paraId="0925C2D2">
      <w:pPr>
        <w:pStyle w:val="2"/>
        <w:rPr>
          <w:rFonts w:hint="default" w:ascii="Times New Roman" w:hAnsi="Times New Roman" w:eastAsia="仿宋_GB2312" w:cs="Times New Roman"/>
          <w:kern w:val="0"/>
          <w:sz w:val="30"/>
          <w:szCs w:val="30"/>
        </w:rPr>
      </w:pPr>
    </w:p>
    <w:p w14:paraId="26D61BDA">
      <w:pPr>
        <w:pStyle w:val="2"/>
        <w:rPr>
          <w:rFonts w:hint="default" w:ascii="Times New Roman" w:hAnsi="Times New Roman" w:eastAsia="仿宋_GB2312" w:cs="Times New Roman"/>
          <w:kern w:val="0"/>
          <w:sz w:val="30"/>
          <w:szCs w:val="30"/>
        </w:rPr>
      </w:pPr>
    </w:p>
    <w:p w14:paraId="7D12BF90">
      <w:pPr>
        <w:pStyle w:val="2"/>
        <w:rPr>
          <w:rFonts w:hint="default" w:ascii="Times New Roman" w:hAnsi="Times New Roman" w:eastAsia="仿宋_GB2312" w:cs="Times New Roman"/>
          <w:kern w:val="0"/>
          <w:sz w:val="30"/>
          <w:szCs w:val="30"/>
        </w:rPr>
      </w:pPr>
    </w:p>
    <w:p w14:paraId="2B086B85">
      <w:pPr>
        <w:pStyle w:val="2"/>
        <w:rPr>
          <w:rFonts w:hint="default" w:ascii="Times New Roman" w:hAnsi="Times New Roman" w:eastAsia="仿宋_GB2312" w:cs="Times New Roman"/>
          <w:kern w:val="0"/>
          <w:sz w:val="30"/>
          <w:szCs w:val="30"/>
        </w:rPr>
      </w:pPr>
    </w:p>
    <w:p w14:paraId="34A6331E">
      <w:pPr>
        <w:pStyle w:val="2"/>
        <w:rPr>
          <w:rFonts w:hint="default" w:ascii="Times New Roman" w:hAnsi="Times New Roman" w:eastAsia="仿宋_GB2312" w:cs="Times New Roman"/>
          <w:kern w:val="0"/>
          <w:sz w:val="30"/>
          <w:szCs w:val="30"/>
        </w:rPr>
      </w:pPr>
    </w:p>
    <w:p w14:paraId="4EA3F470">
      <w:pPr>
        <w:pStyle w:val="2"/>
        <w:rPr>
          <w:rFonts w:hint="default" w:ascii="Times New Roman" w:hAnsi="Times New Roman" w:eastAsia="仿宋_GB2312" w:cs="Times New Roman"/>
          <w:kern w:val="0"/>
          <w:sz w:val="30"/>
          <w:szCs w:val="30"/>
        </w:rPr>
      </w:pPr>
    </w:p>
    <w:p w14:paraId="6763D29C">
      <w:pPr>
        <w:spacing w:line="560" w:lineRule="exact"/>
        <w:ind w:firstLine="640" w:firstLineChars="200"/>
        <w:rPr>
          <w:rFonts w:hint="default" w:ascii="Times New Roman" w:hAnsi="Times New Roman" w:eastAsia="黑体" w:cs="Times New Roman"/>
          <w:bCs/>
          <w:sz w:val="32"/>
          <w:szCs w:val="32"/>
        </w:rPr>
      </w:pPr>
      <w:bookmarkStart w:id="0" w:name="_Toc3458"/>
      <w:r>
        <w:rPr>
          <w:rFonts w:hint="default" w:ascii="Times New Roman" w:hAnsi="Times New Roman" w:eastAsia="黑体" w:cs="Times New Roman"/>
          <w:bCs/>
          <w:sz w:val="32"/>
          <w:szCs w:val="32"/>
        </w:rPr>
        <w:t>一、基本情况</w:t>
      </w:r>
      <w:bookmarkEnd w:id="0"/>
    </w:p>
    <w:p w14:paraId="28F7660E">
      <w:pPr>
        <w:spacing w:line="560" w:lineRule="exact"/>
        <w:ind w:firstLine="643" w:firstLineChars="200"/>
        <w:outlineLvl w:val="1"/>
        <w:rPr>
          <w:rFonts w:hint="default" w:ascii="Times New Roman" w:hAnsi="Times New Roman" w:eastAsia="楷体_GB2312" w:cs="Times New Roman"/>
          <w:b/>
          <w:bCs/>
          <w:sz w:val="32"/>
          <w:szCs w:val="32"/>
        </w:rPr>
      </w:pPr>
      <w:bookmarkStart w:id="1" w:name="_Toc16251"/>
      <w:r>
        <w:rPr>
          <w:rFonts w:hint="default" w:ascii="Times New Roman" w:hAnsi="Times New Roman" w:eastAsia="楷体_GB2312" w:cs="Times New Roman"/>
          <w:b/>
          <w:bCs/>
          <w:sz w:val="32"/>
          <w:szCs w:val="32"/>
        </w:rPr>
        <w:t>（一）项目概况</w:t>
      </w:r>
      <w:bookmarkEnd w:id="1"/>
    </w:p>
    <w:p w14:paraId="7EF966F9">
      <w:pPr>
        <w:spacing w:line="560" w:lineRule="exact"/>
        <w:ind w:firstLine="643" w:firstLineChars="200"/>
        <w:outlineLvl w:val="2"/>
        <w:rPr>
          <w:rFonts w:hint="default" w:ascii="Times New Roman" w:hAnsi="Times New Roman" w:eastAsia="仿宋_GB2312" w:cs="Times New Roman"/>
          <w:b/>
          <w:bCs/>
          <w:sz w:val="32"/>
          <w:szCs w:val="32"/>
        </w:rPr>
      </w:pPr>
      <w:bookmarkStart w:id="2" w:name="_Toc14982"/>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bookmarkEnd w:id="2"/>
    </w:p>
    <w:p w14:paraId="55BBDDB7">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_GB2312" w:hAnsi="楷体" w:eastAsia="仿宋_GB2312"/>
          <w:b w:val="0"/>
          <w:color w:val="000000"/>
          <w:spacing w:val="-4"/>
          <w:sz w:val="32"/>
          <w:szCs w:val="32"/>
          <w:shd w:val="clear" w:color="auto" w:fill="FFFFFF"/>
        </w:rPr>
      </w:pPr>
      <w:bookmarkStart w:id="3" w:name="_Toc30961"/>
      <w:r>
        <w:rPr>
          <w:rStyle w:val="19"/>
          <w:rFonts w:hint="eastAsia" w:ascii="仿宋_GB2312" w:hAnsi="楷体" w:eastAsia="仿宋_GB2312"/>
          <w:b w:val="0"/>
          <w:color w:val="000000"/>
          <w:spacing w:val="-4"/>
          <w:sz w:val="32"/>
          <w:szCs w:val="32"/>
          <w:shd w:val="clear" w:color="auto" w:fill="FFFFFF"/>
        </w:rPr>
        <w:t>克孜勒苏水文勘测</w:t>
      </w:r>
      <w:r>
        <w:rPr>
          <w:rStyle w:val="19"/>
          <w:rFonts w:hint="eastAsia" w:ascii="仿宋_GB2312" w:hAnsi="楷体" w:eastAsia="仿宋_GB2312"/>
          <w:b w:val="0"/>
          <w:color w:val="000000"/>
          <w:spacing w:val="-4"/>
          <w:sz w:val="32"/>
          <w:szCs w:val="32"/>
          <w:shd w:val="clear" w:color="auto" w:fill="FFFFFF"/>
          <w:lang w:eastAsia="zh-CN"/>
        </w:rPr>
        <w:t>中心</w:t>
      </w:r>
      <w:r>
        <w:rPr>
          <w:rStyle w:val="19"/>
          <w:rFonts w:hint="eastAsia" w:ascii="仿宋_GB2312" w:hAnsi="楷体" w:eastAsia="仿宋_GB2312"/>
          <w:b w:val="0"/>
          <w:color w:val="000000"/>
          <w:spacing w:val="-4"/>
          <w:sz w:val="32"/>
          <w:szCs w:val="32"/>
          <w:shd w:val="clear" w:color="auto" w:fill="FFFFFF"/>
        </w:rPr>
        <w:t>现有国家基本水文站</w:t>
      </w:r>
      <w:r>
        <w:rPr>
          <w:rStyle w:val="19"/>
          <w:rFonts w:ascii="仿宋_GB2312" w:hAnsi="楷体" w:eastAsia="仿宋_GB2312"/>
          <w:b w:val="0"/>
          <w:color w:val="000000"/>
          <w:spacing w:val="-4"/>
          <w:sz w:val="32"/>
          <w:szCs w:val="32"/>
          <w:shd w:val="clear" w:color="auto" w:fill="FFFFFF"/>
        </w:rPr>
        <w:t>2</w:t>
      </w:r>
      <w:r>
        <w:rPr>
          <w:rStyle w:val="19"/>
          <w:rFonts w:hint="eastAsia" w:ascii="仿宋_GB2312" w:hAnsi="楷体" w:eastAsia="仿宋_GB2312"/>
          <w:b w:val="0"/>
          <w:color w:val="000000"/>
          <w:spacing w:val="-4"/>
          <w:sz w:val="32"/>
          <w:szCs w:val="32"/>
          <w:shd w:val="clear" w:color="auto" w:fill="FFFFFF"/>
        </w:rPr>
        <w:t>处、</w:t>
      </w:r>
      <w:r>
        <w:rPr>
          <w:rStyle w:val="19"/>
          <w:rFonts w:ascii="仿宋_GB2312" w:hAnsi="楷体" w:eastAsia="仿宋_GB2312"/>
          <w:b w:val="0"/>
          <w:color w:val="000000"/>
          <w:spacing w:val="-4"/>
          <w:sz w:val="32"/>
          <w:szCs w:val="32"/>
          <w:shd w:val="clear" w:color="auto" w:fill="FFFFFF"/>
        </w:rPr>
        <w:t>6</w:t>
      </w:r>
      <w:r>
        <w:rPr>
          <w:rStyle w:val="19"/>
          <w:rFonts w:hint="eastAsia" w:ascii="仿宋_GB2312" w:hAnsi="楷体" w:eastAsia="仿宋_GB2312"/>
          <w:b w:val="0"/>
          <w:color w:val="000000"/>
          <w:spacing w:val="-4"/>
          <w:sz w:val="32"/>
          <w:szCs w:val="32"/>
          <w:shd w:val="clear" w:color="auto" w:fill="FFFFFF"/>
        </w:rPr>
        <w:t>个测验断面，水环境监测点</w:t>
      </w:r>
      <w:r>
        <w:rPr>
          <w:rStyle w:val="19"/>
          <w:rFonts w:ascii="仿宋_GB2312" w:hAnsi="楷体" w:eastAsia="仿宋_GB2312"/>
          <w:b w:val="0"/>
          <w:color w:val="000000"/>
          <w:spacing w:val="-4"/>
          <w:sz w:val="32"/>
          <w:szCs w:val="32"/>
          <w:shd w:val="clear" w:color="auto" w:fill="FFFFFF"/>
        </w:rPr>
        <w:t>4</w:t>
      </w:r>
      <w:r>
        <w:rPr>
          <w:rStyle w:val="19"/>
          <w:rFonts w:hint="eastAsia" w:ascii="仿宋_GB2312" w:hAnsi="楷体" w:eastAsia="仿宋_GB2312"/>
          <w:b w:val="0"/>
          <w:color w:val="000000"/>
          <w:spacing w:val="-4"/>
          <w:sz w:val="32"/>
          <w:szCs w:val="32"/>
          <w:shd w:val="clear" w:color="auto" w:fill="FFFFFF"/>
        </w:rPr>
        <w:t>处，各水文站基本上属于独立核算小单元，具有线长，工作量大、测验项目多、测验情况复杂等特点，距阿图什市</w:t>
      </w:r>
      <w:r>
        <w:rPr>
          <w:rStyle w:val="19"/>
          <w:rFonts w:ascii="仿宋_GB2312" w:hAnsi="楷体" w:eastAsia="仿宋_GB2312"/>
          <w:b w:val="0"/>
          <w:color w:val="000000"/>
          <w:spacing w:val="-4"/>
          <w:sz w:val="32"/>
          <w:szCs w:val="32"/>
          <w:shd w:val="clear" w:color="auto" w:fill="FFFFFF"/>
        </w:rPr>
        <w:t>50</w:t>
      </w:r>
      <w:r>
        <w:rPr>
          <w:rStyle w:val="19"/>
          <w:rFonts w:hint="eastAsia" w:ascii="仿宋_GB2312" w:hAnsi="楷体" w:eastAsia="仿宋_GB2312"/>
          <w:b w:val="0"/>
          <w:color w:val="000000"/>
          <w:spacing w:val="-4"/>
          <w:sz w:val="32"/>
          <w:szCs w:val="32"/>
          <w:shd w:val="clear" w:color="auto" w:fill="FFFFFF"/>
        </w:rPr>
        <w:t>公里至</w:t>
      </w:r>
      <w:r>
        <w:rPr>
          <w:rStyle w:val="19"/>
          <w:rFonts w:ascii="仿宋_GB2312" w:hAnsi="楷体" w:eastAsia="仿宋_GB2312"/>
          <w:b w:val="0"/>
          <w:color w:val="000000"/>
          <w:spacing w:val="-4"/>
          <w:sz w:val="32"/>
          <w:szCs w:val="32"/>
          <w:shd w:val="clear" w:color="auto" w:fill="FFFFFF"/>
        </w:rPr>
        <w:t>320</w:t>
      </w:r>
      <w:r>
        <w:rPr>
          <w:rStyle w:val="19"/>
          <w:rFonts w:hint="eastAsia" w:ascii="仿宋_GB2312" w:hAnsi="楷体" w:eastAsia="仿宋_GB2312"/>
          <w:b w:val="0"/>
          <w:color w:val="000000"/>
          <w:spacing w:val="-4"/>
          <w:sz w:val="32"/>
          <w:szCs w:val="32"/>
          <w:shd w:val="clear" w:color="auto" w:fill="FFFFFF"/>
        </w:rPr>
        <w:t>公里不等。多年来水文职工克服条件艰苦，环境恶劣，交通不便等困难，在人烟稀少的深山河谷中为国家收集宝贵的水文资料，为克州农牧业生产、水资源开发利用以及下游的城镇防洪工作、水利工程建设等做了大量的工作，为克州的经济社会发展做出了巨大的贡献。根据自治区编委及水利厅有关部门机构编制批准，各水文测站级别为正处级或副处级独立单位，各水文站人员虽少，但各项工作内容齐全，工作任务较大。随着克州水资源的开发利用、防洪报汛工作力度的加大和水资源再分配、水文业务工作量将逐步增加。</w:t>
      </w:r>
    </w:p>
    <w:p w14:paraId="4035493A">
      <w:pPr>
        <w:pStyle w:val="13"/>
        <w:numPr>
          <w:ilvl w:val="0"/>
          <w:numId w:val="0"/>
        </w:numPr>
        <w:spacing w:before="0" w:after="0" w:line="560" w:lineRule="exact"/>
        <w:ind w:left="0" w:leftChars="0" w:firstLine="643" w:firstLineChars="200"/>
        <w:jc w:val="both"/>
        <w:outlineLvl w:val="2"/>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bookmarkEnd w:id="3"/>
    </w:p>
    <w:p w14:paraId="3449BAC2">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_GB2312" w:hAnsi="楷体" w:eastAsia="仿宋_GB2312"/>
          <w:b w:val="0"/>
          <w:color w:val="000000"/>
          <w:spacing w:val="-4"/>
          <w:sz w:val="32"/>
          <w:szCs w:val="32"/>
          <w:shd w:val="clear" w:color="auto" w:fill="FFFFFF"/>
          <w:lang w:val="en-US" w:eastAsia="zh-CN"/>
        </w:rPr>
      </w:pPr>
      <w:r>
        <w:rPr>
          <w:rStyle w:val="19"/>
          <w:rFonts w:hint="default" w:ascii="仿宋_GB2312" w:hAnsi="楷体" w:eastAsia="仿宋_GB2312"/>
          <w:b w:val="0"/>
          <w:color w:val="000000"/>
          <w:spacing w:val="-4"/>
          <w:sz w:val="32"/>
          <w:szCs w:val="32"/>
          <w:shd w:val="clear" w:color="auto" w:fill="FFFFFF"/>
          <w:lang w:val="en-US" w:eastAsia="zh-CN"/>
        </w:rPr>
        <w:t>项目主要内容：</w:t>
      </w:r>
      <w:r>
        <w:rPr>
          <w:rStyle w:val="19"/>
          <w:rFonts w:hint="eastAsia" w:ascii="仿宋_GB2312" w:hAnsi="楷体" w:eastAsia="仿宋_GB2312"/>
          <w:b w:val="0"/>
          <w:color w:val="000000"/>
          <w:spacing w:val="-4"/>
          <w:sz w:val="32"/>
          <w:szCs w:val="32"/>
          <w:shd w:val="clear" w:color="auto" w:fill="FFFFFF"/>
        </w:rPr>
        <w:t>克孜勒苏水文勘测</w:t>
      </w:r>
      <w:r>
        <w:rPr>
          <w:rStyle w:val="19"/>
          <w:rFonts w:hint="eastAsia" w:ascii="仿宋_GB2312" w:hAnsi="楷体" w:eastAsia="仿宋_GB2312"/>
          <w:b w:val="0"/>
          <w:color w:val="000000"/>
          <w:spacing w:val="-4"/>
          <w:sz w:val="32"/>
          <w:szCs w:val="32"/>
          <w:shd w:val="clear" w:color="auto" w:fill="FFFFFF"/>
          <w:lang w:eastAsia="zh-CN"/>
        </w:rPr>
        <w:t>中心</w:t>
      </w:r>
      <w:r>
        <w:rPr>
          <w:rStyle w:val="19"/>
          <w:rFonts w:hint="eastAsia" w:ascii="仿宋_GB2312" w:hAnsi="楷体" w:eastAsia="仿宋_GB2312"/>
          <w:b w:val="0"/>
          <w:color w:val="000000"/>
          <w:spacing w:val="-4"/>
          <w:sz w:val="32"/>
          <w:szCs w:val="32"/>
          <w:shd w:val="clear" w:color="auto" w:fill="FFFFFF"/>
        </w:rPr>
        <w:t>现有国家基本水文站2处、6个测验断面，水环境监测点4处，各水文站基本上属于独立核算小单元，具有线长，工作量大、测验项目多、测验情况复杂等特点，距阿图什市50公里至320公里不等。多年来水文职工克服条件艰苦，环境恶劣，交通不便等困难，在人烟稀少的深山河谷中为国家收集宝贵的水文资料，为克州农牧业生产、水资源开发利用以及下游的城镇防洪工作、水利工程建设等做了大量的工作，为克州的经济社会发展做出了巨大的贡</w:t>
      </w:r>
      <w:r>
        <w:rPr>
          <w:rStyle w:val="19"/>
          <w:rFonts w:hint="eastAsia" w:ascii="仿宋_GB2312" w:hAnsi="楷体" w:eastAsia="仿宋_GB2312"/>
          <w:b w:val="0"/>
          <w:color w:val="000000"/>
          <w:spacing w:val="-4"/>
          <w:sz w:val="32"/>
          <w:szCs w:val="32"/>
          <w:shd w:val="clear" w:color="auto" w:fill="FFFFFF"/>
          <w:lang w:val="en-US" w:eastAsia="zh-CN"/>
        </w:rPr>
        <w:t>献。根据自治区编委及水利厅有关部门机构编制批准，各水文测站级别为正科级或副科级独立单位，各水文站人员虽少，但各项工作内容齐全，工作任务较大。随着克州水资源的开发利用、防洪报汛工作力度的加大和水资源再分配、水文业务工作量将逐步增加。各水文测站主要业务工作内容有：水质监测、水文勘测（包括泥沙、输沙、水位、水温、流量、资料整编、洪水调查、报汛等）、气象观测（包括降水、蒸发、气温等），详见《新疆维吾尔自治区水文测站任务书》。因此，水文测站作为一个科级独立单元，承担着工作的重任，各类项目齐全，所以各项开支一应俱全。水文测站主要费用支出范围包括：水电费、报汛费、燃料费、业务费、取暖费、缆道基础设备维护修缮费、水文常用仪器更新费、仪器鉴定、维修等是不可缺少的经费保障，只有足额的拨款，才能保证各水文测站基本工作的正常运行和开展。</w:t>
      </w:r>
    </w:p>
    <w:p w14:paraId="6F465F1E">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仿宋_GB2312" w:hAnsi="楷体" w:eastAsia="仿宋_GB2312"/>
          <w:b w:val="0"/>
          <w:color w:val="000000"/>
          <w:spacing w:val="-4"/>
          <w:sz w:val="32"/>
          <w:szCs w:val="32"/>
          <w:shd w:val="clear" w:color="auto" w:fill="FFFFFF"/>
          <w:lang w:val="en-US" w:eastAsia="zh-CN"/>
        </w:rPr>
      </w:pPr>
      <w:r>
        <w:rPr>
          <w:rStyle w:val="19"/>
          <w:rFonts w:hint="default" w:ascii="仿宋_GB2312" w:hAnsi="楷体" w:eastAsia="仿宋_GB2312"/>
          <w:b w:val="0"/>
          <w:color w:val="000000"/>
          <w:spacing w:val="-4"/>
          <w:sz w:val="32"/>
          <w:szCs w:val="32"/>
          <w:shd w:val="clear" w:color="auto" w:fill="FFFFFF"/>
          <w:lang w:val="en-US" w:eastAsia="zh-CN"/>
        </w:rPr>
        <w:t>项目实施情况：</w:t>
      </w:r>
      <w:r>
        <w:rPr>
          <w:rStyle w:val="19"/>
          <w:rFonts w:hint="eastAsia" w:ascii="仿宋_GB2312" w:hAnsi="楷体" w:eastAsia="仿宋_GB2312"/>
          <w:b w:val="0"/>
          <w:color w:val="000000"/>
          <w:spacing w:val="-4"/>
          <w:sz w:val="32"/>
          <w:szCs w:val="32"/>
          <w:shd w:val="clear" w:color="auto" w:fill="FFFFFF"/>
          <w:lang w:val="en-US" w:eastAsia="zh-CN"/>
        </w:rPr>
        <w:t>2025年，我中心足额使用水文测报管理专项资金，总使用额度为38.5万元，截至12月底实际使用率100%。通过该项目的顺利实施，保障了我中心水文测报及相关业务的顺利开展。</w:t>
      </w:r>
    </w:p>
    <w:p w14:paraId="3B2BF412">
      <w:pPr>
        <w:spacing w:line="560" w:lineRule="exact"/>
        <w:ind w:firstLine="643" w:firstLineChars="200"/>
        <w:outlineLvl w:val="2"/>
        <w:rPr>
          <w:rFonts w:hint="default" w:ascii="Times New Roman" w:hAnsi="Times New Roman" w:eastAsia="仿宋_GB2312" w:cs="Times New Roman"/>
          <w:b/>
          <w:bCs/>
          <w:sz w:val="32"/>
          <w:szCs w:val="32"/>
        </w:rPr>
      </w:pPr>
      <w:bookmarkStart w:id="4" w:name="_Toc18357"/>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bookmarkEnd w:id="4"/>
    </w:p>
    <w:p w14:paraId="4CE5B73D">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 w:name="_Toc13131"/>
      <w:r>
        <w:rPr>
          <w:rFonts w:hint="default" w:ascii="Times New Roman" w:hAnsi="Times New Roman" w:eastAsia="仿宋_GB2312" w:cs="Times New Roman"/>
          <w:sz w:val="32"/>
          <w:szCs w:val="32"/>
          <w:highlight w:val="none"/>
          <w:lang w:val="en-US" w:eastAsia="zh-CN"/>
        </w:rPr>
        <w:t>（1）资金投入情况</w:t>
      </w:r>
      <w:bookmarkEnd w:id="5"/>
    </w:p>
    <w:p w14:paraId="32FBE613">
      <w:pPr>
        <w:shd w:val="clear" w:color="auto" w:fill="auto"/>
        <w:spacing w:line="600" w:lineRule="exact"/>
        <w:ind w:firstLine="640" w:firstLineChars="200"/>
        <w:outlineLvl w:val="9"/>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38.5</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38.5</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14:paraId="1F92493E">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6" w:name="_Toc18197"/>
      <w:r>
        <w:rPr>
          <w:rFonts w:hint="default" w:ascii="Times New Roman" w:hAnsi="Times New Roman" w:eastAsia="仿宋_GB2312" w:cs="Times New Roman"/>
          <w:sz w:val="32"/>
          <w:szCs w:val="32"/>
          <w:highlight w:val="none"/>
          <w:lang w:val="en-US" w:eastAsia="zh-CN"/>
        </w:rPr>
        <w:t>（2）资金使用情况</w:t>
      </w:r>
      <w:bookmarkEnd w:id="6"/>
    </w:p>
    <w:p w14:paraId="5380A32D">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截至2025年12月31日</w:t>
      </w:r>
      <w:r>
        <w:rPr>
          <w:rFonts w:hint="default" w:ascii="Times New Roman" w:hAnsi="Times New Roman" w:eastAsia="仿宋_GB2312" w:cs="Times New Roman"/>
          <w:sz w:val="32"/>
          <w:szCs w:val="32"/>
          <w:highlight w:val="none"/>
          <w:lang w:val="en-US" w:eastAsia="zh-CN"/>
        </w:rPr>
        <w:t>，该项目全年执行数</w:t>
      </w:r>
      <w:r>
        <w:rPr>
          <w:rFonts w:hint="eastAsia" w:eastAsia="仿宋_GB2312" w:cs="Times New Roman"/>
          <w:sz w:val="32"/>
          <w:szCs w:val="32"/>
          <w:highlight w:val="none"/>
          <w:lang w:val="en-US" w:eastAsia="zh-CN"/>
        </w:rPr>
        <w:t>38.5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维修费、专用材料费、差旅费、公务用车运行维护费、水电费、办公费</w:t>
      </w:r>
      <w:r>
        <w:rPr>
          <w:rFonts w:hint="default" w:ascii="Times New Roman" w:hAnsi="Times New Roman" w:eastAsia="仿宋_GB2312" w:cs="Times New Roman"/>
          <w:sz w:val="32"/>
          <w:szCs w:val="32"/>
          <w:highlight w:val="none"/>
          <w:lang w:val="en-US" w:eastAsia="zh-CN"/>
        </w:rPr>
        <w:t>。</w:t>
      </w:r>
    </w:p>
    <w:p w14:paraId="62C94988">
      <w:pPr>
        <w:spacing w:line="560" w:lineRule="exact"/>
        <w:ind w:firstLine="643" w:firstLineChars="200"/>
        <w:outlineLvl w:val="1"/>
        <w:rPr>
          <w:rFonts w:hint="default" w:ascii="Times New Roman" w:hAnsi="Times New Roman" w:eastAsia="楷体_GB2312" w:cs="Times New Roman"/>
          <w:b/>
          <w:bCs/>
          <w:sz w:val="32"/>
          <w:szCs w:val="32"/>
        </w:rPr>
      </w:pPr>
      <w:bookmarkStart w:id="7" w:name="_Toc11655"/>
      <w:r>
        <w:rPr>
          <w:rFonts w:hint="default" w:ascii="Times New Roman" w:hAnsi="Times New Roman" w:eastAsia="楷体_GB2312" w:cs="Times New Roman"/>
          <w:b/>
          <w:bCs/>
          <w:sz w:val="32"/>
          <w:szCs w:val="32"/>
        </w:rPr>
        <w:t>（二）项目绩效目标</w:t>
      </w:r>
      <w:bookmarkEnd w:id="7"/>
    </w:p>
    <w:p w14:paraId="54FE1263">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37C1CD73">
      <w:pPr>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保障本单位国家基本水文站水文测验工作的正常开展，收集辖区内所属河流的水位、流量等水文资料，为防汛抗旱提供预警预报，为水利工程建设、水资源开发利用提供水文数据支撑，为当地经济社会发展提供水文信息服务</w:t>
      </w:r>
      <w:r>
        <w:rPr>
          <w:rFonts w:hint="eastAsia" w:eastAsia="仿宋_GB2312" w:cs="Times New Roman"/>
          <w:sz w:val="32"/>
          <w:szCs w:val="32"/>
          <w:lang w:eastAsia="zh-CN"/>
        </w:rPr>
        <w:t>。</w:t>
      </w:r>
    </w:p>
    <w:p w14:paraId="487054D4">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276D76CC">
      <w:pPr>
        <w:spacing w:line="560" w:lineRule="exact"/>
        <w:ind w:firstLine="640" w:firstLineChars="200"/>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阶段性目标围绕项目总体目标，按项目实施周期合理拆解，前期聚焦项目筹备与基础保障工作，完成方案细化、资源配置、前期调研等核心任务，确保项目具备实施条件；中期集中推进核心业务开展等关键工作，稳步达成阶段性产出数量与质量要求；后期重点完成成果整合、资料归档、验收收尾等工作，同步开展效果自评与反馈收集，各阶段均严格把控进度节点、质量标准与预算执行，确保有序衔接、逐步落地总体目标。</w:t>
      </w:r>
    </w:p>
    <w:p w14:paraId="26557B06">
      <w:pPr>
        <w:spacing w:line="560" w:lineRule="exact"/>
        <w:ind w:firstLine="640" w:firstLineChars="200"/>
        <w:outlineLvl w:val="0"/>
        <w:rPr>
          <w:rFonts w:hint="default" w:ascii="Times New Roman" w:hAnsi="Times New Roman" w:eastAsia="黑体" w:cs="Times New Roman"/>
          <w:sz w:val="32"/>
          <w:szCs w:val="32"/>
        </w:rPr>
      </w:pPr>
      <w:bookmarkStart w:id="8" w:name="_Toc25712"/>
      <w:r>
        <w:rPr>
          <w:rFonts w:hint="default" w:ascii="Times New Roman" w:hAnsi="Times New Roman" w:eastAsia="黑体" w:cs="Times New Roman"/>
          <w:sz w:val="32"/>
          <w:szCs w:val="32"/>
        </w:rPr>
        <w:t>二、绩效评价工作开展情况</w:t>
      </w:r>
      <w:bookmarkEnd w:id="8"/>
    </w:p>
    <w:p w14:paraId="1011E027">
      <w:pPr>
        <w:spacing w:line="560" w:lineRule="exact"/>
        <w:ind w:firstLine="643" w:firstLineChars="200"/>
        <w:outlineLvl w:val="1"/>
        <w:rPr>
          <w:rFonts w:hint="default" w:ascii="Times New Roman" w:hAnsi="Times New Roman" w:eastAsia="楷体_GB2312" w:cs="Times New Roman"/>
          <w:b/>
          <w:bCs/>
          <w:sz w:val="32"/>
          <w:szCs w:val="32"/>
        </w:rPr>
      </w:pPr>
      <w:bookmarkStart w:id="9" w:name="_Toc20967"/>
      <w:r>
        <w:rPr>
          <w:rFonts w:hint="default" w:ascii="Times New Roman" w:hAnsi="Times New Roman" w:eastAsia="楷体_GB2312" w:cs="Times New Roman"/>
          <w:b/>
          <w:bCs/>
          <w:sz w:val="32"/>
          <w:szCs w:val="32"/>
        </w:rPr>
        <w:t>（一）绩效评价目的、对象和范围</w:t>
      </w:r>
      <w:bookmarkEnd w:id="9"/>
    </w:p>
    <w:p w14:paraId="424C6887">
      <w:pPr>
        <w:spacing w:line="560" w:lineRule="exact"/>
        <w:ind w:firstLine="640" w:firstLineChars="200"/>
        <w:outlineLvl w:val="2"/>
        <w:rPr>
          <w:rFonts w:hint="default" w:ascii="Times New Roman" w:hAnsi="Times New Roman" w:eastAsia="仿宋_GB2312" w:cs="Times New Roman"/>
          <w:sz w:val="32"/>
          <w:szCs w:val="32"/>
        </w:rPr>
      </w:pPr>
      <w:bookmarkStart w:id="10" w:name="_Toc18967"/>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绩效评价的目的</w:t>
      </w:r>
      <w:bookmarkEnd w:id="10"/>
    </w:p>
    <w:p w14:paraId="419E27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1" w:name="_Toc17665"/>
      <w:r>
        <w:rPr>
          <w:rFonts w:hint="default" w:ascii="Times New Roman" w:hAnsi="Times New Roman" w:eastAsia="仿宋_GB2312" w:cs="Times New Roman"/>
          <w:sz w:val="32"/>
          <w:szCs w:val="32"/>
          <w:highlight w:val="none"/>
        </w:rPr>
        <w:t>（1）评估项目实施效果</w:t>
      </w:r>
      <w:bookmarkEnd w:id="11"/>
    </w:p>
    <w:p w14:paraId="70C768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3E15C9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2" w:name="_Toc1456"/>
      <w:r>
        <w:rPr>
          <w:rFonts w:hint="default" w:ascii="Times New Roman" w:hAnsi="Times New Roman" w:eastAsia="仿宋_GB2312" w:cs="Times New Roman"/>
          <w:sz w:val="32"/>
          <w:szCs w:val="32"/>
          <w:highlight w:val="none"/>
        </w:rPr>
        <w:t>（2）提升资源利用效率</w:t>
      </w:r>
      <w:bookmarkEnd w:id="12"/>
    </w:p>
    <w:p w14:paraId="441FFF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3C9657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3" w:name="_Toc7051"/>
      <w:r>
        <w:rPr>
          <w:rFonts w:hint="default" w:ascii="Times New Roman" w:hAnsi="Times New Roman" w:eastAsia="仿宋_GB2312" w:cs="Times New Roman"/>
          <w:sz w:val="32"/>
          <w:szCs w:val="32"/>
          <w:highlight w:val="none"/>
        </w:rPr>
        <w:t>（3）强化项目管理责任</w:t>
      </w:r>
      <w:bookmarkEnd w:id="13"/>
    </w:p>
    <w:p w14:paraId="27245F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9FE53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4" w:name="_Toc19891"/>
      <w:r>
        <w:rPr>
          <w:rFonts w:hint="default" w:ascii="Times New Roman" w:hAnsi="Times New Roman" w:eastAsia="仿宋_GB2312" w:cs="Times New Roman"/>
          <w:sz w:val="32"/>
          <w:szCs w:val="32"/>
          <w:highlight w:val="none"/>
        </w:rPr>
        <w:t>（4）为决策提供支持</w:t>
      </w:r>
      <w:bookmarkEnd w:id="14"/>
    </w:p>
    <w:p w14:paraId="768733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157972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5" w:name="_Toc10690"/>
      <w:r>
        <w:rPr>
          <w:rFonts w:hint="default" w:ascii="Times New Roman" w:hAnsi="Times New Roman" w:eastAsia="仿宋_GB2312" w:cs="Times New Roman"/>
          <w:sz w:val="32"/>
          <w:szCs w:val="32"/>
          <w:highlight w:val="none"/>
        </w:rPr>
        <w:t>（5）促进项目持续改进</w:t>
      </w:r>
      <w:bookmarkEnd w:id="15"/>
    </w:p>
    <w:p w14:paraId="6FEB87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6F7F96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44787AEE">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16" w:name="_Toc5355"/>
      <w:r>
        <w:rPr>
          <w:rFonts w:hint="eastAsia" w:ascii="Times New Roman" w:hAnsi="Times New Roman" w:eastAsia="仿宋_GB2312" w:cs="Times New Roman"/>
          <w:b w:val="0"/>
          <w:bCs w:val="0"/>
          <w:lang w:val="en-US" w:eastAsia="zh-CN"/>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bookmarkEnd w:id="16"/>
    </w:p>
    <w:p w14:paraId="06056F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本项目预算绩效评价报告的评价对象是</w:t>
      </w:r>
      <w:r>
        <w:rPr>
          <w:rFonts w:hint="eastAsia" w:ascii="Times New Roman" w:hAnsi="Times New Roman" w:eastAsia="仿宋_GB2312" w:cs="Times New Roman"/>
          <w:sz w:val="32"/>
          <w:szCs w:val="32"/>
          <w:highlight w:val="none"/>
          <w:lang w:val="en-US" w:eastAsia="zh-CN"/>
        </w:rPr>
        <w:t>水文测报管理专项</w:t>
      </w:r>
      <w:r>
        <w:rPr>
          <w:rFonts w:hint="default" w:ascii="Times New Roman" w:hAnsi="Times New Roman" w:eastAsia="仿宋_GB2312" w:cs="Times New Roman"/>
          <w:sz w:val="32"/>
          <w:szCs w:val="32"/>
          <w:highlight w:val="none"/>
        </w:rPr>
        <w:t>及其预算执行情况。该项目由</w:t>
      </w:r>
      <w:r>
        <w:rPr>
          <w:rFonts w:hint="eastAsia" w:ascii="Times New Roman" w:hAnsi="Times New Roman" w:eastAsia="仿宋_GB2312" w:cs="Times New Roman"/>
          <w:sz w:val="32"/>
          <w:szCs w:val="32"/>
          <w:highlight w:val="none"/>
          <w:lang w:val="en-US" w:eastAsia="zh-CN"/>
        </w:rPr>
        <w:t>克孜勒苏水文勘测中心</w:t>
      </w:r>
      <w:r>
        <w:rPr>
          <w:rFonts w:hint="default" w:ascii="Times New Roman" w:hAnsi="Times New Roman" w:eastAsia="仿宋_GB2312" w:cs="Times New Roman"/>
          <w:sz w:val="32"/>
          <w:szCs w:val="32"/>
          <w:highlight w:val="none"/>
        </w:rPr>
        <w:t>负责实施，旨在</w:t>
      </w:r>
      <w:r>
        <w:rPr>
          <w:rFonts w:hint="eastAsia" w:ascii="Times New Roman" w:hAnsi="Times New Roman" w:eastAsia="仿宋_GB2312" w:cs="Times New Roman"/>
          <w:sz w:val="32"/>
          <w:szCs w:val="32"/>
          <w:highlight w:val="none"/>
        </w:rPr>
        <w:t>通过收集水情信息5900条，水化水质简报报送期数4次，水文测站生产设施维护2次，水文仪器购置3台等工作</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rPr>
        <w:t>达到了1.为水资源的开发利用、管理保护和预防山洪灾害等方面提供更加有效、实用的水文水资源信息服务产品，确保广大人民群众饮水安全和经济社会发展的用水安全；2.组织水文资料整编汇编，组织整理汇编水文监测数据，刊印发布，为流域防汛抗旱，水资源的统一开放、利用、管理和水资源环境保护提供水文信息和水文服务，为经济社会可持续发展提供科学依据的效益。</w:t>
      </w:r>
      <w:r>
        <w:rPr>
          <w:rFonts w:hint="default" w:ascii="Times New Roman" w:hAnsi="Times New Roman" w:eastAsia="仿宋_GB2312" w:cs="Times New Roman"/>
          <w:sz w:val="32"/>
          <w:szCs w:val="32"/>
          <w:highlight w:val="none"/>
        </w:rPr>
        <w:t>项目预算涵盖从</w:t>
      </w:r>
      <w:r>
        <w:rPr>
          <w:rFonts w:hint="eastAsia" w:ascii="Times New Roman" w:hAnsi="Times New Roman" w:eastAsia="仿宋_GB2312" w:cs="Times New Roman"/>
          <w:sz w:val="32"/>
          <w:szCs w:val="32"/>
          <w:highlight w:val="none"/>
          <w:lang w:val="en-US" w:eastAsia="zh-CN"/>
        </w:rPr>
        <w:t>2025年1月</w:t>
      </w:r>
      <w:r>
        <w:rPr>
          <w:rFonts w:hint="default" w:ascii="Times New Roman" w:hAnsi="Times New Roman" w:eastAsia="仿宋_GB2312" w:cs="Times New Roman"/>
          <w:sz w:val="32"/>
          <w:szCs w:val="32"/>
          <w:highlight w:val="none"/>
          <w:lang w:val="en-US" w:eastAsia="zh-CN"/>
        </w:rPr>
        <w:t>至</w:t>
      </w:r>
      <w:r>
        <w:rPr>
          <w:rFonts w:hint="eastAsia" w:ascii="Times New Roman" w:hAnsi="Times New Roman" w:eastAsia="仿宋_GB2312" w:cs="Times New Roman"/>
          <w:sz w:val="32"/>
          <w:szCs w:val="32"/>
          <w:highlight w:val="none"/>
          <w:lang w:val="en-US" w:eastAsia="zh-CN"/>
        </w:rPr>
        <w:t>2025年12月</w:t>
      </w:r>
      <w:r>
        <w:rPr>
          <w:rFonts w:hint="default" w:ascii="Times New Roman" w:hAnsi="Times New Roman" w:eastAsia="仿宋_GB2312" w:cs="Times New Roman"/>
          <w:sz w:val="32"/>
          <w:szCs w:val="32"/>
          <w:highlight w:val="none"/>
        </w:rPr>
        <w:t>的全部资金投入与支出，涉及资金总额为</w:t>
      </w:r>
      <w:r>
        <w:rPr>
          <w:rFonts w:hint="eastAsia" w:ascii="Times New Roman" w:hAnsi="Times New Roman" w:eastAsia="仿宋_GB2312" w:cs="Times New Roman"/>
          <w:sz w:val="32"/>
          <w:szCs w:val="32"/>
          <w:highlight w:val="none"/>
          <w:lang w:val="en-US" w:eastAsia="zh-CN"/>
        </w:rPr>
        <w:t>38.5</w:t>
      </w:r>
      <w:r>
        <w:rPr>
          <w:rFonts w:hint="default" w:ascii="Times New Roman" w:hAnsi="Times New Roman" w:eastAsia="仿宋_GB2312" w:cs="Times New Roman"/>
          <w:sz w:val="32"/>
          <w:szCs w:val="32"/>
          <w:highlight w:val="none"/>
          <w:lang w:val="en-US" w:eastAsia="zh-CN"/>
        </w:rPr>
        <w:t>万</w:t>
      </w:r>
      <w:r>
        <w:rPr>
          <w:rFonts w:hint="default" w:ascii="Times New Roman" w:hAnsi="Times New Roman" w:eastAsia="仿宋_GB2312" w:cs="Times New Roman"/>
          <w:sz w:val="32"/>
          <w:szCs w:val="32"/>
          <w:highlight w:val="none"/>
        </w:rPr>
        <w:t>元。</w:t>
      </w:r>
    </w:p>
    <w:p w14:paraId="1698F600">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17" w:name="_Toc4258"/>
      <w:r>
        <w:rPr>
          <w:rFonts w:hint="eastAsia"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绩效评价的范围</w:t>
      </w:r>
      <w:bookmarkEnd w:id="17"/>
    </w:p>
    <w:p w14:paraId="0E6139EE">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67B3A408">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49B1A444">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482B4765">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312D33E8">
      <w:pPr>
        <w:pStyle w:val="13"/>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影响：考察项目对社会等方面的综合影响。</w:t>
      </w:r>
    </w:p>
    <w:p w14:paraId="70126EDA">
      <w:pPr>
        <w:spacing w:line="560" w:lineRule="exact"/>
        <w:ind w:firstLine="643" w:firstLineChars="200"/>
        <w:outlineLvl w:val="1"/>
        <w:rPr>
          <w:rFonts w:hint="default" w:ascii="Times New Roman" w:hAnsi="Times New Roman" w:cs="Times New Roman"/>
        </w:rPr>
      </w:pPr>
      <w:bookmarkStart w:id="18" w:name="_Toc29785"/>
      <w:r>
        <w:rPr>
          <w:rFonts w:hint="default" w:ascii="Times New Roman" w:hAnsi="Times New Roman" w:eastAsia="楷体_GB2312" w:cs="Times New Roman"/>
          <w:b/>
          <w:bCs/>
          <w:sz w:val="32"/>
          <w:szCs w:val="32"/>
        </w:rPr>
        <w:t>（二）绩效评价原则、评价指标体系（详情见表1）、评价方法、评价标准。</w:t>
      </w:r>
      <w:bookmarkEnd w:id="18"/>
    </w:p>
    <w:p w14:paraId="6FABE95A">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19" w:name="_Toc22859"/>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bookmarkEnd w:id="19"/>
    </w:p>
    <w:p w14:paraId="3826F536">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01828D18">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239E6ACA">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15C79748">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3CE46E89">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6A5DBD12">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20" w:name="_Toc31775"/>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bookmarkEnd w:id="20"/>
    </w:p>
    <w:p w14:paraId="061AFDB2">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3C7A5D17">
      <w:pPr>
        <w:spacing w:line="560" w:lineRule="exact"/>
        <w:ind w:firstLine="708" w:firstLineChars="200"/>
        <w:outlineLvl w:val="3"/>
        <w:rPr>
          <w:rFonts w:hint="default" w:ascii="Times New Roman" w:hAnsi="Times New Roman" w:eastAsia="仿宋_GB2312" w:cs="Times New Roman"/>
          <w:color w:val="000000"/>
          <w:spacing w:val="17"/>
          <w:sz w:val="32"/>
          <w:szCs w:val="32"/>
        </w:rPr>
      </w:pPr>
      <w:bookmarkStart w:id="21" w:name="_Toc22746"/>
      <w:r>
        <w:rPr>
          <w:rFonts w:hint="default" w:ascii="Times New Roman" w:hAnsi="Times New Roman" w:eastAsia="仿宋_GB2312" w:cs="Times New Roman"/>
          <w:color w:val="000000"/>
          <w:spacing w:val="17"/>
          <w:sz w:val="32"/>
          <w:szCs w:val="32"/>
        </w:rPr>
        <w:t>（1）确定评价指标</w:t>
      </w:r>
      <w:bookmarkEnd w:id="21"/>
    </w:p>
    <w:p w14:paraId="0A972FB3">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1A792454">
      <w:pPr>
        <w:spacing w:line="560" w:lineRule="exact"/>
        <w:ind w:firstLine="708" w:firstLineChars="200"/>
        <w:outlineLvl w:val="3"/>
        <w:rPr>
          <w:rFonts w:hint="default" w:ascii="Times New Roman" w:hAnsi="Times New Roman" w:eastAsia="仿宋_GB2312" w:cs="Times New Roman"/>
          <w:color w:val="000000"/>
          <w:spacing w:val="17"/>
          <w:sz w:val="32"/>
          <w:szCs w:val="32"/>
        </w:rPr>
      </w:pPr>
      <w:bookmarkStart w:id="22" w:name="_Toc1142"/>
      <w:r>
        <w:rPr>
          <w:rFonts w:hint="default" w:ascii="Times New Roman" w:hAnsi="Times New Roman" w:eastAsia="仿宋_GB2312" w:cs="Times New Roman"/>
          <w:color w:val="000000"/>
          <w:spacing w:val="17"/>
          <w:sz w:val="32"/>
          <w:szCs w:val="32"/>
        </w:rPr>
        <w:t>（2）确定权重</w:t>
      </w:r>
      <w:bookmarkEnd w:id="22"/>
    </w:p>
    <w:p w14:paraId="1C771E8C">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043B43FC">
      <w:pPr>
        <w:spacing w:line="560" w:lineRule="exact"/>
        <w:ind w:firstLine="708" w:firstLineChars="200"/>
        <w:outlineLvl w:val="3"/>
        <w:rPr>
          <w:rFonts w:hint="default" w:ascii="Times New Roman" w:hAnsi="Times New Roman" w:eastAsia="仿宋_GB2312" w:cs="Times New Roman"/>
          <w:color w:val="000000"/>
          <w:spacing w:val="17"/>
          <w:sz w:val="32"/>
          <w:szCs w:val="32"/>
        </w:rPr>
      </w:pPr>
      <w:bookmarkStart w:id="23" w:name="_Toc18406"/>
      <w:r>
        <w:rPr>
          <w:rFonts w:hint="default" w:ascii="Times New Roman" w:hAnsi="Times New Roman" w:eastAsia="仿宋_GB2312" w:cs="Times New Roman"/>
          <w:color w:val="000000"/>
          <w:spacing w:val="17"/>
          <w:sz w:val="32"/>
          <w:szCs w:val="32"/>
        </w:rPr>
        <w:t>（3）确定指标标准值</w:t>
      </w:r>
      <w:bookmarkEnd w:id="23"/>
    </w:p>
    <w:p w14:paraId="08AB75C3">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38091DE7">
      <w:pPr>
        <w:pStyle w:val="13"/>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6F067F07">
      <w:pPr>
        <w:pStyle w:val="13"/>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7B0A94A0">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24" w:name="_Toc18365"/>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bookmarkEnd w:id="24"/>
    </w:p>
    <w:p w14:paraId="4131761F">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717C779F">
      <w:pPr>
        <w:spacing w:line="560" w:lineRule="exact"/>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2532994F">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）成本效益分析法。是指将投入与产出、效益进行关联性分析的方法。</w:t>
      </w:r>
    </w:p>
    <w:p w14:paraId="1481EFED">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）比较法。是指将实施情况与绩效目标、历史情况、不同部门和地区同类支出情况进行比较的方法。</w:t>
      </w:r>
    </w:p>
    <w:p w14:paraId="0F7E65BA">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3</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14:paraId="527F84FE">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4</w:t>
      </w:r>
      <w:r>
        <w:rPr>
          <w:rFonts w:hint="default" w:ascii="Times New Roman" w:hAnsi="Times New Roman" w:eastAsia="仿宋_GB2312" w:cs="Times New Roman"/>
          <w:color w:val="000000"/>
          <w:spacing w:val="17"/>
          <w:sz w:val="32"/>
          <w:szCs w:val="32"/>
          <w:highlight w:val="none"/>
        </w:rPr>
        <w:t>）最低成本法。是指在绩效目标确定的前提下，成本最小者为优的方法。</w:t>
      </w:r>
    </w:p>
    <w:p w14:paraId="58AC4DF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5</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p>
    <w:p w14:paraId="78F9B0EB">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6</w:t>
      </w:r>
      <w:r>
        <w:rPr>
          <w:rFonts w:hint="default" w:ascii="Times New Roman" w:hAnsi="Times New Roman" w:eastAsia="仿宋_GB2312" w:cs="Times New Roman"/>
          <w:color w:val="000000"/>
          <w:spacing w:val="17"/>
          <w:sz w:val="32"/>
          <w:szCs w:val="32"/>
          <w:highlight w:val="none"/>
        </w:rPr>
        <w:t>）标杆管理法。是指以国内外同行业中较高的绩效水平为标杆进行评判的方法。</w:t>
      </w:r>
    </w:p>
    <w:p w14:paraId="3BA11B9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7</w:t>
      </w:r>
      <w:r>
        <w:rPr>
          <w:rFonts w:hint="default" w:ascii="Times New Roman" w:hAnsi="Times New Roman" w:eastAsia="仿宋_GB2312" w:cs="Times New Roman"/>
          <w:color w:val="000000"/>
          <w:spacing w:val="17"/>
          <w:sz w:val="32"/>
          <w:szCs w:val="32"/>
          <w:highlight w:val="none"/>
        </w:rPr>
        <w:t>）其他评价方法。</w:t>
      </w:r>
    </w:p>
    <w:p w14:paraId="06080983">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25" w:name="_Toc21230"/>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bookmarkEnd w:id="25"/>
    </w:p>
    <w:p w14:paraId="6E6FA8B8">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w:t>
      </w:r>
      <w:r>
        <w:rPr>
          <w:rFonts w:hint="eastAsia" w:ascii="Times New Roman" w:hAnsi="Times New Roman" w:eastAsia="仿宋_GB2312" w:cs="Times New Roman"/>
          <w:b w:val="0"/>
          <w:bCs w:val="0"/>
          <w:lang w:eastAsia="zh-CN"/>
        </w:rPr>
        <w:t>具体绩效评价标准解释如下：</w:t>
      </w:r>
    </w:p>
    <w:p w14:paraId="5819334D">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57BA6DCC">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行业标准。指参照国家公布的行业指标数据制定的评价标准。</w:t>
      </w:r>
    </w:p>
    <w:p w14:paraId="524B2808">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kern w:val="28"/>
          <w:sz w:val="32"/>
          <w:szCs w:val="32"/>
          <w:lang w:val="en-US" w:eastAsia="zh-CN" w:bidi="ar-SA"/>
        </w:rPr>
        <w:t>（3）历史标准。指参照历史数据制定的评价标准，为体现绩效改进的原则，在可实现的条件下</w:t>
      </w:r>
      <w:r>
        <w:rPr>
          <w:rFonts w:hint="default" w:ascii="Times New Roman" w:hAnsi="Times New Roman" w:eastAsia="仿宋_GB2312" w:cs="Times New Roman"/>
          <w:b w:val="0"/>
          <w:bCs w:val="0"/>
        </w:rPr>
        <w:t>应当确定相对较高的评价标准。</w:t>
      </w:r>
    </w:p>
    <w:p w14:paraId="2FAA7652">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财政部门和预算部门确认或认可的其他标准。</w:t>
      </w:r>
    </w:p>
    <w:p w14:paraId="6868C0D5">
      <w:pPr>
        <w:pStyle w:val="13"/>
        <w:widowControl w:val="0"/>
        <w:spacing w:before="0" w:after="0" w:line="560" w:lineRule="exact"/>
        <w:ind w:firstLine="640" w:firstLineChars="200"/>
        <w:jc w:val="both"/>
        <w:outlineLvl w:val="9"/>
        <w:rPr>
          <w:rFonts w:hint="eastAsia" w:ascii="Times New Roman" w:hAnsi="Times New Roman" w:eastAsia="仿宋_GB2312" w:cs="Times New Roman"/>
          <w:b w:val="0"/>
          <w:bCs w:val="0"/>
        </w:rPr>
      </w:pPr>
      <w:r>
        <w:rPr>
          <w:rFonts w:hint="eastAsia" w:ascii="Times New Roman" w:hAnsi="Times New Roman" w:eastAsia="仿宋_GB2312" w:cs="Times New Roman"/>
          <w:b w:val="0"/>
          <w:bCs w:val="0"/>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FD65753">
      <w:pPr>
        <w:rPr>
          <w:rFonts w:hint="default"/>
        </w:rPr>
      </w:pPr>
    </w:p>
    <w:p w14:paraId="5F0E1060">
      <w:pPr>
        <w:pStyle w:val="13"/>
        <w:numPr>
          <w:ilvl w:val="0"/>
          <w:numId w:val="2"/>
        </w:numPr>
        <w:spacing w:before="0" w:after="0" w:line="560" w:lineRule="exact"/>
        <w:ind w:left="-81" w:leftChars="0" w:firstLine="711" w:firstLineChars="0"/>
        <w:jc w:val="both"/>
        <w:outlineLvl w:val="1"/>
        <w:rPr>
          <w:rFonts w:hint="default" w:ascii="Times New Roman" w:hAnsi="Times New Roman" w:eastAsia="楷体" w:cs="Times New Roman"/>
          <w:color w:val="000000"/>
          <w:spacing w:val="17"/>
        </w:rPr>
      </w:pPr>
      <w:bookmarkStart w:id="26" w:name="_Toc5544"/>
      <w:r>
        <w:rPr>
          <w:rFonts w:hint="default" w:ascii="Times New Roman" w:hAnsi="Times New Roman" w:eastAsia="楷体" w:cs="Times New Roman"/>
          <w:color w:val="000000"/>
          <w:spacing w:val="17"/>
        </w:rPr>
        <w:t>绩效评价工作过程</w:t>
      </w:r>
      <w:bookmarkEnd w:id="26"/>
    </w:p>
    <w:p w14:paraId="31F9E2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rPr>
      </w:pPr>
      <w:bookmarkStart w:id="27" w:name="_Toc21316"/>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bookmarkEnd w:id="27"/>
    </w:p>
    <w:p w14:paraId="6AE9B3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w:t>
      </w:r>
      <w:r>
        <w:rPr>
          <w:rFonts w:hint="eastAsia" w:eastAsia="仿宋_GB2312" w:cs="Times New Roman"/>
          <w:sz w:val="32"/>
          <w:szCs w:val="32"/>
          <w:highlight w:val="none"/>
          <w:lang w:val="en-US" w:eastAsia="zh-CN"/>
        </w:rPr>
        <w:t>成员</w:t>
      </w:r>
      <w:r>
        <w:rPr>
          <w:rFonts w:hint="default" w:ascii="Times New Roman" w:hAnsi="Times New Roman" w:eastAsia="仿宋_GB2312" w:cs="Times New Roman"/>
          <w:sz w:val="32"/>
          <w:szCs w:val="32"/>
          <w:highlight w:val="none"/>
        </w:rPr>
        <w:t>组成，确保从多角度、全方位对项目绩效进行评价。同时，明确了评价工作的目标、范围、重点及时间安排，制定了详细的工作计划，为评价工作的顺利开展奠定了坚实基础。</w:t>
      </w:r>
    </w:p>
    <w:p w14:paraId="4D2DAB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8" w:name="_Toc12550"/>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bookmarkEnd w:id="28"/>
    </w:p>
    <w:p w14:paraId="2B4B30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4C1601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9" w:name="_Toc7217"/>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bookmarkEnd w:id="29"/>
    </w:p>
    <w:p w14:paraId="450B65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6E16FFA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bookmarkStart w:id="30" w:name="_Toc13512"/>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bookmarkEnd w:id="30"/>
    </w:p>
    <w:p w14:paraId="497532D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06D540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1" w:name="_Toc26222"/>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bookmarkEnd w:id="31"/>
    </w:p>
    <w:p w14:paraId="3C6DAB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310847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2" w:name="_Toc554"/>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bookmarkEnd w:id="32"/>
    </w:p>
    <w:p w14:paraId="64CA86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bookmarkStart w:id="33" w:name="_Toc29729"/>
    </w:p>
    <w:p w14:paraId="493FA5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eastAsia" w:eastAsia="黑体" w:cs="Times New Roman"/>
          <w:sz w:val="32"/>
          <w:szCs w:val="32"/>
          <w:lang w:val="en-US" w:eastAsia="zh-CN"/>
        </w:rPr>
        <w:t>三、</w:t>
      </w:r>
      <w:r>
        <w:rPr>
          <w:rFonts w:hint="default" w:ascii="Times New Roman" w:hAnsi="Times New Roman" w:eastAsia="黑体" w:cs="Times New Roman"/>
          <w:sz w:val="32"/>
          <w:szCs w:val="32"/>
        </w:rPr>
        <w:t>综合评价情况及评价结论（附相关评分表）</w:t>
      </w:r>
      <w:bookmarkEnd w:id="33"/>
    </w:p>
    <w:p w14:paraId="73365A61">
      <w:pPr>
        <w:pStyle w:val="13"/>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lang w:val="en-US" w:eastAsia="zh-CN"/>
        </w:rPr>
      </w:pPr>
      <w:bookmarkStart w:id="34" w:name="_Toc2344"/>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bookmarkEnd w:id="34"/>
    </w:p>
    <w:p w14:paraId="472A5211">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产出成果上，项目产出数量满足计划要求，质量符合相关标准规范，产出时效与成本控制均达到预期目标，综合效益方面，项目在社会效益上发挥了积极作用，具体效益表现，改善区域生态环境等，服务对象及相关方满意度较高，整体实现了项目预期的实施价值。</w:t>
      </w:r>
    </w:p>
    <w:p w14:paraId="5A543889">
      <w:pPr>
        <w:pStyle w:val="13"/>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lang w:val="en-US" w:eastAsia="zh-CN"/>
        </w:rPr>
      </w:pPr>
      <w:bookmarkStart w:id="35" w:name="_Toc6653"/>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bookmarkEnd w:id="35"/>
    </w:p>
    <w:p w14:paraId="4AD8CFA3">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w:t>
      </w:r>
      <w:r>
        <w:rPr>
          <w:rFonts w:hint="eastAsia" w:ascii="Times New Roman" w:hAnsi="Times New Roman" w:eastAsia="仿宋_GB2312" w:cs="Times New Roman"/>
          <w:b w:val="0"/>
          <w:bCs w:val="0"/>
          <w:lang w:val="en-US" w:eastAsia="zh-CN"/>
        </w:rPr>
        <w:t>下</w:t>
      </w:r>
      <w:r>
        <w:rPr>
          <w:rFonts w:hint="default" w:ascii="Times New Roman" w:hAnsi="Times New Roman" w:eastAsia="仿宋_GB2312" w:cs="Times New Roman"/>
          <w:b w:val="0"/>
          <w:bCs w:val="0"/>
        </w:rPr>
        <w:t>表</w:t>
      </w:r>
      <w:r>
        <w:rPr>
          <w:rFonts w:hint="default" w:ascii="Times New Roman" w:hAnsi="Times New Roman" w:eastAsia="仿宋_GB2312" w:cs="Times New Roman"/>
          <w:b w:val="0"/>
          <w:bCs w:val="0"/>
          <w:lang w:eastAsia="zh-CN"/>
        </w:rPr>
        <w:t>。</w:t>
      </w:r>
    </w:p>
    <w:p w14:paraId="77B97226">
      <w:pPr>
        <w:pStyle w:val="13"/>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rPr>
      </w:pPr>
    </w:p>
    <w:p w14:paraId="1EBB2C68">
      <w:pPr>
        <w:pStyle w:val="13"/>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6"/>
        <w:tblW w:w="7583" w:type="dxa"/>
        <w:jc w:val="center"/>
        <w:tblLayout w:type="fixed"/>
        <w:tblCellMar>
          <w:top w:w="0" w:type="dxa"/>
          <w:left w:w="108" w:type="dxa"/>
          <w:bottom w:w="0" w:type="dxa"/>
          <w:right w:w="108" w:type="dxa"/>
        </w:tblCellMar>
      </w:tblPr>
      <w:tblGrid>
        <w:gridCol w:w="3137"/>
        <w:gridCol w:w="2168"/>
        <w:gridCol w:w="2278"/>
      </w:tblGrid>
      <w:tr w14:paraId="37BE07B6">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72D80CB1">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E62CE2F">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B66C56A">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5907846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F205423">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6C2EA552">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E23E0EC">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45DB691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470F2FB">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4F0D50A5">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F9C6FD9">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5311B73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4981CD7">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06E32D20">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1F76855F">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14:paraId="019FE41F">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4ED12AD">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0E554C7A">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988B5EC">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1BEFBA0E">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C8284F1">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2B039633">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0B3ECB93">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14:paraId="02A3A455">
      <w:pPr>
        <w:rPr>
          <w:rFonts w:hint="default"/>
          <w:lang w:eastAsia="zh-CN"/>
        </w:rPr>
      </w:pPr>
    </w:p>
    <w:p w14:paraId="72BBED60">
      <w:pPr>
        <w:spacing w:line="560" w:lineRule="exact"/>
        <w:ind w:firstLine="640" w:firstLineChars="200"/>
        <w:outlineLvl w:val="0"/>
        <w:rPr>
          <w:rFonts w:hint="default" w:ascii="Times New Roman" w:hAnsi="Times New Roman" w:eastAsia="黑体" w:cs="Times New Roman"/>
          <w:sz w:val="32"/>
          <w:szCs w:val="32"/>
        </w:rPr>
      </w:pPr>
      <w:bookmarkStart w:id="36" w:name="_Toc1453"/>
      <w:r>
        <w:rPr>
          <w:rFonts w:hint="default" w:ascii="Times New Roman" w:hAnsi="Times New Roman" w:eastAsia="黑体" w:cs="Times New Roman"/>
          <w:sz w:val="32"/>
          <w:szCs w:val="32"/>
        </w:rPr>
        <w:t>四、绩效评价指标分析</w:t>
      </w:r>
      <w:bookmarkEnd w:id="36"/>
    </w:p>
    <w:p w14:paraId="7E3A7C54">
      <w:pPr>
        <w:pStyle w:val="13"/>
        <w:spacing w:before="0" w:after="0" w:line="560" w:lineRule="exact"/>
        <w:ind w:firstLine="643" w:firstLineChars="200"/>
        <w:jc w:val="both"/>
        <w:outlineLvl w:val="1"/>
        <w:rPr>
          <w:rFonts w:hint="default" w:ascii="Times New Roman" w:hAnsi="Times New Roman" w:eastAsia="楷体_GB2312" w:cs="Times New Roman"/>
        </w:rPr>
      </w:pPr>
      <w:bookmarkStart w:id="37" w:name="_Toc32318"/>
      <w:r>
        <w:rPr>
          <w:rFonts w:hint="default" w:ascii="Times New Roman" w:hAnsi="Times New Roman" w:eastAsia="楷体_GB2312" w:cs="Times New Roman"/>
        </w:rPr>
        <w:t>（一）项目决策情况</w:t>
      </w:r>
      <w:bookmarkEnd w:id="37"/>
    </w:p>
    <w:p w14:paraId="45BF74E6">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3B9E2D32">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38" w:name="_Toc24345"/>
      <w:r>
        <w:rPr>
          <w:rFonts w:hint="default" w:ascii="Times New Roman" w:hAnsi="Times New Roman" w:eastAsia="仿宋_GB2312" w:cs="Times New Roman"/>
          <w:b/>
          <w:bCs/>
          <w:sz w:val="32"/>
          <w:szCs w:val="32"/>
          <w:lang w:val="en-US" w:eastAsia="zh-CN"/>
        </w:rPr>
        <w:t>1.项目立项</w:t>
      </w:r>
      <w:bookmarkEnd w:id="38"/>
    </w:p>
    <w:p w14:paraId="3A9AE977">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39" w:name="_Toc9358"/>
      <w:r>
        <w:rPr>
          <w:rFonts w:hint="default" w:ascii="Times New Roman" w:hAnsi="Times New Roman" w:eastAsia="仿宋_GB2312" w:cs="Times New Roman"/>
          <w:sz w:val="32"/>
          <w:szCs w:val="32"/>
          <w:lang w:val="en-US" w:eastAsia="zh-CN"/>
        </w:rPr>
        <w:t>（1）立项依据充分性</w:t>
      </w:r>
      <w:bookmarkEnd w:id="39"/>
    </w:p>
    <w:p w14:paraId="713182AD">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项目实施前已梳理部门内部及跨部门同类项目，明确本项目的差异化定位，无重复立项情况；部门发展规划、职能文件、政策依据等资料齐全并规范归档，完全满足评分标准中“立项符合政策、与部门职责匹配、无重复立项”的全部评价要点，故得满分。</w:t>
      </w:r>
    </w:p>
    <w:p w14:paraId="2035D9E7">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0" w:name="_Toc1295"/>
      <w:r>
        <w:rPr>
          <w:rFonts w:hint="default" w:ascii="Times New Roman" w:hAnsi="Times New Roman" w:eastAsia="仿宋_GB2312" w:cs="Times New Roman"/>
          <w:sz w:val="32"/>
          <w:szCs w:val="32"/>
          <w:lang w:val="en-US" w:eastAsia="zh-CN"/>
        </w:rPr>
        <w:t>（2）立项程序规范性</w:t>
      </w:r>
      <w:bookmarkEnd w:id="40"/>
    </w:p>
    <w:p w14:paraId="5DD118EA">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项目申请、设立过程符合相关要求，严格按照审批流程准备符合要求的文件、材料；</w:t>
      </w:r>
      <w:r>
        <w:rPr>
          <w:rFonts w:hint="default" w:ascii="Times New Roman" w:hAnsi="Times New Roman" w:eastAsia="仿宋_GB2312" w:cs="Times New Roman"/>
          <w:sz w:val="32"/>
          <w:szCs w:val="32"/>
          <w:lang w:val="en-US" w:eastAsia="zh-CN"/>
        </w:rPr>
        <w:t>编制工作计划和经费预算，经过与部门项目分管领导沟通、筛选确定经费预算计划，最终通过部门集体决策会议审议确定立项，全程形成完整的审批文件、专家论证意见、会议纪要等资料，符合评分标准中“程序合规、材料齐全、经过论证与集体决策”的要求，故得满分。</w:t>
      </w:r>
    </w:p>
    <w:p w14:paraId="16F8A2CE">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41" w:name="_Toc22045"/>
      <w:r>
        <w:rPr>
          <w:rFonts w:hint="default" w:ascii="Times New Roman" w:hAnsi="Times New Roman" w:eastAsia="仿宋_GB2312" w:cs="Times New Roman"/>
          <w:b/>
          <w:bCs/>
          <w:sz w:val="32"/>
          <w:szCs w:val="32"/>
          <w:lang w:val="en-US" w:eastAsia="zh-CN"/>
        </w:rPr>
        <w:t>2.绩效目标</w:t>
      </w:r>
      <w:bookmarkEnd w:id="41"/>
    </w:p>
    <w:p w14:paraId="52390F45">
      <w:pPr>
        <w:shd w:val="clear" w:color="auto" w:fill="auto"/>
        <w:spacing w:line="600" w:lineRule="exact"/>
        <w:ind w:firstLine="640" w:firstLineChars="200"/>
        <w:outlineLvl w:val="9"/>
        <w:rPr>
          <w:rFonts w:hint="default" w:ascii="Times New Roman" w:hAnsi="Times New Roman" w:eastAsia="仿宋_GB2312" w:cs="Times New Roman"/>
          <w:color w:val="auto"/>
          <w:sz w:val="32"/>
          <w:szCs w:val="32"/>
          <w:lang w:val="en-US" w:eastAsia="zh-CN"/>
        </w:rPr>
      </w:pPr>
      <w:bookmarkStart w:id="42" w:name="_Toc15281"/>
      <w:r>
        <w:rPr>
          <w:rFonts w:hint="default" w:ascii="Times New Roman" w:hAnsi="Times New Roman" w:eastAsia="仿宋_GB2312" w:cs="Times New Roman"/>
          <w:color w:val="auto"/>
          <w:sz w:val="32"/>
          <w:szCs w:val="32"/>
          <w:lang w:val="en-US" w:eastAsia="zh-CN"/>
        </w:rPr>
        <w:t>（1）绩效目标合理性</w:t>
      </w:r>
      <w:bookmarkEnd w:id="42"/>
    </w:p>
    <w:p w14:paraId="61A0444E">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rPr>
        <w:t>年初结合实际工作内容</w:t>
      </w:r>
      <w:r>
        <w:rPr>
          <w:rFonts w:hint="default" w:ascii="Times New Roman" w:hAnsi="Times New Roman" w:eastAsia="仿宋_GB2312" w:cs="Times New Roman"/>
          <w:color w:val="auto"/>
          <w:sz w:val="32"/>
          <w:szCs w:val="32"/>
          <w:lang w:val="en-US" w:eastAsia="zh-CN"/>
        </w:rPr>
        <w:t>设定绩效目标</w:t>
      </w:r>
      <w:r>
        <w:rPr>
          <w:rFonts w:hint="default" w:ascii="Times New Roman" w:hAnsi="Times New Roman" w:eastAsia="仿宋_GB2312" w:cs="Times New Roman"/>
          <w:color w:val="auto"/>
          <w:sz w:val="32"/>
          <w:szCs w:val="32"/>
          <w:lang w:val="en-US"/>
        </w:rPr>
        <w:t>，绩效目标</w:t>
      </w:r>
      <w:r>
        <w:rPr>
          <w:rFonts w:hint="default" w:ascii="Times New Roman" w:hAnsi="Times New Roman" w:eastAsia="仿宋_GB2312" w:cs="Times New Roman"/>
          <w:color w:val="auto"/>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hint="default" w:ascii="Times New Roman" w:hAnsi="Times New Roman" w:eastAsia="仿宋_GB2312" w:cs="Times New Roman"/>
          <w:color w:val="auto"/>
          <w:sz w:val="32"/>
          <w:szCs w:val="32"/>
          <w:lang w:val="en-US"/>
        </w:rPr>
        <w:t>且预算资金与目标投资额精准匹配测算依据充分。完全符合评分标准中“目标有依据、与实际相关、效益符合正常业绩水平、与预算匹配”的评价要点，</w:t>
      </w:r>
      <w:r>
        <w:rPr>
          <w:rFonts w:hint="default" w:ascii="Times New Roman" w:hAnsi="Times New Roman" w:eastAsia="仿宋_GB2312" w:cs="Times New Roman"/>
          <w:color w:val="auto"/>
          <w:sz w:val="32"/>
          <w:szCs w:val="32"/>
          <w:lang w:val="en-US" w:eastAsia="zh-CN"/>
        </w:rPr>
        <w:t>故得满分。</w:t>
      </w:r>
    </w:p>
    <w:p w14:paraId="346B0B1B">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43" w:name="_Toc6828"/>
      <w:r>
        <w:rPr>
          <w:rFonts w:hint="default" w:ascii="Times New Roman" w:hAnsi="Times New Roman" w:eastAsia="仿宋_GB2312" w:cs="Times New Roman"/>
          <w:b/>
          <w:bCs/>
          <w:sz w:val="32"/>
          <w:szCs w:val="32"/>
          <w:lang w:val="en-US" w:eastAsia="zh-CN"/>
        </w:rPr>
        <w:t>3.资金投入</w:t>
      </w:r>
      <w:bookmarkEnd w:id="43"/>
    </w:p>
    <w:p w14:paraId="266BA68B">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4" w:name="_Toc10680"/>
      <w:r>
        <w:rPr>
          <w:rFonts w:hint="default" w:ascii="Times New Roman" w:hAnsi="Times New Roman" w:eastAsia="仿宋_GB2312" w:cs="Times New Roman"/>
          <w:sz w:val="32"/>
          <w:szCs w:val="32"/>
          <w:lang w:val="en-US" w:eastAsia="zh-CN"/>
        </w:rPr>
        <w:t>（1）预算编制科学性</w:t>
      </w:r>
      <w:bookmarkEnd w:id="44"/>
    </w:p>
    <w:p w14:paraId="6830E02C">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本项目预算编制以“精准测算、按需配置”为原则，结合项目实施方案及具体任务清单开展，参考既往同类项目支出水平及当前物价水平，测算支出</w:t>
      </w:r>
      <w:r>
        <w:rPr>
          <w:rFonts w:hint="eastAsia" w:eastAsia="仿宋_GB2312" w:cs="Times New Roman"/>
          <w:sz w:val="32"/>
          <w:szCs w:val="32"/>
          <w:highlight w:val="none"/>
          <w:lang w:val="en-US" w:eastAsia="zh-CN"/>
        </w:rPr>
        <w:t>38.5</w:t>
      </w:r>
      <w:r>
        <w:rPr>
          <w:rFonts w:hint="default" w:ascii="Times New Roman" w:hAnsi="Times New Roman" w:eastAsia="仿宋_GB2312" w:cs="Times New Roman"/>
          <w:sz w:val="32"/>
          <w:szCs w:val="32"/>
          <w:highlight w:val="none"/>
          <w:lang w:eastAsia="zh-CN"/>
        </w:rPr>
        <w:t>万元。预算编制过程经过业务科室、财务部门双重审核，无漏项、超项情况，预算内容与项目“</w:t>
      </w:r>
      <w:r>
        <w:rPr>
          <w:rFonts w:hint="eastAsia" w:eastAsia="仿宋_GB2312" w:cs="Times New Roman"/>
          <w:sz w:val="32"/>
          <w:szCs w:val="32"/>
          <w:highlight w:val="none"/>
          <w:lang w:val="en-US" w:eastAsia="zh-CN"/>
        </w:rPr>
        <w:t>水文测报</w:t>
      </w:r>
      <w:r>
        <w:rPr>
          <w:rFonts w:hint="default" w:ascii="Times New Roman" w:hAnsi="Times New Roman" w:eastAsia="仿宋_GB2312" w:cs="Times New Roman"/>
          <w:sz w:val="32"/>
          <w:szCs w:val="32"/>
          <w:highlight w:val="none"/>
          <w:lang w:eastAsia="zh-CN"/>
        </w:rPr>
        <w:t>核心任务”“</w:t>
      </w:r>
      <w:r>
        <w:rPr>
          <w:rFonts w:hint="eastAsia" w:eastAsia="仿宋_GB2312" w:cs="Times New Roman"/>
          <w:sz w:val="32"/>
          <w:szCs w:val="32"/>
          <w:highlight w:val="none"/>
          <w:lang w:val="en-US" w:eastAsia="zh-CN"/>
        </w:rPr>
        <w:t>水文测报</w:t>
      </w:r>
      <w:r>
        <w:rPr>
          <w:rFonts w:hint="default" w:ascii="Times New Roman" w:hAnsi="Times New Roman" w:eastAsia="仿宋_GB2312" w:cs="Times New Roman"/>
          <w:sz w:val="32"/>
          <w:szCs w:val="32"/>
          <w:highlight w:val="none"/>
          <w:lang w:eastAsia="zh-CN"/>
        </w:rPr>
        <w:t>产出目标”完全匹配，资金额度与各阶段工作任务量精准适配，符合评分标准中“经过科学论证、内容与项目匹配、额度依据充分、与工作任务匹配”的全部评价要点</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6B8383CD">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5" w:name="_Toc24011"/>
      <w:r>
        <w:rPr>
          <w:rFonts w:hint="default" w:ascii="Times New Roman" w:hAnsi="Times New Roman" w:eastAsia="仿宋_GB2312" w:cs="Times New Roman"/>
          <w:sz w:val="32"/>
          <w:szCs w:val="32"/>
          <w:highlight w:val="none"/>
          <w:lang w:val="en-US" w:eastAsia="zh-CN"/>
        </w:rPr>
        <w:t>（2）资金分配合理性</w:t>
      </w:r>
      <w:bookmarkEnd w:id="45"/>
    </w:p>
    <w:p w14:paraId="2B634B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本项目的资金分配遵循了公平、公正、透明的原则，确保了项目资源的合理配置与高效利用。在资金分配过程中，充分考虑了项目的实际需求与目标，对不同阶段、不同任务的资金进行了科学的规划与安排。</w:t>
      </w:r>
    </w:p>
    <w:p w14:paraId="322D5F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p>
    <w:p w14:paraId="0084FCB1">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41E03721">
      <w:pPr>
        <w:pStyle w:val="13"/>
        <w:numPr>
          <w:ilvl w:val="0"/>
          <w:numId w:val="3"/>
        </w:numPr>
        <w:spacing w:before="0" w:after="0" w:line="560" w:lineRule="exact"/>
        <w:ind w:left="-13" w:leftChars="0" w:firstLine="643" w:firstLineChars="0"/>
        <w:jc w:val="both"/>
        <w:outlineLvl w:val="1"/>
        <w:rPr>
          <w:rFonts w:hint="default" w:ascii="Times New Roman" w:hAnsi="Times New Roman" w:eastAsia="楷体" w:cs="Times New Roman"/>
        </w:rPr>
      </w:pPr>
      <w:bookmarkStart w:id="46" w:name="_Toc25505"/>
      <w:r>
        <w:rPr>
          <w:rFonts w:hint="default" w:ascii="Times New Roman" w:hAnsi="Times New Roman" w:eastAsia="楷体" w:cs="Times New Roman"/>
        </w:rPr>
        <w:t>项目过程情况</w:t>
      </w:r>
      <w:bookmarkEnd w:id="46"/>
    </w:p>
    <w:p w14:paraId="2DB9820D">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66E85A1C">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47" w:name="_Toc23265"/>
      <w:r>
        <w:rPr>
          <w:rFonts w:hint="default" w:ascii="Times New Roman" w:hAnsi="Times New Roman" w:eastAsia="仿宋_GB2312" w:cs="Times New Roman"/>
          <w:b/>
          <w:bCs/>
          <w:sz w:val="32"/>
          <w:szCs w:val="32"/>
          <w:lang w:val="en-US" w:eastAsia="zh-CN"/>
        </w:rPr>
        <w:t>1.资金管理</w:t>
      </w:r>
      <w:bookmarkEnd w:id="47"/>
    </w:p>
    <w:p w14:paraId="6761BDE1">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8" w:name="_Toc19976"/>
      <w:r>
        <w:rPr>
          <w:rFonts w:hint="default" w:ascii="Times New Roman" w:hAnsi="Times New Roman" w:eastAsia="仿宋_GB2312" w:cs="Times New Roman"/>
          <w:sz w:val="32"/>
          <w:szCs w:val="32"/>
          <w:lang w:val="en-US" w:eastAsia="zh-CN"/>
        </w:rPr>
        <w:t>（1）资金到位率</w:t>
      </w:r>
      <w:bookmarkEnd w:id="48"/>
    </w:p>
    <w:p w14:paraId="157B9160">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本</w:t>
      </w:r>
      <w:r>
        <w:rPr>
          <w:rFonts w:hint="default" w:ascii="Times New Roman" w:hAnsi="Times New Roman" w:eastAsia="仿宋_GB2312" w:cs="Times New Roman"/>
          <w:sz w:val="32"/>
          <w:szCs w:val="32"/>
          <w:highlight w:val="none"/>
          <w:lang w:val="en-US" w:eastAsia="zh-CN"/>
        </w:rPr>
        <w:t>项目总投资</w:t>
      </w:r>
      <w:r>
        <w:rPr>
          <w:rFonts w:hint="eastAsia" w:eastAsia="仿宋_GB2312" w:cs="Times New Roman"/>
          <w:sz w:val="32"/>
          <w:szCs w:val="32"/>
          <w:highlight w:val="none"/>
          <w:lang w:val="en-US" w:eastAsia="zh-CN"/>
        </w:rPr>
        <w:t>38.5</w:t>
      </w:r>
      <w:r>
        <w:rPr>
          <w:rFonts w:hint="default" w:ascii="Times New Roman" w:hAnsi="Times New Roman" w:eastAsia="仿宋_GB2312" w:cs="Times New Roman"/>
          <w:sz w:val="32"/>
          <w:szCs w:val="32"/>
          <w:highlight w:val="none"/>
          <w:lang w:val="en-US" w:eastAsia="zh-CN"/>
        </w:rPr>
        <w:t>万元，实际到位资金</w:t>
      </w:r>
      <w:r>
        <w:rPr>
          <w:rFonts w:hint="eastAsia" w:eastAsia="仿宋_GB2312" w:cs="Times New Roman"/>
          <w:sz w:val="32"/>
          <w:szCs w:val="32"/>
          <w:highlight w:val="none"/>
          <w:lang w:val="en-US" w:eastAsia="zh-CN"/>
        </w:rPr>
        <w:t>38.5万元，资金</w:t>
      </w:r>
      <w:r>
        <w:rPr>
          <w:rFonts w:hint="default" w:ascii="Times New Roman" w:hAnsi="Times New Roman" w:eastAsia="仿宋_GB2312" w:cs="Times New Roman"/>
          <w:sz w:val="32"/>
          <w:szCs w:val="32"/>
          <w:highlight w:val="none"/>
          <w:lang w:val="en-US" w:eastAsia="zh-CN"/>
        </w:rPr>
        <w:t>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，该指标满分为10分，根据评分标准得10分。</w:t>
      </w:r>
    </w:p>
    <w:p w14:paraId="31EE38FA">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9" w:name="_Toc20558"/>
      <w:r>
        <w:rPr>
          <w:rFonts w:hint="default" w:ascii="Times New Roman" w:hAnsi="Times New Roman" w:eastAsia="仿宋_GB2312" w:cs="Times New Roman"/>
          <w:sz w:val="32"/>
          <w:szCs w:val="32"/>
          <w:highlight w:val="none"/>
          <w:lang w:val="en-US" w:eastAsia="zh-CN"/>
        </w:rPr>
        <w:t>（2）预算执行率</w:t>
      </w:r>
      <w:bookmarkEnd w:id="49"/>
    </w:p>
    <w:p w14:paraId="0A003438">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本项目全年预算38.5万元，全年实际</w:t>
      </w:r>
      <w:r>
        <w:rPr>
          <w:rFonts w:hint="default" w:ascii="Times New Roman" w:hAnsi="Times New Roman" w:eastAsia="仿宋_GB2312" w:cs="Times New Roman"/>
          <w:sz w:val="32"/>
          <w:szCs w:val="32"/>
          <w:highlight w:val="none"/>
          <w:lang w:val="en-US" w:eastAsia="zh-CN"/>
        </w:rPr>
        <w:t>支出</w:t>
      </w:r>
      <w:r>
        <w:rPr>
          <w:rFonts w:hint="eastAsia" w:eastAsia="仿宋_GB2312" w:cs="Times New Roman"/>
          <w:sz w:val="32"/>
          <w:szCs w:val="32"/>
          <w:highlight w:val="none"/>
          <w:lang w:val="en-US" w:eastAsia="zh-CN"/>
        </w:rPr>
        <w:t>38.5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，该指标满分为90分，根据评分标准得90分。</w:t>
      </w:r>
    </w:p>
    <w:p w14:paraId="2A8B3F84">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50" w:name="_Toc17145"/>
      <w:r>
        <w:rPr>
          <w:rFonts w:hint="default" w:ascii="Times New Roman" w:hAnsi="Times New Roman" w:eastAsia="仿宋_GB2312" w:cs="Times New Roman"/>
          <w:sz w:val="32"/>
          <w:szCs w:val="32"/>
          <w:lang w:val="en-US" w:eastAsia="zh-CN"/>
        </w:rPr>
        <w:t>（3）资金使用合规性</w:t>
      </w:r>
      <w:bookmarkEnd w:id="50"/>
    </w:p>
    <w:p w14:paraId="48DB0132">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项目资金使用严格遵守《中华人民共和国预算法》《</w:t>
      </w:r>
      <w:r>
        <w:rPr>
          <w:rFonts w:hint="eastAsia" w:ascii="Times New Roman" w:hAnsi="Times New Roman" w:eastAsia="仿宋_GB2312" w:cs="Times New Roman"/>
          <w:sz w:val="32"/>
          <w:szCs w:val="32"/>
          <w:highlight w:val="none"/>
          <w:lang w:val="en-US" w:eastAsia="zh-CN"/>
        </w:rPr>
        <w:t>水文测报管理</w:t>
      </w:r>
      <w:r>
        <w:rPr>
          <w:rFonts w:hint="default" w:ascii="Times New Roman" w:hAnsi="Times New Roman" w:eastAsia="仿宋_GB2312" w:cs="Times New Roman"/>
          <w:sz w:val="32"/>
          <w:szCs w:val="32"/>
          <w:highlight w:val="none"/>
          <w:lang w:eastAsia="zh-CN"/>
        </w:rPr>
        <w:t>专项资金管理办法》《</w:t>
      </w:r>
      <w:r>
        <w:rPr>
          <w:rFonts w:hint="eastAsia" w:ascii="Times New Roman" w:hAnsi="Times New Roman" w:eastAsia="仿宋_GB2312" w:cs="Times New Roman"/>
          <w:sz w:val="32"/>
          <w:szCs w:val="32"/>
          <w:highlight w:val="none"/>
          <w:lang w:val="en-US" w:eastAsia="zh-CN"/>
        </w:rPr>
        <w:t>事业单位财务规则</w:t>
      </w:r>
      <w:r>
        <w:rPr>
          <w:rFonts w:hint="default" w:ascii="Times New Roman" w:hAnsi="Times New Roman" w:eastAsia="仿宋_GB2312" w:cs="Times New Roman"/>
          <w:sz w:val="32"/>
          <w:szCs w:val="32"/>
          <w:highlight w:val="none"/>
          <w:lang w:eastAsia="zh-CN"/>
        </w:rPr>
        <w:t>》等法律法规及财务制度，全程规范可控：①资金拨付均履行“申请-审核-审批”流程，附完整的合同、发票、验收单等佐证资料，</w:t>
      </w:r>
      <w:r>
        <w:rPr>
          <w:rFonts w:hint="eastAsia" w:eastAsia="仿宋_GB2312" w:cs="Times New Roman"/>
          <w:sz w:val="32"/>
          <w:szCs w:val="32"/>
          <w:highlight w:val="none"/>
          <w:lang w:val="en-US" w:eastAsia="zh-CN"/>
        </w:rPr>
        <w:t>不存在</w:t>
      </w:r>
      <w:r>
        <w:rPr>
          <w:rFonts w:hint="default" w:ascii="Times New Roman" w:hAnsi="Times New Roman" w:eastAsia="仿宋_GB2312" w:cs="Times New Roman"/>
          <w:sz w:val="32"/>
          <w:szCs w:val="32"/>
          <w:highlight w:val="none"/>
          <w:lang w:eastAsia="zh-CN"/>
        </w:rPr>
        <w:t>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符合财经法规、审批手续完备、用途合规、无违规行为”的全部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63BAF350">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highlight w:val="none"/>
          <w:lang w:val="en-US" w:eastAsia="zh-CN"/>
        </w:rPr>
      </w:pPr>
      <w:bookmarkStart w:id="51" w:name="_Toc6256"/>
      <w:r>
        <w:rPr>
          <w:rFonts w:hint="default" w:ascii="Times New Roman" w:hAnsi="Times New Roman" w:eastAsia="仿宋_GB2312" w:cs="Times New Roman"/>
          <w:b/>
          <w:bCs/>
          <w:sz w:val="32"/>
          <w:szCs w:val="32"/>
          <w:highlight w:val="none"/>
          <w:lang w:val="en-US" w:eastAsia="zh-CN"/>
        </w:rPr>
        <w:t>2.组织实施</w:t>
      </w:r>
      <w:bookmarkEnd w:id="51"/>
    </w:p>
    <w:p w14:paraId="79B03698">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2" w:name="_Toc470"/>
      <w:r>
        <w:rPr>
          <w:rFonts w:hint="default" w:ascii="Times New Roman" w:hAnsi="Times New Roman" w:eastAsia="仿宋_GB2312" w:cs="Times New Roman"/>
          <w:sz w:val="32"/>
          <w:szCs w:val="32"/>
          <w:highlight w:val="none"/>
          <w:lang w:val="en-US" w:eastAsia="zh-CN"/>
        </w:rPr>
        <w:t>（1）管理制度健全性</w:t>
      </w:r>
      <w:bookmarkEnd w:id="52"/>
    </w:p>
    <w:p w14:paraId="1DAFA610">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项目实施单位已制定《</w:t>
      </w:r>
      <w:r>
        <w:rPr>
          <w:rFonts w:hint="eastAsia" w:ascii="Times New Roman" w:hAnsi="Times New Roman" w:eastAsia="仿宋_GB2312" w:cs="Times New Roman"/>
          <w:sz w:val="32"/>
          <w:szCs w:val="32"/>
          <w:highlight w:val="none"/>
          <w:lang w:val="en-US" w:eastAsia="zh-CN"/>
        </w:rPr>
        <w:t>水文测报管理</w:t>
      </w:r>
      <w:r>
        <w:rPr>
          <w:rFonts w:hint="default" w:ascii="Times New Roman" w:hAnsi="Times New Roman" w:eastAsia="仿宋_GB2312" w:cs="Times New Roman"/>
          <w:sz w:val="32"/>
          <w:szCs w:val="32"/>
          <w:highlight w:val="none"/>
          <w:lang w:eastAsia="zh-CN"/>
        </w:rPr>
        <w:t>专项项目管理办法》《</w:t>
      </w:r>
      <w:r>
        <w:rPr>
          <w:rFonts w:hint="eastAsia" w:ascii="Times New Roman" w:hAnsi="Times New Roman" w:eastAsia="仿宋_GB2312" w:cs="Times New Roman"/>
          <w:sz w:val="32"/>
          <w:szCs w:val="32"/>
          <w:highlight w:val="none"/>
          <w:lang w:val="en-US" w:eastAsia="zh-CN"/>
        </w:rPr>
        <w:t>水文测报管理</w:t>
      </w:r>
      <w:r>
        <w:rPr>
          <w:rFonts w:hint="default" w:ascii="Times New Roman" w:hAnsi="Times New Roman" w:eastAsia="仿宋_GB2312" w:cs="Times New Roman"/>
          <w:sz w:val="32"/>
          <w:szCs w:val="32"/>
          <w:highlight w:val="none"/>
          <w:lang w:eastAsia="zh-CN"/>
        </w:rPr>
        <w:t>专项项目财务管理制度》等一系列专项制度，制度体系覆盖项目策划、实施、监控、收尾全流程</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业务管理制度明确了各部门职责分工（如：业务科室负责项目实施、财务科室负责资金管理）</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财务管理制度细化了资金拨付流程、报销标准、账务核算要求。所有制度均合法合规、内容完整，且与项目的实施特点高度适配，为项目顺利推进提供了坚实制度保障，符合评分标准中“有完善的财务和业务管理制度、制度合法合规完整”的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0EC71487">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53" w:name="_Toc29107"/>
      <w:r>
        <w:rPr>
          <w:rFonts w:hint="default" w:ascii="Times New Roman" w:hAnsi="Times New Roman" w:eastAsia="仿宋_GB2312" w:cs="Times New Roman"/>
          <w:sz w:val="32"/>
          <w:szCs w:val="32"/>
          <w:lang w:val="en-US" w:eastAsia="zh-CN"/>
        </w:rPr>
        <w:t>（2）制度执行有效性</w:t>
      </w:r>
      <w:bookmarkEnd w:id="53"/>
    </w:p>
    <w:p w14:paraId="5F7AE084">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lang w:eastAsia="zh-CN"/>
        </w:rPr>
        <w:t>项目实施全过程严格执行各项管理制度，执行效果显著：①严格遵守法律法规及管理规定；②项目合同书、验收报告、技术鉴定、财务凭证等资料齐全，均按要求及时归档</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③人员、场地、设备等实施条件全部落实到位，满足项目实施需求。制度执行无偏差，有效保障了项目按计划推进，符合评分标准中“遵守相关规定、调整手续完备、资料齐全归档、实施条件落实”的要求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5BA4E5CD">
      <w:pPr>
        <w:pStyle w:val="14"/>
        <w:numPr>
          <w:ilvl w:val="0"/>
          <w:numId w:val="0"/>
        </w:numPr>
        <w:spacing w:line="560" w:lineRule="exact"/>
        <w:ind w:firstLine="321" w:firstLineChars="100"/>
        <w:outlineLvl w:val="1"/>
        <w:rPr>
          <w:rFonts w:hint="default" w:ascii="Times New Roman" w:hAnsi="Times New Roman" w:eastAsia="楷体_GB2312" w:cs="Times New Roman"/>
          <w:b/>
          <w:bCs/>
          <w:sz w:val="32"/>
          <w:szCs w:val="32"/>
        </w:rPr>
      </w:pPr>
      <w:bookmarkStart w:id="54" w:name="_Toc8612"/>
      <w:r>
        <w:rPr>
          <w:rFonts w:hint="eastAsia" w:eastAsia="楷体_GB2312" w:cs="Times New Roman"/>
          <w:b/>
          <w:bCs/>
          <w:sz w:val="32"/>
          <w:szCs w:val="32"/>
          <w:lang w:eastAsia="zh-CN"/>
        </w:rPr>
        <w:t>（</w:t>
      </w:r>
      <w:r>
        <w:rPr>
          <w:rFonts w:hint="eastAsia" w:eastAsia="楷体_GB2312" w:cs="Times New Roman"/>
          <w:b/>
          <w:bCs/>
          <w:sz w:val="32"/>
          <w:szCs w:val="32"/>
          <w:lang w:val="en-US" w:eastAsia="zh-CN"/>
        </w:rPr>
        <w:t>三</w:t>
      </w:r>
      <w:r>
        <w:rPr>
          <w:rFonts w:hint="eastAsia" w:eastAsia="楷体_GB2312" w:cs="Times New Roman"/>
          <w:b/>
          <w:bCs/>
          <w:sz w:val="32"/>
          <w:szCs w:val="32"/>
          <w:lang w:eastAsia="zh-CN"/>
        </w:rPr>
        <w:t>）</w:t>
      </w: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bookmarkEnd w:id="54"/>
    </w:p>
    <w:p w14:paraId="5EC1BE6B">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w:t>
      </w:r>
      <w:r>
        <w:rPr>
          <w:rFonts w:hint="default" w:ascii="Times New Roman" w:hAnsi="Times New Roman" w:eastAsia="仿宋_GB2312" w:cs="Times New Roman"/>
          <w:sz w:val="32"/>
          <w:szCs w:val="32"/>
          <w:highlight w:val="none"/>
          <w:lang w:val="en-US" w:eastAsia="zh-CN"/>
        </w:rPr>
        <w:t>产出成本</w:t>
      </w:r>
      <w:r>
        <w:rPr>
          <w:rFonts w:hint="default" w:ascii="Times New Roman" w:hAnsi="Times New Roman" w:eastAsia="仿宋_GB2312" w:cs="Times New Roman"/>
          <w:sz w:val="32"/>
          <w:szCs w:val="32"/>
          <w:lang w:val="en-US" w:eastAsia="zh-CN"/>
        </w:rPr>
        <w:t>四方面的内容，由</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个三级指标构成，权重分为40分，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14:paraId="4A468413">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lang w:val="en-US" w:eastAsia="zh-CN"/>
        </w:rPr>
        <w:t>实际完成率</w:t>
      </w:r>
    </w:p>
    <w:p w14:paraId="33C67DE5">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数量指标1：</w:t>
      </w:r>
      <w:r>
        <w:rPr>
          <w:rFonts w:hint="eastAsia" w:ascii="Times New Roman" w:hAnsi="Times New Roman" w:eastAsia="仿宋_GB2312" w:cs="Times New Roman"/>
          <w:sz w:val="32"/>
          <w:szCs w:val="32"/>
          <w:highlight w:val="none"/>
          <w:lang w:val="en-US" w:eastAsia="zh-CN"/>
        </w:rPr>
        <w:t>水情信息收集量</w:t>
      </w:r>
      <w:r>
        <w:rPr>
          <w:rFonts w:hint="default" w:ascii="Times New Roman" w:hAnsi="Times New Roman" w:eastAsia="仿宋_GB2312" w:cs="Times New Roman"/>
          <w:sz w:val="32"/>
          <w:szCs w:val="32"/>
          <w:highlight w:val="none"/>
        </w:rPr>
        <w:t>，指标值：&gt;=5900次，实际完成值：5900次，指标完成率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668F27CD">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水化水质简报报送期数</w:t>
      </w:r>
      <w:r>
        <w:rPr>
          <w:rFonts w:hint="default" w:ascii="Times New Roman" w:hAnsi="Times New Roman" w:eastAsia="仿宋_GB2312" w:cs="Times New Roman"/>
          <w:sz w:val="32"/>
          <w:szCs w:val="32"/>
          <w:highlight w:val="none"/>
        </w:rPr>
        <w:t>，指标值：&gt;=4份，实际完成值：4份，指标完成率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7A06E757">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水文测站生产设施维护数量</w:t>
      </w:r>
      <w:r>
        <w:rPr>
          <w:rFonts w:hint="default" w:ascii="Times New Roman" w:hAnsi="Times New Roman" w:eastAsia="仿宋_GB2312" w:cs="Times New Roman"/>
          <w:sz w:val="32"/>
          <w:szCs w:val="32"/>
          <w:highlight w:val="none"/>
        </w:rPr>
        <w:t>，指标值：&gt;=</w:t>
      </w:r>
      <w:r>
        <w:rPr>
          <w:rFonts w:hint="eastAsia" w:ascii="Times New Roman" w:hAnsi="Times New Roman" w:eastAsia="仿宋_GB2312" w:cs="Times New Roman"/>
          <w:sz w:val="32"/>
          <w:szCs w:val="32"/>
          <w:highlight w:val="none"/>
          <w:lang w:val="en-US" w:eastAsia="zh-CN"/>
        </w:rPr>
        <w:t>2处</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val="en-US" w:eastAsia="zh-CN"/>
        </w:rPr>
        <w:t>2处</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03475D93">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水文仪器购置数量</w:t>
      </w:r>
      <w:r>
        <w:rPr>
          <w:rFonts w:hint="default" w:ascii="Times New Roman" w:hAnsi="Times New Roman" w:eastAsia="仿宋_GB2312" w:cs="Times New Roman"/>
          <w:sz w:val="32"/>
          <w:szCs w:val="32"/>
          <w:highlight w:val="none"/>
        </w:rPr>
        <w:t>，指标值：&gt;=</w:t>
      </w:r>
      <w:r>
        <w:rPr>
          <w:rFonts w:hint="eastAsia" w:ascii="Times New Roman" w:hAnsi="Times New Roman" w:eastAsia="仿宋_GB2312" w:cs="Times New Roman"/>
          <w:sz w:val="32"/>
          <w:szCs w:val="32"/>
          <w:highlight w:val="none"/>
          <w:lang w:val="en-US" w:eastAsia="zh-CN"/>
        </w:rPr>
        <w:t>3台</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val="en-US" w:eastAsia="zh-CN"/>
        </w:rPr>
        <w:t>3台</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2BB142D9">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该指标满分为20分，根据评分标准得20分。</w:t>
      </w:r>
    </w:p>
    <w:p w14:paraId="071A7774">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质量达标率</w:t>
      </w:r>
      <w:r>
        <w:rPr>
          <w:rFonts w:hint="default" w:ascii="Times New Roman" w:hAnsi="Times New Roman" w:eastAsia="仿宋_GB2312" w:cs="Times New Roman"/>
          <w:sz w:val="32"/>
          <w:szCs w:val="32"/>
          <w:highlight w:val="none"/>
        </w:rPr>
        <w:t>：</w:t>
      </w:r>
    </w:p>
    <w:p w14:paraId="0D428E64">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质量</w:t>
      </w:r>
      <w:r>
        <w:rPr>
          <w:rFonts w:hint="default" w:ascii="Times New Roman" w:hAnsi="Times New Roman" w:eastAsia="仿宋_GB2312" w:cs="Times New Roman"/>
          <w:sz w:val="32"/>
          <w:szCs w:val="32"/>
          <w:highlight w:val="none"/>
        </w:rPr>
        <w:t>指标1：</w:t>
      </w:r>
      <w:r>
        <w:rPr>
          <w:rFonts w:hint="eastAsia" w:ascii="Times New Roman" w:hAnsi="Times New Roman" w:eastAsia="仿宋_GB2312" w:cs="Times New Roman"/>
          <w:sz w:val="32"/>
          <w:szCs w:val="32"/>
          <w:highlight w:val="none"/>
          <w:lang w:val="en-US" w:eastAsia="zh-CN"/>
        </w:rPr>
        <w:t>全年水化水质简报完成合格率</w:t>
      </w:r>
      <w:r>
        <w:rPr>
          <w:rFonts w:hint="default" w:ascii="Times New Roman" w:hAnsi="Times New Roman" w:eastAsia="仿宋_GB2312" w:cs="Times New Roman"/>
          <w:sz w:val="32"/>
          <w:szCs w:val="32"/>
          <w:highlight w:val="none"/>
        </w:rPr>
        <w:t>，指标值：&gt;=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33A1F0AF">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质量</w:t>
      </w: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水情报讯漏、错报率</w:t>
      </w:r>
      <w:r>
        <w:rPr>
          <w:rFonts w:hint="default" w:ascii="Times New Roman" w:hAnsi="Times New Roman" w:eastAsia="仿宋_GB2312" w:cs="Times New Roman"/>
          <w:sz w:val="32"/>
          <w:szCs w:val="32"/>
          <w:highlight w:val="none"/>
        </w:rPr>
        <w:t>，指标值：&lt;=5%，实际完成值：</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3FA464A6">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质量</w:t>
      </w: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水文仪器购置合格率</w:t>
      </w:r>
      <w:r>
        <w:rPr>
          <w:rFonts w:hint="default" w:ascii="Times New Roman" w:hAnsi="Times New Roman" w:eastAsia="仿宋_GB2312" w:cs="Times New Roman"/>
          <w:sz w:val="32"/>
          <w:szCs w:val="32"/>
          <w:highlight w:val="none"/>
        </w:rPr>
        <w:t>，指标值：&gt;=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441D200E">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质量</w:t>
      </w: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水文测站生产设施维护合格率</w:t>
      </w:r>
      <w:r>
        <w:rPr>
          <w:rFonts w:hint="default" w:ascii="Times New Roman" w:hAnsi="Times New Roman" w:eastAsia="仿宋_GB2312" w:cs="Times New Roman"/>
          <w:sz w:val="32"/>
          <w:szCs w:val="32"/>
          <w:highlight w:val="none"/>
        </w:rPr>
        <w:t>：&gt;=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05142526">
      <w:pPr>
        <w:shd w:val="clear" w:color="auto" w:fill="auto"/>
        <w:spacing w:line="600" w:lineRule="exact"/>
        <w:ind w:firstLine="640" w:firstLineChars="200"/>
        <w:outlineLvl w:val="9"/>
        <w:rPr>
          <w:rFonts w:hint="default"/>
          <w:lang w:val="en-US" w:eastAsia="zh-CN"/>
        </w:rPr>
      </w:pPr>
      <w:r>
        <w:rPr>
          <w:rFonts w:hint="eastAsia" w:eastAsia="仿宋_GB2312" w:cs="Times New Roman"/>
          <w:sz w:val="32"/>
          <w:szCs w:val="32"/>
          <w:highlight w:val="none"/>
          <w:lang w:val="en-US" w:eastAsia="zh-CN"/>
        </w:rPr>
        <w:t>该指标满分为20分，根据评分标准得20分。</w:t>
      </w:r>
    </w:p>
    <w:p w14:paraId="59CC2DCB">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3</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完成及时性</w:t>
      </w:r>
      <w:r>
        <w:rPr>
          <w:rFonts w:hint="default" w:ascii="Times New Roman" w:hAnsi="Times New Roman" w:eastAsia="仿宋_GB2312" w:cs="Times New Roman"/>
          <w:sz w:val="32"/>
          <w:szCs w:val="32"/>
          <w:highlight w:val="none"/>
        </w:rPr>
        <w:t>：</w:t>
      </w:r>
    </w:p>
    <w:p w14:paraId="115CA541">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w:t>
      </w:r>
      <w:r>
        <w:rPr>
          <w:rFonts w:hint="default" w:ascii="Times New Roman" w:hAnsi="Times New Roman" w:eastAsia="仿宋_GB2312" w:cs="Times New Roman"/>
          <w:sz w:val="32"/>
          <w:szCs w:val="32"/>
          <w:highlight w:val="none"/>
        </w:rPr>
        <w:t>指标1：</w:t>
      </w:r>
      <w:r>
        <w:rPr>
          <w:rFonts w:hint="eastAsia" w:ascii="Times New Roman" w:hAnsi="Times New Roman" w:eastAsia="仿宋_GB2312" w:cs="Times New Roman"/>
          <w:sz w:val="32"/>
          <w:szCs w:val="32"/>
          <w:highlight w:val="none"/>
          <w:lang w:val="en-US" w:eastAsia="zh-CN"/>
        </w:rPr>
        <w:t>水化水质简报上报成果及时率</w:t>
      </w:r>
      <w:r>
        <w:rPr>
          <w:rFonts w:hint="default" w:ascii="Times New Roman" w:hAnsi="Times New Roman" w:eastAsia="仿宋_GB2312" w:cs="Times New Roman"/>
          <w:sz w:val="32"/>
          <w:szCs w:val="32"/>
          <w:highlight w:val="none"/>
        </w:rPr>
        <w:t>，指标值：&gt;=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0200D5A4">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w:t>
      </w: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水雨情信息报水情分中心时限</w:t>
      </w:r>
      <w:r>
        <w:rPr>
          <w:rFonts w:hint="default" w:ascii="Times New Roman" w:hAnsi="Times New Roman" w:eastAsia="仿宋_GB2312" w:cs="Times New Roman"/>
          <w:sz w:val="32"/>
          <w:szCs w:val="32"/>
          <w:highlight w:val="none"/>
        </w:rPr>
        <w:t>，指标值：&lt;=</w:t>
      </w:r>
      <w:r>
        <w:rPr>
          <w:rFonts w:hint="eastAsia" w:eastAsia="仿宋_GB2312" w:cs="Times New Roman"/>
          <w:sz w:val="32"/>
          <w:szCs w:val="32"/>
          <w:highlight w:val="none"/>
          <w:lang w:val="en-US" w:eastAsia="zh-CN"/>
        </w:rPr>
        <w:t>30分钟</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30分钟</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5B646613">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w:t>
      </w: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水文仪器设备购置及时率</w:t>
      </w:r>
      <w:r>
        <w:rPr>
          <w:rFonts w:hint="default" w:ascii="Times New Roman" w:hAnsi="Times New Roman" w:eastAsia="仿宋_GB2312" w:cs="Times New Roman"/>
          <w:sz w:val="32"/>
          <w:szCs w:val="32"/>
          <w:highlight w:val="none"/>
        </w:rPr>
        <w:t>，指标值：&gt;=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16E930DE">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w:t>
      </w: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水文测站生产设施维护及时率</w:t>
      </w:r>
      <w:r>
        <w:rPr>
          <w:rFonts w:hint="default" w:ascii="Times New Roman" w:hAnsi="Times New Roman" w:eastAsia="仿宋_GB2312" w:cs="Times New Roman"/>
          <w:sz w:val="32"/>
          <w:szCs w:val="32"/>
          <w:highlight w:val="none"/>
        </w:rPr>
        <w:t>：&gt;=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543E01CE">
      <w:pPr>
        <w:shd w:val="clear" w:color="auto" w:fill="auto"/>
        <w:spacing w:line="600" w:lineRule="exact"/>
        <w:ind w:firstLine="640" w:firstLineChars="200"/>
        <w:outlineLvl w:val="9"/>
        <w:rPr>
          <w:rFonts w:hint="default"/>
          <w:lang w:val="en-US" w:eastAsia="zh-CN"/>
        </w:rPr>
      </w:pPr>
      <w:r>
        <w:rPr>
          <w:rFonts w:hint="eastAsia" w:eastAsia="仿宋_GB2312" w:cs="Times New Roman"/>
          <w:sz w:val="32"/>
          <w:szCs w:val="32"/>
          <w:highlight w:val="none"/>
          <w:lang w:val="en-US" w:eastAsia="zh-CN"/>
        </w:rPr>
        <w:t>该指标满分为20分，根据评分标准得20分。</w:t>
      </w:r>
    </w:p>
    <w:p w14:paraId="3F87C54E">
      <w:pPr>
        <w:shd w:val="clear" w:color="auto" w:fill="auto"/>
        <w:spacing w:line="600" w:lineRule="exact"/>
        <w:ind w:firstLine="640" w:firstLineChars="200"/>
        <w:outlineLvl w:val="9"/>
        <w:rPr>
          <w:rFonts w:hint="default" w:eastAsia="仿宋_GB2312" w:cs="Times New Roman"/>
          <w:sz w:val="32"/>
          <w:szCs w:val="32"/>
          <w:highlight w:val="none"/>
          <w:lang w:val="en-US"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4</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成本节约率</w:t>
      </w:r>
      <w:r>
        <w:rPr>
          <w:rFonts w:hint="default" w:eastAsia="仿宋_GB2312" w:cs="Times New Roman"/>
          <w:sz w:val="32"/>
          <w:szCs w:val="32"/>
          <w:highlight w:val="none"/>
          <w:lang w:val="en-US" w:eastAsia="zh-CN"/>
        </w:rPr>
        <w:t>：</w:t>
      </w:r>
    </w:p>
    <w:p w14:paraId="1052F18B">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成本</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水文测站生产设施维护成本</w:t>
      </w:r>
      <w:r>
        <w:rPr>
          <w:rFonts w:hint="default" w:ascii="Times New Roman" w:hAnsi="Times New Roman" w:eastAsia="仿宋_GB2312" w:cs="Times New Roman"/>
          <w:sz w:val="32"/>
          <w:szCs w:val="32"/>
          <w:highlight w:val="none"/>
        </w:rPr>
        <w:t>，指标值：&lt;=</w:t>
      </w:r>
      <w:r>
        <w:rPr>
          <w:rFonts w:hint="eastAsia" w:eastAsia="仿宋_GB2312" w:cs="Times New Roman"/>
          <w:sz w:val="32"/>
          <w:szCs w:val="32"/>
          <w:highlight w:val="none"/>
          <w:lang w:val="en-US" w:eastAsia="zh-CN"/>
        </w:rPr>
        <w:t>16.4万元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16.4万元</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4A337908">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成本</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仪器设备更新成本</w:t>
      </w:r>
      <w:r>
        <w:rPr>
          <w:rFonts w:hint="default" w:ascii="Times New Roman" w:hAnsi="Times New Roman" w:eastAsia="仿宋_GB2312" w:cs="Times New Roman"/>
          <w:sz w:val="32"/>
          <w:szCs w:val="32"/>
          <w:highlight w:val="none"/>
        </w:rPr>
        <w:t>，指标值：：&lt;=</w:t>
      </w:r>
      <w:r>
        <w:rPr>
          <w:rFonts w:hint="eastAsia" w:eastAsia="仿宋_GB2312" w:cs="Times New Roman"/>
          <w:sz w:val="32"/>
          <w:szCs w:val="32"/>
          <w:highlight w:val="none"/>
          <w:lang w:val="en-US" w:eastAsia="zh-CN"/>
        </w:rPr>
        <w:t>22.10万元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22.10万元</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066FF2BC">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200"/>
        <w:textAlignment w:val="auto"/>
        <w:outlineLvl w:val="2"/>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该指标满分为20分</w:t>
      </w:r>
      <w:r>
        <w:rPr>
          <w:rFonts w:hint="default" w:eastAsia="仿宋_GB2312" w:cs="Times New Roman"/>
          <w:sz w:val="32"/>
          <w:szCs w:val="32"/>
          <w:highlight w:val="none"/>
          <w:lang w:val="en-US" w:eastAsia="zh-CN"/>
        </w:rPr>
        <w:t>，本项目计划总成本为</w:t>
      </w:r>
      <w:r>
        <w:rPr>
          <w:rFonts w:hint="eastAsia" w:eastAsia="仿宋_GB2312" w:cs="Times New Roman"/>
          <w:sz w:val="32"/>
          <w:szCs w:val="32"/>
          <w:highlight w:val="none"/>
          <w:lang w:val="en-US" w:eastAsia="zh-CN"/>
        </w:rPr>
        <w:t>38.5</w:t>
      </w:r>
      <w:r>
        <w:rPr>
          <w:rFonts w:hint="default" w:eastAsia="仿宋_GB2312" w:cs="Times New Roman"/>
          <w:sz w:val="32"/>
          <w:szCs w:val="32"/>
          <w:highlight w:val="none"/>
          <w:lang w:val="en-US" w:eastAsia="zh-CN"/>
        </w:rPr>
        <w:t>万元，实际发生总成本为</w:t>
      </w:r>
      <w:r>
        <w:rPr>
          <w:rFonts w:hint="eastAsia" w:eastAsia="仿宋_GB2312" w:cs="Times New Roman"/>
          <w:sz w:val="32"/>
          <w:szCs w:val="32"/>
          <w:highlight w:val="none"/>
          <w:lang w:val="en-US" w:eastAsia="zh-CN"/>
        </w:rPr>
        <w:t>38.5</w:t>
      </w:r>
      <w:r>
        <w:rPr>
          <w:rFonts w:hint="default" w:eastAsia="仿宋_GB2312" w:cs="Times New Roman"/>
          <w:sz w:val="32"/>
          <w:szCs w:val="32"/>
          <w:highlight w:val="none"/>
          <w:lang w:val="en-US" w:eastAsia="zh-CN"/>
        </w:rPr>
        <w:t>万元，成本节约率为</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%，未发生任何超支情况</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3D065275">
      <w:pPr>
        <w:pStyle w:val="14"/>
        <w:numPr>
          <w:ilvl w:val="0"/>
          <w:numId w:val="0"/>
        </w:numPr>
        <w:spacing w:line="560" w:lineRule="exact"/>
        <w:ind w:firstLine="643" w:firstLineChars="200"/>
        <w:outlineLvl w:val="1"/>
        <w:rPr>
          <w:rFonts w:hint="default" w:ascii="Times New Roman" w:hAnsi="Times New Roman" w:eastAsia="楷体_GB2312" w:cs="Times New Roman"/>
          <w:b/>
          <w:bCs/>
          <w:sz w:val="32"/>
          <w:szCs w:val="32"/>
          <w:lang w:val="en-US" w:eastAsia="zh-CN"/>
        </w:rPr>
      </w:pPr>
      <w:bookmarkStart w:id="55" w:name="_Toc18470"/>
      <w:r>
        <w:rPr>
          <w:rFonts w:hint="eastAsia" w:eastAsia="楷体_GB2312" w:cs="Times New Roman"/>
          <w:b/>
          <w:bCs/>
          <w:sz w:val="32"/>
          <w:szCs w:val="32"/>
          <w:lang w:val="en-US" w:eastAsia="zh-CN"/>
        </w:rPr>
        <w:t>（四）</w:t>
      </w:r>
      <w:r>
        <w:rPr>
          <w:rFonts w:hint="default" w:ascii="Times New Roman" w:hAnsi="Times New Roman" w:eastAsia="楷体_GB2312" w:cs="Times New Roman"/>
          <w:b/>
          <w:bCs/>
          <w:sz w:val="32"/>
          <w:szCs w:val="32"/>
          <w:lang w:val="en-US" w:eastAsia="zh-CN"/>
        </w:rPr>
        <w:t>项目效益情况</w:t>
      </w:r>
      <w:bookmarkEnd w:id="55"/>
    </w:p>
    <w:p w14:paraId="31CD22CA">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78F59FE1">
      <w:pPr>
        <w:shd w:val="clear" w:color="auto" w:fill="auto"/>
        <w:spacing w:line="600" w:lineRule="exact"/>
        <w:ind w:firstLine="640" w:firstLineChars="200"/>
        <w:outlineLvl w:val="2"/>
        <w:rPr>
          <w:rFonts w:hint="default" w:ascii="Times New Roman" w:hAnsi="Times New Roman" w:eastAsia="仿宋_GB2312" w:cs="Times New Roman"/>
          <w:color w:val="FF0000"/>
          <w:sz w:val="32"/>
          <w:szCs w:val="32"/>
          <w:highlight w:val="none"/>
          <w:lang w:val="en-US" w:eastAsia="zh-CN"/>
        </w:rPr>
      </w:pPr>
      <w:bookmarkStart w:id="56" w:name="_Toc21198"/>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实施效益</w:t>
      </w:r>
      <w:bookmarkEnd w:id="56"/>
    </w:p>
    <w:p w14:paraId="77DC49BB">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4541A3B3">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效益</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为综合治理、开发和防洪对策研究提供重要的基础信息和决策依据取得效益</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显著</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显著</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无，改进措施：无。</w:t>
      </w:r>
    </w:p>
    <w:p w14:paraId="7951D3B9">
      <w:pPr>
        <w:shd w:val="clear" w:color="auto" w:fill="auto"/>
        <w:spacing w:line="600" w:lineRule="exact"/>
        <w:ind w:firstLine="640" w:firstLineChars="200"/>
        <w:outlineLvl w:val="9"/>
        <w:rPr>
          <w:rFonts w:hint="default"/>
          <w:lang w:val="en-US" w:eastAsia="zh-CN"/>
        </w:rPr>
      </w:pPr>
      <w:r>
        <w:rPr>
          <w:rFonts w:hint="eastAsia" w:eastAsia="仿宋_GB2312" w:cs="Times New Roman"/>
          <w:sz w:val="32"/>
          <w:szCs w:val="32"/>
          <w:highlight w:val="none"/>
          <w:lang w:val="en-US" w:eastAsia="zh-CN"/>
        </w:rPr>
        <w:t>该指标满分为10分，根据评分标准得10分。</w:t>
      </w:r>
    </w:p>
    <w:p w14:paraId="49B523BB">
      <w:pPr>
        <w:spacing w:line="560" w:lineRule="exact"/>
        <w:ind w:firstLine="640" w:firstLineChars="200"/>
        <w:outlineLvl w:val="0"/>
        <w:rPr>
          <w:rFonts w:hint="default" w:ascii="黑体" w:hAnsi="黑体" w:eastAsia="黑体" w:cs="黑体"/>
          <w:b w:val="0"/>
          <w:bCs w:val="0"/>
          <w:sz w:val="32"/>
          <w:szCs w:val="32"/>
          <w:lang w:val="en-US" w:eastAsia="zh-CN"/>
        </w:rPr>
      </w:pPr>
      <w:bookmarkStart w:id="57" w:name="_Toc21462"/>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rPr>
        <w:t>预算执行进度与</w:t>
      </w:r>
      <w:bookmarkEnd w:id="57"/>
      <w:r>
        <w:rPr>
          <w:rFonts w:hint="eastAsia" w:ascii="黑体" w:hAnsi="黑体" w:eastAsia="黑体" w:cs="黑体"/>
          <w:b w:val="0"/>
          <w:bCs w:val="0"/>
          <w:sz w:val="32"/>
          <w:szCs w:val="32"/>
          <w:lang w:val="en-US" w:eastAsia="zh-CN"/>
        </w:rPr>
        <w:t>绩效指标偏差</w:t>
      </w:r>
    </w:p>
    <w:p w14:paraId="683820A8">
      <w:pPr>
        <w:pStyle w:val="24"/>
        <w:spacing w:line="560" w:lineRule="exact"/>
        <w:ind w:firstLine="640"/>
        <w:rPr>
          <w:rFonts w:hint="eastAsia" w:ascii="仿宋_GB2312" w:hAnsi="仿宋_GB2312" w:eastAsia="仿宋_GB2312" w:cs="仿宋_GB2312"/>
          <w:b w:val="0"/>
          <w:bCs w:val="0"/>
          <w:sz w:val="32"/>
          <w:szCs w:val="32"/>
          <w:highlight w:val="none"/>
        </w:rPr>
      </w:pPr>
      <w:r>
        <w:rPr>
          <w:rFonts w:hint="eastAsia" w:ascii="Times New Roman" w:hAnsi="Times New Roman" w:eastAsia="仿宋_GB2312" w:cs="Times New Roman"/>
          <w:kern w:val="2"/>
          <w:sz w:val="32"/>
          <w:szCs w:val="32"/>
          <w:highlight w:val="none"/>
          <w:lang w:val="en-US" w:eastAsia="zh-CN" w:bidi="ar-SA"/>
        </w:rPr>
        <w:t>水文测报管理专项</w:t>
      </w:r>
      <w:r>
        <w:rPr>
          <w:rFonts w:hint="eastAsia" w:ascii="仿宋_GB2312" w:hAnsi="仿宋_GB2312" w:eastAsia="仿宋_GB2312" w:cs="仿宋_GB2312"/>
          <w:b w:val="0"/>
          <w:bCs w:val="0"/>
          <w:sz w:val="32"/>
          <w:szCs w:val="32"/>
          <w:highlight w:val="none"/>
        </w:rPr>
        <w:t>项目年初预算</w:t>
      </w:r>
      <w:r>
        <w:rPr>
          <w:rFonts w:hint="eastAsia" w:ascii="仿宋_GB2312" w:hAnsi="仿宋_GB2312" w:eastAsia="仿宋_GB2312" w:cs="仿宋_GB2312"/>
          <w:b w:val="0"/>
          <w:bCs w:val="0"/>
          <w:sz w:val="32"/>
          <w:szCs w:val="32"/>
          <w:highlight w:val="none"/>
          <w:lang w:val="en-US" w:eastAsia="zh-CN"/>
        </w:rPr>
        <w:t>38.5</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38.5</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38.5</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%，总体偏差率为</w:t>
      </w:r>
      <w:r>
        <w:rPr>
          <w:rFonts w:hint="eastAsia" w:ascii="仿宋_GB2312" w:hAnsi="仿宋_GB2312" w:eastAsia="仿宋_GB2312" w:cs="仿宋_GB2312"/>
          <w:b w:val="0"/>
          <w:bCs w:val="0"/>
          <w:sz w:val="32"/>
          <w:szCs w:val="32"/>
          <w:highlight w:val="none"/>
          <w:lang w:val="en-US" w:eastAsia="zh-CN"/>
        </w:rPr>
        <w:t>0</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偏差原因</w:t>
      </w:r>
      <w:r>
        <w:rPr>
          <w:rFonts w:hint="eastAsia" w:ascii="仿宋_GB2312" w:hAnsi="仿宋_GB2312" w:eastAsia="仿宋_GB2312" w:cs="仿宋_GB2312"/>
          <w:b w:val="0"/>
          <w:bCs w:val="0"/>
          <w:sz w:val="32"/>
          <w:szCs w:val="32"/>
          <w:highlight w:val="none"/>
          <w:lang w:val="en-US" w:eastAsia="zh-CN"/>
        </w:rPr>
        <w:t>无</w:t>
      </w:r>
      <w:r>
        <w:rPr>
          <w:rFonts w:hint="eastAsia" w:ascii="仿宋_GB2312" w:hAnsi="仿宋_GB2312" w:eastAsia="仿宋_GB2312" w:cs="仿宋_GB2312"/>
          <w:b w:val="0"/>
          <w:bCs w:val="0"/>
          <w:sz w:val="32"/>
          <w:szCs w:val="32"/>
          <w:highlight w:val="none"/>
        </w:rPr>
        <w:t>，改进措施</w:t>
      </w:r>
      <w:r>
        <w:rPr>
          <w:rFonts w:hint="eastAsia" w:ascii="仿宋_GB2312" w:hAnsi="仿宋_GB2312" w:eastAsia="仿宋_GB2312" w:cs="仿宋_GB2312"/>
          <w:b w:val="0"/>
          <w:bCs w:val="0"/>
          <w:sz w:val="32"/>
          <w:szCs w:val="32"/>
          <w:highlight w:val="none"/>
          <w:lang w:val="en-US" w:eastAsia="zh-CN"/>
        </w:rPr>
        <w:t>无</w:t>
      </w:r>
      <w:r>
        <w:rPr>
          <w:rFonts w:hint="eastAsia" w:ascii="仿宋_GB2312" w:hAnsi="仿宋_GB2312" w:eastAsia="仿宋_GB2312" w:cs="仿宋_GB2312"/>
          <w:b w:val="0"/>
          <w:bCs w:val="0"/>
          <w:sz w:val="32"/>
          <w:szCs w:val="32"/>
          <w:highlight w:val="none"/>
        </w:rPr>
        <w:t>。</w:t>
      </w:r>
    </w:p>
    <w:p w14:paraId="4558DC03">
      <w:pPr>
        <w:spacing w:line="560" w:lineRule="exact"/>
        <w:ind w:firstLine="640" w:firstLineChars="200"/>
        <w:outlineLvl w:val="0"/>
        <w:rPr>
          <w:rStyle w:val="23"/>
          <w:rFonts w:hint="default" w:ascii="Times New Roman" w:hAnsi="Times New Roman" w:cs="Times New Roman"/>
          <w:color w:val="auto"/>
        </w:rPr>
      </w:pPr>
      <w:bookmarkStart w:id="58" w:name="_Toc18363"/>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bookmarkEnd w:id="58"/>
    </w:p>
    <w:p w14:paraId="46DD0006">
      <w:pPr>
        <w:spacing w:line="560" w:lineRule="exact"/>
        <w:ind w:firstLine="627" w:firstLineChars="200"/>
        <w:outlineLvl w:val="1"/>
        <w:rPr>
          <w:rFonts w:hint="default" w:ascii="Times New Roman" w:hAnsi="Times New Roman" w:eastAsia="楷体" w:cs="Times New Roman"/>
          <w:b/>
          <w:spacing w:val="-4"/>
          <w:sz w:val="32"/>
          <w:szCs w:val="32"/>
        </w:rPr>
      </w:pPr>
      <w:bookmarkStart w:id="59" w:name="_Toc22741"/>
      <w:r>
        <w:rPr>
          <w:rFonts w:hint="default" w:ascii="Times New Roman" w:hAnsi="Times New Roman" w:eastAsia="楷体" w:cs="Times New Roman"/>
          <w:b/>
          <w:spacing w:val="-4"/>
          <w:sz w:val="32"/>
          <w:szCs w:val="32"/>
        </w:rPr>
        <w:t>（一）主要经验及做法</w:t>
      </w:r>
      <w:bookmarkEnd w:id="59"/>
    </w:p>
    <w:p w14:paraId="402F8F76">
      <w:pPr>
        <w:pStyle w:val="13"/>
        <w:spacing w:before="0" w:after="0" w:line="560" w:lineRule="exact"/>
        <w:ind w:firstLine="640" w:firstLineChars="200"/>
        <w:jc w:val="left"/>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本项目在实施中注重精准施策与闭环管理。项目启动前，立足核心定位深入调研需求，明确总体目标与阶段性任务，科学编制实施方案和绩效指标体系，确保各环节任务分工、时间节点、责任主体清晰可控；资金管理上严格遵循 “预算引领、专款专用” 原则，从编制、使用到监控全流程把关，保障资金合规高效使用。</w:t>
      </w:r>
    </w:p>
    <w:p w14:paraId="6C6778E8">
      <w:pPr>
        <w:pStyle w:val="13"/>
        <w:spacing w:before="0" w:after="0" w:line="560" w:lineRule="exact"/>
        <w:ind w:firstLine="640" w:firstLineChars="200"/>
        <w:jc w:val="left"/>
        <w:outlineLvl w:val="9"/>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sz w:val="32"/>
          <w:szCs w:val="32"/>
        </w:rPr>
        <w:t>同时，强化协同联动与过程管控，建立沟通协作机制，及时协调解决实施中的堵点问题；通过定期调度、实地核查等方式动态跟踪进度与质量，规范档案管理确保全程可追溯。此外，提前预判政策、进度等潜在风险并制定应对预案，聚焦成果转化与效益延伸，推动项目产出持续发挥综合价值，为同类项目实施提供了实用参考。</w:t>
      </w:r>
    </w:p>
    <w:p w14:paraId="0E55BD28">
      <w:pPr>
        <w:keepNext/>
        <w:keepLines/>
        <w:numPr>
          <w:ilvl w:val="0"/>
          <w:numId w:val="4"/>
        </w:numPr>
        <w:spacing w:line="560" w:lineRule="exact"/>
        <w:ind w:left="-223" w:leftChars="0" w:firstLine="643" w:firstLineChars="0"/>
        <w:outlineLvl w:val="1"/>
        <w:rPr>
          <w:rFonts w:hint="default" w:ascii="Times New Roman" w:hAnsi="Times New Roman" w:eastAsia="楷体_GB2312" w:cs="Times New Roman"/>
          <w:b/>
          <w:bCs/>
          <w:sz w:val="32"/>
          <w:szCs w:val="32"/>
        </w:rPr>
      </w:pPr>
      <w:bookmarkStart w:id="60" w:name="_Toc7835"/>
      <w:r>
        <w:rPr>
          <w:rFonts w:hint="default" w:ascii="Times New Roman" w:hAnsi="Times New Roman" w:eastAsia="楷体_GB2312" w:cs="Times New Roman"/>
          <w:b/>
          <w:bCs/>
          <w:sz w:val="32"/>
          <w:szCs w:val="32"/>
        </w:rPr>
        <w:t>存在的问题及原因分析</w:t>
      </w:r>
      <w:bookmarkEnd w:id="60"/>
    </w:p>
    <w:p w14:paraId="69568267">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398BDFE4">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396B4471">
      <w:pPr>
        <w:spacing w:line="560" w:lineRule="exact"/>
        <w:ind w:firstLine="640" w:firstLineChars="200"/>
        <w:outlineLvl w:val="0"/>
        <w:rPr>
          <w:rFonts w:hint="default" w:ascii="Times New Roman" w:hAnsi="Times New Roman" w:eastAsia="黑体" w:cs="Times New Roman"/>
          <w:sz w:val="32"/>
          <w:szCs w:val="32"/>
        </w:rPr>
      </w:pPr>
      <w:bookmarkStart w:id="61" w:name="_Toc25529"/>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bookmarkEnd w:id="61"/>
    </w:p>
    <w:p w14:paraId="7E371849">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27BCDA03">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1AD5DBC8">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47363789">
      <w:pPr>
        <w:shd w:val="clear" w:color="auto" w:fill="auto"/>
        <w:spacing w:line="600" w:lineRule="exact"/>
        <w:ind w:firstLine="640" w:firstLineChars="200"/>
        <w:outlineLvl w:val="9"/>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6FCF9D98">
      <w:pPr>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bookmarkStart w:id="62" w:name="_Toc3065"/>
    </w:p>
    <w:p w14:paraId="0D6BDEA3">
      <w:pPr>
        <w:spacing w:line="560" w:lineRule="exact"/>
        <w:ind w:firstLine="640" w:firstLineChars="200"/>
        <w:outlineLvl w:val="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63" w:name="page8"/>
      <w:bookmarkEnd w:id="63"/>
      <w:r>
        <w:rPr>
          <w:rFonts w:hint="default" w:ascii="Times New Roman" w:hAnsi="Times New Roman" w:eastAsia="黑体" w:cs="Times New Roman"/>
          <w:sz w:val="32"/>
          <w:szCs w:val="32"/>
        </w:rPr>
        <w:t>明的问题</w:t>
      </w:r>
      <w:bookmarkEnd w:id="62"/>
    </w:p>
    <w:p w14:paraId="5A1151FB">
      <w:pPr>
        <w:pStyle w:val="15"/>
        <w:spacing w:after="0" w:line="560" w:lineRule="exact"/>
        <w:ind w:left="0" w:leftChars="0" w:firstLine="64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本项目无其他需说明的问题。</w:t>
      </w:r>
    </w:p>
    <w:p w14:paraId="12E312BB">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p>
    <w:p w14:paraId="031A79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p>
    <w:p w14:paraId="3F86DA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p>
    <w:p w14:paraId="15460496">
      <w:pPr>
        <w:pStyle w:val="2"/>
        <w:ind w:firstLine="640" w:firstLineChars="200"/>
        <w:rPr>
          <w:rFonts w:hint="default" w:ascii="Times New Roman" w:hAnsi="Times New Roman" w:eastAsia="仿宋_GB2312" w:cs="Times New Roman"/>
          <w:b w:val="0"/>
          <w:bCs w:val="0"/>
          <w:kern w:val="28"/>
          <w:sz w:val="32"/>
          <w:szCs w:val="32"/>
          <w:lang w:val="en-US" w:eastAsia="zh-CN" w:bidi="ar-SA"/>
        </w:rPr>
      </w:pPr>
    </w:p>
    <w:p w14:paraId="0AA5910B">
      <w:pPr>
        <w:spacing w:line="540" w:lineRule="exact"/>
        <w:rPr>
          <w:rStyle w:val="19"/>
          <w:rFonts w:hint="default" w:ascii="Times New Roman" w:hAnsi="Times New Roman" w:eastAsia="黑体" w:cs="Times New Roman"/>
          <w:b w:val="0"/>
          <w:spacing w:val="-4"/>
          <w:sz w:val="32"/>
          <w:szCs w:val="32"/>
        </w:rPr>
      </w:pPr>
    </w:p>
    <w:p w14:paraId="747A213B">
      <w:pPr>
        <w:spacing w:line="540" w:lineRule="exact"/>
        <w:ind w:firstLine="640"/>
        <w:rPr>
          <w:rStyle w:val="19"/>
          <w:rFonts w:hint="default" w:ascii="Times New Roman" w:hAnsi="Times New Roman" w:eastAsia="黑体" w:cs="Times New Roman"/>
          <w:b w:val="0"/>
          <w:spacing w:val="-4"/>
          <w:sz w:val="32"/>
          <w:szCs w:val="32"/>
        </w:rPr>
      </w:pPr>
    </w:p>
    <w:p w14:paraId="3A8BC98F">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6C7B6694">
      <w:pPr>
        <w:pStyle w:val="15"/>
        <w:spacing w:after="0" w:line="560" w:lineRule="exact"/>
        <w:ind w:left="0" w:leftChars="0" w:firstLine="643" w:firstLineChars="200"/>
        <w:rPr>
          <w:rFonts w:hint="eastAsia" w:ascii="Times New Roman" w:hAnsi="Times New Roman" w:eastAsia="仿宋_GB2312" w:cs="Times New Roman"/>
          <w:b/>
          <w:bCs/>
          <w:color w:val="FF0000"/>
          <w:sz w:val="32"/>
          <w:szCs w:val="32"/>
          <w:lang w:eastAsia="zh-CN"/>
        </w:rPr>
      </w:pPr>
    </w:p>
    <w:p w14:paraId="38F82B57">
      <w:pPr>
        <w:spacing w:line="600" w:lineRule="exact"/>
        <w:outlineLvl w:val="0"/>
        <w:rPr>
          <w:rFonts w:hint="default" w:eastAsia="黑体" w:cs="Times New Roman"/>
          <w:sz w:val="32"/>
          <w:szCs w:val="32"/>
          <w:lang w:val="en-US" w:eastAsia="zh-CN"/>
        </w:rPr>
      </w:pPr>
      <w:bookmarkStart w:id="64" w:name="_Toc15260"/>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bookmarkEnd w:id="64"/>
      <w:r>
        <w:rPr>
          <w:rFonts w:hint="eastAsia" w:eastAsia="黑体" w:cs="Times New Roman"/>
          <w:sz w:val="32"/>
          <w:szCs w:val="32"/>
          <w:lang w:val="en-US" w:eastAsia="zh-CN"/>
        </w:rPr>
        <w:t>评价指标体系</w:t>
      </w:r>
    </w:p>
    <w:p w14:paraId="5A89FBA4">
      <w:pPr>
        <w:pStyle w:val="24"/>
        <w:ind w:firstLine="562"/>
        <w:jc w:val="center"/>
        <w:rPr>
          <w:rFonts w:hint="eastAsia" w:ascii="仿宋_GB2312" w:hAnsi="仿宋_GB2312" w:eastAsia="仿宋_GB2312" w:cs="仿宋_GB2312"/>
          <w:sz w:val="28"/>
          <w:szCs w:val="40"/>
        </w:rPr>
      </w:pPr>
      <w:bookmarkStart w:id="65" w:name="_Toc30064_WPSOffice_Level1"/>
      <w:bookmarkStart w:id="66" w:name="_Toc26499_WPSOffice_Level2"/>
      <w:r>
        <w:rPr>
          <w:rFonts w:hint="eastAsia" w:ascii="仿宋_GB2312" w:hAnsi="仿宋_GB2312" w:eastAsia="仿宋_GB2312" w:cs="仿宋_GB2312"/>
          <w:b/>
          <w:bCs/>
          <w:sz w:val="28"/>
          <w:szCs w:val="40"/>
          <w:lang w:val="en-US" w:eastAsia="zh-CN"/>
        </w:rPr>
        <w:t>自治区水利发展资金专项</w:t>
      </w:r>
      <w:r>
        <w:rPr>
          <w:rFonts w:hint="eastAsia" w:ascii="仿宋_GB2312" w:hAnsi="仿宋_GB2312" w:eastAsia="仿宋_GB2312" w:cs="仿宋_GB2312"/>
          <w:b/>
          <w:bCs/>
          <w:sz w:val="28"/>
          <w:szCs w:val="40"/>
        </w:rPr>
        <w:t>项目绩效评价指标体系</w:t>
      </w:r>
      <w:bookmarkEnd w:id="65"/>
      <w:bookmarkEnd w:id="66"/>
    </w:p>
    <w:tbl>
      <w:tblPr>
        <w:tblStyle w:val="16"/>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997"/>
        <w:gridCol w:w="1071"/>
        <w:gridCol w:w="1726"/>
        <w:gridCol w:w="5222"/>
        <w:gridCol w:w="1299"/>
        <w:gridCol w:w="1366"/>
      </w:tblGrid>
      <w:tr w14:paraId="267A04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3ED10A0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997" w:type="dxa"/>
            <w:shd w:val="clear" w:color="auto" w:fill="FFFFFF"/>
            <w:vAlign w:val="center"/>
          </w:tcPr>
          <w:p w14:paraId="2465D44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61C2011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6" w:type="dxa"/>
            <w:shd w:val="clear" w:color="auto" w:fill="FFFFFF"/>
            <w:vAlign w:val="center"/>
          </w:tcPr>
          <w:p w14:paraId="2A4CE5C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22" w:type="dxa"/>
            <w:shd w:val="clear" w:color="auto" w:fill="FFFFFF"/>
            <w:vAlign w:val="center"/>
          </w:tcPr>
          <w:p w14:paraId="4871903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299" w:type="dxa"/>
            <w:shd w:val="clear" w:color="auto" w:fill="FFFFFF"/>
            <w:vAlign w:val="center"/>
          </w:tcPr>
          <w:p w14:paraId="3FFE704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6" w:type="dxa"/>
            <w:shd w:val="clear" w:color="auto" w:fill="FFFFFF"/>
            <w:vAlign w:val="center"/>
          </w:tcPr>
          <w:p w14:paraId="41A6ED5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52A4FC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3E32C769">
            <w:pPr>
              <w:widowControl/>
              <w:spacing w:line="0" w:lineRule="atLeast"/>
              <w:jc w:val="center"/>
              <w:rPr>
                <w:rFonts w:hint="default" w:ascii="Times New Roman" w:hAnsi="Times New Roman" w:eastAsia="仿宋_GB2312" w:cs="Times New Roman"/>
                <w:color w:val="000000"/>
                <w:kern w:val="0"/>
                <w:sz w:val="18"/>
                <w:szCs w:val="18"/>
              </w:rPr>
            </w:pPr>
          </w:p>
          <w:p w14:paraId="6678C566">
            <w:pPr>
              <w:widowControl/>
              <w:spacing w:line="0" w:lineRule="atLeast"/>
              <w:jc w:val="center"/>
              <w:rPr>
                <w:rFonts w:hint="default" w:ascii="Times New Roman" w:hAnsi="Times New Roman" w:eastAsia="仿宋_GB2312" w:cs="Times New Roman"/>
                <w:color w:val="000000"/>
                <w:kern w:val="0"/>
                <w:sz w:val="18"/>
                <w:szCs w:val="18"/>
              </w:rPr>
            </w:pPr>
          </w:p>
          <w:p w14:paraId="65EB1900">
            <w:pPr>
              <w:widowControl/>
              <w:spacing w:line="0" w:lineRule="atLeast"/>
              <w:jc w:val="center"/>
              <w:rPr>
                <w:rFonts w:hint="default" w:ascii="Times New Roman" w:hAnsi="Times New Roman" w:eastAsia="仿宋_GB2312" w:cs="Times New Roman"/>
                <w:color w:val="000000"/>
                <w:kern w:val="0"/>
                <w:sz w:val="18"/>
                <w:szCs w:val="18"/>
              </w:rPr>
            </w:pPr>
          </w:p>
          <w:p w14:paraId="06D7BE10">
            <w:pPr>
              <w:widowControl/>
              <w:spacing w:line="0" w:lineRule="atLeast"/>
              <w:jc w:val="center"/>
              <w:rPr>
                <w:rFonts w:hint="default" w:ascii="Times New Roman" w:hAnsi="Times New Roman" w:eastAsia="仿宋_GB2312" w:cs="Times New Roman"/>
                <w:color w:val="000000"/>
                <w:kern w:val="0"/>
                <w:sz w:val="18"/>
                <w:szCs w:val="18"/>
              </w:rPr>
            </w:pPr>
          </w:p>
          <w:p w14:paraId="7880DDF2">
            <w:pPr>
              <w:widowControl/>
              <w:spacing w:line="0" w:lineRule="atLeast"/>
              <w:jc w:val="center"/>
              <w:rPr>
                <w:rFonts w:hint="default" w:ascii="Times New Roman" w:hAnsi="Times New Roman" w:eastAsia="仿宋_GB2312" w:cs="Times New Roman"/>
                <w:color w:val="000000"/>
                <w:kern w:val="0"/>
                <w:sz w:val="18"/>
                <w:szCs w:val="18"/>
              </w:rPr>
            </w:pPr>
          </w:p>
          <w:p w14:paraId="1FA6A989">
            <w:pPr>
              <w:widowControl/>
              <w:spacing w:line="0" w:lineRule="atLeast"/>
              <w:jc w:val="center"/>
              <w:rPr>
                <w:rFonts w:hint="default" w:ascii="Times New Roman" w:hAnsi="Times New Roman" w:eastAsia="仿宋_GB2312" w:cs="Times New Roman"/>
                <w:color w:val="000000"/>
                <w:kern w:val="0"/>
                <w:sz w:val="18"/>
                <w:szCs w:val="18"/>
              </w:rPr>
            </w:pPr>
          </w:p>
          <w:p w14:paraId="4D3D3C3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w:t>
            </w:r>
          </w:p>
        </w:tc>
        <w:tc>
          <w:tcPr>
            <w:tcW w:w="997" w:type="dxa"/>
            <w:vMerge w:val="restart"/>
            <w:shd w:val="clear" w:color="auto" w:fill="FFFFFF"/>
            <w:vAlign w:val="center"/>
          </w:tcPr>
          <w:p w14:paraId="18B4DA2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w:t>
            </w:r>
          </w:p>
        </w:tc>
        <w:tc>
          <w:tcPr>
            <w:tcW w:w="1071" w:type="dxa"/>
            <w:shd w:val="clear" w:color="auto" w:fill="FFFFFF"/>
            <w:vAlign w:val="center"/>
          </w:tcPr>
          <w:p w14:paraId="4F430D1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034CC47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6" w:type="dxa"/>
            <w:shd w:val="clear" w:color="auto" w:fill="FFFFFF"/>
            <w:vAlign w:val="center"/>
          </w:tcPr>
          <w:p w14:paraId="5236266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22" w:type="dxa"/>
            <w:shd w:val="clear" w:color="auto" w:fill="FFFFFF"/>
            <w:vAlign w:val="center"/>
          </w:tcPr>
          <w:p w14:paraId="3FAB936A">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299" w:type="dxa"/>
            <w:shd w:val="clear" w:color="auto" w:fill="FFFFFF"/>
            <w:vAlign w:val="center"/>
          </w:tcPr>
          <w:p w14:paraId="0A218B1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auto" w:fill="FFFFFF"/>
            <w:vAlign w:val="center"/>
          </w:tcPr>
          <w:p w14:paraId="687DC84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1ADE0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7A9E8047">
            <w:pPr>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14:paraId="70E8E3FD">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7276D2C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71F859F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6" w:type="dxa"/>
            <w:shd w:val="clear" w:color="auto" w:fill="FFFFFF"/>
            <w:vAlign w:val="center"/>
          </w:tcPr>
          <w:p w14:paraId="456DAB5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22" w:type="dxa"/>
            <w:shd w:val="clear" w:color="auto" w:fill="FFFFFF"/>
            <w:vAlign w:val="center"/>
          </w:tcPr>
          <w:p w14:paraId="090AA344">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299" w:type="dxa"/>
            <w:shd w:val="clear" w:color="auto" w:fill="FFFFFF"/>
            <w:vAlign w:val="center"/>
          </w:tcPr>
          <w:p w14:paraId="5C5FC16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auto" w:fill="FFFFFF"/>
            <w:vAlign w:val="center"/>
          </w:tcPr>
          <w:p w14:paraId="05C1100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50DF0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58AC01B2">
            <w:pPr>
              <w:spacing w:line="0" w:lineRule="atLeast"/>
              <w:jc w:val="center"/>
              <w:rPr>
                <w:rFonts w:hint="default" w:ascii="Times New Roman" w:hAnsi="Times New Roman" w:eastAsia="仿宋_GB2312" w:cs="Times New Roman"/>
                <w:color w:val="000000"/>
                <w:kern w:val="0"/>
                <w:sz w:val="18"/>
                <w:szCs w:val="18"/>
              </w:rPr>
            </w:pPr>
          </w:p>
        </w:tc>
        <w:tc>
          <w:tcPr>
            <w:tcW w:w="997" w:type="dxa"/>
            <w:vMerge w:val="restart"/>
            <w:shd w:val="clear" w:color="auto" w:fill="FFFFFF"/>
            <w:vAlign w:val="center"/>
          </w:tcPr>
          <w:p w14:paraId="48C5922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tc>
        <w:tc>
          <w:tcPr>
            <w:tcW w:w="1071" w:type="dxa"/>
            <w:shd w:val="clear" w:color="auto" w:fill="FFFFFF"/>
            <w:vAlign w:val="center"/>
          </w:tcPr>
          <w:p w14:paraId="7E771EF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1125469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6" w:type="dxa"/>
            <w:shd w:val="clear" w:color="000000" w:fill="FFFFFF"/>
            <w:vAlign w:val="center"/>
          </w:tcPr>
          <w:p w14:paraId="6E2B221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22" w:type="dxa"/>
            <w:shd w:val="clear" w:color="000000" w:fill="FFFFFF"/>
            <w:vAlign w:val="center"/>
          </w:tcPr>
          <w:p w14:paraId="6A4B7A67">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57CF8EEF">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299" w:type="dxa"/>
            <w:shd w:val="clear" w:color="000000" w:fill="FFFFFF"/>
            <w:vAlign w:val="center"/>
          </w:tcPr>
          <w:p w14:paraId="2DAD480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14:paraId="5243525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229090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664F9C8E">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14:paraId="337C20C2">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3FD10A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654C8D8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6" w:type="dxa"/>
            <w:shd w:val="clear" w:color="000000" w:fill="FFFFFF"/>
            <w:vAlign w:val="center"/>
          </w:tcPr>
          <w:p w14:paraId="32493B0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22" w:type="dxa"/>
            <w:shd w:val="clear" w:color="000000" w:fill="FFFFFF"/>
            <w:vAlign w:val="center"/>
          </w:tcPr>
          <w:p w14:paraId="791A593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299" w:type="dxa"/>
            <w:shd w:val="clear" w:color="000000" w:fill="FFFFFF"/>
            <w:vAlign w:val="center"/>
          </w:tcPr>
          <w:p w14:paraId="3AB42EB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14:paraId="0DB9B39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3654B8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09C43B36">
            <w:pPr>
              <w:spacing w:line="0" w:lineRule="atLeast"/>
              <w:jc w:val="center"/>
              <w:rPr>
                <w:rFonts w:hint="default" w:ascii="Times New Roman" w:hAnsi="Times New Roman" w:eastAsia="仿宋_GB2312" w:cs="Times New Roman"/>
                <w:color w:val="000000"/>
                <w:kern w:val="0"/>
                <w:sz w:val="18"/>
                <w:szCs w:val="18"/>
              </w:rPr>
            </w:pPr>
          </w:p>
        </w:tc>
        <w:tc>
          <w:tcPr>
            <w:tcW w:w="997" w:type="dxa"/>
            <w:vMerge w:val="restart"/>
            <w:shd w:val="clear" w:color="auto" w:fill="FFFFFF"/>
            <w:vAlign w:val="center"/>
          </w:tcPr>
          <w:p w14:paraId="7DDA2AC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1C32AFC8">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3502FBA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0F2264D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6" w:type="dxa"/>
            <w:shd w:val="clear" w:color="auto" w:fill="FFFFFF"/>
            <w:vAlign w:val="center"/>
          </w:tcPr>
          <w:p w14:paraId="610A744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22" w:type="dxa"/>
            <w:shd w:val="clear" w:color="auto" w:fill="FFFFFF"/>
            <w:vAlign w:val="center"/>
          </w:tcPr>
          <w:p w14:paraId="637D65E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299" w:type="dxa"/>
            <w:shd w:val="clear" w:color="auto" w:fill="FFFFFF"/>
            <w:vAlign w:val="center"/>
          </w:tcPr>
          <w:p w14:paraId="0A60EF5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186F326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3A298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2CFD9D8F">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14:paraId="7801EE02">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1F084C1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61D67C0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6" w:type="dxa"/>
            <w:shd w:val="clear" w:color="auto" w:fill="FFFFFF"/>
            <w:vAlign w:val="center"/>
          </w:tcPr>
          <w:p w14:paraId="4F3864C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22" w:type="dxa"/>
            <w:shd w:val="clear" w:color="auto" w:fill="FFFFFF"/>
            <w:vAlign w:val="center"/>
          </w:tcPr>
          <w:p w14:paraId="28B45D6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299" w:type="dxa"/>
            <w:shd w:val="clear" w:color="auto" w:fill="FFFFFF"/>
            <w:vAlign w:val="center"/>
          </w:tcPr>
          <w:p w14:paraId="6EA9CAF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488C3D6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13A8E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241F6789">
            <w:pPr>
              <w:spacing w:line="0" w:lineRule="atLeast"/>
              <w:jc w:val="center"/>
              <w:rPr>
                <w:rFonts w:hint="default" w:ascii="Times New Roman" w:hAnsi="Times New Roman" w:eastAsia="仿宋_GB2312" w:cs="Times New Roman"/>
                <w:color w:val="000000"/>
                <w:kern w:val="0"/>
                <w:sz w:val="18"/>
                <w:szCs w:val="18"/>
              </w:rPr>
            </w:pPr>
          </w:p>
          <w:p w14:paraId="416143E8">
            <w:pPr>
              <w:spacing w:line="0" w:lineRule="atLeast"/>
              <w:jc w:val="center"/>
              <w:rPr>
                <w:rFonts w:hint="default" w:ascii="Times New Roman" w:hAnsi="Times New Roman" w:eastAsia="仿宋_GB2312" w:cs="Times New Roman"/>
                <w:color w:val="000000"/>
                <w:kern w:val="0"/>
                <w:sz w:val="18"/>
                <w:szCs w:val="18"/>
              </w:rPr>
            </w:pPr>
          </w:p>
          <w:p w14:paraId="357CC58E">
            <w:pPr>
              <w:spacing w:line="0" w:lineRule="atLeast"/>
              <w:jc w:val="center"/>
              <w:rPr>
                <w:rFonts w:hint="default" w:ascii="Times New Roman" w:hAnsi="Times New Roman" w:eastAsia="仿宋_GB2312" w:cs="Times New Roman"/>
                <w:color w:val="000000"/>
                <w:kern w:val="0"/>
                <w:sz w:val="18"/>
                <w:szCs w:val="18"/>
              </w:rPr>
            </w:pPr>
          </w:p>
          <w:p w14:paraId="75DF0587">
            <w:pPr>
              <w:spacing w:line="0" w:lineRule="atLeast"/>
              <w:jc w:val="center"/>
              <w:rPr>
                <w:rFonts w:hint="default" w:ascii="Times New Roman" w:hAnsi="Times New Roman" w:eastAsia="仿宋_GB2312" w:cs="Times New Roman"/>
                <w:color w:val="000000"/>
                <w:kern w:val="0"/>
                <w:sz w:val="18"/>
                <w:szCs w:val="18"/>
              </w:rPr>
            </w:pPr>
          </w:p>
          <w:p w14:paraId="70974C73">
            <w:pPr>
              <w:spacing w:line="0" w:lineRule="atLeast"/>
              <w:jc w:val="center"/>
              <w:rPr>
                <w:rFonts w:hint="default" w:ascii="Times New Roman" w:hAnsi="Times New Roman" w:eastAsia="仿宋_GB2312" w:cs="Times New Roman"/>
                <w:color w:val="000000"/>
                <w:kern w:val="0"/>
                <w:sz w:val="18"/>
                <w:szCs w:val="18"/>
              </w:rPr>
            </w:pPr>
          </w:p>
          <w:p w14:paraId="3A6EC24C">
            <w:pPr>
              <w:spacing w:line="0" w:lineRule="atLeast"/>
              <w:jc w:val="center"/>
              <w:rPr>
                <w:rFonts w:hint="default" w:ascii="Times New Roman" w:hAnsi="Times New Roman" w:eastAsia="仿宋_GB2312" w:cs="Times New Roman"/>
                <w:color w:val="000000"/>
                <w:kern w:val="0"/>
                <w:sz w:val="18"/>
                <w:szCs w:val="18"/>
              </w:rPr>
            </w:pPr>
          </w:p>
          <w:p w14:paraId="3B179FE1">
            <w:pPr>
              <w:spacing w:line="0" w:lineRule="atLeast"/>
              <w:jc w:val="center"/>
              <w:rPr>
                <w:rFonts w:hint="default" w:ascii="Times New Roman" w:hAnsi="Times New Roman" w:eastAsia="仿宋_GB2312" w:cs="Times New Roman"/>
                <w:color w:val="000000"/>
                <w:kern w:val="0"/>
                <w:sz w:val="18"/>
                <w:szCs w:val="18"/>
              </w:rPr>
            </w:pPr>
          </w:p>
          <w:p w14:paraId="3D6F711D">
            <w:pPr>
              <w:spacing w:line="0" w:lineRule="atLeast"/>
              <w:jc w:val="center"/>
              <w:rPr>
                <w:rFonts w:hint="default" w:ascii="Times New Roman" w:hAnsi="Times New Roman" w:eastAsia="仿宋_GB2312" w:cs="Times New Roman"/>
                <w:color w:val="000000"/>
                <w:kern w:val="0"/>
                <w:sz w:val="18"/>
                <w:szCs w:val="18"/>
              </w:rPr>
            </w:pPr>
          </w:p>
          <w:p w14:paraId="469B2BE1">
            <w:pPr>
              <w:spacing w:line="0" w:lineRule="atLeast"/>
              <w:jc w:val="center"/>
              <w:rPr>
                <w:rFonts w:hint="default" w:ascii="Times New Roman" w:hAnsi="Times New Roman" w:eastAsia="仿宋_GB2312" w:cs="Times New Roman"/>
                <w:color w:val="000000"/>
                <w:kern w:val="0"/>
                <w:sz w:val="18"/>
                <w:szCs w:val="18"/>
              </w:rPr>
            </w:pPr>
          </w:p>
          <w:p w14:paraId="0FABABE5">
            <w:pPr>
              <w:spacing w:line="0" w:lineRule="atLeast"/>
              <w:jc w:val="center"/>
              <w:rPr>
                <w:rFonts w:hint="default" w:ascii="Times New Roman" w:hAnsi="Times New Roman" w:eastAsia="仿宋_GB2312" w:cs="Times New Roman"/>
                <w:color w:val="000000"/>
                <w:kern w:val="0"/>
                <w:sz w:val="18"/>
                <w:szCs w:val="18"/>
              </w:rPr>
            </w:pPr>
          </w:p>
          <w:p w14:paraId="38158825">
            <w:pPr>
              <w:spacing w:line="0" w:lineRule="atLeast"/>
              <w:jc w:val="center"/>
              <w:rPr>
                <w:rFonts w:hint="default" w:ascii="Times New Roman" w:hAnsi="Times New Roman" w:eastAsia="仿宋_GB2312" w:cs="Times New Roman"/>
                <w:color w:val="000000"/>
                <w:kern w:val="0"/>
                <w:sz w:val="18"/>
                <w:szCs w:val="18"/>
              </w:rPr>
            </w:pPr>
          </w:p>
          <w:p w14:paraId="55840387">
            <w:pPr>
              <w:spacing w:line="0" w:lineRule="atLeast"/>
              <w:jc w:val="center"/>
              <w:rPr>
                <w:rFonts w:hint="default" w:ascii="Times New Roman" w:hAnsi="Times New Roman" w:eastAsia="仿宋_GB2312" w:cs="Times New Roman"/>
                <w:color w:val="000000"/>
                <w:kern w:val="0"/>
                <w:sz w:val="18"/>
                <w:szCs w:val="18"/>
              </w:rPr>
            </w:pPr>
          </w:p>
          <w:p w14:paraId="42E4F7D9">
            <w:pPr>
              <w:spacing w:line="0" w:lineRule="atLeast"/>
              <w:jc w:val="center"/>
              <w:rPr>
                <w:rFonts w:hint="default" w:ascii="Times New Roman" w:hAnsi="Times New Roman" w:eastAsia="仿宋_GB2312" w:cs="Times New Roman"/>
                <w:color w:val="000000"/>
                <w:kern w:val="0"/>
                <w:sz w:val="18"/>
                <w:szCs w:val="18"/>
              </w:rPr>
            </w:pPr>
          </w:p>
          <w:p w14:paraId="48ABCBC6">
            <w:pPr>
              <w:spacing w:line="0" w:lineRule="atLeast"/>
              <w:jc w:val="center"/>
              <w:rPr>
                <w:rFonts w:hint="default" w:ascii="Times New Roman" w:hAnsi="Times New Roman" w:eastAsia="仿宋_GB2312" w:cs="Times New Roman"/>
                <w:color w:val="000000"/>
                <w:kern w:val="0"/>
                <w:sz w:val="18"/>
                <w:szCs w:val="18"/>
              </w:rPr>
            </w:pPr>
          </w:p>
          <w:p w14:paraId="49A54F6E">
            <w:pPr>
              <w:spacing w:line="0" w:lineRule="atLeast"/>
              <w:jc w:val="center"/>
              <w:rPr>
                <w:rFonts w:hint="default" w:ascii="Times New Roman" w:hAnsi="Times New Roman" w:eastAsia="仿宋_GB2312" w:cs="Times New Roman"/>
                <w:color w:val="000000"/>
                <w:kern w:val="0"/>
                <w:sz w:val="18"/>
                <w:szCs w:val="18"/>
              </w:rPr>
            </w:pPr>
          </w:p>
          <w:p w14:paraId="7687B064">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77795D40">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vMerge w:val="restart"/>
            <w:shd w:val="clear" w:color="auto" w:fill="FFFFFF"/>
            <w:vAlign w:val="center"/>
          </w:tcPr>
          <w:p w14:paraId="524DA2E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7A5E4FE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6" w:type="dxa"/>
            <w:shd w:val="clear" w:color="000000" w:fill="FFFFFF"/>
            <w:vAlign w:val="center"/>
          </w:tcPr>
          <w:p w14:paraId="7CA52DD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22" w:type="dxa"/>
            <w:shd w:val="clear" w:color="000000" w:fill="FFFFFF"/>
            <w:vAlign w:val="center"/>
          </w:tcPr>
          <w:p w14:paraId="46BD2AF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4F7B04F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671C9A8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299" w:type="dxa"/>
            <w:shd w:val="clear" w:color="000000" w:fill="FFFFFF"/>
            <w:vAlign w:val="center"/>
          </w:tcPr>
          <w:p w14:paraId="2DE23AB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72282526">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BC1E0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37C76E09">
            <w:pPr>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14:paraId="6C62297D">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7271282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6" w:type="dxa"/>
            <w:shd w:val="clear" w:color="auto" w:fill="FFFFFF"/>
            <w:vAlign w:val="center"/>
          </w:tcPr>
          <w:p w14:paraId="78F72AC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22" w:type="dxa"/>
            <w:shd w:val="clear" w:color="auto" w:fill="FFFFFF"/>
            <w:vAlign w:val="center"/>
          </w:tcPr>
          <w:p w14:paraId="52C01D3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299" w:type="dxa"/>
            <w:shd w:val="clear" w:color="auto" w:fill="FFFFFF"/>
            <w:vAlign w:val="center"/>
          </w:tcPr>
          <w:p w14:paraId="520EFC6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7A6D050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BEF4F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6E7C354A">
            <w:pPr>
              <w:spacing w:line="0" w:lineRule="atLeast"/>
              <w:jc w:val="center"/>
              <w:rPr>
                <w:rFonts w:hint="default" w:ascii="Times New Roman" w:hAnsi="Times New Roman" w:eastAsia="仿宋_GB2312" w:cs="Times New Roman"/>
                <w:color w:val="000000"/>
                <w:kern w:val="0"/>
                <w:sz w:val="18"/>
                <w:szCs w:val="18"/>
              </w:rPr>
            </w:pPr>
          </w:p>
        </w:tc>
        <w:tc>
          <w:tcPr>
            <w:tcW w:w="997" w:type="dxa"/>
            <w:shd w:val="clear" w:color="auto" w:fill="FFFFFF"/>
            <w:vAlign w:val="center"/>
          </w:tcPr>
          <w:p w14:paraId="2737AB0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15EB483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4F288B5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6" w:type="dxa"/>
            <w:shd w:val="clear" w:color="000000" w:fill="FFFFFF"/>
            <w:vAlign w:val="center"/>
          </w:tcPr>
          <w:p w14:paraId="3C7000C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22" w:type="dxa"/>
            <w:shd w:val="clear" w:color="000000" w:fill="FFFFFF"/>
            <w:vAlign w:val="center"/>
          </w:tcPr>
          <w:p w14:paraId="40D7934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299" w:type="dxa"/>
            <w:shd w:val="clear" w:color="000000" w:fill="FFFFFF"/>
            <w:vAlign w:val="center"/>
          </w:tcPr>
          <w:p w14:paraId="7E211B5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5456AFA6">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CDACB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4194C907">
            <w:pPr>
              <w:spacing w:line="0" w:lineRule="atLeast"/>
              <w:jc w:val="center"/>
              <w:rPr>
                <w:rFonts w:hint="default" w:ascii="Times New Roman" w:hAnsi="Times New Roman" w:eastAsia="仿宋_GB2312" w:cs="Times New Roman"/>
                <w:color w:val="000000"/>
                <w:kern w:val="0"/>
                <w:sz w:val="18"/>
                <w:szCs w:val="18"/>
              </w:rPr>
            </w:pPr>
          </w:p>
        </w:tc>
        <w:tc>
          <w:tcPr>
            <w:tcW w:w="997" w:type="dxa"/>
            <w:vMerge w:val="restart"/>
            <w:shd w:val="clear" w:color="auto" w:fill="FFFFFF"/>
            <w:vAlign w:val="center"/>
          </w:tcPr>
          <w:p w14:paraId="33DBCA6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0D2E4290">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4DA9F89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63B48DA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6" w:type="dxa"/>
            <w:shd w:val="clear" w:color="000000" w:fill="FFFFFF"/>
            <w:vAlign w:val="center"/>
          </w:tcPr>
          <w:p w14:paraId="4A3FAA3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22" w:type="dxa"/>
            <w:shd w:val="clear" w:color="000000" w:fill="FFFFFF"/>
            <w:vAlign w:val="center"/>
          </w:tcPr>
          <w:p w14:paraId="141BDB0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299" w:type="dxa"/>
            <w:shd w:val="clear" w:color="000000" w:fill="FFFFFF"/>
            <w:vAlign w:val="center"/>
          </w:tcPr>
          <w:p w14:paraId="5577A29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3D3FCD3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9A239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244054C1">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14:paraId="00197629">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283599E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4BF7937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6" w:type="dxa"/>
            <w:shd w:val="clear" w:color="000000" w:fill="FFFFFF"/>
            <w:vAlign w:val="center"/>
          </w:tcPr>
          <w:p w14:paraId="7E720F1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22" w:type="dxa"/>
            <w:shd w:val="clear" w:color="000000" w:fill="FFFFFF"/>
            <w:vAlign w:val="center"/>
          </w:tcPr>
          <w:p w14:paraId="0912C6E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299" w:type="dxa"/>
            <w:shd w:val="clear" w:color="000000" w:fill="FFFFFF"/>
            <w:vAlign w:val="center"/>
          </w:tcPr>
          <w:p w14:paraId="4226376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221193D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F4DB3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5BC6A7C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997" w:type="dxa"/>
            <w:shd w:val="clear" w:color="auto" w:fill="FFFFFF"/>
            <w:vAlign w:val="center"/>
          </w:tcPr>
          <w:p w14:paraId="543970E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14:paraId="7E6F346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6" w:type="dxa"/>
            <w:shd w:val="clear" w:color="000000" w:fill="FFFFFF"/>
            <w:vAlign w:val="center"/>
          </w:tcPr>
          <w:p w14:paraId="5B0625B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22" w:type="dxa"/>
            <w:shd w:val="clear" w:color="000000" w:fill="FFFFFF"/>
            <w:vAlign w:val="center"/>
          </w:tcPr>
          <w:p w14:paraId="686657B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299" w:type="dxa"/>
            <w:shd w:val="clear" w:color="000000" w:fill="FFFFFF"/>
            <w:vAlign w:val="center"/>
          </w:tcPr>
          <w:p w14:paraId="7405C22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4D095D61">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06DE3F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002" w:type="dxa"/>
            <w:vMerge w:val="continue"/>
            <w:shd w:val="clear" w:color="auto" w:fill="FFFFFF"/>
            <w:vAlign w:val="center"/>
          </w:tcPr>
          <w:p w14:paraId="763B60BC">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shd w:val="clear" w:color="auto" w:fill="FFFFFF"/>
            <w:vAlign w:val="center"/>
          </w:tcPr>
          <w:p w14:paraId="70F4A46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14:paraId="474C72A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6" w:type="dxa"/>
            <w:shd w:val="clear" w:color="000000" w:fill="FFFFFF"/>
            <w:vAlign w:val="center"/>
          </w:tcPr>
          <w:p w14:paraId="64627D3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22" w:type="dxa"/>
            <w:shd w:val="clear" w:color="000000" w:fill="FFFFFF"/>
            <w:vAlign w:val="center"/>
          </w:tcPr>
          <w:p w14:paraId="5156EBB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28CAF22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299" w:type="dxa"/>
            <w:shd w:val="clear" w:color="000000" w:fill="FFFFFF"/>
            <w:vAlign w:val="center"/>
          </w:tcPr>
          <w:p w14:paraId="56D2B5D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5B747B1E">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0128CB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3CA30E15">
            <w:pPr>
              <w:spacing w:line="0" w:lineRule="atLeast"/>
              <w:jc w:val="center"/>
              <w:rPr>
                <w:rFonts w:hint="default" w:ascii="Times New Roman" w:hAnsi="Times New Roman" w:eastAsia="仿宋_GB2312" w:cs="Times New Roman"/>
                <w:color w:val="000000"/>
                <w:kern w:val="0"/>
                <w:sz w:val="18"/>
                <w:szCs w:val="18"/>
              </w:rPr>
            </w:pPr>
          </w:p>
        </w:tc>
        <w:tc>
          <w:tcPr>
            <w:tcW w:w="997" w:type="dxa"/>
            <w:shd w:val="clear" w:color="auto" w:fill="FFFFFF"/>
            <w:vAlign w:val="center"/>
          </w:tcPr>
          <w:p w14:paraId="53A2BBAC">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14:paraId="79DEF49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6" w:type="dxa"/>
            <w:shd w:val="clear" w:color="000000" w:fill="FFFFFF"/>
            <w:vAlign w:val="center"/>
          </w:tcPr>
          <w:p w14:paraId="07EDC2A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22" w:type="dxa"/>
            <w:shd w:val="clear" w:color="000000" w:fill="FFFFFF"/>
            <w:vAlign w:val="center"/>
          </w:tcPr>
          <w:p w14:paraId="76AAFA0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299" w:type="dxa"/>
            <w:shd w:val="clear" w:color="000000" w:fill="FFFFFF"/>
            <w:vAlign w:val="center"/>
          </w:tcPr>
          <w:p w14:paraId="3ABD82B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5C091BEE">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5696CF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1C9BD823">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shd w:val="clear" w:color="auto" w:fill="FFFFFF"/>
            <w:vAlign w:val="center"/>
          </w:tcPr>
          <w:p w14:paraId="58F515F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1071" w:type="dxa"/>
            <w:shd w:val="clear" w:color="auto" w:fill="FFFFFF"/>
            <w:vAlign w:val="center"/>
          </w:tcPr>
          <w:p w14:paraId="6D1A07E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726" w:type="dxa"/>
            <w:shd w:val="clear" w:color="000000" w:fill="FFFFFF"/>
            <w:vAlign w:val="center"/>
          </w:tcPr>
          <w:p w14:paraId="5D76BFA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22" w:type="dxa"/>
            <w:shd w:val="clear" w:color="000000" w:fill="FFFFFF"/>
            <w:vAlign w:val="center"/>
          </w:tcPr>
          <w:p w14:paraId="0C972B0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299" w:type="dxa"/>
            <w:shd w:val="clear" w:color="000000" w:fill="FFFFFF"/>
            <w:vAlign w:val="center"/>
          </w:tcPr>
          <w:p w14:paraId="15BAFA7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79A12AD1">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513DB9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2B791BB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w:t>
            </w:r>
          </w:p>
        </w:tc>
        <w:tc>
          <w:tcPr>
            <w:tcW w:w="997" w:type="dxa"/>
            <w:vMerge w:val="restart"/>
            <w:shd w:val="clear" w:color="auto" w:fill="FFFFFF"/>
            <w:vAlign w:val="center"/>
          </w:tcPr>
          <w:p w14:paraId="3569F48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w:t>
            </w:r>
          </w:p>
        </w:tc>
        <w:tc>
          <w:tcPr>
            <w:tcW w:w="1071" w:type="dxa"/>
            <w:shd w:val="clear" w:color="auto" w:fill="FFFFFF"/>
            <w:vAlign w:val="center"/>
          </w:tcPr>
          <w:p w14:paraId="68D059C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6" w:type="dxa"/>
            <w:shd w:val="clear" w:color="auto" w:fill="FFFFFF"/>
            <w:vAlign w:val="center"/>
          </w:tcPr>
          <w:p w14:paraId="009D5253">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22" w:type="dxa"/>
            <w:shd w:val="clear" w:color="auto" w:fill="FFFFFF"/>
            <w:vAlign w:val="center"/>
          </w:tcPr>
          <w:p w14:paraId="2F49DC5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299" w:type="dxa"/>
            <w:shd w:val="clear" w:color="auto" w:fill="FFFFFF"/>
            <w:vAlign w:val="center"/>
          </w:tcPr>
          <w:p w14:paraId="6F793C7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auto" w:fill="FFFFFF"/>
            <w:vAlign w:val="center"/>
          </w:tcPr>
          <w:p w14:paraId="699BD137">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6EAA7C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3AC70E12">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14:paraId="200490E7">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D5CB7A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1726" w:type="dxa"/>
            <w:shd w:val="clear" w:color="000000" w:fill="FFFFFF"/>
            <w:vAlign w:val="center"/>
          </w:tcPr>
          <w:p w14:paraId="70A741E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5222" w:type="dxa"/>
            <w:shd w:val="clear" w:color="000000" w:fill="FFFFFF"/>
            <w:vAlign w:val="center"/>
          </w:tcPr>
          <w:p w14:paraId="3E72067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299" w:type="dxa"/>
            <w:shd w:val="clear" w:color="000000" w:fill="FFFFFF"/>
            <w:vAlign w:val="center"/>
          </w:tcPr>
          <w:p w14:paraId="4D49D40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62BE149D">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07EE38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1" w:hRule="atLeast"/>
          <w:jc w:val="center"/>
        </w:trPr>
        <w:tc>
          <w:tcPr>
            <w:tcW w:w="10018" w:type="dxa"/>
            <w:gridSpan w:val="5"/>
            <w:shd w:val="clear" w:color="auto" w:fill="FFFFFF"/>
            <w:vAlign w:val="center"/>
          </w:tcPr>
          <w:p w14:paraId="1782595D">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合计</w:t>
            </w:r>
          </w:p>
        </w:tc>
        <w:tc>
          <w:tcPr>
            <w:tcW w:w="1299" w:type="dxa"/>
            <w:shd w:val="clear" w:color="000000" w:fill="FFFFFF"/>
            <w:vAlign w:val="center"/>
          </w:tcPr>
          <w:p w14:paraId="410EAB76">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c>
          <w:tcPr>
            <w:tcW w:w="1366" w:type="dxa"/>
            <w:shd w:val="clear" w:color="000000" w:fill="FFFFFF"/>
            <w:vAlign w:val="center"/>
          </w:tcPr>
          <w:p w14:paraId="5D99DEE5">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14:paraId="4AA6EA54">
      <w:pPr>
        <w:rPr>
          <w:rFonts w:hint="default" w:ascii="Times New Roman" w:hAnsi="Times New Roman" w:cs="Times New Roman"/>
        </w:rPr>
        <w:sectPr>
          <w:footerReference r:id="rId3" w:type="default"/>
          <w:pgSz w:w="16838" w:h="11906" w:orient="landscape"/>
          <w:pgMar w:top="1800" w:right="1440" w:bottom="1558" w:left="1440" w:header="851" w:footer="992" w:gutter="0"/>
          <w:cols w:space="425" w:num="1"/>
          <w:docGrid w:type="lines" w:linePitch="312" w:charSpace="0"/>
        </w:sectPr>
      </w:pPr>
    </w:p>
    <w:p w14:paraId="1284E0F1">
      <w:pPr>
        <w:keepNext w:val="0"/>
        <w:keepLines w:val="0"/>
        <w:pageBreakBefore w:val="0"/>
        <w:widowControl w:val="0"/>
        <w:kinsoku/>
        <w:wordWrap/>
        <w:overflowPunct/>
        <w:topLinePunct w:val="0"/>
        <w:autoSpaceDE/>
        <w:autoSpaceDN/>
        <w:bidi w:val="0"/>
        <w:adjustRightInd/>
        <w:snapToGrid/>
        <w:spacing w:line="240" w:lineRule="atLeast"/>
        <w:jc w:val="left"/>
        <w:textAlignment w:val="auto"/>
        <w:outlineLvl w:val="0"/>
        <w:rPr>
          <w:rFonts w:hint="default" w:ascii="黑体" w:hAnsi="黑体" w:eastAsia="黑体" w:cs="黑体"/>
          <w:b/>
          <w:bCs/>
          <w:i w:val="0"/>
          <w:iCs w:val="0"/>
          <w:color w:val="000000"/>
          <w:kern w:val="0"/>
          <w:sz w:val="32"/>
          <w:szCs w:val="32"/>
          <w:u w:val="none"/>
          <w:lang w:val="en-US" w:eastAsia="zh-CN"/>
        </w:rPr>
      </w:pPr>
      <w:bookmarkStart w:id="67" w:name="_Toc17917"/>
      <w:r>
        <w:rPr>
          <w:rFonts w:hint="eastAsia" w:ascii="黑体" w:hAnsi="黑体" w:eastAsia="黑体" w:cs="黑体"/>
          <w:b/>
          <w:bCs/>
          <w:i w:val="0"/>
          <w:iCs w:val="0"/>
          <w:color w:val="000000"/>
          <w:kern w:val="0"/>
          <w:sz w:val="32"/>
          <w:szCs w:val="32"/>
          <w:u w:val="none"/>
          <w:lang w:val="en-US" w:eastAsia="zh-CN"/>
        </w:rPr>
        <w:t>附件2</w:t>
      </w:r>
      <w:bookmarkEnd w:id="67"/>
      <w:r>
        <w:rPr>
          <w:rFonts w:hint="eastAsia" w:ascii="黑体" w:hAnsi="黑体" w:eastAsia="黑体" w:cs="黑体"/>
          <w:b/>
          <w:bCs/>
          <w:i w:val="0"/>
          <w:iCs w:val="0"/>
          <w:color w:val="000000"/>
          <w:kern w:val="0"/>
          <w:sz w:val="32"/>
          <w:szCs w:val="32"/>
          <w:u w:val="none"/>
          <w:lang w:val="en-US" w:eastAsia="zh-CN"/>
        </w:rPr>
        <w:t>项目支出绩效自评表</w:t>
      </w:r>
    </w:p>
    <w:tbl>
      <w:tblPr>
        <w:tblStyle w:val="16"/>
        <w:tblW w:w="146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113"/>
        <w:gridCol w:w="435"/>
        <w:gridCol w:w="941"/>
        <w:gridCol w:w="1263"/>
        <w:gridCol w:w="1435"/>
        <w:gridCol w:w="1134"/>
        <w:gridCol w:w="1177"/>
        <w:gridCol w:w="986"/>
        <w:gridCol w:w="1242"/>
        <w:gridCol w:w="1092"/>
        <w:gridCol w:w="963"/>
        <w:gridCol w:w="1284"/>
        <w:gridCol w:w="1605"/>
      </w:tblGrid>
      <w:tr w14:paraId="44867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00" w:hRule="atLeast"/>
        </w:trPr>
        <w:tc>
          <w:tcPr>
            <w:tcW w:w="14670" w:type="dxa"/>
            <w:gridSpan w:val="13"/>
            <w:tcBorders>
              <w:top w:val="nil"/>
              <w:left w:val="nil"/>
              <w:bottom w:val="nil"/>
              <w:right w:val="nil"/>
            </w:tcBorders>
            <w:shd w:val="clear" w:color="auto" w:fill="auto"/>
            <w:tcMar>
              <w:top w:w="15" w:type="dxa"/>
              <w:left w:w="15" w:type="dxa"/>
              <w:right w:w="15" w:type="dxa"/>
            </w:tcMar>
            <w:vAlign w:val="center"/>
          </w:tcPr>
          <w:p w14:paraId="7D8330C7">
            <w:pPr>
              <w:keepNext w:val="0"/>
              <w:keepLines w:val="0"/>
              <w:widowControl/>
              <w:suppressLineNumbers w:val="0"/>
              <w:jc w:val="center"/>
              <w:textAlignment w:val="center"/>
              <w:rPr>
                <w:rFonts w:ascii="华文中宋" w:hAnsi="华文中宋" w:eastAsia="华文中宋" w:cs="华文中宋"/>
                <w:b/>
                <w:i w:val="0"/>
                <w:color w:val="000000"/>
                <w:sz w:val="40"/>
                <w:szCs w:val="40"/>
                <w:u w:val="none"/>
              </w:rPr>
            </w:pPr>
            <w:r>
              <w:rPr>
                <w:rFonts w:hint="default" w:ascii="华文中宋" w:hAnsi="华文中宋" w:eastAsia="华文中宋" w:cs="华文中宋"/>
                <w:b/>
                <w:i w:val="0"/>
                <w:color w:val="000000"/>
                <w:kern w:val="0"/>
                <w:sz w:val="40"/>
                <w:szCs w:val="40"/>
                <w:u w:val="none"/>
                <w:lang w:val="en-US" w:eastAsia="zh-CN"/>
              </w:rPr>
              <w:t>项目支出绩效自评表</w:t>
            </w:r>
          </w:p>
        </w:tc>
      </w:tr>
      <w:tr w14:paraId="012FE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14670" w:type="dxa"/>
            <w:gridSpan w:val="13"/>
            <w:tcBorders>
              <w:top w:val="nil"/>
              <w:left w:val="nil"/>
              <w:bottom w:val="nil"/>
              <w:right w:val="nil"/>
            </w:tcBorders>
            <w:shd w:val="clear" w:color="auto" w:fill="auto"/>
            <w:tcMar>
              <w:top w:w="15" w:type="dxa"/>
              <w:left w:w="15" w:type="dxa"/>
              <w:right w:w="15" w:type="dxa"/>
            </w:tcMar>
            <w:vAlign w:val="center"/>
          </w:tcPr>
          <w:p w14:paraId="5C9B2F4F">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   2025 年度）</w:t>
            </w:r>
          </w:p>
        </w:tc>
      </w:tr>
      <w:tr w14:paraId="67DDD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3DF9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项目名称</w:t>
            </w:r>
          </w:p>
        </w:tc>
        <w:tc>
          <w:tcPr>
            <w:tcW w:w="13122"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26C8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自治区水利发展资金专项</w:t>
            </w:r>
          </w:p>
        </w:tc>
      </w:tr>
      <w:tr w14:paraId="199DC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20A3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主管部门</w:t>
            </w:r>
          </w:p>
        </w:tc>
        <w:tc>
          <w:tcPr>
            <w:tcW w:w="595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C7EF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新疆维吾尔自治区水利厅</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34C9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实施单位</w:t>
            </w:r>
          </w:p>
        </w:tc>
        <w:tc>
          <w:tcPr>
            <w:tcW w:w="61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819E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自治区克孜勒苏水文勘测中心</w:t>
            </w:r>
          </w:p>
        </w:tc>
      </w:tr>
      <w:tr w14:paraId="5F200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154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E536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项目资金</w:t>
            </w:r>
            <w:r>
              <w:rPr>
                <w:rFonts w:hint="eastAsia" w:ascii="宋体" w:hAnsi="宋体" w:eastAsia="宋体" w:cs="宋体"/>
                <w:i w:val="0"/>
                <w:color w:val="000000"/>
                <w:kern w:val="0"/>
                <w:sz w:val="24"/>
                <w:szCs w:val="24"/>
                <w:u w:val="none"/>
                <w:lang w:val="en-US" w:eastAsia="zh-CN"/>
              </w:rPr>
              <w:br w:type="textWrapping"/>
            </w:r>
            <w:r>
              <w:rPr>
                <w:rFonts w:hint="eastAsia" w:ascii="宋体" w:hAnsi="宋体" w:eastAsia="宋体" w:cs="宋体"/>
                <w:i w:val="0"/>
                <w:color w:val="000000"/>
                <w:kern w:val="0"/>
                <w:sz w:val="24"/>
                <w:szCs w:val="24"/>
                <w:u w:val="none"/>
                <w:lang w:val="en-US" w:eastAsia="zh-CN"/>
              </w:rPr>
              <w:t>（万元）</w:t>
            </w:r>
          </w:p>
        </w:tc>
        <w:tc>
          <w:tcPr>
            <w:tcW w:w="22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3076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资金来源</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7BC1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年初预算数</w:t>
            </w:r>
          </w:p>
        </w:tc>
        <w:tc>
          <w:tcPr>
            <w:tcW w:w="23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925B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全年预算数</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51CE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全年执行数</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A42E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分值权重</w:t>
            </w:r>
          </w:p>
        </w:tc>
        <w:tc>
          <w:tcPr>
            <w:tcW w:w="22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A1D9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执行率</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9B09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得分</w:t>
            </w:r>
          </w:p>
        </w:tc>
      </w:tr>
      <w:tr w14:paraId="78F7F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54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7AAC1">
            <w:pPr>
              <w:jc w:val="center"/>
              <w:rPr>
                <w:rFonts w:hint="eastAsia" w:ascii="宋体" w:hAnsi="宋体" w:eastAsia="宋体" w:cs="宋体"/>
                <w:i w:val="0"/>
                <w:color w:val="000000"/>
                <w:sz w:val="24"/>
                <w:szCs w:val="24"/>
                <w:u w:val="none"/>
              </w:rPr>
            </w:pPr>
          </w:p>
        </w:tc>
        <w:tc>
          <w:tcPr>
            <w:tcW w:w="22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E4CA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年度资金总额</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EB27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38.5</w:t>
            </w:r>
          </w:p>
        </w:tc>
        <w:tc>
          <w:tcPr>
            <w:tcW w:w="23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9152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38.5</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52C2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38.5</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6716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10</w:t>
            </w:r>
          </w:p>
        </w:tc>
        <w:tc>
          <w:tcPr>
            <w:tcW w:w="22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C956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100.0%</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DD2D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10</w:t>
            </w:r>
          </w:p>
        </w:tc>
      </w:tr>
      <w:tr w14:paraId="73986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54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786DC">
            <w:pPr>
              <w:jc w:val="center"/>
              <w:rPr>
                <w:rFonts w:hint="eastAsia" w:ascii="宋体" w:hAnsi="宋体" w:eastAsia="宋体" w:cs="宋体"/>
                <w:i w:val="0"/>
                <w:color w:val="000000"/>
                <w:sz w:val="24"/>
                <w:szCs w:val="24"/>
                <w:u w:val="none"/>
              </w:rPr>
            </w:pPr>
          </w:p>
        </w:tc>
        <w:tc>
          <w:tcPr>
            <w:tcW w:w="22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3F56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其中：当年财政拨款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BE682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38.50 </w:t>
            </w:r>
          </w:p>
        </w:tc>
        <w:tc>
          <w:tcPr>
            <w:tcW w:w="23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AA6E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38.50 </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D5D4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38.5</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F388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w:t>
            </w:r>
          </w:p>
        </w:tc>
        <w:tc>
          <w:tcPr>
            <w:tcW w:w="22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C7AC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128D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w:t>
            </w:r>
          </w:p>
        </w:tc>
      </w:tr>
      <w:tr w14:paraId="2A0DE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54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80624">
            <w:pPr>
              <w:jc w:val="center"/>
              <w:rPr>
                <w:rFonts w:hint="eastAsia" w:ascii="宋体" w:hAnsi="宋体" w:eastAsia="宋体" w:cs="宋体"/>
                <w:i w:val="0"/>
                <w:color w:val="000000"/>
                <w:sz w:val="24"/>
                <w:szCs w:val="24"/>
                <w:u w:val="none"/>
              </w:rPr>
            </w:pPr>
          </w:p>
        </w:tc>
        <w:tc>
          <w:tcPr>
            <w:tcW w:w="2204"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0CEE00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其他资金</w:t>
            </w:r>
          </w:p>
        </w:tc>
        <w:tc>
          <w:tcPr>
            <w:tcW w:w="143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4D7CCE6">
            <w:pPr>
              <w:jc w:val="center"/>
              <w:rPr>
                <w:rFonts w:hint="eastAsia" w:ascii="宋体" w:hAnsi="宋体" w:eastAsia="宋体" w:cs="宋体"/>
                <w:i w:val="0"/>
                <w:color w:val="000000"/>
                <w:sz w:val="24"/>
                <w:szCs w:val="24"/>
                <w:u w:val="none"/>
              </w:rPr>
            </w:pPr>
          </w:p>
        </w:tc>
        <w:tc>
          <w:tcPr>
            <w:tcW w:w="2311"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5C18729">
            <w:pPr>
              <w:jc w:val="center"/>
              <w:rPr>
                <w:rFonts w:hint="eastAsia" w:ascii="宋体" w:hAnsi="宋体" w:eastAsia="宋体" w:cs="宋体"/>
                <w:i w:val="0"/>
                <w:color w:val="000000"/>
                <w:sz w:val="24"/>
                <w:szCs w:val="24"/>
                <w:u w:val="none"/>
              </w:rPr>
            </w:pPr>
          </w:p>
        </w:tc>
        <w:tc>
          <w:tcPr>
            <w:tcW w:w="98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AAC72FA">
            <w:pPr>
              <w:jc w:val="center"/>
              <w:rPr>
                <w:rFonts w:hint="eastAsia" w:ascii="宋体" w:hAnsi="宋体" w:eastAsia="宋体" w:cs="宋体"/>
                <w:i w:val="0"/>
                <w:color w:val="000000"/>
                <w:sz w:val="24"/>
                <w:szCs w:val="24"/>
                <w:u w:val="none"/>
              </w:rPr>
            </w:pP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4D07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w:t>
            </w:r>
          </w:p>
        </w:tc>
        <w:tc>
          <w:tcPr>
            <w:tcW w:w="22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C3CA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BA92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w:t>
            </w:r>
          </w:p>
        </w:tc>
      </w:tr>
      <w:tr w14:paraId="1AA0C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EB98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年度总体目标</w:t>
            </w:r>
          </w:p>
        </w:tc>
        <w:tc>
          <w:tcPr>
            <w:tcW w:w="737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B917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总体目标</w:t>
            </w:r>
          </w:p>
        </w:tc>
        <w:tc>
          <w:tcPr>
            <w:tcW w:w="61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DD78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总体目标完成情况</w:t>
            </w:r>
          </w:p>
        </w:tc>
      </w:tr>
      <w:tr w14:paraId="114BF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8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5FD3A">
            <w:pPr>
              <w:jc w:val="center"/>
              <w:rPr>
                <w:rFonts w:hint="eastAsia" w:ascii="宋体" w:hAnsi="宋体" w:eastAsia="宋体" w:cs="宋体"/>
                <w:i w:val="0"/>
                <w:color w:val="000000"/>
                <w:sz w:val="24"/>
                <w:szCs w:val="24"/>
                <w:u w:val="none"/>
              </w:rPr>
            </w:pPr>
          </w:p>
        </w:tc>
        <w:tc>
          <w:tcPr>
            <w:tcW w:w="737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FED3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保障本单位国家基本水文站水文测验工作的正常开展，收集辖区内所属河流的水位、流量等水文资料，为防汛抗旱提供预警预报，为水利工程建设、水资源开发利用提供水文数据支撑，为当地经济社会发展提供水文信息服务。</w:t>
            </w:r>
          </w:p>
        </w:tc>
        <w:tc>
          <w:tcPr>
            <w:tcW w:w="61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D886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通过收集水情信息5900条，水质简报、成果整编报送4期，2个国家基本水文站和2个洪水预报站点等工作，达到了1.为水资源的开发利用、管理保护和预防山洪灾害等方面提供更加有效、实用的水文水资源信息服务产品，确保广大人民群众饮水安全和经济社会发展的用水安全；2..组织水文资料整编汇编，组织整理汇编水文监测数据，刊印发布，为流域防汛抗旱，水资源的统一开放、利用、管理和水资源环境保护提供水文信息和水文服务，为经济社会可持续发展提供科学依据的效益。</w:t>
            </w:r>
          </w:p>
        </w:tc>
      </w:tr>
      <w:tr w14:paraId="622E4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0" w:hRule="atLeast"/>
        </w:trPr>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91B87">
            <w:pPr>
              <w:jc w:val="center"/>
              <w:rPr>
                <w:rFonts w:hint="eastAsia" w:ascii="宋体" w:hAnsi="宋体" w:eastAsia="宋体" w:cs="宋体"/>
                <w:i w:val="0"/>
                <w:color w:val="000000"/>
                <w:sz w:val="24"/>
                <w:szCs w:val="24"/>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FF2D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一级指标</w:t>
            </w:r>
          </w:p>
        </w:tc>
        <w:tc>
          <w:tcPr>
            <w:tcW w:w="9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987F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二级指标</w:t>
            </w: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1E0B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三级指标</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5564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指标值</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B972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指标值设置依据</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0919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上年完成值</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4E11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指标分值权重</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4578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佐证资料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8D1A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指标实际完成值</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8121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完成率</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583D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指标得分</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2504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偏差原因分析及改进措施</w:t>
            </w:r>
          </w:p>
        </w:tc>
      </w:tr>
      <w:tr w14:paraId="61A1F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80"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752F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年度绩效指标完成情况</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0EDB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产出指标</w:t>
            </w:r>
          </w:p>
        </w:tc>
        <w:tc>
          <w:tcPr>
            <w:tcW w:w="9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3813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数量指标</w:t>
            </w: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CBEEC">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水情信息收集量</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DD3D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&gt;=5900次</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3CEC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D209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5900次</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9B19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642B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B179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5900次</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3ED19">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D353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B09C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28D91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8F1FF">
            <w:pPr>
              <w:jc w:val="center"/>
              <w:rPr>
                <w:rFonts w:hint="eastAsia" w:ascii="宋体" w:hAnsi="宋体" w:eastAsia="宋体" w:cs="宋体"/>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11337">
            <w:pPr>
              <w:jc w:val="center"/>
              <w:rPr>
                <w:rFonts w:hint="eastAsia" w:ascii="宋体" w:hAnsi="宋体" w:eastAsia="宋体" w:cs="宋体"/>
                <w:i w:val="0"/>
                <w:color w:val="000000"/>
                <w:sz w:val="24"/>
                <w:szCs w:val="24"/>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3E91D">
            <w:pPr>
              <w:jc w:val="center"/>
              <w:rPr>
                <w:rFonts w:hint="eastAsia" w:ascii="宋体" w:hAnsi="宋体" w:eastAsia="宋体" w:cs="宋体"/>
                <w:i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C9E67">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水化水质简报报送期数</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026E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&gt;=4份</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F8B7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93D1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4份</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5E2F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52C3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4602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4份</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62D76">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3DBD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0F48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62705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4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FDC4B">
            <w:pPr>
              <w:jc w:val="center"/>
              <w:rPr>
                <w:rFonts w:hint="eastAsia" w:ascii="宋体" w:hAnsi="宋体" w:eastAsia="宋体" w:cs="宋体"/>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51C1E">
            <w:pPr>
              <w:jc w:val="center"/>
              <w:rPr>
                <w:rFonts w:hint="eastAsia" w:ascii="宋体" w:hAnsi="宋体" w:eastAsia="宋体" w:cs="宋体"/>
                <w:i w:val="0"/>
                <w:color w:val="000000"/>
                <w:sz w:val="24"/>
                <w:szCs w:val="24"/>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7B2DC">
            <w:pPr>
              <w:jc w:val="center"/>
              <w:rPr>
                <w:rFonts w:hint="eastAsia" w:ascii="宋体" w:hAnsi="宋体" w:eastAsia="宋体" w:cs="宋体"/>
                <w:i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FA327">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水文测站生产设施维护数量</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D476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&gt;=2处</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3E3C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EC8F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2处</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7E91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4EE5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C8E2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2处</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37375">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952C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B1CF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535BB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8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4E805">
            <w:pPr>
              <w:jc w:val="center"/>
              <w:rPr>
                <w:rFonts w:hint="eastAsia" w:ascii="宋体" w:hAnsi="宋体" w:eastAsia="宋体" w:cs="宋体"/>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2A48D">
            <w:pPr>
              <w:jc w:val="center"/>
              <w:rPr>
                <w:rFonts w:hint="eastAsia" w:ascii="宋体" w:hAnsi="宋体" w:eastAsia="宋体" w:cs="宋体"/>
                <w:i w:val="0"/>
                <w:color w:val="000000"/>
                <w:sz w:val="24"/>
                <w:szCs w:val="24"/>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CEC2D">
            <w:pPr>
              <w:jc w:val="center"/>
              <w:rPr>
                <w:rFonts w:hint="eastAsia" w:ascii="宋体" w:hAnsi="宋体" w:eastAsia="宋体" w:cs="宋体"/>
                <w:i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6DAB7">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水文仪器购置数量</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434E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&gt;=3台</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AA7E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872A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3台</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899E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476D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B2D1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3台</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75F2E">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7927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9A33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6B28F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8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238B3">
            <w:pPr>
              <w:jc w:val="center"/>
              <w:rPr>
                <w:rFonts w:hint="eastAsia" w:ascii="宋体" w:hAnsi="宋体" w:eastAsia="宋体" w:cs="宋体"/>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ED2BD">
            <w:pPr>
              <w:jc w:val="center"/>
              <w:rPr>
                <w:rFonts w:hint="eastAsia" w:ascii="宋体" w:hAnsi="宋体" w:eastAsia="宋体" w:cs="宋体"/>
                <w:i w:val="0"/>
                <w:color w:val="000000"/>
                <w:sz w:val="24"/>
                <w:szCs w:val="24"/>
                <w:u w:val="none"/>
              </w:rPr>
            </w:pPr>
          </w:p>
        </w:tc>
        <w:tc>
          <w:tcPr>
            <w:tcW w:w="9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28C5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质量指标</w:t>
            </w: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C317A">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全年水化水质简报完成合格率</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3A64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&gt;=90%</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1E89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7E1B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90%</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266E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77E3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E82C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90%</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AF73D">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593D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369B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00FFB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E1293">
            <w:pPr>
              <w:jc w:val="center"/>
              <w:rPr>
                <w:rFonts w:hint="eastAsia" w:ascii="宋体" w:hAnsi="宋体" w:eastAsia="宋体" w:cs="宋体"/>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7664F">
            <w:pPr>
              <w:jc w:val="center"/>
              <w:rPr>
                <w:rFonts w:hint="eastAsia" w:ascii="宋体" w:hAnsi="宋体" w:eastAsia="宋体" w:cs="宋体"/>
                <w:i w:val="0"/>
                <w:color w:val="000000"/>
                <w:sz w:val="24"/>
                <w:szCs w:val="24"/>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46A6F">
            <w:pPr>
              <w:jc w:val="center"/>
              <w:rPr>
                <w:rFonts w:hint="eastAsia" w:ascii="宋体" w:hAnsi="宋体" w:eastAsia="宋体" w:cs="宋体"/>
                <w:i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B9230">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水情报讯漏、错报率</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4680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&lt;=5%</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1E920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3A19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FAF0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2DD4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F7C6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B8124">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C704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3030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55587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1B2DB">
            <w:pPr>
              <w:jc w:val="center"/>
              <w:rPr>
                <w:rFonts w:hint="eastAsia" w:ascii="宋体" w:hAnsi="宋体" w:eastAsia="宋体" w:cs="宋体"/>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A4F0E">
            <w:pPr>
              <w:jc w:val="center"/>
              <w:rPr>
                <w:rFonts w:hint="eastAsia" w:ascii="宋体" w:hAnsi="宋体" w:eastAsia="宋体" w:cs="宋体"/>
                <w:i w:val="0"/>
                <w:color w:val="000000"/>
                <w:sz w:val="24"/>
                <w:szCs w:val="24"/>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B3432">
            <w:pPr>
              <w:jc w:val="center"/>
              <w:rPr>
                <w:rFonts w:hint="eastAsia" w:ascii="宋体" w:hAnsi="宋体" w:eastAsia="宋体" w:cs="宋体"/>
                <w:i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43E19">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水文仪器购置合格率</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9925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&gt;=90%</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E058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1C18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90%</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523D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6B01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2D34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90%</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493D6">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4965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192C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5CA30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9E3F3">
            <w:pPr>
              <w:jc w:val="center"/>
              <w:rPr>
                <w:rFonts w:hint="eastAsia" w:ascii="宋体" w:hAnsi="宋体" w:eastAsia="宋体" w:cs="宋体"/>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2C28C">
            <w:pPr>
              <w:jc w:val="center"/>
              <w:rPr>
                <w:rFonts w:hint="eastAsia" w:ascii="宋体" w:hAnsi="宋体" w:eastAsia="宋体" w:cs="宋体"/>
                <w:i w:val="0"/>
                <w:color w:val="000000"/>
                <w:sz w:val="24"/>
                <w:szCs w:val="24"/>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E16F1">
            <w:pPr>
              <w:jc w:val="center"/>
              <w:rPr>
                <w:rFonts w:hint="eastAsia" w:ascii="宋体" w:hAnsi="宋体" w:eastAsia="宋体" w:cs="宋体"/>
                <w:i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7B906">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水文测站生产设施维护合格率</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557C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&gt;=90%</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2E93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1389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90%</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293F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BE3A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4964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90%</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442DD">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F826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6F19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403F9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8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3CCC5">
            <w:pPr>
              <w:jc w:val="center"/>
              <w:rPr>
                <w:rFonts w:hint="eastAsia" w:ascii="宋体" w:hAnsi="宋体" w:eastAsia="宋体" w:cs="宋体"/>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B6E80">
            <w:pPr>
              <w:jc w:val="center"/>
              <w:rPr>
                <w:rFonts w:hint="eastAsia" w:ascii="宋体" w:hAnsi="宋体" w:eastAsia="宋体" w:cs="宋体"/>
                <w:i w:val="0"/>
                <w:color w:val="000000"/>
                <w:sz w:val="24"/>
                <w:szCs w:val="24"/>
                <w:u w:val="none"/>
              </w:rPr>
            </w:pPr>
          </w:p>
        </w:tc>
        <w:tc>
          <w:tcPr>
            <w:tcW w:w="9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3D62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时效指标</w:t>
            </w: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753C8">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水化水质简报上报成果及时率</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FBD1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&gt;=90%</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E0A6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6544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90%</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DE43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1ACC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5AC2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90%</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B5FE3">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341E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7F33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271D2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4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E60B8">
            <w:pPr>
              <w:jc w:val="center"/>
              <w:rPr>
                <w:rFonts w:hint="eastAsia" w:ascii="宋体" w:hAnsi="宋体" w:eastAsia="宋体" w:cs="宋体"/>
                <w:i w:val="0"/>
                <w:color w:val="000000"/>
                <w:sz w:val="24"/>
                <w:szCs w:val="24"/>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5E05E">
            <w:pPr>
              <w:jc w:val="center"/>
              <w:rPr>
                <w:rFonts w:hint="eastAsia" w:ascii="宋体" w:hAnsi="宋体" w:eastAsia="宋体" w:cs="宋体"/>
                <w:i w:val="0"/>
                <w:color w:val="000000"/>
                <w:sz w:val="24"/>
                <w:szCs w:val="24"/>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B300E">
            <w:pPr>
              <w:jc w:val="center"/>
              <w:rPr>
                <w:rFonts w:hint="eastAsia" w:ascii="宋体" w:hAnsi="宋体" w:eastAsia="宋体" w:cs="宋体"/>
                <w:i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C7857">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水雨情信息报水情分中心时限</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5CA2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&lt;=30分钟</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BD8C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004E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30分钟</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8FEB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9365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0DD8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30分钟</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46C3C">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A978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48FB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6B891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D8A93">
            <w:pPr>
              <w:jc w:val="center"/>
              <w:rPr>
                <w:rFonts w:hint="eastAsia" w:ascii="宋体" w:hAnsi="宋体" w:eastAsia="宋体" w:cs="宋体"/>
                <w:i w:val="0"/>
                <w:color w:val="000000"/>
                <w:sz w:val="24"/>
                <w:szCs w:val="24"/>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CBF2B">
            <w:pPr>
              <w:jc w:val="center"/>
              <w:rPr>
                <w:rFonts w:hint="eastAsia" w:ascii="宋体" w:hAnsi="宋体" w:eastAsia="宋体" w:cs="宋体"/>
                <w:i w:val="0"/>
                <w:color w:val="000000"/>
                <w:sz w:val="24"/>
                <w:szCs w:val="24"/>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A9C4B">
            <w:pPr>
              <w:jc w:val="center"/>
              <w:rPr>
                <w:rFonts w:hint="eastAsia" w:ascii="宋体" w:hAnsi="宋体" w:eastAsia="宋体" w:cs="宋体"/>
                <w:i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9872F">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水文仪器设备购置及时率</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C125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&gt;=90%</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0794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FCFE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90%</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AB11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6E82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3F5F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90%</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9B802">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B93D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5782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0169E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979F1">
            <w:pPr>
              <w:jc w:val="center"/>
              <w:rPr>
                <w:rFonts w:hint="eastAsia" w:ascii="宋体" w:hAnsi="宋体" w:eastAsia="宋体" w:cs="宋体"/>
                <w:i w:val="0"/>
                <w:color w:val="000000"/>
                <w:sz w:val="24"/>
                <w:szCs w:val="24"/>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FC84B">
            <w:pPr>
              <w:jc w:val="center"/>
              <w:rPr>
                <w:rFonts w:hint="eastAsia" w:ascii="宋体" w:hAnsi="宋体" w:eastAsia="宋体" w:cs="宋体"/>
                <w:i w:val="0"/>
                <w:color w:val="000000"/>
                <w:sz w:val="24"/>
                <w:szCs w:val="24"/>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F1AFF">
            <w:pPr>
              <w:jc w:val="center"/>
              <w:rPr>
                <w:rFonts w:hint="eastAsia" w:ascii="宋体" w:hAnsi="宋体" w:eastAsia="宋体" w:cs="宋体"/>
                <w:i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D3B18">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水文测站生产设施维护及时率</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B6BC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&gt;=90%</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6CE7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行业标准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4E4F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90%</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5390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1F54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5858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90%</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C2ED1">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27F9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147C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362AC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4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0DAFC">
            <w:pPr>
              <w:jc w:val="center"/>
              <w:rPr>
                <w:rFonts w:hint="eastAsia" w:ascii="宋体" w:hAnsi="宋体" w:eastAsia="宋体" w:cs="宋体"/>
                <w:i w:val="0"/>
                <w:color w:val="000000"/>
                <w:sz w:val="24"/>
                <w:szCs w:val="24"/>
                <w:u w:val="none"/>
              </w:rPr>
            </w:pP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80A9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成本指标</w:t>
            </w:r>
          </w:p>
        </w:tc>
        <w:tc>
          <w:tcPr>
            <w:tcW w:w="9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FFB3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经济成本指标</w:t>
            </w: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815D1">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水文测站生产设施维护成本</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AA1B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&lt;=16.4万元</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58BA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36E0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16.4万元</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42ED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10</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1AF0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原始凭证</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BB0F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16.4万元</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DEEEA">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EBF6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10</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2FE2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1D76E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90990">
            <w:pPr>
              <w:jc w:val="center"/>
              <w:rPr>
                <w:rFonts w:hint="eastAsia" w:ascii="宋体" w:hAnsi="宋体" w:eastAsia="宋体" w:cs="宋体"/>
                <w:i w:val="0"/>
                <w:color w:val="000000"/>
                <w:sz w:val="24"/>
                <w:szCs w:val="24"/>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3CCBB">
            <w:pPr>
              <w:jc w:val="center"/>
              <w:rPr>
                <w:rFonts w:hint="eastAsia" w:ascii="宋体" w:hAnsi="宋体" w:eastAsia="宋体" w:cs="宋体"/>
                <w:i w:val="0"/>
                <w:color w:val="000000"/>
                <w:sz w:val="24"/>
                <w:szCs w:val="24"/>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6B7D5">
            <w:pPr>
              <w:jc w:val="center"/>
              <w:rPr>
                <w:rFonts w:hint="eastAsia" w:ascii="宋体" w:hAnsi="宋体" w:eastAsia="宋体" w:cs="宋体"/>
                <w:i w:val="0"/>
                <w:color w:val="000000"/>
                <w:sz w:val="24"/>
                <w:szCs w:val="24"/>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9C857">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仪器设备更新成本</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631D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&lt;=22.10万元</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19C6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历史标准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3FE6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22.10万元</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0CED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10</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73A7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原始凭证</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9381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22.10万元</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C3784">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6B05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10</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3D17A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7F1E2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2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4F94A">
            <w:pPr>
              <w:jc w:val="center"/>
              <w:rPr>
                <w:rFonts w:hint="eastAsia" w:ascii="宋体" w:hAnsi="宋体" w:eastAsia="宋体" w:cs="宋体"/>
                <w:i w:val="0"/>
                <w:color w:val="000000"/>
                <w:sz w:val="24"/>
                <w:szCs w:val="24"/>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9B26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效益指标</w:t>
            </w:r>
          </w:p>
        </w:tc>
        <w:tc>
          <w:tcPr>
            <w:tcW w:w="9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7708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社会效益指标</w:t>
            </w:r>
          </w:p>
        </w:tc>
        <w:tc>
          <w:tcPr>
            <w:tcW w:w="1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56A83">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为综合治理、开发和防洪对策研究提供重要的基础信息和决策依据取得效益</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264B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显著</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B1FD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计划标准</w:t>
            </w: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6292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显著</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1478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10</w:t>
            </w:r>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187E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工作资料</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08B0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显著</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CA6F2">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rPr>
              <w:t>100%</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92EE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10</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851E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无</w:t>
            </w:r>
          </w:p>
        </w:tc>
      </w:tr>
      <w:tr w14:paraId="7071F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3752" w:type="dxa"/>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4738072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总分</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D55CB">
            <w:pPr>
              <w:jc w:val="center"/>
              <w:rPr>
                <w:rFonts w:hint="eastAsia" w:ascii="宋体" w:hAnsi="宋体" w:eastAsia="宋体" w:cs="宋体"/>
                <w:i w:val="0"/>
                <w:color w:val="000000"/>
                <w:sz w:val="18"/>
                <w:szCs w:val="18"/>
                <w:u w:val="none"/>
              </w:rPr>
            </w:pPr>
          </w:p>
        </w:tc>
        <w:tc>
          <w:tcPr>
            <w:tcW w:w="1134"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865023D">
            <w:pPr>
              <w:rPr>
                <w:rFonts w:hint="eastAsia" w:ascii="宋体" w:hAnsi="宋体" w:eastAsia="宋体" w:cs="宋体"/>
                <w:b/>
                <w:i w:val="0"/>
                <w:color w:val="000000"/>
                <w:sz w:val="18"/>
                <w:szCs w:val="18"/>
                <w:u w:val="none"/>
              </w:rPr>
            </w:pPr>
          </w:p>
        </w:tc>
        <w:tc>
          <w:tcPr>
            <w:tcW w:w="1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CD8E2">
            <w:pPr>
              <w:jc w:val="center"/>
              <w:rPr>
                <w:rFonts w:hint="eastAsia" w:ascii="宋体" w:hAnsi="宋体" w:eastAsia="宋体" w:cs="宋体"/>
                <w:i w:val="0"/>
                <w:color w:val="000000"/>
                <w:sz w:val="18"/>
                <w:szCs w:val="18"/>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33142">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bookmarkStart w:id="68" w:name="_GoBack"/>
            <w:bookmarkEnd w:id="68"/>
          </w:p>
        </w:tc>
        <w:tc>
          <w:tcPr>
            <w:tcW w:w="12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0881C">
            <w:pPr>
              <w:rPr>
                <w:rFonts w:hint="eastAsia" w:ascii="宋体" w:hAnsi="宋体" w:eastAsia="宋体" w:cs="宋体"/>
                <w:i w:val="0"/>
                <w:color w:val="000000"/>
                <w:sz w:val="18"/>
                <w:szCs w:val="18"/>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79F8C">
            <w:pPr>
              <w:rPr>
                <w:rFonts w:hint="eastAsia" w:ascii="宋体" w:hAnsi="宋体" w:eastAsia="宋体" w:cs="宋体"/>
                <w:i w:val="0"/>
                <w:color w:val="000000"/>
                <w:sz w:val="18"/>
                <w:szCs w:val="18"/>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F4102">
            <w:pPr>
              <w:rPr>
                <w:rFonts w:hint="eastAsia" w:ascii="宋体" w:hAnsi="宋体" w:eastAsia="宋体" w:cs="宋体"/>
                <w:i w:val="0"/>
                <w:color w:val="000000"/>
                <w:sz w:val="18"/>
                <w:szCs w:val="18"/>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700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D2868">
            <w:pPr>
              <w:rPr>
                <w:rFonts w:hint="eastAsia" w:ascii="宋体" w:hAnsi="宋体" w:eastAsia="宋体" w:cs="宋体"/>
                <w:i w:val="0"/>
                <w:color w:val="000000"/>
                <w:sz w:val="18"/>
                <w:szCs w:val="18"/>
                <w:u w:val="none"/>
              </w:rPr>
            </w:pPr>
          </w:p>
        </w:tc>
      </w:tr>
    </w:tbl>
    <w:p w14:paraId="08B3814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rPr>
      </w:pPr>
    </w:p>
    <w:p w14:paraId="3085B22B">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47E42D4-1097-455F-B042-70A3E69BEEE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F8E6C9CF-D8DA-4186-B28C-1765647107A4}"/>
  </w:font>
  <w:font w:name="华文中宋">
    <w:panose1 w:val="02010600040101010101"/>
    <w:charset w:val="86"/>
    <w:family w:val="auto"/>
    <w:pitch w:val="default"/>
    <w:sig w:usb0="00000287" w:usb1="080F0000" w:usb2="00000000" w:usb3="00000000" w:csb0="0004009F" w:csb1="DFD70000"/>
    <w:embedRegular r:id="rId3" w:fontKey="{C12FF5AC-E4C8-4035-BAC3-0C199C4E813F}"/>
  </w:font>
  <w:font w:name="方正小标宋_GBK">
    <w:panose1 w:val="02000000000000000000"/>
    <w:charset w:val="86"/>
    <w:family w:val="script"/>
    <w:pitch w:val="default"/>
    <w:sig w:usb0="A00002BF" w:usb1="38CF7CFA" w:usb2="00082016" w:usb3="00000000" w:csb0="00040001" w:csb1="00000000"/>
    <w:embedRegular r:id="rId4" w:fontKey="{2C3DDC06-3289-4F5E-AB43-00FC7C8766EC}"/>
  </w:font>
  <w:font w:name="楷体_GB2312">
    <w:panose1 w:val="02010609030101010101"/>
    <w:charset w:val="86"/>
    <w:family w:val="auto"/>
    <w:pitch w:val="default"/>
    <w:sig w:usb0="00000001" w:usb1="080E0000" w:usb2="00000000" w:usb3="00000000" w:csb0="00040000" w:csb1="00000000"/>
    <w:embedRegular r:id="rId5" w:fontKey="{663DC887-EB0C-478A-92C3-21C581CC40E0}"/>
  </w:font>
  <w:font w:name="楷体">
    <w:panose1 w:val="02010609060101010101"/>
    <w:charset w:val="86"/>
    <w:family w:val="modern"/>
    <w:pitch w:val="default"/>
    <w:sig w:usb0="800002BF" w:usb1="38CF7CFA" w:usb2="00000016" w:usb3="00000000" w:csb0="00040001" w:csb1="00000000"/>
    <w:embedRegular r:id="rId6" w:fontKey="{C6D3173B-9C9F-4075-9938-BAFFF3CA729E}"/>
  </w:font>
  <w:font w:name="方正仿宋_GBK">
    <w:altName w:val="微软雅黑"/>
    <w:panose1 w:val="02000000000000000000"/>
    <w:charset w:val="86"/>
    <w:family w:val="auto"/>
    <w:pitch w:val="default"/>
    <w:sig w:usb0="00000000" w:usb1="00000000" w:usb2="00000000" w:usb3="00000000" w:csb0="00000000" w:csb1="00000000"/>
    <w:embedRegular r:id="rId7" w:fontKey="{49F8EDC4-AB1D-4CA6-B306-EFE6F4284FDF}"/>
  </w:font>
  <w:font w:name="WPSEMBED1">
    <w:panose1 w:val="02010609030101010101"/>
    <w:charset w:val="86"/>
    <w:family w:val="auto"/>
    <w:pitch w:val="default"/>
    <w:sig w:usb0="00000001" w:usb1="080E0000" w:usb2="00000000" w:usb3="00000000" w:csb0="00040000" w:csb1="00000000"/>
  </w:font>
  <w:font w:name="WPSEMBED4">
    <w:panose1 w:val="02010609030101010101"/>
    <w:charset w:val="86"/>
    <w:family w:val="auto"/>
    <w:pitch w:val="default"/>
    <w:sig w:usb0="00000001" w:usb1="080E0000" w:usb2="00000000" w:usb3="00000000" w:csb0="00040000" w:csb1="00000000"/>
  </w:font>
  <w:font w:name="WPSEMBED3">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36102E80">
        <w:pPr>
          <w:pStyle w:val="7"/>
          <w:jc w:val="center"/>
        </w:pPr>
        <w:r>
          <w:fldChar w:fldCharType="begin"/>
        </w:r>
        <w:r>
          <w:instrText xml:space="preserve">PAGE   \* MERGEFORMAT</w:instrText>
        </w:r>
        <w:r>
          <w:fldChar w:fldCharType="separate"/>
        </w:r>
        <w:r>
          <w:rPr>
            <w:lang w:val="zh-CN"/>
          </w:rPr>
          <w:t>13</w:t>
        </w:r>
        <w:r>
          <w:fldChar w:fldCharType="end"/>
        </w:r>
      </w:p>
    </w:sdtContent>
  </w:sdt>
  <w:p w14:paraId="604ABC4C">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pPr>
        <w:ind w:left="-223"/>
      </w:pPr>
      <w:rPr>
        <w:rFonts w:hint="eastAsia"/>
      </w:rPr>
    </w:lvl>
  </w:abstractNum>
  <w:abstractNum w:abstractNumId="2">
    <w:nsid w:val="27813159"/>
    <w:multiLevelType w:val="singleLevel"/>
    <w:tmpl w:val="27813159"/>
    <w:lvl w:ilvl="0" w:tentative="0">
      <w:start w:val="3"/>
      <w:numFmt w:val="chineseCounting"/>
      <w:suff w:val="nothing"/>
      <w:lvlText w:val="（%1）"/>
      <w:lvlJc w:val="left"/>
      <w:pPr>
        <w:ind w:left="-81"/>
      </w:pPr>
      <w:rPr>
        <w:rFonts w:hint="eastAsia"/>
      </w:rPr>
    </w:lvl>
  </w:abstractNum>
  <w:abstractNum w:abstractNumId="3">
    <w:nsid w:val="6FAA0AB1"/>
    <w:multiLevelType w:val="singleLevel"/>
    <w:tmpl w:val="6FAA0AB1"/>
    <w:lvl w:ilvl="0" w:tentative="0">
      <w:start w:val="2"/>
      <w:numFmt w:val="chineseCounting"/>
      <w:suff w:val="nothing"/>
      <w:lvlText w:val="（%1）"/>
      <w:lvlJc w:val="left"/>
      <w:pPr>
        <w:ind w:left="-13"/>
      </w:pPr>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AC42D1"/>
    <w:rsid w:val="00D14946"/>
    <w:rsid w:val="00F26FF6"/>
    <w:rsid w:val="011E0236"/>
    <w:rsid w:val="01610122"/>
    <w:rsid w:val="01946E48"/>
    <w:rsid w:val="01B80F22"/>
    <w:rsid w:val="02510197"/>
    <w:rsid w:val="030F6088"/>
    <w:rsid w:val="036D1000"/>
    <w:rsid w:val="03EC461B"/>
    <w:rsid w:val="04820ADC"/>
    <w:rsid w:val="04FC7963"/>
    <w:rsid w:val="057E12A3"/>
    <w:rsid w:val="061673B3"/>
    <w:rsid w:val="064C13A1"/>
    <w:rsid w:val="07397B77"/>
    <w:rsid w:val="07EB626D"/>
    <w:rsid w:val="084E1401"/>
    <w:rsid w:val="094C5127"/>
    <w:rsid w:val="0AD007F3"/>
    <w:rsid w:val="0AFC15E8"/>
    <w:rsid w:val="0B0E7513"/>
    <w:rsid w:val="0B3F14D4"/>
    <w:rsid w:val="0BAB6B6A"/>
    <w:rsid w:val="0C061FF2"/>
    <w:rsid w:val="0CE42333"/>
    <w:rsid w:val="0DE46363"/>
    <w:rsid w:val="0E3C619F"/>
    <w:rsid w:val="0E6801EC"/>
    <w:rsid w:val="0EFE4AC2"/>
    <w:rsid w:val="0F4110AB"/>
    <w:rsid w:val="0F6F3B45"/>
    <w:rsid w:val="1019194F"/>
    <w:rsid w:val="11170296"/>
    <w:rsid w:val="11B60016"/>
    <w:rsid w:val="11C22999"/>
    <w:rsid w:val="13471461"/>
    <w:rsid w:val="13B90F01"/>
    <w:rsid w:val="141E2B33"/>
    <w:rsid w:val="155E4C4D"/>
    <w:rsid w:val="15A1297B"/>
    <w:rsid w:val="16290DB7"/>
    <w:rsid w:val="164D0F49"/>
    <w:rsid w:val="16B600FB"/>
    <w:rsid w:val="16D276A1"/>
    <w:rsid w:val="16E318AE"/>
    <w:rsid w:val="17462648"/>
    <w:rsid w:val="181066D2"/>
    <w:rsid w:val="18177FE3"/>
    <w:rsid w:val="199944A6"/>
    <w:rsid w:val="19AD23A6"/>
    <w:rsid w:val="19CC3B0E"/>
    <w:rsid w:val="1A2B4F63"/>
    <w:rsid w:val="1A564145"/>
    <w:rsid w:val="1AD938CB"/>
    <w:rsid w:val="1AE2543D"/>
    <w:rsid w:val="1B7F3BE7"/>
    <w:rsid w:val="1C671E73"/>
    <w:rsid w:val="1D102F0A"/>
    <w:rsid w:val="1D1125A5"/>
    <w:rsid w:val="1D322C47"/>
    <w:rsid w:val="1E6E5F01"/>
    <w:rsid w:val="1E934856"/>
    <w:rsid w:val="1EE667B6"/>
    <w:rsid w:val="1F1840BF"/>
    <w:rsid w:val="1F9C7D63"/>
    <w:rsid w:val="1FE72F27"/>
    <w:rsid w:val="1FE7782E"/>
    <w:rsid w:val="20C067BC"/>
    <w:rsid w:val="21AB67DA"/>
    <w:rsid w:val="23111551"/>
    <w:rsid w:val="23616034"/>
    <w:rsid w:val="23D4607E"/>
    <w:rsid w:val="241E5A50"/>
    <w:rsid w:val="24264886"/>
    <w:rsid w:val="24480FA2"/>
    <w:rsid w:val="246663D3"/>
    <w:rsid w:val="25227A45"/>
    <w:rsid w:val="258A1202"/>
    <w:rsid w:val="26AC3A6A"/>
    <w:rsid w:val="26B26BA7"/>
    <w:rsid w:val="278A6504"/>
    <w:rsid w:val="27C923FA"/>
    <w:rsid w:val="281178FD"/>
    <w:rsid w:val="294855A0"/>
    <w:rsid w:val="2ADA0E92"/>
    <w:rsid w:val="2AEA2DB3"/>
    <w:rsid w:val="2B9D7E25"/>
    <w:rsid w:val="2BE45A54"/>
    <w:rsid w:val="2C212804"/>
    <w:rsid w:val="2C7C7A3B"/>
    <w:rsid w:val="2C923702"/>
    <w:rsid w:val="2E20089A"/>
    <w:rsid w:val="2E861EE7"/>
    <w:rsid w:val="2EFC0D68"/>
    <w:rsid w:val="2F364819"/>
    <w:rsid w:val="2FD63906"/>
    <w:rsid w:val="307871D6"/>
    <w:rsid w:val="31570A76"/>
    <w:rsid w:val="316D029A"/>
    <w:rsid w:val="32505F58"/>
    <w:rsid w:val="3384084A"/>
    <w:rsid w:val="345262CF"/>
    <w:rsid w:val="346C4839"/>
    <w:rsid w:val="35146474"/>
    <w:rsid w:val="355F1205"/>
    <w:rsid w:val="36DE12F2"/>
    <w:rsid w:val="37215DAE"/>
    <w:rsid w:val="37F87CF5"/>
    <w:rsid w:val="386E1135"/>
    <w:rsid w:val="38CA40DD"/>
    <w:rsid w:val="395104A1"/>
    <w:rsid w:val="395F2B56"/>
    <w:rsid w:val="3B5D312D"/>
    <w:rsid w:val="3BBA0580"/>
    <w:rsid w:val="3BE17DF8"/>
    <w:rsid w:val="3BECE841"/>
    <w:rsid w:val="3C706E90"/>
    <w:rsid w:val="3CDE204C"/>
    <w:rsid w:val="3D363C36"/>
    <w:rsid w:val="3E443064"/>
    <w:rsid w:val="3E636CAD"/>
    <w:rsid w:val="3E720C9E"/>
    <w:rsid w:val="3E9C3F6D"/>
    <w:rsid w:val="3FB11C9A"/>
    <w:rsid w:val="3FF7797D"/>
    <w:rsid w:val="3FFF479F"/>
    <w:rsid w:val="401D10DD"/>
    <w:rsid w:val="40DC2D46"/>
    <w:rsid w:val="41AF2209"/>
    <w:rsid w:val="41D66EC2"/>
    <w:rsid w:val="424B1F31"/>
    <w:rsid w:val="431A7B56"/>
    <w:rsid w:val="43601655"/>
    <w:rsid w:val="458B6AE9"/>
    <w:rsid w:val="45E15804"/>
    <w:rsid w:val="464B69A4"/>
    <w:rsid w:val="46690BD8"/>
    <w:rsid w:val="46953E87"/>
    <w:rsid w:val="47132FF3"/>
    <w:rsid w:val="47501D98"/>
    <w:rsid w:val="47BB35B6"/>
    <w:rsid w:val="47D26417"/>
    <w:rsid w:val="47DB5B06"/>
    <w:rsid w:val="4858094F"/>
    <w:rsid w:val="48D013E2"/>
    <w:rsid w:val="490123A3"/>
    <w:rsid w:val="49C10D2B"/>
    <w:rsid w:val="49F70BF1"/>
    <w:rsid w:val="4B060DEF"/>
    <w:rsid w:val="4B4340EE"/>
    <w:rsid w:val="4BA6725E"/>
    <w:rsid w:val="4BF06537"/>
    <w:rsid w:val="4D9E1AAF"/>
    <w:rsid w:val="4F336227"/>
    <w:rsid w:val="503D507A"/>
    <w:rsid w:val="504B57F2"/>
    <w:rsid w:val="505E1082"/>
    <w:rsid w:val="51FA74D0"/>
    <w:rsid w:val="528A5B24"/>
    <w:rsid w:val="52AA4A52"/>
    <w:rsid w:val="54E56216"/>
    <w:rsid w:val="550F5041"/>
    <w:rsid w:val="56277B56"/>
    <w:rsid w:val="563E1197"/>
    <w:rsid w:val="574A40F1"/>
    <w:rsid w:val="57912412"/>
    <w:rsid w:val="57D91936"/>
    <w:rsid w:val="589C4E3D"/>
    <w:rsid w:val="59943D66"/>
    <w:rsid w:val="59E051FD"/>
    <w:rsid w:val="59E6355E"/>
    <w:rsid w:val="59F974AC"/>
    <w:rsid w:val="5A184997"/>
    <w:rsid w:val="5A3F7C21"/>
    <w:rsid w:val="5AE52971"/>
    <w:rsid w:val="5B821531"/>
    <w:rsid w:val="5BFF6039"/>
    <w:rsid w:val="5C476399"/>
    <w:rsid w:val="5D76A616"/>
    <w:rsid w:val="5D7F20B9"/>
    <w:rsid w:val="5DAC7D0E"/>
    <w:rsid w:val="5DF254FF"/>
    <w:rsid w:val="5E4F2952"/>
    <w:rsid w:val="5E5249EC"/>
    <w:rsid w:val="5F98B5AF"/>
    <w:rsid w:val="5FFE8511"/>
    <w:rsid w:val="5FFEACE2"/>
    <w:rsid w:val="609D5BF6"/>
    <w:rsid w:val="60E455D3"/>
    <w:rsid w:val="61073070"/>
    <w:rsid w:val="61113EEE"/>
    <w:rsid w:val="61956394"/>
    <w:rsid w:val="61B9080E"/>
    <w:rsid w:val="61DF3FED"/>
    <w:rsid w:val="62A212A2"/>
    <w:rsid w:val="62AA63A9"/>
    <w:rsid w:val="63D95197"/>
    <w:rsid w:val="642B176B"/>
    <w:rsid w:val="643EE26D"/>
    <w:rsid w:val="650224CC"/>
    <w:rsid w:val="656019A0"/>
    <w:rsid w:val="65F242EE"/>
    <w:rsid w:val="666D7E19"/>
    <w:rsid w:val="66C51A03"/>
    <w:rsid w:val="67F366AC"/>
    <w:rsid w:val="68376930"/>
    <w:rsid w:val="683F3494"/>
    <w:rsid w:val="68F91E38"/>
    <w:rsid w:val="69767E03"/>
    <w:rsid w:val="6A99742E"/>
    <w:rsid w:val="6AEA306B"/>
    <w:rsid w:val="6B3158B9"/>
    <w:rsid w:val="6BA02A3F"/>
    <w:rsid w:val="6C1E5A53"/>
    <w:rsid w:val="6C7F76DF"/>
    <w:rsid w:val="6DD20F3C"/>
    <w:rsid w:val="6F5C41AC"/>
    <w:rsid w:val="6FAF6C78"/>
    <w:rsid w:val="6FD66A2F"/>
    <w:rsid w:val="701B08E6"/>
    <w:rsid w:val="707A7747"/>
    <w:rsid w:val="716167CC"/>
    <w:rsid w:val="718A7AD1"/>
    <w:rsid w:val="72A44BC2"/>
    <w:rsid w:val="72F67375"/>
    <w:rsid w:val="7317C656"/>
    <w:rsid w:val="73230220"/>
    <w:rsid w:val="7325427E"/>
    <w:rsid w:val="734ED73F"/>
    <w:rsid w:val="73C82B32"/>
    <w:rsid w:val="73F94DAE"/>
    <w:rsid w:val="74220495"/>
    <w:rsid w:val="747D1B6F"/>
    <w:rsid w:val="749E5641"/>
    <w:rsid w:val="756B19C7"/>
    <w:rsid w:val="758B206A"/>
    <w:rsid w:val="76271066"/>
    <w:rsid w:val="76B52627"/>
    <w:rsid w:val="7755292F"/>
    <w:rsid w:val="77FD8BE9"/>
    <w:rsid w:val="78000AED"/>
    <w:rsid w:val="78DD2BDC"/>
    <w:rsid w:val="78FE2B52"/>
    <w:rsid w:val="79055C6B"/>
    <w:rsid w:val="794177FE"/>
    <w:rsid w:val="79A9BD3F"/>
    <w:rsid w:val="7B346CFF"/>
    <w:rsid w:val="7B776F12"/>
    <w:rsid w:val="7BBD6CF5"/>
    <w:rsid w:val="7BC40083"/>
    <w:rsid w:val="7BFFFDD0"/>
    <w:rsid w:val="7C091F3A"/>
    <w:rsid w:val="7C336E5F"/>
    <w:rsid w:val="7C466CEA"/>
    <w:rsid w:val="7C8D4919"/>
    <w:rsid w:val="7CBE4AD3"/>
    <w:rsid w:val="7D7A5F86"/>
    <w:rsid w:val="7DA71A0B"/>
    <w:rsid w:val="7E4B683A"/>
    <w:rsid w:val="7E5E656D"/>
    <w:rsid w:val="7E8F2BCB"/>
    <w:rsid w:val="7E955D07"/>
    <w:rsid w:val="7EA5419C"/>
    <w:rsid w:val="7EAF0B77"/>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toc 3"/>
    <w:basedOn w:val="1"/>
    <w:next w:val="1"/>
    <w:qFormat/>
    <w:uiPriority w:val="0"/>
    <w:pPr>
      <w:ind w:left="840" w:leftChars="400"/>
    </w:pPr>
  </w:style>
  <w:style w:type="paragraph" w:styleId="6">
    <w:name w:val="Balloon Text"/>
    <w:basedOn w:val="1"/>
    <w:link w:val="25"/>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pPr>
      <w:tabs>
        <w:tab w:val="right" w:leader="dot" w:pos="7980"/>
        <w:tab w:val="right" w:leader="dot" w:pos="8190"/>
      </w:tabs>
    </w:pPr>
    <w:rPr>
      <w:rFonts w:ascii="Calibri" w:hAnsi="Calibri" w:eastAsia="仿宋_GB2312" w:cs="Times New Roman"/>
      <w:sz w:val="32"/>
    </w:rPr>
  </w:style>
  <w:style w:type="paragraph" w:styleId="10">
    <w:name w:val="toc 4"/>
    <w:basedOn w:val="1"/>
    <w:next w:val="1"/>
    <w:qFormat/>
    <w:uiPriority w:val="0"/>
    <w:pPr>
      <w:ind w:left="1260" w:leftChars="600"/>
    </w:pPr>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rPr>
  </w:style>
  <w:style w:type="paragraph" w:styleId="13">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4">
    <w:name w:val="Body Text First Indent"/>
    <w:basedOn w:val="2"/>
    <w:qFormat/>
    <w:uiPriority w:val="0"/>
    <w:pPr>
      <w:spacing w:after="0"/>
      <w:ind w:firstLine="200" w:firstLineChars="200"/>
    </w:pPr>
  </w:style>
  <w:style w:type="paragraph" w:styleId="15">
    <w:name w:val="Body Text First Indent 2"/>
    <w:basedOn w:val="4"/>
    <w:qFormat/>
    <w:uiPriority w:val="0"/>
    <w:pPr>
      <w:ind w:firstLine="420" w:firstLineChars="200"/>
    </w:p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paragraph" w:customStyle="1" w:styleId="20">
    <w:name w:val="Comment Text"/>
    <w:basedOn w:val="1"/>
    <w:link w:val="27"/>
    <w:qFormat/>
    <w:uiPriority w:val="0"/>
    <w:pPr>
      <w:jc w:val="left"/>
    </w:pPr>
  </w:style>
  <w:style w:type="paragraph" w:customStyle="1" w:styleId="21">
    <w:name w:val="Comment Subject"/>
    <w:basedOn w:val="20"/>
    <w:next w:val="20"/>
    <w:link w:val="28"/>
    <w:qFormat/>
    <w:uiPriority w:val="0"/>
    <w:rPr>
      <w:b/>
      <w:bCs/>
    </w:rPr>
  </w:style>
  <w:style w:type="character" w:customStyle="1" w:styleId="22">
    <w:name w:val="Comment Reference"/>
    <w:basedOn w:val="18"/>
    <w:qFormat/>
    <w:uiPriority w:val="0"/>
    <w:rPr>
      <w:sz w:val="21"/>
      <w:szCs w:val="21"/>
    </w:rPr>
  </w:style>
  <w:style w:type="character" w:customStyle="1" w:styleId="23">
    <w:name w:val="fontstyle01"/>
    <w:qFormat/>
    <w:uiPriority w:val="0"/>
    <w:rPr>
      <w:rFonts w:ascii="仿宋_GB2312" w:hAnsi="仿宋_GB2312" w:eastAsia="仿宋_GB2312" w:cs="仿宋_GB2312"/>
      <w:color w:val="000000"/>
      <w:sz w:val="32"/>
      <w:szCs w:val="32"/>
    </w:rPr>
  </w:style>
  <w:style w:type="paragraph" w:customStyle="1" w:styleId="24">
    <w:name w:val="闻政-正文段落文字"/>
    <w:basedOn w:val="1"/>
    <w:qFormat/>
    <w:uiPriority w:val="3"/>
    <w:pPr>
      <w:spacing w:line="500" w:lineRule="exact"/>
      <w:ind w:firstLine="200"/>
    </w:pPr>
    <w:rPr>
      <w:kern w:val="0"/>
      <w:szCs w:val="28"/>
    </w:rPr>
  </w:style>
  <w:style w:type="character" w:customStyle="1" w:styleId="25">
    <w:name w:val="批注框文本 字符"/>
    <w:basedOn w:val="18"/>
    <w:link w:val="6"/>
    <w:qFormat/>
    <w:uiPriority w:val="0"/>
    <w:rPr>
      <w:rFonts w:ascii="Times New Roman" w:hAnsi="Times New Roman" w:eastAsia="宋体" w:cs="Times New Roman"/>
      <w:kern w:val="2"/>
      <w:sz w:val="18"/>
      <w:szCs w:val="18"/>
    </w:rPr>
  </w:style>
  <w:style w:type="character" w:customStyle="1" w:styleId="26">
    <w:name w:val="页眉 字符"/>
    <w:basedOn w:val="18"/>
    <w:link w:val="8"/>
    <w:qFormat/>
    <w:uiPriority w:val="0"/>
    <w:rPr>
      <w:rFonts w:ascii="Times New Roman" w:hAnsi="Times New Roman" w:eastAsia="宋体" w:cs="Times New Roman"/>
      <w:kern w:val="2"/>
      <w:sz w:val="18"/>
      <w:szCs w:val="18"/>
    </w:rPr>
  </w:style>
  <w:style w:type="character" w:customStyle="1" w:styleId="27">
    <w:name w:val="批注文字 字符"/>
    <w:basedOn w:val="18"/>
    <w:link w:val="20"/>
    <w:qFormat/>
    <w:uiPriority w:val="0"/>
    <w:rPr>
      <w:rFonts w:ascii="Times New Roman" w:hAnsi="Times New Roman" w:eastAsia="宋体" w:cs="Times New Roman"/>
      <w:kern w:val="2"/>
      <w:sz w:val="21"/>
      <w:szCs w:val="24"/>
    </w:rPr>
  </w:style>
  <w:style w:type="character" w:customStyle="1" w:styleId="28">
    <w:name w:val="批注主题 字符"/>
    <w:basedOn w:val="27"/>
    <w:link w:val="2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45e20d72-937f-4962-8472-4de0c102f286</errorID>
      <errorWord>。</errorWord>
      <group>L1_Format</group>
      <groupName>格式问题</groupName>
      <ability>L2_HalfPunc</ability>
      <abilityName>全半角检查</abilityName>
      <candidateList>
        <item>.</item>
      </candidateList>
      <explain>文本全半角错误。</explain>
      <paraID>3E9A9918</paraID>
      <start>8</start>
      <end>9</end>
      <status>unmodified</status>
      <modifiedWord/>
      <trackRevisions>false</trackRevisions>
    </reviewItem>
    <reviewItem>
      <errorID>1b9dd8c3-a43b-48a0-9cc1-f978e3708480</errorID>
      <errorWord>截止</errorWord>
      <group>L1_Word</group>
      <groupName>字词问题</groupName>
      <ability>L2_Typo</ability>
      <abilityName>字词错误</abilityName>
      <candidateList>
        <item>截至</item>
      </candidateList>
      <explain>存在发音相同字词的误用。</explain>
      <paraID> 457426D</paraID>
      <start>0</start>
      <end>2</end>
      <status>unmodified</status>
      <modifiedWord/>
      <trackRevisions>false</trackRevisions>
    </reviewItem>
    <reviewItem>
      <errorID>e8ba54ce-baa7-475d-99c6-233192aa3e54</errorID>
      <errorWord>。</errorWord>
      <group>L1_Format</group>
      <groupName>格式问题</groupName>
      <ability>L2_HalfPunc</ability>
      <abilityName>全半角检查</abilityName>
      <candidateList>
        <item>.</item>
      </candidateList>
      <explain>文本全半角错误。</explain>
      <paraID>30279065</paraID>
      <start>7</start>
      <end>8</end>
      <status>unmodified</status>
      <modifiedWord/>
      <trackRevisions>false</trackRevisions>
    </reviewItem>
    <reviewItem>
      <errorID>4306161c-cc73-4d5d-899b-3ad7778cbc8d</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3321091D</paraID>
      <start>44</start>
      <end>45</end>
      <status>unmodified</status>
      <modifiedWord/>
      <trackRevisions>false</trackRevisions>
    </reviewItem>
    <reviewItem>
      <errorID>1a4917e4-f86b-4557-91f3-ca5ca0cb3e8f</errorID>
      <errorWord>有效</errorWord>
      <group>L1_AI</group>
      <groupName>深度校对</groupName>
      <ability>L2_AI_Word</ability>
      <abilityName>字词纠错</abilityName>
      <candidateList>
        <item>高效</item>
      </candidateList>
      <explain/>
      <paraID>16346F89</paraID>
      <start>50</start>
      <end>52</end>
      <status>unmodified</status>
      <modifiedWord/>
      <trackRevisions>false</trackRevisions>
    </reviewItem>
    <reviewItem>
      <errorID>c85b7490-1c65-4ecf-938c-361167504336</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5A220F80</paraID>
      <start>73</start>
      <end>74</end>
      <status>unmodified</status>
      <modifiedWord/>
      <trackRevisions>false</trackRevisions>
    </reviewItem>
    <reviewItem>
      <errorID>d0b10219-06b7-4896-b8ef-b9804418d9ad</errorID>
      <errorWord>，</errorWord>
      <group>L1_Word</group>
      <groupName>字词问题</groupName>
      <ability>L2_Typo</ability>
      <abilityName>字词错误</abilityName>
      <candidateList>
        <item>，在</item>
      </candidateList>
      <explain/>
      <paraID>65871231</paraID>
      <start>167</start>
      <end>168</end>
      <status>unmodified</status>
      <modifiedWord/>
      <trackRevisions>false</trackRevisions>
    </reviewItem>
    <reviewItem>
      <errorID>8a165de5-83d3-4926-81f9-b6f81efde2f4</errorID>
      <errorWord>，]</errorWord>
      <group>L1_Punc</group>
      <groupName>标点问题</groupName>
      <ability>L2_Punc</ability>
      <abilityName>标点符号检查</abilityName>
      <candidateList>
        <item>]</item>
      </candidateList>
      <explain/>
      <paraID>65871231</paraID>
      <start>254</start>
      <end>256</end>
      <status>unmodified</status>
      <modifiedWord/>
      <trackRevisions>false</trackRevisions>
    </reviewItem>
    <reviewItem>
      <errorID>512c3262-c393-45c8-8d64-c2a71901a756</errorID>
      <errorWord>全</errorWord>
      <group>L1_Word</group>
      <groupName>字词问题</groupName>
      <ability>L2_Typo</ability>
      <abilityName>字词错误</abilityName>
      <candidateList>
        <item>全过</item>
      </candidateList>
      <explain/>
      <paraID>6F9EC0D6</paraID>
      <start>93</start>
      <end>94</end>
      <status>unmodified</status>
      <modifiedWord/>
      <trackRevisions>false</trackRevisions>
    </reviewItem>
    <reviewItem>
      <errorID>5106591d-84f4-4d63-9b9c-587b5ad5e130</errorID>
      <errorWord>预算法</errorWord>
      <group>L1_Knowledge</group>
      <groupName>知识性问题</groupName>
      <ability>L2_Knowledge</ability>
      <abilityName>其他知识</abilityName>
      <candidateList>
        <item>中华人民共和国预算法</item>
      </candidateList>
      <explain>当前法律法规名称使用简称，请注意是否应当使用全称。</explain>
      <paraID>5AAC8898</paraID>
      <start>11</start>
      <end>14</end>
      <status>unmodified</status>
      <modifiedWord/>
      <trackRevisions>false</trackRevisions>
    </reviewItem>
    <reviewItem>
      <errorID>2a2b42f8-295c-4512-b805-342bdf713b4d</errorID>
      <errorWord>全</errorWord>
      <group>L1_Word</group>
      <groupName>字词问题</groupName>
      <ability>L2_Typo</ability>
      <abilityName>字词错误</abilityName>
      <candidateList>
        <item>全过</item>
      </candidateList>
      <explain/>
      <paraID>5AAC8898</paraID>
      <start>52</start>
      <end>53</end>
      <status>unmodified</status>
      <modifiedWord/>
      <trackRevisions>false</trackRevisions>
    </reviewItem>
    <reviewItem>
      <errorID>bcf2854b-01f9-46a4-9fca-3eebda9ffc02</errorID>
      <errorWord>-</errorWord>
      <group>L1_Format</group>
      <groupName>格式问题</groupName>
      <ability>L2_HalfPunc</ability>
      <abilityName>全半角检查</abilityName>
      <candidateList>
        <item>－</item>
      </candidateList>
      <explain>文本全半角错误。</explain>
      <paraID>5AAC8898</paraID>
      <start>70</start>
      <end>71</end>
      <status>unmodified</status>
      <modifiedWord/>
      <trackRevisions>false</trackRevisions>
    </reviewItem>
    <reviewItem>
      <errorID>703f9911-f9f8-4187-b3bf-1ce8c553e755</errorID>
      <errorWord>-</errorWord>
      <group>L1_Format</group>
      <groupName>格式问题</groupName>
      <ability>L2_HalfPunc</ability>
      <abilityName>全半角检查</abilityName>
      <candidateList>
        <item>－</item>
      </candidateList>
      <explain>文本全半角错误。</explain>
      <paraID>5AAC8898</paraID>
      <start>73</start>
      <end>74</end>
      <status>unmodified</status>
      <modifiedWord/>
      <trackRevisions>false</trackRevisions>
    </reviewItem>
    <reviewItem>
      <errorID>55349a2b-6432-44f7-adbb-f8ff1519a86f</errorID>
      <errorWord>：，</errorWord>
      <group>L1_Punc</group>
      <groupName>标点问题</groupName>
      <ability>L2_Punc</ability>
      <abilityName>标点符号检查</abilityName>
      <candidateList>
        <item>：</item>
      </candidateList>
      <explain/>
      <paraID>38E5CE84</paraID>
      <start>12</start>
      <end>14</end>
      <status>unmodified</status>
      <modifiedWord/>
      <trackRevisions>false</trackRevisions>
    </reviewItem>
    <reviewItem>
      <errorID>3ad2527a-4be4-4184-813e-2fe945cbfedf</errorID>
      <errorWord>：，</errorWord>
      <group>L1_Punc</group>
      <groupName>标点问题</groupName>
      <ability>L2_Punc</ability>
      <abilityName>标点符号检查</abilityName>
      <candidateList>
        <item>：</item>
      </candidateList>
      <explain/>
      <paraID>38E5CE84</paraID>
      <start>19</start>
      <end>21</end>
      <status>unmodified</status>
      <modifiedWord/>
      <trackRevisions>false</trackRevisions>
    </reviewItem>
    <reviewItem>
      <errorID>d6f0377f-83ac-4598-a2be-86396db3c124</errorID>
      <errorWord>：，</errorWord>
      <group>L1_Punc</group>
      <groupName>标点问题</groupName>
      <ability>L2_Punc</ability>
      <abilityName>标点符号检查</abilityName>
      <candidateList>
        <item>：</item>
      </candidateList>
      <explain/>
      <paraID>2ED61372</paraID>
      <start>12</start>
      <end>14</end>
      <status>unmodified</status>
      <modifiedWord/>
      <trackRevisions>false</trackRevisions>
    </reviewItem>
    <reviewItem>
      <errorID>7f59fd71-1dc0-4fcd-9797-1deeb8024d07</errorID>
      <errorWord>：，</errorWord>
      <group>L1_Punc</group>
      <groupName>标点问题</groupName>
      <ability>L2_Punc</ability>
      <abilityName>标点符号检查</abilityName>
      <candidateList>
        <item>：</item>
      </candidateList>
      <explain/>
      <paraID>2ED61372</paraID>
      <start>19</start>
      <end>21</end>
      <status>unmodified</status>
      <modifiedWord/>
      <trackRevisions>false</trackRevisions>
    </reviewItem>
    <reviewItem>
      <errorID>72eec153-67b9-4cdc-8b85-102bda3291c8</errorID>
      <errorWord>：，</errorWord>
      <group>L1_Punc</group>
      <groupName>标点问题</groupName>
      <ability>L2_Punc</ability>
      <abilityName>标点符号检查</abilityName>
      <candidateList>
        <item>：</item>
      </candidateList>
      <explain/>
      <paraID>4CFBFDBB</paraID>
      <start>12</start>
      <end>14</end>
      <status>unmodified</status>
      <modifiedWord/>
      <trackRevisions>false</trackRevisions>
    </reviewItem>
    <reviewItem>
      <errorID>f8ebcd7f-be01-44ad-a3fc-14814c04d595</errorID>
      <errorWord>：，</errorWord>
      <group>L1_Punc</group>
      <groupName>标点问题</groupName>
      <ability>L2_Punc</ability>
      <abilityName>标点符号检查</abilityName>
      <candidateList>
        <item>：</item>
      </candidateList>
      <explain/>
      <paraID>4CFBFDBB</paraID>
      <start>19</start>
      <end>21</end>
      <status>unmodified</status>
      <modifiedWord/>
      <trackRevisions>false</trackRevisions>
    </reviewItem>
    <reviewItem>
      <errorID>7f5001ba-3d96-49a1-91ae-d78203439ab5</errorID>
      <errorWord>：，</errorWord>
      <group>L1_Punc</group>
      <groupName>标点问题</groupName>
      <ability>L2_Punc</ability>
      <abilityName>标点符号检查</abilityName>
      <candidateList>
        <item>：</item>
      </candidateList>
      <explain/>
      <paraID>10209780</paraID>
      <start>12</start>
      <end>14</end>
      <status>unmodified</status>
      <modifiedWord/>
      <trackRevisions>false</trackRevisions>
    </reviewItem>
    <reviewItem>
      <errorID>bbab4c98-490f-4c70-a6c1-2be9fa30d637</errorID>
      <errorWord>：，</errorWord>
      <group>L1_Punc</group>
      <groupName>标点问题</groupName>
      <ability>L2_Punc</ability>
      <abilityName>标点符号检查</abilityName>
      <candidateList>
        <item>：</item>
      </candidateList>
      <explain/>
      <paraID>10209780</paraID>
      <start>19</start>
      <end>21</end>
      <status>unmodified</status>
      <modifiedWord/>
      <trackRevisions>false</trackRevisions>
    </reviewItem>
    <reviewItem>
      <errorID>afdb7b20-ca68-4fd4-896b-a09588671cff</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5DED8768</paraID>
      <start>0</start>
      <end>2</end>
      <status>unmodified</status>
      <modifiedWord/>
      <trackRevisions>false</trackRevisions>
    </reviewItem>
    <reviewItem>
      <errorID>b715000d-26c2-4fd1-96d5-7ba5b49311f7</errorID>
      <errorWord>；</errorWord>
      <group>L1_Word</group>
      <groupName>字词问题</groupName>
      <ability>L2_Typo</ability>
      <abilityName>字词错误</abilityName>
      <candidateList>
        <item>；在</item>
      </candidateList>
      <explain/>
      <paraID>33C5EBC0</paraID>
      <start>90</start>
      <end>91</end>
      <status>unmodified</status>
      <modifiedWord/>
      <trackRevisions>false</trackRevisions>
    </reviewItem>
    <reviewItem>
      <errorID>e4d8f088-dd4b-423c-b02f-2c3af50e4835</errorID>
      <errorWord>评价</errorWord>
      <group>L1_Word</group>
      <groupName>字词问题</groupName>
      <ability>L2_Typo</ability>
      <abilityName>字词错误</abilityName>
      <candidateList>
        <item>评</item>
      </candidateList>
      <explain/>
      <paraID>47643AFE</paraID>
      <start>83</start>
      <end>85</end>
      <status>unmodified</status>
      <modifiedWord/>
      <trackRevisions>false</trackRevisions>
    </reviewItem>
    <reviewItem>
      <errorID>304693bf-2643-47f6-bf50-3ab183a10772</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581D1A14</paraID>
      <start>0</start>
      <end>2</end>
      <status>unmodified</status>
      <modifiedWord/>
      <trackRevisions>false</trackRevisions>
    </reviewItem>
    <reviewItem>
      <errorID>70b33c7f-3821-4ab4-9635-e406abb915eb</errorID>
      <errorWord>八.</errorWord>
      <group>L1_Format</group>
      <groupName>格式问题</groupName>
      <ability>L2_Ordinal</ability>
      <abilityName>序号格式</abilityName>
      <candidateList>
        <item>八、</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3AB05DC2</paraID>
      <start>0</start>
      <end>2</end>
      <status>unmodified</status>
      <modifiedWord/>
      <trackRevisions>false</trackRevisions>
    </reviewItem>
    <reviewItem>
      <errorID>ba137ec8-6bd5-41cd-8e96-8147271f926c</errorID>
      <errorWord>的明</errorWord>
      <group>L1_Word</group>
      <groupName>字词问题</groupName>
      <ability>L2_Typo</ability>
      <abilityName>字词错误</abilityName>
      <candidateList>
        <item>的</item>
      </candidateList>
      <explain>“的”常用于连接修饰语与名词性中心语，表示属性、所属或描述。</explain>
      <paraID>5E2A108D</paraID>
      <start>39</start>
      <end>41</end>
      <status>unmodified</status>
      <modifiedWord/>
      <trackRevisions>false</trackRevisions>
    </reviewItem>
    <reviewItem>
      <errorID>f57871fa-7967-47ef-bd89-2ff13260ef7d</errorID>
      <errorWord>数</errorWord>
      <group>L1_Word</group>
      <groupName>字词问题</groupName>
      <ability>L2_Typo</ability>
      <abilityName>字词错误</abilityName>
      <candidateList>
        <item>数量</item>
      </candidateList>
      <explain/>
      <paraID>4FDCCD34</paraID>
      <start>30</start>
      <end>31</end>
      <status>unmodified</status>
      <modifiedWord/>
      <trackRevisions>false</trackRevisions>
    </reviewItem>
    <reviewItem>
      <errorID>4fef7e59-228d-47c7-affd-4d9e70818096</errorID>
      <errorWord>位</errorWord>
      <group>L1_Word</group>
      <groupName>字词问题</groupName>
      <ability>L2_Typo</ability>
      <abilityName>字词错误</abilityName>
      <candidateList>
        <item>位在</item>
      </candidateList>
      <explain/>
      <paraID>14FE6675</paraID>
      <start>54</start>
      <end>55</end>
      <status>unmodified</status>
      <modifiedWord/>
      <trackRevisions>false</trackRevisions>
    </reviewItem>
  </reviewItems>
  <config/>
</contractReview>
</file>

<file path=customXml/itemProps1.xml><?xml version="1.0" encoding="utf-8"?>
<ds:datastoreItem xmlns:ds="http://schemas.openxmlformats.org/officeDocument/2006/customXml" ds:itemID="{098f5e91-fa11-413b-836c-246af5bba9a8}">
  <ds:schemaRefs/>
</ds:datastoreItem>
</file>

<file path=docProps/app.xml><?xml version="1.0" encoding="utf-8"?>
<Properties xmlns="http://schemas.openxmlformats.org/officeDocument/2006/extended-properties" xmlns:vt="http://schemas.openxmlformats.org/officeDocument/2006/docPropsVTypes">
  <Template>Normal</Template>
  <Pages>33</Pages>
  <Words>4580</Words>
  <Characters>4681</Characters>
  <Lines>58</Lines>
  <Paragraphs>16</Paragraphs>
  <TotalTime>1</TotalTime>
  <ScaleCrop>false</ScaleCrop>
  <LinksUpToDate>false</LinksUpToDate>
  <CharactersWithSpaces>4752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来财&amp;十个勤天</cp:lastModifiedBy>
  <cp:lastPrinted>2026-03-24T09:40:00Z</cp:lastPrinted>
  <dcterms:modified xsi:type="dcterms:W3CDTF">2026-08-28T10:28:21Z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E2178318065446F998DE0962A8DC7C46_13</vt:lpwstr>
  </property>
  <property fmtid="{D5CDD505-2E9C-101B-9397-08002B2CF9AE}" pid="4" name="KSOTemplateDocerSaveRecord">
    <vt:lpwstr>eyJoZGlkIjoiZTliZGUwNWM5NjQxODUyZjhjYWVlMWZjZWZmNTI5MzgiLCJ1c2VySWQiOiIzNzI2MDMzNTYifQ==</vt:lpwstr>
  </property>
</Properties>
</file>