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新疆维吾尔自治区水文局（本级）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91F466A">
      <w:r>
        <w:br w:type="page"/>
      </w:r>
    </w:p>
    <w:p w14:paraId="5A47B3F5">
      <w:pPr>
        <w:spacing w:line="640" w:lineRule="exact"/>
        <w:jc w:val="center"/>
        <w:outlineLvl w:val="1"/>
      </w:pPr>
      <w:r>
        <w:rPr>
          <w:rFonts w:ascii="黑体" w:hAnsi="黑体" w:eastAsia="黑体"/>
          <w:sz w:val="32"/>
        </w:rPr>
        <w:t>第一部分 单位概况</w:t>
      </w:r>
    </w:p>
    <w:p w14:paraId="19C071C4">
      <w:pPr>
        <w:spacing w:line="640" w:lineRule="exact"/>
        <w:ind w:firstLine="640"/>
        <w:jc w:val="both"/>
        <w:outlineLvl w:val="2"/>
      </w:pPr>
      <w:r>
        <w:rPr>
          <w:rFonts w:ascii="黑体" w:hAnsi="黑体" w:eastAsia="黑体"/>
          <w:sz w:val="32"/>
        </w:rPr>
        <w:t>一、主要职能</w:t>
      </w:r>
    </w:p>
    <w:p w14:paraId="79BC3245">
      <w:pPr>
        <w:spacing w:line="580" w:lineRule="exact"/>
        <w:ind w:firstLine="640"/>
        <w:jc w:val="both"/>
      </w:pPr>
      <w:r>
        <w:rPr>
          <w:rFonts w:ascii="仿宋_GB2312" w:hAnsi="仿宋_GB2312" w:eastAsia="仿宋_GB2312"/>
          <w:sz w:val="32"/>
        </w:rPr>
        <w:t>1、拟订全区水文事业发展的政策法规；负责编制全区水文事业发展规划，并组织实施。</w:t>
      </w:r>
    </w:p>
    <w:p w14:paraId="3AB78B5E">
      <w:pPr>
        <w:spacing w:line="580" w:lineRule="exact"/>
        <w:ind w:firstLine="640"/>
        <w:jc w:val="both"/>
      </w:pPr>
      <w:r>
        <w:rPr>
          <w:rFonts w:ascii="仿宋_GB2312" w:hAnsi="仿宋_GB2312" w:eastAsia="仿宋_GB2312"/>
          <w:sz w:val="32"/>
        </w:rPr>
        <w:t>2、组织实施水文行业技术规范和标准；负责全区水文站网的规划、建设和管理工作。</w:t>
      </w:r>
    </w:p>
    <w:p w14:paraId="4D938C35">
      <w:pPr>
        <w:spacing w:line="580" w:lineRule="exact"/>
        <w:ind w:firstLine="640"/>
        <w:jc w:val="both"/>
      </w:pPr>
      <w:r>
        <w:rPr>
          <w:rFonts w:ascii="仿宋_GB2312" w:hAnsi="仿宋_GB2312" w:eastAsia="仿宋_GB2312"/>
          <w:sz w:val="32"/>
        </w:rPr>
        <w:t>3、负责管理全区水文勘测、水文情报预报、水文分析与计算、水文调查评价等工作。</w:t>
      </w:r>
    </w:p>
    <w:p w14:paraId="163F9D38">
      <w:pPr>
        <w:spacing w:line="580" w:lineRule="exact"/>
        <w:ind w:firstLine="640"/>
        <w:jc w:val="both"/>
      </w:pPr>
      <w:r>
        <w:rPr>
          <w:rFonts w:ascii="仿宋_GB2312" w:hAnsi="仿宋_GB2312" w:eastAsia="仿宋_GB2312"/>
          <w:sz w:val="32"/>
        </w:rPr>
        <w:t>4、负责全区水情信息的收集、处理与分析；负责重要水情预报信息的发布。</w:t>
      </w:r>
    </w:p>
    <w:p w14:paraId="768470F1">
      <w:pPr>
        <w:spacing w:line="580" w:lineRule="exact"/>
        <w:ind w:firstLine="640"/>
        <w:jc w:val="both"/>
      </w:pPr>
      <w:r>
        <w:rPr>
          <w:rFonts w:ascii="仿宋_GB2312" w:hAnsi="仿宋_GB2312" w:eastAsia="仿宋_GB2312"/>
          <w:sz w:val="32"/>
        </w:rPr>
        <w:t>5、负责全区河、湖、库及地表水、地下水量、水质的监测、分析、评价；水域排污总量的监测。</w:t>
      </w:r>
    </w:p>
    <w:p w14:paraId="43541115">
      <w:pPr>
        <w:spacing w:line="580" w:lineRule="exact"/>
        <w:ind w:firstLine="640"/>
        <w:jc w:val="both"/>
      </w:pPr>
      <w:r>
        <w:rPr>
          <w:rFonts w:ascii="仿宋_GB2312" w:hAnsi="仿宋_GB2312" w:eastAsia="仿宋_GB2312"/>
          <w:sz w:val="32"/>
        </w:rPr>
        <w:t>6、统一管理全区水文资料；负责全区水文信息系统的开发建设和运行管理。</w:t>
      </w:r>
    </w:p>
    <w:p w14:paraId="55EB74D9">
      <w:pPr>
        <w:spacing w:line="580" w:lineRule="exact"/>
        <w:ind w:firstLine="640"/>
        <w:jc w:val="both"/>
      </w:pPr>
      <w:r>
        <w:rPr>
          <w:rFonts w:ascii="仿宋_GB2312" w:hAnsi="仿宋_GB2312" w:eastAsia="仿宋_GB2312"/>
          <w:sz w:val="32"/>
        </w:rPr>
        <w:t>7、承担水文测报设施保护工作。</w:t>
      </w:r>
    </w:p>
    <w:p w14:paraId="049BF3D9">
      <w:pPr>
        <w:spacing w:line="580" w:lineRule="exact"/>
        <w:ind w:firstLine="640"/>
        <w:jc w:val="both"/>
      </w:pPr>
      <w:r>
        <w:rPr>
          <w:rFonts w:ascii="仿宋_GB2312" w:hAnsi="仿宋_GB2312" w:eastAsia="仿宋_GB2312"/>
          <w:sz w:val="32"/>
        </w:rPr>
        <w:t>8、负责审定有关水事纠纷、涉水案件裁决所需水文资料；负责编制地下水通报和水质公报。</w:t>
      </w:r>
    </w:p>
    <w:p w14:paraId="0EFFE7A2">
      <w:pPr>
        <w:spacing w:line="580" w:lineRule="exact"/>
        <w:ind w:firstLine="640"/>
        <w:jc w:val="both"/>
      </w:pPr>
      <w:r>
        <w:rPr>
          <w:rFonts w:ascii="仿宋_GB2312" w:hAnsi="仿宋_GB2312" w:eastAsia="仿宋_GB2312"/>
          <w:sz w:val="32"/>
        </w:rPr>
        <w:t>9、承办自治区党委、人民政府和水利厅交办的其他事项。</w:t>
      </w:r>
    </w:p>
    <w:p w14:paraId="590E973C">
      <w:pPr>
        <w:spacing w:line="640" w:lineRule="exact"/>
        <w:ind w:firstLine="640"/>
        <w:jc w:val="both"/>
        <w:outlineLvl w:val="2"/>
      </w:pPr>
      <w:r>
        <w:rPr>
          <w:rFonts w:ascii="黑体" w:hAnsi="黑体" w:eastAsia="黑体"/>
          <w:sz w:val="32"/>
        </w:rPr>
        <w:t>二、机构设置</w:t>
      </w:r>
    </w:p>
    <w:p w14:paraId="10EBD59E">
      <w:pPr>
        <w:spacing w:line="580" w:lineRule="exact"/>
        <w:ind w:firstLine="640"/>
        <w:jc w:val="both"/>
      </w:pPr>
      <w:r>
        <w:rPr>
          <w:rFonts w:ascii="仿宋_GB2312" w:hAnsi="仿宋_GB2312" w:eastAsia="仿宋_GB2312"/>
          <w:sz w:val="32"/>
        </w:rPr>
        <w:t>新疆维吾尔自治区水文局（本级）无下属预算单位。</w:t>
      </w:r>
    </w:p>
    <w:p w14:paraId="560A45DE">
      <w:r>
        <w:br w:type="page"/>
      </w:r>
    </w:p>
    <w:p w14:paraId="4F96DF8E">
      <w:pPr>
        <w:spacing w:line="240" w:lineRule="auto"/>
        <w:jc w:val="center"/>
        <w:outlineLvl w:val="1"/>
      </w:pPr>
      <w:r>
        <w:rPr>
          <w:rFonts w:ascii="黑体" w:hAnsi="黑体" w:eastAsia="黑体"/>
          <w:sz w:val="32"/>
        </w:rPr>
        <w:t>第二部分 部门决算情况说明</w:t>
      </w:r>
    </w:p>
    <w:p w14:paraId="18B701BE">
      <w:pPr>
        <w:spacing w:line="640" w:lineRule="exact"/>
        <w:ind w:firstLine="640"/>
        <w:jc w:val="both"/>
        <w:outlineLvl w:val="2"/>
      </w:pPr>
      <w:r>
        <w:rPr>
          <w:rFonts w:ascii="黑体" w:hAnsi="黑体" w:eastAsia="黑体"/>
          <w:sz w:val="32"/>
        </w:rPr>
        <w:t>一、收入支出决算总体情况说明</w:t>
      </w:r>
    </w:p>
    <w:p w14:paraId="2B91DA8A">
      <w:pPr>
        <w:spacing w:line="580" w:lineRule="exact"/>
        <w:ind w:firstLine="640"/>
        <w:jc w:val="both"/>
      </w:pPr>
      <w:r>
        <w:rPr>
          <w:rFonts w:ascii="仿宋_GB2312" w:hAnsi="仿宋_GB2312" w:eastAsia="仿宋_GB2312"/>
          <w:b/>
          <w:sz w:val="32"/>
        </w:rPr>
        <w:t>2025年度收入总计6,465.08万元，</w:t>
      </w:r>
      <w:r>
        <w:rPr>
          <w:rFonts w:ascii="仿宋_GB2312" w:hAnsi="仿宋_GB2312" w:eastAsia="仿宋_GB2312"/>
          <w:b w:val="0"/>
          <w:sz w:val="32"/>
        </w:rPr>
        <w:t>其中：本年收入合计6,135.87万元，使用非财政拨款结余（含专用结余）91.16万元，年初结转和结余238.06万元。</w:t>
      </w:r>
    </w:p>
    <w:p w14:paraId="2D425F60">
      <w:pPr>
        <w:spacing w:line="580" w:lineRule="exact"/>
        <w:ind w:firstLine="640"/>
        <w:jc w:val="both"/>
      </w:pPr>
      <w:r>
        <w:rPr>
          <w:rFonts w:ascii="仿宋_GB2312" w:hAnsi="仿宋_GB2312" w:eastAsia="仿宋_GB2312"/>
          <w:b/>
          <w:sz w:val="32"/>
        </w:rPr>
        <w:t>2025年度支出总计6,465.08万元，</w:t>
      </w:r>
      <w:r>
        <w:rPr>
          <w:rFonts w:ascii="仿宋_GB2312" w:hAnsi="仿宋_GB2312" w:eastAsia="仿宋_GB2312"/>
          <w:b w:val="0"/>
          <w:sz w:val="32"/>
        </w:rPr>
        <w:t>其中：本年支出合计6,256.30万元，结余分配0.00万元，年末结转和结余208.78万元。</w:t>
      </w:r>
    </w:p>
    <w:p w14:paraId="759A25A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增加3,188.62万元，增长97.32%，主要原因是：本年增加职业年金、在职人员基本工资、基础性绩效、年度考核奖、丧葬抚恤金等</w:t>
      </w:r>
      <w:r>
        <w:rPr>
          <w:rFonts w:hint="eastAsia" w:ascii="仿宋_GB2312" w:hAnsi="仿宋_GB2312" w:eastAsia="仿宋_GB2312"/>
          <w:b w:val="0"/>
          <w:sz w:val="32"/>
          <w:lang w:val="en-US" w:eastAsia="zh-CN"/>
        </w:rPr>
        <w:t>支出</w:t>
      </w:r>
      <w:r>
        <w:rPr>
          <w:rFonts w:ascii="仿宋_GB2312" w:hAnsi="仿宋_GB2312" w:eastAsia="仿宋_GB2312"/>
          <w:b w:val="0"/>
          <w:sz w:val="32"/>
        </w:rPr>
        <w:t>，收入支出总体比上年增加。</w:t>
      </w:r>
    </w:p>
    <w:p w14:paraId="27409033">
      <w:pPr>
        <w:spacing w:line="640" w:lineRule="exact"/>
        <w:ind w:firstLine="640"/>
        <w:jc w:val="both"/>
        <w:outlineLvl w:val="2"/>
      </w:pPr>
      <w:r>
        <w:rPr>
          <w:rFonts w:ascii="黑体" w:hAnsi="黑体" w:eastAsia="黑体"/>
          <w:sz w:val="32"/>
        </w:rPr>
        <w:t>二、收入决算情况说明</w:t>
      </w:r>
    </w:p>
    <w:p w14:paraId="073FE323">
      <w:pPr>
        <w:spacing w:line="580" w:lineRule="exact"/>
        <w:ind w:firstLine="640"/>
        <w:jc w:val="both"/>
      </w:pPr>
      <w:r>
        <w:rPr>
          <w:rFonts w:ascii="仿宋_GB2312" w:hAnsi="仿宋_GB2312" w:eastAsia="仿宋_GB2312"/>
          <w:b/>
          <w:sz w:val="32"/>
        </w:rPr>
        <w:t>本年收入6,135.87万元，</w:t>
      </w:r>
      <w:r>
        <w:rPr>
          <w:rFonts w:ascii="仿宋_GB2312" w:hAnsi="仿宋_GB2312" w:eastAsia="仿宋_GB2312"/>
          <w:b w:val="0"/>
          <w:sz w:val="32"/>
        </w:rPr>
        <w:t>其中：财政拨款收入5,821.11万元，占94.87%；上级补助收入0.00万元，占0.00%；事业收入0.00万元，占0.00%；经营收入265.66万元，占4.33%；附属单位上缴收入0.00万元，占0.00%；其他收入49.10万元，占0.80%。</w:t>
      </w:r>
    </w:p>
    <w:p w14:paraId="69B93648">
      <w:pPr>
        <w:spacing w:line="640" w:lineRule="exact"/>
        <w:ind w:firstLine="640"/>
        <w:jc w:val="both"/>
        <w:outlineLvl w:val="2"/>
      </w:pPr>
      <w:r>
        <w:rPr>
          <w:rFonts w:ascii="黑体" w:hAnsi="黑体" w:eastAsia="黑体"/>
          <w:sz w:val="32"/>
        </w:rPr>
        <w:t>三、支出决算情况说明</w:t>
      </w:r>
    </w:p>
    <w:p w14:paraId="6C20D1B6">
      <w:pPr>
        <w:spacing w:line="580" w:lineRule="exact"/>
        <w:ind w:firstLine="640"/>
        <w:jc w:val="both"/>
      </w:pPr>
      <w:r>
        <w:rPr>
          <w:rFonts w:ascii="仿宋_GB2312" w:hAnsi="仿宋_GB2312" w:eastAsia="仿宋_GB2312"/>
          <w:b/>
          <w:sz w:val="32"/>
        </w:rPr>
        <w:t>本年支出6,256.30万元，</w:t>
      </w:r>
      <w:r>
        <w:rPr>
          <w:rFonts w:ascii="仿宋_GB2312" w:hAnsi="仿宋_GB2312" w:eastAsia="仿宋_GB2312"/>
          <w:b w:val="0"/>
          <w:sz w:val="32"/>
        </w:rPr>
        <w:t>其中：基本支出2,240.39万元，占35.81%；项目支出3,750.25万元，占59.94%；上缴上级支出0.00万元，占0.00%；经营支出265.66万元，占4.25%；对附属单位补助支出0.00万元，占0.00%。</w:t>
      </w:r>
    </w:p>
    <w:p w14:paraId="65E9C2D8">
      <w:pPr>
        <w:spacing w:line="640" w:lineRule="exact"/>
        <w:ind w:firstLine="640"/>
        <w:jc w:val="both"/>
        <w:outlineLvl w:val="2"/>
      </w:pPr>
      <w:r>
        <w:rPr>
          <w:rFonts w:ascii="黑体" w:hAnsi="黑体" w:eastAsia="黑体"/>
          <w:sz w:val="32"/>
        </w:rPr>
        <w:t>四、财政拨款收入支出决算总体情况说明</w:t>
      </w:r>
    </w:p>
    <w:p w14:paraId="581D73D7">
      <w:pPr>
        <w:spacing w:line="580" w:lineRule="exact"/>
        <w:ind w:firstLine="640"/>
        <w:jc w:val="both"/>
      </w:pPr>
      <w:r>
        <w:rPr>
          <w:rFonts w:ascii="仿宋_GB2312" w:hAnsi="仿宋_GB2312" w:eastAsia="仿宋_GB2312"/>
          <w:b/>
          <w:sz w:val="32"/>
        </w:rPr>
        <w:t>2025年度财政拨款收入总计5,880.20万元，</w:t>
      </w:r>
      <w:r>
        <w:rPr>
          <w:rFonts w:ascii="仿宋_GB2312" w:hAnsi="仿宋_GB2312" w:eastAsia="仿宋_GB2312"/>
          <w:b w:val="0"/>
          <w:sz w:val="32"/>
        </w:rPr>
        <w:t>其中：年初财政拨款结转和结余59.10万元，本年财政拨款收入5,821.11万元。</w:t>
      </w:r>
      <w:r>
        <w:rPr>
          <w:rFonts w:ascii="仿宋_GB2312" w:hAnsi="仿宋_GB2312" w:eastAsia="仿宋_GB2312"/>
          <w:b/>
          <w:sz w:val="32"/>
        </w:rPr>
        <w:t>财政拨款支出总计5,880.20万元，</w:t>
      </w:r>
      <w:r>
        <w:rPr>
          <w:rFonts w:ascii="仿宋_GB2312" w:hAnsi="仿宋_GB2312" w:eastAsia="仿宋_GB2312"/>
          <w:b w:val="0"/>
          <w:sz w:val="32"/>
        </w:rPr>
        <w:t>其中：年末财政拨款结转和结余61.55万元，本年财政拨款支出5,818.66万元。</w:t>
      </w:r>
    </w:p>
    <w:p w14:paraId="0D6D0ACD">
      <w:pPr>
        <w:spacing w:line="580" w:lineRule="exact"/>
        <w:ind w:firstLine="640"/>
        <w:jc w:val="both"/>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增加3,226.51万元，增长121.59%，主要原因是：本年增加职业年金、在职人员基本工资、基础性绩效、年度考核奖、丧葬抚恤金等</w:t>
      </w:r>
      <w:r>
        <w:rPr>
          <w:rFonts w:hint="eastAsia" w:ascii="仿宋_GB2312" w:hAnsi="仿宋_GB2312" w:eastAsia="仿宋_GB2312"/>
          <w:b w:val="0"/>
          <w:sz w:val="32"/>
          <w:lang w:val="en-US" w:eastAsia="zh-CN"/>
        </w:rPr>
        <w:t>支出</w:t>
      </w:r>
      <w:r>
        <w:rPr>
          <w:rFonts w:ascii="仿宋_GB2312" w:hAnsi="仿宋_GB2312" w:eastAsia="仿宋_GB2312"/>
          <w:b w:val="0"/>
          <w:sz w:val="32"/>
        </w:rPr>
        <w:t>，财政拨款收入支出总体比上年增加。</w:t>
      </w:r>
      <w:r>
        <w:rPr>
          <w:rFonts w:ascii="仿宋_GB2312" w:hAnsi="仿宋_GB2312" w:eastAsia="仿宋_GB2312"/>
          <w:b/>
          <w:sz w:val="32"/>
        </w:rPr>
        <w:t>与年初预算相比，</w:t>
      </w:r>
      <w:r>
        <w:rPr>
          <w:rFonts w:ascii="仿宋_GB2312" w:hAnsi="仿宋_GB2312" w:eastAsia="仿宋_GB2312"/>
          <w:b w:val="0"/>
          <w:sz w:val="32"/>
        </w:rPr>
        <w:t>年初预算数4,052.50万元，决算数5,880.20万元，预决算差异率45.10%，主要原因是：年中追加人员工资、社保、公积金基数调增部分资金</w:t>
      </w:r>
      <w:r>
        <w:rPr>
          <w:rFonts w:hint="eastAsia" w:ascii="仿宋_GB2312" w:hAnsi="仿宋_GB2312" w:eastAsia="仿宋_GB2312"/>
          <w:b w:val="0"/>
          <w:sz w:val="32"/>
          <w:lang w:eastAsia="zh-CN"/>
        </w:rPr>
        <w:t>；</w:t>
      </w:r>
      <w:r>
        <w:rPr>
          <w:rFonts w:ascii="仿宋_GB2312" w:hAnsi="仿宋_GB2312" w:eastAsia="仿宋_GB2312"/>
          <w:b w:val="0"/>
          <w:sz w:val="32"/>
        </w:rPr>
        <w:t>在职转退休进行</w:t>
      </w:r>
      <w:r>
        <w:rPr>
          <w:rFonts w:hint="eastAsia" w:ascii="仿宋_GB2312" w:hAnsi="仿宋_GB2312" w:eastAsia="仿宋_GB2312"/>
          <w:b w:val="0"/>
          <w:sz w:val="32"/>
          <w:lang w:val="en-US" w:eastAsia="zh-CN"/>
        </w:rPr>
        <w:t>职业年金</w:t>
      </w:r>
      <w:r>
        <w:rPr>
          <w:rFonts w:ascii="仿宋_GB2312" w:hAnsi="仿宋_GB2312" w:eastAsia="仿宋_GB2312"/>
          <w:b w:val="0"/>
          <w:sz w:val="32"/>
        </w:rPr>
        <w:t>坐实，追加职业年金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本年人员死亡，</w:t>
      </w:r>
      <w:r>
        <w:rPr>
          <w:rFonts w:ascii="仿宋_GB2312" w:hAnsi="仿宋_GB2312" w:eastAsia="仿宋_GB2312"/>
          <w:b w:val="0"/>
          <w:sz w:val="32"/>
        </w:rPr>
        <w:t>追加丧葬抚恤金</w:t>
      </w:r>
      <w:r>
        <w:rPr>
          <w:rFonts w:hint="eastAsia" w:ascii="仿宋_GB2312" w:hAnsi="仿宋_GB2312" w:eastAsia="仿宋_GB2312"/>
          <w:b w:val="0"/>
          <w:sz w:val="32"/>
          <w:lang w:eastAsia="zh-CN"/>
        </w:rPr>
        <w:t>；</w:t>
      </w:r>
      <w:r>
        <w:rPr>
          <w:rFonts w:ascii="仿宋_GB2312" w:hAnsi="仿宋_GB2312" w:eastAsia="仿宋_GB2312"/>
          <w:b w:val="0"/>
          <w:sz w:val="32"/>
        </w:rPr>
        <w:t>追加自治区为民办实事工作经费</w:t>
      </w:r>
      <w:r>
        <w:rPr>
          <w:rFonts w:hint="eastAsia" w:ascii="仿宋_GB2312" w:hAnsi="仿宋_GB2312" w:eastAsia="仿宋_GB2312"/>
          <w:b w:val="0"/>
          <w:sz w:val="32"/>
          <w:lang w:val="en-US" w:eastAsia="zh-CN"/>
        </w:rPr>
        <w:t>等项目，导致预决算存在差异。</w:t>
      </w:r>
    </w:p>
    <w:p w14:paraId="4E4247E9">
      <w:pPr>
        <w:spacing w:line="640" w:lineRule="exact"/>
        <w:ind w:firstLine="640"/>
        <w:jc w:val="both"/>
        <w:outlineLvl w:val="2"/>
      </w:pPr>
      <w:r>
        <w:rPr>
          <w:rFonts w:ascii="黑体" w:hAnsi="黑体" w:eastAsia="黑体"/>
          <w:sz w:val="32"/>
        </w:rPr>
        <w:t>五、一般公共预算财政拨款支出决算情况说明</w:t>
      </w:r>
    </w:p>
    <w:p w14:paraId="7AF4777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财务管理及监督检查等重点支出，体现在有关支出科目中。</w:t>
      </w:r>
    </w:p>
    <w:p w14:paraId="5A652E18">
      <w:pPr>
        <w:spacing w:line="580" w:lineRule="exact"/>
        <w:ind w:firstLine="640"/>
        <w:jc w:val="both"/>
      </w:pPr>
      <w:r>
        <w:rPr>
          <w:rFonts w:ascii="仿宋_GB2312" w:hAnsi="仿宋_GB2312" w:eastAsia="仿宋_GB2312"/>
          <w:b w:val="0"/>
          <w:sz w:val="32"/>
        </w:rPr>
        <w:t>按照支出功能分类，农林水支出（类）水利（款）水资源节约管理与保护（项）的支出占本年财政拨款支出总额的比重最高，2025年度决算数为2,037.00万元，占比35.01%，主要用于财政拨款项目水利发展资金（转移支付）项目。</w:t>
      </w:r>
    </w:p>
    <w:p w14:paraId="2DB1749F">
      <w:pPr>
        <w:spacing w:line="640" w:lineRule="exact"/>
        <w:ind w:firstLine="640"/>
        <w:jc w:val="both"/>
        <w:outlineLvl w:val="3"/>
      </w:pPr>
      <w:r>
        <w:rPr>
          <w:rFonts w:ascii="楷体_GB2312" w:hAnsi="楷体_GB2312" w:eastAsia="楷体_GB2312"/>
          <w:b/>
          <w:sz w:val="32"/>
        </w:rPr>
        <w:t>（一）一般公共预算财政拨款支出决算总体情况</w:t>
      </w:r>
    </w:p>
    <w:p w14:paraId="685259A5">
      <w:pPr>
        <w:spacing w:line="580" w:lineRule="exact"/>
        <w:ind w:firstLine="640"/>
        <w:jc w:val="both"/>
      </w:pPr>
      <w:r>
        <w:rPr>
          <w:rFonts w:ascii="仿宋_GB2312" w:hAnsi="仿宋_GB2312" w:eastAsia="仿宋_GB2312"/>
          <w:b/>
          <w:sz w:val="32"/>
        </w:rPr>
        <w:t>2025年度一般公共预算财政拨款支出5,818.66万元，</w:t>
      </w:r>
      <w:r>
        <w:rPr>
          <w:rFonts w:ascii="仿宋_GB2312" w:hAnsi="仿宋_GB2312" w:eastAsia="仿宋_GB2312"/>
          <w:b w:val="0"/>
          <w:sz w:val="32"/>
        </w:rPr>
        <w:t>占本年支出合计的93.00%。</w:t>
      </w:r>
      <w:r>
        <w:rPr>
          <w:rFonts w:ascii="仿宋_GB2312" w:hAnsi="仿宋_GB2312" w:eastAsia="仿宋_GB2312"/>
          <w:b/>
          <w:sz w:val="32"/>
        </w:rPr>
        <w:t>与上年相比，</w:t>
      </w:r>
      <w:r>
        <w:rPr>
          <w:rFonts w:ascii="仿宋_GB2312" w:hAnsi="仿宋_GB2312" w:eastAsia="仿宋_GB2312"/>
          <w:b w:val="0"/>
          <w:sz w:val="32"/>
        </w:rPr>
        <w:t>增加3,207.20万元，增长122.81%，主要原因是：本年增加职业年金、在职人员基本工资、基础性绩效、年度考核奖、丧葬抚恤金等</w:t>
      </w:r>
      <w:r>
        <w:rPr>
          <w:rFonts w:hint="eastAsia" w:ascii="仿宋_GB2312" w:hAnsi="仿宋_GB2312" w:eastAsia="仿宋_GB2312"/>
          <w:b w:val="0"/>
          <w:sz w:val="32"/>
          <w:lang w:val="en-US" w:eastAsia="zh-CN"/>
        </w:rPr>
        <w:t>支出</w:t>
      </w:r>
      <w:r>
        <w:rPr>
          <w:rFonts w:ascii="仿宋_GB2312" w:hAnsi="仿宋_GB2312" w:eastAsia="仿宋_GB2312"/>
          <w:b w:val="0"/>
          <w:sz w:val="32"/>
        </w:rPr>
        <w:t>，财政拨款收入支出总体比上年增加。</w:t>
      </w:r>
      <w:r>
        <w:rPr>
          <w:rFonts w:ascii="仿宋_GB2312" w:hAnsi="仿宋_GB2312" w:eastAsia="仿宋_GB2312"/>
          <w:b/>
          <w:sz w:val="32"/>
        </w:rPr>
        <w:t>与年初预算相比，</w:t>
      </w:r>
      <w:r>
        <w:rPr>
          <w:rFonts w:ascii="仿宋_GB2312" w:hAnsi="仿宋_GB2312" w:eastAsia="仿宋_GB2312"/>
          <w:b w:val="0"/>
          <w:sz w:val="32"/>
        </w:rPr>
        <w:t>年初预算数4,052.50万元，决算数5,818.66万元，预决算差异率43.58%，主要原因是：年中追加人员工资、社保、公积金基数调增部分资金</w:t>
      </w:r>
      <w:r>
        <w:rPr>
          <w:rFonts w:hint="eastAsia" w:ascii="仿宋_GB2312" w:hAnsi="仿宋_GB2312" w:eastAsia="仿宋_GB2312"/>
          <w:b w:val="0"/>
          <w:sz w:val="32"/>
          <w:lang w:eastAsia="zh-CN"/>
        </w:rPr>
        <w:t>；</w:t>
      </w:r>
      <w:r>
        <w:rPr>
          <w:rFonts w:ascii="仿宋_GB2312" w:hAnsi="仿宋_GB2312" w:eastAsia="仿宋_GB2312"/>
          <w:b w:val="0"/>
          <w:sz w:val="32"/>
        </w:rPr>
        <w:t>在职转退休进行</w:t>
      </w:r>
      <w:r>
        <w:rPr>
          <w:rFonts w:hint="eastAsia" w:ascii="仿宋_GB2312" w:hAnsi="仿宋_GB2312" w:eastAsia="仿宋_GB2312"/>
          <w:b w:val="0"/>
          <w:sz w:val="32"/>
          <w:lang w:val="en-US" w:eastAsia="zh-CN"/>
        </w:rPr>
        <w:t>职业年金</w:t>
      </w:r>
      <w:r>
        <w:rPr>
          <w:rFonts w:ascii="仿宋_GB2312" w:hAnsi="仿宋_GB2312" w:eastAsia="仿宋_GB2312"/>
          <w:b w:val="0"/>
          <w:sz w:val="32"/>
        </w:rPr>
        <w:t>坐实，追加职业年金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本年人员死亡，</w:t>
      </w:r>
      <w:r>
        <w:rPr>
          <w:rFonts w:ascii="仿宋_GB2312" w:hAnsi="仿宋_GB2312" w:eastAsia="仿宋_GB2312"/>
          <w:b w:val="0"/>
          <w:sz w:val="32"/>
        </w:rPr>
        <w:t>追加丧葬抚恤金</w:t>
      </w:r>
      <w:r>
        <w:rPr>
          <w:rFonts w:hint="eastAsia" w:ascii="仿宋_GB2312" w:hAnsi="仿宋_GB2312" w:eastAsia="仿宋_GB2312"/>
          <w:b w:val="0"/>
          <w:sz w:val="32"/>
          <w:lang w:eastAsia="zh-CN"/>
        </w:rPr>
        <w:t>；</w:t>
      </w:r>
      <w:r>
        <w:rPr>
          <w:rFonts w:ascii="仿宋_GB2312" w:hAnsi="仿宋_GB2312" w:eastAsia="仿宋_GB2312"/>
          <w:b w:val="0"/>
          <w:sz w:val="32"/>
        </w:rPr>
        <w:t>追加自治区为民办实事工作经费</w:t>
      </w:r>
      <w:r>
        <w:rPr>
          <w:rFonts w:hint="eastAsia" w:ascii="仿宋_GB2312" w:hAnsi="仿宋_GB2312" w:eastAsia="仿宋_GB2312"/>
          <w:b w:val="0"/>
          <w:sz w:val="32"/>
          <w:lang w:val="en-US" w:eastAsia="zh-CN"/>
        </w:rPr>
        <w:t>等项目，导致预决算存在差异。</w:t>
      </w:r>
      <w:r>
        <w:rPr>
          <w:rFonts w:ascii="仿宋_GB2312" w:hAnsi="仿宋_GB2312" w:eastAsia="仿宋_GB2312"/>
          <w:b w:val="0"/>
          <w:sz w:val="32"/>
        </w:rPr>
        <w:t>。</w:t>
      </w:r>
    </w:p>
    <w:p w14:paraId="41AA969B">
      <w:pPr>
        <w:spacing w:line="640" w:lineRule="exact"/>
        <w:ind w:firstLine="640"/>
        <w:jc w:val="both"/>
        <w:outlineLvl w:val="3"/>
      </w:pPr>
      <w:r>
        <w:rPr>
          <w:rFonts w:ascii="楷体_GB2312" w:hAnsi="楷体_GB2312" w:eastAsia="楷体_GB2312"/>
          <w:b/>
          <w:sz w:val="32"/>
        </w:rPr>
        <w:t>（二）一般公共预算财政拨款支出决算结构情况</w:t>
      </w:r>
    </w:p>
    <w:p w14:paraId="0AE39C6E">
      <w:pPr>
        <w:spacing w:line="580" w:lineRule="exact"/>
        <w:ind w:firstLine="640"/>
        <w:jc w:val="both"/>
      </w:pPr>
      <w:r>
        <w:rPr>
          <w:rFonts w:ascii="仿宋_GB2312" w:hAnsi="仿宋_GB2312" w:eastAsia="仿宋_GB2312"/>
          <w:b w:val="0"/>
          <w:sz w:val="32"/>
        </w:rPr>
        <w:t>1.社会保障和就业支出（类）518.35万元，占8.91%。</w:t>
      </w:r>
    </w:p>
    <w:p w14:paraId="5F8913E1">
      <w:pPr>
        <w:spacing w:line="580" w:lineRule="exact"/>
        <w:ind w:firstLine="640"/>
        <w:jc w:val="both"/>
      </w:pPr>
      <w:r>
        <w:rPr>
          <w:rFonts w:ascii="仿宋_GB2312" w:hAnsi="仿宋_GB2312" w:eastAsia="仿宋_GB2312"/>
          <w:b w:val="0"/>
          <w:sz w:val="32"/>
        </w:rPr>
        <w:t>2.卫生健康支出（类）153.10万元，占2.63%。</w:t>
      </w:r>
    </w:p>
    <w:p w14:paraId="1EA329FD">
      <w:pPr>
        <w:spacing w:line="580" w:lineRule="exact"/>
        <w:ind w:firstLine="640"/>
        <w:jc w:val="both"/>
      </w:pPr>
      <w:r>
        <w:rPr>
          <w:rFonts w:ascii="仿宋_GB2312" w:hAnsi="仿宋_GB2312" w:eastAsia="仿宋_GB2312"/>
          <w:b w:val="0"/>
          <w:sz w:val="32"/>
        </w:rPr>
        <w:t>3.农林水支出（类）5,028.30万元，占86.42%。</w:t>
      </w:r>
    </w:p>
    <w:p w14:paraId="15F13F32">
      <w:pPr>
        <w:spacing w:line="580" w:lineRule="exact"/>
        <w:ind w:firstLine="640"/>
        <w:jc w:val="both"/>
      </w:pPr>
      <w:r>
        <w:rPr>
          <w:rFonts w:ascii="仿宋_GB2312" w:hAnsi="仿宋_GB2312" w:eastAsia="仿宋_GB2312"/>
          <w:b w:val="0"/>
          <w:sz w:val="32"/>
        </w:rPr>
        <w:t>4.住房保障支出（类）118.90万元，占2.04%。</w:t>
      </w:r>
    </w:p>
    <w:p w14:paraId="5BA7DE9D">
      <w:pPr>
        <w:spacing w:line="640" w:lineRule="exact"/>
        <w:ind w:firstLine="640"/>
        <w:jc w:val="both"/>
        <w:outlineLvl w:val="3"/>
      </w:pPr>
      <w:r>
        <w:rPr>
          <w:rFonts w:ascii="楷体_GB2312" w:hAnsi="楷体_GB2312" w:eastAsia="楷体_GB2312"/>
          <w:b/>
          <w:sz w:val="32"/>
        </w:rPr>
        <w:t>（三）一般公共预算财政拨款支出决算具体情况</w:t>
      </w:r>
    </w:p>
    <w:p w14:paraId="794A05E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1.社会保障和就业支出（类）行政事业单位养老支出（款）行政单位离退休（项）：支出决算数为273.46万元，比上年决算增加45.33万元，增长19.87%，主要原因是：本年增加退休人员基础绩效奖，退休费支出增加。</w:t>
      </w:r>
    </w:p>
    <w:p w14:paraId="184A57E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147.93万元，比上年决算增加16.38万元，增长12.45%，主要原因是：在职人员工资基数调增，养老缴费基数上涨，相应支出增加。</w:t>
      </w:r>
    </w:p>
    <w:p w14:paraId="71E6C78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3.社会保障和就业支出（类）行政事业单位养老支出（款）机关事业单位职业年金缴费支出（项）：支出决算数为96.96万元，比上年决算增加20.63万元，增长27.03%，主要原因是：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w:t>
      </w:r>
      <w:r>
        <w:rPr>
          <w:rFonts w:hint="eastAsia" w:ascii="仿宋_GB2312" w:hAnsi="仿宋_GB2312" w:eastAsia="仿宋_GB2312"/>
          <w:b w:val="0"/>
          <w:sz w:val="32"/>
          <w:lang w:val="en-US" w:eastAsia="zh-CN"/>
        </w:rPr>
        <w:t>人员</w:t>
      </w:r>
      <w:r>
        <w:rPr>
          <w:rFonts w:ascii="仿宋_GB2312" w:hAnsi="仿宋_GB2312" w:eastAsia="仿宋_GB2312"/>
          <w:b w:val="0"/>
          <w:sz w:val="32"/>
        </w:rPr>
        <w:t>转退休</w:t>
      </w:r>
      <w:r>
        <w:rPr>
          <w:rFonts w:hint="eastAsia" w:ascii="仿宋_GB2312" w:hAnsi="仿宋_GB2312" w:eastAsia="仿宋_GB2312"/>
          <w:b w:val="0"/>
          <w:sz w:val="32"/>
          <w:lang w:eastAsia="zh-CN"/>
        </w:rPr>
        <w:t>，</w:t>
      </w:r>
      <w:r>
        <w:rPr>
          <w:rFonts w:ascii="仿宋_GB2312" w:hAnsi="仿宋_GB2312" w:eastAsia="仿宋_GB2312"/>
          <w:b w:val="0"/>
          <w:sz w:val="32"/>
        </w:rPr>
        <w:t>进行</w:t>
      </w:r>
      <w:r>
        <w:rPr>
          <w:rFonts w:hint="eastAsia" w:ascii="仿宋_GB2312" w:hAnsi="仿宋_GB2312" w:eastAsia="仿宋_GB2312"/>
          <w:b w:val="0"/>
          <w:sz w:val="32"/>
          <w:lang w:val="en-US" w:eastAsia="zh-CN"/>
        </w:rPr>
        <w:t>职业年金</w:t>
      </w:r>
      <w:r>
        <w:rPr>
          <w:rFonts w:ascii="仿宋_GB2312" w:hAnsi="仿宋_GB2312" w:eastAsia="仿宋_GB2312"/>
          <w:b w:val="0"/>
          <w:sz w:val="32"/>
        </w:rPr>
        <w:t>坐实</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相应支出增加</w:t>
      </w:r>
      <w:r>
        <w:rPr>
          <w:rFonts w:ascii="仿宋_GB2312" w:hAnsi="仿宋_GB2312" w:eastAsia="仿宋_GB2312"/>
          <w:b w:val="0"/>
          <w:sz w:val="32"/>
        </w:rPr>
        <w:t>。</w:t>
      </w:r>
    </w:p>
    <w:p w14:paraId="6E2792EF">
      <w:pPr>
        <w:spacing w:line="580" w:lineRule="exact"/>
        <w:ind w:firstLine="640"/>
        <w:jc w:val="both"/>
      </w:pPr>
      <w:r>
        <w:rPr>
          <w:rFonts w:ascii="仿宋_GB2312" w:hAnsi="仿宋_GB2312" w:eastAsia="仿宋_GB2312"/>
          <w:b w:val="0"/>
          <w:sz w:val="32"/>
        </w:rPr>
        <w:t>4.卫生健康支出（类）行政事业单位医疗（款）行政单位医疗（项）：支出决算数为76.45万元，比上年决算增加7.74万元，增长11.26%，主要原因是：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在职人员工资基数调增，医疗缴费基数上涨，相应支出增加。</w:t>
      </w:r>
    </w:p>
    <w:p w14:paraId="3F2AD5CF">
      <w:pPr>
        <w:spacing w:line="580" w:lineRule="exact"/>
        <w:ind w:firstLine="640"/>
        <w:jc w:val="both"/>
      </w:pPr>
      <w:r>
        <w:rPr>
          <w:rFonts w:ascii="仿宋_GB2312" w:hAnsi="仿宋_GB2312" w:eastAsia="仿宋_GB2312"/>
          <w:b w:val="0"/>
          <w:sz w:val="32"/>
        </w:rPr>
        <w:t>5.卫生健康支出（类）行政事业单位医疗（款）事业单位医疗（项）：支出决算数为12.16万元，比上年决算增加12.16万元，增长100.00%，主要原因是：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在职人员工资基数调增，医疗缴费基数上涨，相应支出增加。</w:t>
      </w:r>
    </w:p>
    <w:p w14:paraId="45C2FE6D">
      <w:pPr>
        <w:spacing w:line="580" w:lineRule="exact"/>
        <w:ind w:firstLine="640"/>
        <w:jc w:val="both"/>
      </w:pPr>
      <w:r>
        <w:rPr>
          <w:rFonts w:ascii="仿宋_GB2312" w:hAnsi="仿宋_GB2312" w:eastAsia="仿宋_GB2312"/>
          <w:b w:val="0"/>
          <w:sz w:val="32"/>
        </w:rPr>
        <w:t>6.卫生健康支出（类）行政事业单位医疗（款）公务员医疗补助（项）：支出决算数为64.49万元，比上年决算增加6.55万元，增长11.30%，主要原因是：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在职人员工资基数调增，医疗缴费基数上涨，相应</w:t>
      </w:r>
      <w:r>
        <w:rPr>
          <w:rFonts w:hint="eastAsia" w:ascii="仿宋_GB2312" w:hAnsi="仿宋_GB2312" w:eastAsia="仿宋_GB2312"/>
          <w:b w:val="0"/>
          <w:sz w:val="32"/>
          <w:lang w:val="en-US" w:eastAsia="zh-CN"/>
        </w:rPr>
        <w:t>公务员医疗补助</w:t>
      </w:r>
      <w:r>
        <w:rPr>
          <w:rFonts w:ascii="仿宋_GB2312" w:hAnsi="仿宋_GB2312" w:eastAsia="仿宋_GB2312"/>
          <w:b w:val="0"/>
          <w:sz w:val="32"/>
        </w:rPr>
        <w:t>支出增加。</w:t>
      </w:r>
    </w:p>
    <w:p w14:paraId="60E5472F">
      <w:pPr>
        <w:spacing w:line="580" w:lineRule="exact"/>
        <w:ind w:firstLine="640"/>
        <w:jc w:val="both"/>
      </w:pPr>
      <w:r>
        <w:rPr>
          <w:rFonts w:ascii="仿宋_GB2312" w:hAnsi="仿宋_GB2312" w:eastAsia="仿宋_GB2312"/>
          <w:b w:val="0"/>
          <w:sz w:val="32"/>
        </w:rPr>
        <w:t>7.农林水支出（类）水利（款）行政运行（项）：支出决算数为1,356.78万元，比上年决算增加48.50万元，增长3.71%，主要原因是：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在职人员工资调增，导致相关人员经费较上年有所增加。</w:t>
      </w:r>
    </w:p>
    <w:p w14:paraId="7DF8A9F8">
      <w:pPr>
        <w:spacing w:line="580" w:lineRule="exact"/>
        <w:ind w:firstLine="640"/>
        <w:jc w:val="both"/>
      </w:pPr>
      <w:r>
        <w:rPr>
          <w:rFonts w:ascii="仿宋_GB2312" w:hAnsi="仿宋_GB2312" w:eastAsia="仿宋_GB2312"/>
          <w:b w:val="0"/>
          <w:sz w:val="32"/>
        </w:rPr>
        <w:t>8.农林水支出（类）水利（款）水资源节约管理与保护（项）：支出决算数为2,037.00万元，比上年决算增加2,037.00万元，增长100.00%，主要原因是：水文系统直属各单位转移支付项目统一增加到水文局，故经费较上年增加。</w:t>
      </w:r>
    </w:p>
    <w:p w14:paraId="3BC5E294">
      <w:pPr>
        <w:spacing w:line="580" w:lineRule="exact"/>
        <w:ind w:firstLine="640"/>
        <w:jc w:val="both"/>
      </w:pPr>
      <w:r>
        <w:rPr>
          <w:rFonts w:ascii="仿宋_GB2312" w:hAnsi="仿宋_GB2312" w:eastAsia="仿宋_GB2312"/>
          <w:b w:val="0"/>
          <w:sz w:val="32"/>
        </w:rPr>
        <w:t>9.农林水支出（类）水利（款）水文测报（项）：支出决算数为1,634.52万元，比上年决算增加1,066.55万元，增长187.78%，主要原因是：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发改委批复水文测报项目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相应支出较上年增加</w:t>
      </w:r>
      <w:r>
        <w:rPr>
          <w:rFonts w:ascii="仿宋_GB2312" w:hAnsi="仿宋_GB2312" w:eastAsia="仿宋_GB2312"/>
          <w:b w:val="0"/>
          <w:sz w:val="32"/>
        </w:rPr>
        <w:t>。</w:t>
      </w:r>
    </w:p>
    <w:p w14:paraId="3C619855">
      <w:pPr>
        <w:spacing w:line="580" w:lineRule="exact"/>
        <w:ind w:firstLine="640"/>
        <w:jc w:val="both"/>
      </w:pPr>
      <w:r>
        <w:rPr>
          <w:rFonts w:ascii="仿宋_GB2312" w:hAnsi="仿宋_GB2312" w:eastAsia="仿宋_GB2312"/>
          <w:b w:val="0"/>
          <w:sz w:val="32"/>
        </w:rPr>
        <w:t>10.农林水支出（类）水利（款）防汛（项）：支出决算数为0.00万元，比上年决算减少40.00万元，下降100.00%，主要原因是：2025年没有申请水利防汛项目，防汛支出减少。</w:t>
      </w:r>
    </w:p>
    <w:p w14:paraId="7C61F664">
      <w:pPr>
        <w:spacing w:line="580" w:lineRule="exact"/>
        <w:ind w:firstLine="640"/>
        <w:jc w:val="both"/>
      </w:pPr>
      <w:r>
        <w:rPr>
          <w:rFonts w:ascii="仿宋_GB2312" w:hAnsi="仿宋_GB2312" w:eastAsia="仿宋_GB2312"/>
          <w:b w:val="0"/>
          <w:sz w:val="32"/>
        </w:rPr>
        <w:t>11.农林水支出（类）水利（款）水利技术推广（项）：支出决算数为0.00万元，比上年决算减少24.23万元，下降100.00%，主要原因是：2025年没有申请水利技术推广</w:t>
      </w:r>
      <w:r>
        <w:rPr>
          <w:rFonts w:hint="eastAsia" w:ascii="仿宋_GB2312" w:hAnsi="仿宋_GB2312" w:eastAsia="仿宋_GB2312"/>
          <w:b w:val="0"/>
          <w:sz w:val="32"/>
          <w:lang w:val="en-US" w:eastAsia="zh-CN"/>
        </w:rPr>
        <w:t>专项</w:t>
      </w:r>
      <w:r>
        <w:rPr>
          <w:rFonts w:ascii="仿宋_GB2312" w:hAnsi="仿宋_GB2312" w:eastAsia="仿宋_GB2312"/>
          <w:b w:val="0"/>
          <w:sz w:val="32"/>
        </w:rPr>
        <w:t>项目</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r>
        <w:rPr>
          <w:rFonts w:hint="eastAsia" w:ascii="仿宋_GB2312" w:hAnsi="仿宋_GB2312" w:eastAsia="仿宋_GB2312"/>
          <w:b w:val="0"/>
          <w:sz w:val="32"/>
          <w:lang w:val="en-US" w:eastAsia="zh-CN"/>
        </w:rPr>
        <w:t>相应支出减少</w:t>
      </w:r>
      <w:r>
        <w:rPr>
          <w:rFonts w:ascii="仿宋_GB2312" w:hAnsi="仿宋_GB2312" w:eastAsia="仿宋_GB2312"/>
          <w:b w:val="0"/>
          <w:sz w:val="32"/>
        </w:rPr>
        <w:t>。</w:t>
      </w:r>
    </w:p>
    <w:p w14:paraId="7646DE7D">
      <w:pPr>
        <w:spacing w:line="580" w:lineRule="exact"/>
        <w:ind w:firstLine="640"/>
        <w:jc w:val="both"/>
      </w:pPr>
      <w:r>
        <w:rPr>
          <w:rFonts w:ascii="仿宋_GB2312" w:hAnsi="仿宋_GB2312" w:eastAsia="仿宋_GB2312"/>
          <w:b w:val="0"/>
          <w:sz w:val="32"/>
        </w:rPr>
        <w:t>12.住房保障支出（类）住房改革支出（款）住房公积金（项）：支出决算数为118.90万元，比上年决算增加10.59万元，增长9.78%，主要原因是：在职人员工资基数调增，公积金缴费基数上涨，相应支出增加。</w:t>
      </w:r>
    </w:p>
    <w:p w14:paraId="01EFCD30">
      <w:pPr>
        <w:spacing w:line="640" w:lineRule="exact"/>
        <w:ind w:firstLine="640"/>
        <w:jc w:val="both"/>
        <w:outlineLvl w:val="2"/>
      </w:pPr>
      <w:r>
        <w:rPr>
          <w:rFonts w:ascii="黑体" w:hAnsi="黑体" w:eastAsia="黑体"/>
          <w:sz w:val="32"/>
        </w:rPr>
        <w:t>六、一般公共预算财政拨款基本支出决算情况说明</w:t>
      </w:r>
    </w:p>
    <w:p w14:paraId="6A41E2C6">
      <w:pPr>
        <w:spacing w:line="580" w:lineRule="exact"/>
        <w:ind w:firstLine="640"/>
        <w:jc w:val="both"/>
      </w:pPr>
      <w:r>
        <w:rPr>
          <w:rFonts w:ascii="仿宋_GB2312" w:hAnsi="仿宋_GB2312" w:eastAsia="仿宋_GB2312"/>
          <w:b w:val="0"/>
          <w:sz w:val="32"/>
        </w:rPr>
        <w:t>2025年度一般公共预算财政拨款基本支出2,147.14万元，其中：</w:t>
      </w:r>
      <w:r>
        <w:rPr>
          <w:rFonts w:ascii="仿宋_GB2312" w:hAnsi="仿宋_GB2312" w:eastAsia="仿宋_GB2312"/>
          <w:b/>
          <w:sz w:val="32"/>
        </w:rPr>
        <w:t>人员经费1,986.92万元，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奖励金、其他对个人和家庭的补助。</w:t>
      </w:r>
    </w:p>
    <w:p w14:paraId="6070D573">
      <w:pPr>
        <w:spacing w:line="580" w:lineRule="exact"/>
        <w:ind w:firstLine="640"/>
        <w:jc w:val="both"/>
      </w:pPr>
      <w:r>
        <w:rPr>
          <w:rFonts w:ascii="仿宋_GB2312" w:hAnsi="仿宋_GB2312" w:eastAsia="仿宋_GB2312"/>
          <w:b/>
          <w:sz w:val="32"/>
        </w:rPr>
        <w:t>公用经费160.22万元，</w:t>
      </w:r>
      <w:r>
        <w:rPr>
          <w:rFonts w:ascii="仿宋_GB2312" w:hAnsi="仿宋_GB2312" w:eastAsia="仿宋_GB2312"/>
          <w:b w:val="0"/>
          <w:sz w:val="32"/>
        </w:rPr>
        <w:t>包括：取暖费、物业管理费、差旅费、公务接待费、工会经费、福利费、公务用车运行维护费、其他商品和服务支出。</w:t>
      </w:r>
    </w:p>
    <w:p w14:paraId="19D54A31">
      <w:pPr>
        <w:spacing w:line="640" w:lineRule="exact"/>
        <w:ind w:firstLine="640"/>
        <w:jc w:val="both"/>
        <w:outlineLvl w:val="2"/>
      </w:pPr>
      <w:r>
        <w:rPr>
          <w:rFonts w:ascii="黑体" w:hAnsi="黑体" w:eastAsia="黑体"/>
          <w:sz w:val="32"/>
        </w:rPr>
        <w:t>七、政府性基金预算财政拨款收入支出决算情况说明</w:t>
      </w:r>
    </w:p>
    <w:p w14:paraId="722BEFC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BFC45A0">
      <w:pPr>
        <w:spacing w:line="640" w:lineRule="exact"/>
        <w:ind w:firstLine="640"/>
        <w:jc w:val="both"/>
        <w:outlineLvl w:val="2"/>
      </w:pPr>
      <w:r>
        <w:rPr>
          <w:rFonts w:ascii="黑体" w:hAnsi="黑体" w:eastAsia="黑体"/>
          <w:sz w:val="32"/>
        </w:rPr>
        <w:t>八、国有资本经营预算财政拨款收入支出决算情况说明</w:t>
      </w:r>
    </w:p>
    <w:p w14:paraId="291BE36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71DBD5">
      <w:pPr>
        <w:spacing w:line="640" w:lineRule="exact"/>
        <w:ind w:firstLine="640"/>
        <w:jc w:val="both"/>
        <w:outlineLvl w:val="2"/>
      </w:pPr>
      <w:r>
        <w:rPr>
          <w:rFonts w:ascii="黑体" w:hAnsi="黑体" w:eastAsia="黑体"/>
          <w:sz w:val="32"/>
        </w:rPr>
        <w:t>九、财政拨款“三公”经费支出决算情况说明</w:t>
      </w:r>
    </w:p>
    <w:p w14:paraId="7DAC5ADA">
      <w:pPr>
        <w:spacing w:line="580" w:lineRule="exact"/>
        <w:ind w:firstLine="640"/>
        <w:jc w:val="both"/>
      </w:pPr>
      <w:r>
        <w:rPr>
          <w:rFonts w:ascii="仿宋_GB2312" w:hAnsi="仿宋_GB2312" w:eastAsia="仿宋_GB2312"/>
          <w:b/>
          <w:sz w:val="32"/>
        </w:rPr>
        <w:t>2025年度财政拨款“三公”经费支出22.20万元，</w:t>
      </w:r>
      <w:r>
        <w:rPr>
          <w:rFonts w:ascii="仿宋_GB2312" w:hAnsi="仿宋_GB2312" w:eastAsia="仿宋_GB2312"/>
          <w:b w:val="0"/>
          <w:sz w:val="32"/>
        </w:rPr>
        <w:t>比上年减少7.20万元，下降24.49%，主要原因是：严格落实中央八项规定精神，厉行节约，减少公务用车运行维护费。其中：因公出国（境）费用支出0.00万元，占0.00%，比上年增加0.00万元，增长0.00%，主要原因是：2024年与2025年均无因公出国（境）费用支出。公务用车购置及运行维护费支出21.80万元，占98.20%，比上年减少7.20万元，下降24.83%，主要原因是：严格落实中央八项规定精神，厉行节约，减少公务用车运行维护费。公务接待费支出0.40万元，占1.80%，比上年增加0.00万元，增长0.00%，主要原因是：本单位公务接待费与上年一致无变化。</w:t>
      </w:r>
    </w:p>
    <w:p w14:paraId="00A707A7">
      <w:pPr>
        <w:spacing w:line="580" w:lineRule="exact"/>
        <w:ind w:firstLine="640"/>
        <w:jc w:val="both"/>
      </w:pPr>
      <w:r>
        <w:rPr>
          <w:rFonts w:ascii="仿宋_GB2312" w:hAnsi="仿宋_GB2312" w:eastAsia="仿宋_GB2312"/>
          <w:b/>
          <w:sz w:val="32"/>
        </w:rPr>
        <w:t>具体情况如下：</w:t>
      </w:r>
    </w:p>
    <w:p w14:paraId="63B7B3C2">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B30DC7D">
      <w:pPr>
        <w:spacing w:line="580" w:lineRule="exact"/>
        <w:ind w:firstLine="640"/>
        <w:jc w:val="both"/>
      </w:pPr>
      <w:r>
        <w:rPr>
          <w:rFonts w:ascii="仿宋_GB2312" w:hAnsi="仿宋_GB2312" w:eastAsia="仿宋_GB2312"/>
          <w:b w:val="0"/>
          <w:sz w:val="32"/>
        </w:rPr>
        <w:t>公务用车购置及运行维护费21.80万元，其中：公务用车购置费0.00万元，公务用车运行维护费21.80万元。公务用车运行维护费开支内容包括车辆加油费、维修费、保险费、审车费、过路费等。公务用车购置数0辆，公务用车保有量6辆。国有资产占用情况中固定资产车辆13辆，与公务用车保有量差异原因是：有7辆为业务车辆，有账无实待报废车辆，本年未使用未产生</w:t>
      </w:r>
      <w:r>
        <w:rPr>
          <w:rFonts w:hint="eastAsia" w:ascii="仿宋_GB2312" w:hAnsi="仿宋_GB2312" w:eastAsia="仿宋_GB2312"/>
          <w:b w:val="0"/>
          <w:sz w:val="32"/>
          <w:lang w:val="en-US" w:eastAsia="zh-CN"/>
        </w:rPr>
        <w:t>相应</w:t>
      </w:r>
      <w:r>
        <w:rPr>
          <w:rFonts w:ascii="仿宋_GB2312" w:hAnsi="仿宋_GB2312" w:eastAsia="仿宋_GB2312"/>
          <w:b w:val="0"/>
          <w:sz w:val="32"/>
        </w:rPr>
        <w:t>经费支出。</w:t>
      </w:r>
    </w:p>
    <w:p w14:paraId="708A7B52">
      <w:pPr>
        <w:spacing w:line="580" w:lineRule="exact"/>
        <w:ind w:firstLine="640"/>
        <w:jc w:val="both"/>
      </w:pPr>
      <w:r>
        <w:rPr>
          <w:rFonts w:ascii="仿宋_GB2312" w:hAnsi="仿宋_GB2312" w:eastAsia="仿宋_GB2312"/>
          <w:b w:val="0"/>
          <w:sz w:val="32"/>
        </w:rPr>
        <w:t>公务接待费0.40万元，开支内容包括接待党员代表大会中部分党员产生的餐费。单位全年安排的国内公务接待7批次，60人次。</w:t>
      </w:r>
    </w:p>
    <w:p w14:paraId="60B4FC9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22.20万元，决算数22.20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21.80万元，决算数21.80万元，预决算差异率0.00%，主要原因是：严格按照预算执行，预决算无差异。公务接待费全年预算数0.40万元，决算数0.40万元，预决算差异率0.00%，主要原因是：严格按照预算执行，预决算无差异。</w:t>
      </w:r>
    </w:p>
    <w:p w14:paraId="78343E45">
      <w:pPr>
        <w:spacing w:line="640" w:lineRule="exact"/>
        <w:ind w:firstLine="640"/>
        <w:jc w:val="both"/>
        <w:outlineLvl w:val="2"/>
      </w:pPr>
      <w:r>
        <w:rPr>
          <w:rFonts w:ascii="黑体" w:hAnsi="黑体" w:eastAsia="黑体"/>
          <w:sz w:val="32"/>
        </w:rPr>
        <w:t>十、其他重要事项的情况说明</w:t>
      </w:r>
    </w:p>
    <w:p w14:paraId="73DDFA36">
      <w:pPr>
        <w:spacing w:line="640" w:lineRule="exact"/>
        <w:ind w:firstLine="640"/>
        <w:jc w:val="both"/>
        <w:outlineLvl w:val="3"/>
      </w:pPr>
      <w:r>
        <w:rPr>
          <w:rFonts w:ascii="楷体_GB2312" w:hAnsi="楷体_GB2312" w:eastAsia="楷体_GB2312"/>
          <w:b/>
          <w:sz w:val="32"/>
        </w:rPr>
        <w:t>（一）机关运行经费及公用经费支出情况</w:t>
      </w:r>
    </w:p>
    <w:p w14:paraId="77193D72">
      <w:pPr>
        <w:spacing w:line="580" w:lineRule="exact"/>
        <w:ind w:firstLine="640"/>
        <w:jc w:val="both"/>
      </w:pPr>
      <w:r>
        <w:rPr>
          <w:rFonts w:ascii="仿宋_GB2312" w:hAnsi="仿宋_GB2312" w:eastAsia="仿宋_GB2312"/>
          <w:b w:val="0"/>
          <w:sz w:val="32"/>
        </w:rPr>
        <w:t>2025年度新疆维吾尔自治区水文局（本级）（行政单位和参照公务员法管理事业单位）机关运行经费支出160.22万元，比上年增加0.56万元，增长0.35%，主要原因是：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更新、维护补充办公用品，导致机关运行经费较上年增加。</w:t>
      </w:r>
    </w:p>
    <w:p w14:paraId="2A55887C">
      <w:pPr>
        <w:spacing w:line="640" w:lineRule="exact"/>
        <w:ind w:firstLine="640"/>
        <w:jc w:val="both"/>
        <w:outlineLvl w:val="3"/>
      </w:pPr>
      <w:r>
        <w:rPr>
          <w:rFonts w:ascii="楷体_GB2312" w:hAnsi="楷体_GB2312" w:eastAsia="楷体_GB2312"/>
          <w:b/>
          <w:sz w:val="32"/>
        </w:rPr>
        <w:t>（二）政府采购情况</w:t>
      </w:r>
    </w:p>
    <w:p w14:paraId="2FBB28BA">
      <w:pPr>
        <w:spacing w:line="580" w:lineRule="exact"/>
        <w:ind w:firstLine="640"/>
        <w:jc w:val="both"/>
      </w:pPr>
      <w:r>
        <w:rPr>
          <w:rFonts w:ascii="仿宋_GB2312" w:hAnsi="仿宋_GB2312" w:eastAsia="仿宋_GB2312"/>
          <w:b w:val="0"/>
          <w:sz w:val="32"/>
        </w:rPr>
        <w:t>2025年度政府采购支出总额1,258.22万元，其中：政府采购货物支出871.33万元、政府采购工程支出0.00万元、政府采购服务支出386.89万元。</w:t>
      </w:r>
    </w:p>
    <w:p w14:paraId="393B21E8">
      <w:pPr>
        <w:spacing w:line="580" w:lineRule="exact"/>
        <w:ind w:firstLine="640"/>
        <w:jc w:val="both"/>
      </w:pPr>
      <w:r>
        <w:rPr>
          <w:rFonts w:ascii="仿宋_GB2312" w:hAnsi="仿宋_GB2312" w:eastAsia="仿宋_GB2312"/>
          <w:b w:val="0"/>
          <w:sz w:val="32"/>
        </w:rPr>
        <w:t>授予中小企业合同金额1,144.37万元，占政府采购支出总额的90.95%，其中：授予小微企业合同金额1,038.39万元，占政府采购支出总额的82.53%。</w:t>
      </w:r>
    </w:p>
    <w:p w14:paraId="15E14509">
      <w:pPr>
        <w:spacing w:line="640" w:lineRule="exact"/>
        <w:ind w:firstLine="640"/>
        <w:jc w:val="both"/>
        <w:outlineLvl w:val="3"/>
      </w:pPr>
      <w:r>
        <w:rPr>
          <w:rFonts w:ascii="楷体_GB2312" w:hAnsi="楷体_GB2312" w:eastAsia="楷体_GB2312"/>
          <w:b/>
          <w:sz w:val="32"/>
        </w:rPr>
        <w:t>（三）国有资产占用情况说明</w:t>
      </w:r>
    </w:p>
    <w:p w14:paraId="41478471">
      <w:pPr>
        <w:spacing w:line="580" w:lineRule="exact"/>
        <w:ind w:firstLine="640"/>
        <w:jc w:val="both"/>
      </w:pPr>
      <w:r>
        <w:rPr>
          <w:rFonts w:ascii="仿宋_GB2312" w:hAnsi="仿宋_GB2312" w:eastAsia="仿宋_GB2312"/>
          <w:b w:val="0"/>
          <w:sz w:val="32"/>
        </w:rPr>
        <w:t>截至2025年12月31日，房屋12,139.02平方米，价值3,333.10万元。车辆13辆，价值277.55万元，其中：副部（省）级及以上领导用车0辆、主要负责人用车0辆、机要通信用车0辆、应急保障用车0辆、执法执勤用车0辆、特种专业技术用车0辆、离退休干部服务用车0辆、其他用车13辆，其他用车主要是：一般公务用车和单位业务用车。单价100万元（含）以上设备（不含车辆）1台（套）。</w:t>
      </w:r>
    </w:p>
    <w:p w14:paraId="3EEA5613">
      <w:pPr>
        <w:spacing w:line="640" w:lineRule="exact"/>
        <w:ind w:firstLine="640"/>
        <w:jc w:val="both"/>
        <w:outlineLvl w:val="2"/>
      </w:pPr>
      <w:r>
        <w:rPr>
          <w:rFonts w:ascii="黑体" w:hAnsi="黑体" w:eastAsia="黑体"/>
          <w:sz w:val="32"/>
        </w:rPr>
        <w:t>十一、预算绩效的情况说明</w:t>
      </w:r>
    </w:p>
    <w:p w14:paraId="5E5D3CFB">
      <w:pPr>
        <w:spacing w:line="580" w:lineRule="exact"/>
        <w:ind w:firstLine="640"/>
        <w:jc w:val="both"/>
      </w:pPr>
      <w:r>
        <w:rPr>
          <w:rFonts w:ascii="仿宋_GB2312" w:hAnsi="仿宋_GB2312" w:eastAsia="仿宋_GB2312"/>
          <w:b w:val="0"/>
          <w:sz w:val="32"/>
        </w:rPr>
        <w:t>根据预算绩效管理要求，本单位预算绩效评价项目2个，全年预算数886.00万元，全年执行数819.64万元。预算绩效管理取得的成效：一是202</w:t>
      </w:r>
      <w:r>
        <w:rPr>
          <w:rFonts w:hint="eastAsia" w:ascii="仿宋_GB2312" w:hAnsi="仿宋_GB2312" w:eastAsia="仿宋_GB2312"/>
          <w:b w:val="0"/>
          <w:sz w:val="32"/>
          <w:lang w:val="en-US" w:eastAsia="zh-CN"/>
        </w:rPr>
        <w:t>5</w:t>
      </w:r>
      <w:r>
        <w:rPr>
          <w:rFonts w:ascii="仿宋_GB2312" w:hAnsi="仿宋_GB2312" w:eastAsia="仿宋_GB2312"/>
          <w:b w:val="0"/>
          <w:sz w:val="32"/>
        </w:rPr>
        <w:t>年单位全面建设得到有序推进，全年安全无事故；二是水文业务建设得到提升。部署14套墒情采集标定设备和水情中心墒情信息接收设备，恢复全疆87个固定墒情采集站的数据采集，按时向水利部和水利厅报送可靠的墒情监测数据；监管职能作用发挥明显，为水文测站日常管理、正常运行，为防汛抗旱、水资源管理和水环境保护发挥了重要作用。发现的问题及原因：一是对绩效管理重视程度不够，单位绩效管理较为被动；二是预算编制中的目标管理不到位，绩效目标管理不够优化。下一步改进措施：一是要加大对预算绩效管理的宣传，牢固树立花钱必问效，无效必问责的意识；二</w:t>
      </w:r>
      <w:r>
        <w:rPr>
          <w:rFonts w:hint="eastAsia" w:ascii="仿宋_GB2312" w:hAnsi="仿宋_GB2312" w:eastAsia="仿宋_GB2312"/>
          <w:b w:val="0"/>
          <w:sz w:val="32"/>
          <w:lang w:eastAsia="zh-CN"/>
        </w:rPr>
        <w:t>是要</w:t>
      </w:r>
      <w:r>
        <w:rPr>
          <w:rFonts w:ascii="仿宋_GB2312" w:hAnsi="仿宋_GB2312" w:eastAsia="仿宋_GB2312"/>
          <w:b w:val="0"/>
          <w:sz w:val="32"/>
        </w:rPr>
        <w:t>进一步细化预算编制。提高预测分析能力、资金使用效率，减少预算调整和结余结转，进一步提高预算编制的科学性、合理性、完整性、可执行性。具体附项目支出绩效自评表。</w:t>
      </w:r>
    </w:p>
    <w:p w14:paraId="1FF4F6B8">
      <w:r>
        <w:br w:type="page"/>
      </w:r>
    </w:p>
    <w:p w14:paraId="409C056A">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F08DBC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6E69486">
            <w:pPr>
              <w:spacing w:before="0" w:after="0" w:line="240" w:lineRule="auto"/>
              <w:jc w:val="center"/>
            </w:pPr>
            <w:r>
              <w:rPr>
                <w:rFonts w:ascii="宋体" w:hAnsi="宋体" w:eastAsia="宋体"/>
                <w:b/>
                <w:i w:val="0"/>
                <w:sz w:val="32"/>
              </w:rPr>
              <w:t>项目支出绩效自评表</w:t>
            </w:r>
          </w:p>
        </w:tc>
      </w:tr>
      <w:tr w14:paraId="7597552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8D60CE3">
            <w:pPr>
              <w:spacing w:before="0" w:after="0" w:line="240" w:lineRule="auto"/>
              <w:jc w:val="center"/>
            </w:pPr>
            <w:r>
              <w:rPr>
                <w:rFonts w:ascii="宋体" w:hAnsi="宋体" w:eastAsia="宋体"/>
                <w:b w:val="0"/>
                <w:i w:val="0"/>
                <w:sz w:val="22"/>
              </w:rPr>
              <w:t>(2025年度)</w:t>
            </w:r>
          </w:p>
        </w:tc>
      </w:tr>
      <w:tr w14:paraId="3511ADE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CA36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92E2CBE">
            <w:pPr>
              <w:spacing w:before="0" w:after="0" w:line="240" w:lineRule="auto"/>
              <w:jc w:val="center"/>
            </w:pPr>
            <w:r>
              <w:rPr>
                <w:rFonts w:ascii="宋体" w:hAnsi="宋体" w:eastAsia="宋体"/>
                <w:b w:val="0"/>
                <w:i w:val="0"/>
                <w:sz w:val="18"/>
              </w:rPr>
              <w:t>自治区水利发展专项-水文测报管理专项</w:t>
            </w:r>
          </w:p>
        </w:tc>
      </w:tr>
      <w:tr w14:paraId="4B4A634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684E5">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F2A8D0">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D21A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1EE7B6">
            <w:pPr>
              <w:spacing w:before="0" w:after="0" w:line="240" w:lineRule="auto"/>
              <w:jc w:val="center"/>
            </w:pPr>
            <w:r>
              <w:rPr>
                <w:rFonts w:ascii="宋体" w:hAnsi="宋体" w:eastAsia="宋体"/>
                <w:b w:val="0"/>
                <w:i w:val="0"/>
                <w:sz w:val="18"/>
              </w:rPr>
              <w:t>新疆维吾尔自治区水文局（本级）</w:t>
            </w:r>
          </w:p>
        </w:tc>
      </w:tr>
      <w:tr w14:paraId="54BC03E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19F7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DABD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EC2B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A736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165E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CD65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1B55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B48C6">
            <w:pPr>
              <w:spacing w:before="0" w:after="0" w:line="240" w:lineRule="auto"/>
              <w:jc w:val="center"/>
            </w:pPr>
            <w:r>
              <w:rPr>
                <w:rFonts w:ascii="宋体" w:hAnsi="宋体" w:eastAsia="宋体"/>
                <w:b/>
                <w:i w:val="0"/>
                <w:sz w:val="18"/>
              </w:rPr>
              <w:t>得分</w:t>
            </w:r>
          </w:p>
        </w:tc>
      </w:tr>
      <w:tr w14:paraId="2D9AC85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8465CF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B9D6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4B0CD">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90E98">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5D0D6">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9EF2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8AD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B8D4E">
            <w:pPr>
              <w:spacing w:before="0" w:after="0" w:line="240" w:lineRule="auto"/>
              <w:jc w:val="center"/>
            </w:pPr>
            <w:r>
              <w:rPr>
                <w:rFonts w:ascii="宋体" w:hAnsi="宋体" w:eastAsia="宋体"/>
                <w:b w:val="0"/>
                <w:i w:val="0"/>
                <w:sz w:val="18"/>
              </w:rPr>
              <w:t>10.00</w:t>
            </w:r>
          </w:p>
        </w:tc>
      </w:tr>
      <w:tr w14:paraId="2496913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092C67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8993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8240E">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11B13">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48BDF">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ADA5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F266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94477">
            <w:pPr>
              <w:spacing w:before="0" w:after="0" w:line="240" w:lineRule="auto"/>
              <w:jc w:val="center"/>
            </w:pPr>
            <w:r>
              <w:rPr>
                <w:rFonts w:ascii="宋体" w:hAnsi="宋体" w:eastAsia="宋体"/>
                <w:b w:val="0"/>
                <w:i w:val="0"/>
                <w:sz w:val="18"/>
              </w:rPr>
              <w:t>—</w:t>
            </w:r>
          </w:p>
        </w:tc>
      </w:tr>
      <w:tr w14:paraId="3ABBBEB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C6D3E8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168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543E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F601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C842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7F61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A820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5B0FD">
            <w:pPr>
              <w:spacing w:before="0" w:after="0" w:line="240" w:lineRule="auto"/>
              <w:jc w:val="center"/>
            </w:pPr>
            <w:r>
              <w:rPr>
                <w:rFonts w:ascii="宋体" w:hAnsi="宋体" w:eastAsia="宋体"/>
                <w:b w:val="0"/>
                <w:i w:val="0"/>
                <w:sz w:val="18"/>
              </w:rPr>
              <w:t>—</w:t>
            </w:r>
          </w:p>
        </w:tc>
      </w:tr>
      <w:tr w14:paraId="6F9DD8E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16D8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DF5BB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759EA">
            <w:pPr>
              <w:spacing w:before="0" w:after="0" w:line="240" w:lineRule="auto"/>
              <w:jc w:val="center"/>
            </w:pPr>
            <w:r>
              <w:rPr>
                <w:rFonts w:ascii="宋体" w:hAnsi="宋体" w:eastAsia="宋体"/>
                <w:b/>
                <w:i w:val="0"/>
                <w:sz w:val="18"/>
              </w:rPr>
              <w:t>实际完成情况</w:t>
            </w:r>
          </w:p>
        </w:tc>
      </w:tr>
      <w:tr w14:paraId="78CAC5E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0B5C1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F29CD8">
            <w:pPr>
              <w:spacing w:before="0" w:after="0" w:line="240" w:lineRule="auto"/>
              <w:jc w:val="center"/>
            </w:pPr>
            <w:r>
              <w:rPr>
                <w:rFonts w:ascii="宋体" w:hAnsi="宋体" w:eastAsia="宋体"/>
                <w:b w:val="0"/>
                <w:i w:val="0"/>
                <w:sz w:val="18"/>
              </w:rPr>
              <w:t>1、按照《新疆维吾尔自治区水文管理办法》（政府令第206号）通过对十五个基层单位汛前、汛中、</w:t>
            </w:r>
            <w:r>
              <w:rPr>
                <w:rFonts w:hint="eastAsia" w:ascii="宋体" w:hAnsi="宋体"/>
                <w:b w:val="0"/>
                <w:i w:val="0"/>
                <w:sz w:val="18"/>
                <w:lang w:eastAsia="zh-CN"/>
              </w:rPr>
              <w:t>汛</w:t>
            </w:r>
            <w:r>
              <w:rPr>
                <w:rFonts w:ascii="宋体" w:hAnsi="宋体" w:eastAsia="宋体"/>
                <w:b w:val="0"/>
                <w:i w:val="0"/>
                <w:sz w:val="18"/>
              </w:rPr>
              <w:t>后检查指导确保安全度过汛期；
2、按照水利部关于印发加快推进智慧水利的指导意见和智慧水利总体方案的通知》（水信息</w:t>
            </w:r>
            <w:r>
              <w:rPr>
                <w:rFonts w:hint="eastAsia" w:ascii="宋体" w:hAnsi="宋体"/>
                <w:b w:val="0"/>
                <w:i w:val="0"/>
                <w:sz w:val="18"/>
                <w:lang w:eastAsia="zh-CN"/>
              </w:rPr>
              <w:t>〔2019〕220号</w:t>
            </w:r>
            <w:r>
              <w:rPr>
                <w:rFonts w:ascii="宋体" w:hAnsi="宋体" w:eastAsia="宋体"/>
                <w:b w:val="0"/>
                <w:i w:val="0"/>
                <w:sz w:val="18"/>
              </w:rPr>
              <w:t>）通过建立统一数据标准，统一数据服务，充分运用新一代信息技术，以已建信息系统为基础进行整合优化完善，保障15条通讯数据传输专线和254个GPRS信导传输站点数</w:t>
            </w:r>
            <w:r>
              <w:rPr>
                <w:rFonts w:hint="eastAsia" w:ascii="宋体" w:hAnsi="宋体"/>
                <w:b w:val="0"/>
                <w:i w:val="0"/>
                <w:sz w:val="18"/>
                <w:lang w:eastAsia="zh-CN"/>
              </w:rPr>
              <w:t>据</w:t>
            </w:r>
            <w:r>
              <w:rPr>
                <w:rFonts w:ascii="宋体" w:hAnsi="宋体" w:eastAsia="宋体"/>
                <w:b w:val="0"/>
                <w:i w:val="0"/>
                <w:sz w:val="18"/>
              </w:rPr>
              <w:t>畅通。
3、按照《新疆维吾尔自治区水文管理办法》（政府令</w:t>
            </w:r>
            <w:r>
              <w:rPr>
                <w:rFonts w:hint="eastAsia" w:ascii="宋体" w:hAnsi="宋体"/>
                <w:b w:val="0"/>
                <w:i w:val="0"/>
                <w:sz w:val="18"/>
                <w:lang w:eastAsia="zh-CN"/>
              </w:rPr>
              <w:t>〔2017〕206号</w:t>
            </w:r>
            <w:r>
              <w:rPr>
                <w:rFonts w:ascii="宋体" w:hAnsi="宋体" w:eastAsia="宋体"/>
                <w:b w:val="0"/>
                <w:i w:val="0"/>
                <w:sz w:val="18"/>
              </w:rPr>
              <w:t>）通过提交新疆地下水通报季报、新疆县级地下水位变化情况通报、新疆地下水年度动态变化分析报告，完善编制新疆水文志，推进水文业务管理现代化。</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67DB7">
            <w:pPr>
              <w:spacing w:before="0" w:after="0" w:line="240" w:lineRule="auto"/>
              <w:jc w:val="center"/>
            </w:pPr>
            <w:r>
              <w:rPr>
                <w:rFonts w:ascii="宋体" w:hAnsi="宋体" w:eastAsia="宋体"/>
                <w:b w:val="0"/>
                <w:i w:val="0"/>
                <w:sz w:val="18"/>
              </w:rPr>
              <w:t>根据年度项目安排，完成验收情况：（1）3-12月分三个阶段对14个下属单位开展了汛前安全生产等综合检查；汛期安全生产、业务综合检查；汛后检</w:t>
            </w:r>
            <w:r>
              <w:rPr>
                <w:rFonts w:hint="eastAsia" w:ascii="宋体" w:hAnsi="宋体"/>
                <w:b w:val="0"/>
                <w:i w:val="0"/>
                <w:sz w:val="18"/>
                <w:lang w:eastAsia="zh-CN"/>
              </w:rPr>
              <w:t>查开</w:t>
            </w:r>
            <w:r>
              <w:rPr>
                <w:rFonts w:ascii="宋体" w:hAnsi="宋体" w:eastAsia="宋体"/>
                <w:b w:val="0"/>
                <w:i w:val="0"/>
                <w:sz w:val="18"/>
              </w:rPr>
              <w:t>展了汛期安全生产、业务综合检查，9月开展了汛后检查；督频次测站水文测验、资料整编执行和测站运行管理情况工作；（2）11月审查了1-10月资料，水文监测工作12月31日结束后，次年1月完成全年资料审查，经汇编后上报。（3）3-12月期间完成向水利厅、水利部水雨报讯工作；（4）12月完成了地下水年度动态变化分析报告。（5）全年保证下属各地州水文勘测中心（工作队）15条通讯数据，水文局本级2条通讯数据传输稳定，确保专线畅通，保证数据传输及时性。</w:t>
            </w:r>
          </w:p>
        </w:tc>
      </w:tr>
      <w:tr w14:paraId="7AF405C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4243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9A4ED">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322E0">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88C64">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105B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4086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8EE9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A7F8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525D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B50A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4DE4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45CA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E9376">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07641">
            <w:pPr>
              <w:spacing w:before="0" w:after="0" w:line="240" w:lineRule="auto"/>
              <w:jc w:val="center"/>
            </w:pPr>
            <w:r>
              <w:rPr>
                <w:rFonts w:ascii="宋体" w:hAnsi="宋体" w:eastAsia="宋体"/>
                <w:b/>
                <w:i w:val="0"/>
                <w:sz w:val="18"/>
              </w:rPr>
              <w:t>偏差原因分析及改进措施</w:t>
            </w:r>
          </w:p>
        </w:tc>
      </w:tr>
      <w:tr w14:paraId="6B0AC8E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B9DE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549D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1D0F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5FD9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D7A6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1C5E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37BF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3CF0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B53F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91F5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E674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9177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64F1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3BACF8"/>
        </w:tc>
      </w:tr>
      <w:tr w14:paraId="7842255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1FE7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E1D3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381F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264F9">
            <w:pPr>
              <w:spacing w:before="0" w:after="0" w:line="240" w:lineRule="auto"/>
              <w:jc w:val="center"/>
            </w:pPr>
            <w:r>
              <w:rPr>
                <w:rFonts w:ascii="宋体" w:hAnsi="宋体" w:eastAsia="宋体"/>
                <w:b w:val="0"/>
                <w:i w:val="0"/>
                <w:color w:val="000000"/>
                <w:sz w:val="18"/>
              </w:rPr>
              <w:t>水文度汛检查、综合巡察等工作考核单位数量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9C313">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F9288">
            <w:pPr>
              <w:spacing w:before="0" w:after="0" w:line="240" w:lineRule="auto"/>
              <w:jc w:val="center"/>
            </w:pPr>
            <w:r>
              <w:rPr>
                <w:rFonts w:ascii="宋体" w:hAnsi="宋体" w:eastAsia="宋体"/>
                <w:b w:val="0"/>
                <w:i w:val="0"/>
                <w:sz w:val="18"/>
              </w:rPr>
              <w:t>&gt;=14个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9DD07">
            <w:pPr>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D453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B5991">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52D7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FDF3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0964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0B9D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DE395">
            <w:pPr>
              <w:spacing w:before="0" w:after="0" w:line="240" w:lineRule="auto"/>
              <w:jc w:val="center"/>
            </w:pPr>
          </w:p>
        </w:tc>
      </w:tr>
      <w:tr w14:paraId="2CE4959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3DA8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42D3E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95B9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F2FBB">
            <w:pPr>
              <w:spacing w:before="0" w:after="0" w:line="240" w:lineRule="auto"/>
              <w:jc w:val="center"/>
            </w:pPr>
            <w:r>
              <w:rPr>
                <w:rFonts w:ascii="宋体" w:hAnsi="宋体" w:eastAsia="宋体"/>
                <w:b w:val="0"/>
                <w:i w:val="0"/>
                <w:color w:val="000000"/>
                <w:sz w:val="18"/>
              </w:rPr>
              <w:t>水文专线及长途通讯数据线路条数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B0CBC">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97782">
            <w:pPr>
              <w:spacing w:before="0" w:after="0" w:line="240" w:lineRule="auto"/>
              <w:jc w:val="center"/>
            </w:pPr>
            <w:r>
              <w:rPr>
                <w:rFonts w:ascii="宋体" w:hAnsi="宋体" w:eastAsia="宋体"/>
                <w:b w:val="0"/>
                <w:i w:val="0"/>
                <w:sz w:val="18"/>
              </w:rPr>
              <w:t>&gt;=15条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87E3C">
            <w:pPr>
              <w:spacing w:before="0" w:after="0" w:line="240" w:lineRule="auto"/>
              <w:jc w:val="center"/>
            </w:pPr>
            <w:r>
              <w:rPr>
                <w:rFonts w:ascii="宋体" w:hAnsi="宋体" w:eastAsia="宋体"/>
                <w:b w:val="0"/>
                <w:i w:val="0"/>
                <w:sz w:val="18"/>
              </w:rPr>
              <w:t>=17条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261B8">
            <w:pPr>
              <w:spacing w:before="0" w:after="0" w:line="240" w:lineRule="auto"/>
              <w:jc w:val="center"/>
            </w:pPr>
            <w:r>
              <w:rPr>
                <w:rFonts w:ascii="宋体" w:hAnsi="宋体" w:eastAsia="宋体"/>
                <w:b w:val="0"/>
                <w:i w:val="0"/>
                <w:sz w:val="18"/>
              </w:rPr>
              <w:t>113%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A7445">
            <w:pPr>
              <w:spacing w:before="0" w:after="0" w:line="240" w:lineRule="auto"/>
              <w:jc w:val="center"/>
            </w:pPr>
            <w:r>
              <w:rPr>
                <w:rFonts w:ascii="宋体" w:hAnsi="宋体" w:eastAsia="宋体"/>
                <w:b w:val="0"/>
                <w:i w:val="0"/>
                <w:sz w:val="18"/>
              </w:rPr>
              <w:t>6.96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C9F6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915D2">
            <w:pPr>
              <w:spacing w:before="0" w:after="0" w:line="240" w:lineRule="auto"/>
              <w:jc w:val="center"/>
            </w:pPr>
            <w:r>
              <w:rPr>
                <w:rFonts w:ascii="宋体" w:hAnsi="宋体" w:eastAsia="宋体"/>
                <w:b w:val="0"/>
                <w:i w:val="0"/>
                <w:sz w:val="18"/>
              </w:rPr>
              <w:t>15条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6C2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F839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6FE1B">
            <w:pPr>
              <w:spacing w:before="0" w:after="0" w:line="240" w:lineRule="auto"/>
              <w:jc w:val="center"/>
            </w:pPr>
            <w:r>
              <w:rPr>
                <w:rFonts w:ascii="宋体" w:hAnsi="宋体" w:eastAsia="宋体"/>
                <w:b w:val="0"/>
                <w:i w:val="0"/>
                <w:sz w:val="18"/>
              </w:rPr>
              <w:t>本年度因工作需要新增加两条通讯线路暨工作队线路和水文局机关线路，下一步单位将强化与业务处室沟通，严格指标设置与指标执行，确保提质增效做到实处。</w:t>
            </w:r>
          </w:p>
        </w:tc>
      </w:tr>
      <w:tr w14:paraId="431BE0C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BDCA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81BAC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D57A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796D7">
            <w:pPr>
              <w:spacing w:before="0" w:after="0" w:line="240" w:lineRule="auto"/>
              <w:jc w:val="center"/>
            </w:pPr>
            <w:r>
              <w:rPr>
                <w:rFonts w:ascii="宋体" w:hAnsi="宋体" w:eastAsia="宋体"/>
                <w:b w:val="0"/>
                <w:i w:val="0"/>
                <w:color w:val="000000"/>
                <w:sz w:val="18"/>
              </w:rPr>
              <w:t>地下水年度动态变化分析报告</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9538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0BB18">
            <w:pPr>
              <w:spacing w:before="0" w:after="0" w:line="240" w:lineRule="auto"/>
              <w:jc w:val="center"/>
            </w:pPr>
            <w:r>
              <w:rPr>
                <w:rFonts w:ascii="宋体" w:hAnsi="宋体" w:eastAsia="宋体"/>
                <w:b w:val="0"/>
                <w:i w:val="0"/>
                <w:sz w:val="18"/>
              </w:rPr>
              <w:t>=1期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7E7C0">
            <w:pPr>
              <w:spacing w:before="0" w:after="0" w:line="240" w:lineRule="auto"/>
              <w:jc w:val="center"/>
            </w:pPr>
            <w:r>
              <w:rPr>
                <w:rFonts w:ascii="宋体" w:hAnsi="宋体" w:eastAsia="宋体"/>
                <w:b w:val="0"/>
                <w:i w:val="0"/>
                <w:sz w:val="18"/>
              </w:rPr>
              <w:t>=1期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8E96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E2AC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5ACA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D3EB2">
            <w:pPr>
              <w:spacing w:before="0" w:after="0" w:line="240" w:lineRule="auto"/>
              <w:jc w:val="center"/>
            </w:pPr>
            <w:r>
              <w:rPr>
                <w:rFonts w:ascii="宋体" w:hAnsi="宋体" w:eastAsia="宋体"/>
                <w:b w:val="0"/>
                <w:i w:val="0"/>
                <w:sz w:val="18"/>
              </w:rPr>
              <w:t>1期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5E12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F1B5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4B843">
            <w:pPr>
              <w:spacing w:before="0" w:after="0" w:line="240" w:lineRule="auto"/>
              <w:jc w:val="center"/>
            </w:pPr>
          </w:p>
        </w:tc>
      </w:tr>
      <w:tr w14:paraId="03CFFD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3B70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4E82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5451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EDD5A">
            <w:pPr>
              <w:spacing w:before="0" w:after="0" w:line="240" w:lineRule="auto"/>
              <w:jc w:val="center"/>
            </w:pPr>
            <w:r>
              <w:rPr>
                <w:rFonts w:ascii="宋体" w:hAnsi="宋体" w:eastAsia="宋体"/>
                <w:b w:val="0"/>
                <w:i w:val="0"/>
                <w:color w:val="000000"/>
                <w:sz w:val="18"/>
              </w:rPr>
              <w:t>水文度汛检查、综合巡察等工作检查合格率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CB8A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64AC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ECF4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675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9636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B8F4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C7FD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FB8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0EBD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A43DF">
            <w:pPr>
              <w:spacing w:before="0" w:after="0" w:line="240" w:lineRule="auto"/>
              <w:jc w:val="center"/>
            </w:pPr>
          </w:p>
        </w:tc>
      </w:tr>
      <w:tr w14:paraId="4A7172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EEC6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843B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3065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B555F">
            <w:pPr>
              <w:spacing w:before="0" w:after="0" w:line="240" w:lineRule="auto"/>
              <w:jc w:val="center"/>
            </w:pPr>
            <w:r>
              <w:rPr>
                <w:rFonts w:ascii="宋体" w:hAnsi="宋体" w:eastAsia="宋体"/>
                <w:b w:val="0"/>
                <w:i w:val="0"/>
                <w:color w:val="000000"/>
                <w:sz w:val="18"/>
              </w:rPr>
              <w:t>基于水文综合业务平台水情报汛准确率（%）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EA56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CA95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EE8E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20A1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A82D3">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3CD4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4C2E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142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E743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CD8C7">
            <w:pPr>
              <w:spacing w:before="0" w:after="0" w:line="240" w:lineRule="auto"/>
              <w:jc w:val="center"/>
            </w:pPr>
          </w:p>
        </w:tc>
      </w:tr>
      <w:tr w14:paraId="0D45BF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3B93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E75AA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F1C4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ECDBA">
            <w:pPr>
              <w:spacing w:before="0" w:after="0" w:line="240" w:lineRule="auto"/>
              <w:jc w:val="center"/>
            </w:pPr>
            <w:r>
              <w:rPr>
                <w:rFonts w:ascii="宋体" w:hAnsi="宋体" w:eastAsia="宋体"/>
                <w:b w:val="0"/>
                <w:i w:val="0"/>
                <w:color w:val="000000"/>
                <w:sz w:val="18"/>
              </w:rPr>
              <w:t>地下水分析报告合格率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152C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D88F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B548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DA01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8231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675F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F784F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BB69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135F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86341">
            <w:pPr>
              <w:spacing w:before="0" w:after="0" w:line="240" w:lineRule="auto"/>
              <w:jc w:val="center"/>
            </w:pPr>
          </w:p>
        </w:tc>
      </w:tr>
      <w:tr w14:paraId="14DC6EC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32D4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2ECE9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2FC1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60E00">
            <w:pPr>
              <w:spacing w:before="0" w:after="0" w:line="240" w:lineRule="auto"/>
              <w:jc w:val="center"/>
            </w:pPr>
            <w:r>
              <w:rPr>
                <w:rFonts w:ascii="宋体" w:hAnsi="宋体" w:eastAsia="宋体"/>
                <w:b w:val="0"/>
                <w:i w:val="0"/>
                <w:color w:val="000000"/>
                <w:sz w:val="18"/>
              </w:rPr>
              <w:t>水文资料整编成果完成时间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472A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01789">
            <w:pPr>
              <w:spacing w:before="0" w:after="0" w:line="240" w:lineRule="auto"/>
              <w:jc w:val="center"/>
            </w:pPr>
            <w:r>
              <w:rPr>
                <w:rFonts w:ascii="宋体" w:hAnsi="宋体" w:eastAsia="宋体"/>
                <w:b w:val="0"/>
                <w:i w:val="0"/>
                <w:sz w:val="18"/>
              </w:rPr>
              <w:t>=2025年12月前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68EC0">
            <w:pPr>
              <w:spacing w:before="0" w:after="0" w:line="240" w:lineRule="auto"/>
              <w:jc w:val="center"/>
            </w:pPr>
            <w:r>
              <w:rPr>
                <w:rFonts w:ascii="宋体" w:hAnsi="宋体" w:eastAsia="宋体"/>
                <w:b w:val="0"/>
                <w:i w:val="0"/>
                <w:sz w:val="18"/>
              </w:rPr>
              <w:t>=2025年12月前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3A53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90D6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1809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14B7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CD85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86EB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1B109">
            <w:pPr>
              <w:spacing w:before="0" w:after="0" w:line="240" w:lineRule="auto"/>
              <w:jc w:val="center"/>
            </w:pPr>
          </w:p>
        </w:tc>
      </w:tr>
      <w:tr w14:paraId="111DF37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ECB2E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9399D">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7421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E429F">
            <w:pPr>
              <w:spacing w:before="0" w:after="0" w:line="240" w:lineRule="auto"/>
              <w:jc w:val="center"/>
            </w:pPr>
            <w:r>
              <w:rPr>
                <w:rFonts w:ascii="宋体" w:hAnsi="宋体" w:eastAsia="宋体"/>
                <w:b w:val="0"/>
                <w:i w:val="0"/>
                <w:color w:val="000000"/>
                <w:sz w:val="18"/>
              </w:rPr>
              <w:t>水文度汛检查、综合巡察等工作成本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0B1C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9496C">
            <w:pPr>
              <w:spacing w:before="0" w:after="0" w:line="240" w:lineRule="auto"/>
              <w:jc w:val="center"/>
            </w:pPr>
            <w:r>
              <w:rPr>
                <w:rFonts w:ascii="宋体" w:hAnsi="宋体" w:eastAsia="宋体"/>
                <w:b w:val="0"/>
                <w:i w:val="0"/>
                <w:sz w:val="18"/>
              </w:rPr>
              <w:t>&lt;=266万元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8D396">
            <w:pPr>
              <w:spacing w:before="0" w:after="0" w:line="240" w:lineRule="auto"/>
              <w:jc w:val="center"/>
            </w:pPr>
            <w:r>
              <w:rPr>
                <w:rFonts w:ascii="宋体" w:hAnsi="宋体" w:eastAsia="宋体"/>
                <w:b w:val="0"/>
                <w:i w:val="0"/>
                <w:sz w:val="18"/>
              </w:rPr>
              <w:t>=266万元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54CD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A708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0DAB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78D5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EE48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4ABD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BF923">
            <w:pPr>
              <w:spacing w:before="0" w:after="0" w:line="240" w:lineRule="auto"/>
              <w:jc w:val="center"/>
            </w:pPr>
            <w:r>
              <w:rPr>
                <w:rFonts w:ascii="宋体" w:hAnsi="宋体" w:eastAsia="宋体"/>
                <w:b w:val="0"/>
                <w:i w:val="0"/>
                <w:sz w:val="18"/>
              </w:rPr>
              <w:t>该条指标支出超出原指标设置266.00万元，主要</w:t>
            </w:r>
            <w:r>
              <w:rPr>
                <w:rFonts w:hint="eastAsia" w:ascii="宋体" w:hAnsi="宋体"/>
                <w:b w:val="0"/>
                <w:i w:val="0"/>
                <w:sz w:val="18"/>
                <w:lang w:eastAsia="zh-CN"/>
              </w:rPr>
              <w:t>是因为</w:t>
            </w:r>
            <w:r>
              <w:rPr>
                <w:rFonts w:ascii="宋体" w:hAnsi="宋体" w:eastAsia="宋体"/>
                <w:b w:val="0"/>
                <w:i w:val="0"/>
                <w:sz w:val="18"/>
              </w:rPr>
              <w:t>2025年度设置年度绩效指标时，存在小数点四舍五入问题，工程师建议取整核算，导致指标设置不精准。下一步单位将加强与业务处室沟通，强化预算编制、管理、执行，确保“花钱必问效 无效问责”。</w:t>
            </w:r>
          </w:p>
        </w:tc>
      </w:tr>
      <w:tr w14:paraId="335E1EE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4CCD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2C888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C82D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5A842">
            <w:pPr>
              <w:spacing w:before="0" w:after="0" w:line="240" w:lineRule="auto"/>
              <w:jc w:val="center"/>
            </w:pPr>
            <w:r>
              <w:rPr>
                <w:rFonts w:ascii="宋体" w:hAnsi="宋体" w:eastAsia="宋体"/>
                <w:b w:val="0"/>
                <w:i w:val="0"/>
                <w:color w:val="000000"/>
                <w:sz w:val="18"/>
              </w:rPr>
              <w:t>水文专线及长途通讯数据线路费用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C187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010FE">
            <w:pPr>
              <w:spacing w:before="0" w:after="0" w:line="240" w:lineRule="auto"/>
              <w:jc w:val="center"/>
            </w:pPr>
            <w:r>
              <w:rPr>
                <w:rFonts w:ascii="宋体" w:hAnsi="宋体" w:eastAsia="宋体"/>
                <w:b w:val="0"/>
                <w:i w:val="0"/>
                <w:sz w:val="18"/>
              </w:rPr>
              <w:t>&lt;=63万元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ABE45">
            <w:pPr>
              <w:spacing w:before="0" w:after="0" w:line="240" w:lineRule="auto"/>
              <w:jc w:val="center"/>
            </w:pPr>
            <w:r>
              <w:rPr>
                <w:rFonts w:ascii="宋体" w:hAnsi="宋体" w:eastAsia="宋体"/>
                <w:b w:val="0"/>
                <w:i w:val="0"/>
                <w:sz w:val="18"/>
              </w:rPr>
              <w:t>=63万元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6CB9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0D05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0BC7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D033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23B9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EB3C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A86A1">
            <w:pPr>
              <w:spacing w:before="0" w:after="0" w:line="240" w:lineRule="auto"/>
              <w:jc w:val="center"/>
            </w:pPr>
          </w:p>
        </w:tc>
      </w:tr>
      <w:tr w14:paraId="084A9BB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E795F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B4DB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B6C0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1E699">
            <w:pPr>
              <w:spacing w:before="0" w:after="0" w:line="240" w:lineRule="auto"/>
              <w:jc w:val="center"/>
            </w:pPr>
            <w:r>
              <w:rPr>
                <w:rFonts w:ascii="宋体" w:hAnsi="宋体" w:eastAsia="宋体"/>
                <w:b w:val="0"/>
                <w:i w:val="0"/>
                <w:color w:val="000000"/>
                <w:sz w:val="18"/>
              </w:rPr>
              <w:t>提升当地经济社会水文信息服务能力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8BF2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C82F7">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99156">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272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050A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524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7C32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D0380">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0942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2335A">
            <w:pPr>
              <w:spacing w:before="0" w:after="0" w:line="240" w:lineRule="auto"/>
              <w:jc w:val="center"/>
            </w:pPr>
          </w:p>
        </w:tc>
      </w:tr>
      <w:tr w14:paraId="69D737C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E10BCD">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E0961">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D8E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5E1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D532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CE3CE">
            <w:pPr>
              <w:spacing w:before="0" w:after="0" w:line="240" w:lineRule="auto"/>
              <w:jc w:val="center"/>
            </w:pPr>
            <w:r>
              <w:rPr>
                <w:rFonts w:ascii="宋体" w:hAnsi="宋体" w:eastAsia="宋体"/>
                <w:b w:val="0"/>
                <w:i w:val="0"/>
                <w:color w:val="000000"/>
                <w:sz w:val="18"/>
              </w:rPr>
              <w:t>98.96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252B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FF4E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B879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1AF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6200C">
            <w:pPr>
              <w:spacing w:before="0" w:after="0" w:line="240" w:lineRule="auto"/>
              <w:jc w:val="center"/>
            </w:pPr>
          </w:p>
        </w:tc>
      </w:tr>
    </w:tbl>
    <w:p w14:paraId="4FEBEF5A">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766F3B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77AD7E8">
            <w:pPr>
              <w:spacing w:before="0" w:after="0" w:line="240" w:lineRule="auto"/>
              <w:jc w:val="center"/>
            </w:pPr>
            <w:r>
              <w:rPr>
                <w:rFonts w:ascii="宋体" w:hAnsi="宋体" w:eastAsia="宋体"/>
                <w:b/>
                <w:i w:val="0"/>
                <w:sz w:val="32"/>
              </w:rPr>
              <w:t>项目支出绩效自评表</w:t>
            </w:r>
          </w:p>
        </w:tc>
      </w:tr>
      <w:tr w14:paraId="68B908F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124214E">
            <w:pPr>
              <w:spacing w:before="0" w:after="0" w:line="240" w:lineRule="auto"/>
              <w:jc w:val="center"/>
            </w:pPr>
            <w:r>
              <w:rPr>
                <w:rFonts w:ascii="宋体" w:hAnsi="宋体" w:eastAsia="宋体"/>
                <w:b w:val="0"/>
                <w:i w:val="0"/>
                <w:sz w:val="22"/>
              </w:rPr>
              <w:t>(2025年度)</w:t>
            </w:r>
          </w:p>
        </w:tc>
      </w:tr>
      <w:tr w14:paraId="25C8924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0D4A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787FC96">
            <w:pPr>
              <w:spacing w:before="0" w:after="0" w:line="240" w:lineRule="auto"/>
              <w:jc w:val="center"/>
            </w:pPr>
            <w:bookmarkStart w:id="0" w:name="_GoBack"/>
            <w:r>
              <w:rPr>
                <w:rFonts w:ascii="宋体" w:hAnsi="宋体" w:eastAsia="宋体"/>
                <w:b w:val="0"/>
                <w:i w:val="0"/>
                <w:sz w:val="18"/>
              </w:rPr>
              <w:t>水文组织能力建设与经营成本性支出</w:t>
            </w:r>
            <w:bookmarkEnd w:id="0"/>
          </w:p>
        </w:tc>
      </w:tr>
      <w:tr w14:paraId="6AC5D07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51B9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626338">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2850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2D6A59">
            <w:pPr>
              <w:spacing w:before="0" w:after="0" w:line="240" w:lineRule="auto"/>
              <w:jc w:val="center"/>
            </w:pPr>
            <w:r>
              <w:rPr>
                <w:rFonts w:ascii="宋体" w:hAnsi="宋体" w:eastAsia="宋体"/>
                <w:b w:val="0"/>
                <w:i w:val="0"/>
                <w:sz w:val="18"/>
              </w:rPr>
              <w:t>新疆维吾尔自治区水文局（本级）</w:t>
            </w:r>
          </w:p>
        </w:tc>
      </w:tr>
      <w:tr w14:paraId="3395E91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1CF7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282C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38B2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130F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AA4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253E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1F7C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3BB08">
            <w:pPr>
              <w:spacing w:before="0" w:after="0" w:line="240" w:lineRule="auto"/>
              <w:jc w:val="center"/>
            </w:pPr>
            <w:r>
              <w:rPr>
                <w:rFonts w:ascii="宋体" w:hAnsi="宋体" w:eastAsia="宋体"/>
                <w:b/>
                <w:i w:val="0"/>
                <w:sz w:val="18"/>
              </w:rPr>
              <w:t>得分</w:t>
            </w:r>
          </w:p>
        </w:tc>
      </w:tr>
      <w:tr w14:paraId="23D840C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844374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70F3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3E309">
            <w:pPr>
              <w:spacing w:before="0" w:after="0" w:line="240" w:lineRule="auto"/>
              <w:jc w:val="center"/>
            </w:pPr>
            <w:r>
              <w:rPr>
                <w:rFonts w:ascii="宋体" w:hAnsi="宋体" w:eastAsia="宋体"/>
                <w:b w:val="0"/>
                <w:i w:val="0"/>
                <w:sz w:val="18"/>
              </w:rPr>
              <w:t>556.00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1AC31">
            <w:pPr>
              <w:spacing w:before="0" w:after="0" w:line="240" w:lineRule="auto"/>
              <w:jc w:val="center"/>
            </w:pPr>
            <w:r>
              <w:rPr>
                <w:rFonts w:ascii="宋体" w:hAnsi="宋体" w:eastAsia="宋体"/>
                <w:b w:val="0"/>
                <w:i w:val="0"/>
                <w:sz w:val="18"/>
              </w:rPr>
              <w:t>556.00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C7785">
            <w:pPr>
              <w:spacing w:before="0" w:after="0" w:line="240" w:lineRule="auto"/>
              <w:jc w:val="center"/>
            </w:pPr>
            <w:r>
              <w:rPr>
                <w:rFonts w:ascii="宋体" w:hAnsi="宋体" w:eastAsia="宋体"/>
                <w:b w:val="0"/>
                <w:i w:val="0"/>
                <w:sz w:val="18"/>
              </w:rPr>
              <w:t>489.64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0600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FC10D">
            <w:pPr>
              <w:spacing w:before="0" w:after="0" w:line="240" w:lineRule="auto"/>
              <w:jc w:val="center"/>
            </w:pPr>
            <w:r>
              <w:rPr>
                <w:rFonts w:ascii="宋体" w:hAnsi="宋体" w:eastAsia="宋体"/>
                <w:b w:val="0"/>
                <w:i w:val="0"/>
                <w:sz w:val="18"/>
              </w:rPr>
              <w:t>88.06%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71B73">
            <w:pPr>
              <w:spacing w:before="0" w:after="0" w:line="240" w:lineRule="auto"/>
              <w:jc w:val="center"/>
            </w:pPr>
            <w:r>
              <w:rPr>
                <w:rFonts w:ascii="宋体" w:hAnsi="宋体" w:eastAsia="宋体"/>
                <w:b w:val="0"/>
                <w:i w:val="0"/>
                <w:sz w:val="18"/>
              </w:rPr>
              <w:t>7.02</w:t>
            </w:r>
          </w:p>
        </w:tc>
      </w:tr>
      <w:tr w14:paraId="07028A0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7C35BB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80E0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8DEC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313D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6BA4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9C77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C2B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9700F">
            <w:pPr>
              <w:spacing w:before="0" w:after="0" w:line="240" w:lineRule="auto"/>
              <w:jc w:val="center"/>
            </w:pPr>
            <w:r>
              <w:rPr>
                <w:rFonts w:ascii="宋体" w:hAnsi="宋体" w:eastAsia="宋体"/>
                <w:b w:val="0"/>
                <w:i w:val="0"/>
                <w:sz w:val="18"/>
              </w:rPr>
              <w:t>—</w:t>
            </w:r>
          </w:p>
        </w:tc>
      </w:tr>
      <w:tr w14:paraId="151ECFF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B0B4EA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78F9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E4FC0">
            <w:pPr>
              <w:spacing w:before="0" w:after="0" w:line="240" w:lineRule="auto"/>
              <w:jc w:val="center"/>
            </w:pPr>
            <w:r>
              <w:rPr>
                <w:rFonts w:ascii="宋体" w:hAnsi="宋体" w:eastAsia="宋体"/>
                <w:b w:val="0"/>
                <w:i w:val="0"/>
                <w:sz w:val="18"/>
              </w:rPr>
              <w:t>556.00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12B8C">
            <w:pPr>
              <w:spacing w:before="0" w:after="0" w:line="240" w:lineRule="auto"/>
              <w:jc w:val="center"/>
            </w:pPr>
            <w:r>
              <w:rPr>
                <w:rFonts w:ascii="宋体" w:hAnsi="宋体" w:eastAsia="宋体"/>
                <w:b w:val="0"/>
                <w:i w:val="0"/>
                <w:sz w:val="18"/>
              </w:rPr>
              <w:t>556.00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8A808">
            <w:pPr>
              <w:spacing w:before="0" w:after="0" w:line="240" w:lineRule="auto"/>
              <w:jc w:val="center"/>
            </w:pPr>
            <w:r>
              <w:rPr>
                <w:rFonts w:ascii="宋体" w:hAnsi="宋体" w:eastAsia="宋体"/>
                <w:b w:val="0"/>
                <w:i w:val="0"/>
                <w:sz w:val="18"/>
              </w:rPr>
              <w:t>489.64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6934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D5C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6542F">
            <w:pPr>
              <w:spacing w:before="0" w:after="0" w:line="240" w:lineRule="auto"/>
              <w:jc w:val="center"/>
            </w:pPr>
            <w:r>
              <w:rPr>
                <w:rFonts w:ascii="宋体" w:hAnsi="宋体" w:eastAsia="宋体"/>
                <w:b w:val="0"/>
                <w:i w:val="0"/>
                <w:sz w:val="18"/>
              </w:rPr>
              <w:t>—</w:t>
            </w:r>
          </w:p>
        </w:tc>
      </w:tr>
      <w:tr w14:paraId="1F86534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1FAD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6E37A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7E504">
            <w:pPr>
              <w:spacing w:before="0" w:after="0" w:line="240" w:lineRule="auto"/>
              <w:jc w:val="center"/>
            </w:pPr>
            <w:r>
              <w:rPr>
                <w:rFonts w:ascii="宋体" w:hAnsi="宋体" w:eastAsia="宋体"/>
                <w:b/>
                <w:i w:val="0"/>
                <w:sz w:val="18"/>
              </w:rPr>
              <w:t>实际完成情况</w:t>
            </w:r>
          </w:p>
        </w:tc>
      </w:tr>
      <w:tr w14:paraId="04F88EF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C80D5C"/>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ECD457">
            <w:pPr>
              <w:spacing w:before="0" w:after="0" w:line="240" w:lineRule="auto"/>
              <w:jc w:val="center"/>
            </w:pPr>
            <w:r>
              <w:rPr>
                <w:rFonts w:hint="eastAsia" w:ascii="宋体" w:hAnsi="宋体"/>
                <w:b w:val="0"/>
                <w:i w:val="0"/>
                <w:sz w:val="18"/>
                <w:lang w:val="en-US" w:eastAsia="zh-CN"/>
              </w:rPr>
              <w:t>1.</w:t>
            </w:r>
            <w:r>
              <w:rPr>
                <w:rFonts w:ascii="宋体" w:hAnsi="宋体" w:eastAsia="宋体"/>
                <w:b w:val="0"/>
                <w:i w:val="0"/>
                <w:sz w:val="18"/>
              </w:rPr>
              <w:t>根据财政部同意将水文专业有偿服务费转为经营服务性收费的相关政策规定，充分运用好《</w:t>
            </w:r>
            <w:r>
              <w:rPr>
                <w:rFonts w:hint="eastAsia" w:ascii="宋体" w:hAnsi="宋体"/>
                <w:b w:val="0"/>
                <w:i w:val="0"/>
                <w:sz w:val="18"/>
                <w:lang w:eastAsia="zh-CN"/>
              </w:rPr>
              <w:t>中华人民共和国水文条例》《</w:t>
            </w:r>
            <w:r>
              <w:rPr>
                <w:rFonts w:ascii="宋体" w:hAnsi="宋体" w:eastAsia="宋体"/>
                <w:b w:val="0"/>
                <w:i w:val="0"/>
                <w:sz w:val="18"/>
              </w:rPr>
              <w:t>新疆水文管理办法》开展技术服务，通过签订水文资料有偿服务合同份数至少5份，水文资料有偿服务合同执行率大于等于85%，依法开展水文服务取得一定的经营收入，开展单位组织能力建设及成本性支出弥补财政资金不足</w:t>
            </w:r>
            <w:r>
              <w:rPr>
                <w:rFonts w:hint="eastAsia" w:ascii="宋体" w:hAnsi="宋体"/>
                <w:b w:val="0"/>
                <w:i w:val="0"/>
                <w:sz w:val="18"/>
                <w:lang w:eastAsia="zh-CN"/>
              </w:rPr>
              <w:t>，以</w:t>
            </w:r>
            <w:r>
              <w:rPr>
                <w:rFonts w:ascii="宋体" w:hAnsi="宋体" w:eastAsia="宋体"/>
                <w:b w:val="0"/>
                <w:i w:val="0"/>
                <w:sz w:val="18"/>
              </w:rPr>
              <w:t>保障水文行业权益、促进业务发展为目标，力争实现水文服务成果供给更加丰富；
2.根据第三次新疆综合科学考察项目管理规定等，做好第三次新疆科考项目等相关工作。进行水文课题研究总成本小于等于190万元，计划申报课题数量10个。按照课题任务书时限内完成课题论文发表个数至少2份。着力解决制约新疆水文高质量发展的基础研究、关键性技术难题和科技成果推广应用等问题，提高水文科研创新能力和科技应用水平。</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4E63F">
            <w:pPr>
              <w:spacing w:before="0" w:after="0" w:line="240" w:lineRule="auto"/>
              <w:jc w:val="center"/>
            </w:pPr>
            <w:r>
              <w:rPr>
                <w:rFonts w:ascii="宋体" w:hAnsi="宋体" w:eastAsia="宋体"/>
                <w:b w:val="0"/>
                <w:i w:val="0"/>
                <w:sz w:val="18"/>
              </w:rPr>
              <w:t>签订水文资料有偿服务合同份数5份，水文资料有偿服务合同执行率85%</w:t>
            </w:r>
            <w:r>
              <w:rPr>
                <w:rFonts w:hint="eastAsia" w:ascii="宋体" w:hAnsi="宋体"/>
                <w:b w:val="0"/>
                <w:i w:val="0"/>
                <w:sz w:val="18"/>
                <w:lang w:eastAsia="zh-CN"/>
              </w:rPr>
              <w:t>，以</w:t>
            </w:r>
            <w:r>
              <w:rPr>
                <w:rFonts w:ascii="宋体" w:hAnsi="宋体" w:eastAsia="宋体"/>
                <w:b w:val="0"/>
                <w:i w:val="0"/>
                <w:sz w:val="18"/>
              </w:rPr>
              <w:t>保障水文行业权益、促进业务发展为目标； 2.根据第三次新疆综合科学考察项目管理规定等，做好第三次新疆科考项目等相关工作。进行水文课题研究总成本123.64万元，推进课题10个，其中：申报课题5个延续课题5个。按照课题任务书时限内完成课题论文发表个数2份。着力解决制约新疆水文高质量发展的基础研究、关键性技术难题和科技成果推广应用等问题，提高水文科研创新能力和科技应用水平。</w:t>
            </w:r>
          </w:p>
        </w:tc>
      </w:tr>
      <w:tr w14:paraId="48BFFE1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8C27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2B249">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8744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1C61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3D9C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D191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EBE8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8795B">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02E5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B2376">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35A1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435D3">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D9936">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62276">
            <w:pPr>
              <w:spacing w:before="0" w:after="0" w:line="240" w:lineRule="auto"/>
              <w:jc w:val="center"/>
            </w:pPr>
            <w:r>
              <w:rPr>
                <w:rFonts w:ascii="宋体" w:hAnsi="宋体" w:eastAsia="宋体"/>
                <w:b/>
                <w:i w:val="0"/>
                <w:sz w:val="18"/>
              </w:rPr>
              <w:t>偏差原因分析及改进措施</w:t>
            </w:r>
          </w:p>
        </w:tc>
      </w:tr>
      <w:tr w14:paraId="6B2F8C1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F8EB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5E9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7D9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6871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BE67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A587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C35A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BE0F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75D2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D5AC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F84C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C686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7F07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C22F0C"/>
        </w:tc>
      </w:tr>
      <w:tr w14:paraId="12B6242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E291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D74E5">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C99C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2AF88">
            <w:pPr>
              <w:spacing w:before="0" w:after="0" w:line="240" w:lineRule="auto"/>
              <w:jc w:val="center"/>
            </w:pPr>
            <w:r>
              <w:rPr>
                <w:rFonts w:ascii="宋体" w:hAnsi="宋体" w:eastAsia="宋体"/>
                <w:b w:val="0"/>
                <w:i w:val="0"/>
                <w:color w:val="000000"/>
                <w:sz w:val="18"/>
              </w:rPr>
              <w:t>水文课题项目申报个数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EA10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6CC0B">
            <w:pPr>
              <w:spacing w:before="0" w:after="0" w:line="240" w:lineRule="auto"/>
              <w:jc w:val="center"/>
            </w:pPr>
            <w:r>
              <w:rPr>
                <w:rFonts w:ascii="宋体" w:hAnsi="宋体" w:eastAsia="宋体"/>
                <w:b w:val="0"/>
                <w:i w:val="0"/>
                <w:sz w:val="18"/>
              </w:rPr>
              <w:t>&gt;=10个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25672">
            <w:pPr>
              <w:spacing w:before="0" w:after="0" w:line="240" w:lineRule="auto"/>
              <w:jc w:val="center"/>
            </w:pPr>
            <w:r>
              <w:rPr>
                <w:rFonts w:ascii="宋体" w:hAnsi="宋体" w:eastAsia="宋体"/>
                <w:b w:val="0"/>
                <w:i w:val="0"/>
                <w:sz w:val="18"/>
              </w:rPr>
              <w: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503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BCEA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E23A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4904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72E2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3465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5B3FA">
            <w:pPr>
              <w:spacing w:before="0" w:after="0" w:line="240" w:lineRule="auto"/>
              <w:jc w:val="center"/>
            </w:pPr>
            <w:r>
              <w:rPr>
                <w:rFonts w:ascii="宋体" w:hAnsi="宋体" w:eastAsia="宋体"/>
                <w:b w:val="0"/>
                <w:i w:val="0"/>
                <w:sz w:val="18"/>
              </w:rPr>
              <w:t>因水文课题多为两年期及以上，本年度按照计划开展课题工作，后续将加强与业务处室沟通严格绩效指标设置工作，确保绩效工作提质增效</w:t>
            </w:r>
          </w:p>
        </w:tc>
      </w:tr>
      <w:tr w14:paraId="0508A2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C313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88F9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D95F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2FCA0">
            <w:pPr>
              <w:spacing w:before="0" w:after="0" w:line="240" w:lineRule="auto"/>
              <w:jc w:val="center"/>
            </w:pPr>
            <w:r>
              <w:rPr>
                <w:rFonts w:ascii="宋体" w:hAnsi="宋体" w:eastAsia="宋体"/>
                <w:b w:val="0"/>
                <w:i w:val="0"/>
                <w:color w:val="000000"/>
                <w:sz w:val="18"/>
              </w:rPr>
              <w:t>水文课题论文发表份数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978A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F8F32">
            <w:pPr>
              <w:spacing w:before="0" w:after="0" w:line="240" w:lineRule="auto"/>
              <w:jc w:val="center"/>
            </w:pPr>
            <w:r>
              <w:rPr>
                <w:rFonts w:ascii="宋体" w:hAnsi="宋体" w:eastAsia="宋体"/>
                <w:b w:val="0"/>
                <w:i w:val="0"/>
                <w:sz w:val="18"/>
              </w:rPr>
              <w:t>&gt;=2份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BCE54">
            <w:pPr>
              <w:spacing w:before="0" w:after="0" w:line="240" w:lineRule="auto"/>
              <w:jc w:val="center"/>
            </w:pPr>
            <w:r>
              <w:rPr>
                <w:rFonts w:ascii="宋体" w:hAnsi="宋体" w:eastAsia="宋体"/>
                <w:b w:val="0"/>
                <w:i w:val="0"/>
                <w:sz w:val="18"/>
              </w:rPr>
              <w:t>=2份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3B4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1B44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3691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BEEF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B2B5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145B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2E952C">
            <w:pPr>
              <w:spacing w:before="0" w:after="0" w:line="240" w:lineRule="auto"/>
              <w:jc w:val="center"/>
            </w:pPr>
          </w:p>
        </w:tc>
      </w:tr>
      <w:tr w14:paraId="60B4C0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5DA4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7B8A3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86FE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C9468">
            <w:pPr>
              <w:spacing w:before="0" w:after="0" w:line="240" w:lineRule="auto"/>
              <w:jc w:val="center"/>
            </w:pPr>
            <w:r>
              <w:rPr>
                <w:rFonts w:ascii="宋体" w:hAnsi="宋体" w:eastAsia="宋体"/>
                <w:b w:val="0"/>
                <w:i w:val="0"/>
                <w:color w:val="000000"/>
                <w:sz w:val="18"/>
              </w:rPr>
              <w:t>签订水文资料有偿服务合同份数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3936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D8CF3">
            <w:pPr>
              <w:spacing w:before="0" w:after="0" w:line="240" w:lineRule="auto"/>
              <w:jc w:val="center"/>
            </w:pPr>
            <w:r>
              <w:rPr>
                <w:rFonts w:ascii="宋体" w:hAnsi="宋体" w:eastAsia="宋体"/>
                <w:b w:val="0"/>
                <w:i w:val="0"/>
                <w:sz w:val="18"/>
              </w:rPr>
              <w:t>&gt;=5份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D09A0">
            <w:pPr>
              <w:spacing w:before="0" w:after="0" w:line="240" w:lineRule="auto"/>
              <w:jc w:val="center"/>
            </w:pPr>
            <w:r>
              <w:rPr>
                <w:rFonts w:ascii="宋体" w:hAnsi="宋体" w:eastAsia="宋体"/>
                <w:b w:val="0"/>
                <w:i w:val="0"/>
                <w:sz w:val="18"/>
              </w:rPr>
              <w: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65C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284A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68BC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F15E6">
            <w:pPr>
              <w:spacing w:before="0" w:after="0" w:line="240" w:lineRule="auto"/>
              <w:jc w:val="center"/>
            </w:pPr>
            <w:r>
              <w:rPr>
                <w:rFonts w:ascii="宋体" w:hAnsi="宋体" w:eastAsia="宋体"/>
                <w:b w:val="0"/>
                <w:i w:val="0"/>
                <w:sz w:val="18"/>
              </w:rPr>
              <w: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7D2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9CCC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8920F">
            <w:pPr>
              <w:spacing w:before="0" w:after="0" w:line="240" w:lineRule="auto"/>
              <w:jc w:val="center"/>
            </w:pPr>
          </w:p>
        </w:tc>
      </w:tr>
      <w:tr w14:paraId="3DD150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A632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8C9D4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2292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FD2E0">
            <w:pPr>
              <w:spacing w:before="0" w:after="0" w:line="240" w:lineRule="auto"/>
              <w:jc w:val="center"/>
            </w:pPr>
            <w:r>
              <w:rPr>
                <w:rFonts w:ascii="宋体" w:hAnsi="宋体" w:eastAsia="宋体"/>
                <w:b w:val="0"/>
                <w:i w:val="0"/>
                <w:color w:val="000000"/>
                <w:sz w:val="18"/>
              </w:rPr>
              <w:t>水文课题成果合格率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3C66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0C5A6">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5D34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DE4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89BB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DCC5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29C6B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642F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8C33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2543A">
            <w:pPr>
              <w:spacing w:before="0" w:after="0" w:line="240" w:lineRule="auto"/>
              <w:jc w:val="center"/>
            </w:pPr>
          </w:p>
        </w:tc>
      </w:tr>
      <w:tr w14:paraId="17A3BB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7896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E346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A773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6C650">
            <w:pPr>
              <w:spacing w:before="0" w:after="0" w:line="240" w:lineRule="auto"/>
              <w:jc w:val="center"/>
            </w:pPr>
            <w:r>
              <w:rPr>
                <w:rFonts w:ascii="宋体" w:hAnsi="宋体" w:eastAsia="宋体"/>
                <w:b w:val="0"/>
                <w:i w:val="0"/>
                <w:color w:val="000000"/>
                <w:sz w:val="18"/>
              </w:rPr>
              <w:t>水文资料有偿服务合同执行率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980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2FE28">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EA744">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98D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D61E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681E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C778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7CD0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413D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9415D">
            <w:pPr>
              <w:spacing w:before="0" w:after="0" w:line="240" w:lineRule="auto"/>
              <w:jc w:val="center"/>
            </w:pPr>
          </w:p>
        </w:tc>
      </w:tr>
      <w:tr w14:paraId="17A997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7D57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FF2F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1287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15101">
            <w:pPr>
              <w:spacing w:before="0" w:after="0" w:line="240" w:lineRule="auto"/>
              <w:jc w:val="center"/>
            </w:pPr>
            <w:r>
              <w:rPr>
                <w:rFonts w:ascii="宋体" w:hAnsi="宋体" w:eastAsia="宋体"/>
                <w:b w:val="0"/>
                <w:i w:val="0"/>
                <w:color w:val="000000"/>
                <w:sz w:val="18"/>
              </w:rPr>
              <w:t>水文课题项目完成及时率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D526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88AF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E7FB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365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6C0D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DB7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7E3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43B4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AEEF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88934">
            <w:pPr>
              <w:spacing w:before="0" w:after="0" w:line="240" w:lineRule="auto"/>
              <w:jc w:val="center"/>
            </w:pPr>
          </w:p>
        </w:tc>
      </w:tr>
      <w:tr w14:paraId="721746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E977F1"/>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C108D">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3988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1E3E8">
            <w:pPr>
              <w:spacing w:before="0" w:after="0" w:line="240" w:lineRule="auto"/>
              <w:jc w:val="center"/>
            </w:pPr>
            <w:r>
              <w:rPr>
                <w:rFonts w:ascii="宋体" w:hAnsi="宋体" w:eastAsia="宋体"/>
                <w:b w:val="0"/>
                <w:i w:val="0"/>
                <w:color w:val="000000"/>
                <w:sz w:val="18"/>
              </w:rPr>
              <w:t>组织能力建设成本控制数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B074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9F096">
            <w:pPr>
              <w:spacing w:before="0" w:after="0" w:line="240" w:lineRule="auto"/>
              <w:jc w:val="center"/>
            </w:pPr>
            <w:r>
              <w:rPr>
                <w:rFonts w:ascii="宋体" w:hAnsi="宋体" w:eastAsia="宋体"/>
                <w:b w:val="0"/>
                <w:i w:val="0"/>
                <w:sz w:val="18"/>
              </w:rPr>
              <w:t>&lt;=239万元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7E745">
            <w:pPr>
              <w:spacing w:before="0" w:after="0" w:line="240" w:lineRule="auto"/>
              <w:jc w:val="center"/>
            </w:pPr>
            <w:r>
              <w:rPr>
                <w:rFonts w:ascii="宋体" w:hAnsi="宋体" w:eastAsia="宋体"/>
                <w:b w:val="0"/>
                <w:i w:val="0"/>
                <w:sz w:val="18"/>
              </w:rPr>
              <w:t>=239万元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3128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7FA0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4DC9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F36E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51DA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208F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E8FA3">
            <w:pPr>
              <w:spacing w:before="0" w:after="0" w:line="240" w:lineRule="auto"/>
              <w:jc w:val="center"/>
            </w:pPr>
          </w:p>
        </w:tc>
      </w:tr>
      <w:tr w14:paraId="66DBAF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212A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065B2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FC4D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A5A72">
            <w:pPr>
              <w:spacing w:before="0" w:after="0" w:line="240" w:lineRule="auto"/>
              <w:jc w:val="center"/>
            </w:pPr>
            <w:r>
              <w:rPr>
                <w:rFonts w:ascii="宋体" w:hAnsi="宋体" w:eastAsia="宋体"/>
                <w:b w:val="0"/>
                <w:i w:val="0"/>
                <w:color w:val="000000"/>
                <w:sz w:val="18"/>
              </w:rPr>
              <w:t>水文课题成本控制数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F2C9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A28BB">
            <w:pPr>
              <w:spacing w:before="0" w:after="0" w:line="240" w:lineRule="auto"/>
              <w:jc w:val="center"/>
            </w:pPr>
            <w:r>
              <w:rPr>
                <w:rFonts w:ascii="宋体" w:hAnsi="宋体" w:eastAsia="宋体"/>
                <w:b w:val="0"/>
                <w:i w:val="0"/>
                <w:sz w:val="18"/>
              </w:rPr>
              <w:t>&lt;=190万元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A197E">
            <w:pPr>
              <w:spacing w:before="0" w:after="0" w:line="240" w:lineRule="auto"/>
              <w:jc w:val="center"/>
            </w:pPr>
            <w:r>
              <w:rPr>
                <w:rFonts w:ascii="宋体" w:hAnsi="宋体" w:eastAsia="宋体"/>
                <w:b w:val="0"/>
                <w:i w:val="0"/>
                <w:sz w:val="18"/>
              </w:rPr>
              <w:t>=123.64万元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8F85E2">
            <w:pPr>
              <w:spacing w:before="0" w:after="0" w:line="240" w:lineRule="auto"/>
              <w:jc w:val="center"/>
            </w:pPr>
            <w:r>
              <w:rPr>
                <w:rFonts w:ascii="宋体" w:hAnsi="宋体" w:eastAsia="宋体"/>
                <w:b w:val="0"/>
                <w:i w:val="0"/>
                <w:sz w:val="18"/>
              </w:rPr>
              <w:t>65.07%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C8E84">
            <w:pPr>
              <w:spacing w:before="0" w:after="0" w:line="240" w:lineRule="auto"/>
              <w:jc w:val="center"/>
            </w:pPr>
            <w:r>
              <w:rPr>
                <w:rFonts w:ascii="宋体" w:hAnsi="宋体" w:eastAsia="宋体"/>
                <w:b w:val="0"/>
                <w:i w:val="0"/>
                <w:sz w:val="18"/>
              </w:rPr>
              <w:t>0.63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B1EC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7CFB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FEB2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916F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37C6D">
            <w:pPr>
              <w:spacing w:before="0" w:after="0" w:line="240" w:lineRule="auto"/>
              <w:jc w:val="center"/>
            </w:pPr>
            <w:r>
              <w:rPr>
                <w:rFonts w:ascii="宋体" w:hAnsi="宋体" w:eastAsia="宋体"/>
                <w:b w:val="0"/>
                <w:i w:val="0"/>
                <w:sz w:val="18"/>
              </w:rPr>
              <w:t>因水文课题多为两年期及以上，本年度按照计划开展</w:t>
            </w:r>
            <w:r>
              <w:rPr>
                <w:rFonts w:hint="eastAsia" w:ascii="宋体" w:hAnsi="宋体"/>
                <w:b w:val="0"/>
                <w:i w:val="0"/>
                <w:sz w:val="18"/>
                <w:lang w:eastAsia="zh-CN"/>
              </w:rPr>
              <w:t>，以</w:t>
            </w:r>
            <w:r>
              <w:rPr>
                <w:rFonts w:ascii="宋体" w:hAnsi="宋体" w:eastAsia="宋体"/>
                <w:b w:val="0"/>
                <w:i w:val="0"/>
                <w:sz w:val="18"/>
              </w:rPr>
              <w:t>后将继续强化预算管理确保预算管理更加精准。</w:t>
            </w:r>
          </w:p>
        </w:tc>
      </w:tr>
      <w:tr w14:paraId="1ED69A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DADE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AD439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1A21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3B4D4">
            <w:pPr>
              <w:spacing w:before="0" w:after="0" w:line="240" w:lineRule="auto"/>
              <w:jc w:val="center"/>
            </w:pPr>
            <w:r>
              <w:rPr>
                <w:rFonts w:ascii="宋体" w:hAnsi="宋体" w:eastAsia="宋体"/>
                <w:b w:val="0"/>
                <w:i w:val="0"/>
                <w:color w:val="000000"/>
                <w:sz w:val="18"/>
              </w:rPr>
              <w:t>成本性支出控制数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270D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9FE2E">
            <w:pPr>
              <w:spacing w:before="0" w:after="0" w:line="240" w:lineRule="auto"/>
              <w:jc w:val="center"/>
            </w:pPr>
            <w:r>
              <w:rPr>
                <w:rFonts w:ascii="宋体" w:hAnsi="宋体" w:eastAsia="宋体"/>
                <w:b w:val="0"/>
                <w:i w:val="0"/>
                <w:sz w:val="18"/>
              </w:rPr>
              <w:t>&lt;=127万元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13F2A">
            <w:pPr>
              <w:spacing w:before="0" w:after="0" w:line="240" w:lineRule="auto"/>
              <w:jc w:val="center"/>
            </w:pPr>
            <w:r>
              <w:rPr>
                <w:rFonts w:ascii="宋体" w:hAnsi="宋体" w:eastAsia="宋体"/>
                <w:b w:val="0"/>
                <w:i w:val="0"/>
                <w:sz w:val="18"/>
              </w:rPr>
              <w:t>=127万元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208A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0257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433A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E370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B4D1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6C85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576F8">
            <w:pPr>
              <w:spacing w:before="0" w:after="0" w:line="240" w:lineRule="auto"/>
              <w:jc w:val="center"/>
            </w:pPr>
            <w:r>
              <w:rPr>
                <w:rFonts w:ascii="宋体" w:hAnsi="宋体" w:eastAsia="宋体"/>
                <w:b w:val="0"/>
                <w:i w:val="0"/>
                <w:sz w:val="18"/>
              </w:rPr>
              <w:t>上述资金为使用以前年度经营结余资金，按照厉行节约管理本年度减少不必要开支</w:t>
            </w:r>
            <w:r>
              <w:rPr>
                <w:rFonts w:hint="eastAsia" w:ascii="宋体" w:hAnsi="宋体"/>
                <w:b w:val="0"/>
                <w:i w:val="0"/>
                <w:sz w:val="18"/>
                <w:lang w:eastAsia="zh-CN"/>
              </w:rPr>
              <w:t>，今</w:t>
            </w:r>
            <w:r>
              <w:rPr>
                <w:rFonts w:ascii="宋体" w:hAnsi="宋体" w:eastAsia="宋体"/>
                <w:b w:val="0"/>
                <w:i w:val="0"/>
                <w:sz w:val="18"/>
              </w:rPr>
              <w:t>后将继续强化预算管理确保预算管理更加精准。</w:t>
            </w:r>
          </w:p>
        </w:tc>
      </w:tr>
      <w:tr w14:paraId="3E9263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519C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1F23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EC80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401C2">
            <w:pPr>
              <w:spacing w:before="0" w:after="0" w:line="240" w:lineRule="auto"/>
              <w:jc w:val="center"/>
            </w:pPr>
            <w:r>
              <w:rPr>
                <w:rFonts w:ascii="宋体" w:hAnsi="宋体" w:eastAsia="宋体"/>
                <w:b w:val="0"/>
                <w:i w:val="0"/>
                <w:color w:val="000000"/>
                <w:sz w:val="18"/>
              </w:rPr>
              <w:t>水文科技创新能力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E0C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237CA">
            <w:pPr>
              <w:spacing w:before="0" w:after="0" w:line="240" w:lineRule="auto"/>
              <w:jc w:val="center"/>
            </w:pPr>
            <w:r>
              <w:rPr>
                <w:rFonts w:ascii="宋体" w:hAnsi="宋体" w:eastAsia="宋体"/>
                <w:b w:val="0"/>
                <w:i w:val="0"/>
                <w:sz w:val="18"/>
              </w:rPr>
              <w:t>有所提升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01142">
            <w:pPr>
              <w:spacing w:before="0" w:after="0" w:line="240" w:lineRule="auto"/>
              <w:jc w:val="center"/>
            </w:pPr>
            <w:r>
              <w:rPr>
                <w:rFonts w:ascii="宋体" w:hAnsi="宋体" w:eastAsia="宋体"/>
                <w:b w:val="0"/>
                <w:i w:val="0"/>
                <w:sz w:val="18"/>
              </w:rPr>
              <w:t>有所提升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2AD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DA8B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5098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BA49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D9B9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4A02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B0575">
            <w:pPr>
              <w:spacing w:before="0" w:after="0" w:line="240" w:lineRule="auto"/>
              <w:jc w:val="center"/>
            </w:pPr>
          </w:p>
        </w:tc>
      </w:tr>
      <w:tr w14:paraId="26C889D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678936">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1335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6E8B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D60F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D29F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9CD47">
            <w:pPr>
              <w:spacing w:before="0" w:after="0" w:line="240" w:lineRule="auto"/>
              <w:jc w:val="center"/>
            </w:pPr>
            <w:r>
              <w:rPr>
                <w:rFonts w:ascii="宋体" w:hAnsi="宋体" w:eastAsia="宋体"/>
                <w:b w:val="0"/>
                <w:i w:val="0"/>
                <w:color w:val="000000"/>
                <w:sz w:val="18"/>
              </w:rPr>
              <w:t>92.65分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674F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D72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1D21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700C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3AF13">
            <w:pPr>
              <w:spacing w:before="0" w:after="0" w:line="240" w:lineRule="auto"/>
              <w:jc w:val="center"/>
            </w:pPr>
          </w:p>
        </w:tc>
      </w:tr>
    </w:tbl>
    <w:p w14:paraId="440029AB">
      <w:r>
        <w:br w:type="page"/>
      </w:r>
    </w:p>
    <w:p w14:paraId="66BBD786">
      <w:pPr>
        <w:sectPr>
          <w:type w:val="continuous"/>
          <w:pgSz w:w="11906" w:h="16838"/>
          <w:pgMar w:top="1440" w:right="1800" w:bottom="1440" w:left="1800" w:header="851" w:footer="992" w:gutter="0"/>
          <w:cols w:space="720" w:num="1"/>
          <w:docGrid w:type="lines" w:linePitch="312" w:charSpace="0"/>
        </w:sectPr>
      </w:pPr>
    </w:p>
    <w:p w14:paraId="26126482">
      <w:pPr>
        <w:spacing w:line="640" w:lineRule="exact"/>
        <w:ind w:firstLine="640"/>
        <w:jc w:val="both"/>
        <w:outlineLvl w:val="2"/>
      </w:pPr>
      <w:r>
        <w:rPr>
          <w:rFonts w:ascii="黑体" w:hAnsi="黑体" w:eastAsia="黑体"/>
          <w:sz w:val="32"/>
        </w:rPr>
        <w:t>十二、其他需说明的事项</w:t>
      </w:r>
    </w:p>
    <w:p w14:paraId="69908A44">
      <w:pPr>
        <w:spacing w:line="580" w:lineRule="exact"/>
        <w:ind w:firstLine="640"/>
        <w:jc w:val="both"/>
      </w:pPr>
      <w:r>
        <w:rPr>
          <w:rFonts w:ascii="仿宋_GB2312" w:hAnsi="仿宋_GB2312" w:eastAsia="仿宋_GB2312"/>
          <w:b w:val="0"/>
          <w:sz w:val="32"/>
        </w:rPr>
        <w:t>本单位无其他需说明的事项。</w:t>
      </w:r>
    </w:p>
    <w:p w14:paraId="2A139C4F">
      <w:r>
        <w:br w:type="page"/>
      </w:r>
    </w:p>
    <w:p w14:paraId="68799875">
      <w:pPr>
        <w:spacing w:line="600" w:lineRule="exact"/>
        <w:jc w:val="center"/>
        <w:outlineLvl w:val="0"/>
      </w:pPr>
      <w:r>
        <w:rPr>
          <w:rFonts w:ascii="黑体" w:hAnsi="黑体" w:eastAsia="黑体"/>
          <w:sz w:val="32"/>
        </w:rPr>
        <w:t>第三部分 专业名词解释</w:t>
      </w:r>
    </w:p>
    <w:p w14:paraId="691A75F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86135D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61E38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F2F553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62A1E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E09D5DF">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FFA48B4">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504C74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94733F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C63969B">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013D54D">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9D95E43">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AFC355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09B0FA1">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728A1E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A0AD8E1">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8BA20B5">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1AAB32C">
      <w:r>
        <w:br w:type="page"/>
      </w:r>
    </w:p>
    <w:p w14:paraId="0C3A5F5A">
      <w:pPr>
        <w:spacing w:line="240" w:lineRule="auto"/>
        <w:jc w:val="center"/>
        <w:outlineLvl w:val="1"/>
      </w:pPr>
      <w:r>
        <w:rPr>
          <w:rFonts w:ascii="黑体" w:hAnsi="黑体" w:eastAsia="黑体"/>
          <w:sz w:val="32"/>
        </w:rPr>
        <w:t>第四部分 部门决算报表（见附表）</w:t>
      </w:r>
    </w:p>
    <w:p w14:paraId="28733014">
      <w:pPr>
        <w:autoSpaceDE w:val="0"/>
        <w:autoSpaceDN w:val="0"/>
        <w:spacing w:line="600" w:lineRule="exact"/>
        <w:ind w:firstLine="640" w:firstLineChars="200"/>
      </w:pPr>
      <w:r>
        <w:rPr>
          <w:rFonts w:ascii="仿宋_GB2312" w:hAnsi="仿宋_GB2312" w:eastAsia="仿宋_GB2312"/>
          <w:b w:val="0"/>
          <w:sz w:val="32"/>
        </w:rPr>
        <w:t>一、《收入支出决算总表》</w:t>
      </w:r>
    </w:p>
    <w:p w14:paraId="03EF2B8B">
      <w:pPr>
        <w:autoSpaceDE w:val="0"/>
        <w:autoSpaceDN w:val="0"/>
        <w:spacing w:line="600" w:lineRule="exact"/>
        <w:ind w:firstLine="640" w:firstLineChars="200"/>
      </w:pPr>
      <w:r>
        <w:rPr>
          <w:rFonts w:ascii="仿宋_GB2312" w:hAnsi="仿宋_GB2312" w:eastAsia="仿宋_GB2312"/>
          <w:b w:val="0"/>
          <w:sz w:val="32"/>
        </w:rPr>
        <w:t>二、《收入决算表》</w:t>
      </w:r>
    </w:p>
    <w:p w14:paraId="09725FB0">
      <w:pPr>
        <w:autoSpaceDE w:val="0"/>
        <w:autoSpaceDN w:val="0"/>
        <w:spacing w:line="600" w:lineRule="exact"/>
        <w:ind w:firstLine="640" w:firstLineChars="200"/>
      </w:pPr>
      <w:r>
        <w:rPr>
          <w:rFonts w:ascii="仿宋_GB2312" w:hAnsi="仿宋_GB2312" w:eastAsia="仿宋_GB2312"/>
          <w:b w:val="0"/>
          <w:sz w:val="32"/>
        </w:rPr>
        <w:t>三、《支出决算表》</w:t>
      </w:r>
    </w:p>
    <w:p w14:paraId="15C7051D">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2C3D162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0F135F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3A0A222">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9A38BD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FD688A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4603DCA">
      <w:pPr>
        <w:autoSpaceDE w:val="0"/>
        <w:autoSpaceDN w:val="0"/>
        <w:spacing w:line="600" w:lineRule="exact"/>
        <w:ind w:firstLine="640" w:firstLineChars="200"/>
      </w:pPr>
    </w:p>
    <w:p w14:paraId="73D5A035">
      <w:pPr>
        <w:autoSpaceDE w:val="0"/>
        <w:autoSpaceDN w:val="0"/>
        <w:spacing w:line="600" w:lineRule="exact"/>
        <w:ind w:firstLine="640" w:firstLineChars="200"/>
      </w:pPr>
    </w:p>
    <w:p w14:paraId="28811CB3">
      <w:pPr>
        <w:autoSpaceDE w:val="0"/>
        <w:autoSpaceDN w:val="0"/>
        <w:spacing w:line="600" w:lineRule="exact"/>
        <w:ind w:firstLine="640" w:firstLineChars="200"/>
      </w:pPr>
    </w:p>
    <w:p w14:paraId="0D560873">
      <w:pPr>
        <w:autoSpaceDE w:val="0"/>
        <w:autoSpaceDN w:val="0"/>
        <w:spacing w:line="600" w:lineRule="exact"/>
        <w:ind w:firstLine="640" w:firstLineChars="200"/>
      </w:pPr>
    </w:p>
    <w:p w14:paraId="7A66904E">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8AFA89-21A9-443A-AC8D-07C37C5AEE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E81E961-5970-44B4-B9B5-F48CE7B224DC}"/>
  </w:font>
  <w:font w:name="仿宋_GB2312">
    <w:altName w:val="微软雅黑"/>
    <w:panose1 w:val="02010609030101010101"/>
    <w:charset w:val="86"/>
    <w:family w:val="modern"/>
    <w:pitch w:val="default"/>
    <w:sig w:usb0="00000001" w:usb1="080E0000" w:usb2="00000000" w:usb3="00000000" w:csb0="00040000" w:csb1="00000000"/>
    <w:embedRegular r:id="rId3" w:fontKey="{07D62F5A-DC75-4CE6-A999-BAADFED58D74}"/>
  </w:font>
  <w:font w:name="楷体_GB2312">
    <w:altName w:val="楷体"/>
    <w:panose1 w:val="00000000000000000000"/>
    <w:charset w:val="00"/>
    <w:family w:val="auto"/>
    <w:pitch w:val="default"/>
    <w:sig w:usb0="00000000" w:usb1="00000000" w:usb2="00000000" w:usb3="00000000" w:csb0="00000000" w:csb1="00000000"/>
    <w:embedRegular r:id="rId4" w:fontKey="{5DCDD09D-EB70-48B2-9FBC-E82614C4F6D8}"/>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5F64E85"/>
    <w:rsid w:val="181A30AD"/>
    <w:rsid w:val="1875698D"/>
    <w:rsid w:val="19071D6C"/>
    <w:rsid w:val="1BFE2CE6"/>
    <w:rsid w:val="1C317E4F"/>
    <w:rsid w:val="1C472464"/>
    <w:rsid w:val="1D1327C1"/>
    <w:rsid w:val="1DAF458D"/>
    <w:rsid w:val="1E086ACE"/>
    <w:rsid w:val="1EAA4A5F"/>
    <w:rsid w:val="1F040613"/>
    <w:rsid w:val="1F587A0B"/>
    <w:rsid w:val="1FE96E5D"/>
    <w:rsid w:val="2064678E"/>
    <w:rsid w:val="20DD6197"/>
    <w:rsid w:val="21F317F2"/>
    <w:rsid w:val="2241392C"/>
    <w:rsid w:val="23BC04D2"/>
    <w:rsid w:val="25275618"/>
    <w:rsid w:val="26C952C3"/>
    <w:rsid w:val="27CF2642"/>
    <w:rsid w:val="282459E2"/>
    <w:rsid w:val="2A053397"/>
    <w:rsid w:val="2A444FB1"/>
    <w:rsid w:val="2A6064E2"/>
    <w:rsid w:val="2BA9200B"/>
    <w:rsid w:val="2D1136DF"/>
    <w:rsid w:val="2DAE0E44"/>
    <w:rsid w:val="2EB07E70"/>
    <w:rsid w:val="2F9E416C"/>
    <w:rsid w:val="2FD27414"/>
    <w:rsid w:val="30BC6FA0"/>
    <w:rsid w:val="313F1D52"/>
    <w:rsid w:val="318029AB"/>
    <w:rsid w:val="319D6C1C"/>
    <w:rsid w:val="31C63837"/>
    <w:rsid w:val="326F0A17"/>
    <w:rsid w:val="34623382"/>
    <w:rsid w:val="390019F4"/>
    <w:rsid w:val="3914510A"/>
    <w:rsid w:val="3B1220C9"/>
    <w:rsid w:val="3D5275AC"/>
    <w:rsid w:val="3D55093B"/>
    <w:rsid w:val="3EA7725F"/>
    <w:rsid w:val="40834692"/>
    <w:rsid w:val="4171793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72C012C"/>
    <w:rsid w:val="583059FA"/>
    <w:rsid w:val="587E6212"/>
    <w:rsid w:val="58D10A34"/>
    <w:rsid w:val="59973ABF"/>
    <w:rsid w:val="5A74678C"/>
    <w:rsid w:val="5AFC6609"/>
    <w:rsid w:val="5C3B09A8"/>
    <w:rsid w:val="5FA17648"/>
    <w:rsid w:val="613409CB"/>
    <w:rsid w:val="61842912"/>
    <w:rsid w:val="61A46A97"/>
    <w:rsid w:val="62DD7D21"/>
    <w:rsid w:val="65D97752"/>
    <w:rsid w:val="664C500C"/>
    <w:rsid w:val="66C11F13"/>
    <w:rsid w:val="670267B3"/>
    <w:rsid w:val="6773145F"/>
    <w:rsid w:val="68DB0208"/>
    <w:rsid w:val="69846A0E"/>
    <w:rsid w:val="69AD798C"/>
    <w:rsid w:val="6B68175F"/>
    <w:rsid w:val="6B8B5C99"/>
    <w:rsid w:val="6BEE37AA"/>
    <w:rsid w:val="6E0F7A08"/>
    <w:rsid w:val="6E6C6C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cb244b17-7474-4926-87c5-7b322e95a09e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79BC3245</paraID>
      <start>0</start>
      <end>2</end>
      <status>unmodified</status>
      <modifiedWord/>
      <trackRevisions>false</trackRevisions>
    </reviewItem>
    <reviewItem>
      <errorID>e173d630-6891-4682-9cfc-b900eed41e07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3AB78B5E</paraID>
      <start>0</start>
      <end>2</end>
      <status>unmodified</status>
      <modifiedWord/>
      <trackRevisions>false</trackRevisions>
    </reviewItem>
    <reviewItem>
      <errorID>2d7c3462-d106-4a48-b94f-b96efe4c9287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4D938C35</paraID>
      <start>0</start>
      <end>2</end>
      <status>unmodified</status>
      <modifiedWord/>
      <trackRevisions>false</trackRevisions>
    </reviewItem>
    <reviewItem>
      <errorID>1b7dc14d-15b9-4525-84e1-6a88877710a8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163F9D38</paraID>
      <start>0</start>
      <end>2</end>
      <status>unmodified</status>
      <modifiedWord/>
      <trackRevisions>false</trackRevisions>
    </reviewItem>
    <reviewItem>
      <errorID>62f0ec00-ca38-422c-844a-1333524eb390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768470F1</paraID>
      <start>0</start>
      <end>2</end>
      <status>unmodified</status>
      <modifiedWord/>
      <trackRevisions>false</trackRevisions>
    </reviewItem>
    <reviewItem>
      <errorID>a1c674fa-4c8d-433d-aa0a-e0d4b4bea331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43541115</paraID>
      <start>0</start>
      <end>2</end>
      <status>unmodified</status>
      <modifiedWord/>
      <trackRevisions>false</trackRevisions>
    </reviewItem>
    <reviewItem>
      <errorID>b9b513e2-2ec2-4c36-9187-43738bb35f2d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55EB74D9</paraID>
      <start>0</start>
      <end>2</end>
      <status>unmodified</status>
      <modifiedWord/>
      <trackRevisions>false</trackRevisions>
    </reviewItem>
    <reviewItem>
      <errorID>e016dcc7-7e59-4b6b-b245-1c72675c0131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49BF3D9</paraID>
      <start>0</start>
      <end>2</end>
      <status>unmodified</status>
      <modifiedWord/>
      <trackRevisions>false</trackRevisions>
    </reviewItem>
    <reviewItem>
      <errorID>dba8fcc0-259e-472e-bf03-5dc02272e954</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EFFE7A2</paraID>
      <start>0</start>
      <end>2</end>
      <status>unmodified</status>
      <modifiedWord/>
      <trackRevisions>false</trackRevisions>
    </reviewItem>
    <reviewItem>
      <errorID>5772c443-aaea-463e-8c0d-de1c2da5fe3e</errorID>
      <errorWord>。。</errorWord>
      <group>L1_Punc</group>
      <groupName>标点问题</groupName>
      <ability>L2_Punc_CN</ability>
      <abilityName>标点符号问题</abilityName>
      <candidateList>
        <item>。</item>
      </candidateList>
      <explain/>
      <paraID>685259A5</paraID>
      <start>278</start>
      <end>280</end>
      <status>unmodified</status>
      <modifiedWord/>
      <trackRevisions>false</trackRevisions>
    </reviewItem>
    <reviewItem>
      <errorID>671d6d61-868f-4e79-b7d9-913b55024056</errorID>
      <errorWord>八项规定</errorWord>
      <group>L1_Other</group>
      <groupName>其他问题</groupName>
      <ability>L2_UserTypo</ability>
      <abilityName>自定义错误</abilityName>
      <candidateList>
        <item>中央八项规定</item>
      </candidateList>
      <explain>来自自定义错词库。</explain>
      <paraID>7DAC5ADA</paraID>
      <start>59</start>
      <end>63</end>
      <status>unmodified</status>
      <modifiedWord/>
      <trackRevisions>false</trackRevisions>
    </reviewItem>
    <reviewItem>
      <errorID>e294c264-5acd-40c1-84e7-d2a01b94a1e9</errorID>
      <errorWord>八项规定</errorWord>
      <group>L1_Other</group>
      <groupName>其他问题</groupName>
      <ability>L2_UserTypo</ability>
      <abilityName>自定义错误</abilityName>
      <candidateList>
        <item>中央八项规定</item>
      </candidateList>
      <explain>来自自定义错词库。</explain>
      <paraID>7DAC5ADA</paraID>
      <start>225</start>
      <end>229</end>
      <status>unmodified</status>
      <modifiedWord/>
      <trackRevisions>false</trackRevisions>
    </reviewItem>
    <reviewItem>
      <errorID>4b94df82-1728-4cdc-abb0-d1cee91404c2</errorID>
      <errorWord>是</errorWord>
      <group>L1_Word</group>
      <groupName>字词问题</groupName>
      <ability>L2_Typo</ability>
      <abilityName>字词错误</abilityName>
      <candidateList>
        <item>是要</item>
      </candidateList>
      <explain/>
      <paraID>5E5D3CFB</paraID>
      <start>331</start>
      <end>333</end>
      <status>modified</status>
      <modifiedWord>是要</modifiedWord>
      <trackRevisions>false</trackRevisions>
    </reviewItem>
    <reviewItem>
      <errorID>331c8eed-e9bc-413a-8ea4-850c172ca517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4AF29CD8</paraID>
      <start>0</start>
      <end>2</end>
      <status>unmodified</status>
      <modifiedWord/>
      <trackRevisions>false</trackRevisions>
    </reviewItem>
    <reviewItem>
      <errorID>09609494-025a-4d6d-9de3-a8c8f68e7310</errorID>
      <errorWord>讯</errorWord>
      <group>L1_Word</group>
      <groupName>字词问题</groupName>
      <ability>L2_Typo</ability>
      <abilityName>字词错误</abilityName>
      <candidateList>
        <item>汛</item>
      </candidateList>
      <explain/>
      <paraID>4AF29CD8</paraID>
      <start>46</start>
      <end>47</end>
      <status>modified</status>
      <modifiedWord>汛</modifiedWord>
      <trackRevisions>false</trackRevisions>
    </reviewItem>
    <reviewItem>
      <errorID>115828de-56fb-4ac1-b5ff-5c5204b2682e</errorID>
      <errorWord>保安</errorWord>
      <group>L1_Other</group>
      <groupName>其他问题</groupName>
      <ability>L2_UserTypo</ability>
      <abilityName>自定义错误</abilityName>
      <candidateList>
        <item>安保</item>
      </candidateList>
      <explain>来自自定义错词库。</explain>
      <paraID>4AF29CD8</paraID>
      <start>53</start>
      <end>55</end>
      <status>unmodified</status>
      <modifiedWord/>
      <trackRevisions>false</trackRevisions>
    </reviewItem>
    <reviewItem>
      <errorID>e0d89984-1413-4ad0-a7a5-d3f9ab1638e9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4AF29CD8</paraID>
      <start>62</start>
      <end>64</end>
      <status>unmodified</status>
      <modifiedWord/>
      <trackRevisions>false</trackRevisions>
    </reviewItem>
    <reviewItem>
      <errorID>299ef0be-b578-4864-a3a5-ee7d0ee31955</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4AF29CD8</paraID>
      <start>98</start>
      <end>99</end>
      <status>unmodified</status>
      <modifiedWord/>
      <trackRevisions>false</trackRevisions>
    </reviewItem>
    <reviewItem>
      <errorID>25dceaaf-d900-423d-86b5-02d65d377f1b</errorID>
      <errorWord>[2019]220号</errorWord>
      <group>L1_Knowledge</group>
      <groupName>知识性问题</groupName>
      <ability>L2_Knowledge</ability>
      <abilityName>其他知识</abilityName>
      <candidateList>
        <item>〔2019〕220号</item>
      </candidateList>
      <explain>发文字号格式错误。</explain>
      <paraID>4AF29CD8</paraID>
      <start>103</start>
      <end>113</end>
      <status>modified</status>
      <modifiedWord>〔2019〕220号</modifiedWord>
      <trackRevisions>false</trackRevisions>
    </reviewItem>
    <reviewItem>
      <errorID>05bc39e1-29f8-472c-8e92-f5a93747d3b7</errorID>
      <errorWord>信导</errorWord>
      <group>L1_Word</group>
      <groupName>字词问题</groupName>
      <ability>L2_Typo</ability>
      <abilityName>字词错误</abilityName>
      <candidateList>
        <item>信道</item>
      </candidateList>
      <explain>存在发音相同字词的误用。</explain>
      <paraID>4AF29CD8</paraID>
      <start>185</start>
      <end>187</end>
      <status>unmodified</status>
      <modifiedWord/>
      <trackRevisions>false</trackRevisions>
    </reviewItem>
    <reviewItem>
      <errorID>d0304128-306e-4525-a9be-76b818a4d3be</errorID>
      <errorWord>数据</errorWord>
      <group>L1_Word</group>
      <groupName>字词问题</groupName>
      <ability>L2_Typo</ability>
      <abilityName>字词错误</abilityName>
      <candidateList>
        <item>据</item>
      </candidateList>
      <explain/>
      <paraID>4AF29CD8</paraID>
      <start>192</start>
      <end>193</end>
      <status>modified</status>
      <modifiedWord>据</modifiedWord>
      <trackRevisions>false</trackRevisions>
    </reviewItem>
    <reviewItem>
      <errorID>ddb512d6-c79c-4ab0-9727-5bcb7b204427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4AF29CD8</paraID>
      <start>197</start>
      <end>199</end>
      <status>unmodified</status>
      <modifiedWord/>
      <trackRevisions>false</trackRevisions>
    </reviewItem>
    <reviewItem>
      <errorID>103061e4-3e3c-4fba-ab76-6863b53e7f1a</errorID>
      <errorWord>[2017]206号</errorWord>
      <group>L1_Knowledge</group>
      <groupName>知识性问题</groupName>
      <ability>L2_Knowledge</ability>
      <abilityName>其他知识</abilityName>
      <candidateList>
        <item>〔2017〕206号</item>
      </candidateList>
      <explain>发文字号格式错误。</explain>
      <paraID>4AF29CD8</paraID>
      <start>221</start>
      <end>231</end>
      <status>modified</status>
      <modifiedWord>〔2017〕206号</modifiedWord>
      <trackRevisions>false</trackRevisions>
    </reviewItem>
    <reviewItem>
      <errorID>0e29810e-cfeb-4dd4-a4b1-efd969d994d0</errorID>
      <errorWord>查</errorWord>
      <group>L1_Word</group>
      <groupName>字词问题</groupName>
      <ability>L2_Typo</ability>
      <abilityName>字词错误</abilityName>
      <candidateList>
        <item>查开</item>
      </candidateList>
      <explain/>
      <paraID>5D167DB7</paraID>
      <start>69</start>
      <end>71</end>
      <status>modified</status>
      <modifiedWord>查开</modifiedWord>
      <trackRevisions>false</trackRevisions>
    </reviewItem>
    <reviewItem>
      <errorID>156e534c-05fc-417f-8d47-2ff7108f59bc</errorID>
      <errorWord>市因为</errorWord>
      <group>L1_Word</group>
      <groupName>字词问题</groupName>
      <ability>L2_Typo</ability>
      <abilityName>字词错误</abilityName>
      <candidateList>
        <item>是因为</item>
      </candidateList>
      <explain/>
      <paraID>7BBBF923</paraID>
      <start>24</start>
      <end>27</end>
      <status>modified</status>
      <modifiedWord>是因为</modifiedWord>
      <trackRevisions>false</trackRevisions>
    </reviewItem>
    <reviewItem>
      <errorID>50fd90eb-6f9c-42e4-81b6-0458eada27e6</errorID>
      <errorWord>水文条例</errorWord>
      <group>L1_Knowledge</group>
      <groupName>知识性问题</groupName>
      <ability>L2_Knowledge</ability>
      <abilityName>其他知识</abilityName>
      <candidateList>
        <item>中华人民共和国水文条例</item>
      </candidateList>
      <explain>当前法律法规名称使用简称，请注意是否应当使用全称。</explain>
      <paraID>17ECD457</paraID>
      <start>42</start>
      <end>53</end>
      <status>modified</status>
      <modifiedWord>中华人民共和国水文条例</modifiedWord>
      <trackRevisions>false</trackRevisions>
    </reviewItem>
    <reviewItem>
      <errorID>2fe2c40b-28cd-4e98-959a-c81d06f2145f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17ECD457</paraID>
      <start>53</start>
      <end>55</end>
      <status>modified</status>
      <modifiedWord>》《</modifiedWord>
      <trackRevisions>false</trackRevisions>
    </reviewItem>
    <reviewItem>
      <errorID>d272dc39-2c52-47d8-b784-2aaadb4f16bb</errorID>
      <errorWord>，</errorWord>
      <group>L1_Word</group>
      <groupName>字词问题</groupName>
      <ability>L2_Typo</ability>
      <abilityName>字词错误</abilityName>
      <candidateList>
        <item>，以</item>
      </candidateList>
      <explain/>
      <paraID>17ECD457</paraID>
      <start>155</start>
      <end>157</end>
      <status>modified</status>
      <modifiedWord>，以</modifiedWord>
      <trackRevisions>false</trackRevisions>
    </reviewItem>
    <reviewItem>
      <errorID>aebda126-2c5a-4e97-b6a6-aef93d4c4f5b</errorID>
      <errorWord>份</errorWord>
      <group>L1_Knowledge</group>
      <groupName>知识性问题</groupName>
      <ability>L2_Knowledge</ability>
      <abilityName>其他知识</abilityName>
      <candidateList>
        <item>篇</item>
      </candidateList>
      <explain>请检查“份”是否为量词使用错误，建议修改为“篇”。</explain>
      <paraID>17ECD457</paraID>
      <start>290</start>
      <end>291</end>
      <status>unmodified</status>
      <modifiedWord/>
      <trackRevisions>false</trackRevisions>
    </reviewItem>
    <reviewItem>
      <errorID>cf273709-7e5b-4b8d-adfc-af2c1a0b0ced</errorID>
      <errorWord>，</errorWord>
      <group>L1_Word</group>
      <groupName>字词问题</groupName>
      <ability>L2_Typo</ability>
      <abilityName>字词错误</abilityName>
      <candidateList>
        <item>，以</item>
      </candidateList>
      <explain/>
      <paraID>4F74E63F</paraID>
      <start>33</start>
      <end>35</end>
      <status>modified</status>
      <modifiedWord>，以</modifiedWord>
      <trackRevisions>false</trackRevisions>
    </reviewItem>
    <reviewItem>
      <errorID>d33a7929-3ab9-4b3a-bc3c-123365844daa</errorID>
      <errorWord>，</errorWord>
      <group>L1_Word</group>
      <groupName>字词问题</groupName>
      <ability>L2_Typo</ability>
      <abilityName>字词错误</abilityName>
      <candidateList>
        <item>，以</item>
      </candidateList>
      <explain/>
      <paraID>59837C6D</paraID>
      <start>23</start>
      <end>25</end>
      <status>modified</status>
      <modifiedWord>，以</modifiedWord>
      <trackRevisions>false</trackRevisions>
    </reviewItem>
    <reviewItem>
      <errorID>71ecec47-8451-435e-a69b-345e7311a76f</errorID>
      <errorWord>，</errorWord>
      <group>L1_Word</group>
      <groupName>字词问题</groupName>
      <ability>L2_Typo</ability>
      <abilityName>字词错误</abilityName>
      <candidateList>
        <item>，今</item>
      </candidateList>
      <explain/>
      <paraID>4AF576F8</paraID>
      <start>36</start>
      <end>38</end>
      <status>modified</status>
      <modifiedWord>，今</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aced9974-2a4c-447e-9eda-0759706fc113}">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588</Words>
  <Characters>591</Characters>
  <Lines>10</Lines>
  <Paragraphs>2</Paragraphs>
  <TotalTime>8</TotalTime>
  <ScaleCrop>false</ScaleCrop>
  <LinksUpToDate>false</LinksUpToDate>
  <CharactersWithSpaces>598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2026-08-28T10:13:17Z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