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新疆维吾尔自治区水文技术情报中心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595EEF6D">
      <w:r>
        <w:br w:type="page"/>
      </w:r>
    </w:p>
    <w:p w14:paraId="0EFDCE3F">
      <w:pPr>
        <w:spacing w:line="640" w:lineRule="exact"/>
        <w:jc w:val="center"/>
        <w:outlineLvl w:val="1"/>
      </w:pPr>
      <w:r>
        <w:rPr>
          <w:rFonts w:ascii="黑体" w:hAnsi="黑体" w:eastAsia="黑体"/>
          <w:sz w:val="32"/>
        </w:rPr>
        <w:t>第一部分 单位概况</w:t>
      </w:r>
    </w:p>
    <w:p w14:paraId="4381AFB0">
      <w:pPr>
        <w:spacing w:line="640" w:lineRule="exact"/>
        <w:ind w:firstLine="640"/>
        <w:jc w:val="both"/>
        <w:outlineLvl w:val="2"/>
      </w:pPr>
      <w:r>
        <w:rPr>
          <w:rFonts w:ascii="黑体" w:hAnsi="黑体" w:eastAsia="黑体"/>
          <w:sz w:val="32"/>
        </w:rPr>
        <w:t>一、主要职能</w:t>
      </w:r>
    </w:p>
    <w:p w14:paraId="6B1DD05A">
      <w:pPr>
        <w:spacing w:line="580" w:lineRule="exact"/>
        <w:ind w:firstLine="640"/>
        <w:jc w:val="both"/>
      </w:pPr>
      <w:r>
        <w:rPr>
          <w:rFonts w:ascii="仿宋_GB2312" w:hAnsi="仿宋_GB2312" w:eastAsia="仿宋_GB2312"/>
          <w:sz w:val="32"/>
        </w:rPr>
        <w:t>水文技术情报中心主要承担全区水文情报的收集、汇总、分析和交换共享，通过项目实施，保障信息系统不间断运行，提高运维工作的及时性和有效性，增强系统安全防御能力，确保网络信息安全，支撑水文业务管理。</w:t>
      </w:r>
    </w:p>
    <w:p w14:paraId="47A3036D">
      <w:pPr>
        <w:spacing w:line="640" w:lineRule="exact"/>
        <w:ind w:firstLine="640"/>
        <w:jc w:val="both"/>
        <w:outlineLvl w:val="2"/>
      </w:pPr>
      <w:r>
        <w:rPr>
          <w:rFonts w:ascii="黑体" w:hAnsi="黑体" w:eastAsia="黑体"/>
          <w:sz w:val="32"/>
        </w:rPr>
        <w:t>二、机构设置</w:t>
      </w:r>
    </w:p>
    <w:p w14:paraId="724F7771">
      <w:pPr>
        <w:spacing w:line="580" w:lineRule="exact"/>
        <w:ind w:firstLine="640"/>
        <w:jc w:val="both"/>
      </w:pPr>
      <w:r>
        <w:rPr>
          <w:rFonts w:ascii="仿宋_GB2312" w:hAnsi="仿宋_GB2312" w:eastAsia="仿宋_GB2312"/>
          <w:sz w:val="32"/>
        </w:rPr>
        <w:t>新疆维吾尔自治区水文技术情报中心无下属预算单位。</w:t>
      </w:r>
    </w:p>
    <w:p w14:paraId="4BCB9FD7">
      <w:r>
        <w:br w:type="page"/>
      </w:r>
    </w:p>
    <w:p w14:paraId="3561A54B">
      <w:pPr>
        <w:spacing w:line="240" w:lineRule="auto"/>
        <w:jc w:val="center"/>
        <w:outlineLvl w:val="1"/>
      </w:pPr>
      <w:r>
        <w:rPr>
          <w:rFonts w:ascii="黑体" w:hAnsi="黑体" w:eastAsia="黑体"/>
          <w:sz w:val="32"/>
        </w:rPr>
        <w:t>第二部分 部门决算情况说明</w:t>
      </w:r>
    </w:p>
    <w:p w14:paraId="3DD0E160">
      <w:pPr>
        <w:spacing w:line="640" w:lineRule="exact"/>
        <w:ind w:firstLine="640"/>
        <w:jc w:val="both"/>
        <w:outlineLvl w:val="2"/>
      </w:pPr>
      <w:r>
        <w:rPr>
          <w:rFonts w:ascii="黑体" w:hAnsi="黑体" w:eastAsia="黑体"/>
          <w:sz w:val="32"/>
        </w:rPr>
        <w:t>一、收入支出决算总体情况说明</w:t>
      </w:r>
    </w:p>
    <w:p w14:paraId="5774423C">
      <w:pPr>
        <w:spacing w:line="580" w:lineRule="exact"/>
        <w:ind w:firstLine="640"/>
        <w:jc w:val="both"/>
      </w:pPr>
      <w:r>
        <w:rPr>
          <w:rFonts w:ascii="仿宋_GB2312" w:hAnsi="仿宋_GB2312" w:eastAsia="仿宋_GB2312"/>
          <w:b/>
          <w:sz w:val="32"/>
        </w:rPr>
        <w:t>2025年度收入总计288.60万元，</w:t>
      </w:r>
      <w:r>
        <w:rPr>
          <w:rFonts w:ascii="仿宋_GB2312" w:hAnsi="仿宋_GB2312" w:eastAsia="仿宋_GB2312"/>
          <w:b w:val="0"/>
          <w:sz w:val="32"/>
        </w:rPr>
        <w:t>其中：本年收入合计265.82万元，使用非财政拨款结余（含专用结余）0.00万元，年初结转和结余22.78万元。</w:t>
      </w:r>
    </w:p>
    <w:p w14:paraId="124F98FD">
      <w:pPr>
        <w:spacing w:line="580" w:lineRule="exact"/>
        <w:ind w:firstLine="640"/>
        <w:jc w:val="both"/>
      </w:pPr>
      <w:r>
        <w:rPr>
          <w:rFonts w:ascii="仿宋_GB2312" w:hAnsi="仿宋_GB2312" w:eastAsia="仿宋_GB2312"/>
          <w:b/>
          <w:sz w:val="32"/>
        </w:rPr>
        <w:t>2025年度支出总计288.60万元，</w:t>
      </w:r>
      <w:r>
        <w:rPr>
          <w:rFonts w:ascii="仿宋_GB2312" w:hAnsi="仿宋_GB2312" w:eastAsia="仿宋_GB2312"/>
          <w:b w:val="0"/>
          <w:sz w:val="32"/>
        </w:rPr>
        <w:t>其中：本年支出合计269.19万元，结余分配0.00万元，年末结转和结余19.41万元。</w:t>
      </w:r>
    </w:p>
    <w:p w14:paraId="149516EC">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增加35.22万元，增长13.90%，主要原因是：本年在职人员增加，在职人员工资调增、社保、公积金基数调增，人员经费增加。</w:t>
      </w:r>
    </w:p>
    <w:p w14:paraId="201FCB1F">
      <w:pPr>
        <w:spacing w:line="640" w:lineRule="exact"/>
        <w:ind w:firstLine="640"/>
        <w:jc w:val="both"/>
        <w:outlineLvl w:val="2"/>
      </w:pPr>
      <w:r>
        <w:rPr>
          <w:rFonts w:ascii="黑体" w:hAnsi="黑体" w:eastAsia="黑体"/>
          <w:sz w:val="32"/>
        </w:rPr>
        <w:t>二、收入决算情况说明</w:t>
      </w:r>
    </w:p>
    <w:p w14:paraId="45D7E6A1">
      <w:pPr>
        <w:spacing w:line="580" w:lineRule="exact"/>
        <w:ind w:firstLine="640"/>
        <w:jc w:val="both"/>
      </w:pPr>
      <w:r>
        <w:rPr>
          <w:rFonts w:ascii="仿宋_GB2312" w:hAnsi="仿宋_GB2312" w:eastAsia="仿宋_GB2312"/>
          <w:b/>
          <w:sz w:val="32"/>
        </w:rPr>
        <w:t>本年收入265.82万元，</w:t>
      </w:r>
      <w:r>
        <w:rPr>
          <w:rFonts w:ascii="仿宋_GB2312" w:hAnsi="仿宋_GB2312" w:eastAsia="仿宋_GB2312"/>
          <w:b w:val="0"/>
          <w:sz w:val="32"/>
        </w:rPr>
        <w:t>其中：财政拨款收入265.77万元，占99.98%；上级补助收入0.00万元，占0.00%；事业收入0.00万元，占0.00%；经营收入0.00万元，占0.00%；附属单位上缴收入0.00万元，占0.00%；其他收入0.05万元，占0.02%。</w:t>
      </w:r>
    </w:p>
    <w:p w14:paraId="203482C5">
      <w:pPr>
        <w:spacing w:line="640" w:lineRule="exact"/>
        <w:ind w:firstLine="640"/>
        <w:jc w:val="both"/>
        <w:outlineLvl w:val="2"/>
      </w:pPr>
      <w:r>
        <w:rPr>
          <w:rFonts w:ascii="黑体" w:hAnsi="黑体" w:eastAsia="黑体"/>
          <w:sz w:val="32"/>
        </w:rPr>
        <w:t>三、支出决算情况说明</w:t>
      </w:r>
    </w:p>
    <w:p w14:paraId="1AD15E78">
      <w:pPr>
        <w:spacing w:line="580" w:lineRule="exact"/>
        <w:ind w:firstLine="640"/>
        <w:jc w:val="both"/>
      </w:pPr>
      <w:r>
        <w:rPr>
          <w:rFonts w:ascii="仿宋_GB2312" w:hAnsi="仿宋_GB2312" w:eastAsia="仿宋_GB2312"/>
          <w:b/>
          <w:sz w:val="32"/>
        </w:rPr>
        <w:t>本年支出269.19万元，</w:t>
      </w:r>
      <w:r>
        <w:rPr>
          <w:rFonts w:ascii="仿宋_GB2312" w:hAnsi="仿宋_GB2312" w:eastAsia="仿宋_GB2312"/>
          <w:b w:val="0"/>
          <w:sz w:val="32"/>
        </w:rPr>
        <w:t>其中：基本支出249.19万元，占92.57%；项目支出20.00万元，占7.43%；上缴上级支出0.00万元，占0.00%；经营支出0.00万元，占0.00%；对附属单位补助支出0.00万元，占0.00%。</w:t>
      </w:r>
    </w:p>
    <w:p w14:paraId="76CFE6A5">
      <w:pPr>
        <w:spacing w:line="640" w:lineRule="exact"/>
        <w:ind w:firstLine="640"/>
        <w:jc w:val="both"/>
        <w:outlineLvl w:val="2"/>
      </w:pPr>
      <w:r>
        <w:rPr>
          <w:rFonts w:ascii="黑体" w:hAnsi="黑体" w:eastAsia="黑体"/>
          <w:sz w:val="32"/>
        </w:rPr>
        <w:t>四、财政拨款收入支出决算总体情况说明</w:t>
      </w:r>
    </w:p>
    <w:p w14:paraId="3577A2D5">
      <w:pPr>
        <w:spacing w:line="580" w:lineRule="exact"/>
        <w:ind w:firstLine="640"/>
        <w:jc w:val="both"/>
      </w:pPr>
      <w:r>
        <w:rPr>
          <w:rFonts w:ascii="仿宋_GB2312" w:hAnsi="仿宋_GB2312" w:eastAsia="仿宋_GB2312"/>
          <w:b/>
          <w:sz w:val="32"/>
        </w:rPr>
        <w:t>2025年度财政拨款收入总计288.56万元，</w:t>
      </w:r>
      <w:r>
        <w:rPr>
          <w:rFonts w:ascii="仿宋_GB2312" w:hAnsi="仿宋_GB2312" w:eastAsia="仿宋_GB2312"/>
          <w:b w:val="0"/>
          <w:sz w:val="32"/>
        </w:rPr>
        <w:t>其中：年初财政拨款结转和结余22.78万元，本年财政拨款收入265.77万元。</w:t>
      </w:r>
      <w:r>
        <w:rPr>
          <w:rFonts w:ascii="仿宋_GB2312" w:hAnsi="仿宋_GB2312" w:eastAsia="仿宋_GB2312"/>
          <w:b/>
          <w:sz w:val="32"/>
        </w:rPr>
        <w:t>财政拨款支出总计288.56万元，</w:t>
      </w:r>
      <w:r>
        <w:rPr>
          <w:rFonts w:ascii="仿宋_GB2312" w:hAnsi="仿宋_GB2312" w:eastAsia="仿宋_GB2312"/>
          <w:b w:val="0"/>
          <w:sz w:val="32"/>
        </w:rPr>
        <w:t>其中：年末财政拨款结转和结余19.41万元，本年财政拨款支出269.14万元。</w:t>
      </w:r>
    </w:p>
    <w:p w14:paraId="1C795A4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增加35.20万元，增长13.89%，主要原因是：本年在职人员增加，在职人员工资调增、社保、公积金基数调增，人员经费增加。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年初预算数227.75万元，决算数288.56万元，预决算差异率26.70%，主要原因是：本年在职人员增加，年中追加人员经费及人员工资、社保、公积金基数调增部分资金，导致预决算存在差异。</w:t>
      </w:r>
    </w:p>
    <w:p w14:paraId="7F295FBF">
      <w:pPr>
        <w:spacing w:line="640" w:lineRule="exact"/>
        <w:ind w:firstLine="640"/>
        <w:jc w:val="both"/>
        <w:outlineLvl w:val="2"/>
      </w:pPr>
      <w:r>
        <w:rPr>
          <w:rFonts w:ascii="黑体" w:hAnsi="黑体" w:eastAsia="黑体"/>
          <w:sz w:val="32"/>
        </w:rPr>
        <w:t>五、一般公共预算财政拨款支出决算情况说明</w:t>
      </w:r>
    </w:p>
    <w:p w14:paraId="2FC4E7A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b w:val="0"/>
          <w:sz w:val="32"/>
          <w:lang w:val="en-US" w:eastAsia="zh-CN"/>
        </w:rPr>
        <w:t>单位</w:t>
      </w:r>
      <w:r>
        <w:rPr>
          <w:rFonts w:ascii="仿宋_GB2312" w:hAnsi="仿宋_GB2312" w:eastAsia="仿宋_GB2312"/>
          <w:b w:val="0"/>
          <w:sz w:val="32"/>
        </w:rPr>
        <w:t>运行、公共服务等重点支出，体现在有关支出科目中。</w:t>
      </w:r>
    </w:p>
    <w:p w14:paraId="3879497E">
      <w:pPr>
        <w:spacing w:line="580" w:lineRule="exact"/>
        <w:ind w:firstLine="640"/>
        <w:jc w:val="both"/>
      </w:pPr>
      <w:r>
        <w:rPr>
          <w:rFonts w:ascii="仿宋_GB2312" w:hAnsi="仿宋_GB2312" w:eastAsia="仿宋_GB2312"/>
          <w:b w:val="0"/>
          <w:sz w:val="32"/>
        </w:rPr>
        <w:t>按照支出功能分类，农林水支出（类）水利（款）水文测报（项）的支出占本年财政拨款支出总额的比重最高，2025年度决算数为184.73万元，占比68.64%，主要用于人员工资福利支出和日常公用经费支出。</w:t>
      </w:r>
    </w:p>
    <w:p w14:paraId="0636DB91">
      <w:pPr>
        <w:spacing w:line="640" w:lineRule="exact"/>
        <w:ind w:firstLine="640"/>
        <w:jc w:val="both"/>
        <w:outlineLvl w:val="3"/>
      </w:pPr>
      <w:r>
        <w:rPr>
          <w:rFonts w:ascii="楷体_GB2312" w:hAnsi="楷体_GB2312" w:eastAsia="楷体_GB2312"/>
          <w:b/>
          <w:sz w:val="32"/>
        </w:rPr>
        <w:t>（一）一般公共预算财政拨款支出决算总体情况</w:t>
      </w:r>
    </w:p>
    <w:p w14:paraId="5EE47223">
      <w:pPr>
        <w:spacing w:line="580" w:lineRule="exact"/>
        <w:ind w:firstLine="640"/>
        <w:jc w:val="both"/>
      </w:pPr>
      <w:r>
        <w:rPr>
          <w:rFonts w:ascii="仿宋_GB2312" w:hAnsi="仿宋_GB2312" w:eastAsia="仿宋_GB2312"/>
          <w:b/>
          <w:sz w:val="32"/>
        </w:rPr>
        <w:t>2025年度一般公共预算财政拨款支出269.14万元，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增加38.56万元，增长16.72%，主要原因是：本年在职人员增加，在职人员工资调增、社保、公积金基数调增，人员经费增加。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年初预算数227.75万元，决算数269.14万元，预决算差异率18.17%，主要原因是：本年在职人员增加，年中追加人员经费及人员工资、社保、公积金基数调增部分资金，导致预决算存在差异。</w:t>
      </w:r>
    </w:p>
    <w:p w14:paraId="440003AD">
      <w:pPr>
        <w:spacing w:line="640" w:lineRule="exact"/>
        <w:ind w:firstLine="640"/>
        <w:jc w:val="both"/>
        <w:outlineLvl w:val="3"/>
      </w:pPr>
      <w:r>
        <w:rPr>
          <w:rFonts w:ascii="楷体_GB2312" w:hAnsi="楷体_GB2312" w:eastAsia="楷体_GB2312"/>
          <w:b/>
          <w:sz w:val="32"/>
        </w:rPr>
        <w:t>（二）一般公共预算财政拨款支出决算结构情况</w:t>
      </w:r>
    </w:p>
    <w:p w14:paraId="784D4841">
      <w:pPr>
        <w:spacing w:line="580" w:lineRule="exact"/>
        <w:ind w:firstLine="640"/>
        <w:jc w:val="both"/>
      </w:pPr>
      <w:r>
        <w:rPr>
          <w:rFonts w:ascii="仿宋_GB2312" w:hAnsi="仿宋_GB2312" w:eastAsia="仿宋_GB2312"/>
          <w:b w:val="0"/>
          <w:sz w:val="32"/>
        </w:rPr>
        <w:t>1.社会保障和就业支出（类）47.81万元，占17.76%。</w:t>
      </w:r>
    </w:p>
    <w:p w14:paraId="205B947E">
      <w:pPr>
        <w:spacing w:line="580" w:lineRule="exact"/>
        <w:ind w:firstLine="640"/>
        <w:jc w:val="both"/>
      </w:pPr>
      <w:r>
        <w:rPr>
          <w:rFonts w:ascii="仿宋_GB2312" w:hAnsi="仿宋_GB2312" w:eastAsia="仿宋_GB2312"/>
          <w:b w:val="0"/>
          <w:sz w:val="32"/>
        </w:rPr>
        <w:t>2.卫生健康支出（类）20.37万元，占7.57%。</w:t>
      </w:r>
    </w:p>
    <w:p w14:paraId="10B35FCB">
      <w:pPr>
        <w:spacing w:line="580" w:lineRule="exact"/>
        <w:ind w:firstLine="640"/>
        <w:jc w:val="both"/>
      </w:pPr>
      <w:r>
        <w:rPr>
          <w:rFonts w:ascii="仿宋_GB2312" w:hAnsi="仿宋_GB2312" w:eastAsia="仿宋_GB2312"/>
          <w:b w:val="0"/>
          <w:sz w:val="32"/>
        </w:rPr>
        <w:t>3.农林水支出（类）184.73万元，占68.64%。</w:t>
      </w:r>
    </w:p>
    <w:p w14:paraId="3F82841A">
      <w:pPr>
        <w:spacing w:line="580" w:lineRule="exact"/>
        <w:ind w:firstLine="640"/>
        <w:jc w:val="both"/>
      </w:pPr>
      <w:r>
        <w:rPr>
          <w:rFonts w:ascii="仿宋_GB2312" w:hAnsi="仿宋_GB2312" w:eastAsia="仿宋_GB2312"/>
          <w:b w:val="0"/>
          <w:sz w:val="32"/>
        </w:rPr>
        <w:t>4.住房保障支出（类）16.24万元，占6.03%。</w:t>
      </w:r>
    </w:p>
    <w:p w14:paraId="20931270">
      <w:pPr>
        <w:spacing w:line="640" w:lineRule="exact"/>
        <w:ind w:firstLine="640"/>
        <w:jc w:val="both"/>
        <w:outlineLvl w:val="3"/>
      </w:pPr>
      <w:r>
        <w:rPr>
          <w:rFonts w:ascii="楷体_GB2312" w:hAnsi="楷体_GB2312" w:eastAsia="楷体_GB2312"/>
          <w:b/>
          <w:sz w:val="32"/>
        </w:rPr>
        <w:t>（三）一般公共预算财政拨款支出决算具体情况</w:t>
      </w:r>
    </w:p>
    <w:p w14:paraId="0514A11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1.社会保障和就业支出（类）行政事业单位养老支出（款）事业单位离退休（项）：支出决算数为16.33万元，比上年决算增加3.62万元，增长28.48%，主要原因是：本年增加退休人员基础绩效奖，退休费支出增加。</w:t>
      </w:r>
    </w:p>
    <w:p w14:paraId="3AA5AC8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20.74万元，比上年决算增加2.26万元，增长12.23%，主要原因是：本年在职人员增加，养老保险缴费较上年增加。</w:t>
      </w:r>
    </w:p>
    <w:p w14:paraId="2BEFDA82">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10.73万元，比上年决算增加8.02万元，增长295.94%，主要原因是：财政追加在职人员职业年金缴费资金，故较上年决算有所增加。</w:t>
      </w:r>
    </w:p>
    <w:p w14:paraId="5A29A44D">
      <w:pPr>
        <w:spacing w:line="580" w:lineRule="exact"/>
        <w:ind w:firstLine="640"/>
        <w:jc w:val="both"/>
      </w:pPr>
      <w:r>
        <w:rPr>
          <w:rFonts w:ascii="仿宋_GB2312" w:hAnsi="仿宋_GB2312" w:eastAsia="仿宋_GB2312"/>
          <w:b w:val="0"/>
          <w:sz w:val="32"/>
        </w:rPr>
        <w:t>4.卫生健康支出（类）行政事业单位医疗（款）事业单位医疗（项）：支出决算数为11.54万元，比上年决算增加1.04万元，增长9.90%，主要原因是：本年在职人员增加，事业单位医疗支出较上年增加。</w:t>
      </w:r>
    </w:p>
    <w:p w14:paraId="26F261CE">
      <w:pPr>
        <w:spacing w:line="580" w:lineRule="exact"/>
        <w:ind w:firstLine="640"/>
        <w:jc w:val="both"/>
      </w:pPr>
      <w:r>
        <w:rPr>
          <w:rFonts w:ascii="仿宋_GB2312" w:hAnsi="仿宋_GB2312" w:eastAsia="仿宋_GB2312"/>
          <w:b w:val="0"/>
          <w:sz w:val="32"/>
        </w:rPr>
        <w:t>5.卫生健康支出（类）行政事业单位医疗（款）公务员医疗补助（项）：支出决算数为8.83万元，比上年决算增加1.66万元，增长23.15%，主要原因是：本年在职人员增加，公务员医疗补助较上年增加。</w:t>
      </w:r>
    </w:p>
    <w:p w14:paraId="756D8D87">
      <w:pPr>
        <w:spacing w:line="580" w:lineRule="exact"/>
        <w:ind w:firstLine="640"/>
        <w:jc w:val="both"/>
      </w:pPr>
      <w:r>
        <w:rPr>
          <w:rFonts w:ascii="仿宋_GB2312" w:hAnsi="仿宋_GB2312" w:eastAsia="仿宋_GB2312"/>
          <w:b w:val="0"/>
          <w:sz w:val="32"/>
        </w:rPr>
        <w:t>6.农林水支出（类）水利（款）水文测报（项）：支出决算数为184.73万元，比上年决算增加20.44万元，增长12.44%，主要原因是：本年在职人员增加，人员经费支出与公用经费支出较上年增加。</w:t>
      </w:r>
    </w:p>
    <w:p w14:paraId="57B747FF">
      <w:pPr>
        <w:spacing w:line="580" w:lineRule="exact"/>
        <w:ind w:firstLine="640"/>
        <w:jc w:val="both"/>
      </w:pPr>
      <w:r>
        <w:rPr>
          <w:rFonts w:ascii="仿宋_GB2312" w:hAnsi="仿宋_GB2312" w:eastAsia="仿宋_GB2312"/>
          <w:b w:val="0"/>
          <w:sz w:val="32"/>
        </w:rPr>
        <w:t>7.住房保障支出（类）住房改革支出（款）住房公积金（项）：支出决算数为16.24万元，比上年决算增加1.53万元，增长10.40%，主要原因是：本年在职人员增加，住房公积金支出较上年增加。</w:t>
      </w:r>
    </w:p>
    <w:p w14:paraId="4560364E">
      <w:pPr>
        <w:spacing w:line="640" w:lineRule="exact"/>
        <w:ind w:firstLine="640"/>
        <w:jc w:val="both"/>
        <w:outlineLvl w:val="2"/>
      </w:pPr>
      <w:r>
        <w:rPr>
          <w:rFonts w:ascii="黑体" w:hAnsi="黑体" w:eastAsia="黑体"/>
          <w:sz w:val="32"/>
        </w:rPr>
        <w:t>六、一般公共预算财政拨款基本支出决算情况说明</w:t>
      </w:r>
    </w:p>
    <w:p w14:paraId="25BF4853">
      <w:pPr>
        <w:spacing w:line="580" w:lineRule="exact"/>
        <w:ind w:firstLine="640"/>
        <w:jc w:val="both"/>
      </w:pPr>
      <w:r>
        <w:rPr>
          <w:rFonts w:ascii="仿宋_GB2312" w:hAnsi="仿宋_GB2312" w:eastAsia="仿宋_GB2312"/>
          <w:b w:val="0"/>
          <w:sz w:val="32"/>
        </w:rPr>
        <w:t>2025年度一般公共预算财政拨款基本支出249.14万元，其中：</w:t>
      </w:r>
      <w:r>
        <w:rPr>
          <w:rFonts w:ascii="仿宋_GB2312" w:hAnsi="仿宋_GB2312" w:eastAsia="仿宋_GB2312"/>
          <w:b/>
          <w:sz w:val="32"/>
        </w:rPr>
        <w:t>人员经费233.89万元，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其他对个人和家庭的补助。</w:t>
      </w:r>
    </w:p>
    <w:p w14:paraId="0EEC1F45">
      <w:pPr>
        <w:spacing w:line="580" w:lineRule="exact"/>
        <w:ind w:firstLine="640"/>
        <w:jc w:val="both"/>
      </w:pPr>
      <w:r>
        <w:rPr>
          <w:rFonts w:ascii="仿宋_GB2312" w:hAnsi="仿宋_GB2312" w:eastAsia="仿宋_GB2312"/>
          <w:b/>
          <w:sz w:val="32"/>
        </w:rPr>
        <w:t>公用经费15.25万元，</w:t>
      </w:r>
      <w:r>
        <w:rPr>
          <w:rFonts w:ascii="仿宋_GB2312" w:hAnsi="仿宋_GB2312" w:eastAsia="仿宋_GB2312"/>
          <w:b w:val="0"/>
          <w:sz w:val="32"/>
        </w:rPr>
        <w:t>包括：办公费、差旅费、工会经费、福利费、公务用车运行维护费、税金及附加费用、其他商品和服务支出。</w:t>
      </w:r>
    </w:p>
    <w:p w14:paraId="5C8B2DA7">
      <w:pPr>
        <w:spacing w:line="640" w:lineRule="exact"/>
        <w:ind w:firstLine="640"/>
        <w:jc w:val="both"/>
        <w:outlineLvl w:val="2"/>
      </w:pPr>
      <w:r>
        <w:rPr>
          <w:rFonts w:ascii="黑体" w:hAnsi="黑体" w:eastAsia="黑体"/>
          <w:sz w:val="32"/>
        </w:rPr>
        <w:t>七、政府性基金预算财政拨款收入支出决算情况说明</w:t>
      </w:r>
    </w:p>
    <w:p w14:paraId="55A312B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43146CB">
      <w:pPr>
        <w:spacing w:line="640" w:lineRule="exact"/>
        <w:ind w:firstLine="640"/>
        <w:jc w:val="both"/>
        <w:outlineLvl w:val="2"/>
      </w:pPr>
      <w:r>
        <w:rPr>
          <w:rFonts w:ascii="黑体" w:hAnsi="黑体" w:eastAsia="黑体"/>
          <w:sz w:val="32"/>
        </w:rPr>
        <w:t>八、国有资本经营预算财政拨款收入支出决算情况说明</w:t>
      </w:r>
    </w:p>
    <w:p w14:paraId="342FE1D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3997BC4">
      <w:pPr>
        <w:spacing w:line="640" w:lineRule="exact"/>
        <w:ind w:firstLine="640"/>
        <w:jc w:val="both"/>
        <w:outlineLvl w:val="2"/>
      </w:pPr>
      <w:r>
        <w:rPr>
          <w:rFonts w:ascii="黑体" w:hAnsi="黑体" w:eastAsia="黑体"/>
          <w:sz w:val="32"/>
        </w:rPr>
        <w:t>九、财政拨款“三公”经费支出决算情况说明</w:t>
      </w:r>
    </w:p>
    <w:p w14:paraId="7E6498E0">
      <w:pPr>
        <w:spacing w:line="580" w:lineRule="exact"/>
        <w:ind w:firstLine="640"/>
        <w:jc w:val="both"/>
      </w:pPr>
      <w:r>
        <w:rPr>
          <w:rFonts w:ascii="仿宋_GB2312" w:hAnsi="仿宋_GB2312" w:eastAsia="仿宋_GB2312"/>
          <w:b/>
          <w:sz w:val="32"/>
        </w:rPr>
        <w:t>2025年度财政拨款“三公”经费支出4.20万元，</w:t>
      </w:r>
      <w:r>
        <w:rPr>
          <w:rFonts w:ascii="仿宋_GB2312" w:hAnsi="仿宋_GB2312" w:eastAsia="仿宋_GB2312"/>
          <w:b w:val="0"/>
          <w:sz w:val="32"/>
        </w:rPr>
        <w:t>比上年增加4.20万元，增长100.00%，主要原因是：本年调入公务用车，导致公务用车运行维护费较上年增加。其中：因公出国（境）费用支出0.00万元，占0.00%，比上年增加0.00万元，增长0.00%，主要原因是：2024年与2025年均无因公出国（境）费用支出。公务用车购置及运行维护费支出4.20万元，占100.00%，比上年增加4.20万元，增长100.00%，主要原因是：本年调入公务用车，导致公务用车运行维护费较上年增加。公务接待费支出0.00万元，占0.00%，比上年增加0.00万元，增长0.00%，主要原因是：2024年与2025年均无公务接待费支出。</w:t>
      </w:r>
    </w:p>
    <w:p w14:paraId="17386A4C">
      <w:pPr>
        <w:spacing w:line="580" w:lineRule="exact"/>
        <w:ind w:firstLine="640"/>
        <w:jc w:val="both"/>
      </w:pPr>
      <w:r>
        <w:rPr>
          <w:rFonts w:ascii="仿宋_GB2312" w:hAnsi="仿宋_GB2312" w:eastAsia="仿宋_GB2312"/>
          <w:b/>
          <w:sz w:val="32"/>
        </w:rPr>
        <w:t>具体情况如下：</w:t>
      </w:r>
    </w:p>
    <w:p w14:paraId="761C316B">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7378772">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14:paraId="22FB638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5C4C0A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4.20万元，决算数4.20万元，预决算差异率0.00%，主要原因是：严格按照预算执行，预决算无差异。公务接待费全年预算数0.00万元，决算数0.00万元，预决算差异率0.00%，主要原因是：本单位无公务接待费。</w:t>
      </w:r>
    </w:p>
    <w:p w14:paraId="7C364BA1">
      <w:pPr>
        <w:spacing w:line="640" w:lineRule="exact"/>
        <w:ind w:firstLine="640"/>
        <w:jc w:val="both"/>
        <w:outlineLvl w:val="2"/>
      </w:pPr>
      <w:r>
        <w:rPr>
          <w:rFonts w:ascii="黑体" w:hAnsi="黑体" w:eastAsia="黑体"/>
          <w:sz w:val="32"/>
        </w:rPr>
        <w:t>十、其他重要事项的情况说明</w:t>
      </w:r>
    </w:p>
    <w:p w14:paraId="48C88C8B">
      <w:pPr>
        <w:spacing w:line="640" w:lineRule="exact"/>
        <w:ind w:firstLine="640"/>
        <w:jc w:val="both"/>
        <w:outlineLvl w:val="3"/>
      </w:pPr>
      <w:r>
        <w:rPr>
          <w:rFonts w:ascii="楷体_GB2312" w:hAnsi="楷体_GB2312" w:eastAsia="楷体_GB2312"/>
          <w:b/>
          <w:sz w:val="32"/>
        </w:rPr>
        <w:t>（一）机关运行经费及公用经费支出情况</w:t>
      </w:r>
    </w:p>
    <w:p w14:paraId="7D64AF72">
      <w:pPr>
        <w:spacing w:line="580" w:lineRule="exact"/>
        <w:ind w:firstLine="640"/>
        <w:jc w:val="both"/>
      </w:pPr>
      <w:r>
        <w:rPr>
          <w:rFonts w:ascii="仿宋_GB2312" w:hAnsi="仿宋_GB2312" w:eastAsia="仿宋_GB2312"/>
          <w:b w:val="0"/>
          <w:sz w:val="32"/>
        </w:rPr>
        <w:t>2025年度新疆维吾尔自治区水文技术情报中心（事业单位）公用经费支出15.25万元，比上年增加0.89万元，增长6.20%，主要原因是：本年更新、维护补充办公用品，导致公用经费较上年增加。</w:t>
      </w:r>
    </w:p>
    <w:p w14:paraId="314C39F7">
      <w:pPr>
        <w:spacing w:line="640" w:lineRule="exact"/>
        <w:ind w:firstLine="640"/>
        <w:jc w:val="both"/>
        <w:outlineLvl w:val="3"/>
      </w:pPr>
      <w:r>
        <w:rPr>
          <w:rFonts w:ascii="楷体_GB2312" w:hAnsi="楷体_GB2312" w:eastAsia="楷体_GB2312"/>
          <w:b/>
          <w:sz w:val="32"/>
        </w:rPr>
        <w:t>（二）政府采购情况</w:t>
      </w:r>
    </w:p>
    <w:p w14:paraId="5BB7EE98">
      <w:pPr>
        <w:spacing w:line="580" w:lineRule="exact"/>
        <w:ind w:firstLine="640"/>
        <w:jc w:val="both"/>
      </w:pPr>
      <w:r>
        <w:rPr>
          <w:rFonts w:ascii="仿宋_GB2312" w:hAnsi="仿宋_GB2312" w:eastAsia="仿宋_GB2312"/>
          <w:b w:val="0"/>
          <w:sz w:val="32"/>
        </w:rPr>
        <w:t>2025年度政府采购支出总额20.41万元，其中：政府采购货物支出0.41万元、政府采购工程支出0.00万元、政府采购服务支出20.00万元。</w:t>
      </w:r>
    </w:p>
    <w:p w14:paraId="01872579">
      <w:pPr>
        <w:spacing w:line="580" w:lineRule="exact"/>
        <w:ind w:firstLine="640"/>
        <w:jc w:val="both"/>
      </w:pPr>
      <w:r>
        <w:rPr>
          <w:rFonts w:ascii="仿宋_GB2312" w:hAnsi="仿宋_GB2312" w:eastAsia="仿宋_GB2312"/>
          <w:b w:val="0"/>
          <w:sz w:val="32"/>
        </w:rPr>
        <w:t>授予中小企业合同金额20.41万元，占政府采购支出总额的100.00%，其中：授予小微企业合同金额20.41万元，占政府采购支出总额的100.00%。</w:t>
      </w:r>
    </w:p>
    <w:p w14:paraId="54555538">
      <w:pPr>
        <w:spacing w:line="640" w:lineRule="exact"/>
        <w:ind w:firstLine="640"/>
        <w:jc w:val="both"/>
        <w:outlineLvl w:val="3"/>
      </w:pPr>
      <w:r>
        <w:rPr>
          <w:rFonts w:ascii="楷体_GB2312" w:hAnsi="楷体_GB2312" w:eastAsia="楷体_GB2312"/>
          <w:b/>
          <w:sz w:val="32"/>
        </w:rPr>
        <w:t>（三）国有资产占用情况说明</w:t>
      </w:r>
    </w:p>
    <w:p w14:paraId="09C408E1">
      <w:pPr>
        <w:spacing w:line="580" w:lineRule="exact"/>
        <w:ind w:firstLine="640"/>
        <w:jc w:val="both"/>
      </w:pPr>
      <w:r>
        <w:rPr>
          <w:rFonts w:ascii="仿宋_GB2312" w:hAnsi="仿宋_GB2312" w:eastAsia="仿宋_GB2312"/>
          <w:b w:val="0"/>
          <w:sz w:val="32"/>
        </w:rPr>
        <w:t>截至2025年12月31日，房屋0.00平方米，价值0.00万元。车辆1辆，价值59.67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187851C3">
      <w:pPr>
        <w:spacing w:line="640" w:lineRule="exact"/>
        <w:ind w:firstLine="640"/>
        <w:jc w:val="both"/>
        <w:outlineLvl w:val="2"/>
      </w:pPr>
      <w:r>
        <w:rPr>
          <w:rFonts w:ascii="黑体" w:hAnsi="黑体" w:eastAsia="黑体"/>
          <w:sz w:val="32"/>
        </w:rPr>
        <w:t>十一、预算绩效的情况说明</w:t>
      </w:r>
    </w:p>
    <w:p w14:paraId="049875FE">
      <w:pPr>
        <w:spacing w:line="580" w:lineRule="exact"/>
        <w:ind w:firstLine="640"/>
        <w:jc w:val="both"/>
      </w:pPr>
      <w:r>
        <w:rPr>
          <w:rFonts w:ascii="仿宋_GB2312" w:hAnsi="仿宋_GB2312" w:eastAsia="仿宋_GB2312"/>
          <w:b w:val="0"/>
          <w:sz w:val="32"/>
        </w:rPr>
        <w:t>根据预算绩效管理要求，本单位预算绩效评价项目1个，全年预算数20.00万元，全年执行数20.00万元。预算绩效管理取得的成效：通过汛前检查，故障处理保障了各地州水情通讯网络畅通、水文应用系统的稳定安全运行；通过中心机房设备、水情网络、OA系统等巡检维护，确保中心机房网络设备，供电、空调、通讯网络、局机关个人计算机、视频监控系统全年正常运转、提升OA办公系统的稳定性和可靠性。定期进行信息系统安全监测，保证计算机网络设备安全运行，信息安全传输。发现的问题及原因：绩效管理专业人员匮乏，规范管理有盲点。预算绩效管理工作的覆盖面广、专业性强，不</w:t>
      </w:r>
      <w:r>
        <w:rPr>
          <w:rFonts w:hint="eastAsia" w:ascii="仿宋_GB2312" w:hAnsi="仿宋_GB2312" w:eastAsia="仿宋_GB2312"/>
          <w:b w:val="0"/>
          <w:sz w:val="32"/>
          <w:lang w:eastAsia="zh-CN"/>
        </w:rPr>
        <w:t>论是</w:t>
      </w:r>
      <w:r>
        <w:rPr>
          <w:rFonts w:ascii="仿宋_GB2312" w:hAnsi="仿宋_GB2312" w:eastAsia="仿宋_GB2312"/>
          <w:b w:val="0"/>
          <w:sz w:val="32"/>
        </w:rPr>
        <w:t>预算单位在开展日常管理，还是财政部门组织实施绩效评价，都需要具备一定专业素养和实战经验的人力资源。下一步改进措施：一</w:t>
      </w:r>
      <w:r>
        <w:rPr>
          <w:rFonts w:hint="eastAsia" w:ascii="仿宋_GB2312" w:hAnsi="仿宋_GB2312" w:eastAsia="仿宋_GB2312"/>
          <w:b w:val="0"/>
          <w:sz w:val="32"/>
          <w:lang w:eastAsia="zh-CN"/>
        </w:rPr>
        <w:t>是网</w:t>
      </w:r>
      <w:r>
        <w:rPr>
          <w:rFonts w:ascii="仿宋_GB2312" w:hAnsi="仿宋_GB2312" w:eastAsia="仿宋_GB2312"/>
          <w:b w:val="0"/>
          <w:sz w:val="32"/>
        </w:rPr>
        <w:t>络链路保障及远程维护。对网络故障进行排查，及时处理各类网络设备故障和远程维护各地州网络链路故障。定期对网络设备监控记录和日志进行分析，发现存在的故障隐患和安全隐患，并提出解决方案。二是重要时期对网络安全进行保障。对水文局内外网及业务系统的日常安全运营，包含网络事件预警、响应及处置，在重要时期对网络安全进行保障。三是驻场服务。每周提供3天×8小时现场服务，如遇重要时间节点，协助业主单位完成运行维护工作。四是OA系统运维服务。通过现场服务、电话服务、远程问题处理等方式确保系统正常运行，提供使用过程中遇到的问题随叫随到的响应服务。具体附项目支出绩效自评表。</w:t>
      </w:r>
    </w:p>
    <w:p w14:paraId="5481BAB1">
      <w:r>
        <w:br w:type="page"/>
      </w:r>
    </w:p>
    <w:p w14:paraId="7401E2CD">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5"/>
        <w:gridCol w:w="497"/>
        <w:gridCol w:w="497"/>
        <w:gridCol w:w="795"/>
        <w:gridCol w:w="565"/>
        <w:gridCol w:w="497"/>
        <w:gridCol w:w="497"/>
        <w:gridCol w:w="497"/>
        <w:gridCol w:w="497"/>
        <w:gridCol w:w="497"/>
        <w:gridCol w:w="497"/>
        <w:gridCol w:w="680"/>
        <w:gridCol w:w="603"/>
        <w:gridCol w:w="1402"/>
      </w:tblGrid>
      <w:tr w14:paraId="06911A5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CECEEE1">
            <w:pPr>
              <w:spacing w:before="0" w:after="0" w:line="240" w:lineRule="auto"/>
              <w:jc w:val="center"/>
            </w:pPr>
            <w:r>
              <w:rPr>
                <w:rFonts w:ascii="宋体" w:hAnsi="宋体" w:eastAsia="宋体"/>
                <w:b/>
                <w:i w:val="0"/>
                <w:sz w:val="32"/>
              </w:rPr>
              <w:t>项目支出绩效自评表</w:t>
            </w:r>
          </w:p>
        </w:tc>
      </w:tr>
      <w:tr w14:paraId="236B7DB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3B46BCE">
            <w:pPr>
              <w:spacing w:before="0" w:after="0" w:line="240" w:lineRule="auto"/>
              <w:jc w:val="center"/>
            </w:pPr>
            <w:r>
              <w:rPr>
                <w:rFonts w:ascii="宋体" w:hAnsi="宋体" w:eastAsia="宋体"/>
                <w:b w:val="0"/>
                <w:i w:val="0"/>
                <w:sz w:val="22"/>
              </w:rPr>
              <w:t>(2025年度)</w:t>
            </w:r>
          </w:p>
        </w:tc>
      </w:tr>
      <w:tr w14:paraId="436D3C19">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3251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5F7D360">
            <w:pPr>
              <w:spacing w:before="0" w:after="0" w:line="240" w:lineRule="auto"/>
              <w:jc w:val="center"/>
            </w:pPr>
            <w:r>
              <w:rPr>
                <w:rFonts w:ascii="宋体" w:hAnsi="宋体" w:eastAsia="宋体"/>
                <w:b w:val="0"/>
                <w:i w:val="0"/>
                <w:sz w:val="18"/>
              </w:rPr>
              <w:t>自治区水利发展专项</w:t>
            </w:r>
          </w:p>
        </w:tc>
      </w:tr>
      <w:tr w14:paraId="761C10F5">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EF1C">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18653F">
            <w:pPr>
              <w:spacing w:before="0" w:after="0" w:line="240" w:lineRule="auto"/>
              <w:jc w:val="center"/>
            </w:pPr>
            <w:r>
              <w:rPr>
                <w:rFonts w:ascii="宋体" w:hAnsi="宋体" w:eastAsia="宋体"/>
                <w:b w:val="0"/>
                <w:i w:val="0"/>
                <w:sz w:val="18"/>
              </w:rPr>
              <w:t>新疆维吾尔自治区水利厅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883F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A03B2E">
            <w:pPr>
              <w:spacing w:before="0" w:after="0" w:line="240" w:lineRule="auto"/>
              <w:jc w:val="center"/>
            </w:pPr>
            <w:r>
              <w:rPr>
                <w:rFonts w:ascii="宋体" w:hAnsi="宋体" w:eastAsia="宋体"/>
                <w:b w:val="0"/>
                <w:i w:val="0"/>
                <w:sz w:val="18"/>
              </w:rPr>
              <w:t>新疆维吾尔自治区水文技术情报中心</w:t>
            </w:r>
          </w:p>
        </w:tc>
      </w:tr>
      <w:tr w14:paraId="04AADAA1">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5D24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AFA1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2AF5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FC7C4">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71B1">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2FB5E">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B343B">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9CCDB">
            <w:pPr>
              <w:spacing w:before="0" w:after="0" w:line="240" w:lineRule="auto"/>
              <w:jc w:val="center"/>
            </w:pPr>
            <w:r>
              <w:rPr>
                <w:rFonts w:ascii="宋体" w:hAnsi="宋体" w:eastAsia="宋体"/>
                <w:b/>
                <w:i w:val="0"/>
                <w:sz w:val="18"/>
              </w:rPr>
              <w:t>得分</w:t>
            </w:r>
          </w:p>
        </w:tc>
      </w:tr>
      <w:tr w14:paraId="748A722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ACC836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193CD">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29DD8E">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92360">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05CE5">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220C4">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AD919">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C10AE">
            <w:pPr>
              <w:spacing w:before="0" w:after="0" w:line="240" w:lineRule="auto"/>
              <w:jc w:val="center"/>
            </w:pPr>
            <w:r>
              <w:rPr>
                <w:rFonts w:ascii="宋体" w:hAnsi="宋体" w:eastAsia="宋体"/>
                <w:b w:val="0"/>
                <w:i w:val="0"/>
                <w:sz w:val="18"/>
              </w:rPr>
              <w:t>10.00</w:t>
            </w:r>
          </w:p>
        </w:tc>
      </w:tr>
      <w:tr w14:paraId="3338E27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0D83F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F59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497A3B">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BFB81">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E918">
            <w:pPr>
              <w:spacing w:before="0" w:after="0" w:line="240" w:lineRule="auto"/>
              <w:jc w:val="center"/>
            </w:pPr>
            <w:r>
              <w:rPr>
                <w:rFonts w:ascii="宋体" w:hAnsi="宋体" w:eastAsia="宋体"/>
                <w:b w:val="0"/>
                <w:i w:val="0"/>
                <w:sz w:val="18"/>
              </w:rPr>
              <w:t>20.00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5531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09C8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411B8A">
            <w:pPr>
              <w:spacing w:before="0" w:after="0" w:line="240" w:lineRule="auto"/>
              <w:jc w:val="center"/>
            </w:pPr>
            <w:r>
              <w:rPr>
                <w:rFonts w:ascii="宋体" w:hAnsi="宋体" w:eastAsia="宋体"/>
                <w:b w:val="0"/>
                <w:i w:val="0"/>
                <w:sz w:val="18"/>
              </w:rPr>
              <w:t>—</w:t>
            </w:r>
          </w:p>
        </w:tc>
      </w:tr>
      <w:tr w14:paraId="6B17FD5D">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D8AE53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513E6">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CBE1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EE5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CD18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E565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A8B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956F8">
            <w:pPr>
              <w:spacing w:before="0" w:after="0" w:line="240" w:lineRule="auto"/>
              <w:jc w:val="center"/>
            </w:pPr>
            <w:r>
              <w:rPr>
                <w:rFonts w:ascii="宋体" w:hAnsi="宋体" w:eastAsia="宋体"/>
                <w:b w:val="0"/>
                <w:i w:val="0"/>
                <w:sz w:val="18"/>
              </w:rPr>
              <w:t>—</w:t>
            </w:r>
          </w:p>
        </w:tc>
      </w:tr>
      <w:tr w14:paraId="3A298588">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89F19">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73BA09">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898CC4">
            <w:pPr>
              <w:spacing w:before="0" w:after="0" w:line="240" w:lineRule="auto"/>
              <w:jc w:val="center"/>
            </w:pPr>
            <w:r>
              <w:rPr>
                <w:rFonts w:ascii="宋体" w:hAnsi="宋体" w:eastAsia="宋体"/>
                <w:b/>
                <w:i w:val="0"/>
                <w:sz w:val="18"/>
              </w:rPr>
              <w:t>实际完成情况</w:t>
            </w:r>
          </w:p>
        </w:tc>
      </w:tr>
      <w:tr w14:paraId="37C9EFC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80E1CF"/>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0D16E">
            <w:pPr>
              <w:spacing w:before="0" w:after="0" w:line="240" w:lineRule="auto"/>
              <w:jc w:val="center"/>
            </w:pPr>
            <w:r>
              <w:rPr>
                <w:rFonts w:ascii="宋体" w:hAnsi="宋体" w:eastAsia="宋体"/>
                <w:b w:val="0"/>
                <w:i w:val="0"/>
                <w:sz w:val="18"/>
              </w:rPr>
              <w:t>通过汛前检查保障各地州水情网络和水文应用系统的稳定安全运行；确保中心机房网络设备，供电、空调、通讯网络、局机关个人计算机、视频监控系统全年正常运转；提升水文局OA办公系统的稳定性和可靠性。</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549C8F">
            <w:pPr>
              <w:spacing w:before="0" w:after="0" w:line="240" w:lineRule="auto"/>
              <w:jc w:val="center"/>
            </w:pPr>
            <w:r>
              <w:rPr>
                <w:rFonts w:ascii="宋体" w:hAnsi="宋体" w:eastAsia="宋体"/>
                <w:b w:val="0"/>
                <w:i w:val="0"/>
                <w:sz w:val="18"/>
              </w:rPr>
              <w:t>2025年通过20次的汛前检查，故障处理保障了各地州水情通讯网络畅通、水文应用系统的稳定安全运行；通过中心机房设备、水情网络、oa系统等巡检维护，确保中心机房网络设备，供电、空调、通讯网络、局机关个人计算机、视频监控系统全年正常运转、提升OA办公系统的稳定性和可靠性。定期进行信息系统安全监测，保证计算机网络设备安全运行，信息安全传输。</w:t>
            </w:r>
          </w:p>
        </w:tc>
      </w:tr>
      <w:tr w14:paraId="7A845B2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8EDCF">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40BE8">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7F1F1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69D00">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D96EE">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65A0C">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36530">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8991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979CE0">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FFFA9B">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4BCCE">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8B026">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371E8">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CD735">
            <w:pPr>
              <w:spacing w:before="0" w:after="0" w:line="240" w:lineRule="auto"/>
              <w:jc w:val="center"/>
            </w:pPr>
            <w:r>
              <w:rPr>
                <w:rFonts w:ascii="宋体" w:hAnsi="宋体" w:eastAsia="宋体"/>
                <w:b/>
                <w:i w:val="0"/>
                <w:sz w:val="18"/>
              </w:rPr>
              <w:t>偏差原因分析及改进措施</w:t>
            </w:r>
          </w:p>
        </w:tc>
      </w:tr>
      <w:tr w14:paraId="7FB338B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2383D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DD0A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43ECC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C63D0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36B6C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7B2E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23527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115DA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AA3D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2A668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58C3B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68333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AAB1D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51947B"/>
        </w:tc>
      </w:tr>
      <w:tr w14:paraId="3166716E">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D1470C">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31D97">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2D4E4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BFEAB8">
            <w:pPr>
              <w:spacing w:before="0" w:after="0" w:line="240" w:lineRule="auto"/>
              <w:jc w:val="center"/>
            </w:pPr>
            <w:r>
              <w:rPr>
                <w:rFonts w:ascii="宋体" w:hAnsi="宋体" w:eastAsia="宋体"/>
                <w:b w:val="0"/>
                <w:i w:val="0"/>
                <w:color w:val="000000"/>
                <w:sz w:val="18"/>
              </w:rPr>
              <w:t>汛前检查和应急故障处理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1103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541D4">
            <w:pPr>
              <w:spacing w:before="0" w:after="0" w:line="240" w:lineRule="auto"/>
              <w:jc w:val="center"/>
            </w:pPr>
            <w:r>
              <w:rPr>
                <w:rFonts w:ascii="宋体" w:hAnsi="宋体" w:eastAsia="宋体"/>
                <w:b w:val="0"/>
                <w:i w:val="0"/>
                <w:sz w:val="18"/>
              </w:rPr>
              <w:t>&gt;=15次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24D12B">
            <w:pPr>
              <w:spacing w:before="0" w:after="0" w:line="240" w:lineRule="auto"/>
              <w:jc w:val="center"/>
            </w:pPr>
            <w:r>
              <w:rPr>
                <w:rFonts w:ascii="宋体" w:hAnsi="宋体" w:eastAsia="宋体"/>
                <w:b w:val="0"/>
                <w:i w:val="0"/>
                <w:sz w:val="18"/>
              </w:rPr>
              <w:t>=20次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6C21E">
            <w:pPr>
              <w:spacing w:before="0" w:after="0" w:line="240" w:lineRule="auto"/>
              <w:jc w:val="center"/>
            </w:pPr>
            <w:r>
              <w:rPr>
                <w:rFonts w:ascii="宋体" w:hAnsi="宋体" w:eastAsia="宋体"/>
                <w:b w:val="0"/>
                <w:i w:val="0"/>
                <w:sz w:val="18"/>
              </w:rPr>
              <w:t>133%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B2AAE9">
            <w:pPr>
              <w:spacing w:before="0" w:after="0" w:line="240" w:lineRule="auto"/>
              <w:jc w:val="center"/>
            </w:pPr>
            <w:r>
              <w:rPr>
                <w:rFonts w:ascii="宋体" w:hAnsi="宋体" w:eastAsia="宋体"/>
                <w:b w:val="0"/>
                <w:i w:val="0"/>
                <w:sz w:val="18"/>
              </w:rPr>
              <w:t>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10E334">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2FD1F1">
            <w:pPr>
              <w:spacing w:before="0" w:after="0" w:line="240" w:lineRule="auto"/>
              <w:jc w:val="center"/>
            </w:pPr>
            <w:r>
              <w:rPr>
                <w:rFonts w:ascii="宋体" w:hAnsi="宋体" w:eastAsia="宋体"/>
                <w:b w:val="0"/>
                <w:i w:val="0"/>
                <w:sz w:val="18"/>
              </w:rPr>
              <w:t>15次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0FD0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5582A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17E4B1">
            <w:pPr>
              <w:spacing w:before="0" w:after="0" w:line="240" w:lineRule="auto"/>
              <w:jc w:val="center"/>
            </w:pPr>
            <w:r>
              <w:rPr>
                <w:rFonts w:ascii="宋体" w:hAnsi="宋体" w:eastAsia="宋体"/>
                <w:b w:val="0"/>
                <w:i w:val="0"/>
                <w:sz w:val="18"/>
              </w:rPr>
              <w:t>偏差原因：切合实际工作，为了确保汛期设备正常运行，水情数据传输准确</w:t>
            </w:r>
            <w:bookmarkStart w:id="0" w:name="_GoBack"/>
            <w:r>
              <w:rPr>
                <w:rFonts w:ascii="宋体" w:hAnsi="宋体" w:eastAsia="宋体"/>
                <w:b w:val="0"/>
                <w:i w:val="0"/>
                <w:sz w:val="18"/>
              </w:rPr>
              <w:t>、及</w:t>
            </w:r>
            <w:bookmarkEnd w:id="0"/>
            <w:r>
              <w:rPr>
                <w:rFonts w:ascii="宋体" w:hAnsi="宋体" w:eastAsia="宋体"/>
                <w:b w:val="0"/>
                <w:i w:val="0"/>
                <w:sz w:val="18"/>
              </w:rPr>
              <w:t>时，巡检次数增加；改进措施：今后周全考虑各项因素，尽可能精准编制预算及绩效目标。</w:t>
            </w:r>
          </w:p>
        </w:tc>
      </w:tr>
      <w:tr w14:paraId="15F085E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60F39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A6F4B9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76B0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2A7845">
            <w:pPr>
              <w:spacing w:before="0" w:after="0" w:line="240" w:lineRule="auto"/>
              <w:jc w:val="center"/>
            </w:pPr>
            <w:r>
              <w:rPr>
                <w:rFonts w:ascii="宋体" w:hAnsi="宋体" w:eastAsia="宋体"/>
                <w:b w:val="0"/>
                <w:i w:val="0"/>
                <w:color w:val="000000"/>
                <w:sz w:val="18"/>
              </w:rPr>
              <w:t>中心机房设备、水情网络、oa系统巡检维护次数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7BC3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B90F7">
            <w:pPr>
              <w:spacing w:before="0" w:after="0" w:line="240" w:lineRule="auto"/>
              <w:jc w:val="center"/>
            </w:pPr>
            <w:r>
              <w:rPr>
                <w:rFonts w:ascii="宋体" w:hAnsi="宋体" w:eastAsia="宋体"/>
                <w:b w:val="0"/>
                <w:i w:val="0"/>
                <w:sz w:val="18"/>
              </w:rPr>
              <w:t>&gt;=48次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74F92">
            <w:pPr>
              <w:spacing w:before="0" w:after="0" w:line="240" w:lineRule="auto"/>
              <w:jc w:val="center"/>
            </w:pPr>
            <w:r>
              <w:rPr>
                <w:rFonts w:ascii="宋体" w:hAnsi="宋体" w:eastAsia="宋体"/>
                <w:b w:val="0"/>
                <w:i w:val="0"/>
                <w:sz w:val="18"/>
              </w:rPr>
              <w:t>=50次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A58FB">
            <w:pPr>
              <w:spacing w:before="0" w:after="0" w:line="240" w:lineRule="auto"/>
              <w:jc w:val="center"/>
            </w:pPr>
            <w:r>
              <w:rPr>
                <w:rFonts w:ascii="宋体" w:hAnsi="宋体" w:eastAsia="宋体"/>
                <w:b w:val="0"/>
                <w:i w:val="0"/>
                <w:sz w:val="18"/>
              </w:rPr>
              <w:t>104.2%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57DDD">
            <w:pPr>
              <w:spacing w:before="0" w:after="0" w:line="240" w:lineRule="auto"/>
              <w:jc w:val="center"/>
            </w:pPr>
            <w:r>
              <w:rPr>
                <w:rFonts w:ascii="宋体" w:hAnsi="宋体" w:eastAsia="宋体"/>
                <w:b w:val="0"/>
                <w:i w:val="0"/>
                <w:sz w:val="18"/>
              </w:rPr>
              <w:t>9.58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CE4219">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6A6F7">
            <w:pPr>
              <w:spacing w:before="0" w:after="0" w:line="240" w:lineRule="auto"/>
              <w:jc w:val="center"/>
            </w:pPr>
            <w:r>
              <w:rPr>
                <w:rFonts w:ascii="宋体" w:hAnsi="宋体" w:eastAsia="宋体"/>
                <w:b w:val="0"/>
                <w:i w:val="0"/>
                <w:sz w:val="18"/>
              </w:rPr>
              <w:t>48次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0B38E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40B6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ECE93">
            <w:pPr>
              <w:spacing w:before="0" w:after="0" w:line="240" w:lineRule="auto"/>
              <w:jc w:val="center"/>
            </w:pPr>
            <w:r>
              <w:rPr>
                <w:rFonts w:ascii="宋体" w:hAnsi="宋体" w:eastAsia="宋体"/>
                <w:b w:val="0"/>
                <w:i w:val="0"/>
                <w:sz w:val="18"/>
              </w:rPr>
              <w:t>偏差原因：切合实际工作，为了确保机房设备正常运行，水情网络正常传输数据，巡检次数增加；改进措施：今后周全考虑各项因素，尽可能精准编制预算及绩效目标。</w:t>
            </w:r>
          </w:p>
        </w:tc>
      </w:tr>
      <w:tr w14:paraId="0AC360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52BC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2D160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DA7FA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A99ED9">
            <w:pPr>
              <w:spacing w:before="0" w:after="0" w:line="240" w:lineRule="auto"/>
              <w:jc w:val="center"/>
            </w:pPr>
            <w:r>
              <w:rPr>
                <w:rFonts w:ascii="宋体" w:hAnsi="宋体" w:eastAsia="宋体"/>
                <w:b w:val="0"/>
                <w:i w:val="0"/>
                <w:color w:val="000000"/>
                <w:sz w:val="18"/>
              </w:rPr>
              <w:t>信息系统安全监测次数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496EA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348C2">
            <w:pPr>
              <w:spacing w:before="0" w:after="0" w:line="240" w:lineRule="auto"/>
              <w:jc w:val="center"/>
            </w:pPr>
            <w:r>
              <w:rPr>
                <w:rFonts w:ascii="宋体" w:hAnsi="宋体" w:eastAsia="宋体"/>
                <w:b w:val="0"/>
                <w:i w:val="0"/>
                <w:sz w:val="18"/>
              </w:rPr>
              <w:t>&gt;=96次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338B94">
            <w:pPr>
              <w:spacing w:before="0" w:after="0" w:line="240" w:lineRule="auto"/>
              <w:jc w:val="center"/>
            </w:pPr>
            <w:r>
              <w:rPr>
                <w:rFonts w:ascii="宋体" w:hAnsi="宋体" w:eastAsia="宋体"/>
                <w:b w:val="0"/>
                <w:i w:val="0"/>
                <w:sz w:val="18"/>
              </w:rPr>
              <w:t>=96次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0331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EDAB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4E5F77">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D1651">
            <w:pPr>
              <w:spacing w:before="0" w:after="0" w:line="240" w:lineRule="auto"/>
              <w:jc w:val="center"/>
            </w:pPr>
            <w:r>
              <w:rPr>
                <w:rFonts w:ascii="宋体" w:hAnsi="宋体" w:eastAsia="宋体"/>
                <w:b w:val="0"/>
                <w:i w:val="0"/>
                <w:sz w:val="18"/>
              </w:rPr>
              <w:t>96次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B26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24B38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1CCF6">
            <w:pPr>
              <w:spacing w:before="0" w:after="0" w:line="240" w:lineRule="auto"/>
              <w:jc w:val="center"/>
            </w:pPr>
          </w:p>
        </w:tc>
      </w:tr>
      <w:tr w14:paraId="053A960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58E4D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0A798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D3950">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9B2DB">
            <w:pPr>
              <w:spacing w:before="0" w:after="0" w:line="240" w:lineRule="auto"/>
              <w:jc w:val="center"/>
            </w:pPr>
            <w:r>
              <w:rPr>
                <w:rFonts w:ascii="宋体" w:hAnsi="宋体" w:eastAsia="宋体"/>
                <w:b w:val="0"/>
                <w:i w:val="0"/>
                <w:color w:val="000000"/>
                <w:sz w:val="18"/>
              </w:rPr>
              <w:t>水情通讯网络畅通率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4629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832565">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5E733">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D3C75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C3AD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56C88">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765C7D">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1365E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90185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DD793">
            <w:pPr>
              <w:spacing w:before="0" w:after="0" w:line="240" w:lineRule="auto"/>
              <w:jc w:val="center"/>
            </w:pPr>
          </w:p>
        </w:tc>
      </w:tr>
      <w:tr w14:paraId="136B84D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E440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9DEEF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24EDD">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6578F">
            <w:pPr>
              <w:spacing w:before="0" w:after="0" w:line="240" w:lineRule="auto"/>
              <w:jc w:val="center"/>
            </w:pPr>
            <w:r>
              <w:rPr>
                <w:rFonts w:ascii="宋体" w:hAnsi="宋体" w:eastAsia="宋体"/>
                <w:b w:val="0"/>
                <w:i w:val="0"/>
                <w:color w:val="000000"/>
                <w:sz w:val="18"/>
              </w:rPr>
              <w:t>信息系统安全运行</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A256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41FEB">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C11DF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57C3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C285E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B1BD52">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0FF14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55E8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3E45A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99EC9">
            <w:pPr>
              <w:spacing w:before="0" w:after="0" w:line="240" w:lineRule="auto"/>
              <w:jc w:val="center"/>
            </w:pPr>
          </w:p>
        </w:tc>
      </w:tr>
      <w:tr w14:paraId="5FB5DD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6FA8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724EA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173E8D">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356BF">
            <w:pPr>
              <w:spacing w:before="0" w:after="0" w:line="240" w:lineRule="auto"/>
              <w:jc w:val="center"/>
            </w:pPr>
            <w:r>
              <w:rPr>
                <w:rFonts w:ascii="宋体" w:hAnsi="宋体" w:eastAsia="宋体"/>
                <w:b w:val="0"/>
                <w:i w:val="0"/>
                <w:color w:val="000000"/>
                <w:sz w:val="18"/>
              </w:rPr>
              <w:t>保障汛期水情报汛数据交换和汇集时限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A72C1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27266">
            <w:pPr>
              <w:spacing w:before="0" w:after="0" w:line="240" w:lineRule="auto"/>
              <w:jc w:val="center"/>
            </w:pPr>
            <w:r>
              <w:rPr>
                <w:rFonts w:ascii="宋体" w:hAnsi="宋体" w:eastAsia="宋体"/>
                <w:b w:val="0"/>
                <w:i w:val="0"/>
                <w:sz w:val="18"/>
              </w:rPr>
              <w:t>&lt;=30分钟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BFA1B6">
            <w:pPr>
              <w:spacing w:before="0" w:after="0" w:line="240" w:lineRule="auto"/>
              <w:jc w:val="center"/>
            </w:pPr>
            <w:r>
              <w:rPr>
                <w:rFonts w:ascii="宋体" w:hAnsi="宋体" w:eastAsia="宋体"/>
                <w:b w:val="0"/>
                <w:i w:val="0"/>
                <w:sz w:val="18"/>
              </w:rPr>
              <w:t>=5分钟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BA45C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46DB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223D9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AEC6C4">
            <w:pPr>
              <w:spacing w:before="0" w:after="0" w:line="240" w:lineRule="auto"/>
              <w:jc w:val="center"/>
            </w:pPr>
            <w:r>
              <w:rPr>
                <w:rFonts w:ascii="宋体" w:hAnsi="宋体" w:eastAsia="宋体"/>
                <w:b w:val="0"/>
                <w:i w:val="0"/>
                <w:sz w:val="18"/>
              </w:rPr>
              <w:t>30分钟</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DD2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1F95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16AF7B">
            <w:pPr>
              <w:spacing w:before="0" w:after="0" w:line="240" w:lineRule="auto"/>
              <w:jc w:val="center"/>
            </w:pPr>
          </w:p>
        </w:tc>
      </w:tr>
      <w:tr w14:paraId="6892240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3E2DE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222CA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1BDC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02834D">
            <w:pPr>
              <w:spacing w:before="0" w:after="0" w:line="240" w:lineRule="auto"/>
              <w:jc w:val="center"/>
            </w:pPr>
            <w:r>
              <w:rPr>
                <w:rFonts w:ascii="宋体" w:hAnsi="宋体" w:eastAsia="宋体"/>
                <w:b w:val="0"/>
                <w:i w:val="0"/>
                <w:color w:val="000000"/>
                <w:sz w:val="18"/>
              </w:rPr>
              <w:t>汛期水情报汛数据问题排查时限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E813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FFE02">
            <w:pPr>
              <w:spacing w:before="0" w:after="0" w:line="240" w:lineRule="auto"/>
              <w:jc w:val="center"/>
            </w:pPr>
            <w:r>
              <w:rPr>
                <w:rFonts w:ascii="宋体" w:hAnsi="宋体" w:eastAsia="宋体"/>
                <w:b w:val="0"/>
                <w:i w:val="0"/>
                <w:sz w:val="18"/>
              </w:rPr>
              <w:t>&lt;=4小时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0F833">
            <w:pPr>
              <w:spacing w:before="0" w:after="0" w:line="240" w:lineRule="auto"/>
              <w:jc w:val="center"/>
            </w:pPr>
            <w:r>
              <w:rPr>
                <w:rFonts w:ascii="宋体" w:hAnsi="宋体" w:eastAsia="宋体"/>
                <w:b w:val="0"/>
                <w:i w:val="0"/>
                <w:sz w:val="18"/>
              </w:rPr>
              <w:t>=0小时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DF9E9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2B1E0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9418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CC27CE">
            <w:pPr>
              <w:spacing w:before="0" w:after="0" w:line="240" w:lineRule="auto"/>
              <w:jc w:val="center"/>
            </w:pPr>
            <w:r>
              <w:rPr>
                <w:rFonts w:ascii="宋体" w:hAnsi="宋体" w:eastAsia="宋体"/>
                <w:b w:val="0"/>
                <w:i w:val="0"/>
                <w:sz w:val="18"/>
              </w:rPr>
              <w:t>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BBC0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4E9CE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079BB">
            <w:pPr>
              <w:spacing w:before="0" w:after="0" w:line="240" w:lineRule="auto"/>
              <w:jc w:val="center"/>
            </w:pPr>
          </w:p>
        </w:tc>
      </w:tr>
      <w:tr w14:paraId="635E6FF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4A0081"/>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D2A97">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E788E">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C05EF9">
            <w:pPr>
              <w:spacing w:before="0" w:after="0" w:line="240" w:lineRule="auto"/>
              <w:jc w:val="center"/>
            </w:pPr>
            <w:r>
              <w:rPr>
                <w:rFonts w:ascii="宋体" w:hAnsi="宋体" w:eastAsia="宋体"/>
                <w:b w:val="0"/>
                <w:i w:val="0"/>
                <w:color w:val="000000"/>
                <w:sz w:val="18"/>
              </w:rPr>
              <w:t>应急故障处理委托成本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778C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EFED03">
            <w:pPr>
              <w:spacing w:before="0" w:after="0" w:line="240" w:lineRule="auto"/>
              <w:jc w:val="center"/>
            </w:pPr>
            <w:r>
              <w:rPr>
                <w:rFonts w:ascii="宋体" w:hAnsi="宋体" w:eastAsia="宋体"/>
                <w:b w:val="0"/>
                <w:i w:val="0"/>
                <w:sz w:val="18"/>
              </w:rPr>
              <w:t>&lt;=17万元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264AF">
            <w:pPr>
              <w:spacing w:before="0" w:after="0" w:line="240" w:lineRule="auto"/>
              <w:jc w:val="center"/>
            </w:pPr>
            <w:r>
              <w:rPr>
                <w:rFonts w:ascii="宋体" w:hAnsi="宋体" w:eastAsia="宋体"/>
                <w:b w:val="0"/>
                <w:i w:val="0"/>
                <w:sz w:val="18"/>
              </w:rPr>
              <w: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445F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F83CF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C5C35E">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DDFCE1">
            <w:pPr>
              <w:spacing w:before="0" w:after="0" w:line="240" w:lineRule="auto"/>
              <w:jc w:val="center"/>
            </w:pPr>
            <w:r>
              <w:rPr>
                <w:rFonts w:ascii="宋体" w:hAnsi="宋体" w:eastAsia="宋体"/>
                <w:b w:val="0"/>
                <w:i w:val="0"/>
                <w:sz w:val="18"/>
              </w:rPr>
              <w:t>17万元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86D3F7">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8A1C0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9C282D">
            <w:pPr>
              <w:spacing w:before="0" w:after="0" w:line="240" w:lineRule="auto"/>
              <w:jc w:val="center"/>
            </w:pPr>
          </w:p>
        </w:tc>
      </w:tr>
      <w:tr w14:paraId="2294AD9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59ECC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F600D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A5CD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19801A">
            <w:pPr>
              <w:spacing w:before="0" w:after="0" w:line="240" w:lineRule="auto"/>
              <w:jc w:val="center"/>
            </w:pPr>
            <w:r>
              <w:rPr>
                <w:rFonts w:ascii="宋体" w:hAnsi="宋体" w:eastAsia="宋体"/>
                <w:b w:val="0"/>
                <w:i w:val="0"/>
                <w:color w:val="000000"/>
                <w:sz w:val="18"/>
              </w:rPr>
              <w:t>中心机房设备及网络维护成本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CFBFB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49B43E">
            <w:pPr>
              <w:spacing w:before="0" w:after="0" w:line="240" w:lineRule="auto"/>
              <w:jc w:val="center"/>
            </w:pPr>
            <w:r>
              <w:rPr>
                <w:rFonts w:ascii="宋体" w:hAnsi="宋体" w:eastAsia="宋体"/>
                <w:b w:val="0"/>
                <w:i w:val="0"/>
                <w:sz w:val="18"/>
              </w:rPr>
              <w:t>&lt;=3万元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B6A79">
            <w:pPr>
              <w:spacing w:before="0" w:after="0" w:line="240" w:lineRule="auto"/>
              <w:jc w:val="center"/>
            </w:pPr>
            <w:r>
              <w:rPr>
                <w:rFonts w:ascii="宋体" w:hAnsi="宋体" w:eastAsia="宋体"/>
                <w:b w:val="0"/>
                <w:i w:val="0"/>
                <w:sz w:val="18"/>
              </w:rPr>
              <w:t>=3万元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1593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6172B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173F85">
            <w:pPr>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55605A">
            <w:pPr>
              <w:spacing w:before="0" w:after="0" w:line="240" w:lineRule="auto"/>
              <w:jc w:val="center"/>
            </w:pPr>
            <w:r>
              <w:rPr>
                <w:rFonts w:ascii="宋体" w:hAnsi="宋体" w:eastAsia="宋体"/>
                <w:b w:val="0"/>
                <w:i w:val="0"/>
                <w:sz w:val="18"/>
              </w:rPr>
              <w:t>3万元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54EC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D7422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FFD2ED">
            <w:pPr>
              <w:spacing w:before="0" w:after="0" w:line="240" w:lineRule="auto"/>
              <w:jc w:val="center"/>
            </w:pPr>
          </w:p>
        </w:tc>
      </w:tr>
      <w:tr w14:paraId="1AF70FC3">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297DBE">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1EB20">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08C2B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F32A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2A37E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339D59">
            <w:pPr>
              <w:spacing w:before="0" w:after="0" w:line="240" w:lineRule="auto"/>
              <w:jc w:val="center"/>
            </w:pPr>
            <w:r>
              <w:rPr>
                <w:rFonts w:ascii="宋体" w:hAnsi="宋体" w:eastAsia="宋体"/>
                <w:b w:val="0"/>
                <w:i w:val="0"/>
                <w:color w:val="000000"/>
                <w:sz w:val="18"/>
              </w:rPr>
              <w:t>96.28分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B153F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48604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AD170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A562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1665BB">
            <w:pPr>
              <w:spacing w:before="0" w:after="0" w:line="240" w:lineRule="auto"/>
              <w:jc w:val="center"/>
            </w:pPr>
          </w:p>
        </w:tc>
      </w:tr>
    </w:tbl>
    <w:p w14:paraId="1B5AA8E4">
      <w:r>
        <w:br w:type="page"/>
      </w:r>
    </w:p>
    <w:p w14:paraId="5E46709D">
      <w:pPr>
        <w:sectPr>
          <w:type w:val="continuous"/>
          <w:pgSz w:w="11906" w:h="16838"/>
          <w:pgMar w:top="1440" w:right="1800" w:bottom="1440" w:left="1800" w:header="851" w:footer="992" w:gutter="0"/>
          <w:cols w:space="720" w:num="1"/>
          <w:docGrid w:type="lines" w:linePitch="312" w:charSpace="0"/>
        </w:sectPr>
      </w:pPr>
    </w:p>
    <w:p w14:paraId="3884B959">
      <w:pPr>
        <w:spacing w:line="640" w:lineRule="exact"/>
        <w:ind w:firstLine="640"/>
        <w:jc w:val="both"/>
        <w:outlineLvl w:val="2"/>
      </w:pPr>
      <w:r>
        <w:rPr>
          <w:rFonts w:ascii="黑体" w:hAnsi="黑体" w:eastAsia="黑体"/>
          <w:sz w:val="32"/>
        </w:rPr>
        <w:t>十二、其他需说明的事项</w:t>
      </w:r>
    </w:p>
    <w:p w14:paraId="4ED2CA44">
      <w:pPr>
        <w:spacing w:line="580" w:lineRule="exact"/>
        <w:ind w:firstLine="640"/>
        <w:jc w:val="both"/>
      </w:pPr>
      <w:r>
        <w:rPr>
          <w:rFonts w:ascii="仿宋_GB2312" w:hAnsi="仿宋_GB2312" w:eastAsia="仿宋_GB2312"/>
          <w:b w:val="0"/>
          <w:sz w:val="32"/>
        </w:rPr>
        <w:t>本单位无其他需说明的事项。</w:t>
      </w:r>
    </w:p>
    <w:p w14:paraId="0571A129">
      <w:r>
        <w:br w:type="page"/>
      </w:r>
    </w:p>
    <w:p w14:paraId="3611DD72">
      <w:pPr>
        <w:spacing w:line="600" w:lineRule="exact"/>
        <w:jc w:val="center"/>
        <w:outlineLvl w:val="0"/>
      </w:pPr>
      <w:r>
        <w:rPr>
          <w:rFonts w:ascii="黑体" w:hAnsi="黑体" w:eastAsia="黑体"/>
          <w:sz w:val="32"/>
        </w:rPr>
        <w:t>第三部分 专业名词解释</w:t>
      </w:r>
    </w:p>
    <w:p w14:paraId="2AB619F3">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5395867C">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A82185">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8BEFB39">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A349B6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9DB3657">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49D7CDF">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A533394">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11B7B2A5">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9F27438">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32F24F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4E9943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118D8C70">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B54DB02">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51D4D0D">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F75E158">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707A855">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5F7FC25">
      <w:r>
        <w:br w:type="page"/>
      </w:r>
    </w:p>
    <w:p w14:paraId="2ACE7F79">
      <w:pPr>
        <w:spacing w:line="240" w:lineRule="auto"/>
        <w:jc w:val="center"/>
        <w:outlineLvl w:val="1"/>
      </w:pPr>
      <w:r>
        <w:rPr>
          <w:rFonts w:ascii="黑体" w:hAnsi="黑体" w:eastAsia="黑体"/>
          <w:sz w:val="32"/>
        </w:rPr>
        <w:t>第四部分 部门决算报表（见附表）</w:t>
      </w:r>
    </w:p>
    <w:p w14:paraId="34743F7E">
      <w:pPr>
        <w:autoSpaceDE w:val="0"/>
        <w:autoSpaceDN w:val="0"/>
        <w:spacing w:line="600" w:lineRule="exact"/>
        <w:ind w:firstLine="640" w:firstLineChars="200"/>
      </w:pPr>
      <w:r>
        <w:rPr>
          <w:rFonts w:ascii="仿宋_GB2312" w:hAnsi="仿宋_GB2312" w:eastAsia="仿宋_GB2312"/>
          <w:b w:val="0"/>
          <w:sz w:val="32"/>
        </w:rPr>
        <w:t>一、《收入支出决算总表》</w:t>
      </w:r>
    </w:p>
    <w:p w14:paraId="2D601E9F">
      <w:pPr>
        <w:autoSpaceDE w:val="0"/>
        <w:autoSpaceDN w:val="0"/>
        <w:spacing w:line="600" w:lineRule="exact"/>
        <w:ind w:firstLine="640" w:firstLineChars="200"/>
      </w:pPr>
      <w:r>
        <w:rPr>
          <w:rFonts w:ascii="仿宋_GB2312" w:hAnsi="仿宋_GB2312" w:eastAsia="仿宋_GB2312"/>
          <w:b w:val="0"/>
          <w:sz w:val="32"/>
        </w:rPr>
        <w:t>二、《收入决算表》</w:t>
      </w:r>
    </w:p>
    <w:p w14:paraId="51FF5E2E">
      <w:pPr>
        <w:autoSpaceDE w:val="0"/>
        <w:autoSpaceDN w:val="0"/>
        <w:spacing w:line="600" w:lineRule="exact"/>
        <w:ind w:firstLine="640" w:firstLineChars="200"/>
      </w:pPr>
      <w:r>
        <w:rPr>
          <w:rFonts w:ascii="仿宋_GB2312" w:hAnsi="仿宋_GB2312" w:eastAsia="仿宋_GB2312"/>
          <w:b w:val="0"/>
          <w:sz w:val="32"/>
        </w:rPr>
        <w:t>三、《支出决算表》</w:t>
      </w:r>
    </w:p>
    <w:p w14:paraId="05C6D277">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CB2F3F0">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77DAFE20">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BC4CC87">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9508C76">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459CD5C">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AC1B273">
      <w:pPr>
        <w:autoSpaceDE w:val="0"/>
        <w:autoSpaceDN w:val="0"/>
        <w:spacing w:line="600" w:lineRule="exact"/>
        <w:ind w:firstLine="640" w:firstLineChars="200"/>
      </w:pPr>
    </w:p>
    <w:p w14:paraId="54111F9C">
      <w:pPr>
        <w:autoSpaceDE w:val="0"/>
        <w:autoSpaceDN w:val="0"/>
        <w:spacing w:line="600" w:lineRule="exact"/>
        <w:ind w:firstLine="640" w:firstLineChars="200"/>
      </w:pPr>
    </w:p>
    <w:p w14:paraId="247194A5">
      <w:pPr>
        <w:autoSpaceDE w:val="0"/>
        <w:autoSpaceDN w:val="0"/>
        <w:spacing w:line="600" w:lineRule="exact"/>
        <w:ind w:firstLine="640" w:firstLineChars="200"/>
      </w:pPr>
    </w:p>
    <w:p w14:paraId="65494A32">
      <w:pPr>
        <w:autoSpaceDE w:val="0"/>
        <w:autoSpaceDN w:val="0"/>
        <w:spacing w:line="600" w:lineRule="exact"/>
        <w:ind w:firstLine="640" w:firstLineChars="200"/>
      </w:pPr>
    </w:p>
    <w:p w14:paraId="62B0B401">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2ECB3D-D000-4920-8B1C-45A89D7134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6695221-9662-4981-A6A9-CAC553E392FF}"/>
  </w:font>
  <w:font w:name="仿宋_GB2312">
    <w:panose1 w:val="02010609030101010101"/>
    <w:charset w:val="86"/>
    <w:family w:val="modern"/>
    <w:pitch w:val="default"/>
    <w:sig w:usb0="00000001" w:usb1="080E0000" w:usb2="00000000" w:usb3="00000000" w:csb0="00040000" w:csb1="00000000"/>
    <w:embedRegular r:id="rId3" w:fontKey="{FF405D49-B49E-4CF8-A62B-A49DB2AD1303}"/>
  </w:font>
  <w:font w:name="楷体_GB2312">
    <w:panose1 w:val="02010609030101010101"/>
    <w:charset w:val="86"/>
    <w:family w:val="auto"/>
    <w:pitch w:val="default"/>
    <w:sig w:usb0="00000001" w:usb1="080E0000" w:usb2="00000000" w:usb3="00000000" w:csb0="00040000" w:csb1="00000000"/>
    <w:embedRegular r:id="rId4" w:fontKey="{4018EBC7-84EC-46C8-9755-BFBFF82C7E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7C95C98"/>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9fe2e91f-3b61-4ef4-b542-4959fbd7616a</errorID>
      <errorWord>监控</errorWord>
      <group>L1_Sensitive</group>
      <groupName>敏感问题</groupName>
      <ability>L2_UserSensitive</ability>
      <abilityName>自定义敏感词</abilityName>
      <candidateList/>
      <explain>来自自定义敏感词库。</explain>
      <paraID> 49875FE</paraID>
      <start>160</start>
      <end>162</end>
      <status>unmodified</status>
      <modifiedWord/>
      <trackRevisions>false</trackRevisions>
    </reviewItem>
    <reviewItem>
      <errorID>cae1e324-4162-4352-9848-85cdeeb4a740</errorID>
      <errorWord>论</errorWord>
      <group>L1_Word</group>
      <groupName>字词问题</groupName>
      <ability>L2_Typo</ability>
      <abilityName>字词错误</abilityName>
      <candidateList>
        <item>论是</item>
      </candidateList>
      <explain/>
      <paraID> 49875FE</paraID>
      <start>270</start>
      <end>272</end>
      <status>modified</status>
      <modifiedWord>论是</modifiedWord>
      <trackRevisions>false</trackRevisions>
    </reviewItem>
    <reviewItem>
      <errorID>9830c5ab-f90a-46fb-9f20-13a2f515bd46</errorID>
      <errorWord>是</errorWord>
      <group>L1_Word</group>
      <groupName>字词问题</groupName>
      <ability>L2_Typo</ability>
      <abilityName>字词错误</abilityName>
      <candidateList>
        <item>是网</item>
      </candidateList>
      <explain/>
      <paraID> 49875FE</paraID>
      <start>330</start>
      <end>332</end>
      <status>modified</status>
      <modifiedWord>是网</modifiedWord>
      <trackRevisions>false</trackRevisions>
    </reviewItem>
    <reviewItem>
      <errorID>f1fc2f5c-4136-4fb3-b5d2-da1bd1f94c99</errorID>
      <errorWord>监控</errorWord>
      <group>L1_Sensitive</group>
      <groupName>敏感问题</groupName>
      <ability>L2_UserSensitive</ability>
      <abilityName>自定义敏感词</abilityName>
      <candidateList/>
      <explain>来自自定义敏感词库。</explain>
      <paraID> 49875FE</paraID>
      <start>387</start>
      <end>389</end>
      <status>unmodified</status>
      <modifiedWord/>
      <trackRevisions>false</trackRevisions>
    </reviewItem>
    <reviewItem>
      <errorID>8188cd74-f8eb-40c2-8376-e9936beaf667</errorID>
      <errorWord>监控</errorWord>
      <group>L1_Sensitive</group>
      <groupName>敏感问题</groupName>
      <ability>L2_UserSensitive</ability>
      <abilityName>自定义敏感词</abilityName>
      <candidateList/>
      <explain>来自自定义敏感词库。</explain>
      <paraID>5A90D16E</paraID>
      <start>63</start>
      <end>65</end>
      <status>unmodified</status>
      <modifiedWord/>
      <trackRevisions>false</trackRevisions>
    </reviewItem>
    <reviewItem>
      <errorID>29119850-2e80-49ad-a05f-fcb822fae28e</errorID>
      <errorWord>监控</errorWord>
      <group>L1_Sensitive</group>
      <groupName>敏感问题</groupName>
      <ability>L2_UserSensitive</ability>
      <abilityName>自定义敏感词</abilityName>
      <candidateList/>
      <explain>来自自定义敏感词库。</explain>
      <paraID>58549C8F</paraID>
      <start>106</start>
      <end>108</end>
      <status>unmodified</status>
      <modifiedWord/>
      <trackRevisions>false</trackRevisions>
    </reviewItem>
    <reviewItem>
      <errorID>611a3bb4-b737-411c-b4d5-38deaf228e7f</errorID>
      <errorWord>、及</errorWord>
      <group>L1_Other</group>
      <groupName>其他问题</groupName>
      <ability>L2_UserTypo</ability>
      <abilityName>自定义错误</abilityName>
      <candidateList>
        <item>及</item>
      </candidateList>
      <explain>来自自定义错词库。</explain>
      <paraID>5717E4B1</paraID>
      <start>33</start>
      <end>35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18ee1024-4645-4e9b-800d-999502c226e1}">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4695</Words>
  <Characters>5315</Characters>
  <Lines>10</Lines>
  <Paragraphs>2</Paragraphs>
  <TotalTime>4</TotalTime>
  <ScaleCrop>false</ScaleCrop>
  <LinksUpToDate>false</LinksUpToDate>
  <CharactersWithSpaces>5323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白羊</cp:lastModifiedBy>
  <cp:lastPrinted>2024-07-22T11:58:00Z</cp:lastPrinted>
  <dcterms:modified xsi:type="dcterms:W3CDTF">2026-08-28T09:14:36Z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eyJoZGlkIjoiN2E1ZDY0MDI5MTE3YjM0ZGMyMzg4N2EwMDI4ZjJiM2YiLCJ1c2VySWQiOiI0MzE2NzY3NzkifQ==</vt:lpwstr>
  </property>
</Properties>
</file>