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新疆维吾尔自治区水旱灾害防御中心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BE524D6">
      <w:r>
        <w:br w:type="page"/>
      </w:r>
    </w:p>
    <w:p w14:paraId="11845CFB">
      <w:pPr>
        <w:spacing w:line="640" w:lineRule="exact"/>
        <w:jc w:val="center"/>
        <w:outlineLvl w:val="1"/>
      </w:pPr>
      <w:r>
        <w:rPr>
          <w:rFonts w:ascii="黑体" w:hAnsi="黑体" w:eastAsia="黑体"/>
          <w:sz w:val="32"/>
        </w:rPr>
        <w:t>第一部分 单位概况</w:t>
      </w:r>
    </w:p>
    <w:p w14:paraId="257C8998">
      <w:pPr>
        <w:spacing w:line="640" w:lineRule="exact"/>
        <w:ind w:firstLine="640"/>
        <w:jc w:val="both"/>
        <w:outlineLvl w:val="2"/>
      </w:pPr>
      <w:r>
        <w:rPr>
          <w:rFonts w:ascii="黑体" w:hAnsi="黑体" w:eastAsia="黑体"/>
          <w:sz w:val="32"/>
        </w:rPr>
        <w:t>一、主要职能</w:t>
      </w:r>
    </w:p>
    <w:p w14:paraId="6352A32B">
      <w:pPr>
        <w:spacing w:line="580" w:lineRule="exact"/>
        <w:ind w:firstLine="640"/>
        <w:jc w:val="both"/>
      </w:pPr>
      <w:r>
        <w:rPr>
          <w:rFonts w:ascii="仿宋_GB2312" w:hAnsi="仿宋_GB2312" w:eastAsia="仿宋_GB2312"/>
          <w:sz w:val="32"/>
        </w:rPr>
        <w:t>承担重点河流湖泊和重要水工程的洪水防御、洪水调度及演练、应急水量调度、应急抢险、应急抗旱等技术保障工作；承担自治区级山洪灾害防治专项规划、总体实施方案、年度方案等编制工作，承担干旱防治规划、水旱灾害防御预案、洪水风险图等技术支撑工作；承担洪泛区、蓄滞洪区和防洪保护区洪水影响评价等技术支撑工作；协助蓄滞洪区安全建设，管理和运用补偿工作；协助自治区级水情旱情会商分析，参与监测预警和信息报送，配合协调汛期水库调度运用和干旱影响评估工作；承担自治区水旱灾害监测预警平台建设运行维护、自治区级山洪灾害监测预警预报、信息发布工作；参与山洪灾害防治工作，指导山洪灾害防治非工程措施和山洪沟防洪治理项目建设和管理；承担水利行业防汛抗旱物资储备维护技术支撑工作；开展水旱灾害防御技术研究、推广、宣传等工作；承担厅应急值守工作；参与水旱灾害防御资金计划安排、项目建设管理、防汛监督检查等工作；承担厅党组交办的其他事项。</w:t>
      </w:r>
    </w:p>
    <w:p w14:paraId="0F8522D2">
      <w:pPr>
        <w:spacing w:line="640" w:lineRule="exact"/>
        <w:ind w:firstLine="640"/>
        <w:jc w:val="both"/>
        <w:outlineLvl w:val="2"/>
      </w:pPr>
      <w:r>
        <w:rPr>
          <w:rFonts w:ascii="黑体" w:hAnsi="黑体" w:eastAsia="黑体"/>
          <w:sz w:val="32"/>
        </w:rPr>
        <w:t>二、机构设置</w:t>
      </w:r>
    </w:p>
    <w:p w14:paraId="42917D0F">
      <w:pPr>
        <w:spacing w:line="580" w:lineRule="exact"/>
        <w:ind w:firstLine="640"/>
        <w:jc w:val="both"/>
      </w:pPr>
      <w:r>
        <w:rPr>
          <w:rFonts w:ascii="仿宋_GB2312" w:hAnsi="仿宋_GB2312" w:eastAsia="仿宋_GB2312"/>
          <w:sz w:val="32"/>
        </w:rPr>
        <w:t>新疆维吾尔自治区水旱灾害防御中心无下属预算单位。</w:t>
      </w:r>
    </w:p>
    <w:p w14:paraId="24EE0EF7">
      <w:r>
        <w:br w:type="page"/>
      </w:r>
    </w:p>
    <w:p w14:paraId="61BEA0A2">
      <w:pPr>
        <w:spacing w:line="240" w:lineRule="auto"/>
        <w:jc w:val="center"/>
        <w:outlineLvl w:val="1"/>
      </w:pPr>
      <w:r>
        <w:rPr>
          <w:rFonts w:ascii="黑体" w:hAnsi="黑体" w:eastAsia="黑体"/>
          <w:sz w:val="32"/>
        </w:rPr>
        <w:t>第二部分 部门决算情况说明</w:t>
      </w:r>
    </w:p>
    <w:p w14:paraId="57A5F78A">
      <w:pPr>
        <w:spacing w:line="640" w:lineRule="exact"/>
        <w:ind w:firstLine="640"/>
        <w:jc w:val="both"/>
        <w:outlineLvl w:val="2"/>
      </w:pPr>
      <w:r>
        <w:rPr>
          <w:rFonts w:ascii="黑体" w:hAnsi="黑体" w:eastAsia="黑体"/>
          <w:sz w:val="32"/>
        </w:rPr>
        <w:t>一、收入支出决算总体情况说明</w:t>
      </w:r>
    </w:p>
    <w:p w14:paraId="3F743E2D">
      <w:pPr>
        <w:spacing w:line="580" w:lineRule="exact"/>
        <w:ind w:firstLine="640"/>
        <w:jc w:val="both"/>
      </w:pPr>
      <w:r>
        <w:rPr>
          <w:rFonts w:ascii="仿宋_GB2312" w:hAnsi="仿宋_GB2312" w:eastAsia="仿宋_GB2312"/>
          <w:b/>
          <w:sz w:val="32"/>
        </w:rPr>
        <w:t>2025年度收入总计6,678.44万元，</w:t>
      </w:r>
      <w:r>
        <w:rPr>
          <w:rFonts w:ascii="仿宋_GB2312" w:hAnsi="仿宋_GB2312" w:eastAsia="仿宋_GB2312"/>
          <w:b w:val="0"/>
          <w:sz w:val="32"/>
        </w:rPr>
        <w:t>其中：本年收入合计6,667.95万元，使用非财政拨款结余（含专用结余）0.00万元，年初结转和结余10.50万元。</w:t>
      </w:r>
    </w:p>
    <w:p w14:paraId="2CEE0CA8">
      <w:pPr>
        <w:spacing w:line="580" w:lineRule="exact"/>
        <w:ind w:firstLine="640"/>
        <w:jc w:val="both"/>
      </w:pPr>
      <w:r>
        <w:rPr>
          <w:rFonts w:ascii="仿宋_GB2312" w:hAnsi="仿宋_GB2312" w:eastAsia="仿宋_GB2312"/>
          <w:b/>
          <w:sz w:val="32"/>
        </w:rPr>
        <w:t>2025年度支出总计6,678.44万元，</w:t>
      </w:r>
      <w:r>
        <w:rPr>
          <w:rFonts w:ascii="仿宋_GB2312" w:hAnsi="仿宋_GB2312" w:eastAsia="仿宋_GB2312"/>
          <w:b w:val="0"/>
          <w:sz w:val="32"/>
        </w:rPr>
        <w:t>其中：本年支出合计6,658.63万元，结余分配0.00万元，年末结转和结余19.81万元。</w:t>
      </w:r>
    </w:p>
    <w:p w14:paraId="3BE4F0E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增加2,403.79万元，增长56.23%，主要原因是：本年山洪灾害防治项目、防治维修养护项目和重点地区洪水风险图编制等项目资金较上年增加。</w:t>
      </w:r>
    </w:p>
    <w:p w14:paraId="048153B4">
      <w:pPr>
        <w:spacing w:line="640" w:lineRule="exact"/>
        <w:ind w:firstLine="640"/>
        <w:jc w:val="both"/>
        <w:outlineLvl w:val="2"/>
      </w:pPr>
      <w:r>
        <w:rPr>
          <w:rFonts w:ascii="黑体" w:hAnsi="黑体" w:eastAsia="黑体"/>
          <w:sz w:val="32"/>
        </w:rPr>
        <w:t>二、收入决算情况说明</w:t>
      </w:r>
    </w:p>
    <w:p w14:paraId="6766919D">
      <w:pPr>
        <w:spacing w:line="580" w:lineRule="exact"/>
        <w:ind w:firstLine="640"/>
        <w:jc w:val="both"/>
      </w:pPr>
      <w:r>
        <w:rPr>
          <w:rFonts w:ascii="仿宋_GB2312" w:hAnsi="仿宋_GB2312" w:eastAsia="仿宋_GB2312"/>
          <w:b/>
          <w:sz w:val="32"/>
        </w:rPr>
        <w:t>本年收入6,667.95万元，</w:t>
      </w:r>
      <w:r>
        <w:rPr>
          <w:rFonts w:ascii="仿宋_GB2312" w:hAnsi="仿宋_GB2312" w:eastAsia="仿宋_GB2312"/>
          <w:b w:val="0"/>
          <w:sz w:val="32"/>
        </w:rPr>
        <w:t>其中：财政拨款收入6,658.08万元，占99.85%；上级补助收入0.00万元，占0.00%；事业收入0.00万元，占0.00%；经营收入0.00万元，占0.00%；附属单位上缴收入0.00万元，占0.00%；其他收入9.87万元，占0.15%。</w:t>
      </w:r>
    </w:p>
    <w:p w14:paraId="6A4104CD">
      <w:pPr>
        <w:spacing w:line="640" w:lineRule="exact"/>
        <w:ind w:firstLine="640"/>
        <w:jc w:val="both"/>
        <w:outlineLvl w:val="2"/>
      </w:pPr>
      <w:r>
        <w:rPr>
          <w:rFonts w:ascii="黑体" w:hAnsi="黑体" w:eastAsia="黑体"/>
          <w:sz w:val="32"/>
        </w:rPr>
        <w:t>三、支出决算情况说明</w:t>
      </w:r>
    </w:p>
    <w:p w14:paraId="4F4363C9">
      <w:pPr>
        <w:spacing w:line="580" w:lineRule="exact"/>
        <w:ind w:firstLine="640"/>
        <w:jc w:val="both"/>
      </w:pPr>
      <w:r>
        <w:rPr>
          <w:rFonts w:ascii="仿宋_GB2312" w:hAnsi="仿宋_GB2312" w:eastAsia="仿宋_GB2312"/>
          <w:b/>
          <w:sz w:val="32"/>
        </w:rPr>
        <w:t>本年支出6,658.63万元，</w:t>
      </w:r>
      <w:r>
        <w:rPr>
          <w:rFonts w:ascii="仿宋_GB2312" w:hAnsi="仿宋_GB2312" w:eastAsia="仿宋_GB2312"/>
          <w:b w:val="0"/>
          <w:sz w:val="32"/>
        </w:rPr>
        <w:t>其中：基本支出479.41万元，占7.20%；项目支出6,179.23万元，占92.80%；上缴上级支出0.00万元，占0.00%；经营支出0.00万元，占0.00%；对附属单位补助支出0.00万元，占0.00%。</w:t>
      </w:r>
    </w:p>
    <w:p w14:paraId="5168D2B0">
      <w:pPr>
        <w:spacing w:line="640" w:lineRule="exact"/>
        <w:ind w:firstLine="640"/>
        <w:jc w:val="both"/>
        <w:outlineLvl w:val="2"/>
      </w:pPr>
      <w:r>
        <w:rPr>
          <w:rFonts w:ascii="黑体" w:hAnsi="黑体" w:eastAsia="黑体"/>
          <w:sz w:val="32"/>
        </w:rPr>
        <w:t>四、财政拨款收入支出决算总体情况说明</w:t>
      </w:r>
    </w:p>
    <w:p w14:paraId="4BEC8A29">
      <w:pPr>
        <w:spacing w:line="580" w:lineRule="exact"/>
        <w:ind w:firstLine="640"/>
        <w:jc w:val="both"/>
      </w:pPr>
      <w:r>
        <w:rPr>
          <w:rFonts w:ascii="仿宋_GB2312" w:hAnsi="仿宋_GB2312" w:eastAsia="仿宋_GB2312"/>
          <w:b/>
          <w:sz w:val="32"/>
        </w:rPr>
        <w:t>2025年度财政拨款收入总计6,666.81万元，</w:t>
      </w:r>
      <w:r>
        <w:rPr>
          <w:rFonts w:ascii="仿宋_GB2312" w:hAnsi="仿宋_GB2312" w:eastAsia="仿宋_GB2312"/>
          <w:b w:val="0"/>
          <w:sz w:val="32"/>
        </w:rPr>
        <w:t>其中：年初财政拨款结转和结余8.73万元，本年财政拨款收入6,658.08万元。</w:t>
      </w:r>
      <w:r>
        <w:rPr>
          <w:rFonts w:ascii="仿宋_GB2312" w:hAnsi="仿宋_GB2312" w:eastAsia="仿宋_GB2312"/>
          <w:b/>
          <w:sz w:val="32"/>
        </w:rPr>
        <w:t>财政拨款支出总计6,666.81万元，</w:t>
      </w:r>
      <w:r>
        <w:rPr>
          <w:rFonts w:ascii="仿宋_GB2312" w:hAnsi="仿宋_GB2312" w:eastAsia="仿宋_GB2312"/>
          <w:b w:val="0"/>
          <w:sz w:val="32"/>
        </w:rPr>
        <w:t>其中：年末财政拨款结转和结余14.40万元，本年财政拨款支出6,652.40万元。</w:t>
      </w:r>
    </w:p>
    <w:p w14:paraId="58ECC29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增加2,414.22万元，增长56.77%，主要原因是：本年山洪灾害防治项目、防治维修养护项目和重点地区洪水风险图编制等项目资金较上年增加。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年初预算数6,381.60万元，决算数6,666.81万元，预决算差异率4.47%，主要原因是：本年在职人员增加，年中追加人员经费及人员工资、社保、公积金基数调增部分资金，导致预决算存在差异。</w:t>
      </w:r>
    </w:p>
    <w:p w14:paraId="63F59035">
      <w:pPr>
        <w:spacing w:line="640" w:lineRule="exact"/>
        <w:ind w:firstLine="640"/>
        <w:jc w:val="both"/>
        <w:outlineLvl w:val="2"/>
      </w:pPr>
      <w:r>
        <w:rPr>
          <w:rFonts w:ascii="黑体" w:hAnsi="黑体" w:eastAsia="黑体"/>
          <w:sz w:val="32"/>
        </w:rPr>
        <w:t>五、一般公共预算财政拨款支出决算情况说明</w:t>
      </w:r>
    </w:p>
    <w:p w14:paraId="2DE82AA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关运行，事业发展，山洪灾害防治项目等重点支出，体现在有关支出科目中。</w:t>
      </w:r>
    </w:p>
    <w:p w14:paraId="34E6D27D">
      <w:pPr>
        <w:spacing w:line="580" w:lineRule="exact"/>
        <w:ind w:firstLine="640"/>
        <w:jc w:val="both"/>
      </w:pPr>
      <w:r>
        <w:rPr>
          <w:rFonts w:ascii="仿宋_GB2312" w:hAnsi="仿宋_GB2312" w:eastAsia="仿宋_GB2312"/>
          <w:b w:val="0"/>
          <w:sz w:val="32"/>
        </w:rPr>
        <w:t>按照支出功能分类，农林水支出（类）水利（款）防汛（项）的支出占本年财政拨款支出总额的比重最高，2025年度决算数为5,567.00万元，占比83.68%，主要用于2025年度自治区山洪灾害防治项目、防治维修养护项目和重点地区洪水风险图编制项目。</w:t>
      </w:r>
    </w:p>
    <w:p w14:paraId="3D5D9542">
      <w:pPr>
        <w:spacing w:line="640" w:lineRule="exact"/>
        <w:ind w:firstLine="640"/>
        <w:jc w:val="both"/>
        <w:outlineLvl w:val="3"/>
      </w:pPr>
      <w:r>
        <w:rPr>
          <w:rFonts w:ascii="楷体_GB2312" w:hAnsi="楷体_GB2312" w:eastAsia="楷体_GB2312"/>
          <w:b/>
          <w:sz w:val="32"/>
        </w:rPr>
        <w:t>（一）一般公共预算财政拨款支出决算总体情况</w:t>
      </w:r>
    </w:p>
    <w:p w14:paraId="38FC3C16">
      <w:pPr>
        <w:spacing w:line="580" w:lineRule="exact"/>
        <w:ind w:firstLine="640"/>
        <w:jc w:val="both"/>
      </w:pPr>
      <w:r>
        <w:rPr>
          <w:rFonts w:ascii="仿宋_GB2312" w:hAnsi="仿宋_GB2312" w:eastAsia="仿宋_GB2312"/>
          <w:b/>
          <w:sz w:val="32"/>
        </w:rPr>
        <w:t>2025年度一般公共预算财政拨款支出6,652.40万元，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增加2,408.54万元，增长56.75%，主要原因是：本年山洪灾害防治项目、防治维修养护项目和重点地区洪水风险图编制等项目资金较上年增加。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年初预算数6,381.60万元，决算数6,652.40万元，预决算差异率4.24%，主要原因是：本年在职人员增加，年中追加人员经费及人员工资、社保、公积金基数调增部分资金，导致预决算存在差异。</w:t>
      </w:r>
    </w:p>
    <w:p w14:paraId="206A4908">
      <w:pPr>
        <w:spacing w:line="640" w:lineRule="exact"/>
        <w:ind w:firstLine="640"/>
        <w:jc w:val="both"/>
        <w:outlineLvl w:val="3"/>
      </w:pPr>
      <w:r>
        <w:rPr>
          <w:rFonts w:ascii="楷体_GB2312" w:hAnsi="楷体_GB2312" w:eastAsia="楷体_GB2312"/>
          <w:b/>
          <w:sz w:val="32"/>
        </w:rPr>
        <w:t>（二）一般公共预算财政拨款支出决算结构情况</w:t>
      </w:r>
    </w:p>
    <w:p w14:paraId="56F51DA7">
      <w:pPr>
        <w:spacing w:line="580" w:lineRule="exact"/>
        <w:ind w:firstLine="640"/>
        <w:jc w:val="both"/>
      </w:pPr>
      <w:r>
        <w:rPr>
          <w:rFonts w:ascii="仿宋_GB2312" w:hAnsi="仿宋_GB2312" w:eastAsia="仿宋_GB2312"/>
          <w:b w:val="0"/>
          <w:sz w:val="32"/>
        </w:rPr>
        <w:t>1.社会保障和就业支出（类）126.85万元，占1.91%。</w:t>
      </w:r>
    </w:p>
    <w:p w14:paraId="45189CFC">
      <w:pPr>
        <w:spacing w:line="580" w:lineRule="exact"/>
        <w:ind w:firstLine="640"/>
        <w:jc w:val="both"/>
      </w:pPr>
      <w:r>
        <w:rPr>
          <w:rFonts w:ascii="仿宋_GB2312" w:hAnsi="仿宋_GB2312" w:eastAsia="仿宋_GB2312"/>
          <w:b w:val="0"/>
          <w:sz w:val="32"/>
        </w:rPr>
        <w:t>2.卫生健康支出（类）35.52万元，占0.53%。</w:t>
      </w:r>
    </w:p>
    <w:p w14:paraId="79E5E18C">
      <w:pPr>
        <w:spacing w:line="580" w:lineRule="exact"/>
        <w:ind w:firstLine="640"/>
        <w:jc w:val="both"/>
      </w:pPr>
      <w:r>
        <w:rPr>
          <w:rFonts w:ascii="仿宋_GB2312" w:hAnsi="仿宋_GB2312" w:eastAsia="仿宋_GB2312"/>
          <w:b w:val="0"/>
          <w:sz w:val="32"/>
        </w:rPr>
        <w:t>3.农林水支出（类）6,461.93万元，占97.14%。</w:t>
      </w:r>
    </w:p>
    <w:p w14:paraId="2B64FE5C">
      <w:pPr>
        <w:spacing w:line="580" w:lineRule="exact"/>
        <w:ind w:firstLine="640"/>
        <w:jc w:val="both"/>
      </w:pPr>
      <w:r>
        <w:rPr>
          <w:rFonts w:ascii="仿宋_GB2312" w:hAnsi="仿宋_GB2312" w:eastAsia="仿宋_GB2312"/>
          <w:b w:val="0"/>
          <w:sz w:val="32"/>
        </w:rPr>
        <w:t>4.住房保障支出（类）28.11万元，占0.42%。</w:t>
      </w:r>
    </w:p>
    <w:p w14:paraId="459B3BB1">
      <w:pPr>
        <w:spacing w:line="640" w:lineRule="exact"/>
        <w:ind w:firstLine="640"/>
        <w:jc w:val="both"/>
        <w:outlineLvl w:val="3"/>
      </w:pPr>
      <w:r>
        <w:rPr>
          <w:rFonts w:ascii="楷体_GB2312" w:hAnsi="楷体_GB2312" w:eastAsia="楷体_GB2312"/>
          <w:b/>
          <w:sz w:val="32"/>
        </w:rPr>
        <w:t>（三）一般公共预算财政拨款支出决算具体情况</w:t>
      </w:r>
    </w:p>
    <w:p w14:paraId="13299943">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1.社会保障和就业支出（类）行政事业单位养老支出（款）行政单位离退休（项）：支出决算数为68.23万元，比上年决算增加14.12万元，增长26.09%，主要原因是：本年增加退休人员基础绩效奖，退休费支出增加。</w:t>
      </w:r>
    </w:p>
    <w:p w14:paraId="2962643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37.97万元，比上年决算增加11.27万元，增长42.21%，主要原因是：本年在职人员增加，养老保险缴费较上年增加。</w:t>
      </w:r>
    </w:p>
    <w:p w14:paraId="4147B55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20.64万元，比上年决算增加0.46万元，增长2.28%，主要原因是：本年在职人员记实2025年机关事业单位职业年金缴费，支出较上年增加。</w:t>
      </w:r>
    </w:p>
    <w:p w14:paraId="694A514A">
      <w:pPr>
        <w:spacing w:line="580" w:lineRule="exact"/>
        <w:ind w:firstLine="640"/>
        <w:jc w:val="both"/>
      </w:pPr>
      <w:r>
        <w:rPr>
          <w:rFonts w:ascii="仿宋_GB2312" w:hAnsi="仿宋_GB2312" w:eastAsia="仿宋_GB2312"/>
          <w:b w:val="0"/>
          <w:sz w:val="32"/>
        </w:rPr>
        <w:t>4.卫生健康支出（类）行政事业单位医疗（款）行政单位医疗（项）：支出决算数为21.42万元，比上年决算增加12.17万元，增长131.57%，主要原因是：本年在职人员增加，行政单位医疗支出较上年增加。</w:t>
      </w:r>
    </w:p>
    <w:p w14:paraId="5224B5F1">
      <w:pPr>
        <w:spacing w:line="580" w:lineRule="exact"/>
        <w:ind w:firstLine="640"/>
        <w:jc w:val="both"/>
      </w:pPr>
      <w:r>
        <w:rPr>
          <w:rFonts w:ascii="仿宋_GB2312" w:hAnsi="仿宋_GB2312" w:eastAsia="仿宋_GB2312"/>
          <w:b w:val="0"/>
          <w:sz w:val="32"/>
        </w:rPr>
        <w:t>5.卫生健康支出（类）行政事业单位医疗（款）公务员医疗补助（项）：支出决算数为14.10万元，比上年决算增加4.20万元，增长42.42%，主要原因是：本年在职人员增加，公务员医疗补助较上年增加。</w:t>
      </w:r>
    </w:p>
    <w:p w14:paraId="612FDDAB">
      <w:pPr>
        <w:spacing w:line="580" w:lineRule="exact"/>
        <w:ind w:firstLine="640"/>
        <w:jc w:val="both"/>
      </w:pPr>
      <w:r>
        <w:rPr>
          <w:rFonts w:ascii="仿宋_GB2312" w:hAnsi="仿宋_GB2312" w:eastAsia="仿宋_GB2312"/>
          <w:b w:val="0"/>
          <w:sz w:val="32"/>
        </w:rPr>
        <w:t>6.农林水支出（类）水利（款）行政运行（项）：支出决算数为288.93万元，比上年决算增加126.11万元，增长77.45%，主要原因是：本年新增在职人员，人员经费增加，导致经费较上年有所增加。</w:t>
      </w:r>
    </w:p>
    <w:p w14:paraId="101A0C6E">
      <w:pPr>
        <w:spacing w:line="580" w:lineRule="exact"/>
        <w:ind w:firstLine="640"/>
        <w:jc w:val="both"/>
      </w:pPr>
      <w:r>
        <w:rPr>
          <w:rFonts w:ascii="仿宋_GB2312" w:hAnsi="仿宋_GB2312" w:eastAsia="仿宋_GB2312"/>
          <w:b w:val="0"/>
          <w:sz w:val="32"/>
        </w:rPr>
        <w:t>7.农林水支出（类）水利（款）一般行政管理事务（项）：支出决算数为30.00万元，比上年决算增加30.00万元，增长100.00%，主要原因是：自治区水利发展资金由农林水支出(类)水利(款)行政运行(项)调整为农林水支出(类)水利(款)一般行政管理事务(项)</w:t>
      </w:r>
      <w:r>
        <w:rPr>
          <w:rFonts w:hint="eastAsia" w:ascii="仿宋_GB2312" w:hAnsi="仿宋_GB2312" w:eastAsia="仿宋_GB2312"/>
          <w:b w:val="0"/>
          <w:sz w:val="32"/>
          <w:lang w:val="en-US" w:eastAsia="zh-CN"/>
        </w:rPr>
        <w:t>列支</w:t>
      </w:r>
      <w:r>
        <w:rPr>
          <w:rFonts w:ascii="仿宋_GB2312" w:hAnsi="仿宋_GB2312" w:eastAsia="仿宋_GB2312"/>
          <w:b w:val="0"/>
          <w:sz w:val="32"/>
        </w:rPr>
        <w:t>，因此决算数较上年增加。</w:t>
      </w:r>
    </w:p>
    <w:p w14:paraId="3AAC0E60">
      <w:pPr>
        <w:spacing w:line="580" w:lineRule="exact"/>
        <w:ind w:firstLine="640"/>
        <w:jc w:val="both"/>
      </w:pPr>
      <w:r>
        <w:rPr>
          <w:rFonts w:ascii="仿宋_GB2312" w:hAnsi="仿宋_GB2312" w:eastAsia="仿宋_GB2312"/>
          <w:b w:val="0"/>
          <w:sz w:val="32"/>
        </w:rPr>
        <w:t>8.农林水支出（类）水利（款）水资源节约管理与保护（项）：支出决算数为576.00万元，比上年决算增加576.00万元，增长100.00%，主要原因是：自治区水利转移支付资金项目由农林水支出(类)水利(款)防汛(项)调整为农林水支出(类)水利(款)水资源节约管理与保护(项)</w:t>
      </w:r>
      <w:r>
        <w:rPr>
          <w:rFonts w:hint="eastAsia" w:ascii="仿宋_GB2312" w:hAnsi="仿宋_GB2312" w:eastAsia="仿宋_GB2312"/>
          <w:b w:val="0"/>
          <w:sz w:val="32"/>
          <w:lang w:val="en-US" w:eastAsia="zh-CN"/>
        </w:rPr>
        <w:t>列支</w:t>
      </w:r>
      <w:r>
        <w:rPr>
          <w:rFonts w:ascii="仿宋_GB2312" w:hAnsi="仿宋_GB2312" w:eastAsia="仿宋_GB2312"/>
          <w:b w:val="0"/>
          <w:sz w:val="32"/>
        </w:rPr>
        <w:t>，因此决算数较上年增加。</w:t>
      </w:r>
    </w:p>
    <w:p w14:paraId="74D9439E">
      <w:pPr>
        <w:spacing w:line="580" w:lineRule="exact"/>
        <w:ind w:firstLine="640"/>
        <w:jc w:val="both"/>
      </w:pPr>
      <w:r>
        <w:rPr>
          <w:rFonts w:ascii="仿宋_GB2312" w:hAnsi="仿宋_GB2312" w:eastAsia="仿宋_GB2312"/>
          <w:b w:val="0"/>
          <w:sz w:val="32"/>
        </w:rPr>
        <w:t>9.农林水支出（类）水利（款）防汛（项）：支出决算数为5,567.00万元，比上年决算增加1,618.00万元，增长40.97%，主要原因是：2025年山洪灾害防治项目、防治维修养护项目等项目金额增加。</w:t>
      </w:r>
    </w:p>
    <w:p w14:paraId="2086B989">
      <w:pPr>
        <w:spacing w:line="580" w:lineRule="exact"/>
        <w:ind w:firstLine="640"/>
        <w:jc w:val="both"/>
      </w:pPr>
      <w:r>
        <w:rPr>
          <w:rFonts w:ascii="仿宋_GB2312" w:hAnsi="仿宋_GB2312" w:eastAsia="仿宋_GB2312"/>
          <w:b w:val="0"/>
          <w:sz w:val="32"/>
        </w:rPr>
        <w:t>10.住房保障支出（类）住房改革支出（款）住房公积金（项）：支出决算数为28.11万元，比上年决算增加16.20万元，增长136.02%，主要原因是：本年在职人员增加，住房公积金支出较上年增加。</w:t>
      </w:r>
    </w:p>
    <w:p w14:paraId="1E684E34">
      <w:pPr>
        <w:spacing w:line="640" w:lineRule="exact"/>
        <w:ind w:firstLine="640"/>
        <w:jc w:val="both"/>
        <w:outlineLvl w:val="2"/>
      </w:pPr>
      <w:r>
        <w:rPr>
          <w:rFonts w:ascii="黑体" w:hAnsi="黑体" w:eastAsia="黑体"/>
          <w:sz w:val="32"/>
        </w:rPr>
        <w:t>六、一般公共预算财政拨款基本支出决算情况说明</w:t>
      </w:r>
    </w:p>
    <w:p w14:paraId="2703411C">
      <w:pPr>
        <w:spacing w:line="580" w:lineRule="exact"/>
        <w:ind w:firstLine="640"/>
        <w:jc w:val="both"/>
      </w:pPr>
      <w:r>
        <w:rPr>
          <w:rFonts w:ascii="仿宋_GB2312" w:hAnsi="仿宋_GB2312" w:eastAsia="仿宋_GB2312"/>
          <w:b w:val="0"/>
          <w:sz w:val="32"/>
        </w:rPr>
        <w:t>2025年度一般公共预算财政拨款基本支出479.40万元，其中：</w:t>
      </w:r>
      <w:r>
        <w:rPr>
          <w:rFonts w:ascii="仿宋_GB2312" w:hAnsi="仿宋_GB2312" w:eastAsia="仿宋_GB2312"/>
          <w:b/>
          <w:sz w:val="32"/>
        </w:rPr>
        <w:t>人员经费448.91万元，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其他对个人和家庭的补助。</w:t>
      </w:r>
    </w:p>
    <w:p w14:paraId="08E5AE48">
      <w:pPr>
        <w:spacing w:line="580" w:lineRule="exact"/>
        <w:ind w:firstLine="640"/>
        <w:jc w:val="both"/>
      </w:pPr>
      <w:r>
        <w:rPr>
          <w:rFonts w:ascii="仿宋_GB2312" w:hAnsi="仿宋_GB2312" w:eastAsia="仿宋_GB2312"/>
          <w:b/>
          <w:sz w:val="32"/>
        </w:rPr>
        <w:t>公用经费30.49万元，</w:t>
      </w:r>
      <w:r>
        <w:rPr>
          <w:rFonts w:ascii="仿宋_GB2312" w:hAnsi="仿宋_GB2312" w:eastAsia="仿宋_GB2312"/>
          <w:b w:val="0"/>
          <w:sz w:val="32"/>
        </w:rPr>
        <w:t>包括：办公费、水费、电费、邮电费、物业管理费、差旅费、工会经费、福利费、公务用车运行维护费、其他交通费用、其他商品和服务支出。</w:t>
      </w:r>
    </w:p>
    <w:p w14:paraId="1844E90F">
      <w:pPr>
        <w:spacing w:line="640" w:lineRule="exact"/>
        <w:ind w:firstLine="640"/>
        <w:jc w:val="both"/>
        <w:outlineLvl w:val="2"/>
      </w:pPr>
      <w:r>
        <w:rPr>
          <w:rFonts w:ascii="黑体" w:hAnsi="黑体" w:eastAsia="黑体"/>
          <w:sz w:val="32"/>
        </w:rPr>
        <w:t>七、政府性基金预算财政拨款收入支出决算情况说明</w:t>
      </w:r>
    </w:p>
    <w:p w14:paraId="4CE70B9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C08986">
      <w:pPr>
        <w:spacing w:line="640" w:lineRule="exact"/>
        <w:ind w:firstLine="640"/>
        <w:jc w:val="both"/>
        <w:outlineLvl w:val="2"/>
      </w:pPr>
      <w:r>
        <w:rPr>
          <w:rFonts w:ascii="黑体" w:hAnsi="黑体" w:eastAsia="黑体"/>
          <w:sz w:val="32"/>
        </w:rPr>
        <w:t>八、国有资本经营预算财政拨款收入支出决算情况说明</w:t>
      </w:r>
    </w:p>
    <w:p w14:paraId="59F5B0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3B2033">
      <w:pPr>
        <w:spacing w:line="640" w:lineRule="exact"/>
        <w:ind w:firstLine="640"/>
        <w:jc w:val="both"/>
        <w:outlineLvl w:val="2"/>
      </w:pPr>
      <w:r>
        <w:rPr>
          <w:rFonts w:ascii="黑体" w:hAnsi="黑体" w:eastAsia="黑体"/>
          <w:sz w:val="32"/>
        </w:rPr>
        <w:t>九、财政拨款“三公”经费支出决算情况说明</w:t>
      </w:r>
    </w:p>
    <w:p w14:paraId="1FBE5F50">
      <w:pPr>
        <w:spacing w:line="580" w:lineRule="exact"/>
        <w:ind w:firstLine="640"/>
        <w:jc w:val="both"/>
      </w:pPr>
      <w:r>
        <w:rPr>
          <w:rFonts w:ascii="仿宋_GB2312" w:hAnsi="仿宋_GB2312" w:eastAsia="仿宋_GB2312"/>
          <w:b/>
          <w:sz w:val="32"/>
        </w:rPr>
        <w:t>2025年度财政拨款“三公”经费支出4.90万元，</w:t>
      </w:r>
      <w:r>
        <w:rPr>
          <w:rFonts w:ascii="仿宋_GB2312" w:hAnsi="仿宋_GB2312" w:eastAsia="仿宋_GB2312"/>
          <w:b w:val="0"/>
          <w:sz w:val="32"/>
        </w:rPr>
        <w:t>比上年减少0.01万元，下降0.20%，主要原因是：严格落实中央八项规定精神，厉行节约，减少</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支出。其中：因公出国（境）费用支出0.00万元，占0.00%，比上年增加0.00万元，增长0.00%，主要原因是：2024年与2025年均无因公出国（境）费用支出。公务用车购置及运行维护费支出4.90万元，占100.00%，比上年减少0.01万元，下降0.20%，主要原因是：严格落实中央八项规定精神，厉行节约，减少公务用车运行维护费。公务接待费支出0.00万元，占0.00%，比上年增加0.00万元，增长0.00%，主要原因是：2024年与2025年均无公务接待费支出。</w:t>
      </w:r>
    </w:p>
    <w:p w14:paraId="5A0A70A0">
      <w:pPr>
        <w:spacing w:line="580" w:lineRule="exact"/>
        <w:ind w:firstLine="640"/>
        <w:jc w:val="both"/>
      </w:pPr>
      <w:r>
        <w:rPr>
          <w:rFonts w:ascii="仿宋_GB2312" w:hAnsi="仿宋_GB2312" w:eastAsia="仿宋_GB2312"/>
          <w:b/>
          <w:sz w:val="32"/>
        </w:rPr>
        <w:t>具体情况如下：</w:t>
      </w:r>
    </w:p>
    <w:p w14:paraId="2834742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F686B1F">
      <w:pPr>
        <w:spacing w:line="580" w:lineRule="exact"/>
        <w:ind w:firstLine="640"/>
        <w:jc w:val="both"/>
      </w:pPr>
      <w:r>
        <w:rPr>
          <w:rFonts w:ascii="仿宋_GB2312" w:hAnsi="仿宋_GB2312" w:eastAsia="仿宋_GB2312"/>
          <w:b w:val="0"/>
          <w:sz w:val="32"/>
        </w:rPr>
        <w:t>公务用车购置及运行维护费4.90万元，其中：公务用车购置费0.00万元，公务用车运行维护费4.90万元。公务用车运行维护费开支内容包括车辆加油费、维修费、保险费、审车费、过路费等。公务用车购置数0辆，公务用车保有量1辆。国有资产占用情况中固定资产车辆0辆，与公务用车保有量差异原因是：2025年初本单位有公务用车1辆，并在本年产生相应的公务用车运行维护费，经机关事务管理局批准于年末报废该车，因此国有资产占用情况中固定资产车辆为0辆，与公务用车保有量1辆存在差异。</w:t>
      </w:r>
    </w:p>
    <w:p w14:paraId="2DC20A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F990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5.10万元，决算数4.90万元，预决算差异率-3.92%，主要原因是：严格落实中央八项规定精神，厉行节约，减少公务用车使用频次，公务用车运行维护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5.10万元，决算数4.90万元，预决算差异率-3.92%，主要原因是：严格落实中央</w:t>
      </w:r>
      <w:bookmarkStart w:id="0" w:name="_GoBack"/>
      <w:r>
        <w:rPr>
          <w:rFonts w:ascii="仿宋_GB2312" w:hAnsi="仿宋_GB2312" w:eastAsia="仿宋_GB2312"/>
          <w:b w:val="0"/>
          <w:sz w:val="32"/>
        </w:rPr>
        <w:t>八项规定</w:t>
      </w:r>
      <w:bookmarkEnd w:id="0"/>
      <w:r>
        <w:rPr>
          <w:rFonts w:ascii="仿宋_GB2312" w:hAnsi="仿宋_GB2312" w:eastAsia="仿宋_GB2312"/>
          <w:b w:val="0"/>
          <w:sz w:val="32"/>
        </w:rPr>
        <w:t>精神，厉行节约，减少公务用车使用频次，公务用车运行维护费减少。公务接待费全年预算数0.00万元，决算数0.00万元，预决算差异率0.00%，主要原因是：本单位无公务接待费。</w:t>
      </w:r>
    </w:p>
    <w:p w14:paraId="0B9EA378">
      <w:pPr>
        <w:spacing w:line="640" w:lineRule="exact"/>
        <w:ind w:firstLine="640"/>
        <w:jc w:val="both"/>
        <w:outlineLvl w:val="2"/>
      </w:pPr>
      <w:r>
        <w:rPr>
          <w:rFonts w:ascii="黑体" w:hAnsi="黑体" w:eastAsia="黑体"/>
          <w:sz w:val="32"/>
        </w:rPr>
        <w:t>十、其他重要事项的情况说明</w:t>
      </w:r>
    </w:p>
    <w:p w14:paraId="1BFF4315">
      <w:pPr>
        <w:spacing w:line="640" w:lineRule="exact"/>
        <w:ind w:firstLine="640"/>
        <w:jc w:val="both"/>
        <w:outlineLvl w:val="3"/>
      </w:pPr>
      <w:r>
        <w:rPr>
          <w:rFonts w:ascii="楷体_GB2312" w:hAnsi="楷体_GB2312" w:eastAsia="楷体_GB2312"/>
          <w:b/>
          <w:sz w:val="32"/>
        </w:rPr>
        <w:t>（一）机关运行经费及公用经费支出情况</w:t>
      </w:r>
    </w:p>
    <w:p w14:paraId="26B14D31">
      <w:pPr>
        <w:spacing w:line="580" w:lineRule="exact"/>
        <w:ind w:firstLine="640"/>
        <w:jc w:val="both"/>
      </w:pPr>
      <w:r>
        <w:rPr>
          <w:rFonts w:ascii="仿宋_GB2312" w:hAnsi="仿宋_GB2312" w:eastAsia="仿宋_GB2312"/>
          <w:b w:val="0"/>
          <w:sz w:val="32"/>
        </w:rPr>
        <w:t>2025年度新疆维吾尔自治区水旱灾害防御中心（事业单位）公用经费支出30.49万元，比上年减少16.10万元，下降34.56%，主要原因是：本年严控经费支出，厉行节约，减少差旅费支出。</w:t>
      </w:r>
    </w:p>
    <w:p w14:paraId="72170217">
      <w:pPr>
        <w:spacing w:line="640" w:lineRule="exact"/>
        <w:ind w:firstLine="640"/>
        <w:jc w:val="both"/>
        <w:outlineLvl w:val="3"/>
      </w:pPr>
      <w:r>
        <w:rPr>
          <w:rFonts w:ascii="楷体_GB2312" w:hAnsi="楷体_GB2312" w:eastAsia="楷体_GB2312"/>
          <w:b/>
          <w:sz w:val="32"/>
        </w:rPr>
        <w:t>（二）政府采购情况</w:t>
      </w:r>
    </w:p>
    <w:p w14:paraId="577BD11C">
      <w:pPr>
        <w:spacing w:line="580" w:lineRule="exact"/>
        <w:ind w:firstLine="640"/>
        <w:jc w:val="both"/>
      </w:pPr>
      <w:r>
        <w:rPr>
          <w:rFonts w:ascii="仿宋_GB2312" w:hAnsi="仿宋_GB2312" w:eastAsia="仿宋_GB2312"/>
          <w:b w:val="0"/>
          <w:sz w:val="32"/>
        </w:rPr>
        <w:t>2025年度政府采购支出总额2,355.32万元，其中：政府采购货物支出0.32万元、政府采购工程支出0.00万元、政府采购服务支出2,355.00万元。</w:t>
      </w:r>
    </w:p>
    <w:p w14:paraId="317F4AC2">
      <w:pPr>
        <w:spacing w:line="580" w:lineRule="exact"/>
        <w:ind w:firstLine="640"/>
        <w:jc w:val="both"/>
      </w:pPr>
      <w:r>
        <w:rPr>
          <w:rFonts w:ascii="仿宋_GB2312" w:hAnsi="仿宋_GB2312" w:eastAsia="仿宋_GB2312"/>
          <w:b w:val="0"/>
          <w:sz w:val="32"/>
        </w:rPr>
        <w:t>授予中小企业合同金额212.39万元，占政府采购支出总额的9.02%，其中：授予小微企业合同金额148.19万元，占政府采购支出总额的6.29%。</w:t>
      </w:r>
    </w:p>
    <w:p w14:paraId="72CE9787">
      <w:pPr>
        <w:spacing w:line="640" w:lineRule="exact"/>
        <w:ind w:firstLine="640"/>
        <w:jc w:val="both"/>
        <w:outlineLvl w:val="3"/>
      </w:pPr>
      <w:r>
        <w:rPr>
          <w:rFonts w:ascii="楷体_GB2312" w:hAnsi="楷体_GB2312" w:eastAsia="楷体_GB2312"/>
          <w:b/>
          <w:sz w:val="32"/>
        </w:rPr>
        <w:t>（三）国有资产占用情况说明</w:t>
      </w:r>
    </w:p>
    <w:p w14:paraId="5552432D">
      <w:pPr>
        <w:spacing w:line="580" w:lineRule="exact"/>
        <w:ind w:firstLine="640"/>
        <w:jc w:val="both"/>
      </w:pPr>
      <w:r>
        <w:rPr>
          <w:rFonts w:ascii="仿宋_GB2312" w:hAnsi="仿宋_GB2312" w:eastAsia="仿宋_GB2312"/>
          <w:b w:val="0"/>
          <w:sz w:val="32"/>
        </w:rPr>
        <w:t>截至2025年12月31日，房屋22,789.86平方米，价值1,360.32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7422BB6A">
      <w:pPr>
        <w:spacing w:line="640" w:lineRule="exact"/>
        <w:ind w:firstLine="640"/>
        <w:jc w:val="both"/>
        <w:outlineLvl w:val="2"/>
      </w:pPr>
      <w:r>
        <w:rPr>
          <w:rFonts w:ascii="黑体" w:hAnsi="黑体" w:eastAsia="黑体"/>
          <w:sz w:val="32"/>
        </w:rPr>
        <w:t>十一、预算绩效的情况说明</w:t>
      </w:r>
    </w:p>
    <w:p w14:paraId="2C0C856D">
      <w:pPr>
        <w:spacing w:line="580" w:lineRule="exact"/>
        <w:ind w:firstLine="640"/>
        <w:jc w:val="both"/>
      </w:pPr>
      <w:r>
        <w:rPr>
          <w:rFonts w:ascii="仿宋_GB2312" w:hAnsi="仿宋_GB2312" w:eastAsia="仿宋_GB2312"/>
          <w:b w:val="0"/>
          <w:sz w:val="32"/>
        </w:rPr>
        <w:t>根据预算绩效管理要求，本单位预算绩效评价项目1个，全年预算数30.00万元，全年执行数30.00万元。预算绩效管理取得的成效：通过加强绩效管理制度建设、实施预算项目绩效目标管理，确保了项目资金在使用中按照预算科目严格执行，有效提高了财政资金的使用效益。发现的问题及原因：预算绩效监控偏于形式化，多以填报监控系统为主，对资金执行偏差分析不够深入。主要是由于财务、业务沟通衔接不足，绩效管理水平有待提升。下一步改进措施：强化业务科室绩效管理主体责任，加强预算绩效管理政策学习，提升财务、业务人员绩效监控实操能力，全面提升单位预算绩效管理水平。具体附项目支出绩效自评表。</w:t>
      </w:r>
    </w:p>
    <w:p w14:paraId="03B714C4">
      <w:r>
        <w:br w:type="page"/>
      </w:r>
    </w:p>
    <w:p w14:paraId="0E6E9E53">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32956A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E5B27BF">
            <w:pPr>
              <w:spacing w:before="0" w:after="0" w:line="240" w:lineRule="auto"/>
              <w:jc w:val="center"/>
            </w:pPr>
            <w:r>
              <w:rPr>
                <w:rFonts w:ascii="宋体" w:hAnsi="宋体" w:eastAsia="宋体"/>
                <w:b/>
                <w:i w:val="0"/>
                <w:sz w:val="32"/>
              </w:rPr>
              <w:t>项目支出绩效自评表</w:t>
            </w:r>
          </w:p>
        </w:tc>
      </w:tr>
      <w:tr w14:paraId="24B4A38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4B95BFA">
            <w:pPr>
              <w:spacing w:before="0" w:after="0" w:line="240" w:lineRule="auto"/>
              <w:jc w:val="center"/>
            </w:pPr>
            <w:r>
              <w:rPr>
                <w:rFonts w:ascii="宋体" w:hAnsi="宋体" w:eastAsia="宋体"/>
                <w:b w:val="0"/>
                <w:i w:val="0"/>
                <w:sz w:val="22"/>
              </w:rPr>
              <w:t>(2025年度)</w:t>
            </w:r>
          </w:p>
        </w:tc>
      </w:tr>
      <w:tr w14:paraId="1F1AF53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84B1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094991">
            <w:pPr>
              <w:spacing w:before="0" w:after="0" w:line="240" w:lineRule="auto"/>
              <w:jc w:val="center"/>
            </w:pPr>
            <w:r>
              <w:rPr>
                <w:rFonts w:ascii="宋体" w:hAnsi="宋体" w:eastAsia="宋体"/>
                <w:b w:val="0"/>
                <w:i w:val="0"/>
                <w:sz w:val="18"/>
              </w:rPr>
              <w:t>自治区水利发展专项</w:t>
            </w:r>
          </w:p>
        </w:tc>
      </w:tr>
      <w:tr w14:paraId="546889D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730C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82952">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D89A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F59B6">
            <w:pPr>
              <w:spacing w:before="0" w:after="0" w:line="240" w:lineRule="auto"/>
              <w:jc w:val="center"/>
            </w:pPr>
            <w:r>
              <w:rPr>
                <w:rFonts w:ascii="宋体" w:hAnsi="宋体" w:eastAsia="宋体"/>
                <w:b w:val="0"/>
                <w:i w:val="0"/>
                <w:sz w:val="18"/>
              </w:rPr>
              <w:t>新疆维吾尔自治区水旱灾害防御中心</w:t>
            </w:r>
          </w:p>
        </w:tc>
      </w:tr>
      <w:tr w14:paraId="66DEBD1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57C4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F63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E0FB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BEB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B668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5124">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70F8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59342">
            <w:pPr>
              <w:spacing w:before="0" w:after="0" w:line="240" w:lineRule="auto"/>
              <w:jc w:val="center"/>
            </w:pPr>
            <w:r>
              <w:rPr>
                <w:rFonts w:ascii="宋体" w:hAnsi="宋体" w:eastAsia="宋体"/>
                <w:b/>
                <w:i w:val="0"/>
                <w:sz w:val="18"/>
              </w:rPr>
              <w:t>得分</w:t>
            </w:r>
          </w:p>
        </w:tc>
      </w:tr>
      <w:tr w14:paraId="69161CD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0D05D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463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9D548">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4794">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B9629">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AF6F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83AAA">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C9424">
            <w:pPr>
              <w:spacing w:before="0" w:after="0" w:line="240" w:lineRule="auto"/>
              <w:jc w:val="center"/>
            </w:pPr>
            <w:r>
              <w:rPr>
                <w:rFonts w:ascii="宋体" w:hAnsi="宋体" w:eastAsia="宋体"/>
                <w:b w:val="0"/>
                <w:i w:val="0"/>
                <w:sz w:val="18"/>
              </w:rPr>
              <w:t>10.00</w:t>
            </w:r>
          </w:p>
        </w:tc>
      </w:tr>
      <w:tr w14:paraId="443AF2B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63A3AC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5BAD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AD169">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6FBD5">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1A6C3">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164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AEB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6FCB1">
            <w:pPr>
              <w:spacing w:before="0" w:after="0" w:line="240" w:lineRule="auto"/>
              <w:jc w:val="center"/>
            </w:pPr>
            <w:r>
              <w:rPr>
                <w:rFonts w:ascii="宋体" w:hAnsi="宋体" w:eastAsia="宋体"/>
                <w:b w:val="0"/>
                <w:i w:val="0"/>
                <w:sz w:val="18"/>
              </w:rPr>
              <w:t>—</w:t>
            </w:r>
          </w:p>
        </w:tc>
      </w:tr>
      <w:tr w14:paraId="57CCE23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D3216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2B44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570E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C15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980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D42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DC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0384E">
            <w:pPr>
              <w:spacing w:before="0" w:after="0" w:line="240" w:lineRule="auto"/>
              <w:jc w:val="center"/>
            </w:pPr>
            <w:r>
              <w:rPr>
                <w:rFonts w:ascii="宋体" w:hAnsi="宋体" w:eastAsia="宋体"/>
                <w:b w:val="0"/>
                <w:i w:val="0"/>
                <w:sz w:val="18"/>
              </w:rPr>
              <w:t>—</w:t>
            </w:r>
          </w:p>
        </w:tc>
      </w:tr>
      <w:tr w14:paraId="4335795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36A5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58FB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62C40">
            <w:pPr>
              <w:spacing w:before="0" w:after="0" w:line="240" w:lineRule="auto"/>
              <w:jc w:val="center"/>
            </w:pPr>
            <w:r>
              <w:rPr>
                <w:rFonts w:ascii="宋体" w:hAnsi="宋体" w:eastAsia="宋体"/>
                <w:b/>
                <w:i w:val="0"/>
                <w:sz w:val="18"/>
              </w:rPr>
              <w:t>实际完成情况</w:t>
            </w:r>
          </w:p>
        </w:tc>
      </w:tr>
      <w:tr w14:paraId="470C8F0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39C5A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DD7AAA">
            <w:pPr>
              <w:spacing w:before="0" w:after="0" w:line="240" w:lineRule="auto"/>
              <w:jc w:val="center"/>
            </w:pPr>
            <w:r>
              <w:rPr>
                <w:rFonts w:ascii="宋体" w:hAnsi="宋体" w:eastAsia="宋体"/>
                <w:b w:val="0"/>
                <w:i w:val="0"/>
                <w:sz w:val="18"/>
              </w:rPr>
              <w:t>按照自治区党委、人民政府、水利部工作部署及水利厅党组工作要求，组织开展全疆水旱灾害防御工作，做好洪水防御调度、水工程防汛备汛、洪旱形势会商研判、方案审查，防汛应急抢险、防御洪水和应急抗旱等支撑工作，组织全疆山洪灾害防御，部署检查、督导、指导等各项工作；以保障自治区水旱灾害防御工作顺利进行，最大限度减少洪旱灾害带来的损失。</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B04CC">
            <w:pPr>
              <w:spacing w:before="0" w:after="0" w:line="240" w:lineRule="auto"/>
              <w:jc w:val="center"/>
            </w:pPr>
            <w:r>
              <w:rPr>
                <w:rFonts w:ascii="宋体" w:hAnsi="宋体" w:eastAsia="宋体"/>
                <w:b w:val="0"/>
                <w:i w:val="0"/>
                <w:sz w:val="18"/>
              </w:rPr>
              <w:t>根据年初计划，有序完成汛期洪水防御调度、会商研判，防汛应急抢险、应急抗旱等支撑工作。每季度到地州检查、督导指导等各项工作，保障了汛期防御工作顺利开展。</w:t>
            </w:r>
          </w:p>
        </w:tc>
      </w:tr>
      <w:tr w14:paraId="201B470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D2CE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EDB0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FC8E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8A0E6">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BBD1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AC98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36DC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AD08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4E05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BE9B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2326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AADF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824B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D6C4E">
            <w:pPr>
              <w:spacing w:before="0" w:after="0" w:line="240" w:lineRule="auto"/>
              <w:jc w:val="center"/>
            </w:pPr>
            <w:r>
              <w:rPr>
                <w:rFonts w:ascii="宋体" w:hAnsi="宋体" w:eastAsia="宋体"/>
                <w:b/>
                <w:i w:val="0"/>
                <w:sz w:val="18"/>
              </w:rPr>
              <w:t>偏差原因分析及改进措施</w:t>
            </w:r>
          </w:p>
        </w:tc>
      </w:tr>
      <w:tr w14:paraId="3F4A453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65D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B5B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BDB0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927F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634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838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E291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A0D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F087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BDA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E57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CB9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DCC3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05D050"/>
        </w:tc>
      </w:tr>
      <w:tr w14:paraId="07957EC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5E13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4A9F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B735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90FAA">
            <w:pPr>
              <w:spacing w:before="0" w:after="0" w:line="240" w:lineRule="auto"/>
              <w:jc w:val="center"/>
            </w:pPr>
            <w:r>
              <w:rPr>
                <w:rFonts w:ascii="宋体" w:hAnsi="宋体" w:eastAsia="宋体"/>
                <w:b w:val="0"/>
                <w:i w:val="0"/>
                <w:color w:val="000000"/>
                <w:sz w:val="18"/>
              </w:rPr>
              <w:t>主汛期对各地值班情况电话督导累计次数（次）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6D77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301B5">
            <w:pPr>
              <w:spacing w:before="0" w:after="0" w:line="240" w:lineRule="auto"/>
              <w:jc w:val="center"/>
            </w:pPr>
            <w:r>
              <w:rPr>
                <w:rFonts w:ascii="宋体" w:hAnsi="宋体" w:eastAsia="宋体"/>
                <w:b w:val="0"/>
                <w:i w:val="0"/>
                <w:sz w:val="18"/>
              </w:rPr>
              <w:t>&gt;=50次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38316">
            <w:pPr>
              <w:spacing w:before="0" w:after="0" w:line="240" w:lineRule="auto"/>
              <w:jc w:val="center"/>
            </w:pPr>
            <w:r>
              <w:rPr>
                <w:rFonts w:ascii="宋体" w:hAnsi="宋体" w:eastAsia="宋体"/>
                <w:b w:val="0"/>
                <w:i w:val="0"/>
                <w:sz w:val="18"/>
              </w:rPr>
              <w:t>=50次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959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24EA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5819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70168">
            <w:pPr>
              <w:spacing w:before="0" w:after="0" w:line="240" w:lineRule="auto"/>
              <w:jc w:val="center"/>
            </w:pPr>
            <w:r>
              <w:rPr>
                <w:rFonts w:ascii="宋体" w:hAnsi="宋体" w:eastAsia="宋体"/>
                <w:b w:val="0"/>
                <w:i w:val="0"/>
                <w:sz w:val="18"/>
              </w:rPr>
              <w:t>50次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8035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B9A7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C353A">
            <w:pPr>
              <w:spacing w:before="0" w:after="0" w:line="240" w:lineRule="auto"/>
              <w:jc w:val="center"/>
            </w:pPr>
          </w:p>
        </w:tc>
      </w:tr>
      <w:tr w14:paraId="26239E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9BEC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7B4E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453F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96268">
            <w:pPr>
              <w:spacing w:before="0" w:after="0" w:line="240" w:lineRule="auto"/>
              <w:jc w:val="center"/>
            </w:pPr>
            <w:r>
              <w:rPr>
                <w:rFonts w:ascii="宋体" w:hAnsi="宋体" w:eastAsia="宋体"/>
                <w:b w:val="0"/>
                <w:i w:val="0"/>
                <w:color w:val="000000"/>
                <w:sz w:val="18"/>
              </w:rPr>
              <w:t>开展防汛备汛检查、应急演练指导次数（次）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5BED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08CBB">
            <w:pPr>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76EF9">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116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5065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301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B939C">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DAE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48FB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5B6F6">
            <w:pPr>
              <w:spacing w:before="0" w:after="0" w:line="240" w:lineRule="auto"/>
              <w:jc w:val="center"/>
            </w:pPr>
          </w:p>
        </w:tc>
      </w:tr>
      <w:tr w14:paraId="4E8736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36DA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48F9D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9647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77B36">
            <w:pPr>
              <w:spacing w:before="0" w:after="0" w:line="240" w:lineRule="auto"/>
              <w:jc w:val="center"/>
            </w:pPr>
            <w:r>
              <w:rPr>
                <w:rFonts w:ascii="宋体" w:hAnsi="宋体" w:eastAsia="宋体"/>
                <w:b w:val="0"/>
                <w:i w:val="0"/>
                <w:color w:val="000000"/>
                <w:sz w:val="18"/>
              </w:rPr>
              <w:t>配合组织召开洪旱形式会商研判、调度等会议次数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27B8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EB9AC">
            <w:pPr>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2F878">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6DA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8456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DC50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C5EE6">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CBD2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C5C1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5A9FF">
            <w:pPr>
              <w:spacing w:before="0" w:after="0" w:line="240" w:lineRule="auto"/>
              <w:jc w:val="center"/>
            </w:pPr>
          </w:p>
        </w:tc>
      </w:tr>
      <w:tr w14:paraId="76FCBA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33F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A6FE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D5EC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76101">
            <w:pPr>
              <w:spacing w:before="0" w:after="0" w:line="240" w:lineRule="auto"/>
              <w:jc w:val="center"/>
            </w:pPr>
            <w:r>
              <w:rPr>
                <w:rFonts w:ascii="宋体" w:hAnsi="宋体" w:eastAsia="宋体"/>
                <w:b w:val="0"/>
                <w:i w:val="0"/>
                <w:color w:val="000000"/>
                <w:sz w:val="18"/>
              </w:rPr>
              <w:t>完成专报、简报期数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F32E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E6C58">
            <w:pPr>
              <w:spacing w:before="0" w:after="0" w:line="240" w:lineRule="auto"/>
              <w:jc w:val="center"/>
            </w:pPr>
            <w:r>
              <w:rPr>
                <w:rFonts w:ascii="宋体" w:hAnsi="宋体" w:eastAsia="宋体"/>
                <w:b w:val="0"/>
                <w:i w:val="0"/>
                <w:sz w:val="18"/>
              </w:rPr>
              <w:t>&gt;=30期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73472">
            <w:pPr>
              <w:spacing w:before="0" w:after="0" w:line="240" w:lineRule="auto"/>
              <w:jc w:val="center"/>
            </w:pPr>
            <w:r>
              <w:rPr>
                <w:rFonts w:ascii="宋体" w:hAnsi="宋体" w:eastAsia="宋体"/>
                <w:b w:val="0"/>
                <w:i w:val="0"/>
                <w:sz w:val="18"/>
              </w:rPr>
              <w:t>=30期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957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1E74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FF3D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8095C">
            <w:pPr>
              <w:spacing w:before="0" w:after="0" w:line="240" w:lineRule="auto"/>
              <w:jc w:val="center"/>
            </w:pPr>
            <w:r>
              <w:rPr>
                <w:rFonts w:ascii="宋体" w:hAnsi="宋体" w:eastAsia="宋体"/>
                <w:b w:val="0"/>
                <w:i w:val="0"/>
                <w:sz w:val="18"/>
              </w:rPr>
              <w:t>30期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690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4B17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0D082">
            <w:pPr>
              <w:spacing w:before="0" w:after="0" w:line="240" w:lineRule="auto"/>
              <w:jc w:val="center"/>
            </w:pPr>
          </w:p>
        </w:tc>
      </w:tr>
      <w:tr w14:paraId="7E1CE3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55F9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B8411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3687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70467">
            <w:pPr>
              <w:spacing w:before="0" w:after="0" w:line="240" w:lineRule="auto"/>
              <w:jc w:val="center"/>
            </w:pPr>
            <w:r>
              <w:rPr>
                <w:rFonts w:ascii="宋体" w:hAnsi="宋体" w:eastAsia="宋体"/>
                <w:b w:val="0"/>
                <w:i w:val="0"/>
                <w:color w:val="000000"/>
                <w:sz w:val="18"/>
              </w:rPr>
              <w:t>自治区水旱灾害监测预警平台正常运行天数（天）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0BE7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4290E">
            <w:pPr>
              <w:spacing w:before="0" w:after="0" w:line="240" w:lineRule="auto"/>
              <w:jc w:val="center"/>
            </w:pPr>
            <w:r>
              <w:rPr>
                <w:rFonts w:ascii="宋体" w:hAnsi="宋体" w:eastAsia="宋体"/>
                <w:b w:val="0"/>
                <w:i w:val="0"/>
                <w:sz w:val="18"/>
              </w:rPr>
              <w:t>&gt;=300天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031FA">
            <w:pPr>
              <w:spacing w:before="0" w:after="0" w:line="240" w:lineRule="auto"/>
              <w:jc w:val="center"/>
            </w:pPr>
            <w:r>
              <w:rPr>
                <w:rFonts w:ascii="宋体" w:hAnsi="宋体" w:eastAsia="宋体"/>
                <w:b w:val="0"/>
                <w:i w:val="0"/>
                <w:sz w:val="18"/>
              </w:rPr>
              <w:t>=300天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2E3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9504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B0BC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142C1">
            <w:pPr>
              <w:spacing w:before="0" w:after="0" w:line="240" w:lineRule="auto"/>
              <w:jc w:val="center"/>
            </w:pPr>
            <w:r>
              <w:rPr>
                <w:rFonts w:ascii="宋体" w:hAnsi="宋体" w:eastAsia="宋体"/>
                <w:b w:val="0"/>
                <w:i w:val="0"/>
                <w:sz w:val="18"/>
              </w:rPr>
              <w:t>300天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F32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2F3A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E65B1">
            <w:pPr>
              <w:spacing w:before="0" w:after="0" w:line="240" w:lineRule="auto"/>
              <w:jc w:val="center"/>
            </w:pPr>
          </w:p>
        </w:tc>
      </w:tr>
      <w:tr w14:paraId="2C4DC5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39BF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6A5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167A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3997A">
            <w:pPr>
              <w:spacing w:before="0" w:after="0" w:line="240" w:lineRule="auto"/>
              <w:jc w:val="center"/>
            </w:pPr>
            <w:r>
              <w:rPr>
                <w:rFonts w:ascii="宋体" w:hAnsi="宋体" w:eastAsia="宋体"/>
                <w:b w:val="0"/>
                <w:i w:val="0"/>
                <w:color w:val="000000"/>
                <w:sz w:val="18"/>
              </w:rPr>
              <w:t>汛前完成自治区重点水库度汛方案的审查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7D3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FAADB">
            <w:pPr>
              <w:spacing w:before="0" w:after="0" w:line="240" w:lineRule="auto"/>
              <w:jc w:val="center"/>
            </w:pPr>
            <w:r>
              <w:rPr>
                <w:rFonts w:ascii="宋体" w:hAnsi="宋体" w:eastAsia="宋体"/>
                <w:b w:val="0"/>
                <w:i w:val="0"/>
                <w:sz w:val="18"/>
              </w:rPr>
              <w:t>&lt;=6月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A025E">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E33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482D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6359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DA341">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45F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4FC7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32B30">
            <w:pPr>
              <w:spacing w:before="0" w:after="0" w:line="240" w:lineRule="auto"/>
              <w:jc w:val="center"/>
            </w:pPr>
          </w:p>
        </w:tc>
      </w:tr>
      <w:tr w14:paraId="685A59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EDE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E0792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D000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2CD56">
            <w:pPr>
              <w:spacing w:before="0" w:after="0" w:line="240" w:lineRule="auto"/>
              <w:jc w:val="center"/>
            </w:pPr>
            <w:r>
              <w:rPr>
                <w:rFonts w:ascii="宋体" w:hAnsi="宋体" w:eastAsia="宋体"/>
                <w:b w:val="0"/>
                <w:i w:val="0"/>
                <w:color w:val="000000"/>
                <w:sz w:val="18"/>
              </w:rPr>
              <w:t>汛前完成报汛水库度汛指标的复核</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B171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21705">
            <w:pPr>
              <w:spacing w:before="0" w:after="0" w:line="240" w:lineRule="auto"/>
              <w:jc w:val="center"/>
            </w:pPr>
            <w:r>
              <w:rPr>
                <w:rFonts w:ascii="宋体" w:hAnsi="宋体" w:eastAsia="宋体"/>
                <w:b w:val="0"/>
                <w:i w:val="0"/>
                <w:sz w:val="18"/>
              </w:rPr>
              <w:t>&lt;=6月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369FE">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F95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4DAE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34FB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5F1F3">
            <w:pPr>
              <w:spacing w:before="0" w:after="0" w:line="240" w:lineRule="auto"/>
              <w:jc w:val="center"/>
            </w:pPr>
            <w:r>
              <w:rPr>
                <w:rFonts w:ascii="宋体" w:hAnsi="宋体" w:eastAsia="宋体"/>
                <w:b w:val="0"/>
                <w:i w:val="0"/>
                <w:sz w:val="18"/>
              </w:rPr>
              <w:t>6月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F28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3907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25D3B">
            <w:pPr>
              <w:spacing w:before="0" w:after="0" w:line="240" w:lineRule="auto"/>
              <w:jc w:val="center"/>
            </w:pPr>
          </w:p>
        </w:tc>
      </w:tr>
      <w:tr w14:paraId="2FAEC2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22728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DFB6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2F1E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E3B12">
            <w:pPr>
              <w:spacing w:before="0" w:after="0" w:line="240" w:lineRule="auto"/>
              <w:jc w:val="center"/>
            </w:pPr>
            <w:r>
              <w:rPr>
                <w:rFonts w:ascii="宋体" w:hAnsi="宋体" w:eastAsia="宋体"/>
                <w:b w:val="0"/>
                <w:i w:val="0"/>
                <w:color w:val="000000"/>
                <w:sz w:val="18"/>
              </w:rPr>
              <w:t>水旱灾害防御处置专项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297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C45FE">
            <w:pPr>
              <w:spacing w:before="0" w:after="0" w:line="240" w:lineRule="auto"/>
              <w:jc w:val="center"/>
            </w:pPr>
            <w:r>
              <w:rPr>
                <w:rFonts w:ascii="宋体" w:hAnsi="宋体" w:eastAsia="宋体"/>
                <w:b w:val="0"/>
                <w:i w:val="0"/>
                <w:sz w:val="18"/>
              </w:rPr>
              <w:t>&lt;=20万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42025">
            <w:pPr>
              <w:spacing w:before="0" w:after="0" w:line="240" w:lineRule="auto"/>
              <w:jc w:val="center"/>
            </w:pPr>
            <w:r>
              <w:rPr>
                <w:rFonts w:ascii="宋体" w:hAnsi="宋体" w:eastAsia="宋体"/>
                <w:b w:val="0"/>
                <w:i w:val="0"/>
                <w:sz w:val="18"/>
              </w:rPr>
              <w:t>=20万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443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DF03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FF69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EB7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D76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54E4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6FAE0">
            <w:pPr>
              <w:spacing w:before="0" w:after="0" w:line="240" w:lineRule="auto"/>
              <w:jc w:val="center"/>
            </w:pPr>
          </w:p>
        </w:tc>
      </w:tr>
      <w:tr w14:paraId="718F28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61CE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24CB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2E15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ED818">
            <w:pPr>
              <w:spacing w:before="0" w:after="0" w:line="240" w:lineRule="auto"/>
              <w:jc w:val="center"/>
            </w:pPr>
            <w:r>
              <w:rPr>
                <w:rFonts w:ascii="宋体" w:hAnsi="宋体" w:eastAsia="宋体"/>
                <w:b w:val="0"/>
                <w:i w:val="0"/>
                <w:color w:val="000000"/>
                <w:sz w:val="18"/>
              </w:rPr>
              <w:t>水旱灾害应急抢险专家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0A29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144BA">
            <w:pPr>
              <w:spacing w:before="0" w:after="0" w:line="240" w:lineRule="auto"/>
              <w:jc w:val="center"/>
            </w:pPr>
            <w:r>
              <w:rPr>
                <w:rFonts w:ascii="宋体" w:hAnsi="宋体" w:eastAsia="宋体"/>
                <w:b w:val="0"/>
                <w:i w:val="0"/>
                <w:sz w:val="18"/>
              </w:rPr>
              <w:t>&lt;=10万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DD8DD">
            <w:pPr>
              <w:spacing w:before="0" w:after="0" w:line="240" w:lineRule="auto"/>
              <w:jc w:val="center"/>
            </w:pPr>
            <w:r>
              <w:rPr>
                <w:rFonts w:ascii="宋体" w:hAnsi="宋体" w:eastAsia="宋体"/>
                <w:b w:val="0"/>
                <w:i w:val="0"/>
                <w:sz w:val="18"/>
              </w:rPr>
              <w:t>=10万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CA7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496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777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6667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E24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EB55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8B257">
            <w:pPr>
              <w:spacing w:before="0" w:after="0" w:line="240" w:lineRule="auto"/>
              <w:jc w:val="center"/>
            </w:pPr>
          </w:p>
        </w:tc>
      </w:tr>
      <w:tr w14:paraId="75C6DE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44EE4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896D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D9393">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B5C56">
            <w:pPr>
              <w:spacing w:before="0" w:after="0" w:line="240" w:lineRule="auto"/>
              <w:jc w:val="center"/>
            </w:pPr>
            <w:r>
              <w:rPr>
                <w:rFonts w:ascii="宋体" w:hAnsi="宋体" w:eastAsia="宋体"/>
                <w:b w:val="0"/>
                <w:i w:val="0"/>
                <w:color w:val="000000"/>
                <w:sz w:val="18"/>
              </w:rPr>
              <w:t>最大限度减少人民群众财产损失</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AA0C6">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CD54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EE9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8D4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27A7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6872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28E3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5B11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7C09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368B1">
            <w:pPr>
              <w:spacing w:before="0" w:after="0" w:line="240" w:lineRule="auto"/>
              <w:jc w:val="center"/>
            </w:pPr>
          </w:p>
        </w:tc>
      </w:tr>
      <w:tr w14:paraId="66B65D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79B8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EB91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F1F2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53D7B">
            <w:pPr>
              <w:spacing w:before="0" w:after="0" w:line="240" w:lineRule="auto"/>
              <w:jc w:val="center"/>
            </w:pPr>
            <w:r>
              <w:rPr>
                <w:rFonts w:ascii="宋体" w:hAnsi="宋体" w:eastAsia="宋体"/>
                <w:b w:val="0"/>
                <w:i w:val="0"/>
                <w:color w:val="000000"/>
                <w:sz w:val="18"/>
              </w:rPr>
              <w:t>调研、监督检查发现问题整改率（%）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AA1A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F168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578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E12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E128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CB84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62FD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A114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970D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72177">
            <w:pPr>
              <w:spacing w:before="0" w:after="0" w:line="240" w:lineRule="auto"/>
              <w:jc w:val="center"/>
            </w:pPr>
          </w:p>
        </w:tc>
      </w:tr>
      <w:tr w14:paraId="6593C72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AAA7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1F4E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003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E8C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05E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0E079">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6A55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F0B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720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8BC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C15EC">
            <w:pPr>
              <w:spacing w:before="0" w:after="0" w:line="240" w:lineRule="auto"/>
              <w:jc w:val="center"/>
            </w:pPr>
          </w:p>
        </w:tc>
      </w:tr>
    </w:tbl>
    <w:p w14:paraId="1009F0EB">
      <w:r>
        <w:br w:type="page"/>
      </w:r>
    </w:p>
    <w:p w14:paraId="76406E38">
      <w:pPr>
        <w:sectPr>
          <w:type w:val="continuous"/>
          <w:pgSz w:w="11906" w:h="16838"/>
          <w:pgMar w:top="1440" w:right="1800" w:bottom="1440" w:left="1800" w:header="851" w:footer="992" w:gutter="0"/>
          <w:cols w:space="720" w:num="1"/>
          <w:docGrid w:type="lines" w:linePitch="312" w:charSpace="0"/>
        </w:sectPr>
      </w:pPr>
    </w:p>
    <w:p w14:paraId="5795C69D">
      <w:pPr>
        <w:spacing w:line="640" w:lineRule="exact"/>
        <w:ind w:firstLine="640"/>
        <w:jc w:val="both"/>
        <w:outlineLvl w:val="2"/>
      </w:pPr>
      <w:r>
        <w:rPr>
          <w:rFonts w:ascii="黑体" w:hAnsi="黑体" w:eastAsia="黑体"/>
          <w:sz w:val="32"/>
        </w:rPr>
        <w:t>十二、其他需说明的事项</w:t>
      </w:r>
    </w:p>
    <w:p w14:paraId="7D5938AC">
      <w:pPr>
        <w:spacing w:line="580" w:lineRule="exact"/>
        <w:ind w:firstLine="640"/>
        <w:jc w:val="both"/>
      </w:pPr>
      <w:r>
        <w:rPr>
          <w:rFonts w:ascii="仿宋_GB2312" w:hAnsi="仿宋_GB2312" w:eastAsia="仿宋_GB2312"/>
          <w:b w:val="0"/>
          <w:sz w:val="32"/>
        </w:rPr>
        <w:t>本单位无其他需说明的事项。</w:t>
      </w:r>
    </w:p>
    <w:p w14:paraId="51FB0AE5">
      <w:r>
        <w:br w:type="page"/>
      </w:r>
    </w:p>
    <w:p w14:paraId="1D3A864C">
      <w:pPr>
        <w:spacing w:line="600" w:lineRule="exact"/>
        <w:jc w:val="center"/>
        <w:outlineLvl w:val="0"/>
      </w:pPr>
      <w:r>
        <w:rPr>
          <w:rFonts w:ascii="黑体" w:hAnsi="黑体" w:eastAsia="黑体"/>
          <w:sz w:val="32"/>
        </w:rPr>
        <w:t>第三部分 专业名词解释</w:t>
      </w:r>
    </w:p>
    <w:p w14:paraId="36405F9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707362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1AB98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1AB258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C3A83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F1BD37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D97985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2CA242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879748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758930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E5A7EC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15B96A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1D786D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64078E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EE1DD2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028883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65BBEB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BB9757F">
      <w:r>
        <w:br w:type="page"/>
      </w:r>
    </w:p>
    <w:p w14:paraId="0D970056">
      <w:pPr>
        <w:spacing w:line="240" w:lineRule="auto"/>
        <w:jc w:val="center"/>
        <w:outlineLvl w:val="1"/>
      </w:pPr>
      <w:r>
        <w:rPr>
          <w:rFonts w:ascii="黑体" w:hAnsi="黑体" w:eastAsia="黑体"/>
          <w:sz w:val="32"/>
        </w:rPr>
        <w:t>第四部分 部门决算报表（见附表）</w:t>
      </w:r>
    </w:p>
    <w:p w14:paraId="219A732F">
      <w:pPr>
        <w:autoSpaceDE w:val="0"/>
        <w:autoSpaceDN w:val="0"/>
        <w:spacing w:line="600" w:lineRule="exact"/>
        <w:ind w:firstLine="640" w:firstLineChars="200"/>
      </w:pPr>
      <w:r>
        <w:rPr>
          <w:rFonts w:ascii="仿宋_GB2312" w:hAnsi="仿宋_GB2312" w:eastAsia="仿宋_GB2312"/>
          <w:b w:val="0"/>
          <w:sz w:val="32"/>
        </w:rPr>
        <w:t>一、《收入支出决算总表》</w:t>
      </w:r>
    </w:p>
    <w:p w14:paraId="04A7C8A9">
      <w:pPr>
        <w:autoSpaceDE w:val="0"/>
        <w:autoSpaceDN w:val="0"/>
        <w:spacing w:line="600" w:lineRule="exact"/>
        <w:ind w:firstLine="640" w:firstLineChars="200"/>
      </w:pPr>
      <w:r>
        <w:rPr>
          <w:rFonts w:ascii="仿宋_GB2312" w:hAnsi="仿宋_GB2312" w:eastAsia="仿宋_GB2312"/>
          <w:b w:val="0"/>
          <w:sz w:val="32"/>
        </w:rPr>
        <w:t>二、《收入决算表》</w:t>
      </w:r>
    </w:p>
    <w:p w14:paraId="76C104E0">
      <w:pPr>
        <w:autoSpaceDE w:val="0"/>
        <w:autoSpaceDN w:val="0"/>
        <w:spacing w:line="600" w:lineRule="exact"/>
        <w:ind w:firstLine="640" w:firstLineChars="200"/>
      </w:pPr>
      <w:r>
        <w:rPr>
          <w:rFonts w:ascii="仿宋_GB2312" w:hAnsi="仿宋_GB2312" w:eastAsia="仿宋_GB2312"/>
          <w:b w:val="0"/>
          <w:sz w:val="32"/>
        </w:rPr>
        <w:t>三、《支出决算表》</w:t>
      </w:r>
    </w:p>
    <w:p w14:paraId="018FB7E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27F618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A7894A6">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F1EED71">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0D46085">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066B017">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F5EB71F">
      <w:pPr>
        <w:autoSpaceDE w:val="0"/>
        <w:autoSpaceDN w:val="0"/>
        <w:spacing w:line="600" w:lineRule="exact"/>
        <w:ind w:firstLine="640" w:firstLineChars="200"/>
      </w:pPr>
    </w:p>
    <w:p w14:paraId="0046148E">
      <w:pPr>
        <w:autoSpaceDE w:val="0"/>
        <w:autoSpaceDN w:val="0"/>
        <w:spacing w:line="600" w:lineRule="exact"/>
        <w:ind w:firstLine="640" w:firstLineChars="200"/>
      </w:pPr>
    </w:p>
    <w:p w14:paraId="57210991">
      <w:pPr>
        <w:autoSpaceDE w:val="0"/>
        <w:autoSpaceDN w:val="0"/>
        <w:spacing w:line="600" w:lineRule="exact"/>
        <w:ind w:firstLine="640" w:firstLineChars="200"/>
      </w:pPr>
    </w:p>
    <w:p w14:paraId="5B90CDD8">
      <w:pPr>
        <w:autoSpaceDE w:val="0"/>
        <w:autoSpaceDN w:val="0"/>
        <w:spacing w:line="600" w:lineRule="exact"/>
        <w:ind w:firstLine="640" w:firstLineChars="200"/>
      </w:pPr>
    </w:p>
    <w:p w14:paraId="73D6D5E7">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4E8FEB-664D-413A-B643-FA9DA0628A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F0EE2D1-ABA9-49D0-A410-019BB4BAE504}"/>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032871FF-C5CE-45F1-A6EC-6CE81C2B9395}"/>
  </w:font>
  <w:font w:name="楷体_GB2312">
    <w:altName w:val="楷体"/>
    <w:panose1 w:val="00000000000000000000"/>
    <w:charset w:val="00"/>
    <w:family w:val="auto"/>
    <w:pitch w:val="default"/>
    <w:sig w:usb0="00000000" w:usb1="00000000" w:usb2="00000000" w:usb3="00000000" w:csb0="00000000" w:csb1="00000000"/>
    <w:embedRegular r:id="rId4" w:fontKey="{835952E1-E826-453C-86D7-75CCF8903164}"/>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A8B6B5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0D55668"/>
    <w:rsid w:val="313F1D52"/>
    <w:rsid w:val="318029AB"/>
    <w:rsid w:val="319D6C1C"/>
    <w:rsid w:val="31C63837"/>
    <w:rsid w:val="326F0A17"/>
    <w:rsid w:val="32A721EF"/>
    <w:rsid w:val="34623382"/>
    <w:rsid w:val="390019F4"/>
    <w:rsid w:val="3914510A"/>
    <w:rsid w:val="3B1220C9"/>
    <w:rsid w:val="3D5275AC"/>
    <w:rsid w:val="3D55093B"/>
    <w:rsid w:val="3EA7725F"/>
    <w:rsid w:val="40834692"/>
    <w:rsid w:val="423A32B2"/>
    <w:rsid w:val="464B7E04"/>
    <w:rsid w:val="46901EEE"/>
    <w:rsid w:val="469C74D2"/>
    <w:rsid w:val="47445515"/>
    <w:rsid w:val="48E21116"/>
    <w:rsid w:val="490868D4"/>
    <w:rsid w:val="49C97D5C"/>
    <w:rsid w:val="49F5131D"/>
    <w:rsid w:val="4AE426AE"/>
    <w:rsid w:val="4B4C0111"/>
    <w:rsid w:val="4D3F1CC6"/>
    <w:rsid w:val="4D730311"/>
    <w:rsid w:val="505A358E"/>
    <w:rsid w:val="50DB5F45"/>
    <w:rsid w:val="52F92565"/>
    <w:rsid w:val="55DA564E"/>
    <w:rsid w:val="56A416C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4a8b1990-f192-4dec-a15b-3e2b99757d48</errorID>
      <errorWord>重要水工程</errorWord>
      <group>L1_Word</group>
      <groupName>字词问题</groupName>
      <ability>L2_Typo</ability>
      <abilityName>字词错误</abilityName>
      <candidateList>
        <item>重要水利工程</item>
      </candidateList>
      <explain/>
      <paraID>6352A32B</paraID>
      <start>9</start>
      <end>14</end>
      <status>unmodified</status>
      <modifiedWord/>
      <trackRevisions>false</trackRevisions>
    </reviewItem>
    <reviewItem>
      <errorID>887955bb-20c2-4435-8901-c2d99df371b8</errorID>
      <errorWord>八项规定</errorWord>
      <group>L1_Other</group>
      <groupName>其他问题</groupName>
      <ability>L2_UserTypo</ability>
      <abilityName>自定义错误</abilityName>
      <candidateList>
        <item>中央八项规定</item>
      </candidateList>
      <explain>来自自定义错词库。</explain>
      <paraID>1FBE5F50</paraID>
      <start>57</start>
      <end>61</end>
      <status>unmodified</status>
      <modifiedWord/>
      <trackRevisions>false</trackRevisions>
    </reviewItem>
    <reviewItem>
      <errorID>efbf7bc4-c0ee-495d-9e32-f71bf9a1d430</errorID>
      <errorWord>八项规定</errorWord>
      <group>L1_Other</group>
      <groupName>其他问题</groupName>
      <ability>L2_UserTypo</ability>
      <abilityName>自定义错误</abilityName>
      <candidateList>
        <item>中央八项规定</item>
      </candidateList>
      <explain>来自自定义错词库。</explain>
      <paraID>1FBE5F50</paraID>
      <start>225</start>
      <end>229</end>
      <status>unmodified</status>
      <modifiedWord/>
      <trackRevisions>false</trackRevisions>
    </reviewItem>
    <reviewItem>
      <errorID>cfdf1315-a5b0-4e39-a094-a2bf732a5948</errorID>
      <errorWord>年</errorWord>
      <group>L1_Word</group>
      <groupName>字词问题</groupName>
      <ability>L2_Typo</ability>
      <abilityName>字词错误</abilityName>
      <candidateList>
        <item>年度</item>
      </candidateList>
      <explain/>
      <paraID>5F686B1F</paraID>
      <start>162</start>
      <end>163</end>
      <status>unmodified</status>
      <modifiedWord/>
      <trackRevisions>false</trackRevisions>
    </reviewItem>
    <reviewItem>
      <errorID>c4f667d8-ca8f-45fa-999d-b2bf1ab96bb3</errorID>
      <errorWord>八项规定</errorWord>
      <group>L1_Other</group>
      <groupName>其他问题</groupName>
      <ability>L2_UserTypo</ability>
      <abilityName>自定义错误</abilityName>
      <candidateList>
        <item>中央八项规定</item>
      </candidateList>
      <explain>来自自定义错词库。</explain>
      <paraID>4AF990C4</paraID>
      <start>67</start>
      <end>71</end>
      <status>unmodified</status>
      <modifiedWord/>
      <trackRevisions>false</trackRevisions>
    </reviewItem>
    <reviewItem>
      <errorID>ab9f2301-880b-4a06-b03a-deaaffbe02fa</errorID>
      <errorWord>八项规定</errorWord>
      <group>L1_Other</group>
      <groupName>其他问题</groupName>
      <ability>L2_UserTypo</ability>
      <abilityName>自定义错误</abilityName>
      <candidateList>
        <item>中央八项规定</item>
      </candidateList>
      <explain>来自自定义错词库。</explain>
      <paraID>4AF990C4</paraID>
      <start>283</start>
      <end>287</end>
      <status>unmodified</status>
      <modifiedWord/>
      <trackRevisions>false</trackRevisions>
    </reviewItem>
    <reviewItem>
      <errorID>25a74a4e-bb95-4f0a-9bf2-178497b10857</errorID>
      <errorWord>监控</errorWord>
      <group>L1_Sensitive</group>
      <groupName>敏感问题</groupName>
      <ability>L2_UserSensitive</ability>
      <abilityName>自定义敏感词</abilityName>
      <candidateList/>
      <explain>来自自定义敏感词库。</explain>
      <paraID>2C0C856D</paraID>
      <start>139</start>
      <end>141</end>
      <status>unmodified</status>
      <modifiedWord/>
      <trackRevisions>false</trackRevisions>
    </reviewItem>
    <reviewItem>
      <errorID>5f2b8cbc-9532-46a5-b17f-ef5deeb8de03</errorID>
      <errorWord>监控</errorWord>
      <group>L1_Sensitive</group>
      <groupName>敏感问题</groupName>
      <ability>L2_UserSensitive</ability>
      <abilityName>自定义敏感词</abilityName>
      <candidateList/>
      <explain>来自自定义敏感词库。</explain>
      <paraID>2C0C856D</paraID>
      <start>151</start>
      <end>153</end>
      <status>unmodified</status>
      <modifiedWord/>
      <trackRevisions>false</trackRevisions>
    </reviewItem>
    <reviewItem>
      <errorID>3f6763e1-d879-448d-aecf-c7709cd0a2e4</errorID>
      <errorWord>监控</errorWord>
      <group>L1_Sensitive</group>
      <groupName>敏感问题</groupName>
      <ability>L2_UserSensitive</ability>
      <abilityName>自定义敏感词</abilityName>
      <candidateList/>
      <explain>来自自定义敏感词库。</explain>
      <paraID>2C0C856D</paraID>
      <start>247</start>
      <end>249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4ec4f16-3e8d-447d-8fb3-814c8535eb01}">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1105</Words>
  <Characters>1156</Characters>
  <Lines>10</Lines>
  <Paragraphs>2</Paragraphs>
  <TotalTime>22</TotalTime>
  <ScaleCrop>false</ScaleCrop>
  <LinksUpToDate>false</LinksUpToDate>
  <CharactersWithSpaces>1164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2026-08-28T06:05:31Z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