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新疆维吾尔自治区水环境监测中心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0AD0C8F6">
      <w:r>
        <w:br w:type="page"/>
      </w:r>
    </w:p>
    <w:p w14:paraId="0BEE8D17">
      <w:pPr>
        <w:spacing w:line="640" w:lineRule="exact"/>
        <w:jc w:val="center"/>
        <w:outlineLvl w:val="1"/>
      </w:pPr>
      <w:r>
        <w:rPr>
          <w:rFonts w:ascii="黑体" w:hAnsi="黑体" w:eastAsia="黑体"/>
          <w:sz w:val="32"/>
        </w:rPr>
        <w:t>第一部分 单位概况</w:t>
      </w:r>
    </w:p>
    <w:p w14:paraId="2B3DA513">
      <w:pPr>
        <w:spacing w:line="640" w:lineRule="exact"/>
        <w:ind w:firstLine="640"/>
        <w:jc w:val="both"/>
        <w:outlineLvl w:val="2"/>
      </w:pPr>
      <w:r>
        <w:rPr>
          <w:rFonts w:ascii="黑体" w:hAnsi="黑体" w:eastAsia="黑体"/>
          <w:sz w:val="32"/>
        </w:rPr>
        <w:t>一、主要职能</w:t>
      </w:r>
    </w:p>
    <w:p w14:paraId="33D5D720">
      <w:pPr>
        <w:spacing w:line="580" w:lineRule="exact"/>
        <w:ind w:firstLine="640"/>
        <w:jc w:val="both"/>
      </w:pPr>
      <w:r>
        <w:rPr>
          <w:rFonts w:ascii="仿宋_GB2312" w:hAnsi="仿宋_GB2312" w:eastAsia="仿宋_GB2312"/>
          <w:sz w:val="32"/>
        </w:rPr>
        <w:t>新疆维吾尔自治区水环境监测中心是全额拨款事业单位，预算管理级次为三级，隶属新疆维吾尔自治区水文局，是新疆维吾尔自治区水利部门水环境监测和调查评价的技术部门。主要负责全疆水环境监测的业务管理和技术指导，包括站网布设、样品采集及运送、样品的预处理、监</w:t>
      </w:r>
      <w:bookmarkStart w:id="0" w:name="_GoBack"/>
      <w:bookmarkEnd w:id="0"/>
      <w:r>
        <w:rPr>
          <w:rFonts w:ascii="仿宋_GB2312" w:hAnsi="仿宋_GB2312" w:eastAsia="仿宋_GB2312"/>
          <w:sz w:val="32"/>
        </w:rPr>
        <w:t>测分析、资料整理汇编、水资源质量分析与评价、水质数据库建设、突发污染事故调查监测等。</w:t>
      </w:r>
    </w:p>
    <w:p w14:paraId="330CEFCE">
      <w:pPr>
        <w:spacing w:line="640" w:lineRule="exact"/>
        <w:ind w:firstLine="640"/>
        <w:jc w:val="both"/>
        <w:outlineLvl w:val="2"/>
      </w:pPr>
      <w:r>
        <w:rPr>
          <w:rFonts w:ascii="黑体" w:hAnsi="黑体" w:eastAsia="黑体"/>
          <w:sz w:val="32"/>
        </w:rPr>
        <w:t>二、机构设置</w:t>
      </w:r>
    </w:p>
    <w:p w14:paraId="3E9E1A29">
      <w:pPr>
        <w:spacing w:line="580" w:lineRule="exact"/>
        <w:ind w:firstLine="640"/>
        <w:jc w:val="both"/>
      </w:pPr>
      <w:r>
        <w:rPr>
          <w:rFonts w:ascii="仿宋_GB2312" w:hAnsi="仿宋_GB2312" w:eastAsia="仿宋_GB2312"/>
          <w:sz w:val="32"/>
        </w:rPr>
        <w:t>新疆维吾尔自治区水环境监测中心无下属预算单位。</w:t>
      </w:r>
    </w:p>
    <w:p w14:paraId="0610B562">
      <w:r>
        <w:br w:type="page"/>
      </w:r>
    </w:p>
    <w:p w14:paraId="5F48BF59">
      <w:pPr>
        <w:spacing w:line="240" w:lineRule="auto"/>
        <w:jc w:val="center"/>
        <w:outlineLvl w:val="1"/>
      </w:pPr>
      <w:r>
        <w:rPr>
          <w:rFonts w:ascii="黑体" w:hAnsi="黑体" w:eastAsia="黑体"/>
          <w:sz w:val="32"/>
        </w:rPr>
        <w:t>第二部分 部门决算情况说明</w:t>
      </w:r>
    </w:p>
    <w:p w14:paraId="0F96CA8A">
      <w:pPr>
        <w:spacing w:line="640" w:lineRule="exact"/>
        <w:ind w:firstLine="640"/>
        <w:jc w:val="both"/>
        <w:outlineLvl w:val="2"/>
      </w:pPr>
      <w:r>
        <w:rPr>
          <w:rFonts w:ascii="黑体" w:hAnsi="黑体" w:eastAsia="黑体"/>
          <w:sz w:val="32"/>
        </w:rPr>
        <w:t>一、收入支出决算总体情况说明</w:t>
      </w:r>
    </w:p>
    <w:p w14:paraId="720982E0">
      <w:pPr>
        <w:spacing w:line="580" w:lineRule="exact"/>
        <w:ind w:firstLine="640"/>
        <w:jc w:val="both"/>
      </w:pPr>
      <w:r>
        <w:rPr>
          <w:rFonts w:ascii="仿宋_GB2312" w:hAnsi="仿宋_GB2312" w:eastAsia="仿宋_GB2312"/>
          <w:b/>
          <w:sz w:val="32"/>
        </w:rPr>
        <w:t>2025年度收入总计571.22万元，</w:t>
      </w:r>
      <w:r>
        <w:rPr>
          <w:rFonts w:ascii="仿宋_GB2312" w:hAnsi="仿宋_GB2312" w:eastAsia="仿宋_GB2312"/>
          <w:b w:val="0"/>
          <w:sz w:val="32"/>
        </w:rPr>
        <w:t>其中：本年收入合计565.77万元，使用非财政拨款结余（含专用结余）0.00万元，年初结转和结余5.45万元。</w:t>
      </w:r>
    </w:p>
    <w:p w14:paraId="25D8DA83">
      <w:pPr>
        <w:spacing w:line="580" w:lineRule="exact"/>
        <w:ind w:firstLine="640"/>
        <w:jc w:val="both"/>
      </w:pPr>
      <w:r>
        <w:rPr>
          <w:rFonts w:ascii="仿宋_GB2312" w:hAnsi="仿宋_GB2312" w:eastAsia="仿宋_GB2312"/>
          <w:b/>
          <w:sz w:val="32"/>
        </w:rPr>
        <w:t>2025年度支出总计571.22万元，</w:t>
      </w:r>
      <w:r>
        <w:rPr>
          <w:rFonts w:ascii="仿宋_GB2312" w:hAnsi="仿宋_GB2312" w:eastAsia="仿宋_GB2312"/>
          <w:b w:val="0"/>
          <w:sz w:val="32"/>
        </w:rPr>
        <w:t>其中：本年支出合计512.90万元，结余分配52.02万元，年末结转和结余6.30万元。</w:t>
      </w:r>
    </w:p>
    <w:p w14:paraId="5A9BD7F0">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增加113.64万元，增长24.84%，主要原因是：本年在职人员相关人员经费增加；增加地下水质检测项目，非财政项目资金较上年增加。</w:t>
      </w:r>
    </w:p>
    <w:p w14:paraId="4E263E2D">
      <w:pPr>
        <w:spacing w:line="640" w:lineRule="exact"/>
        <w:ind w:firstLine="640"/>
        <w:jc w:val="both"/>
        <w:outlineLvl w:val="2"/>
      </w:pPr>
      <w:r>
        <w:rPr>
          <w:rFonts w:ascii="黑体" w:hAnsi="黑体" w:eastAsia="黑体"/>
          <w:sz w:val="32"/>
        </w:rPr>
        <w:t>二、收入决算情况说明</w:t>
      </w:r>
    </w:p>
    <w:p w14:paraId="0CB1BC53">
      <w:pPr>
        <w:spacing w:line="580" w:lineRule="exact"/>
        <w:ind w:firstLine="640"/>
        <w:jc w:val="both"/>
      </w:pPr>
      <w:r>
        <w:rPr>
          <w:rFonts w:ascii="仿宋_GB2312" w:hAnsi="仿宋_GB2312" w:eastAsia="仿宋_GB2312"/>
          <w:b/>
          <w:sz w:val="32"/>
        </w:rPr>
        <w:t>本年收入565.77万元，</w:t>
      </w:r>
      <w:r>
        <w:rPr>
          <w:rFonts w:ascii="仿宋_GB2312" w:hAnsi="仿宋_GB2312" w:eastAsia="仿宋_GB2312"/>
          <w:b w:val="0"/>
          <w:sz w:val="32"/>
        </w:rPr>
        <w:t>其中：财政拨款收入402.91万元，占71.21%；上级补助收入0.00万元，占0.00%；事业收入0.00万元，占0.00%；经营收入162.67万元，占28.75%；附属单位上缴收入0.00万元，占0.00%；其他收入0.19万元，占0.03%。</w:t>
      </w:r>
    </w:p>
    <w:p w14:paraId="08F06648">
      <w:pPr>
        <w:spacing w:line="640" w:lineRule="exact"/>
        <w:ind w:firstLine="640"/>
        <w:jc w:val="both"/>
        <w:outlineLvl w:val="2"/>
      </w:pPr>
      <w:r>
        <w:rPr>
          <w:rFonts w:ascii="黑体" w:hAnsi="黑体" w:eastAsia="黑体"/>
          <w:sz w:val="32"/>
        </w:rPr>
        <w:t>三、支出决算情况说明</w:t>
      </w:r>
    </w:p>
    <w:p w14:paraId="46E06AE5">
      <w:pPr>
        <w:spacing w:line="580" w:lineRule="exact"/>
        <w:ind w:firstLine="640"/>
        <w:jc w:val="both"/>
      </w:pPr>
      <w:r>
        <w:rPr>
          <w:rFonts w:ascii="仿宋_GB2312" w:hAnsi="仿宋_GB2312" w:eastAsia="仿宋_GB2312"/>
          <w:b/>
          <w:sz w:val="32"/>
        </w:rPr>
        <w:t>本年支出512.90万元，</w:t>
      </w:r>
      <w:r>
        <w:rPr>
          <w:rFonts w:ascii="仿宋_GB2312" w:hAnsi="仿宋_GB2312" w:eastAsia="仿宋_GB2312"/>
          <w:b w:val="0"/>
          <w:sz w:val="32"/>
        </w:rPr>
        <w:t>其中：基本支出334.25万元，占65.17%；项目支出68.00万元，占13.26%；上缴上级支出0.00万元，占0.00%；经营支出110.65万元，占21.57%；对附属单位补助支出0.00万元，占0.00%。</w:t>
      </w:r>
    </w:p>
    <w:p w14:paraId="7A284281">
      <w:pPr>
        <w:spacing w:line="640" w:lineRule="exact"/>
        <w:ind w:firstLine="640"/>
        <w:jc w:val="both"/>
        <w:outlineLvl w:val="2"/>
      </w:pPr>
      <w:r>
        <w:rPr>
          <w:rFonts w:ascii="黑体" w:hAnsi="黑体" w:eastAsia="黑体"/>
          <w:sz w:val="32"/>
        </w:rPr>
        <w:t>四、财政拨款收入支出决算总体情况说明</w:t>
      </w:r>
    </w:p>
    <w:p w14:paraId="0E012286">
      <w:pPr>
        <w:spacing w:line="580" w:lineRule="exact"/>
        <w:ind w:firstLine="640"/>
        <w:jc w:val="both"/>
      </w:pPr>
      <w:r>
        <w:rPr>
          <w:rFonts w:ascii="仿宋_GB2312" w:hAnsi="仿宋_GB2312" w:eastAsia="仿宋_GB2312"/>
          <w:b/>
          <w:sz w:val="32"/>
        </w:rPr>
        <w:t>2025年度财政拨款收入总计408.36万元，</w:t>
      </w:r>
      <w:r>
        <w:rPr>
          <w:rFonts w:ascii="仿宋_GB2312" w:hAnsi="仿宋_GB2312" w:eastAsia="仿宋_GB2312"/>
          <w:b w:val="0"/>
          <w:sz w:val="32"/>
        </w:rPr>
        <w:t>其中：年初财政拨款结转和结余5.45万元，本年财政拨款收入402.91万元。</w:t>
      </w:r>
      <w:r>
        <w:rPr>
          <w:rFonts w:ascii="仿宋_GB2312" w:hAnsi="仿宋_GB2312" w:eastAsia="仿宋_GB2312"/>
          <w:b/>
          <w:sz w:val="32"/>
        </w:rPr>
        <w:t>财政拨款支出总计408.36万元，</w:t>
      </w:r>
      <w:r>
        <w:rPr>
          <w:rFonts w:ascii="仿宋_GB2312" w:hAnsi="仿宋_GB2312" w:eastAsia="仿宋_GB2312"/>
          <w:b w:val="0"/>
          <w:sz w:val="32"/>
        </w:rPr>
        <w:t>其中：年末财政拨款结转和结余6.30万元，本年财政拨款支出402.06万元。</w:t>
      </w:r>
    </w:p>
    <w:p w14:paraId="207B8A8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增加7.50万元，增长1.87%，主要原因是：本年在职人员工资调增，社保、公积金基数调增，人员经费增加。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年初预算数341.15万元，决算数408.36万元，预决算差异率19.70%，主要原因是：年中追加人员工资、社保、职业年金、丧葬费及抚恤金等资金，导致预决算存在差异。</w:t>
      </w:r>
    </w:p>
    <w:p w14:paraId="3FFB5AF7">
      <w:pPr>
        <w:spacing w:line="640" w:lineRule="exact"/>
        <w:ind w:firstLine="640"/>
        <w:jc w:val="both"/>
        <w:outlineLvl w:val="2"/>
      </w:pPr>
      <w:r>
        <w:rPr>
          <w:rFonts w:ascii="黑体" w:hAnsi="黑体" w:eastAsia="黑体"/>
          <w:sz w:val="32"/>
        </w:rPr>
        <w:t>五、一般公共预算财政拨款支出决算情况说明</w:t>
      </w:r>
    </w:p>
    <w:p w14:paraId="52EBCF08">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公共服务等重点支出，体现在有关支出科目中。</w:t>
      </w:r>
    </w:p>
    <w:p w14:paraId="2016C34C">
      <w:pPr>
        <w:spacing w:line="580" w:lineRule="exact"/>
        <w:ind w:firstLine="640"/>
        <w:jc w:val="both"/>
      </w:pPr>
      <w:r>
        <w:rPr>
          <w:rFonts w:ascii="仿宋_GB2312" w:hAnsi="仿宋_GB2312" w:eastAsia="仿宋_GB2312"/>
          <w:b w:val="0"/>
          <w:sz w:val="32"/>
        </w:rPr>
        <w:t>按照支出功能分类，农林水支出（类）水利（款）水质监测（项）的支出占本年财政拨款支出总额的比重最高，2025年度决算数为212.98万元，占比52.97%，主要用于人员工资福利支出和日常公用经费支出。</w:t>
      </w:r>
    </w:p>
    <w:p w14:paraId="129CB77F">
      <w:pPr>
        <w:spacing w:line="640" w:lineRule="exact"/>
        <w:ind w:firstLine="640"/>
        <w:jc w:val="both"/>
        <w:outlineLvl w:val="3"/>
      </w:pPr>
      <w:r>
        <w:rPr>
          <w:rFonts w:ascii="楷体_GB2312" w:hAnsi="楷体_GB2312" w:eastAsia="楷体_GB2312"/>
          <w:b/>
          <w:sz w:val="32"/>
        </w:rPr>
        <w:t>（一）一般公共预算财政拨款支出决算总体情况</w:t>
      </w:r>
    </w:p>
    <w:p w14:paraId="4184A6C8">
      <w:pPr>
        <w:spacing w:line="580" w:lineRule="exact"/>
        <w:ind w:firstLine="640"/>
        <w:jc w:val="both"/>
      </w:pPr>
      <w:r>
        <w:rPr>
          <w:rFonts w:ascii="仿宋_GB2312" w:hAnsi="仿宋_GB2312" w:eastAsia="仿宋_GB2312"/>
          <w:b/>
          <w:sz w:val="32"/>
        </w:rPr>
        <w:t>2025年度一般公共预算财政拨款支出402.06万元，</w:t>
      </w:r>
      <w:r>
        <w:rPr>
          <w:rFonts w:ascii="仿宋_GB2312" w:hAnsi="仿宋_GB2312" w:eastAsia="仿宋_GB2312"/>
          <w:b w:val="0"/>
          <w:sz w:val="32"/>
        </w:rPr>
        <w:t>占本年支出合计的78.39%。</w:t>
      </w:r>
      <w:r>
        <w:rPr>
          <w:rFonts w:ascii="仿宋_GB2312" w:hAnsi="仿宋_GB2312" w:eastAsia="仿宋_GB2312"/>
          <w:b/>
          <w:sz w:val="32"/>
        </w:rPr>
        <w:t>与上年相比，</w:t>
      </w:r>
      <w:r>
        <w:rPr>
          <w:rFonts w:ascii="仿宋_GB2312" w:hAnsi="仿宋_GB2312" w:eastAsia="仿宋_GB2312"/>
          <w:b w:val="0"/>
          <w:sz w:val="32"/>
        </w:rPr>
        <w:t>增加6.65万元，增长1.68%，主要原因是：本年在职人员工资调增，社保、公积金基数调增，人员经费增加。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年初预算数341.15万元，决算数402.06万元，预决算差异率17.85%，主要原因是：年中追加人员工资、社保、职业年金、丧葬费及抚恤金等资金，导致预决算存在差异。</w:t>
      </w:r>
    </w:p>
    <w:p w14:paraId="78A14E7C">
      <w:pPr>
        <w:spacing w:line="640" w:lineRule="exact"/>
        <w:ind w:firstLine="640"/>
        <w:jc w:val="both"/>
        <w:outlineLvl w:val="3"/>
      </w:pPr>
      <w:r>
        <w:rPr>
          <w:rFonts w:ascii="楷体_GB2312" w:hAnsi="楷体_GB2312" w:eastAsia="楷体_GB2312"/>
          <w:b/>
          <w:sz w:val="32"/>
        </w:rPr>
        <w:t>（二）一般公共预算财政拨款支出决算结构情况</w:t>
      </w:r>
    </w:p>
    <w:p w14:paraId="7F743513">
      <w:pPr>
        <w:spacing w:line="580" w:lineRule="exact"/>
        <w:ind w:firstLine="640"/>
        <w:jc w:val="both"/>
      </w:pPr>
      <w:r>
        <w:rPr>
          <w:rFonts w:ascii="仿宋_GB2312" w:hAnsi="仿宋_GB2312" w:eastAsia="仿宋_GB2312"/>
          <w:b w:val="0"/>
          <w:sz w:val="32"/>
        </w:rPr>
        <w:t>1.社会保障和就业支出（类）75.04万元，占18.66%。</w:t>
      </w:r>
    </w:p>
    <w:p w14:paraId="2C551241">
      <w:pPr>
        <w:spacing w:line="580" w:lineRule="exact"/>
        <w:ind w:firstLine="640"/>
        <w:jc w:val="both"/>
      </w:pPr>
      <w:r>
        <w:rPr>
          <w:rFonts w:ascii="仿宋_GB2312" w:hAnsi="仿宋_GB2312" w:eastAsia="仿宋_GB2312"/>
          <w:b w:val="0"/>
          <w:sz w:val="32"/>
        </w:rPr>
        <w:t>2.卫生健康支出（类）25.97万元，占6.46%。</w:t>
      </w:r>
    </w:p>
    <w:p w14:paraId="1D6C7FE4">
      <w:pPr>
        <w:spacing w:line="580" w:lineRule="exact"/>
        <w:ind w:firstLine="640"/>
        <w:jc w:val="both"/>
      </w:pPr>
      <w:r>
        <w:rPr>
          <w:rFonts w:ascii="仿宋_GB2312" w:hAnsi="仿宋_GB2312" w:eastAsia="仿宋_GB2312"/>
          <w:b w:val="0"/>
          <w:sz w:val="32"/>
        </w:rPr>
        <w:t>3.农林水支出（类）280.98万元，占69.89%。</w:t>
      </w:r>
    </w:p>
    <w:p w14:paraId="57C97598">
      <w:pPr>
        <w:spacing w:line="580" w:lineRule="exact"/>
        <w:ind w:firstLine="640"/>
        <w:jc w:val="both"/>
      </w:pPr>
      <w:r>
        <w:rPr>
          <w:rFonts w:ascii="仿宋_GB2312" w:hAnsi="仿宋_GB2312" w:eastAsia="仿宋_GB2312"/>
          <w:b w:val="0"/>
          <w:sz w:val="32"/>
        </w:rPr>
        <w:t>4.住房保障支出（类）20.06万元，占4.99%。</w:t>
      </w:r>
    </w:p>
    <w:p w14:paraId="475E91BB">
      <w:pPr>
        <w:spacing w:line="640" w:lineRule="exact"/>
        <w:ind w:firstLine="640"/>
        <w:jc w:val="both"/>
        <w:outlineLvl w:val="3"/>
      </w:pPr>
      <w:r>
        <w:rPr>
          <w:rFonts w:ascii="楷体_GB2312" w:hAnsi="楷体_GB2312" w:eastAsia="楷体_GB2312"/>
          <w:b/>
          <w:sz w:val="32"/>
        </w:rPr>
        <w:t>（三）一般公共预算财政拨款支出决算具体情况</w:t>
      </w:r>
    </w:p>
    <w:p w14:paraId="29C70354">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1.社会保障和就业支出（类）行政事业单位养老支出（款）事业单位离退休（项）：支出决算数为20.10万元，比上年决算增加2.95万元，增长17.20%，主要原因是：本年增加退休人员基础绩效奖，退休费支出增加。</w:t>
      </w:r>
    </w:p>
    <w:p w14:paraId="34039CA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25.62万元，比上年决算增加1.64万元，增长6.84%，主要原因是：本年在职人员工资基数调增，养老缴费基数上涨，相应支出增加。</w:t>
      </w:r>
    </w:p>
    <w:p w14:paraId="47E42D60">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29.32万元，比上年决算增加29.32万元，增长100.00%，主要原因是：本年功能科目调整，机关事业单位职业年金缴费上年度在主科目列支，本年单独列支，导致经费较上年增加。</w:t>
      </w:r>
    </w:p>
    <w:p w14:paraId="593F07F8">
      <w:pPr>
        <w:spacing w:line="580" w:lineRule="exact"/>
        <w:ind w:firstLine="640"/>
        <w:jc w:val="both"/>
      </w:pPr>
      <w:r>
        <w:rPr>
          <w:rFonts w:ascii="仿宋_GB2312" w:hAnsi="仿宋_GB2312" w:eastAsia="仿宋_GB2312"/>
          <w:b w:val="0"/>
          <w:sz w:val="32"/>
        </w:rPr>
        <w:t>4.卫生健康支出（类）行政事业单位医疗（款）事业单位医疗（项）：支出决算数为14.72万元，比上年决算增加3.25万元，增长28.33%，主要原因是：本年在职人员工资基数调增，医疗缴费基数上涨，相应支出增加。</w:t>
      </w:r>
    </w:p>
    <w:p w14:paraId="10FEFC20">
      <w:pPr>
        <w:spacing w:line="580" w:lineRule="exact"/>
        <w:ind w:firstLine="640"/>
        <w:jc w:val="both"/>
      </w:pPr>
      <w:r>
        <w:rPr>
          <w:rFonts w:ascii="仿宋_GB2312" w:hAnsi="仿宋_GB2312" w:eastAsia="仿宋_GB2312"/>
          <w:b w:val="0"/>
          <w:sz w:val="32"/>
        </w:rPr>
        <w:t>5.卫生健康支出（类）行政事业单位医疗（款）公务员医疗补助（项）：支出决算数为11.25万元，比上年决算增加11.25万元，增长100.00%，主要原因是：本年功能科目调整，公务员医疗补助上年度在主科目列支，本年单独列支，导致经费较上年增加。</w:t>
      </w:r>
    </w:p>
    <w:p w14:paraId="1CF7B75A">
      <w:pPr>
        <w:spacing w:line="580" w:lineRule="exact"/>
        <w:ind w:firstLine="640"/>
        <w:jc w:val="both"/>
      </w:pPr>
      <w:r>
        <w:rPr>
          <w:rFonts w:ascii="仿宋_GB2312" w:hAnsi="仿宋_GB2312" w:eastAsia="仿宋_GB2312"/>
          <w:b w:val="0"/>
          <w:sz w:val="32"/>
        </w:rPr>
        <w:t>6.农林水支出（类）水利（款）水资源节约管理与保护（项）：支出决算数为0.00万元，比上年决算减少42.00万元，下降100.00%，主要原因是：2025年水资源节约管理与保护项目统一由上级部门申报，故经费支出较上年减少。</w:t>
      </w:r>
    </w:p>
    <w:p w14:paraId="2CEB9F1F">
      <w:pPr>
        <w:spacing w:line="580" w:lineRule="exact"/>
        <w:ind w:firstLine="640"/>
        <w:jc w:val="both"/>
      </w:pPr>
      <w:r>
        <w:rPr>
          <w:rFonts w:ascii="仿宋_GB2312" w:hAnsi="仿宋_GB2312" w:eastAsia="仿宋_GB2312"/>
          <w:b w:val="0"/>
          <w:sz w:val="32"/>
        </w:rPr>
        <w:t>7.农林水支出（类）水利（款）水质监测（项）：支出决算数为212.98万元，比上年决算增加7.50万元，增长3.65%，主要原因是：本年增加丧葬费及抚恤金。</w:t>
      </w:r>
    </w:p>
    <w:p w14:paraId="6B543585">
      <w:pPr>
        <w:spacing w:line="580" w:lineRule="exact"/>
        <w:ind w:firstLine="640"/>
        <w:jc w:val="both"/>
      </w:pPr>
      <w:r>
        <w:rPr>
          <w:rFonts w:ascii="仿宋_GB2312" w:hAnsi="仿宋_GB2312" w:eastAsia="仿宋_GB2312"/>
          <w:b w:val="0"/>
          <w:sz w:val="32"/>
        </w:rPr>
        <w:t>8.农林水支出（类）水利（款）水文测报（项）：支出决算数为68.00万元，比上年决算减少9.00万元，下降11.69%，主要原因是：2025年水文测报项目资金较上年减少。</w:t>
      </w:r>
    </w:p>
    <w:p w14:paraId="7647821B">
      <w:pPr>
        <w:spacing w:line="580" w:lineRule="exact"/>
        <w:ind w:firstLine="640"/>
        <w:jc w:val="both"/>
      </w:pPr>
      <w:r>
        <w:rPr>
          <w:rFonts w:ascii="仿宋_GB2312" w:hAnsi="仿宋_GB2312" w:eastAsia="仿宋_GB2312"/>
          <w:b w:val="0"/>
          <w:sz w:val="32"/>
        </w:rPr>
        <w:t>9.住房保障支出（类）住房改革支出（款）住房公积金（项）：支出决算数为20.06万元，比上年决算增加1.72万元，增长9.38%，主要原因是：本年在职人员工资基数调增，公积金缴费基数上涨，相应支出增加。</w:t>
      </w:r>
    </w:p>
    <w:p w14:paraId="44C9A259">
      <w:pPr>
        <w:spacing w:line="640" w:lineRule="exact"/>
        <w:ind w:firstLine="640"/>
        <w:jc w:val="both"/>
        <w:outlineLvl w:val="2"/>
      </w:pPr>
      <w:r>
        <w:rPr>
          <w:rFonts w:ascii="黑体" w:hAnsi="黑体" w:eastAsia="黑体"/>
          <w:sz w:val="32"/>
        </w:rPr>
        <w:t>六、一般公共预算财政拨款基本支出决算情况说明</w:t>
      </w:r>
    </w:p>
    <w:p w14:paraId="54373882">
      <w:pPr>
        <w:spacing w:line="580" w:lineRule="exact"/>
        <w:ind w:firstLine="640"/>
        <w:jc w:val="both"/>
      </w:pPr>
      <w:r>
        <w:rPr>
          <w:rFonts w:ascii="仿宋_GB2312" w:hAnsi="仿宋_GB2312" w:eastAsia="仿宋_GB2312"/>
          <w:b w:val="0"/>
          <w:sz w:val="32"/>
        </w:rPr>
        <w:t>2025年度一般公共预算财政拨款基本支出334.06万元，其中：</w:t>
      </w:r>
      <w:r>
        <w:rPr>
          <w:rFonts w:ascii="仿宋_GB2312" w:hAnsi="仿宋_GB2312" w:eastAsia="仿宋_GB2312"/>
          <w:b/>
          <w:sz w:val="32"/>
        </w:rPr>
        <w:t>人员经费315.06万元，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其他对个人和家庭的补助。</w:t>
      </w:r>
    </w:p>
    <w:p w14:paraId="2CC2AA5D">
      <w:pPr>
        <w:spacing w:line="580" w:lineRule="exact"/>
        <w:ind w:firstLine="640"/>
        <w:jc w:val="both"/>
      </w:pPr>
      <w:r>
        <w:rPr>
          <w:rFonts w:ascii="仿宋_GB2312" w:hAnsi="仿宋_GB2312" w:eastAsia="仿宋_GB2312"/>
          <w:b/>
          <w:sz w:val="32"/>
        </w:rPr>
        <w:t>公用经费19.00万元，</w:t>
      </w:r>
      <w:r>
        <w:rPr>
          <w:rFonts w:ascii="仿宋_GB2312" w:hAnsi="仿宋_GB2312" w:eastAsia="仿宋_GB2312"/>
          <w:b w:val="0"/>
          <w:sz w:val="32"/>
        </w:rPr>
        <w:t>包括：办公费、邮电费、差旅费、工会经费、福利费、公务用车运行维护费、其他商品和服务支出。</w:t>
      </w:r>
    </w:p>
    <w:p w14:paraId="2CC20F73">
      <w:pPr>
        <w:spacing w:line="640" w:lineRule="exact"/>
        <w:ind w:firstLine="640"/>
        <w:jc w:val="both"/>
        <w:outlineLvl w:val="2"/>
      </w:pPr>
      <w:r>
        <w:rPr>
          <w:rFonts w:ascii="黑体" w:hAnsi="黑体" w:eastAsia="黑体"/>
          <w:sz w:val="32"/>
        </w:rPr>
        <w:t>七、政府性基金预算财政拨款收入支出决算情况说明</w:t>
      </w:r>
    </w:p>
    <w:p w14:paraId="1BCCBF6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1148A3A">
      <w:pPr>
        <w:spacing w:line="640" w:lineRule="exact"/>
        <w:ind w:firstLine="640"/>
        <w:jc w:val="both"/>
        <w:outlineLvl w:val="2"/>
      </w:pPr>
      <w:r>
        <w:rPr>
          <w:rFonts w:ascii="黑体" w:hAnsi="黑体" w:eastAsia="黑体"/>
          <w:sz w:val="32"/>
        </w:rPr>
        <w:t>八、国有资本经营预算财政拨款收入支出决算情况说明</w:t>
      </w:r>
    </w:p>
    <w:p w14:paraId="1B580D0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6CFF759">
      <w:pPr>
        <w:spacing w:line="640" w:lineRule="exact"/>
        <w:ind w:firstLine="640"/>
        <w:jc w:val="both"/>
        <w:outlineLvl w:val="2"/>
      </w:pPr>
      <w:r>
        <w:rPr>
          <w:rFonts w:ascii="黑体" w:hAnsi="黑体" w:eastAsia="黑体"/>
          <w:sz w:val="32"/>
        </w:rPr>
        <w:t>九、财政拨款“三公”经费支出决算情况说明</w:t>
      </w:r>
    </w:p>
    <w:p w14:paraId="366ECDC3">
      <w:pPr>
        <w:spacing w:line="580" w:lineRule="exact"/>
        <w:ind w:firstLine="640"/>
        <w:jc w:val="both"/>
      </w:pPr>
      <w:r>
        <w:rPr>
          <w:rFonts w:ascii="仿宋_GB2312" w:hAnsi="仿宋_GB2312" w:eastAsia="仿宋_GB2312"/>
          <w:b/>
          <w:sz w:val="32"/>
        </w:rPr>
        <w:t>2025年度财政拨款“三公”经费支出3.60万元，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3.60万元，占100.00%，比上年增加0.00万元，增长0.00%，主要原因是：本单位公务用车购置及运行维护费与上年一致无变化。公务接待费支出0.00万元，占0.00%，比上年增加0.00万元，增长0.00%，主要原因是：2024年与2025年均无公务接待费支出。</w:t>
      </w:r>
    </w:p>
    <w:p w14:paraId="173FF504">
      <w:pPr>
        <w:spacing w:line="580" w:lineRule="exact"/>
        <w:ind w:firstLine="640"/>
        <w:jc w:val="both"/>
      </w:pPr>
      <w:r>
        <w:rPr>
          <w:rFonts w:ascii="仿宋_GB2312" w:hAnsi="仿宋_GB2312" w:eastAsia="仿宋_GB2312"/>
          <w:b/>
          <w:sz w:val="32"/>
        </w:rPr>
        <w:t>具体情况如下：</w:t>
      </w:r>
    </w:p>
    <w:p w14:paraId="65B3C8E9">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6943D66E">
      <w:pPr>
        <w:spacing w:line="580" w:lineRule="exact"/>
        <w:ind w:firstLine="640"/>
        <w:jc w:val="both"/>
      </w:pPr>
      <w:r>
        <w:rPr>
          <w:rFonts w:ascii="仿宋_GB2312" w:hAnsi="仿宋_GB2312" w:eastAsia="仿宋_GB2312"/>
          <w:b w:val="0"/>
          <w:sz w:val="32"/>
        </w:rPr>
        <w:t>公务用车购置及运行维护费3.60万元，其中：公务用车购置费0.00万元，公务用车运行维护费3.60万元。公务用车运行维护费开支内容包括车辆加油费、维修费、保险费、审车费、过路费等。公务用车购置数0辆，公务用车保有量2辆。国有资产占用情况中固定资产车辆2辆，与公务用车保有量差异原因是：本单位公务用车保有量与固定资产车辆一致无差异。</w:t>
      </w:r>
    </w:p>
    <w:p w14:paraId="2D2D521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A984E8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3.60万元，决算数3.60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3.60万元，决算数3.60万元，预决算差异率0.00%，主要原因是：严格按照预算执行，预决算无差异。公务接待费全年预算数0.00万元，决算数0.00万元，预决算差异率0.00%，主要原因是：本单位无公务接待费。</w:t>
      </w:r>
    </w:p>
    <w:p w14:paraId="332C8060">
      <w:pPr>
        <w:spacing w:line="640" w:lineRule="exact"/>
        <w:ind w:firstLine="640"/>
        <w:jc w:val="both"/>
        <w:outlineLvl w:val="2"/>
      </w:pPr>
      <w:r>
        <w:rPr>
          <w:rFonts w:ascii="黑体" w:hAnsi="黑体" w:eastAsia="黑体"/>
          <w:sz w:val="32"/>
        </w:rPr>
        <w:t>十、其他重要事项的情况说明</w:t>
      </w:r>
    </w:p>
    <w:p w14:paraId="6667D26E">
      <w:pPr>
        <w:spacing w:line="640" w:lineRule="exact"/>
        <w:ind w:firstLine="640"/>
        <w:jc w:val="both"/>
        <w:outlineLvl w:val="3"/>
      </w:pPr>
      <w:r>
        <w:rPr>
          <w:rFonts w:ascii="楷体_GB2312" w:hAnsi="楷体_GB2312" w:eastAsia="楷体_GB2312"/>
          <w:b/>
          <w:sz w:val="32"/>
        </w:rPr>
        <w:t>（一）机关运行经费及公用经费支出情况</w:t>
      </w:r>
    </w:p>
    <w:p w14:paraId="4335D287">
      <w:pPr>
        <w:spacing w:line="580" w:lineRule="exact"/>
        <w:ind w:firstLine="640"/>
        <w:jc w:val="both"/>
      </w:pPr>
      <w:r>
        <w:rPr>
          <w:rFonts w:ascii="仿宋_GB2312" w:hAnsi="仿宋_GB2312" w:eastAsia="仿宋_GB2312"/>
          <w:b w:val="0"/>
          <w:sz w:val="32"/>
        </w:rPr>
        <w:t>2025年度新疆维吾尔自治区水环境监测中心（事业单位）公用经费支出19.00万元，比上年增加4.68万元，增长32.68%，主要原因是：本年更新、维护补充办公用品，导致公用经费较上年增加。</w:t>
      </w:r>
    </w:p>
    <w:p w14:paraId="0284DBFD">
      <w:pPr>
        <w:spacing w:line="640" w:lineRule="exact"/>
        <w:ind w:firstLine="640"/>
        <w:jc w:val="both"/>
        <w:outlineLvl w:val="3"/>
      </w:pPr>
      <w:r>
        <w:rPr>
          <w:rFonts w:ascii="楷体_GB2312" w:hAnsi="楷体_GB2312" w:eastAsia="楷体_GB2312"/>
          <w:b/>
          <w:sz w:val="32"/>
        </w:rPr>
        <w:t>（二）政府采购情况</w:t>
      </w:r>
    </w:p>
    <w:p w14:paraId="3C32F004">
      <w:pPr>
        <w:spacing w:line="580" w:lineRule="exact"/>
        <w:ind w:firstLine="640"/>
        <w:jc w:val="both"/>
      </w:pPr>
      <w:r>
        <w:rPr>
          <w:rFonts w:ascii="仿宋_GB2312" w:hAnsi="仿宋_GB2312" w:eastAsia="仿宋_GB2312"/>
          <w:b w:val="0"/>
          <w:sz w:val="32"/>
        </w:rPr>
        <w:t>2025年度政府采购支出总额49.55万元，其中：政府采购货物支出40.69万元、政府采购工程支出0.00万元、政府采购服务支出8.86万元。</w:t>
      </w:r>
    </w:p>
    <w:p w14:paraId="06295F80">
      <w:pPr>
        <w:spacing w:line="580" w:lineRule="exact"/>
        <w:ind w:firstLine="640"/>
        <w:jc w:val="both"/>
      </w:pPr>
      <w:r>
        <w:rPr>
          <w:rFonts w:ascii="仿宋_GB2312" w:hAnsi="仿宋_GB2312" w:eastAsia="仿宋_GB2312"/>
          <w:b w:val="0"/>
          <w:sz w:val="32"/>
        </w:rPr>
        <w:t>授予中小企业合同金额49.55万元，占政府采购支出总额的100.00%，其中：授予小微企业合同金额49.55万元，占政府采购支出总额的100.00%。</w:t>
      </w:r>
    </w:p>
    <w:p w14:paraId="1EAE71FC">
      <w:pPr>
        <w:spacing w:line="640" w:lineRule="exact"/>
        <w:ind w:firstLine="640"/>
        <w:jc w:val="both"/>
        <w:outlineLvl w:val="3"/>
      </w:pPr>
      <w:r>
        <w:rPr>
          <w:rFonts w:ascii="楷体_GB2312" w:hAnsi="楷体_GB2312" w:eastAsia="楷体_GB2312"/>
          <w:b/>
          <w:sz w:val="32"/>
        </w:rPr>
        <w:t>（三）国有资产占用情况说明</w:t>
      </w:r>
    </w:p>
    <w:p w14:paraId="47B4B226">
      <w:pPr>
        <w:spacing w:line="580" w:lineRule="exact"/>
        <w:ind w:firstLine="640"/>
        <w:jc w:val="both"/>
      </w:pPr>
      <w:r>
        <w:rPr>
          <w:rFonts w:ascii="仿宋_GB2312" w:hAnsi="仿宋_GB2312" w:eastAsia="仿宋_GB2312"/>
          <w:b w:val="0"/>
          <w:sz w:val="32"/>
        </w:rPr>
        <w:t>截至2025年12月31日，房屋0.00平方米，价值0.00万元。车辆2辆，价值139.23万元，其中：副部（省）级及以上领导用车0辆、主要负责人用车0辆、机要通信用车0辆、应急保障用车0辆、执法执勤用车0辆、特种专业技术用车1辆、离退休干部服务用车0辆、其他用车1辆，其他用车主要是：一般公务用车。单价100万元（含）以上设备（不含车辆）0台（套）。</w:t>
      </w:r>
    </w:p>
    <w:p w14:paraId="06BAC523">
      <w:pPr>
        <w:spacing w:line="640" w:lineRule="exact"/>
        <w:ind w:firstLine="640"/>
        <w:jc w:val="both"/>
        <w:outlineLvl w:val="2"/>
      </w:pPr>
      <w:r>
        <w:rPr>
          <w:rFonts w:ascii="黑体" w:hAnsi="黑体" w:eastAsia="黑体"/>
          <w:sz w:val="32"/>
        </w:rPr>
        <w:t>十一、预算绩效的情况说明</w:t>
      </w:r>
    </w:p>
    <w:p w14:paraId="7C62CEF1">
      <w:pPr>
        <w:spacing w:line="580" w:lineRule="exact"/>
        <w:ind w:firstLine="640"/>
        <w:jc w:val="both"/>
      </w:pPr>
      <w:r>
        <w:rPr>
          <w:rFonts w:ascii="仿宋_GB2312" w:hAnsi="仿宋_GB2312" w:eastAsia="仿宋_GB2312"/>
          <w:b w:val="0"/>
          <w:sz w:val="32"/>
        </w:rPr>
        <w:t>根据预算绩效管理要求，本单位预算绩效评价项目2个，全年预算数219.98万元，全年执行数200.39万元。预算绩效管理取得的成效：一是完成236个地表水质站的年度水质监测工作，其中包括50个全国重点水质站，形成年度水质监测成果，编制全国重点水质站月报。二是饮用水源地监测保障安全。按月对开展重要饮用水源地水质监测，监测及评价结果编制成重要饮用水源地月报，为水源地管理与保护提供技术支撑。三是地下水质监测强化支撑。制定年度地下水监测实施方案，对161眼地下水监测井开展水质监测与评价，编制评价报告、质控报告，为制定科学的地下水保护方案提供依据。四是水生态监测范围持续拓展，监测能力不断提升。自2022年在8处重点水域试点水生态监测以来，目前监测范围已扩大至60处重点水域，重点覆盖塔里木河、天山北坡等关键水域，结合生态敏感区与人类活动影响区动态调整，提升数据代表性。五是应对突发性水污染事件。主动开展应急监测演练，对受污染水体进行现场监测并制定应对措施，筑牢水安全防线。六是主动对接需求，为河湖健康评价提供水质基础数据，并参与母亲河复苏行动水质监测上报及河湖健康评价报告审查工作。中心及各分中心积极承揽对外服务项目，对外发出检测报告545份，在农村饮水质监测领域开展务实合作，监测覆盖范围不断拓展，推动监测成果转化为民生实效。发现的问题及原因：绩效管理过程中具体细化程度不够，致使项目开展跟踪反馈不足，项目开展与资金运用脱节，评估体系不够健全，考核方式有待进一步完善。下一步改进措施：一是强化绩效事前管控，做实预算源头管理；二是细化绩效目标与指标体系，提升编制质量；三是加强绩效运行监控，强化过程监管；四是健全绩效自评机制，提升自评质量。具体附项目支出绩效自评表。</w:t>
      </w:r>
    </w:p>
    <w:p w14:paraId="6F899B89">
      <w:r>
        <w:br w:type="page"/>
      </w:r>
    </w:p>
    <w:p w14:paraId="22A806CA">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755"/>
        <w:gridCol w:w="231"/>
        <w:gridCol w:w="239"/>
        <w:gridCol w:w="720"/>
        <w:gridCol w:w="313"/>
        <w:gridCol w:w="472"/>
        <w:gridCol w:w="918"/>
      </w:tblGrid>
      <w:tr w14:paraId="740613F2">
        <w:tblPrEx>
          <w:tblCellMar>
            <w:top w:w="36" w:type="dxa"/>
            <w:left w:w="36" w:type="dxa"/>
            <w:bottom w:w="36" w:type="dxa"/>
            <w:right w:w="36" w:type="dxa"/>
          </w:tblCellMar>
        </w:tblPrEx>
        <w:trPr>
          <w:trHeight w:val="405" w:hRule="atLeast"/>
        </w:trPr>
        <w:tc>
          <w:tcPr>
            <w:tcW w:w="8306" w:type="dxa"/>
            <w:gridSpan w:val="16"/>
            <w:tcBorders>
              <w:top w:val="single" w:color="auto" w:sz="10" w:space="0"/>
              <w:left w:val="single" w:color="auto" w:sz="10" w:space="0"/>
              <w:bottom w:val="single" w:color="auto" w:sz="10" w:space="0"/>
              <w:right w:val="single" w:color="auto" w:sz="10" w:space="0"/>
              <w:insideV w:val="single" w:sz="10" w:space="0"/>
            </w:tcBorders>
            <w:vAlign w:val="center"/>
          </w:tcPr>
          <w:p w14:paraId="1C95CAFC">
            <w:pPr>
              <w:spacing w:before="0" w:after="0" w:line="240" w:lineRule="auto"/>
              <w:jc w:val="center"/>
            </w:pPr>
            <w:r>
              <w:rPr>
                <w:rFonts w:ascii="宋体" w:hAnsi="宋体" w:eastAsia="宋体"/>
                <w:b/>
                <w:i w:val="0"/>
                <w:sz w:val="32"/>
              </w:rPr>
              <w:t>项目支出绩效自评表</w:t>
            </w:r>
          </w:p>
        </w:tc>
      </w:tr>
      <w:tr w14:paraId="72F32193">
        <w:tblPrEx>
          <w:tblCellMar>
            <w:top w:w="36" w:type="dxa"/>
            <w:left w:w="36" w:type="dxa"/>
            <w:bottom w:w="36" w:type="dxa"/>
            <w:right w:w="36" w:type="dxa"/>
          </w:tblCellMar>
        </w:tblPrEx>
        <w:trPr>
          <w:trHeight w:val="380" w:hRule="atLeast"/>
        </w:trPr>
        <w:tc>
          <w:tcPr>
            <w:tcW w:w="8306" w:type="dxa"/>
            <w:gridSpan w:val="16"/>
            <w:tcBorders>
              <w:top w:val="single" w:color="auto" w:sz="10" w:space="0"/>
              <w:left w:val="single" w:color="auto" w:sz="10" w:space="0"/>
              <w:bottom w:val="single" w:color="auto" w:sz="10" w:space="0"/>
              <w:right w:val="single" w:color="auto" w:sz="10" w:space="0"/>
              <w:insideV w:val="single" w:sz="10" w:space="0"/>
            </w:tcBorders>
            <w:vAlign w:val="center"/>
          </w:tcPr>
          <w:p w14:paraId="70FA8D18">
            <w:pPr>
              <w:spacing w:before="0" w:after="0" w:line="240" w:lineRule="auto"/>
              <w:jc w:val="center"/>
            </w:pPr>
            <w:r>
              <w:rPr>
                <w:rFonts w:ascii="宋体" w:hAnsi="宋体" w:eastAsia="宋体"/>
                <w:b w:val="0"/>
                <w:i w:val="0"/>
                <w:sz w:val="22"/>
              </w:rPr>
              <w:t>(2025年度)</w:t>
            </w:r>
          </w:p>
        </w:tc>
      </w:tr>
      <w:tr w14:paraId="146AE20A">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AC2A9">
            <w:pPr>
              <w:spacing w:before="0" w:after="0" w:line="240" w:lineRule="auto"/>
              <w:jc w:val="center"/>
            </w:pPr>
            <w:r>
              <w:rPr>
                <w:rFonts w:ascii="宋体" w:hAnsi="宋体" w:eastAsia="宋体"/>
                <w:b/>
                <w:i w:val="0"/>
                <w:sz w:val="18"/>
              </w:rPr>
              <w:t>项目名称</w:t>
            </w:r>
          </w:p>
        </w:tc>
        <w:tc>
          <w:tcPr>
            <w:tcW w:w="7461"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6DC1120">
            <w:pPr>
              <w:spacing w:before="0" w:after="0" w:line="240" w:lineRule="auto"/>
              <w:jc w:val="center"/>
            </w:pPr>
            <w:r>
              <w:rPr>
                <w:rFonts w:ascii="宋体" w:hAnsi="宋体" w:eastAsia="宋体"/>
                <w:b w:val="0"/>
                <w:i w:val="0"/>
                <w:sz w:val="18"/>
              </w:rPr>
              <w:t>水文测报管理专项</w:t>
            </w:r>
          </w:p>
        </w:tc>
      </w:tr>
      <w:tr w14:paraId="6BCCA3E1">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A879E">
            <w:pPr>
              <w:spacing w:before="0" w:after="0" w:line="240" w:lineRule="auto"/>
              <w:jc w:val="center"/>
            </w:pPr>
            <w:r>
              <w:rPr>
                <w:rFonts w:ascii="宋体" w:hAnsi="宋体" w:eastAsia="宋体"/>
                <w:b/>
                <w:i w:val="0"/>
                <w:sz w:val="18"/>
              </w:rPr>
              <w:t>主管部门</w:t>
            </w:r>
          </w:p>
        </w:tc>
        <w:tc>
          <w:tcPr>
            <w:tcW w:w="28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C9477F">
            <w:pPr>
              <w:spacing w:before="0" w:after="0" w:line="240" w:lineRule="auto"/>
              <w:jc w:val="center"/>
            </w:pPr>
            <w:r>
              <w:rPr>
                <w:rFonts w:ascii="宋体" w:hAnsi="宋体" w:eastAsia="宋体"/>
                <w:b w:val="0"/>
                <w:i w:val="0"/>
                <w:sz w:val="18"/>
              </w:rPr>
              <w:t>新疆维吾尔自治区水文局</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E4A11">
            <w:pPr>
              <w:spacing w:before="0" w:after="0" w:line="240" w:lineRule="auto"/>
              <w:jc w:val="center"/>
            </w:pPr>
            <w:r>
              <w:rPr>
                <w:rFonts w:ascii="宋体" w:hAnsi="宋体" w:eastAsia="宋体"/>
                <w:b/>
                <w:i w:val="0"/>
                <w:sz w:val="18"/>
              </w:rPr>
              <w:t>实施单位</w:t>
            </w:r>
          </w:p>
        </w:tc>
        <w:tc>
          <w:tcPr>
            <w:tcW w:w="364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CA9F36">
            <w:pPr>
              <w:spacing w:before="0" w:after="0" w:line="240" w:lineRule="auto"/>
              <w:jc w:val="center"/>
            </w:pPr>
            <w:r>
              <w:rPr>
                <w:rFonts w:ascii="宋体" w:hAnsi="宋体" w:eastAsia="宋体"/>
                <w:b w:val="0"/>
                <w:i w:val="0"/>
                <w:sz w:val="18"/>
              </w:rPr>
              <w:t>新疆维吾尔自治区水环境监测中心</w:t>
            </w:r>
          </w:p>
        </w:tc>
      </w:tr>
      <w:tr w14:paraId="022A1CA9">
        <w:tblPrEx>
          <w:tblCellMar>
            <w:top w:w="36" w:type="dxa"/>
            <w:left w:w="36" w:type="dxa"/>
            <w:bottom w:w="36" w:type="dxa"/>
            <w:right w:w="36" w:type="dxa"/>
          </w:tblCellMar>
        </w:tblPrEx>
        <w:trPr>
          <w:trHeight w:val="380" w:hRule="atLeast"/>
        </w:trPr>
        <w:tc>
          <w:tcPr>
            <w:tcW w:w="8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533F4">
            <w:pPr>
              <w:spacing w:before="0" w:after="0" w:line="240" w:lineRule="auto"/>
              <w:jc w:val="center"/>
            </w:pPr>
            <w:r>
              <w:rPr>
                <w:rFonts w:ascii="宋体" w:hAnsi="宋体" w:eastAsia="宋体"/>
                <w:b/>
                <w:i w:val="0"/>
                <w:sz w:val="18"/>
              </w:rPr>
              <w:t>项目资金
（万元）</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0D8C2">
            <w:pPr>
              <w:spacing w:before="0" w:after="0" w:line="240" w:lineRule="auto"/>
              <w:jc w:val="center"/>
            </w:pP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E8C9F75">
            <w:pPr>
              <w:spacing w:before="0" w:after="0" w:line="240" w:lineRule="auto"/>
              <w:jc w:val="center"/>
            </w:pPr>
            <w:r>
              <w:rPr>
                <w:rFonts w:ascii="宋体" w:hAnsi="宋体" w:eastAsia="宋体"/>
                <w:b/>
                <w:i w:val="0"/>
                <w:sz w:val="18"/>
              </w:rPr>
              <w:t>年初预算数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6AF52">
            <w:pPr>
              <w:spacing w:before="0" w:after="0" w:line="240" w:lineRule="auto"/>
              <w:jc w:val="center"/>
            </w:pPr>
            <w:r>
              <w:rPr>
                <w:rFonts w:ascii="宋体" w:hAnsi="宋体" w:eastAsia="宋体"/>
                <w:b/>
                <w:i w:val="0"/>
                <w:sz w:val="18"/>
              </w:rPr>
              <w:t>全年预算数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5E157">
            <w:pPr>
              <w:spacing w:before="0" w:after="0" w:line="240" w:lineRule="auto"/>
              <w:jc w:val="center"/>
            </w:pPr>
            <w:r>
              <w:rPr>
                <w:rFonts w:ascii="宋体" w:hAnsi="宋体" w:eastAsia="宋体"/>
                <w:b/>
                <w:i w:val="0"/>
                <w:sz w:val="18"/>
              </w:rPr>
              <w:t>全年执行数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4A6C5">
            <w:pPr>
              <w:spacing w:before="0" w:after="0" w:line="240" w:lineRule="auto"/>
              <w:jc w:val="center"/>
            </w:pPr>
            <w:r>
              <w:rPr>
                <w:rFonts w:ascii="宋体" w:hAnsi="宋体" w:eastAsia="宋体"/>
                <w:b/>
                <w:i w:val="0"/>
                <w:sz w:val="18"/>
              </w:rPr>
              <w:t>分值</w:t>
            </w:r>
          </w:p>
        </w:tc>
        <w:tc>
          <w:tcPr>
            <w:tcW w:w="12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72CAA3">
            <w:pPr>
              <w:spacing w:before="0" w:after="0" w:line="240" w:lineRule="auto"/>
              <w:jc w:val="center"/>
            </w:pPr>
            <w:r>
              <w:rPr>
                <w:rFonts w:ascii="宋体" w:hAnsi="宋体" w:eastAsia="宋体"/>
                <w:b/>
                <w:i w:val="0"/>
                <w:sz w:val="18"/>
              </w:rPr>
              <w:t>执行率</w:t>
            </w:r>
          </w:p>
        </w:tc>
        <w:tc>
          <w:tcPr>
            <w:tcW w:w="13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5CF5C">
            <w:pPr>
              <w:spacing w:before="0" w:after="0" w:line="240" w:lineRule="auto"/>
              <w:jc w:val="center"/>
            </w:pPr>
            <w:r>
              <w:rPr>
                <w:rFonts w:ascii="宋体" w:hAnsi="宋体" w:eastAsia="宋体"/>
                <w:b/>
                <w:i w:val="0"/>
                <w:sz w:val="18"/>
              </w:rPr>
              <w:t>得分</w:t>
            </w:r>
          </w:p>
        </w:tc>
      </w:tr>
      <w:tr w14:paraId="6E13E2CD">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AAF84F3"/>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12F10">
            <w:pPr>
              <w:spacing w:before="0" w:after="0" w:line="240" w:lineRule="auto"/>
              <w:jc w:val="center"/>
            </w:pPr>
            <w:r>
              <w:rPr>
                <w:rFonts w:ascii="宋体" w:hAnsi="宋体" w:eastAsia="宋体"/>
                <w:b/>
                <w:i w:val="0"/>
                <w:sz w:val="18"/>
              </w:rPr>
              <w:t>年度资金总额</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D886946">
            <w:pPr>
              <w:spacing w:before="0" w:after="0" w:line="240" w:lineRule="auto"/>
              <w:jc w:val="center"/>
            </w:pPr>
            <w:r>
              <w:rPr>
                <w:rFonts w:ascii="宋体" w:hAnsi="宋体" w:eastAsia="宋体"/>
                <w:b w:val="0"/>
                <w:i w:val="0"/>
                <w:sz w:val="18"/>
              </w:rPr>
              <w:t>68.00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F875D">
            <w:pPr>
              <w:spacing w:before="0" w:after="0" w:line="240" w:lineRule="auto"/>
              <w:jc w:val="center"/>
            </w:pPr>
            <w:r>
              <w:rPr>
                <w:rFonts w:ascii="宋体" w:hAnsi="宋体" w:eastAsia="宋体"/>
                <w:b w:val="0"/>
                <w:i w:val="0"/>
                <w:sz w:val="18"/>
              </w:rPr>
              <w:t>68.00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B17BB">
            <w:pPr>
              <w:spacing w:before="0" w:after="0" w:line="240" w:lineRule="auto"/>
              <w:jc w:val="center"/>
            </w:pPr>
            <w:r>
              <w:rPr>
                <w:rFonts w:ascii="宋体" w:hAnsi="宋体" w:eastAsia="宋体"/>
                <w:b w:val="0"/>
                <w:i w:val="0"/>
                <w:sz w:val="18"/>
              </w:rPr>
              <w:t>68.00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E1340">
            <w:pPr>
              <w:spacing w:before="0" w:after="0" w:line="240" w:lineRule="auto"/>
              <w:jc w:val="center"/>
            </w:pPr>
            <w:r>
              <w:rPr>
                <w:rFonts w:ascii="宋体" w:hAnsi="宋体" w:eastAsia="宋体"/>
                <w:b w:val="0"/>
                <w:i w:val="0"/>
                <w:sz w:val="18"/>
              </w:rPr>
              <w:t>10</w:t>
            </w:r>
          </w:p>
        </w:tc>
        <w:tc>
          <w:tcPr>
            <w:tcW w:w="12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655D40">
            <w:pPr>
              <w:spacing w:before="0" w:after="0" w:line="240" w:lineRule="auto"/>
              <w:jc w:val="center"/>
            </w:pPr>
            <w:r>
              <w:rPr>
                <w:rFonts w:ascii="宋体" w:hAnsi="宋体" w:eastAsia="宋体"/>
                <w:b w:val="0"/>
                <w:i w:val="0"/>
                <w:sz w:val="18"/>
              </w:rPr>
              <w:t>100.00%</w:t>
            </w:r>
          </w:p>
        </w:tc>
        <w:tc>
          <w:tcPr>
            <w:tcW w:w="13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8D461">
            <w:pPr>
              <w:spacing w:before="0" w:after="0" w:line="240" w:lineRule="auto"/>
              <w:jc w:val="center"/>
            </w:pPr>
            <w:r>
              <w:rPr>
                <w:rFonts w:ascii="宋体" w:hAnsi="宋体" w:eastAsia="宋体"/>
                <w:b w:val="0"/>
                <w:i w:val="0"/>
                <w:sz w:val="18"/>
              </w:rPr>
              <w:t>10.00</w:t>
            </w:r>
          </w:p>
        </w:tc>
      </w:tr>
      <w:tr w14:paraId="402878AA">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16A001F"/>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55432">
            <w:pPr>
              <w:spacing w:before="0" w:after="0" w:line="240" w:lineRule="auto"/>
              <w:jc w:val="center"/>
            </w:pPr>
            <w:r>
              <w:rPr>
                <w:rFonts w:ascii="宋体" w:hAnsi="宋体" w:eastAsia="宋体"/>
                <w:b/>
                <w:i w:val="0"/>
                <w:sz w:val="18"/>
              </w:rPr>
              <w:t>其中：当年财政拨款</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4F59C55">
            <w:pPr>
              <w:spacing w:before="0" w:after="0" w:line="240" w:lineRule="auto"/>
              <w:jc w:val="center"/>
            </w:pPr>
            <w:r>
              <w:rPr>
                <w:rFonts w:ascii="宋体" w:hAnsi="宋体" w:eastAsia="宋体"/>
                <w:b w:val="0"/>
                <w:i w:val="0"/>
                <w:sz w:val="18"/>
              </w:rPr>
              <w:t>68.00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78B96">
            <w:pPr>
              <w:spacing w:before="0" w:after="0" w:line="240" w:lineRule="auto"/>
              <w:jc w:val="center"/>
            </w:pPr>
            <w:r>
              <w:rPr>
                <w:rFonts w:ascii="宋体" w:hAnsi="宋体" w:eastAsia="宋体"/>
                <w:b w:val="0"/>
                <w:i w:val="0"/>
                <w:sz w:val="18"/>
              </w:rPr>
              <w:t>68.00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3B78E">
            <w:pPr>
              <w:spacing w:before="0" w:after="0" w:line="240" w:lineRule="auto"/>
              <w:jc w:val="center"/>
            </w:pPr>
            <w:r>
              <w:rPr>
                <w:rFonts w:ascii="宋体" w:hAnsi="宋体" w:eastAsia="宋体"/>
                <w:b w:val="0"/>
                <w:i w:val="0"/>
                <w:sz w:val="18"/>
              </w:rPr>
              <w:t>68.00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6622E">
            <w:pPr>
              <w:spacing w:before="0" w:after="0" w:line="240" w:lineRule="auto"/>
              <w:jc w:val="center"/>
            </w:pPr>
            <w:r>
              <w:rPr>
                <w:rFonts w:ascii="宋体" w:hAnsi="宋体" w:eastAsia="宋体"/>
                <w:b w:val="0"/>
                <w:i w:val="0"/>
                <w:sz w:val="18"/>
              </w:rPr>
              <w:t>-</w:t>
            </w:r>
          </w:p>
        </w:tc>
        <w:tc>
          <w:tcPr>
            <w:tcW w:w="12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267076">
            <w:pPr>
              <w:spacing w:before="0" w:after="0" w:line="240" w:lineRule="auto"/>
              <w:jc w:val="center"/>
            </w:pPr>
            <w:r>
              <w:rPr>
                <w:rFonts w:ascii="宋体" w:hAnsi="宋体" w:eastAsia="宋体"/>
                <w:b w:val="0"/>
                <w:i w:val="0"/>
                <w:sz w:val="18"/>
              </w:rPr>
              <w:t>-</w:t>
            </w:r>
          </w:p>
        </w:tc>
        <w:tc>
          <w:tcPr>
            <w:tcW w:w="13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3DB65">
            <w:pPr>
              <w:spacing w:before="0" w:after="0" w:line="240" w:lineRule="auto"/>
              <w:jc w:val="center"/>
            </w:pPr>
            <w:r>
              <w:rPr>
                <w:rFonts w:ascii="宋体" w:hAnsi="宋体" w:eastAsia="宋体"/>
                <w:b w:val="0"/>
                <w:i w:val="0"/>
                <w:sz w:val="18"/>
              </w:rPr>
              <w:t>-</w:t>
            </w:r>
          </w:p>
        </w:tc>
      </w:tr>
      <w:tr w14:paraId="4533DA54">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8597E62"/>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24A3C">
            <w:pPr>
              <w:spacing w:before="0" w:after="0" w:line="240" w:lineRule="auto"/>
              <w:jc w:val="center"/>
            </w:pPr>
            <w:r>
              <w:rPr>
                <w:rFonts w:ascii="宋体" w:hAnsi="宋体" w:eastAsia="宋体"/>
                <w:b/>
                <w:i w:val="0"/>
                <w:sz w:val="18"/>
              </w:rPr>
              <w:t>其他资金</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C71BEB1">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03621">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FE277">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2ADB7">
            <w:pPr>
              <w:spacing w:before="0" w:after="0" w:line="240" w:lineRule="auto"/>
              <w:jc w:val="center"/>
            </w:pPr>
            <w:r>
              <w:rPr>
                <w:rFonts w:ascii="宋体" w:hAnsi="宋体" w:eastAsia="宋体"/>
                <w:b w:val="0"/>
                <w:i w:val="0"/>
                <w:sz w:val="18"/>
              </w:rPr>
              <w:t>-</w:t>
            </w:r>
          </w:p>
        </w:tc>
        <w:tc>
          <w:tcPr>
            <w:tcW w:w="12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E65040">
            <w:pPr>
              <w:spacing w:before="0" w:after="0" w:line="240" w:lineRule="auto"/>
              <w:jc w:val="center"/>
            </w:pPr>
            <w:r>
              <w:rPr>
                <w:rFonts w:ascii="宋体" w:hAnsi="宋体" w:eastAsia="宋体"/>
                <w:b w:val="0"/>
                <w:i w:val="0"/>
                <w:sz w:val="18"/>
              </w:rPr>
              <w:t>-</w:t>
            </w:r>
          </w:p>
        </w:tc>
        <w:tc>
          <w:tcPr>
            <w:tcW w:w="13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5BA64">
            <w:pPr>
              <w:spacing w:before="0" w:after="0" w:line="240" w:lineRule="auto"/>
              <w:jc w:val="center"/>
            </w:pPr>
            <w:r>
              <w:rPr>
                <w:rFonts w:ascii="宋体" w:hAnsi="宋体" w:eastAsia="宋体"/>
                <w:b w:val="0"/>
                <w:i w:val="0"/>
                <w:sz w:val="18"/>
              </w:rPr>
              <w:t>-</w:t>
            </w:r>
          </w:p>
        </w:tc>
      </w:tr>
      <w:tr w14:paraId="7519B6FE">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10FE6">
            <w:pPr>
              <w:spacing w:before="0" w:after="0" w:line="240" w:lineRule="auto"/>
              <w:jc w:val="center"/>
            </w:pPr>
            <w:r>
              <w:rPr>
                <w:rFonts w:ascii="宋体" w:hAnsi="宋体" w:eastAsia="宋体"/>
                <w:b/>
                <w:i w:val="0"/>
                <w:sz w:val="18"/>
              </w:rPr>
              <w:t>年度总体目标</w:t>
            </w:r>
          </w:p>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7B140C">
            <w:pPr>
              <w:spacing w:before="0" w:after="0" w:line="240" w:lineRule="auto"/>
              <w:jc w:val="center"/>
            </w:pPr>
            <w:r>
              <w:rPr>
                <w:rFonts w:ascii="宋体" w:hAnsi="宋体" w:eastAsia="宋体"/>
                <w:b/>
                <w:i w:val="0"/>
                <w:sz w:val="18"/>
              </w:rPr>
              <w:t>预期目标</w:t>
            </w:r>
          </w:p>
        </w:tc>
        <w:tc>
          <w:tcPr>
            <w:tcW w:w="463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55C11C98">
            <w:pPr>
              <w:spacing w:before="0" w:after="0" w:line="240" w:lineRule="auto"/>
              <w:jc w:val="center"/>
            </w:pPr>
            <w:r>
              <w:rPr>
                <w:rFonts w:ascii="宋体" w:hAnsi="宋体" w:eastAsia="宋体"/>
                <w:b/>
                <w:i w:val="0"/>
                <w:sz w:val="18"/>
              </w:rPr>
              <w:t>实际完成情况</w:t>
            </w:r>
          </w:p>
        </w:tc>
      </w:tr>
      <w:tr w14:paraId="03287EC0">
        <w:tblPrEx>
          <w:tblCellMar>
            <w:top w:w="36" w:type="dxa"/>
            <w:left w:w="36" w:type="dxa"/>
            <w:bottom w:w="36" w:type="dxa"/>
            <w:right w:w="36" w:type="dxa"/>
          </w:tblCellMar>
        </w:tblPrEx>
        <w:trPr>
          <w:trHeight w:val="70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B8D073C"/>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AC0CA5">
            <w:pPr>
              <w:spacing w:before="0" w:after="0" w:line="240" w:lineRule="auto"/>
              <w:jc w:val="center"/>
            </w:pPr>
            <w:r>
              <w:rPr>
                <w:rFonts w:ascii="宋体" w:hAnsi="宋体" w:eastAsia="宋体"/>
                <w:b w:val="0"/>
                <w:i w:val="0"/>
                <w:sz w:val="18"/>
              </w:rPr>
              <w:t>完成2025年全区98条河流、湖泊、水库共计236个地表水水质监测站点的水质资料</w:t>
            </w:r>
            <w:r>
              <w:rPr>
                <w:rFonts w:hint="eastAsia" w:ascii="宋体" w:hAnsi="宋体"/>
                <w:b w:val="0"/>
                <w:i w:val="0"/>
                <w:sz w:val="18"/>
                <w:lang w:eastAsia="zh-CN"/>
              </w:rPr>
              <w:t>整理</w:t>
            </w:r>
            <w:r>
              <w:rPr>
                <w:rFonts w:ascii="宋体" w:hAnsi="宋体" w:eastAsia="宋体"/>
                <w:b w:val="0"/>
                <w:i w:val="0"/>
                <w:sz w:val="18"/>
              </w:rPr>
              <w:t>、汇编工作，形成2025年新疆地表水水质成果；对列入《地表水国家重点水质站名录》中的50个地表水水质站按月完成监测及结果汇总评价；2、召开全疆水环境监测管理评审会议、组织内审、制定人员培训计划、开展考核等，保障实验室质量管理体系正常运行。3、提升水质水生态监测能力，保证实验室运行安全。</w:t>
            </w:r>
          </w:p>
        </w:tc>
        <w:tc>
          <w:tcPr>
            <w:tcW w:w="463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0EE5F0C4">
            <w:pPr>
              <w:spacing w:before="0" w:after="0" w:line="240" w:lineRule="auto"/>
              <w:jc w:val="center"/>
            </w:pPr>
            <w:r>
              <w:rPr>
                <w:rFonts w:ascii="宋体" w:hAnsi="宋体" w:eastAsia="宋体"/>
                <w:b w:val="0"/>
                <w:i w:val="0"/>
                <w:sz w:val="18"/>
              </w:rPr>
              <w:t>236个地表水水质站分布在91条河流、8个湖泊以及18座水库上，2025年完成年度水质监测成果，参与编制《中国地表水资源质量年报》工作；列入全国重要饮用水水源地名录的5个水源地的6个水质监测点按月进行监测，其中水库型水源地水质监测点3个，地下水水源地水质监测点3个，水质合格率达到100%，监测成果按月编制水源地月报，上报水文司；完成“水资源质量分析评价系统”（三期）安装调试，验收合格后已开始使用，通过系统对水质数据进行分析统计完成报告、公报、常用报表等；完成《重点区域地下水动态评价报告》《塔里木河流域地下水动态评价报告》水质部分的编写；编制完成《2025年地表水水资源质量年报》《2025年新疆水质水生态监测总结报告》《2025年新疆水质水生态专报》等专项报告；按月编制《全国母亲河复苏行动水文监测分析专报（新疆区）》水质部分。</w:t>
            </w:r>
          </w:p>
        </w:tc>
      </w:tr>
      <w:tr w14:paraId="5216993C">
        <w:tblPrEx>
          <w:tblCellMar>
            <w:top w:w="36" w:type="dxa"/>
            <w:left w:w="36" w:type="dxa"/>
            <w:bottom w:w="36" w:type="dxa"/>
            <w:right w:w="36" w:type="dxa"/>
          </w:tblCellMar>
        </w:tblPrEx>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1713E">
            <w:pPr>
              <w:spacing w:before="0" w:after="0" w:line="240" w:lineRule="auto"/>
              <w:jc w:val="center"/>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3679C">
            <w:pPr>
              <w:spacing w:before="0" w:after="0" w:line="240" w:lineRule="auto"/>
              <w:jc w:val="center"/>
            </w:pPr>
            <w:r>
              <w:rPr>
                <w:rFonts w:ascii="宋体" w:hAnsi="宋体" w:eastAsia="宋体"/>
                <w:b/>
                <w:i w:val="0"/>
                <w:sz w:val="18"/>
              </w:rPr>
              <w:t>一级指标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63D66">
            <w:pPr>
              <w:spacing w:before="0" w:after="0" w:line="240" w:lineRule="auto"/>
              <w:jc w:val="center"/>
            </w:pPr>
            <w:r>
              <w:rPr>
                <w:rFonts w:ascii="宋体" w:hAnsi="宋体" w:eastAsia="宋体"/>
                <w:b/>
                <w:i w:val="0"/>
                <w:sz w:val="18"/>
              </w:rPr>
              <w:t>二级指标</w:t>
            </w:r>
          </w:p>
        </w:tc>
        <w:tc>
          <w:tcPr>
            <w:tcW w:w="7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DFC13">
            <w:pPr>
              <w:spacing w:before="0" w:after="0" w:line="240" w:lineRule="auto"/>
              <w:jc w:val="center"/>
            </w:pPr>
            <w:r>
              <w:rPr>
                <w:rFonts w:ascii="宋体" w:hAnsi="宋体" w:eastAsia="宋体"/>
                <w:b/>
                <w:i w:val="0"/>
                <w:sz w:val="18"/>
              </w:rPr>
              <w:t>三级指标</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3963D">
            <w:pPr>
              <w:spacing w:before="0" w:after="0" w:line="240" w:lineRule="auto"/>
              <w:jc w:val="center"/>
            </w:pPr>
            <w:r>
              <w:rPr>
                <w:rFonts w:ascii="宋体" w:hAnsi="宋体" w:eastAsia="宋体"/>
                <w:b/>
                <w:i w:val="0"/>
                <w:sz w:val="18"/>
              </w:rPr>
              <w:t>权重</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C927A">
            <w:pPr>
              <w:spacing w:before="0" w:after="0" w:line="240" w:lineRule="auto"/>
              <w:jc w:val="center"/>
            </w:pPr>
            <w:r>
              <w:rPr>
                <w:rFonts w:ascii="宋体" w:hAnsi="宋体" w:eastAsia="宋体"/>
                <w:b/>
                <w:i w:val="0"/>
                <w:sz w:val="18"/>
              </w:rPr>
              <w:t>目标值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14965">
            <w:pPr>
              <w:spacing w:before="0" w:after="0" w:line="240" w:lineRule="auto"/>
              <w:jc w:val="center"/>
            </w:pPr>
            <w:r>
              <w:rPr>
                <w:rFonts w:ascii="宋体" w:hAnsi="宋体" w:eastAsia="宋体"/>
                <w:b/>
                <w:i w:val="0"/>
                <w:sz w:val="18"/>
              </w:rPr>
              <w:t>业绩值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25938">
            <w:pPr>
              <w:spacing w:before="0" w:after="0" w:line="240" w:lineRule="auto"/>
              <w:jc w:val="center"/>
            </w:pPr>
            <w:r>
              <w:rPr>
                <w:rFonts w:ascii="宋体" w:hAnsi="宋体" w:eastAsia="宋体"/>
                <w:b/>
                <w:i w:val="0"/>
                <w:sz w:val="18"/>
              </w:rPr>
              <w:t>完成率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FDF15F">
            <w:pPr>
              <w:spacing w:before="0" w:after="0" w:line="240" w:lineRule="auto"/>
              <w:jc w:val="center"/>
            </w:pPr>
            <w:r>
              <w:rPr>
                <w:rFonts w:ascii="宋体" w:hAnsi="宋体" w:eastAsia="宋体"/>
                <w:b/>
                <w:i w:val="0"/>
                <w:sz w:val="18"/>
              </w:rPr>
              <w:t>指标得分</w:t>
            </w:r>
          </w:p>
        </w:tc>
        <w:tc>
          <w:tcPr>
            <w:tcW w:w="75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78B4A">
            <w:pPr>
              <w:spacing w:before="0" w:after="0" w:line="240" w:lineRule="auto"/>
              <w:jc w:val="center"/>
            </w:pPr>
            <w:r>
              <w:rPr>
                <w:rFonts w:ascii="宋体" w:hAnsi="宋体" w:eastAsia="宋体"/>
                <w:b/>
                <w:i w:val="0"/>
                <w:sz w:val="18"/>
              </w:rPr>
              <w:t>指标值设定依据</w:t>
            </w:r>
          </w:p>
        </w:tc>
        <w:tc>
          <w:tcPr>
            <w:tcW w:w="470"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A1BD8">
            <w:pPr>
              <w:spacing w:before="0" w:after="0" w:line="240" w:lineRule="auto"/>
              <w:jc w:val="center"/>
            </w:pPr>
            <w:r>
              <w:rPr>
                <w:rFonts w:ascii="宋体" w:hAnsi="宋体" w:eastAsia="宋体"/>
                <w:b/>
                <w:i w:val="0"/>
                <w:sz w:val="18"/>
              </w:rPr>
              <w:t>上年完成情况</w:t>
            </w:r>
          </w:p>
        </w:tc>
        <w:tc>
          <w:tcPr>
            <w:tcW w:w="7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FC8A7">
            <w:pPr>
              <w:spacing w:before="0" w:after="0" w:line="240" w:lineRule="auto"/>
              <w:jc w:val="center"/>
            </w:pPr>
            <w:r>
              <w:rPr>
                <w:rFonts w:ascii="宋体" w:hAnsi="宋体" w:eastAsia="宋体"/>
                <w:b/>
                <w:i w:val="0"/>
                <w:sz w:val="18"/>
              </w:rPr>
              <w:t>赋分规则</w:t>
            </w:r>
          </w:p>
        </w:tc>
        <w:tc>
          <w:tcPr>
            <w:tcW w:w="78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2F440">
            <w:pPr>
              <w:spacing w:before="0" w:after="0" w:line="240" w:lineRule="auto"/>
              <w:jc w:val="center"/>
            </w:pPr>
            <w:r>
              <w:rPr>
                <w:rFonts w:ascii="宋体" w:hAnsi="宋体" w:eastAsia="宋体"/>
                <w:b/>
                <w:i w:val="0"/>
                <w:sz w:val="18"/>
              </w:rPr>
              <w:t>佐证资料</w:t>
            </w:r>
          </w:p>
        </w:tc>
        <w:tc>
          <w:tcPr>
            <w:tcW w:w="9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6C4979">
            <w:pPr>
              <w:spacing w:before="0" w:after="0" w:line="240" w:lineRule="auto"/>
              <w:jc w:val="center"/>
            </w:pPr>
            <w:r>
              <w:rPr>
                <w:rFonts w:ascii="宋体" w:hAnsi="宋体" w:eastAsia="宋体"/>
                <w:b/>
                <w:i w:val="0"/>
                <w:sz w:val="18"/>
              </w:rPr>
              <w:t>偏差原因分析及改进措施</w:t>
            </w:r>
          </w:p>
        </w:tc>
      </w:tr>
      <w:tr w14:paraId="3241A01E">
        <w:tblPrEx>
          <w:tblCellMar>
            <w:top w:w="36" w:type="dxa"/>
            <w:left w:w="36" w:type="dxa"/>
            <w:bottom w:w="36" w:type="dxa"/>
            <w:right w:w="36" w:type="dxa"/>
          </w:tblCellMar>
        </w:tblPrEx>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8B9FF2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D4AAF68"/>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91B052A"/>
        </w:tc>
        <w:tc>
          <w:tcPr>
            <w:tcW w:w="788" w:type="dxa"/>
            <w:vMerge w:val="continue"/>
            <w:tcBorders>
              <w:top w:val="single" w:color="auto" w:sz="10" w:space="0"/>
              <w:left w:val="single" w:color="auto" w:sz="10" w:space="0"/>
              <w:bottom w:val="single" w:color="auto" w:sz="10" w:space="0"/>
              <w:right w:val="single" w:color="auto" w:sz="10" w:space="0"/>
              <w:insideV w:val="single" w:sz="10" w:space="0"/>
            </w:tcBorders>
          </w:tcPr>
          <w:p w14:paraId="6F5E1853"/>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6A8F9E1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CBA08FC"/>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63B796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B5E4C5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254BDCF"/>
        </w:tc>
        <w:tc>
          <w:tcPr>
            <w:tcW w:w="755" w:type="dxa"/>
            <w:vMerge w:val="continue"/>
            <w:tcBorders>
              <w:top w:val="single" w:color="auto" w:sz="10" w:space="0"/>
              <w:left w:val="single" w:color="auto" w:sz="10" w:space="0"/>
              <w:bottom w:val="single" w:color="auto" w:sz="10" w:space="0"/>
              <w:right w:val="single" w:color="auto" w:sz="10" w:space="0"/>
              <w:insideV w:val="single" w:sz="10" w:space="0"/>
            </w:tcBorders>
          </w:tcPr>
          <w:p w14:paraId="3EB8DC77"/>
        </w:tc>
        <w:tc>
          <w:tcPr>
            <w:tcW w:w="470"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972B473"/>
        </w:tc>
        <w:tc>
          <w:tcPr>
            <w:tcW w:w="720" w:type="dxa"/>
            <w:vMerge w:val="continue"/>
            <w:tcBorders>
              <w:top w:val="single" w:color="auto" w:sz="10" w:space="0"/>
              <w:left w:val="single" w:color="auto" w:sz="10" w:space="0"/>
              <w:bottom w:val="single" w:color="auto" w:sz="10" w:space="0"/>
              <w:right w:val="single" w:color="auto" w:sz="10" w:space="0"/>
              <w:insideV w:val="single" w:sz="10" w:space="0"/>
            </w:tcBorders>
          </w:tcPr>
          <w:p w14:paraId="30E2C0B2"/>
        </w:tc>
        <w:tc>
          <w:tcPr>
            <w:tcW w:w="78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BF96379"/>
        </w:tc>
        <w:tc>
          <w:tcPr>
            <w:tcW w:w="918" w:type="dxa"/>
            <w:vMerge w:val="continue"/>
            <w:tcBorders>
              <w:top w:val="single" w:color="auto" w:sz="10" w:space="0"/>
              <w:left w:val="single" w:color="auto" w:sz="10" w:space="0"/>
              <w:bottom w:val="single" w:color="auto" w:sz="10" w:space="0"/>
              <w:right w:val="single" w:color="auto" w:sz="10" w:space="0"/>
              <w:insideV w:val="single" w:sz="10" w:space="0"/>
            </w:tcBorders>
          </w:tcPr>
          <w:p w14:paraId="5C116D41"/>
        </w:tc>
      </w:tr>
      <w:tr w14:paraId="6B8E1DDE">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6F1EE">
            <w:pPr>
              <w:spacing w:before="0" w:after="0" w:line="240" w:lineRule="auto"/>
              <w:jc w:val="center"/>
            </w:pPr>
            <w:r>
              <w:rPr>
                <w:rFonts w:ascii="宋体" w:hAnsi="宋体" w:eastAsia="宋体"/>
                <w:b/>
                <w:i w:val="0"/>
                <w:sz w:val="18"/>
              </w:rPr>
              <w:t>年度绩效指标完成情况</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9DF97">
            <w:pPr>
              <w:spacing w:before="0" w:after="0" w:line="240" w:lineRule="auto"/>
              <w:jc w:val="center"/>
            </w:pPr>
            <w:r>
              <w:rPr>
                <w:rFonts w:ascii="宋体" w:hAnsi="宋体" w:eastAsia="宋体"/>
                <w:b w:val="0"/>
                <w:i w:val="0"/>
                <w:sz w:val="18"/>
              </w:rPr>
              <w:t>产出指标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14E118F">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AE6EACB">
            <w:pPr>
              <w:spacing w:before="0" w:after="0" w:line="240" w:lineRule="auto"/>
              <w:jc w:val="center"/>
            </w:pPr>
            <w:r>
              <w:rPr>
                <w:rFonts w:ascii="宋体" w:hAnsi="宋体" w:eastAsia="宋体"/>
                <w:b w:val="0"/>
                <w:i w:val="0"/>
                <w:color w:val="000000"/>
                <w:sz w:val="18"/>
              </w:rPr>
              <w:t>地表水水质监测站点数量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84DB80E">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59D8406">
            <w:pPr>
              <w:spacing w:before="0" w:after="0" w:line="240" w:lineRule="auto"/>
              <w:jc w:val="center"/>
            </w:pPr>
            <w:r>
              <w:rPr>
                <w:rFonts w:ascii="宋体" w:hAnsi="宋体" w:eastAsia="宋体"/>
                <w:b w:val="0"/>
                <w:i w:val="0"/>
                <w:sz w:val="18"/>
              </w:rPr>
              <w:t>=27个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2F925D8">
            <w:pPr>
              <w:spacing w:before="0" w:after="0" w:line="240" w:lineRule="auto"/>
              <w:jc w:val="center"/>
            </w:pPr>
            <w:r>
              <w:rPr>
                <w:rFonts w:ascii="宋体" w:hAnsi="宋体" w:eastAsia="宋体"/>
                <w:b w:val="0"/>
                <w:i w:val="0"/>
                <w:sz w:val="18"/>
              </w:rPr>
              <w:t>=27个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561280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59CF04E">
            <w:pPr>
              <w:spacing w:before="0" w:after="0" w:line="240" w:lineRule="auto"/>
              <w:jc w:val="center"/>
            </w:pPr>
            <w:r>
              <w:rPr>
                <w:rFonts w:ascii="宋体" w:hAnsi="宋体" w:eastAsia="宋体"/>
                <w:b w:val="0"/>
                <w:i w:val="0"/>
                <w:sz w:val="18"/>
              </w:rPr>
              <w:t>5</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17A1E471">
            <w:pPr>
              <w:spacing w:before="0" w:after="0" w:line="240" w:lineRule="auto"/>
              <w:jc w:val="center"/>
            </w:pPr>
            <w:r>
              <w:rPr>
                <w:rFonts w:ascii="宋体" w:hAnsi="宋体" w:eastAsia="宋体"/>
                <w:b w:val="0"/>
                <w:i w:val="0"/>
                <w:sz w:val="18"/>
              </w:rPr>
              <w:t>计划标准</w:t>
            </w:r>
          </w:p>
        </w:tc>
        <w:tc>
          <w:tcPr>
            <w:tcW w:w="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5AC6E">
            <w:pPr>
              <w:spacing w:before="0" w:after="0" w:line="240" w:lineRule="auto"/>
              <w:jc w:val="center"/>
            </w:pPr>
            <w:r>
              <w:rPr>
                <w:rFonts w:ascii="宋体" w:hAnsi="宋体" w:eastAsia="宋体"/>
                <w:b w:val="0"/>
                <w:i w:val="0"/>
                <w:sz w:val="18"/>
              </w:rPr>
              <w:t>-</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68A2E566">
            <w:pPr>
              <w:spacing w:before="0" w:after="0" w:line="240" w:lineRule="auto"/>
              <w:jc w:val="center"/>
            </w:pPr>
            <w:r>
              <w:rPr>
                <w:rFonts w:ascii="宋体" w:hAnsi="宋体" w:eastAsia="宋体"/>
                <w:b w:val="0"/>
                <w:i w:val="0"/>
                <w:sz w:val="18"/>
              </w:rPr>
              <w:t>按照完成比例赋分</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53465">
            <w:pPr>
              <w:spacing w:before="0" w:after="0" w:line="240" w:lineRule="auto"/>
              <w:jc w:val="center"/>
            </w:pPr>
            <w:r>
              <w:rPr>
                <w:rFonts w:ascii="宋体" w:hAnsi="宋体" w:eastAsia="宋体"/>
                <w:b w:val="0"/>
                <w:i w:val="0"/>
                <w:sz w:val="18"/>
              </w:rPr>
              <w:t>工作资料</w:t>
            </w:r>
          </w:p>
        </w:tc>
        <w:tc>
          <w:tcPr>
            <w:tcW w:w="918" w:type="dxa"/>
            <w:tcBorders>
              <w:top w:val="single" w:color="auto" w:sz="10" w:space="0"/>
              <w:left w:val="single" w:color="auto" w:sz="10" w:space="0"/>
              <w:bottom w:val="single" w:color="auto" w:sz="10" w:space="0"/>
              <w:right w:val="single" w:color="auto" w:sz="10" w:space="0"/>
              <w:insideV w:val="single" w:sz="10" w:space="0"/>
            </w:tcBorders>
            <w:vAlign w:val="center"/>
          </w:tcPr>
          <w:p w14:paraId="7E068B68">
            <w:pPr>
              <w:spacing w:before="0" w:after="0" w:line="240" w:lineRule="auto"/>
              <w:jc w:val="center"/>
            </w:pPr>
          </w:p>
        </w:tc>
      </w:tr>
      <w:tr w14:paraId="6424CB2F">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17FC25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C256B93"/>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FDABC8F">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A409AE3">
            <w:pPr>
              <w:spacing w:before="0" w:after="0" w:line="240" w:lineRule="auto"/>
              <w:jc w:val="center"/>
            </w:pPr>
            <w:r>
              <w:rPr>
                <w:rFonts w:ascii="宋体" w:hAnsi="宋体" w:eastAsia="宋体"/>
                <w:b w:val="0"/>
                <w:i w:val="0"/>
                <w:color w:val="000000"/>
                <w:sz w:val="18"/>
              </w:rPr>
              <w:t>重要饮用水水源地监测站点数量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EDE9402">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E028899">
            <w:pPr>
              <w:spacing w:before="0" w:after="0" w:line="240" w:lineRule="auto"/>
              <w:jc w:val="center"/>
            </w:pPr>
            <w:r>
              <w:rPr>
                <w:rFonts w:ascii="宋体" w:hAnsi="宋体" w:eastAsia="宋体"/>
                <w:b w:val="0"/>
                <w:i w:val="0"/>
                <w:sz w:val="18"/>
              </w:rPr>
              <w:t>&gt;=3个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51CE950">
            <w:pPr>
              <w:spacing w:before="0" w:after="0" w:line="240" w:lineRule="auto"/>
              <w:jc w:val="center"/>
            </w:pPr>
            <w:r>
              <w:rPr>
                <w:rFonts w:ascii="宋体" w:hAnsi="宋体" w:eastAsia="宋体"/>
                <w:b w:val="0"/>
                <w:i w:val="0"/>
                <w:sz w:val="18"/>
              </w:rPr>
              <w:t>=3个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B136FB8">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AF03841">
            <w:pPr>
              <w:spacing w:before="0" w:after="0" w:line="240" w:lineRule="auto"/>
              <w:jc w:val="center"/>
            </w:pPr>
            <w:r>
              <w:rPr>
                <w:rFonts w:ascii="宋体" w:hAnsi="宋体" w:eastAsia="宋体"/>
                <w:b w:val="0"/>
                <w:i w:val="0"/>
                <w:sz w:val="18"/>
              </w:rPr>
              <w:t>5</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39DC2969">
            <w:pPr>
              <w:spacing w:before="0" w:after="0" w:line="240" w:lineRule="auto"/>
              <w:jc w:val="center"/>
            </w:pPr>
            <w:r>
              <w:rPr>
                <w:rFonts w:ascii="宋体" w:hAnsi="宋体" w:eastAsia="宋体"/>
                <w:b w:val="0"/>
                <w:i w:val="0"/>
                <w:sz w:val="18"/>
              </w:rPr>
              <w:t>计划标准</w:t>
            </w:r>
          </w:p>
        </w:tc>
        <w:tc>
          <w:tcPr>
            <w:tcW w:w="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2C868">
            <w:pPr>
              <w:spacing w:before="0" w:after="0" w:line="240" w:lineRule="auto"/>
              <w:jc w:val="center"/>
            </w:pPr>
            <w:r>
              <w:rPr>
                <w:rFonts w:ascii="宋体" w:hAnsi="宋体" w:eastAsia="宋体"/>
                <w:b w:val="0"/>
                <w:i w:val="0"/>
                <w:sz w:val="18"/>
              </w:rPr>
              <w:t>-</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18E3BD0E">
            <w:pPr>
              <w:spacing w:before="0" w:after="0" w:line="240" w:lineRule="auto"/>
              <w:jc w:val="center"/>
            </w:pPr>
            <w:r>
              <w:rPr>
                <w:rFonts w:ascii="宋体" w:hAnsi="宋体" w:eastAsia="宋体"/>
                <w:b w:val="0"/>
                <w:i w:val="0"/>
                <w:sz w:val="18"/>
              </w:rPr>
              <w:t>按照完成比例赋分</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220C1">
            <w:pPr>
              <w:spacing w:before="0" w:after="0" w:line="240" w:lineRule="auto"/>
              <w:jc w:val="center"/>
            </w:pPr>
            <w:r>
              <w:rPr>
                <w:rFonts w:ascii="宋体" w:hAnsi="宋体" w:eastAsia="宋体"/>
                <w:b w:val="0"/>
                <w:i w:val="0"/>
                <w:sz w:val="18"/>
              </w:rPr>
              <w:t>工作资料</w:t>
            </w:r>
          </w:p>
        </w:tc>
        <w:tc>
          <w:tcPr>
            <w:tcW w:w="918" w:type="dxa"/>
            <w:tcBorders>
              <w:top w:val="single" w:color="auto" w:sz="10" w:space="0"/>
              <w:left w:val="single" w:color="auto" w:sz="10" w:space="0"/>
              <w:bottom w:val="single" w:color="auto" w:sz="10" w:space="0"/>
              <w:right w:val="single" w:color="auto" w:sz="10" w:space="0"/>
              <w:insideV w:val="single" w:sz="10" w:space="0"/>
            </w:tcBorders>
            <w:vAlign w:val="center"/>
          </w:tcPr>
          <w:p w14:paraId="61DDC01B">
            <w:pPr>
              <w:spacing w:before="0" w:after="0" w:line="240" w:lineRule="auto"/>
              <w:jc w:val="center"/>
            </w:pPr>
          </w:p>
        </w:tc>
      </w:tr>
      <w:tr w14:paraId="1A31A2F1">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E5AFA1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20B7B97"/>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645EAA3">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BA3C6AD">
            <w:pPr>
              <w:spacing w:before="0" w:after="0" w:line="240" w:lineRule="auto"/>
              <w:jc w:val="center"/>
            </w:pPr>
            <w:r>
              <w:rPr>
                <w:rFonts w:ascii="宋体" w:hAnsi="宋体" w:eastAsia="宋体"/>
                <w:b w:val="0"/>
                <w:i w:val="0"/>
                <w:color w:val="000000"/>
                <w:sz w:val="18"/>
              </w:rPr>
              <w:t>检测检验设备购置数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55C3103">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F151A75">
            <w:pPr>
              <w:spacing w:before="0" w:after="0" w:line="240" w:lineRule="auto"/>
              <w:jc w:val="center"/>
            </w:pPr>
            <w:r>
              <w:rPr>
                <w:rFonts w:ascii="宋体" w:hAnsi="宋体" w:eastAsia="宋体"/>
                <w:b w:val="0"/>
                <w:i w:val="0"/>
                <w:sz w:val="18"/>
              </w:rPr>
              <w:t>=6台</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69CC0FE">
            <w:pPr>
              <w:spacing w:before="0" w:after="0" w:line="240" w:lineRule="auto"/>
              <w:jc w:val="center"/>
            </w:pPr>
            <w:r>
              <w:rPr>
                <w:rFonts w:ascii="宋体" w:hAnsi="宋体" w:eastAsia="宋体"/>
                <w:b w:val="0"/>
                <w:i w:val="0"/>
                <w:sz w:val="18"/>
              </w:rPr>
              <w:t>=6台</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21614E8">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86E7721">
            <w:pPr>
              <w:spacing w:before="0" w:after="0" w:line="240" w:lineRule="auto"/>
              <w:jc w:val="center"/>
            </w:pPr>
            <w:r>
              <w:rPr>
                <w:rFonts w:ascii="宋体" w:hAnsi="宋体" w:eastAsia="宋体"/>
                <w:b w:val="0"/>
                <w:i w:val="0"/>
                <w:sz w:val="18"/>
              </w:rPr>
              <w:t>10</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198270D4">
            <w:pPr>
              <w:spacing w:before="0" w:after="0" w:line="240" w:lineRule="auto"/>
              <w:jc w:val="center"/>
            </w:pPr>
            <w:r>
              <w:rPr>
                <w:rFonts w:ascii="宋体" w:hAnsi="宋体" w:eastAsia="宋体"/>
                <w:b w:val="0"/>
                <w:i w:val="0"/>
                <w:sz w:val="18"/>
              </w:rPr>
              <w:t>计划标准</w:t>
            </w:r>
          </w:p>
        </w:tc>
        <w:tc>
          <w:tcPr>
            <w:tcW w:w="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005A6">
            <w:pPr>
              <w:spacing w:before="0" w:after="0" w:line="240" w:lineRule="auto"/>
              <w:jc w:val="center"/>
            </w:pPr>
            <w:r>
              <w:rPr>
                <w:rFonts w:ascii="宋体" w:hAnsi="宋体" w:eastAsia="宋体"/>
                <w:b w:val="0"/>
                <w:i w:val="0"/>
                <w:sz w:val="18"/>
              </w:rPr>
              <w:t>-</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13E052DF">
            <w:pPr>
              <w:spacing w:before="0" w:after="0" w:line="240" w:lineRule="auto"/>
              <w:jc w:val="center"/>
            </w:pPr>
            <w:r>
              <w:rPr>
                <w:rFonts w:ascii="宋体" w:hAnsi="宋体" w:eastAsia="宋体"/>
                <w:b w:val="0"/>
                <w:i w:val="0"/>
                <w:sz w:val="18"/>
              </w:rPr>
              <w:t>按照完成比例赋分</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225B4">
            <w:pPr>
              <w:spacing w:before="0" w:after="0" w:line="240" w:lineRule="auto"/>
              <w:jc w:val="center"/>
            </w:pPr>
            <w:r>
              <w:rPr>
                <w:rFonts w:ascii="宋体" w:hAnsi="宋体" w:eastAsia="宋体"/>
                <w:b w:val="0"/>
                <w:i w:val="0"/>
                <w:sz w:val="18"/>
              </w:rPr>
              <w:t>工作资料</w:t>
            </w:r>
          </w:p>
        </w:tc>
        <w:tc>
          <w:tcPr>
            <w:tcW w:w="918" w:type="dxa"/>
            <w:tcBorders>
              <w:top w:val="single" w:color="auto" w:sz="10" w:space="0"/>
              <w:left w:val="single" w:color="auto" w:sz="10" w:space="0"/>
              <w:bottom w:val="single" w:color="auto" w:sz="10" w:space="0"/>
              <w:right w:val="single" w:color="auto" w:sz="10" w:space="0"/>
              <w:insideV w:val="single" w:sz="10" w:space="0"/>
            </w:tcBorders>
            <w:vAlign w:val="center"/>
          </w:tcPr>
          <w:p w14:paraId="1D584D74">
            <w:pPr>
              <w:spacing w:before="0" w:after="0" w:line="240" w:lineRule="auto"/>
              <w:jc w:val="center"/>
            </w:pPr>
          </w:p>
        </w:tc>
      </w:tr>
      <w:tr w14:paraId="0AABC0B9">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FA27997"/>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123B33D"/>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C606C1A">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9AB6FFE">
            <w:pPr>
              <w:spacing w:before="0" w:after="0" w:line="240" w:lineRule="auto"/>
              <w:jc w:val="center"/>
            </w:pPr>
            <w:r>
              <w:rPr>
                <w:rFonts w:ascii="宋体" w:hAnsi="宋体" w:eastAsia="宋体"/>
                <w:b w:val="0"/>
                <w:i w:val="0"/>
                <w:color w:val="000000"/>
                <w:sz w:val="18"/>
              </w:rPr>
              <w:t>地表水水质站点监测覆盖率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40B616D">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309DDBA">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711D342">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74E2300">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57A1A84">
            <w:pPr>
              <w:spacing w:before="0" w:after="0" w:line="240" w:lineRule="auto"/>
              <w:jc w:val="center"/>
            </w:pPr>
            <w:r>
              <w:rPr>
                <w:rFonts w:ascii="宋体" w:hAnsi="宋体" w:eastAsia="宋体"/>
                <w:b w:val="0"/>
                <w:i w:val="0"/>
                <w:sz w:val="18"/>
              </w:rPr>
              <w:t>10</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04C4FEA6">
            <w:pPr>
              <w:spacing w:before="0" w:after="0" w:line="240" w:lineRule="auto"/>
              <w:jc w:val="center"/>
            </w:pPr>
            <w:r>
              <w:rPr>
                <w:rFonts w:ascii="宋体" w:hAnsi="宋体" w:eastAsia="宋体"/>
                <w:b w:val="0"/>
                <w:i w:val="0"/>
                <w:sz w:val="18"/>
              </w:rPr>
              <w:t>计划标准</w:t>
            </w:r>
          </w:p>
        </w:tc>
        <w:tc>
          <w:tcPr>
            <w:tcW w:w="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AA7AA">
            <w:pPr>
              <w:spacing w:before="0" w:after="0" w:line="240" w:lineRule="auto"/>
              <w:jc w:val="center"/>
            </w:pPr>
            <w:r>
              <w:rPr>
                <w:rFonts w:ascii="宋体" w:hAnsi="宋体" w:eastAsia="宋体"/>
                <w:b w:val="0"/>
                <w:i w:val="0"/>
                <w:sz w:val="18"/>
              </w:rPr>
              <w:t>-</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14CD7A7F">
            <w:pPr>
              <w:spacing w:before="0" w:after="0" w:line="240" w:lineRule="auto"/>
              <w:jc w:val="center"/>
            </w:pPr>
            <w:r>
              <w:rPr>
                <w:rFonts w:ascii="宋体" w:hAnsi="宋体" w:eastAsia="宋体"/>
                <w:b w:val="0"/>
                <w:i w:val="0"/>
                <w:sz w:val="18"/>
              </w:rPr>
              <w:t>按照完成比例赋分</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0864F">
            <w:pPr>
              <w:spacing w:before="0" w:after="0" w:line="240" w:lineRule="auto"/>
              <w:jc w:val="center"/>
            </w:pPr>
            <w:r>
              <w:rPr>
                <w:rFonts w:ascii="宋体" w:hAnsi="宋体" w:eastAsia="宋体"/>
                <w:b w:val="0"/>
                <w:i w:val="0"/>
                <w:sz w:val="18"/>
              </w:rPr>
              <w:t>工作资料</w:t>
            </w:r>
          </w:p>
        </w:tc>
        <w:tc>
          <w:tcPr>
            <w:tcW w:w="918" w:type="dxa"/>
            <w:tcBorders>
              <w:top w:val="single" w:color="auto" w:sz="10" w:space="0"/>
              <w:left w:val="single" w:color="auto" w:sz="10" w:space="0"/>
              <w:bottom w:val="single" w:color="auto" w:sz="10" w:space="0"/>
              <w:right w:val="single" w:color="auto" w:sz="10" w:space="0"/>
              <w:insideV w:val="single" w:sz="10" w:space="0"/>
            </w:tcBorders>
            <w:vAlign w:val="center"/>
          </w:tcPr>
          <w:p w14:paraId="51D11A43">
            <w:pPr>
              <w:spacing w:before="0" w:after="0" w:line="240" w:lineRule="auto"/>
              <w:jc w:val="center"/>
            </w:pPr>
          </w:p>
        </w:tc>
      </w:tr>
      <w:tr w14:paraId="3CA28C77">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07B4CB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B0D56E6"/>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1D17B83">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2C4C261">
            <w:pPr>
              <w:spacing w:before="0" w:after="0" w:line="240" w:lineRule="auto"/>
              <w:jc w:val="center"/>
            </w:pPr>
            <w:r>
              <w:rPr>
                <w:rFonts w:ascii="宋体" w:hAnsi="宋体" w:eastAsia="宋体"/>
                <w:b w:val="0"/>
                <w:i w:val="0"/>
                <w:color w:val="000000"/>
                <w:sz w:val="18"/>
              </w:rPr>
              <w:t>水质全程序空白样品及现场平行样品测定率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5FC0181">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500FFEF">
            <w:pPr>
              <w:spacing w:before="0" w:after="0" w:line="240" w:lineRule="auto"/>
              <w:jc w:val="center"/>
            </w:pPr>
            <w:r>
              <w:rPr>
                <w:rFonts w:ascii="宋体" w:hAnsi="宋体" w:eastAsia="宋体"/>
                <w:b w:val="0"/>
                <w:i w:val="0"/>
                <w:sz w:val="18"/>
              </w:rPr>
              <w:t>&gt;=10%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7555E05">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3F4AC6E">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0D7EFAF">
            <w:pPr>
              <w:spacing w:before="0" w:after="0" w:line="240" w:lineRule="auto"/>
              <w:jc w:val="center"/>
            </w:pPr>
            <w:r>
              <w:rPr>
                <w:rFonts w:ascii="宋体" w:hAnsi="宋体" w:eastAsia="宋体"/>
                <w:b w:val="0"/>
                <w:i w:val="0"/>
                <w:sz w:val="18"/>
              </w:rPr>
              <w:t>10</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6EC69DF3">
            <w:pPr>
              <w:spacing w:before="0" w:after="0" w:line="240" w:lineRule="auto"/>
              <w:jc w:val="center"/>
            </w:pPr>
            <w:r>
              <w:rPr>
                <w:rFonts w:ascii="宋体" w:hAnsi="宋体" w:eastAsia="宋体"/>
                <w:b w:val="0"/>
                <w:i w:val="0"/>
                <w:sz w:val="18"/>
              </w:rPr>
              <w:t>计划标准</w:t>
            </w:r>
          </w:p>
        </w:tc>
        <w:tc>
          <w:tcPr>
            <w:tcW w:w="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470F7">
            <w:pPr>
              <w:spacing w:before="0" w:after="0" w:line="240" w:lineRule="auto"/>
              <w:jc w:val="center"/>
            </w:pPr>
            <w:r>
              <w:rPr>
                <w:rFonts w:ascii="宋体" w:hAnsi="宋体" w:eastAsia="宋体"/>
                <w:b w:val="0"/>
                <w:i w:val="0"/>
                <w:sz w:val="18"/>
              </w:rPr>
              <w:t>-</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050996E2">
            <w:pPr>
              <w:spacing w:before="0" w:after="0" w:line="240" w:lineRule="auto"/>
              <w:jc w:val="center"/>
            </w:pPr>
            <w:r>
              <w:rPr>
                <w:rFonts w:ascii="宋体" w:hAnsi="宋体" w:eastAsia="宋体"/>
                <w:b w:val="0"/>
                <w:i w:val="0"/>
                <w:sz w:val="18"/>
              </w:rPr>
              <w:t>按照完成比例赋分</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9C8A6">
            <w:pPr>
              <w:spacing w:before="0" w:after="0" w:line="240" w:lineRule="auto"/>
              <w:jc w:val="center"/>
            </w:pPr>
            <w:r>
              <w:rPr>
                <w:rFonts w:ascii="宋体" w:hAnsi="宋体" w:eastAsia="宋体"/>
                <w:b w:val="0"/>
                <w:i w:val="0"/>
                <w:sz w:val="18"/>
              </w:rPr>
              <w:t>工作资料</w:t>
            </w:r>
          </w:p>
        </w:tc>
        <w:tc>
          <w:tcPr>
            <w:tcW w:w="918" w:type="dxa"/>
            <w:tcBorders>
              <w:top w:val="single" w:color="auto" w:sz="10" w:space="0"/>
              <w:left w:val="single" w:color="auto" w:sz="10" w:space="0"/>
              <w:bottom w:val="single" w:color="auto" w:sz="10" w:space="0"/>
              <w:right w:val="single" w:color="auto" w:sz="10" w:space="0"/>
              <w:insideV w:val="single" w:sz="10" w:space="0"/>
            </w:tcBorders>
            <w:vAlign w:val="center"/>
          </w:tcPr>
          <w:p w14:paraId="1B137DA1">
            <w:pPr>
              <w:spacing w:before="0" w:after="0" w:line="240" w:lineRule="auto"/>
              <w:jc w:val="center"/>
            </w:pPr>
          </w:p>
        </w:tc>
      </w:tr>
      <w:tr w14:paraId="1124CA60">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44AB499"/>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166C2A3"/>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5BA09FF">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A2D9454">
            <w:pPr>
              <w:spacing w:before="0" w:after="0" w:line="240" w:lineRule="auto"/>
              <w:jc w:val="center"/>
            </w:pPr>
            <w:r>
              <w:rPr>
                <w:rFonts w:ascii="宋体" w:hAnsi="宋体" w:eastAsia="宋体"/>
                <w:b w:val="0"/>
                <w:i w:val="0"/>
                <w:color w:val="000000"/>
                <w:sz w:val="18"/>
              </w:rPr>
              <w:t>检测检验设备验收合格率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774A9C5">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F9FD060">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4B11DF3">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3C44198">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3671AAF">
            <w:pPr>
              <w:spacing w:before="0" w:after="0" w:line="240" w:lineRule="auto"/>
              <w:jc w:val="center"/>
            </w:pPr>
            <w:r>
              <w:rPr>
                <w:rFonts w:ascii="宋体" w:hAnsi="宋体" w:eastAsia="宋体"/>
                <w:b w:val="0"/>
                <w:i w:val="0"/>
                <w:sz w:val="18"/>
              </w:rPr>
              <w:t>10</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0164D242">
            <w:pPr>
              <w:spacing w:before="0" w:after="0" w:line="240" w:lineRule="auto"/>
              <w:jc w:val="center"/>
            </w:pPr>
            <w:r>
              <w:rPr>
                <w:rFonts w:ascii="宋体" w:hAnsi="宋体" w:eastAsia="宋体"/>
                <w:b w:val="0"/>
                <w:i w:val="0"/>
                <w:sz w:val="18"/>
              </w:rPr>
              <w:t>计划标准</w:t>
            </w:r>
          </w:p>
        </w:tc>
        <w:tc>
          <w:tcPr>
            <w:tcW w:w="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ADF02">
            <w:pPr>
              <w:spacing w:before="0" w:after="0" w:line="240" w:lineRule="auto"/>
              <w:jc w:val="center"/>
            </w:pPr>
            <w:r>
              <w:rPr>
                <w:rFonts w:ascii="宋体" w:hAnsi="宋体" w:eastAsia="宋体"/>
                <w:b w:val="0"/>
                <w:i w:val="0"/>
                <w:sz w:val="18"/>
              </w:rPr>
              <w:t>-</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2781807A">
            <w:pPr>
              <w:spacing w:before="0" w:after="0" w:line="240" w:lineRule="auto"/>
              <w:jc w:val="center"/>
            </w:pPr>
            <w:r>
              <w:rPr>
                <w:rFonts w:ascii="宋体" w:hAnsi="宋体" w:eastAsia="宋体"/>
                <w:b w:val="0"/>
                <w:i w:val="0"/>
                <w:sz w:val="18"/>
              </w:rPr>
              <w:t>按照完成比例赋分</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3221E">
            <w:pPr>
              <w:spacing w:before="0" w:after="0" w:line="240" w:lineRule="auto"/>
              <w:jc w:val="center"/>
            </w:pPr>
            <w:r>
              <w:rPr>
                <w:rFonts w:ascii="宋体" w:hAnsi="宋体" w:eastAsia="宋体"/>
                <w:b w:val="0"/>
                <w:i w:val="0"/>
                <w:sz w:val="18"/>
              </w:rPr>
              <w:t>工作资料</w:t>
            </w:r>
          </w:p>
        </w:tc>
        <w:tc>
          <w:tcPr>
            <w:tcW w:w="918" w:type="dxa"/>
            <w:tcBorders>
              <w:top w:val="single" w:color="auto" w:sz="10" w:space="0"/>
              <w:left w:val="single" w:color="auto" w:sz="10" w:space="0"/>
              <w:bottom w:val="single" w:color="auto" w:sz="10" w:space="0"/>
              <w:right w:val="single" w:color="auto" w:sz="10" w:space="0"/>
              <w:insideV w:val="single" w:sz="10" w:space="0"/>
            </w:tcBorders>
            <w:vAlign w:val="center"/>
          </w:tcPr>
          <w:p w14:paraId="0EB4033A">
            <w:pPr>
              <w:spacing w:before="0" w:after="0" w:line="240" w:lineRule="auto"/>
              <w:jc w:val="center"/>
            </w:pPr>
          </w:p>
        </w:tc>
      </w:tr>
      <w:tr w14:paraId="25044286">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E48493B"/>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EB721E4"/>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35AA81D">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27804DA">
            <w:pPr>
              <w:spacing w:before="0" w:after="0" w:line="240" w:lineRule="auto"/>
              <w:jc w:val="center"/>
            </w:pPr>
            <w:r>
              <w:rPr>
                <w:rFonts w:ascii="宋体" w:hAnsi="宋体" w:eastAsia="宋体"/>
                <w:b w:val="0"/>
                <w:i w:val="0"/>
                <w:color w:val="000000"/>
                <w:sz w:val="18"/>
              </w:rPr>
              <w:t>检测检验设备采购完成及时性</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A08488A">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6DF298A">
            <w:pPr>
              <w:spacing w:before="0" w:after="0" w:line="240" w:lineRule="auto"/>
              <w:jc w:val="center"/>
            </w:pPr>
            <w:r>
              <w:rPr>
                <w:rFonts w:ascii="宋体" w:hAnsi="宋体" w:eastAsia="宋体"/>
                <w:b w:val="0"/>
                <w:i w:val="0"/>
                <w:sz w:val="18"/>
              </w:rPr>
              <w:t>=10月</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DD2251B">
            <w:pPr>
              <w:spacing w:before="0" w:after="0" w:line="240" w:lineRule="auto"/>
              <w:jc w:val="center"/>
            </w:pPr>
            <w:r>
              <w:rPr>
                <w:rFonts w:ascii="宋体" w:hAnsi="宋体" w:eastAsia="宋体"/>
                <w:b w:val="0"/>
                <w:i w:val="0"/>
                <w:sz w:val="18"/>
              </w:rPr>
              <w:t>=10月</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38B8371">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C0638B6">
            <w:pPr>
              <w:spacing w:before="0" w:after="0" w:line="240" w:lineRule="auto"/>
              <w:jc w:val="center"/>
            </w:pPr>
            <w:r>
              <w:rPr>
                <w:rFonts w:ascii="宋体" w:hAnsi="宋体" w:eastAsia="宋体"/>
                <w:b w:val="0"/>
                <w:i w:val="0"/>
                <w:sz w:val="18"/>
              </w:rPr>
              <w:t>10</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2E716921">
            <w:pPr>
              <w:spacing w:before="0" w:after="0" w:line="240" w:lineRule="auto"/>
              <w:jc w:val="center"/>
            </w:pPr>
            <w:r>
              <w:rPr>
                <w:rFonts w:ascii="宋体" w:hAnsi="宋体" w:eastAsia="宋体"/>
                <w:b w:val="0"/>
                <w:i w:val="0"/>
                <w:sz w:val="18"/>
              </w:rPr>
              <w:t>计划标准</w:t>
            </w:r>
          </w:p>
        </w:tc>
        <w:tc>
          <w:tcPr>
            <w:tcW w:w="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C81AA">
            <w:pPr>
              <w:spacing w:before="0" w:after="0" w:line="240" w:lineRule="auto"/>
              <w:jc w:val="center"/>
            </w:pPr>
            <w:r>
              <w:rPr>
                <w:rFonts w:ascii="宋体" w:hAnsi="宋体" w:eastAsia="宋体"/>
                <w:b w:val="0"/>
                <w:i w:val="0"/>
                <w:sz w:val="18"/>
              </w:rPr>
              <w:t>-</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6044C8C6">
            <w:pPr>
              <w:spacing w:before="0" w:after="0" w:line="240" w:lineRule="auto"/>
              <w:jc w:val="center"/>
            </w:pPr>
            <w:r>
              <w:rPr>
                <w:rFonts w:ascii="宋体" w:hAnsi="宋体" w:eastAsia="宋体"/>
                <w:b w:val="0"/>
                <w:i w:val="0"/>
                <w:sz w:val="18"/>
              </w:rPr>
              <w:t>按照完成比例赋分</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82E77">
            <w:pPr>
              <w:spacing w:before="0" w:after="0" w:line="240" w:lineRule="auto"/>
              <w:jc w:val="center"/>
            </w:pPr>
            <w:r>
              <w:rPr>
                <w:rFonts w:ascii="宋体" w:hAnsi="宋体" w:eastAsia="宋体"/>
                <w:b w:val="0"/>
                <w:i w:val="0"/>
                <w:sz w:val="18"/>
              </w:rPr>
              <w:t>工作资料</w:t>
            </w:r>
          </w:p>
        </w:tc>
        <w:tc>
          <w:tcPr>
            <w:tcW w:w="918" w:type="dxa"/>
            <w:tcBorders>
              <w:top w:val="single" w:color="auto" w:sz="10" w:space="0"/>
              <w:left w:val="single" w:color="auto" w:sz="10" w:space="0"/>
              <w:bottom w:val="single" w:color="auto" w:sz="10" w:space="0"/>
              <w:right w:val="single" w:color="auto" w:sz="10" w:space="0"/>
              <w:insideV w:val="single" w:sz="10" w:space="0"/>
            </w:tcBorders>
            <w:vAlign w:val="center"/>
          </w:tcPr>
          <w:p w14:paraId="1088B558">
            <w:pPr>
              <w:spacing w:before="0" w:after="0" w:line="240" w:lineRule="auto"/>
              <w:jc w:val="center"/>
            </w:pPr>
          </w:p>
        </w:tc>
      </w:tr>
      <w:tr w14:paraId="6FF15F16">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12709B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2B03415"/>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CB74031">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6EC139B">
            <w:pPr>
              <w:spacing w:before="0" w:after="0" w:line="240" w:lineRule="auto"/>
              <w:jc w:val="center"/>
            </w:pPr>
            <w:r>
              <w:rPr>
                <w:rFonts w:ascii="宋体" w:hAnsi="宋体" w:eastAsia="宋体"/>
                <w:b w:val="0"/>
                <w:i w:val="0"/>
                <w:color w:val="000000"/>
                <w:sz w:val="18"/>
              </w:rPr>
              <w:t>水质监测成果完成及时性</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1247A54">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B56A8AA">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B4DD40C">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76F614A">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AA3158D">
            <w:pPr>
              <w:spacing w:before="0" w:after="0" w:line="240" w:lineRule="auto"/>
              <w:jc w:val="center"/>
            </w:pPr>
            <w:r>
              <w:rPr>
                <w:rFonts w:ascii="宋体" w:hAnsi="宋体" w:eastAsia="宋体"/>
                <w:b w:val="0"/>
                <w:i w:val="0"/>
                <w:sz w:val="18"/>
              </w:rPr>
              <w:t>10</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346B7B14">
            <w:pPr>
              <w:spacing w:before="0" w:after="0" w:line="240" w:lineRule="auto"/>
              <w:jc w:val="center"/>
            </w:pPr>
            <w:r>
              <w:rPr>
                <w:rFonts w:ascii="宋体" w:hAnsi="宋体" w:eastAsia="宋体"/>
                <w:b w:val="0"/>
                <w:i w:val="0"/>
                <w:sz w:val="18"/>
              </w:rPr>
              <w:t>计划标准</w:t>
            </w:r>
          </w:p>
        </w:tc>
        <w:tc>
          <w:tcPr>
            <w:tcW w:w="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1B063">
            <w:pPr>
              <w:spacing w:before="0" w:after="0" w:line="240" w:lineRule="auto"/>
              <w:jc w:val="center"/>
            </w:pPr>
            <w:r>
              <w:rPr>
                <w:rFonts w:ascii="宋体" w:hAnsi="宋体" w:eastAsia="宋体"/>
                <w:b w:val="0"/>
                <w:i w:val="0"/>
                <w:sz w:val="18"/>
              </w:rPr>
              <w:t>-</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4F2A39D9">
            <w:pPr>
              <w:spacing w:before="0" w:after="0" w:line="240" w:lineRule="auto"/>
              <w:jc w:val="center"/>
            </w:pPr>
            <w:r>
              <w:rPr>
                <w:rFonts w:ascii="宋体" w:hAnsi="宋体" w:eastAsia="宋体"/>
                <w:b w:val="0"/>
                <w:i w:val="0"/>
                <w:sz w:val="18"/>
              </w:rPr>
              <w:t>按照完成比例赋分</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A74A7">
            <w:pPr>
              <w:spacing w:before="0" w:after="0" w:line="240" w:lineRule="auto"/>
              <w:jc w:val="center"/>
            </w:pPr>
            <w:r>
              <w:rPr>
                <w:rFonts w:ascii="宋体" w:hAnsi="宋体" w:eastAsia="宋体"/>
                <w:b w:val="0"/>
                <w:i w:val="0"/>
                <w:sz w:val="18"/>
              </w:rPr>
              <w:t>工作资料</w:t>
            </w:r>
          </w:p>
        </w:tc>
        <w:tc>
          <w:tcPr>
            <w:tcW w:w="918" w:type="dxa"/>
            <w:tcBorders>
              <w:top w:val="single" w:color="auto" w:sz="10" w:space="0"/>
              <w:left w:val="single" w:color="auto" w:sz="10" w:space="0"/>
              <w:bottom w:val="single" w:color="auto" w:sz="10" w:space="0"/>
              <w:right w:val="single" w:color="auto" w:sz="10" w:space="0"/>
              <w:insideV w:val="single" w:sz="10" w:space="0"/>
            </w:tcBorders>
            <w:vAlign w:val="center"/>
          </w:tcPr>
          <w:p w14:paraId="65B89405">
            <w:pPr>
              <w:spacing w:before="0" w:after="0" w:line="240" w:lineRule="auto"/>
              <w:jc w:val="center"/>
            </w:pPr>
          </w:p>
        </w:tc>
      </w:tr>
      <w:tr w14:paraId="41118141">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3418F4B"/>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27056">
            <w:pPr>
              <w:spacing w:before="0" w:after="0" w:line="240" w:lineRule="auto"/>
              <w:jc w:val="center"/>
            </w:pPr>
            <w:r>
              <w:rPr>
                <w:rFonts w:ascii="宋体" w:hAnsi="宋体" w:eastAsia="宋体"/>
                <w:b w:val="0"/>
                <w:i w:val="0"/>
                <w:sz w:val="18"/>
              </w:rPr>
              <w:t>成本指标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9B423E0">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E6B7BFA">
            <w:pPr>
              <w:spacing w:before="0" w:after="0" w:line="240" w:lineRule="auto"/>
              <w:jc w:val="center"/>
            </w:pPr>
            <w:r>
              <w:rPr>
                <w:rFonts w:ascii="宋体" w:hAnsi="宋体" w:eastAsia="宋体"/>
                <w:b w:val="0"/>
                <w:i w:val="0"/>
                <w:color w:val="000000"/>
                <w:sz w:val="18"/>
              </w:rPr>
              <w:t>水样质量检验专用材料及设备购置成本</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405D8F3">
            <w:pPr>
              <w:spacing w:before="0" w:after="0" w:line="240" w:lineRule="auto"/>
              <w:jc w:val="center"/>
            </w:pPr>
            <w:r>
              <w:rPr>
                <w:rFonts w:ascii="宋体" w:hAnsi="宋体" w:eastAsia="宋体"/>
                <w:b w:val="0"/>
                <w:i w:val="0"/>
                <w:sz w:val="18"/>
              </w:rPr>
              <w:t>8</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3498BF7">
            <w:pPr>
              <w:spacing w:before="0" w:after="0" w:line="240" w:lineRule="auto"/>
              <w:jc w:val="center"/>
            </w:pPr>
            <w:r>
              <w:rPr>
                <w:rFonts w:ascii="宋体" w:hAnsi="宋体" w:eastAsia="宋体"/>
                <w:b w:val="0"/>
                <w:i w:val="0"/>
                <w:sz w:val="18"/>
              </w:rPr>
              <w:t>&lt;=38.64万元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A4E6EC7">
            <w:pPr>
              <w:spacing w:before="0" w:after="0" w:line="240" w:lineRule="auto"/>
              <w:jc w:val="center"/>
            </w:pPr>
            <w:r>
              <w:rPr>
                <w:rFonts w:ascii="宋体" w:hAnsi="宋体" w:eastAsia="宋体"/>
                <w:b w:val="0"/>
                <w:i w:val="0"/>
                <w:sz w:val="18"/>
              </w:rPr>
              <w:t>=38.64万元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D1D7265">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611893C">
            <w:pPr>
              <w:spacing w:before="0" w:after="0" w:line="240" w:lineRule="auto"/>
              <w:jc w:val="center"/>
            </w:pPr>
            <w:r>
              <w:rPr>
                <w:rFonts w:ascii="宋体" w:hAnsi="宋体" w:eastAsia="宋体"/>
                <w:b w:val="0"/>
                <w:i w:val="0"/>
                <w:sz w:val="18"/>
              </w:rPr>
              <w:t>8</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5090F1D7">
            <w:pPr>
              <w:spacing w:before="0" w:after="0" w:line="240" w:lineRule="auto"/>
              <w:jc w:val="center"/>
            </w:pPr>
            <w:r>
              <w:rPr>
                <w:rFonts w:ascii="宋体" w:hAnsi="宋体" w:eastAsia="宋体"/>
                <w:b w:val="0"/>
                <w:i w:val="0"/>
                <w:sz w:val="18"/>
              </w:rPr>
              <w:t>计划标准</w:t>
            </w:r>
          </w:p>
        </w:tc>
        <w:tc>
          <w:tcPr>
            <w:tcW w:w="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20662">
            <w:pPr>
              <w:spacing w:before="0" w:after="0" w:line="240" w:lineRule="auto"/>
              <w:jc w:val="center"/>
            </w:pPr>
            <w:r>
              <w:rPr>
                <w:rFonts w:ascii="宋体" w:hAnsi="宋体" w:eastAsia="宋体"/>
                <w:b w:val="0"/>
                <w:i w:val="0"/>
                <w:sz w:val="18"/>
              </w:rPr>
              <w:t>-</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0565BE26">
            <w:pPr>
              <w:spacing w:before="0" w:after="0" w:line="240" w:lineRule="auto"/>
              <w:jc w:val="center"/>
            </w:pPr>
            <w:r>
              <w:rPr>
                <w:rFonts w:ascii="宋体" w:hAnsi="宋体" w:eastAsia="宋体"/>
                <w:b w:val="0"/>
                <w:i w:val="0"/>
                <w:sz w:val="18"/>
              </w:rPr>
              <w:t>按照完成比例赋分</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7D8C8">
            <w:pPr>
              <w:spacing w:before="0" w:after="0" w:line="240" w:lineRule="auto"/>
              <w:jc w:val="center"/>
            </w:pPr>
            <w:r>
              <w:rPr>
                <w:rFonts w:ascii="宋体" w:hAnsi="宋体" w:eastAsia="宋体"/>
                <w:b w:val="0"/>
                <w:i w:val="0"/>
                <w:sz w:val="18"/>
              </w:rPr>
              <w:t>原始凭证</w:t>
            </w:r>
          </w:p>
        </w:tc>
        <w:tc>
          <w:tcPr>
            <w:tcW w:w="918" w:type="dxa"/>
            <w:tcBorders>
              <w:top w:val="single" w:color="auto" w:sz="10" w:space="0"/>
              <w:left w:val="single" w:color="auto" w:sz="10" w:space="0"/>
              <w:bottom w:val="single" w:color="auto" w:sz="10" w:space="0"/>
              <w:right w:val="single" w:color="auto" w:sz="10" w:space="0"/>
              <w:insideV w:val="single" w:sz="10" w:space="0"/>
            </w:tcBorders>
            <w:vAlign w:val="center"/>
          </w:tcPr>
          <w:p w14:paraId="728EAD30">
            <w:pPr>
              <w:spacing w:before="0" w:after="0" w:line="240" w:lineRule="auto"/>
              <w:jc w:val="center"/>
            </w:pPr>
          </w:p>
        </w:tc>
      </w:tr>
      <w:tr w14:paraId="12CA347E">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D3F5BB7"/>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F7093DF"/>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715A238">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EDEFE84">
            <w:pPr>
              <w:spacing w:before="0" w:after="0" w:line="240" w:lineRule="auto"/>
              <w:jc w:val="center"/>
            </w:pPr>
            <w:r>
              <w:rPr>
                <w:rFonts w:ascii="宋体" w:hAnsi="宋体" w:eastAsia="宋体"/>
                <w:b w:val="0"/>
                <w:i w:val="0"/>
                <w:color w:val="000000"/>
                <w:sz w:val="18"/>
              </w:rPr>
              <w:t>检测检验仪器设备维修维护检定费</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E9254BC">
            <w:pPr>
              <w:spacing w:before="0" w:after="0" w:line="240" w:lineRule="auto"/>
              <w:jc w:val="center"/>
            </w:pPr>
            <w:r>
              <w:rPr>
                <w:rFonts w:ascii="宋体" w:hAnsi="宋体" w:eastAsia="宋体"/>
                <w:b w:val="0"/>
                <w:i w:val="0"/>
                <w:sz w:val="18"/>
              </w:rPr>
              <w:t>4</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5366F3D">
            <w:pPr>
              <w:spacing w:before="0" w:after="0" w:line="240" w:lineRule="auto"/>
              <w:jc w:val="center"/>
            </w:pPr>
            <w:r>
              <w:rPr>
                <w:rFonts w:ascii="宋体" w:hAnsi="宋体" w:eastAsia="宋体"/>
                <w:b w:val="0"/>
                <w:i w:val="0"/>
                <w:sz w:val="18"/>
              </w:rPr>
              <w:t>&lt;=7万元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3F5A9A6">
            <w:pPr>
              <w:spacing w:before="0" w:after="0" w:line="240" w:lineRule="auto"/>
              <w:jc w:val="center"/>
            </w:pPr>
            <w:r>
              <w:rPr>
                <w:rFonts w:ascii="宋体" w:hAnsi="宋体" w:eastAsia="宋体"/>
                <w:b w:val="0"/>
                <w:i w:val="0"/>
                <w:sz w:val="18"/>
              </w:rPr>
              <w:t>=7万元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5B95AA6">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6FE354A">
            <w:pPr>
              <w:spacing w:before="0" w:after="0" w:line="240" w:lineRule="auto"/>
              <w:jc w:val="center"/>
            </w:pPr>
            <w:r>
              <w:rPr>
                <w:rFonts w:ascii="宋体" w:hAnsi="宋体" w:eastAsia="宋体"/>
                <w:b w:val="0"/>
                <w:i w:val="0"/>
                <w:sz w:val="18"/>
              </w:rPr>
              <w:t>4</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18E6B244">
            <w:pPr>
              <w:spacing w:before="0" w:after="0" w:line="240" w:lineRule="auto"/>
              <w:jc w:val="center"/>
            </w:pPr>
            <w:r>
              <w:rPr>
                <w:rFonts w:ascii="宋体" w:hAnsi="宋体" w:eastAsia="宋体"/>
                <w:b w:val="0"/>
                <w:i w:val="0"/>
                <w:sz w:val="18"/>
              </w:rPr>
              <w:t>计划标准</w:t>
            </w:r>
          </w:p>
        </w:tc>
        <w:tc>
          <w:tcPr>
            <w:tcW w:w="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24243">
            <w:pPr>
              <w:spacing w:before="0" w:after="0" w:line="240" w:lineRule="auto"/>
              <w:jc w:val="center"/>
            </w:pPr>
            <w:r>
              <w:rPr>
                <w:rFonts w:ascii="宋体" w:hAnsi="宋体" w:eastAsia="宋体"/>
                <w:b w:val="0"/>
                <w:i w:val="0"/>
                <w:sz w:val="18"/>
              </w:rPr>
              <w:t>-</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56F37B46">
            <w:pPr>
              <w:spacing w:before="0" w:after="0" w:line="240" w:lineRule="auto"/>
              <w:jc w:val="center"/>
            </w:pPr>
            <w:r>
              <w:rPr>
                <w:rFonts w:ascii="宋体" w:hAnsi="宋体" w:eastAsia="宋体"/>
                <w:b w:val="0"/>
                <w:i w:val="0"/>
                <w:sz w:val="18"/>
              </w:rPr>
              <w:t>按照完成比例赋分</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FF904">
            <w:pPr>
              <w:spacing w:before="0" w:after="0" w:line="240" w:lineRule="auto"/>
              <w:jc w:val="center"/>
            </w:pPr>
            <w:r>
              <w:rPr>
                <w:rFonts w:ascii="宋体" w:hAnsi="宋体" w:eastAsia="宋体"/>
                <w:b w:val="0"/>
                <w:i w:val="0"/>
                <w:sz w:val="18"/>
              </w:rPr>
              <w:t>原始凭证</w:t>
            </w:r>
          </w:p>
        </w:tc>
        <w:tc>
          <w:tcPr>
            <w:tcW w:w="918" w:type="dxa"/>
            <w:tcBorders>
              <w:top w:val="single" w:color="auto" w:sz="10" w:space="0"/>
              <w:left w:val="single" w:color="auto" w:sz="10" w:space="0"/>
              <w:bottom w:val="single" w:color="auto" w:sz="10" w:space="0"/>
              <w:right w:val="single" w:color="auto" w:sz="10" w:space="0"/>
              <w:insideV w:val="single" w:sz="10" w:space="0"/>
            </w:tcBorders>
            <w:vAlign w:val="center"/>
          </w:tcPr>
          <w:p w14:paraId="30F3A408">
            <w:pPr>
              <w:spacing w:before="0" w:after="0" w:line="240" w:lineRule="auto"/>
              <w:jc w:val="center"/>
            </w:pPr>
          </w:p>
        </w:tc>
      </w:tr>
      <w:tr w14:paraId="1E80B917">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A95E52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3E305F5"/>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43093EA">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1562385">
            <w:pPr>
              <w:spacing w:before="0" w:after="0" w:line="240" w:lineRule="auto"/>
              <w:jc w:val="center"/>
            </w:pPr>
            <w:r>
              <w:rPr>
                <w:rFonts w:ascii="宋体" w:hAnsi="宋体" w:eastAsia="宋体"/>
                <w:b w:val="0"/>
                <w:i w:val="0"/>
                <w:color w:val="000000"/>
                <w:sz w:val="18"/>
              </w:rPr>
              <w:t>提升全区水质站点、重要饮用水水源地、国家重点水质站资料质量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C733DA6">
            <w:pPr>
              <w:spacing w:before="0" w:after="0" w:line="240" w:lineRule="auto"/>
              <w:jc w:val="center"/>
            </w:pPr>
            <w:r>
              <w:rPr>
                <w:rFonts w:ascii="宋体" w:hAnsi="宋体" w:eastAsia="宋体"/>
                <w:b w:val="0"/>
                <w:i w:val="0"/>
                <w:sz w:val="18"/>
              </w:rPr>
              <w:t>8</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524AACD">
            <w:pPr>
              <w:spacing w:before="0" w:after="0" w:line="240" w:lineRule="auto"/>
              <w:jc w:val="center"/>
            </w:pPr>
            <w:r>
              <w:rPr>
                <w:rFonts w:ascii="宋体" w:hAnsi="宋体" w:eastAsia="宋体"/>
                <w:b w:val="0"/>
                <w:i w:val="0"/>
                <w:sz w:val="18"/>
              </w:rPr>
              <w:t>&lt;=22.36万元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E66D84C">
            <w:pPr>
              <w:spacing w:before="0" w:after="0" w:line="240" w:lineRule="auto"/>
              <w:jc w:val="center"/>
            </w:pPr>
            <w:r>
              <w:rPr>
                <w:rFonts w:ascii="宋体" w:hAnsi="宋体" w:eastAsia="宋体"/>
                <w:b w:val="0"/>
                <w:i w:val="0"/>
                <w:sz w:val="18"/>
              </w:rPr>
              <w:t>=22.36万元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A0B2226">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B2D391B">
            <w:pPr>
              <w:spacing w:before="0" w:after="0" w:line="240" w:lineRule="auto"/>
              <w:jc w:val="center"/>
            </w:pPr>
            <w:r>
              <w:rPr>
                <w:rFonts w:ascii="宋体" w:hAnsi="宋体" w:eastAsia="宋体"/>
                <w:b w:val="0"/>
                <w:i w:val="0"/>
                <w:sz w:val="18"/>
              </w:rPr>
              <w:t>8</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338B1DAE">
            <w:pPr>
              <w:spacing w:before="0" w:after="0" w:line="240" w:lineRule="auto"/>
              <w:jc w:val="center"/>
            </w:pPr>
            <w:r>
              <w:rPr>
                <w:rFonts w:ascii="宋体" w:hAnsi="宋体" w:eastAsia="宋体"/>
                <w:b w:val="0"/>
                <w:i w:val="0"/>
                <w:sz w:val="18"/>
              </w:rPr>
              <w:t>计划标准</w:t>
            </w:r>
          </w:p>
        </w:tc>
        <w:tc>
          <w:tcPr>
            <w:tcW w:w="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E374B">
            <w:pPr>
              <w:spacing w:before="0" w:after="0" w:line="240" w:lineRule="auto"/>
              <w:jc w:val="center"/>
            </w:pPr>
            <w:r>
              <w:rPr>
                <w:rFonts w:ascii="宋体" w:hAnsi="宋体" w:eastAsia="宋体"/>
                <w:b w:val="0"/>
                <w:i w:val="0"/>
                <w:sz w:val="18"/>
              </w:rPr>
              <w:t>-</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204C463E">
            <w:pPr>
              <w:spacing w:before="0" w:after="0" w:line="240" w:lineRule="auto"/>
              <w:jc w:val="center"/>
            </w:pPr>
            <w:r>
              <w:rPr>
                <w:rFonts w:ascii="宋体" w:hAnsi="宋体" w:eastAsia="宋体"/>
                <w:b w:val="0"/>
                <w:i w:val="0"/>
                <w:sz w:val="18"/>
              </w:rPr>
              <w:t>按照完成比例赋分</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CFF8D">
            <w:pPr>
              <w:spacing w:before="0" w:after="0" w:line="240" w:lineRule="auto"/>
              <w:jc w:val="center"/>
            </w:pPr>
            <w:r>
              <w:rPr>
                <w:rFonts w:ascii="宋体" w:hAnsi="宋体" w:eastAsia="宋体"/>
                <w:b w:val="0"/>
                <w:i w:val="0"/>
                <w:sz w:val="18"/>
              </w:rPr>
              <w:t>原始凭证</w:t>
            </w:r>
          </w:p>
        </w:tc>
        <w:tc>
          <w:tcPr>
            <w:tcW w:w="918" w:type="dxa"/>
            <w:tcBorders>
              <w:top w:val="single" w:color="auto" w:sz="10" w:space="0"/>
              <w:left w:val="single" w:color="auto" w:sz="10" w:space="0"/>
              <w:bottom w:val="single" w:color="auto" w:sz="10" w:space="0"/>
              <w:right w:val="single" w:color="auto" w:sz="10" w:space="0"/>
              <w:insideV w:val="single" w:sz="10" w:space="0"/>
            </w:tcBorders>
            <w:vAlign w:val="center"/>
          </w:tcPr>
          <w:p w14:paraId="05B57578">
            <w:pPr>
              <w:spacing w:before="0" w:after="0" w:line="240" w:lineRule="auto"/>
              <w:jc w:val="center"/>
            </w:pPr>
          </w:p>
        </w:tc>
      </w:tr>
      <w:tr w14:paraId="06083624">
        <w:tblPrEx>
          <w:tblCellMar>
            <w:top w:w="36" w:type="dxa"/>
            <w:left w:w="36" w:type="dxa"/>
            <w:bottom w:w="36" w:type="dxa"/>
            <w:right w:w="36" w:type="dxa"/>
          </w:tblCellMar>
        </w:tblPrEx>
        <w:trPr>
          <w:trHeight w:val="380" w:hRule="atLeast"/>
        </w:trPr>
        <w:tc>
          <w:tcPr>
            <w:tcW w:w="212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B00D30">
            <w:pPr>
              <w:spacing w:before="0" w:after="0" w:line="240" w:lineRule="auto"/>
              <w:jc w:val="center"/>
            </w:pPr>
            <w:r>
              <w:rPr>
                <w:rFonts w:ascii="宋体" w:hAnsi="宋体" w:eastAsia="宋体"/>
                <w:b/>
                <w:i w:val="0"/>
                <w:color w:val="000000"/>
                <w:sz w:val="18"/>
              </w:rPr>
              <w:t>总分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BCD1A1E">
            <w:pPr>
              <w:spacing w:before="0" w:after="0" w:line="240" w:lineRule="auto"/>
              <w:jc w:val="center"/>
            </w:pPr>
            <w:r>
              <w:rPr>
                <w:rFonts w:ascii="宋体" w:hAnsi="宋体" w:eastAsia="宋体"/>
                <w:b w:val="0"/>
                <w:i w:val="0"/>
                <w:color w:val="00000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2C82089">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67BC153">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6A03249">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E057D9C">
            <w:pPr>
              <w:spacing w:before="0" w:after="0" w:line="240" w:lineRule="auto"/>
              <w:jc w:val="center"/>
            </w:pPr>
            <w:r>
              <w:rPr>
                <w:rFonts w:ascii="宋体" w:hAnsi="宋体" w:eastAsia="宋体"/>
                <w:b w:val="0"/>
                <w:i w:val="0"/>
                <w:color w:val="000000"/>
                <w:sz w:val="18"/>
              </w:rPr>
              <w:t>100.00</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3E422A70">
            <w:pPr>
              <w:spacing w:before="0" w:after="0" w:line="240" w:lineRule="auto"/>
              <w:jc w:val="center"/>
            </w:pPr>
          </w:p>
        </w:tc>
        <w:tc>
          <w:tcPr>
            <w:tcW w:w="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98BE9">
            <w:pPr>
              <w:spacing w:before="0" w:after="0" w:line="240" w:lineRule="auto"/>
              <w:jc w:val="center"/>
            </w:pP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6141CCFB">
            <w:pPr>
              <w:spacing w:before="0" w:after="0" w:line="240" w:lineRule="auto"/>
              <w:jc w:val="center"/>
            </w:pP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43C6F">
            <w:pPr>
              <w:spacing w:before="0" w:after="0" w:line="240" w:lineRule="auto"/>
              <w:jc w:val="center"/>
            </w:pPr>
          </w:p>
        </w:tc>
        <w:tc>
          <w:tcPr>
            <w:tcW w:w="918" w:type="dxa"/>
            <w:tcBorders>
              <w:top w:val="single" w:color="auto" w:sz="10" w:space="0"/>
              <w:left w:val="single" w:color="auto" w:sz="10" w:space="0"/>
              <w:bottom w:val="single" w:color="auto" w:sz="10" w:space="0"/>
              <w:right w:val="single" w:color="auto" w:sz="10" w:space="0"/>
              <w:insideV w:val="single" w:sz="10" w:space="0"/>
            </w:tcBorders>
            <w:vAlign w:val="center"/>
          </w:tcPr>
          <w:p w14:paraId="29279EB4">
            <w:pPr>
              <w:spacing w:before="0" w:after="0" w:line="240" w:lineRule="auto"/>
              <w:jc w:val="center"/>
            </w:pPr>
          </w:p>
        </w:tc>
      </w:tr>
    </w:tbl>
    <w:p w14:paraId="71AEC67B">
      <w:r>
        <w:br w:type="page"/>
      </w:r>
    </w:p>
    <w:tbl>
      <w:tblPr>
        <w:tblStyle w:val="8"/>
        <w:tblW w:w="5000" w:type="pct"/>
        <w:tblInd w:w="0" w:type="dxa"/>
        <w:tblLayout w:type="autofit"/>
        <w:tblCellMar>
          <w:top w:w="36" w:type="dxa"/>
          <w:left w:w="36" w:type="dxa"/>
          <w:bottom w:w="36" w:type="dxa"/>
          <w:right w:w="36" w:type="dxa"/>
        </w:tblCellMar>
      </w:tblPr>
      <w:tblGrid>
        <w:gridCol w:w="291"/>
        <w:gridCol w:w="433"/>
        <w:gridCol w:w="433"/>
        <w:gridCol w:w="730"/>
        <w:gridCol w:w="612"/>
        <w:gridCol w:w="702"/>
        <w:gridCol w:w="612"/>
        <w:gridCol w:w="612"/>
        <w:gridCol w:w="522"/>
        <w:gridCol w:w="433"/>
        <w:gridCol w:w="433"/>
        <w:gridCol w:w="614"/>
        <w:gridCol w:w="539"/>
        <w:gridCol w:w="1340"/>
      </w:tblGrid>
      <w:tr w14:paraId="2555078C">
        <w:tblPrEx>
          <w:tblCellMar>
            <w:top w:w="36" w:type="dxa"/>
            <w:left w:w="36" w:type="dxa"/>
            <w:bottom w:w="36" w:type="dxa"/>
            <w:right w:w="36" w:type="dxa"/>
          </w:tblCellMar>
        </w:tblPrEx>
        <w:trPr>
          <w:trHeight w:val="405" w:hRule="atLeast"/>
        </w:trPr>
        <w:tc>
          <w:tcPr>
            <w:tcW w:w="5000" w:type="pct"/>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39B4D38">
            <w:pPr>
              <w:spacing w:before="0" w:after="0" w:line="240" w:lineRule="auto"/>
              <w:jc w:val="center"/>
            </w:pPr>
            <w:r>
              <w:rPr>
                <w:rFonts w:ascii="宋体" w:hAnsi="宋体" w:eastAsia="宋体"/>
                <w:b/>
                <w:i w:val="0"/>
                <w:sz w:val="32"/>
              </w:rPr>
              <w:t>项目支出绩效自评表</w:t>
            </w:r>
          </w:p>
        </w:tc>
      </w:tr>
      <w:tr w14:paraId="5E36A151">
        <w:tblPrEx>
          <w:tblCellMar>
            <w:top w:w="36" w:type="dxa"/>
            <w:left w:w="36" w:type="dxa"/>
            <w:bottom w:w="36" w:type="dxa"/>
            <w:right w:w="36" w:type="dxa"/>
          </w:tblCellMar>
        </w:tblPrEx>
        <w:trPr>
          <w:trHeight w:val="380" w:hRule="atLeast"/>
        </w:trPr>
        <w:tc>
          <w:tcPr>
            <w:tcW w:w="5000" w:type="pct"/>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058B677">
            <w:pPr>
              <w:spacing w:before="0" w:after="0" w:line="240" w:lineRule="auto"/>
              <w:jc w:val="center"/>
            </w:pPr>
            <w:r>
              <w:rPr>
                <w:rFonts w:ascii="宋体" w:hAnsi="宋体" w:eastAsia="宋体"/>
                <w:b w:val="0"/>
                <w:i w:val="0"/>
                <w:sz w:val="22"/>
              </w:rPr>
              <w:t>(2025年度)</w:t>
            </w:r>
          </w:p>
        </w:tc>
      </w:tr>
      <w:tr w14:paraId="6804A4A7">
        <w:tblPrEx>
          <w:tblCellMar>
            <w:top w:w="36" w:type="dxa"/>
            <w:left w:w="36" w:type="dxa"/>
            <w:bottom w:w="36" w:type="dxa"/>
            <w:right w:w="36" w:type="dxa"/>
          </w:tblCellMar>
        </w:tblPrEx>
        <w:trPr>
          <w:trHeight w:val="380" w:hRule="atLeast"/>
        </w:trPr>
        <w:tc>
          <w:tcPr>
            <w:tcW w:w="508"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C5015">
            <w:pPr>
              <w:spacing w:before="0" w:after="0" w:line="240" w:lineRule="auto"/>
              <w:jc w:val="center"/>
            </w:pPr>
            <w:r>
              <w:rPr>
                <w:rFonts w:ascii="宋体" w:hAnsi="宋体" w:eastAsia="宋体"/>
                <w:b/>
                <w:i w:val="0"/>
                <w:sz w:val="18"/>
              </w:rPr>
              <w:t>项目名称</w:t>
            </w:r>
          </w:p>
        </w:tc>
        <w:tc>
          <w:tcPr>
            <w:tcW w:w="4491" w:type="pct"/>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A147E06">
            <w:pPr>
              <w:spacing w:before="0" w:after="0" w:line="240" w:lineRule="auto"/>
              <w:jc w:val="center"/>
            </w:pPr>
            <w:r>
              <w:rPr>
                <w:rFonts w:ascii="宋体" w:hAnsi="宋体" w:eastAsia="宋体"/>
                <w:b w:val="0"/>
                <w:i w:val="0"/>
                <w:sz w:val="18"/>
              </w:rPr>
              <w:t>经营成本性项目</w:t>
            </w:r>
          </w:p>
        </w:tc>
      </w:tr>
      <w:tr w14:paraId="20748962">
        <w:tblPrEx>
          <w:tblCellMar>
            <w:top w:w="36" w:type="dxa"/>
            <w:left w:w="36" w:type="dxa"/>
            <w:bottom w:w="36" w:type="dxa"/>
            <w:right w:w="36" w:type="dxa"/>
          </w:tblCellMar>
        </w:tblPrEx>
        <w:trPr>
          <w:trHeight w:val="380" w:hRule="atLeast"/>
        </w:trPr>
        <w:tc>
          <w:tcPr>
            <w:tcW w:w="508"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8D9E9">
            <w:pPr>
              <w:spacing w:before="0" w:after="0" w:line="240" w:lineRule="auto"/>
              <w:jc w:val="center"/>
            </w:pPr>
            <w:r>
              <w:rPr>
                <w:rFonts w:ascii="宋体" w:hAnsi="宋体" w:eastAsia="宋体"/>
                <w:b/>
                <w:i w:val="0"/>
                <w:sz w:val="18"/>
              </w:rPr>
              <w:t>主管部门</w:t>
            </w:r>
          </w:p>
        </w:tc>
        <w:tc>
          <w:tcPr>
            <w:tcW w:w="1701"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1FB3DE">
            <w:pPr>
              <w:spacing w:before="0" w:after="0" w:line="240" w:lineRule="auto"/>
              <w:jc w:val="center"/>
            </w:pPr>
            <w:r>
              <w:rPr>
                <w:rFonts w:ascii="宋体" w:hAnsi="宋体" w:eastAsia="宋体"/>
                <w:b w:val="0"/>
                <w:i w:val="0"/>
                <w:sz w:val="18"/>
              </w:rPr>
              <w:t>自治区水利厅</w:t>
            </w:r>
          </w:p>
        </w:tc>
        <w:tc>
          <w:tcPr>
            <w:tcW w:w="59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BB314">
            <w:pPr>
              <w:spacing w:before="0" w:after="0" w:line="240" w:lineRule="auto"/>
              <w:jc w:val="center"/>
            </w:pPr>
            <w:r>
              <w:rPr>
                <w:rFonts w:ascii="宋体" w:hAnsi="宋体" w:eastAsia="宋体"/>
                <w:b/>
                <w:i w:val="0"/>
                <w:sz w:val="18"/>
              </w:rPr>
              <w:t>实施单位</w:t>
            </w:r>
          </w:p>
        </w:tc>
        <w:tc>
          <w:tcPr>
            <w:tcW w:w="2197"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D5520C">
            <w:pPr>
              <w:spacing w:before="0" w:after="0" w:line="240" w:lineRule="auto"/>
              <w:jc w:val="center"/>
            </w:pPr>
            <w:r>
              <w:rPr>
                <w:rFonts w:ascii="宋体" w:hAnsi="宋体" w:eastAsia="宋体"/>
                <w:b w:val="0"/>
                <w:i w:val="0"/>
                <w:sz w:val="18"/>
              </w:rPr>
              <w:t>新疆维吾尔自治区水环境监测中心</w:t>
            </w:r>
          </w:p>
        </w:tc>
      </w:tr>
      <w:tr w14:paraId="3F41B03B">
        <w:tblPrEx>
          <w:tblCellMar>
            <w:top w:w="36" w:type="dxa"/>
            <w:left w:w="36" w:type="dxa"/>
            <w:bottom w:w="36" w:type="dxa"/>
            <w:right w:w="36" w:type="dxa"/>
          </w:tblCellMar>
        </w:tblPrEx>
        <w:trPr>
          <w:trHeight w:val="380" w:hRule="atLeast"/>
        </w:trPr>
        <w:tc>
          <w:tcPr>
            <w:tcW w:w="508" w:type="pct"/>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FF4A2">
            <w:pPr>
              <w:spacing w:before="0" w:after="0" w:line="240" w:lineRule="auto"/>
              <w:jc w:val="center"/>
            </w:pPr>
            <w:r>
              <w:rPr>
                <w:rFonts w:ascii="宋体" w:hAnsi="宋体" w:eastAsia="宋体"/>
                <w:b/>
                <w:i w:val="0"/>
                <w:sz w:val="18"/>
              </w:rPr>
              <w:t>项目资金
（万元）</w:t>
            </w:r>
          </w:p>
        </w:tc>
        <w:tc>
          <w:tcPr>
            <w:tcW w:w="77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0E39C">
            <w:pPr>
              <w:spacing w:before="0" w:after="0" w:line="240" w:lineRule="auto"/>
              <w:jc w:val="center"/>
            </w:pPr>
          </w:p>
        </w:tc>
        <w:tc>
          <w:tcPr>
            <w:tcW w:w="337" w:type="pct"/>
            <w:tcBorders>
              <w:top w:val="single" w:color="auto" w:sz="10" w:space="0"/>
              <w:left w:val="single" w:color="auto" w:sz="10" w:space="0"/>
              <w:bottom w:val="single" w:color="auto" w:sz="10" w:space="0"/>
              <w:right w:val="single" w:color="auto" w:sz="10" w:space="0"/>
              <w:insideV w:val="single" w:sz="10" w:space="0"/>
            </w:tcBorders>
            <w:vAlign w:val="center"/>
          </w:tcPr>
          <w:p w14:paraId="3E585FED">
            <w:pPr>
              <w:spacing w:before="0" w:after="0" w:line="240" w:lineRule="auto"/>
              <w:jc w:val="center"/>
            </w:pPr>
            <w:r>
              <w:rPr>
                <w:rFonts w:ascii="宋体" w:hAnsi="宋体" w:eastAsia="宋体"/>
                <w:b/>
                <w:i w:val="0"/>
                <w:sz w:val="18"/>
              </w:rPr>
              <w:t>年初预算数</w:t>
            </w:r>
          </w:p>
        </w:tc>
        <w:tc>
          <w:tcPr>
            <w:tcW w:w="593"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B06B1">
            <w:pPr>
              <w:spacing w:before="0" w:after="0" w:line="240" w:lineRule="auto"/>
              <w:jc w:val="center"/>
            </w:pPr>
            <w:r>
              <w:rPr>
                <w:rFonts w:ascii="宋体" w:hAnsi="宋体" w:eastAsia="宋体"/>
                <w:b/>
                <w:i w:val="0"/>
                <w:sz w:val="18"/>
              </w:rPr>
              <w:t>全年预算数</w:t>
            </w:r>
          </w:p>
        </w:tc>
        <w:tc>
          <w:tcPr>
            <w:tcW w:w="59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66376">
            <w:pPr>
              <w:spacing w:before="0" w:after="0" w:line="240" w:lineRule="auto"/>
              <w:jc w:val="center"/>
            </w:pPr>
            <w:r>
              <w:rPr>
                <w:rFonts w:ascii="宋体" w:hAnsi="宋体" w:eastAsia="宋体"/>
                <w:b/>
                <w:i w:val="0"/>
                <w:sz w:val="18"/>
              </w:rPr>
              <w:t>全年执行数</w:t>
            </w:r>
          </w:p>
        </w:tc>
        <w:tc>
          <w:tcPr>
            <w:tcW w:w="59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0120D">
            <w:pPr>
              <w:spacing w:before="0" w:after="0" w:line="240" w:lineRule="auto"/>
              <w:jc w:val="center"/>
            </w:pPr>
            <w:r>
              <w:rPr>
                <w:rFonts w:ascii="宋体" w:hAnsi="宋体" w:eastAsia="宋体"/>
                <w:b/>
                <w:i w:val="0"/>
                <w:sz w:val="18"/>
              </w:rPr>
              <w:t>分值</w:t>
            </w:r>
          </w:p>
        </w:tc>
        <w:tc>
          <w:tcPr>
            <w:tcW w:w="76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01BB7">
            <w:pPr>
              <w:spacing w:before="0" w:after="0" w:line="240" w:lineRule="auto"/>
              <w:jc w:val="center"/>
            </w:pPr>
            <w:r>
              <w:rPr>
                <w:rFonts w:ascii="宋体" w:hAnsi="宋体" w:eastAsia="宋体"/>
                <w:b/>
                <w:i w:val="0"/>
                <w:sz w:val="18"/>
              </w:rPr>
              <w:t>执行率</w:t>
            </w:r>
          </w:p>
        </w:tc>
        <w:tc>
          <w:tcPr>
            <w:tcW w:w="838" w:type="pct"/>
            <w:tcBorders>
              <w:top w:val="single" w:color="auto" w:sz="10" w:space="0"/>
              <w:left w:val="single" w:color="auto" w:sz="10" w:space="0"/>
              <w:bottom w:val="single" w:color="auto" w:sz="10" w:space="0"/>
              <w:right w:val="single" w:color="auto" w:sz="10" w:space="0"/>
              <w:insideV w:val="single" w:sz="10" w:space="0"/>
            </w:tcBorders>
            <w:vAlign w:val="center"/>
          </w:tcPr>
          <w:p w14:paraId="16DCE2C2">
            <w:pPr>
              <w:spacing w:before="0" w:after="0" w:line="240" w:lineRule="auto"/>
              <w:jc w:val="center"/>
            </w:pPr>
            <w:r>
              <w:rPr>
                <w:rFonts w:ascii="宋体" w:hAnsi="宋体" w:eastAsia="宋体"/>
                <w:b/>
                <w:i w:val="0"/>
                <w:sz w:val="18"/>
              </w:rPr>
              <w:t>得分</w:t>
            </w:r>
          </w:p>
        </w:tc>
      </w:tr>
      <w:tr w14:paraId="20C71562">
        <w:tblPrEx>
          <w:tblCellMar>
            <w:top w:w="36" w:type="dxa"/>
            <w:left w:w="36" w:type="dxa"/>
            <w:bottom w:w="36" w:type="dxa"/>
            <w:right w:w="36" w:type="dxa"/>
          </w:tblCellMar>
        </w:tblPrEx>
        <w:trPr>
          <w:trHeight w:val="380" w:hRule="atLeast"/>
        </w:trPr>
        <w:tc>
          <w:tcPr>
            <w:tcW w:w="508" w:type="pct"/>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03459FE"/>
        </w:tc>
        <w:tc>
          <w:tcPr>
            <w:tcW w:w="77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EAA3C">
            <w:pPr>
              <w:spacing w:before="0" w:after="0" w:line="240" w:lineRule="auto"/>
              <w:jc w:val="center"/>
            </w:pPr>
            <w:r>
              <w:rPr>
                <w:rFonts w:ascii="宋体" w:hAnsi="宋体" w:eastAsia="宋体"/>
                <w:b/>
                <w:i w:val="0"/>
                <w:sz w:val="18"/>
              </w:rPr>
              <w:t>年度资金总额</w:t>
            </w:r>
          </w:p>
        </w:tc>
        <w:tc>
          <w:tcPr>
            <w:tcW w:w="337" w:type="pct"/>
            <w:tcBorders>
              <w:top w:val="single" w:color="auto" w:sz="10" w:space="0"/>
              <w:left w:val="single" w:color="auto" w:sz="10" w:space="0"/>
              <w:bottom w:val="single" w:color="auto" w:sz="10" w:space="0"/>
              <w:right w:val="single" w:color="auto" w:sz="10" w:space="0"/>
              <w:insideV w:val="single" w:sz="10" w:space="0"/>
            </w:tcBorders>
            <w:vAlign w:val="center"/>
          </w:tcPr>
          <w:p w14:paraId="5ED7982E">
            <w:pPr>
              <w:spacing w:before="0" w:after="0" w:line="240" w:lineRule="auto"/>
              <w:jc w:val="center"/>
            </w:pPr>
            <w:r>
              <w:rPr>
                <w:rFonts w:ascii="宋体" w:hAnsi="宋体" w:eastAsia="宋体"/>
                <w:b w:val="0"/>
                <w:i w:val="0"/>
                <w:sz w:val="18"/>
              </w:rPr>
              <w:t>151.98</w:t>
            </w:r>
          </w:p>
        </w:tc>
        <w:tc>
          <w:tcPr>
            <w:tcW w:w="593"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69CDD">
            <w:pPr>
              <w:spacing w:before="0" w:after="0" w:line="240" w:lineRule="auto"/>
              <w:jc w:val="center"/>
            </w:pPr>
            <w:r>
              <w:rPr>
                <w:rFonts w:ascii="宋体" w:hAnsi="宋体" w:eastAsia="宋体"/>
                <w:b w:val="0"/>
                <w:i w:val="0"/>
                <w:sz w:val="18"/>
              </w:rPr>
              <w:t>151.98</w:t>
            </w:r>
          </w:p>
        </w:tc>
        <w:tc>
          <w:tcPr>
            <w:tcW w:w="59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EF285">
            <w:pPr>
              <w:spacing w:before="0" w:after="0" w:line="240" w:lineRule="auto"/>
              <w:jc w:val="center"/>
            </w:pPr>
            <w:r>
              <w:rPr>
                <w:rFonts w:ascii="宋体" w:hAnsi="宋体" w:eastAsia="宋体"/>
                <w:b w:val="0"/>
                <w:i w:val="0"/>
                <w:sz w:val="18"/>
              </w:rPr>
              <w:t>132.39</w:t>
            </w:r>
          </w:p>
        </w:tc>
        <w:tc>
          <w:tcPr>
            <w:tcW w:w="59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3D19F">
            <w:pPr>
              <w:spacing w:before="0" w:after="0" w:line="240" w:lineRule="auto"/>
              <w:jc w:val="center"/>
            </w:pPr>
            <w:r>
              <w:rPr>
                <w:rFonts w:ascii="宋体" w:hAnsi="宋体" w:eastAsia="宋体"/>
                <w:b w:val="0"/>
                <w:i w:val="0"/>
                <w:sz w:val="18"/>
              </w:rPr>
              <w:t>10</w:t>
            </w:r>
          </w:p>
        </w:tc>
        <w:tc>
          <w:tcPr>
            <w:tcW w:w="76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15C17">
            <w:pPr>
              <w:spacing w:before="0" w:after="0" w:line="240" w:lineRule="auto"/>
              <w:jc w:val="center"/>
            </w:pPr>
            <w:r>
              <w:rPr>
                <w:rFonts w:ascii="宋体" w:hAnsi="宋体" w:eastAsia="宋体"/>
                <w:b w:val="0"/>
                <w:i w:val="0"/>
                <w:sz w:val="18"/>
              </w:rPr>
              <w:t>87.11%</w:t>
            </w:r>
          </w:p>
        </w:tc>
        <w:tc>
          <w:tcPr>
            <w:tcW w:w="838" w:type="pct"/>
            <w:tcBorders>
              <w:top w:val="single" w:color="auto" w:sz="10" w:space="0"/>
              <w:left w:val="single" w:color="auto" w:sz="10" w:space="0"/>
              <w:bottom w:val="single" w:color="auto" w:sz="10" w:space="0"/>
              <w:right w:val="single" w:color="auto" w:sz="10" w:space="0"/>
              <w:insideV w:val="single" w:sz="10" w:space="0"/>
            </w:tcBorders>
            <w:vAlign w:val="center"/>
          </w:tcPr>
          <w:p w14:paraId="51711FA5">
            <w:pPr>
              <w:spacing w:before="0" w:after="0" w:line="240" w:lineRule="auto"/>
              <w:jc w:val="center"/>
            </w:pPr>
            <w:r>
              <w:rPr>
                <w:rFonts w:ascii="宋体" w:hAnsi="宋体" w:eastAsia="宋体"/>
                <w:b w:val="0"/>
                <w:i w:val="0"/>
                <w:sz w:val="18"/>
              </w:rPr>
              <w:t>6.78</w:t>
            </w:r>
          </w:p>
        </w:tc>
      </w:tr>
      <w:tr w14:paraId="487FCB5F">
        <w:tblPrEx>
          <w:tblCellMar>
            <w:top w:w="36" w:type="dxa"/>
            <w:left w:w="36" w:type="dxa"/>
            <w:bottom w:w="36" w:type="dxa"/>
            <w:right w:w="36" w:type="dxa"/>
          </w:tblCellMar>
        </w:tblPrEx>
        <w:trPr>
          <w:trHeight w:val="380" w:hRule="atLeast"/>
        </w:trPr>
        <w:tc>
          <w:tcPr>
            <w:tcW w:w="508" w:type="pct"/>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E74C129"/>
        </w:tc>
        <w:tc>
          <w:tcPr>
            <w:tcW w:w="77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3D360">
            <w:pPr>
              <w:spacing w:before="0" w:after="0" w:line="240" w:lineRule="auto"/>
              <w:jc w:val="center"/>
            </w:pPr>
            <w:r>
              <w:rPr>
                <w:rFonts w:ascii="宋体" w:hAnsi="宋体" w:eastAsia="宋体"/>
                <w:b/>
                <w:i w:val="0"/>
                <w:sz w:val="18"/>
              </w:rPr>
              <w:t>其中：当年财政拨款</w:t>
            </w:r>
          </w:p>
        </w:tc>
        <w:tc>
          <w:tcPr>
            <w:tcW w:w="337" w:type="pct"/>
            <w:tcBorders>
              <w:top w:val="single" w:color="auto" w:sz="10" w:space="0"/>
              <w:left w:val="single" w:color="auto" w:sz="10" w:space="0"/>
              <w:bottom w:val="single" w:color="auto" w:sz="10" w:space="0"/>
              <w:right w:val="single" w:color="auto" w:sz="10" w:space="0"/>
              <w:insideV w:val="single" w:sz="10" w:space="0"/>
            </w:tcBorders>
            <w:vAlign w:val="center"/>
          </w:tcPr>
          <w:p w14:paraId="21834A46">
            <w:pPr>
              <w:spacing w:before="0" w:after="0" w:line="240" w:lineRule="auto"/>
              <w:jc w:val="center"/>
            </w:pPr>
            <w:r>
              <w:rPr>
                <w:rFonts w:ascii="宋体" w:hAnsi="宋体" w:eastAsia="宋体"/>
                <w:b w:val="0"/>
                <w:i w:val="0"/>
                <w:sz w:val="18"/>
              </w:rPr>
              <w:t>0.00</w:t>
            </w:r>
          </w:p>
        </w:tc>
        <w:tc>
          <w:tcPr>
            <w:tcW w:w="593"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12320">
            <w:pPr>
              <w:spacing w:before="0" w:after="0" w:line="240" w:lineRule="auto"/>
              <w:jc w:val="center"/>
            </w:pPr>
            <w:r>
              <w:rPr>
                <w:rFonts w:ascii="宋体" w:hAnsi="宋体" w:eastAsia="宋体"/>
                <w:b w:val="0"/>
                <w:i w:val="0"/>
                <w:sz w:val="18"/>
              </w:rPr>
              <w:t>0.00</w:t>
            </w:r>
          </w:p>
        </w:tc>
        <w:tc>
          <w:tcPr>
            <w:tcW w:w="59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FC5F2">
            <w:pPr>
              <w:spacing w:before="0" w:after="0" w:line="240" w:lineRule="auto"/>
              <w:jc w:val="center"/>
            </w:pPr>
            <w:r>
              <w:rPr>
                <w:rFonts w:ascii="宋体" w:hAnsi="宋体" w:eastAsia="宋体"/>
                <w:b w:val="0"/>
                <w:i w:val="0"/>
                <w:sz w:val="18"/>
              </w:rPr>
              <w:t>0.00</w:t>
            </w:r>
          </w:p>
        </w:tc>
        <w:tc>
          <w:tcPr>
            <w:tcW w:w="59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9C3D8">
            <w:pPr>
              <w:spacing w:before="0" w:after="0" w:line="240" w:lineRule="auto"/>
              <w:jc w:val="center"/>
            </w:pPr>
            <w:r>
              <w:rPr>
                <w:rFonts w:ascii="宋体" w:hAnsi="宋体" w:eastAsia="宋体"/>
                <w:b w:val="0"/>
                <w:i w:val="0"/>
                <w:sz w:val="18"/>
              </w:rPr>
              <w:t>-</w:t>
            </w:r>
          </w:p>
        </w:tc>
        <w:tc>
          <w:tcPr>
            <w:tcW w:w="76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5E1C5">
            <w:pPr>
              <w:spacing w:before="0" w:after="0" w:line="240" w:lineRule="auto"/>
              <w:jc w:val="center"/>
            </w:pPr>
            <w:r>
              <w:rPr>
                <w:rFonts w:ascii="宋体" w:hAnsi="宋体" w:eastAsia="宋体"/>
                <w:b w:val="0"/>
                <w:i w:val="0"/>
                <w:sz w:val="18"/>
              </w:rPr>
              <w:t>-</w:t>
            </w:r>
          </w:p>
        </w:tc>
        <w:tc>
          <w:tcPr>
            <w:tcW w:w="838" w:type="pct"/>
            <w:tcBorders>
              <w:top w:val="single" w:color="auto" w:sz="10" w:space="0"/>
              <w:left w:val="single" w:color="auto" w:sz="10" w:space="0"/>
              <w:bottom w:val="single" w:color="auto" w:sz="10" w:space="0"/>
              <w:right w:val="single" w:color="auto" w:sz="10" w:space="0"/>
              <w:insideV w:val="single" w:sz="10" w:space="0"/>
            </w:tcBorders>
            <w:vAlign w:val="center"/>
          </w:tcPr>
          <w:p w14:paraId="7C5A3CDC">
            <w:pPr>
              <w:spacing w:before="0" w:after="0" w:line="240" w:lineRule="auto"/>
              <w:jc w:val="center"/>
            </w:pPr>
            <w:r>
              <w:rPr>
                <w:rFonts w:ascii="宋体" w:hAnsi="宋体" w:eastAsia="宋体"/>
                <w:b w:val="0"/>
                <w:i w:val="0"/>
                <w:sz w:val="18"/>
              </w:rPr>
              <w:t>-</w:t>
            </w:r>
          </w:p>
        </w:tc>
      </w:tr>
      <w:tr w14:paraId="3A7965B1">
        <w:tblPrEx>
          <w:tblCellMar>
            <w:top w:w="36" w:type="dxa"/>
            <w:left w:w="36" w:type="dxa"/>
            <w:bottom w:w="36" w:type="dxa"/>
            <w:right w:w="36" w:type="dxa"/>
          </w:tblCellMar>
        </w:tblPrEx>
        <w:trPr>
          <w:trHeight w:val="380" w:hRule="atLeast"/>
        </w:trPr>
        <w:tc>
          <w:tcPr>
            <w:tcW w:w="508" w:type="pct"/>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081C82A"/>
        </w:tc>
        <w:tc>
          <w:tcPr>
            <w:tcW w:w="77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D9E2B">
            <w:pPr>
              <w:spacing w:before="0" w:after="0" w:line="240" w:lineRule="auto"/>
              <w:jc w:val="center"/>
            </w:pPr>
            <w:r>
              <w:rPr>
                <w:rFonts w:ascii="宋体" w:hAnsi="宋体" w:eastAsia="宋体"/>
                <w:b/>
                <w:i w:val="0"/>
                <w:sz w:val="18"/>
              </w:rPr>
              <w:t>其他资金</w:t>
            </w:r>
          </w:p>
        </w:tc>
        <w:tc>
          <w:tcPr>
            <w:tcW w:w="337" w:type="pct"/>
            <w:tcBorders>
              <w:top w:val="single" w:color="auto" w:sz="10" w:space="0"/>
              <w:left w:val="single" w:color="auto" w:sz="10" w:space="0"/>
              <w:bottom w:val="single" w:color="auto" w:sz="10" w:space="0"/>
              <w:right w:val="single" w:color="auto" w:sz="10" w:space="0"/>
              <w:insideV w:val="single" w:sz="10" w:space="0"/>
            </w:tcBorders>
            <w:vAlign w:val="center"/>
          </w:tcPr>
          <w:p w14:paraId="5C4F3337">
            <w:pPr>
              <w:spacing w:before="0" w:after="0" w:line="240" w:lineRule="auto"/>
              <w:jc w:val="center"/>
            </w:pPr>
            <w:r>
              <w:rPr>
                <w:rFonts w:ascii="宋体" w:hAnsi="宋体" w:eastAsia="宋体"/>
                <w:b w:val="0"/>
                <w:i w:val="0"/>
                <w:sz w:val="18"/>
              </w:rPr>
              <w:t>151.98</w:t>
            </w:r>
          </w:p>
        </w:tc>
        <w:tc>
          <w:tcPr>
            <w:tcW w:w="593"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9304B">
            <w:pPr>
              <w:spacing w:before="0" w:after="0" w:line="240" w:lineRule="auto"/>
              <w:jc w:val="center"/>
            </w:pPr>
            <w:r>
              <w:rPr>
                <w:rFonts w:ascii="宋体" w:hAnsi="宋体" w:eastAsia="宋体"/>
                <w:b w:val="0"/>
                <w:i w:val="0"/>
                <w:sz w:val="18"/>
              </w:rPr>
              <w:t>151.98</w:t>
            </w:r>
          </w:p>
        </w:tc>
        <w:tc>
          <w:tcPr>
            <w:tcW w:w="59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A2050">
            <w:pPr>
              <w:spacing w:before="0" w:after="0" w:line="240" w:lineRule="auto"/>
              <w:jc w:val="center"/>
            </w:pPr>
            <w:r>
              <w:rPr>
                <w:rFonts w:ascii="宋体" w:hAnsi="宋体" w:eastAsia="宋体"/>
                <w:b w:val="0"/>
                <w:i w:val="0"/>
                <w:sz w:val="18"/>
              </w:rPr>
              <w:t>132.39</w:t>
            </w:r>
          </w:p>
        </w:tc>
        <w:tc>
          <w:tcPr>
            <w:tcW w:w="59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6EB15">
            <w:pPr>
              <w:spacing w:before="0" w:after="0" w:line="240" w:lineRule="auto"/>
              <w:jc w:val="center"/>
            </w:pPr>
            <w:r>
              <w:rPr>
                <w:rFonts w:ascii="宋体" w:hAnsi="宋体" w:eastAsia="宋体"/>
                <w:b w:val="0"/>
                <w:i w:val="0"/>
                <w:sz w:val="18"/>
              </w:rPr>
              <w:t>-</w:t>
            </w:r>
          </w:p>
        </w:tc>
        <w:tc>
          <w:tcPr>
            <w:tcW w:w="76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CD52E">
            <w:pPr>
              <w:spacing w:before="0" w:after="0" w:line="240" w:lineRule="auto"/>
              <w:jc w:val="center"/>
            </w:pPr>
            <w:r>
              <w:rPr>
                <w:rFonts w:ascii="宋体" w:hAnsi="宋体" w:eastAsia="宋体"/>
                <w:b w:val="0"/>
                <w:i w:val="0"/>
                <w:sz w:val="18"/>
              </w:rPr>
              <w:t>-</w:t>
            </w:r>
          </w:p>
        </w:tc>
        <w:tc>
          <w:tcPr>
            <w:tcW w:w="838" w:type="pct"/>
            <w:tcBorders>
              <w:top w:val="single" w:color="auto" w:sz="10" w:space="0"/>
              <w:left w:val="single" w:color="auto" w:sz="10" w:space="0"/>
              <w:bottom w:val="single" w:color="auto" w:sz="10" w:space="0"/>
              <w:right w:val="single" w:color="auto" w:sz="10" w:space="0"/>
              <w:insideV w:val="single" w:sz="10" w:space="0"/>
            </w:tcBorders>
            <w:vAlign w:val="center"/>
          </w:tcPr>
          <w:p w14:paraId="0ACD3399">
            <w:pPr>
              <w:spacing w:before="0" w:after="0" w:line="240" w:lineRule="auto"/>
              <w:jc w:val="center"/>
            </w:pPr>
            <w:r>
              <w:rPr>
                <w:rFonts w:ascii="宋体" w:hAnsi="宋体" w:eastAsia="宋体"/>
                <w:b w:val="0"/>
                <w:i w:val="0"/>
                <w:sz w:val="18"/>
              </w:rPr>
              <w:t>-</w:t>
            </w:r>
          </w:p>
        </w:tc>
      </w:tr>
      <w:tr w14:paraId="2143C9F1">
        <w:tblPrEx>
          <w:tblCellMar>
            <w:top w:w="36" w:type="dxa"/>
            <w:left w:w="36" w:type="dxa"/>
            <w:bottom w:w="36" w:type="dxa"/>
            <w:right w:w="36" w:type="dxa"/>
          </w:tblCellMar>
        </w:tblPrEx>
        <w:trPr>
          <w:trHeight w:val="380" w:hRule="atLeast"/>
        </w:trPr>
        <w:tc>
          <w:tcPr>
            <w:tcW w:w="211"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D1D3A">
            <w:pPr>
              <w:spacing w:before="0" w:after="0" w:line="240" w:lineRule="auto"/>
              <w:jc w:val="center"/>
            </w:pPr>
            <w:r>
              <w:rPr>
                <w:rFonts w:ascii="宋体" w:hAnsi="宋体" w:eastAsia="宋体"/>
                <w:b/>
                <w:i w:val="0"/>
                <w:sz w:val="18"/>
              </w:rPr>
              <w:t>年度总体目标</w:t>
            </w:r>
          </w:p>
        </w:tc>
        <w:tc>
          <w:tcPr>
            <w:tcW w:w="1998" w:type="pct"/>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51FD49">
            <w:pPr>
              <w:spacing w:before="0" w:after="0" w:line="240" w:lineRule="auto"/>
              <w:jc w:val="center"/>
            </w:pPr>
            <w:r>
              <w:rPr>
                <w:rFonts w:ascii="宋体" w:hAnsi="宋体" w:eastAsia="宋体"/>
                <w:b/>
                <w:i w:val="0"/>
                <w:sz w:val="18"/>
              </w:rPr>
              <w:t>预期目标</w:t>
            </w:r>
          </w:p>
        </w:tc>
        <w:tc>
          <w:tcPr>
            <w:tcW w:w="2790"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946CF2">
            <w:pPr>
              <w:spacing w:before="0" w:after="0" w:line="240" w:lineRule="auto"/>
              <w:jc w:val="center"/>
            </w:pPr>
            <w:r>
              <w:rPr>
                <w:rFonts w:ascii="宋体" w:hAnsi="宋体" w:eastAsia="宋体"/>
                <w:b/>
                <w:i w:val="0"/>
                <w:sz w:val="18"/>
              </w:rPr>
              <w:t>实际完成情况</w:t>
            </w:r>
          </w:p>
        </w:tc>
      </w:tr>
      <w:tr w14:paraId="66A81B92">
        <w:tblPrEx>
          <w:tblCellMar>
            <w:top w:w="36" w:type="dxa"/>
            <w:left w:w="36" w:type="dxa"/>
            <w:bottom w:w="36" w:type="dxa"/>
            <w:right w:w="36" w:type="dxa"/>
          </w:tblCellMar>
        </w:tblPrEx>
        <w:trPr>
          <w:trHeight w:val="700" w:hRule="atLeast"/>
        </w:trPr>
        <w:tc>
          <w:tcPr>
            <w:tcW w:w="211" w:type="pct"/>
            <w:vMerge w:val="continue"/>
            <w:tcBorders>
              <w:top w:val="single" w:color="auto" w:sz="10" w:space="0"/>
              <w:left w:val="single" w:color="auto" w:sz="10" w:space="0"/>
              <w:bottom w:val="single" w:color="auto" w:sz="10" w:space="0"/>
              <w:right w:val="single" w:color="auto" w:sz="10" w:space="0"/>
              <w:insideV w:val="single" w:sz="10" w:space="0"/>
            </w:tcBorders>
          </w:tcPr>
          <w:p w14:paraId="6F61E778"/>
        </w:tc>
        <w:tc>
          <w:tcPr>
            <w:tcW w:w="1998" w:type="pct"/>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DDC672">
            <w:pPr>
              <w:spacing w:before="0" w:after="0" w:line="240" w:lineRule="auto"/>
              <w:jc w:val="center"/>
            </w:pPr>
            <w:r>
              <w:rPr>
                <w:rFonts w:ascii="宋体" w:hAnsi="宋体" w:eastAsia="宋体"/>
                <w:b w:val="0"/>
                <w:i w:val="0"/>
                <w:sz w:val="18"/>
              </w:rPr>
              <w:t>1.对全疆范围内72眼地下水监测井开展地下水采样、分析评价工作，其中3眼地下水水源地取水口全年10次采样监测，69眼国家地下水监测工程井年测次1次，监测结果依据《地下水质量标准》（GB/T 14848）分析评价，于年底完成资料成果的汇总并上报。
2.中心实验室位于燕儿窝，交通不便，需解决干部职工中午就餐问题。
3.新疆维吾尔自治区水环境监测中心改建工程已纳入《全国水文基础设施建设</w:t>
            </w:r>
            <w:r>
              <w:rPr>
                <w:rFonts w:hint="eastAsia" w:ascii="宋体" w:hAnsi="宋体"/>
                <w:b w:val="0"/>
                <w:i w:val="0"/>
                <w:sz w:val="18"/>
                <w:lang w:eastAsia="zh-CN"/>
              </w:rPr>
              <w:t>“十四五”规划</w:t>
            </w:r>
            <w:r>
              <w:rPr>
                <w:rFonts w:ascii="宋体" w:hAnsi="宋体" w:eastAsia="宋体"/>
                <w:b w:val="0"/>
                <w:i w:val="0"/>
                <w:sz w:val="18"/>
              </w:rPr>
              <w:t>》（以下简称《水文</w:t>
            </w:r>
            <w:r>
              <w:rPr>
                <w:rFonts w:hint="eastAsia" w:ascii="宋体" w:hAnsi="宋体"/>
                <w:b w:val="0"/>
                <w:i w:val="0"/>
                <w:sz w:val="18"/>
                <w:lang w:eastAsia="zh-CN"/>
              </w:rPr>
              <w:t>“十四五”规划</w:t>
            </w:r>
            <w:r>
              <w:rPr>
                <w:rFonts w:ascii="宋体" w:hAnsi="宋体" w:eastAsia="宋体"/>
                <w:b w:val="0"/>
                <w:i w:val="0"/>
                <w:sz w:val="18"/>
              </w:rPr>
              <w:t>》）和《水文现代化建设规划》中，解决地方配套资金。</w:t>
            </w:r>
          </w:p>
        </w:tc>
        <w:tc>
          <w:tcPr>
            <w:tcW w:w="2790"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EDC3FF">
            <w:pPr>
              <w:spacing w:before="0" w:after="0" w:line="240" w:lineRule="auto"/>
              <w:jc w:val="center"/>
            </w:pPr>
            <w:r>
              <w:rPr>
                <w:rFonts w:ascii="宋体" w:hAnsi="宋体" w:eastAsia="宋体"/>
                <w:b w:val="0"/>
                <w:i w:val="0"/>
                <w:sz w:val="18"/>
              </w:rPr>
              <w:t>通过全疆范围内72眼地下水监测井地下水采样，将监测结果依据《地下水质量标准》（GB/T 14848）分析评价，完成了资料成果的汇总审核并上报工作。 2.中心实验室位于燕儿窝交通不便，解决职工中午就餐问题，让职工有了归属感，幸福感。 3.新疆维吾尔自治区水环境监测中心改建工程已纳入《全国水文基础设施建设</w:t>
            </w:r>
            <w:r>
              <w:rPr>
                <w:rFonts w:hint="eastAsia" w:ascii="宋体" w:hAnsi="宋体"/>
                <w:b w:val="0"/>
                <w:i w:val="0"/>
                <w:sz w:val="18"/>
                <w:lang w:eastAsia="zh-CN"/>
              </w:rPr>
              <w:t>“十四五”规划</w:t>
            </w:r>
            <w:r>
              <w:rPr>
                <w:rFonts w:ascii="宋体" w:hAnsi="宋体" w:eastAsia="宋体"/>
                <w:b w:val="0"/>
                <w:i w:val="0"/>
                <w:sz w:val="18"/>
              </w:rPr>
              <w:t>》（以下简称《水文</w:t>
            </w:r>
            <w:r>
              <w:rPr>
                <w:rFonts w:hint="eastAsia" w:ascii="宋体" w:hAnsi="宋体"/>
                <w:b w:val="0"/>
                <w:i w:val="0"/>
                <w:sz w:val="18"/>
                <w:lang w:eastAsia="zh-CN"/>
              </w:rPr>
              <w:t>“十四五”规划</w:t>
            </w:r>
            <w:r>
              <w:rPr>
                <w:rFonts w:ascii="宋体" w:hAnsi="宋体" w:eastAsia="宋体"/>
                <w:b w:val="0"/>
                <w:i w:val="0"/>
                <w:sz w:val="18"/>
              </w:rPr>
              <w:t>》）和《水文现代化建设规划》中，改造项目的可研报告和初步设计已得到自治区发改委批复，正在协调项目经费，工程有序推进。</w:t>
            </w:r>
          </w:p>
        </w:tc>
      </w:tr>
      <w:tr w14:paraId="7492C801">
        <w:tblPrEx>
          <w:tblCellMar>
            <w:top w:w="36" w:type="dxa"/>
            <w:left w:w="36" w:type="dxa"/>
            <w:bottom w:w="36" w:type="dxa"/>
            <w:right w:w="36" w:type="dxa"/>
          </w:tblCellMar>
        </w:tblPrEx>
        <w:trPr>
          <w:trHeight w:val="312" w:hRule="atLeast"/>
        </w:trPr>
        <w:tc>
          <w:tcPr>
            <w:tcW w:w="211"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0D7AD">
            <w:pPr>
              <w:spacing w:before="0" w:after="0" w:line="240" w:lineRule="auto"/>
              <w:jc w:val="center"/>
            </w:pPr>
          </w:p>
        </w:tc>
        <w:tc>
          <w:tcPr>
            <w:tcW w:w="296"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E3EFC">
            <w:pPr>
              <w:spacing w:before="0" w:after="0" w:line="240" w:lineRule="auto"/>
              <w:jc w:val="center"/>
            </w:pPr>
            <w:r>
              <w:rPr>
                <w:rFonts w:ascii="宋体" w:hAnsi="宋体" w:eastAsia="宋体"/>
                <w:b/>
                <w:i w:val="0"/>
                <w:sz w:val="18"/>
              </w:rPr>
              <w:t>一级指标</w:t>
            </w:r>
          </w:p>
        </w:tc>
        <w:tc>
          <w:tcPr>
            <w:tcW w:w="296"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519BA">
            <w:pPr>
              <w:spacing w:before="0" w:after="0" w:line="240" w:lineRule="auto"/>
              <w:jc w:val="center"/>
            </w:pPr>
            <w:r>
              <w:rPr>
                <w:rFonts w:ascii="宋体" w:hAnsi="宋体" w:eastAsia="宋体"/>
                <w:b/>
                <w:i w:val="0"/>
                <w:sz w:val="18"/>
              </w:rPr>
              <w:t>二级指标</w:t>
            </w:r>
          </w:p>
        </w:tc>
        <w:tc>
          <w:tcPr>
            <w:tcW w:w="474"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FDF33">
            <w:pPr>
              <w:spacing w:before="0" w:after="0" w:line="240" w:lineRule="auto"/>
              <w:jc w:val="center"/>
            </w:pPr>
            <w:r>
              <w:rPr>
                <w:rFonts w:ascii="宋体" w:hAnsi="宋体" w:eastAsia="宋体"/>
                <w:b/>
                <w:i w:val="0"/>
                <w:sz w:val="18"/>
              </w:rPr>
              <w:t>三级指标</w:t>
            </w:r>
          </w:p>
        </w:tc>
        <w:tc>
          <w:tcPr>
            <w:tcW w:w="33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7368D">
            <w:pPr>
              <w:spacing w:before="0" w:after="0" w:line="240" w:lineRule="auto"/>
              <w:jc w:val="center"/>
            </w:pPr>
            <w:r>
              <w:rPr>
                <w:rFonts w:ascii="宋体" w:hAnsi="宋体" w:eastAsia="宋体"/>
                <w:b/>
                <w:i w:val="0"/>
                <w:sz w:val="18"/>
              </w:rPr>
              <w:t>权重</w:t>
            </w:r>
          </w:p>
        </w:tc>
        <w:tc>
          <w:tcPr>
            <w:tcW w:w="296"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697C2E">
            <w:pPr>
              <w:spacing w:before="0" w:after="0" w:line="240" w:lineRule="auto"/>
              <w:jc w:val="center"/>
            </w:pPr>
            <w:r>
              <w:rPr>
                <w:rFonts w:ascii="宋体" w:hAnsi="宋体" w:eastAsia="宋体"/>
                <w:b/>
                <w:i w:val="0"/>
                <w:sz w:val="18"/>
              </w:rPr>
              <w:t>目标值</w:t>
            </w:r>
          </w:p>
        </w:tc>
        <w:tc>
          <w:tcPr>
            <w:tcW w:w="29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29AFE">
            <w:pPr>
              <w:spacing w:before="0" w:after="0" w:line="240" w:lineRule="auto"/>
              <w:jc w:val="center"/>
            </w:pPr>
            <w:r>
              <w:rPr>
                <w:rFonts w:ascii="宋体" w:hAnsi="宋体" w:eastAsia="宋体"/>
                <w:b/>
                <w:i w:val="0"/>
                <w:sz w:val="18"/>
              </w:rPr>
              <w:t>业绩值</w:t>
            </w:r>
          </w:p>
        </w:tc>
        <w:tc>
          <w:tcPr>
            <w:tcW w:w="296"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20E51">
            <w:pPr>
              <w:spacing w:before="0" w:after="0" w:line="240" w:lineRule="auto"/>
              <w:jc w:val="center"/>
            </w:pPr>
            <w:r>
              <w:rPr>
                <w:rFonts w:ascii="宋体" w:hAnsi="宋体" w:eastAsia="宋体"/>
                <w:b/>
                <w:i w:val="0"/>
                <w:sz w:val="18"/>
              </w:rPr>
              <w:t>完成率</w:t>
            </w:r>
          </w:p>
        </w:tc>
        <w:tc>
          <w:tcPr>
            <w:tcW w:w="296"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AF2DE">
            <w:pPr>
              <w:spacing w:before="0" w:after="0" w:line="240" w:lineRule="auto"/>
              <w:jc w:val="center"/>
            </w:pPr>
            <w:r>
              <w:rPr>
                <w:rFonts w:ascii="宋体" w:hAnsi="宋体" w:eastAsia="宋体"/>
                <w:b/>
                <w:i w:val="0"/>
                <w:sz w:val="18"/>
              </w:rPr>
              <w:t>指标得分</w:t>
            </w:r>
          </w:p>
        </w:tc>
        <w:tc>
          <w:tcPr>
            <w:tcW w:w="296"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2D717">
            <w:pPr>
              <w:spacing w:before="0" w:after="0" w:line="240" w:lineRule="auto"/>
              <w:jc w:val="center"/>
            </w:pPr>
            <w:r>
              <w:rPr>
                <w:rFonts w:ascii="宋体" w:hAnsi="宋体" w:eastAsia="宋体"/>
                <w:b/>
                <w:i w:val="0"/>
                <w:sz w:val="18"/>
              </w:rPr>
              <w:t>指标值设定依据</w:t>
            </w:r>
          </w:p>
        </w:tc>
        <w:tc>
          <w:tcPr>
            <w:tcW w:w="296"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C0C1C">
            <w:pPr>
              <w:spacing w:before="0" w:after="0" w:line="240" w:lineRule="auto"/>
              <w:jc w:val="center"/>
            </w:pPr>
            <w:r>
              <w:rPr>
                <w:rFonts w:ascii="宋体" w:hAnsi="宋体" w:eastAsia="宋体"/>
                <w:b/>
                <w:i w:val="0"/>
                <w:sz w:val="18"/>
              </w:rPr>
              <w:t>上年完成情况</w:t>
            </w:r>
          </w:p>
        </w:tc>
        <w:tc>
          <w:tcPr>
            <w:tcW w:w="405"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6E8C6">
            <w:pPr>
              <w:spacing w:before="0" w:after="0" w:line="240" w:lineRule="auto"/>
              <w:jc w:val="center"/>
            </w:pPr>
            <w:r>
              <w:rPr>
                <w:rFonts w:ascii="宋体" w:hAnsi="宋体" w:eastAsia="宋体"/>
                <w:b/>
                <w:i w:val="0"/>
                <w:sz w:val="18"/>
              </w:rPr>
              <w:t>赋分规则</w:t>
            </w:r>
          </w:p>
        </w:tc>
        <w:tc>
          <w:tcPr>
            <w:tcW w:w="360"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CFCEC">
            <w:pPr>
              <w:spacing w:before="0" w:after="0" w:line="240" w:lineRule="auto"/>
              <w:jc w:val="center"/>
            </w:pPr>
            <w:r>
              <w:rPr>
                <w:rFonts w:ascii="宋体" w:hAnsi="宋体" w:eastAsia="宋体"/>
                <w:b/>
                <w:i w:val="0"/>
                <w:sz w:val="18"/>
              </w:rPr>
              <w:t>佐证资料</w:t>
            </w:r>
          </w:p>
        </w:tc>
        <w:tc>
          <w:tcPr>
            <w:tcW w:w="838"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B1507">
            <w:pPr>
              <w:spacing w:before="0" w:after="0" w:line="240" w:lineRule="auto"/>
              <w:jc w:val="center"/>
            </w:pPr>
            <w:r>
              <w:rPr>
                <w:rFonts w:ascii="宋体" w:hAnsi="宋体" w:eastAsia="宋体"/>
                <w:b/>
                <w:i w:val="0"/>
                <w:sz w:val="18"/>
              </w:rPr>
              <w:t>偏差原因分析及改进措施</w:t>
            </w:r>
          </w:p>
        </w:tc>
      </w:tr>
      <w:tr w14:paraId="302B3851">
        <w:tblPrEx>
          <w:tblCellMar>
            <w:top w:w="36" w:type="dxa"/>
            <w:left w:w="36" w:type="dxa"/>
            <w:bottom w:w="36" w:type="dxa"/>
            <w:right w:w="36" w:type="dxa"/>
          </w:tblCellMar>
        </w:tblPrEx>
        <w:trPr>
          <w:trHeight w:val="312" w:hRule="atLeast"/>
        </w:trPr>
        <w:tc>
          <w:tcPr>
            <w:tcW w:w="211" w:type="pct"/>
            <w:vMerge w:val="continue"/>
            <w:tcBorders>
              <w:top w:val="single" w:color="auto" w:sz="10" w:space="0"/>
              <w:left w:val="single" w:color="auto" w:sz="10" w:space="0"/>
              <w:bottom w:val="single" w:color="auto" w:sz="10" w:space="0"/>
              <w:right w:val="single" w:color="auto" w:sz="10" w:space="0"/>
              <w:insideV w:val="single" w:sz="10" w:space="0"/>
            </w:tcBorders>
          </w:tcPr>
          <w:p w14:paraId="5664D953"/>
        </w:tc>
        <w:tc>
          <w:tcPr>
            <w:tcW w:w="296" w:type="pct"/>
            <w:vMerge w:val="continue"/>
            <w:tcBorders>
              <w:top w:val="single" w:color="auto" w:sz="10" w:space="0"/>
              <w:left w:val="single" w:color="auto" w:sz="10" w:space="0"/>
              <w:bottom w:val="single" w:color="auto" w:sz="10" w:space="0"/>
              <w:right w:val="single" w:color="auto" w:sz="10" w:space="0"/>
              <w:insideV w:val="single" w:sz="10" w:space="0"/>
            </w:tcBorders>
          </w:tcPr>
          <w:p w14:paraId="5A388810"/>
        </w:tc>
        <w:tc>
          <w:tcPr>
            <w:tcW w:w="296" w:type="pct"/>
            <w:vMerge w:val="continue"/>
            <w:tcBorders>
              <w:top w:val="single" w:color="auto" w:sz="10" w:space="0"/>
              <w:left w:val="single" w:color="auto" w:sz="10" w:space="0"/>
              <w:bottom w:val="single" w:color="auto" w:sz="10" w:space="0"/>
              <w:right w:val="single" w:color="auto" w:sz="10" w:space="0"/>
              <w:insideV w:val="single" w:sz="10" w:space="0"/>
            </w:tcBorders>
          </w:tcPr>
          <w:p w14:paraId="6BC40209"/>
        </w:tc>
        <w:tc>
          <w:tcPr>
            <w:tcW w:w="474" w:type="pct"/>
            <w:vMerge w:val="continue"/>
            <w:tcBorders>
              <w:top w:val="single" w:color="auto" w:sz="10" w:space="0"/>
              <w:left w:val="single" w:color="auto" w:sz="10" w:space="0"/>
              <w:bottom w:val="single" w:color="auto" w:sz="10" w:space="0"/>
              <w:right w:val="single" w:color="auto" w:sz="10" w:space="0"/>
              <w:insideV w:val="single" w:sz="10" w:space="0"/>
            </w:tcBorders>
          </w:tcPr>
          <w:p w14:paraId="79CB31E3"/>
        </w:tc>
        <w:tc>
          <w:tcPr>
            <w:tcW w:w="337" w:type="pct"/>
            <w:vMerge w:val="continue"/>
            <w:tcBorders>
              <w:top w:val="single" w:color="auto" w:sz="10" w:space="0"/>
              <w:left w:val="single" w:color="auto" w:sz="10" w:space="0"/>
              <w:bottom w:val="single" w:color="auto" w:sz="10" w:space="0"/>
              <w:right w:val="single" w:color="auto" w:sz="10" w:space="0"/>
              <w:insideV w:val="single" w:sz="10" w:space="0"/>
            </w:tcBorders>
          </w:tcPr>
          <w:p w14:paraId="2DB7FDA0"/>
        </w:tc>
        <w:tc>
          <w:tcPr>
            <w:tcW w:w="296" w:type="pct"/>
            <w:vMerge w:val="continue"/>
            <w:tcBorders>
              <w:top w:val="single" w:color="auto" w:sz="10" w:space="0"/>
              <w:left w:val="single" w:color="auto" w:sz="10" w:space="0"/>
              <w:bottom w:val="single" w:color="auto" w:sz="10" w:space="0"/>
              <w:right w:val="single" w:color="auto" w:sz="10" w:space="0"/>
              <w:insideV w:val="single" w:sz="10" w:space="0"/>
            </w:tcBorders>
          </w:tcPr>
          <w:p w14:paraId="3863BC7D"/>
        </w:tc>
        <w:tc>
          <w:tcPr>
            <w:tcW w:w="297" w:type="pct"/>
            <w:vMerge w:val="continue"/>
            <w:tcBorders>
              <w:top w:val="single" w:color="auto" w:sz="10" w:space="0"/>
              <w:left w:val="single" w:color="auto" w:sz="10" w:space="0"/>
              <w:bottom w:val="single" w:color="auto" w:sz="10" w:space="0"/>
              <w:right w:val="single" w:color="auto" w:sz="10" w:space="0"/>
              <w:insideV w:val="single" w:sz="10" w:space="0"/>
            </w:tcBorders>
          </w:tcPr>
          <w:p w14:paraId="70E2C95C"/>
        </w:tc>
        <w:tc>
          <w:tcPr>
            <w:tcW w:w="296" w:type="pct"/>
            <w:vMerge w:val="continue"/>
            <w:tcBorders>
              <w:top w:val="single" w:color="auto" w:sz="10" w:space="0"/>
              <w:left w:val="single" w:color="auto" w:sz="10" w:space="0"/>
              <w:bottom w:val="single" w:color="auto" w:sz="10" w:space="0"/>
              <w:right w:val="single" w:color="auto" w:sz="10" w:space="0"/>
              <w:insideV w:val="single" w:sz="10" w:space="0"/>
            </w:tcBorders>
          </w:tcPr>
          <w:p w14:paraId="6A99D0E4"/>
        </w:tc>
        <w:tc>
          <w:tcPr>
            <w:tcW w:w="296" w:type="pct"/>
            <w:vMerge w:val="continue"/>
            <w:tcBorders>
              <w:top w:val="single" w:color="auto" w:sz="10" w:space="0"/>
              <w:left w:val="single" w:color="auto" w:sz="10" w:space="0"/>
              <w:bottom w:val="single" w:color="auto" w:sz="10" w:space="0"/>
              <w:right w:val="single" w:color="auto" w:sz="10" w:space="0"/>
              <w:insideV w:val="single" w:sz="10" w:space="0"/>
            </w:tcBorders>
          </w:tcPr>
          <w:p w14:paraId="20D42BF0"/>
        </w:tc>
        <w:tc>
          <w:tcPr>
            <w:tcW w:w="296" w:type="pct"/>
            <w:vMerge w:val="continue"/>
            <w:tcBorders>
              <w:top w:val="single" w:color="auto" w:sz="10" w:space="0"/>
              <w:left w:val="single" w:color="auto" w:sz="10" w:space="0"/>
              <w:bottom w:val="single" w:color="auto" w:sz="10" w:space="0"/>
              <w:right w:val="single" w:color="auto" w:sz="10" w:space="0"/>
              <w:insideV w:val="single" w:sz="10" w:space="0"/>
            </w:tcBorders>
          </w:tcPr>
          <w:p w14:paraId="2FC4BA99"/>
        </w:tc>
        <w:tc>
          <w:tcPr>
            <w:tcW w:w="296" w:type="pct"/>
            <w:vMerge w:val="continue"/>
            <w:tcBorders>
              <w:top w:val="single" w:color="auto" w:sz="10" w:space="0"/>
              <w:left w:val="single" w:color="auto" w:sz="10" w:space="0"/>
              <w:bottom w:val="single" w:color="auto" w:sz="10" w:space="0"/>
              <w:right w:val="single" w:color="auto" w:sz="10" w:space="0"/>
              <w:insideV w:val="single" w:sz="10" w:space="0"/>
            </w:tcBorders>
          </w:tcPr>
          <w:p w14:paraId="3FB079FF"/>
        </w:tc>
        <w:tc>
          <w:tcPr>
            <w:tcW w:w="405" w:type="pct"/>
            <w:vMerge w:val="continue"/>
            <w:tcBorders>
              <w:top w:val="single" w:color="auto" w:sz="10" w:space="0"/>
              <w:left w:val="single" w:color="auto" w:sz="10" w:space="0"/>
              <w:bottom w:val="single" w:color="auto" w:sz="10" w:space="0"/>
              <w:right w:val="single" w:color="auto" w:sz="10" w:space="0"/>
              <w:insideV w:val="single" w:sz="10" w:space="0"/>
            </w:tcBorders>
          </w:tcPr>
          <w:p w14:paraId="15D8E7DE"/>
        </w:tc>
        <w:tc>
          <w:tcPr>
            <w:tcW w:w="360" w:type="pct"/>
            <w:vMerge w:val="continue"/>
            <w:tcBorders>
              <w:top w:val="single" w:color="auto" w:sz="10" w:space="0"/>
              <w:left w:val="single" w:color="auto" w:sz="10" w:space="0"/>
              <w:bottom w:val="single" w:color="auto" w:sz="10" w:space="0"/>
              <w:right w:val="single" w:color="auto" w:sz="10" w:space="0"/>
              <w:insideV w:val="single" w:sz="10" w:space="0"/>
            </w:tcBorders>
          </w:tcPr>
          <w:p w14:paraId="2BF9EDC4"/>
        </w:tc>
        <w:tc>
          <w:tcPr>
            <w:tcW w:w="838" w:type="pct"/>
            <w:vMerge w:val="continue"/>
            <w:tcBorders>
              <w:top w:val="single" w:color="auto" w:sz="10" w:space="0"/>
              <w:left w:val="single" w:color="auto" w:sz="10" w:space="0"/>
              <w:bottom w:val="single" w:color="auto" w:sz="10" w:space="0"/>
              <w:right w:val="single" w:color="auto" w:sz="10" w:space="0"/>
              <w:insideV w:val="single" w:sz="10" w:space="0"/>
            </w:tcBorders>
          </w:tcPr>
          <w:p w14:paraId="30A232AB"/>
        </w:tc>
      </w:tr>
      <w:tr w14:paraId="2FF74AB9">
        <w:trPr>
          <w:trHeight w:val="380" w:hRule="atLeast"/>
        </w:trPr>
        <w:tc>
          <w:tcPr>
            <w:tcW w:w="211"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F71FC">
            <w:pPr>
              <w:spacing w:before="0" w:after="0" w:line="240" w:lineRule="auto"/>
              <w:jc w:val="center"/>
            </w:pPr>
            <w:r>
              <w:rPr>
                <w:rFonts w:ascii="宋体" w:hAnsi="宋体" w:eastAsia="宋体"/>
                <w:b/>
                <w:i w:val="0"/>
                <w:sz w:val="18"/>
              </w:rPr>
              <w:t>年度绩效指标完成情况</w:t>
            </w:r>
          </w:p>
        </w:tc>
        <w:tc>
          <w:tcPr>
            <w:tcW w:w="296"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78E914">
            <w:pPr>
              <w:spacing w:before="0" w:after="0" w:line="240" w:lineRule="auto"/>
              <w:jc w:val="center"/>
            </w:pPr>
            <w:r>
              <w:rPr>
                <w:rFonts w:ascii="宋体" w:hAnsi="宋体" w:eastAsia="宋体"/>
                <w:b w:val="0"/>
                <w:i w:val="0"/>
                <w:sz w:val="18"/>
              </w:rPr>
              <w:t>产出指标</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017F2A09">
            <w:pPr>
              <w:spacing w:before="0" w:after="0" w:line="240" w:lineRule="auto"/>
              <w:jc w:val="center"/>
            </w:pPr>
            <w:r>
              <w:rPr>
                <w:rFonts w:ascii="宋体" w:hAnsi="宋体" w:eastAsia="宋体"/>
                <w:b w:val="0"/>
                <w:i w:val="0"/>
                <w:sz w:val="18"/>
              </w:rPr>
              <w:t>数量指标</w:t>
            </w:r>
          </w:p>
        </w:tc>
        <w:tc>
          <w:tcPr>
            <w:tcW w:w="474" w:type="pct"/>
            <w:tcBorders>
              <w:top w:val="single" w:color="auto" w:sz="10" w:space="0"/>
              <w:left w:val="single" w:color="auto" w:sz="10" w:space="0"/>
              <w:bottom w:val="single" w:color="auto" w:sz="10" w:space="0"/>
              <w:right w:val="single" w:color="auto" w:sz="10" w:space="0"/>
              <w:insideV w:val="single" w:sz="10" w:space="0"/>
            </w:tcBorders>
            <w:vAlign w:val="center"/>
          </w:tcPr>
          <w:p w14:paraId="6B890091">
            <w:pPr>
              <w:spacing w:before="0" w:after="0" w:line="240" w:lineRule="auto"/>
              <w:jc w:val="center"/>
            </w:pPr>
            <w:r>
              <w:rPr>
                <w:rFonts w:ascii="宋体" w:hAnsi="宋体" w:eastAsia="宋体"/>
                <w:b w:val="0"/>
                <w:i w:val="0"/>
                <w:color w:val="000000"/>
                <w:sz w:val="18"/>
              </w:rPr>
              <w:t>地下水水质监测井数量</w:t>
            </w:r>
          </w:p>
        </w:tc>
        <w:tc>
          <w:tcPr>
            <w:tcW w:w="337" w:type="pct"/>
            <w:tcBorders>
              <w:top w:val="single" w:color="auto" w:sz="10" w:space="0"/>
              <w:left w:val="single" w:color="auto" w:sz="10" w:space="0"/>
              <w:bottom w:val="single" w:color="auto" w:sz="10" w:space="0"/>
              <w:right w:val="single" w:color="auto" w:sz="10" w:space="0"/>
              <w:insideV w:val="single" w:sz="10" w:space="0"/>
            </w:tcBorders>
            <w:vAlign w:val="center"/>
          </w:tcPr>
          <w:p w14:paraId="05A17C9E">
            <w:pPr>
              <w:spacing w:before="0" w:after="0" w:line="240" w:lineRule="auto"/>
              <w:jc w:val="center"/>
            </w:pPr>
            <w:r>
              <w:rPr>
                <w:rFonts w:ascii="宋体" w:hAnsi="宋体" w:eastAsia="宋体"/>
                <w:b w:val="0"/>
                <w:i w:val="0"/>
                <w:sz w:val="18"/>
              </w:rPr>
              <w:t>10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476E5770">
            <w:pPr>
              <w:spacing w:before="0" w:after="0" w:line="240" w:lineRule="auto"/>
              <w:jc w:val="center"/>
            </w:pPr>
            <w:r>
              <w:rPr>
                <w:rFonts w:ascii="宋体" w:hAnsi="宋体" w:eastAsia="宋体"/>
                <w:b w:val="0"/>
                <w:i w:val="0"/>
                <w:sz w:val="18"/>
              </w:rPr>
              <w:t>=72个</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3ABA8BCC">
            <w:pPr>
              <w:spacing w:before="0" w:after="0" w:line="240" w:lineRule="auto"/>
              <w:jc w:val="center"/>
            </w:pPr>
            <w:r>
              <w:rPr>
                <w:rFonts w:ascii="宋体" w:hAnsi="宋体" w:eastAsia="宋体"/>
                <w:b w:val="0"/>
                <w:i w:val="0"/>
                <w:sz w:val="18"/>
              </w:rPr>
              <w:t>=72个</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3B5C317D">
            <w:pPr>
              <w:spacing w:before="0" w:after="0" w:line="240" w:lineRule="auto"/>
              <w:jc w:val="center"/>
            </w:pPr>
            <w:r>
              <w:rPr>
                <w:rFonts w:ascii="宋体" w:hAnsi="宋体" w:eastAsia="宋体"/>
                <w:b w:val="0"/>
                <w:i w:val="0"/>
                <w:sz w:val="18"/>
              </w:rPr>
              <w:t>100%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29BF9AD6">
            <w:pPr>
              <w:spacing w:before="0" w:after="0" w:line="240" w:lineRule="auto"/>
              <w:jc w:val="center"/>
            </w:pPr>
            <w:r>
              <w:rPr>
                <w:rFonts w:ascii="宋体" w:hAnsi="宋体" w:eastAsia="宋体"/>
                <w:b w:val="0"/>
                <w:i w:val="0"/>
                <w:sz w:val="18"/>
              </w:rPr>
              <w:t>10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1D509B11">
            <w:pPr>
              <w:spacing w:before="0" w:after="0" w:line="240" w:lineRule="auto"/>
              <w:jc w:val="center"/>
            </w:pPr>
            <w:r>
              <w:rPr>
                <w:rFonts w:ascii="宋体" w:hAnsi="宋体" w:eastAsia="宋体"/>
                <w:b w:val="0"/>
                <w:i w:val="0"/>
                <w:sz w:val="18"/>
              </w:rPr>
              <w:t>历史标准</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5B11BE4C">
            <w:pPr>
              <w:spacing w:before="0" w:after="0" w:line="240" w:lineRule="auto"/>
              <w:jc w:val="center"/>
            </w:pPr>
            <w:r>
              <w:rPr>
                <w:rFonts w:ascii="宋体" w:hAnsi="宋体" w:eastAsia="宋体"/>
                <w:b w:val="0"/>
                <w:i w:val="0"/>
                <w:sz w:val="18"/>
              </w:rPr>
              <w:t>-</w:t>
            </w:r>
          </w:p>
        </w:tc>
        <w:tc>
          <w:tcPr>
            <w:tcW w:w="405" w:type="pct"/>
            <w:tcBorders>
              <w:top w:val="single" w:color="auto" w:sz="10" w:space="0"/>
              <w:left w:val="single" w:color="auto" w:sz="10" w:space="0"/>
              <w:bottom w:val="single" w:color="auto" w:sz="10" w:space="0"/>
              <w:right w:val="single" w:color="auto" w:sz="10" w:space="0"/>
              <w:insideV w:val="single" w:sz="10" w:space="0"/>
            </w:tcBorders>
            <w:vAlign w:val="center"/>
          </w:tcPr>
          <w:p w14:paraId="2651CEED">
            <w:pPr>
              <w:spacing w:before="0" w:after="0" w:line="240" w:lineRule="auto"/>
              <w:jc w:val="center"/>
            </w:pPr>
            <w:r>
              <w:rPr>
                <w:rFonts w:ascii="宋体" w:hAnsi="宋体" w:eastAsia="宋体"/>
                <w:b w:val="0"/>
                <w:i w:val="0"/>
                <w:sz w:val="18"/>
              </w:rPr>
              <w:t>按照完成比例赋分</w:t>
            </w:r>
          </w:p>
        </w:tc>
        <w:tc>
          <w:tcPr>
            <w:tcW w:w="360" w:type="pct"/>
            <w:tcBorders>
              <w:top w:val="single" w:color="auto" w:sz="10" w:space="0"/>
              <w:left w:val="single" w:color="auto" w:sz="10" w:space="0"/>
              <w:bottom w:val="single" w:color="auto" w:sz="10" w:space="0"/>
              <w:right w:val="single" w:color="auto" w:sz="10" w:space="0"/>
              <w:insideV w:val="single" w:sz="10" w:space="0"/>
            </w:tcBorders>
            <w:vAlign w:val="center"/>
          </w:tcPr>
          <w:p w14:paraId="1DF2C76E">
            <w:pPr>
              <w:spacing w:before="0" w:after="0" w:line="240" w:lineRule="auto"/>
              <w:jc w:val="center"/>
            </w:pPr>
            <w:r>
              <w:rPr>
                <w:rFonts w:ascii="宋体" w:hAnsi="宋体" w:eastAsia="宋体"/>
                <w:b w:val="0"/>
                <w:i w:val="0"/>
                <w:sz w:val="18"/>
              </w:rPr>
              <w:t>工作资料</w:t>
            </w:r>
          </w:p>
        </w:tc>
        <w:tc>
          <w:tcPr>
            <w:tcW w:w="838" w:type="pct"/>
            <w:tcBorders>
              <w:top w:val="single" w:color="auto" w:sz="10" w:space="0"/>
              <w:left w:val="single" w:color="auto" w:sz="10" w:space="0"/>
              <w:bottom w:val="single" w:color="auto" w:sz="10" w:space="0"/>
              <w:right w:val="single" w:color="auto" w:sz="10" w:space="0"/>
              <w:insideV w:val="single" w:sz="10" w:space="0"/>
            </w:tcBorders>
            <w:vAlign w:val="center"/>
          </w:tcPr>
          <w:p w14:paraId="6593F573">
            <w:pPr>
              <w:spacing w:before="0" w:after="0" w:line="240" w:lineRule="auto"/>
              <w:jc w:val="center"/>
            </w:pPr>
          </w:p>
        </w:tc>
      </w:tr>
      <w:tr w14:paraId="413B2E24">
        <w:tblPrEx>
          <w:tblCellMar>
            <w:top w:w="36" w:type="dxa"/>
            <w:left w:w="36" w:type="dxa"/>
            <w:bottom w:w="36" w:type="dxa"/>
            <w:right w:w="36" w:type="dxa"/>
          </w:tblCellMar>
        </w:tblPrEx>
        <w:trPr>
          <w:trHeight w:val="380" w:hRule="atLeast"/>
        </w:trPr>
        <w:tc>
          <w:tcPr>
            <w:tcW w:w="211" w:type="pct"/>
            <w:vMerge w:val="continue"/>
            <w:tcBorders>
              <w:top w:val="single" w:color="auto" w:sz="10" w:space="0"/>
              <w:left w:val="single" w:color="auto" w:sz="10" w:space="0"/>
              <w:bottom w:val="single" w:color="auto" w:sz="10" w:space="0"/>
              <w:right w:val="single" w:color="auto" w:sz="10" w:space="0"/>
              <w:insideV w:val="single" w:sz="10" w:space="0"/>
            </w:tcBorders>
          </w:tcPr>
          <w:p w14:paraId="588CF1DA"/>
        </w:tc>
        <w:tc>
          <w:tcPr>
            <w:tcW w:w="296" w:type="pct"/>
            <w:vMerge w:val="continue"/>
            <w:tcBorders>
              <w:top w:val="single" w:color="auto" w:sz="10" w:space="0"/>
              <w:left w:val="single" w:color="auto" w:sz="10" w:space="0"/>
              <w:bottom w:val="single" w:color="auto" w:sz="10" w:space="0"/>
              <w:right w:val="single" w:color="auto" w:sz="10" w:space="0"/>
              <w:insideV w:val="single" w:sz="10" w:space="0"/>
            </w:tcBorders>
          </w:tcPr>
          <w:p w14:paraId="4D70DA3E"/>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3A96D755">
            <w:pPr>
              <w:spacing w:before="0" w:after="0" w:line="240" w:lineRule="auto"/>
              <w:jc w:val="center"/>
            </w:pPr>
            <w:r>
              <w:rPr>
                <w:rFonts w:ascii="宋体" w:hAnsi="宋体" w:eastAsia="宋体"/>
                <w:b w:val="0"/>
                <w:i w:val="0"/>
                <w:sz w:val="18"/>
              </w:rPr>
              <w:t>数量指标</w:t>
            </w:r>
          </w:p>
        </w:tc>
        <w:tc>
          <w:tcPr>
            <w:tcW w:w="474" w:type="pct"/>
            <w:tcBorders>
              <w:top w:val="single" w:color="auto" w:sz="10" w:space="0"/>
              <w:left w:val="single" w:color="auto" w:sz="10" w:space="0"/>
              <w:bottom w:val="single" w:color="auto" w:sz="10" w:space="0"/>
              <w:right w:val="single" w:color="auto" w:sz="10" w:space="0"/>
              <w:insideV w:val="single" w:sz="10" w:space="0"/>
            </w:tcBorders>
            <w:vAlign w:val="center"/>
          </w:tcPr>
          <w:p w14:paraId="1AE396FD">
            <w:pPr>
              <w:spacing w:before="0" w:after="0" w:line="240" w:lineRule="auto"/>
              <w:jc w:val="center"/>
            </w:pPr>
            <w:r>
              <w:rPr>
                <w:rFonts w:ascii="宋体" w:hAnsi="宋体" w:eastAsia="宋体"/>
                <w:b w:val="0"/>
                <w:i w:val="0"/>
                <w:color w:val="000000"/>
                <w:sz w:val="18"/>
              </w:rPr>
              <w:t>改建实验室数量</w:t>
            </w:r>
          </w:p>
        </w:tc>
        <w:tc>
          <w:tcPr>
            <w:tcW w:w="337" w:type="pct"/>
            <w:tcBorders>
              <w:top w:val="single" w:color="auto" w:sz="10" w:space="0"/>
              <w:left w:val="single" w:color="auto" w:sz="10" w:space="0"/>
              <w:bottom w:val="single" w:color="auto" w:sz="10" w:space="0"/>
              <w:right w:val="single" w:color="auto" w:sz="10" w:space="0"/>
              <w:insideV w:val="single" w:sz="10" w:space="0"/>
            </w:tcBorders>
            <w:vAlign w:val="center"/>
          </w:tcPr>
          <w:p w14:paraId="07F845CB">
            <w:pPr>
              <w:spacing w:before="0" w:after="0" w:line="240" w:lineRule="auto"/>
              <w:jc w:val="center"/>
            </w:pPr>
            <w:r>
              <w:rPr>
                <w:rFonts w:ascii="宋体" w:hAnsi="宋体" w:eastAsia="宋体"/>
                <w:b w:val="0"/>
                <w:i w:val="0"/>
                <w:sz w:val="18"/>
              </w:rPr>
              <w:t>5</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1017D972">
            <w:pPr>
              <w:spacing w:before="0" w:after="0" w:line="240" w:lineRule="auto"/>
              <w:jc w:val="center"/>
            </w:pPr>
            <w:r>
              <w:rPr>
                <w:rFonts w:ascii="宋体" w:hAnsi="宋体" w:eastAsia="宋体"/>
                <w:b w:val="0"/>
                <w:i w:val="0"/>
                <w:sz w:val="18"/>
              </w:rPr>
              <w:t>=1个</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179569BC">
            <w:pPr>
              <w:spacing w:before="0" w:after="0" w:line="240" w:lineRule="auto"/>
              <w:jc w:val="center"/>
            </w:pPr>
            <w:r>
              <w:rPr>
                <w:rFonts w:ascii="宋体" w:hAnsi="宋体" w:eastAsia="宋体"/>
                <w:b w:val="0"/>
                <w:i w:val="0"/>
                <w:sz w:val="18"/>
              </w:rPr>
              <w:t>=1个</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0F16475B">
            <w:pPr>
              <w:spacing w:before="0" w:after="0" w:line="240" w:lineRule="auto"/>
              <w:jc w:val="center"/>
            </w:pPr>
            <w:r>
              <w:rPr>
                <w:rFonts w:ascii="宋体" w:hAnsi="宋体" w:eastAsia="宋体"/>
                <w:b w:val="0"/>
                <w:i w:val="0"/>
                <w:sz w:val="18"/>
              </w:rPr>
              <w:t>100%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4219BB24">
            <w:pPr>
              <w:spacing w:before="0" w:after="0" w:line="240" w:lineRule="auto"/>
              <w:jc w:val="center"/>
            </w:pPr>
            <w:r>
              <w:rPr>
                <w:rFonts w:ascii="宋体" w:hAnsi="宋体" w:eastAsia="宋体"/>
                <w:b w:val="0"/>
                <w:i w:val="0"/>
                <w:sz w:val="18"/>
              </w:rPr>
              <w:t>5</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1CC08CD7">
            <w:pPr>
              <w:spacing w:before="0" w:after="0" w:line="240" w:lineRule="auto"/>
              <w:jc w:val="center"/>
            </w:pPr>
            <w:r>
              <w:rPr>
                <w:rFonts w:ascii="宋体" w:hAnsi="宋体" w:eastAsia="宋体"/>
                <w:b w:val="0"/>
                <w:i w:val="0"/>
                <w:sz w:val="18"/>
              </w:rPr>
              <w:t>计划标准</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04548DCC">
            <w:pPr>
              <w:spacing w:before="0" w:after="0" w:line="240" w:lineRule="auto"/>
              <w:jc w:val="center"/>
            </w:pPr>
            <w:r>
              <w:rPr>
                <w:rFonts w:ascii="宋体" w:hAnsi="宋体" w:eastAsia="宋体"/>
                <w:b w:val="0"/>
                <w:i w:val="0"/>
                <w:sz w:val="18"/>
              </w:rPr>
              <w:t>-</w:t>
            </w:r>
          </w:p>
        </w:tc>
        <w:tc>
          <w:tcPr>
            <w:tcW w:w="405" w:type="pct"/>
            <w:tcBorders>
              <w:top w:val="single" w:color="auto" w:sz="10" w:space="0"/>
              <w:left w:val="single" w:color="auto" w:sz="10" w:space="0"/>
              <w:bottom w:val="single" w:color="auto" w:sz="10" w:space="0"/>
              <w:right w:val="single" w:color="auto" w:sz="10" w:space="0"/>
              <w:insideV w:val="single" w:sz="10" w:space="0"/>
            </w:tcBorders>
            <w:vAlign w:val="center"/>
          </w:tcPr>
          <w:p w14:paraId="5D19C2A4">
            <w:pPr>
              <w:spacing w:before="0" w:after="0" w:line="240" w:lineRule="auto"/>
              <w:jc w:val="center"/>
            </w:pPr>
            <w:r>
              <w:rPr>
                <w:rFonts w:ascii="宋体" w:hAnsi="宋体" w:eastAsia="宋体"/>
                <w:b w:val="0"/>
                <w:i w:val="0"/>
                <w:sz w:val="18"/>
              </w:rPr>
              <w:t>按照完成比例赋分</w:t>
            </w:r>
          </w:p>
        </w:tc>
        <w:tc>
          <w:tcPr>
            <w:tcW w:w="360" w:type="pct"/>
            <w:tcBorders>
              <w:top w:val="single" w:color="auto" w:sz="10" w:space="0"/>
              <w:left w:val="single" w:color="auto" w:sz="10" w:space="0"/>
              <w:bottom w:val="single" w:color="auto" w:sz="10" w:space="0"/>
              <w:right w:val="single" w:color="auto" w:sz="10" w:space="0"/>
              <w:insideV w:val="single" w:sz="10" w:space="0"/>
            </w:tcBorders>
            <w:vAlign w:val="center"/>
          </w:tcPr>
          <w:p w14:paraId="4976302F">
            <w:pPr>
              <w:spacing w:before="0" w:after="0" w:line="240" w:lineRule="auto"/>
              <w:jc w:val="center"/>
            </w:pPr>
            <w:r>
              <w:rPr>
                <w:rFonts w:ascii="宋体" w:hAnsi="宋体" w:eastAsia="宋体"/>
                <w:b w:val="0"/>
                <w:i w:val="0"/>
                <w:sz w:val="18"/>
              </w:rPr>
              <w:t>工作资料</w:t>
            </w:r>
          </w:p>
        </w:tc>
        <w:tc>
          <w:tcPr>
            <w:tcW w:w="838" w:type="pct"/>
            <w:tcBorders>
              <w:top w:val="single" w:color="auto" w:sz="10" w:space="0"/>
              <w:left w:val="single" w:color="auto" w:sz="10" w:space="0"/>
              <w:bottom w:val="single" w:color="auto" w:sz="10" w:space="0"/>
              <w:right w:val="single" w:color="auto" w:sz="10" w:space="0"/>
              <w:insideV w:val="single" w:sz="10" w:space="0"/>
            </w:tcBorders>
            <w:vAlign w:val="center"/>
          </w:tcPr>
          <w:p w14:paraId="1F247666">
            <w:pPr>
              <w:spacing w:before="0" w:after="0" w:line="240" w:lineRule="auto"/>
              <w:jc w:val="center"/>
            </w:pPr>
          </w:p>
        </w:tc>
      </w:tr>
      <w:tr w14:paraId="4F3C8D47">
        <w:tblPrEx>
          <w:tblCellMar>
            <w:top w:w="36" w:type="dxa"/>
            <w:left w:w="36" w:type="dxa"/>
            <w:bottom w:w="36" w:type="dxa"/>
            <w:right w:w="36" w:type="dxa"/>
          </w:tblCellMar>
        </w:tblPrEx>
        <w:trPr>
          <w:trHeight w:val="380" w:hRule="atLeast"/>
        </w:trPr>
        <w:tc>
          <w:tcPr>
            <w:tcW w:w="211" w:type="pct"/>
            <w:vMerge w:val="continue"/>
            <w:tcBorders>
              <w:top w:val="single" w:color="auto" w:sz="10" w:space="0"/>
              <w:left w:val="single" w:color="auto" w:sz="10" w:space="0"/>
              <w:bottom w:val="single" w:color="auto" w:sz="10" w:space="0"/>
              <w:right w:val="single" w:color="auto" w:sz="10" w:space="0"/>
              <w:insideV w:val="single" w:sz="10" w:space="0"/>
            </w:tcBorders>
          </w:tcPr>
          <w:p w14:paraId="6E444BED"/>
        </w:tc>
        <w:tc>
          <w:tcPr>
            <w:tcW w:w="296" w:type="pct"/>
            <w:vMerge w:val="continue"/>
            <w:tcBorders>
              <w:top w:val="single" w:color="auto" w:sz="10" w:space="0"/>
              <w:left w:val="single" w:color="auto" w:sz="10" w:space="0"/>
              <w:bottom w:val="single" w:color="auto" w:sz="10" w:space="0"/>
              <w:right w:val="single" w:color="auto" w:sz="10" w:space="0"/>
              <w:insideV w:val="single" w:sz="10" w:space="0"/>
            </w:tcBorders>
          </w:tcPr>
          <w:p w14:paraId="11872E5D"/>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69FD3DE0">
            <w:pPr>
              <w:spacing w:before="0" w:after="0" w:line="240" w:lineRule="auto"/>
              <w:jc w:val="center"/>
            </w:pPr>
            <w:r>
              <w:rPr>
                <w:rFonts w:ascii="宋体" w:hAnsi="宋体" w:eastAsia="宋体"/>
                <w:b w:val="0"/>
                <w:i w:val="0"/>
                <w:sz w:val="18"/>
              </w:rPr>
              <w:t>数量指标</w:t>
            </w:r>
          </w:p>
        </w:tc>
        <w:tc>
          <w:tcPr>
            <w:tcW w:w="474" w:type="pct"/>
            <w:tcBorders>
              <w:top w:val="single" w:color="auto" w:sz="10" w:space="0"/>
              <w:left w:val="single" w:color="auto" w:sz="10" w:space="0"/>
              <w:bottom w:val="single" w:color="auto" w:sz="10" w:space="0"/>
              <w:right w:val="single" w:color="auto" w:sz="10" w:space="0"/>
              <w:insideV w:val="single" w:sz="10" w:space="0"/>
            </w:tcBorders>
            <w:vAlign w:val="center"/>
          </w:tcPr>
          <w:p w14:paraId="123E67B5">
            <w:pPr>
              <w:spacing w:before="0" w:after="0" w:line="240" w:lineRule="auto"/>
              <w:jc w:val="center"/>
            </w:pPr>
            <w:r>
              <w:rPr>
                <w:rFonts w:ascii="宋体" w:hAnsi="宋体" w:eastAsia="宋体"/>
                <w:b w:val="0"/>
                <w:i w:val="0"/>
                <w:color w:val="000000"/>
                <w:sz w:val="18"/>
              </w:rPr>
              <w:t>样品分析测定委托单位数</w:t>
            </w:r>
          </w:p>
        </w:tc>
        <w:tc>
          <w:tcPr>
            <w:tcW w:w="337" w:type="pct"/>
            <w:tcBorders>
              <w:top w:val="single" w:color="auto" w:sz="10" w:space="0"/>
              <w:left w:val="single" w:color="auto" w:sz="10" w:space="0"/>
              <w:bottom w:val="single" w:color="auto" w:sz="10" w:space="0"/>
              <w:right w:val="single" w:color="auto" w:sz="10" w:space="0"/>
              <w:insideV w:val="single" w:sz="10" w:space="0"/>
            </w:tcBorders>
            <w:vAlign w:val="center"/>
          </w:tcPr>
          <w:p w14:paraId="28A1A9D7">
            <w:pPr>
              <w:spacing w:before="0" w:after="0" w:line="240" w:lineRule="auto"/>
              <w:jc w:val="center"/>
            </w:pPr>
            <w:r>
              <w:rPr>
                <w:rFonts w:ascii="宋体" w:hAnsi="宋体" w:eastAsia="宋体"/>
                <w:b w:val="0"/>
                <w:i w:val="0"/>
                <w:sz w:val="18"/>
              </w:rPr>
              <w:t>5</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397B6639">
            <w:pPr>
              <w:spacing w:before="0" w:after="0" w:line="240" w:lineRule="auto"/>
              <w:jc w:val="center"/>
            </w:pPr>
            <w:r>
              <w:rPr>
                <w:rFonts w:ascii="宋体" w:hAnsi="宋体" w:eastAsia="宋体"/>
                <w:b w:val="0"/>
                <w:i w:val="0"/>
                <w:sz w:val="18"/>
              </w:rPr>
              <w:t>=2个</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77ED5583">
            <w:pPr>
              <w:spacing w:before="0" w:after="0" w:line="240" w:lineRule="auto"/>
              <w:jc w:val="center"/>
            </w:pPr>
            <w:r>
              <w:rPr>
                <w:rFonts w:ascii="宋体" w:hAnsi="宋体" w:eastAsia="宋体"/>
                <w:b w:val="0"/>
                <w:i w:val="0"/>
                <w:sz w:val="18"/>
              </w:rPr>
              <w:t>=2个</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7AAFFAED">
            <w:pPr>
              <w:spacing w:before="0" w:after="0" w:line="240" w:lineRule="auto"/>
              <w:jc w:val="center"/>
            </w:pPr>
            <w:r>
              <w:rPr>
                <w:rFonts w:ascii="宋体" w:hAnsi="宋体" w:eastAsia="宋体"/>
                <w:b w:val="0"/>
                <w:i w:val="0"/>
                <w:sz w:val="18"/>
              </w:rPr>
              <w:t>100%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018ED02A">
            <w:pPr>
              <w:spacing w:before="0" w:after="0" w:line="240" w:lineRule="auto"/>
              <w:jc w:val="center"/>
            </w:pPr>
            <w:r>
              <w:rPr>
                <w:rFonts w:ascii="宋体" w:hAnsi="宋体" w:eastAsia="宋体"/>
                <w:b w:val="0"/>
                <w:i w:val="0"/>
                <w:sz w:val="18"/>
              </w:rPr>
              <w:t>5</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362EB01A">
            <w:pPr>
              <w:spacing w:before="0" w:after="0" w:line="240" w:lineRule="auto"/>
              <w:jc w:val="center"/>
            </w:pPr>
            <w:r>
              <w:rPr>
                <w:rFonts w:ascii="宋体" w:hAnsi="宋体" w:eastAsia="宋体"/>
                <w:b w:val="0"/>
                <w:i w:val="0"/>
                <w:sz w:val="18"/>
              </w:rPr>
              <w:t>计划标准</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021379B5">
            <w:pPr>
              <w:spacing w:before="0" w:after="0" w:line="240" w:lineRule="auto"/>
              <w:jc w:val="center"/>
            </w:pPr>
            <w:r>
              <w:rPr>
                <w:rFonts w:ascii="宋体" w:hAnsi="宋体" w:eastAsia="宋体"/>
                <w:b w:val="0"/>
                <w:i w:val="0"/>
                <w:sz w:val="18"/>
              </w:rPr>
              <w:t>-</w:t>
            </w:r>
          </w:p>
        </w:tc>
        <w:tc>
          <w:tcPr>
            <w:tcW w:w="405" w:type="pct"/>
            <w:tcBorders>
              <w:top w:val="single" w:color="auto" w:sz="10" w:space="0"/>
              <w:left w:val="single" w:color="auto" w:sz="10" w:space="0"/>
              <w:bottom w:val="single" w:color="auto" w:sz="10" w:space="0"/>
              <w:right w:val="single" w:color="auto" w:sz="10" w:space="0"/>
              <w:insideV w:val="single" w:sz="10" w:space="0"/>
            </w:tcBorders>
            <w:vAlign w:val="center"/>
          </w:tcPr>
          <w:p w14:paraId="58BB285E">
            <w:pPr>
              <w:spacing w:before="0" w:after="0" w:line="240" w:lineRule="auto"/>
              <w:jc w:val="center"/>
            </w:pPr>
            <w:r>
              <w:rPr>
                <w:rFonts w:ascii="宋体" w:hAnsi="宋体" w:eastAsia="宋体"/>
                <w:b w:val="0"/>
                <w:i w:val="0"/>
                <w:sz w:val="18"/>
              </w:rPr>
              <w:t>按照完成比例赋分</w:t>
            </w:r>
          </w:p>
        </w:tc>
        <w:tc>
          <w:tcPr>
            <w:tcW w:w="360" w:type="pct"/>
            <w:tcBorders>
              <w:top w:val="single" w:color="auto" w:sz="10" w:space="0"/>
              <w:left w:val="single" w:color="auto" w:sz="10" w:space="0"/>
              <w:bottom w:val="single" w:color="auto" w:sz="10" w:space="0"/>
              <w:right w:val="single" w:color="auto" w:sz="10" w:space="0"/>
              <w:insideV w:val="single" w:sz="10" w:space="0"/>
            </w:tcBorders>
            <w:vAlign w:val="center"/>
          </w:tcPr>
          <w:p w14:paraId="011BFA14">
            <w:pPr>
              <w:spacing w:before="0" w:after="0" w:line="240" w:lineRule="auto"/>
              <w:jc w:val="center"/>
            </w:pPr>
            <w:r>
              <w:rPr>
                <w:rFonts w:ascii="宋体" w:hAnsi="宋体" w:eastAsia="宋体"/>
                <w:b w:val="0"/>
                <w:i w:val="0"/>
                <w:sz w:val="18"/>
              </w:rPr>
              <w:t>工作资料</w:t>
            </w:r>
          </w:p>
        </w:tc>
        <w:tc>
          <w:tcPr>
            <w:tcW w:w="838" w:type="pct"/>
            <w:tcBorders>
              <w:top w:val="single" w:color="auto" w:sz="10" w:space="0"/>
              <w:left w:val="single" w:color="auto" w:sz="10" w:space="0"/>
              <w:bottom w:val="single" w:color="auto" w:sz="10" w:space="0"/>
              <w:right w:val="single" w:color="auto" w:sz="10" w:space="0"/>
              <w:insideV w:val="single" w:sz="10" w:space="0"/>
            </w:tcBorders>
            <w:vAlign w:val="center"/>
          </w:tcPr>
          <w:p w14:paraId="167C2BC4">
            <w:pPr>
              <w:spacing w:before="0" w:after="0" w:line="240" w:lineRule="auto"/>
              <w:jc w:val="center"/>
            </w:pPr>
          </w:p>
        </w:tc>
      </w:tr>
      <w:tr w14:paraId="7EB54A4C">
        <w:tblPrEx>
          <w:tblCellMar>
            <w:top w:w="36" w:type="dxa"/>
            <w:left w:w="36" w:type="dxa"/>
            <w:bottom w:w="36" w:type="dxa"/>
            <w:right w:w="36" w:type="dxa"/>
          </w:tblCellMar>
        </w:tblPrEx>
        <w:trPr>
          <w:trHeight w:val="380" w:hRule="atLeast"/>
        </w:trPr>
        <w:tc>
          <w:tcPr>
            <w:tcW w:w="211" w:type="pct"/>
            <w:vMerge w:val="continue"/>
            <w:tcBorders>
              <w:top w:val="single" w:color="auto" w:sz="10" w:space="0"/>
              <w:left w:val="single" w:color="auto" w:sz="10" w:space="0"/>
              <w:bottom w:val="single" w:color="auto" w:sz="10" w:space="0"/>
              <w:right w:val="single" w:color="auto" w:sz="10" w:space="0"/>
              <w:insideV w:val="single" w:sz="10" w:space="0"/>
            </w:tcBorders>
          </w:tcPr>
          <w:p w14:paraId="6B986223"/>
        </w:tc>
        <w:tc>
          <w:tcPr>
            <w:tcW w:w="296" w:type="pct"/>
            <w:vMerge w:val="continue"/>
            <w:tcBorders>
              <w:top w:val="single" w:color="auto" w:sz="10" w:space="0"/>
              <w:left w:val="single" w:color="auto" w:sz="10" w:space="0"/>
              <w:bottom w:val="single" w:color="auto" w:sz="10" w:space="0"/>
              <w:right w:val="single" w:color="auto" w:sz="10" w:space="0"/>
              <w:insideV w:val="single" w:sz="10" w:space="0"/>
            </w:tcBorders>
          </w:tcPr>
          <w:p w14:paraId="771E5A86"/>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1D53C3C5">
            <w:pPr>
              <w:spacing w:before="0" w:after="0" w:line="240" w:lineRule="auto"/>
              <w:jc w:val="center"/>
            </w:pPr>
            <w:r>
              <w:rPr>
                <w:rFonts w:ascii="宋体" w:hAnsi="宋体" w:eastAsia="宋体"/>
                <w:b w:val="0"/>
                <w:i w:val="0"/>
                <w:sz w:val="18"/>
              </w:rPr>
              <w:t>质量指标</w:t>
            </w:r>
          </w:p>
        </w:tc>
        <w:tc>
          <w:tcPr>
            <w:tcW w:w="474" w:type="pct"/>
            <w:tcBorders>
              <w:top w:val="single" w:color="auto" w:sz="10" w:space="0"/>
              <w:left w:val="single" w:color="auto" w:sz="10" w:space="0"/>
              <w:bottom w:val="single" w:color="auto" w:sz="10" w:space="0"/>
              <w:right w:val="single" w:color="auto" w:sz="10" w:space="0"/>
              <w:insideV w:val="single" w:sz="10" w:space="0"/>
            </w:tcBorders>
            <w:vAlign w:val="center"/>
          </w:tcPr>
          <w:p w14:paraId="69EA6491">
            <w:pPr>
              <w:spacing w:before="0" w:after="0" w:line="240" w:lineRule="auto"/>
              <w:jc w:val="center"/>
            </w:pPr>
            <w:r>
              <w:rPr>
                <w:rFonts w:ascii="宋体" w:hAnsi="宋体" w:eastAsia="宋体"/>
                <w:b w:val="0"/>
                <w:i w:val="0"/>
                <w:color w:val="000000"/>
                <w:sz w:val="18"/>
              </w:rPr>
              <w:t>地下水水质监测质控样品测定率</w:t>
            </w:r>
          </w:p>
        </w:tc>
        <w:tc>
          <w:tcPr>
            <w:tcW w:w="337" w:type="pct"/>
            <w:tcBorders>
              <w:top w:val="single" w:color="auto" w:sz="10" w:space="0"/>
              <w:left w:val="single" w:color="auto" w:sz="10" w:space="0"/>
              <w:bottom w:val="single" w:color="auto" w:sz="10" w:space="0"/>
              <w:right w:val="single" w:color="auto" w:sz="10" w:space="0"/>
              <w:insideV w:val="single" w:sz="10" w:space="0"/>
            </w:tcBorders>
            <w:vAlign w:val="center"/>
          </w:tcPr>
          <w:p w14:paraId="5080DA1E">
            <w:pPr>
              <w:spacing w:before="0" w:after="0" w:line="240" w:lineRule="auto"/>
              <w:jc w:val="center"/>
            </w:pPr>
            <w:r>
              <w:rPr>
                <w:rFonts w:ascii="宋体" w:hAnsi="宋体" w:eastAsia="宋体"/>
                <w:b w:val="0"/>
                <w:i w:val="0"/>
                <w:sz w:val="18"/>
              </w:rPr>
              <w:t>10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5B3FC785">
            <w:pPr>
              <w:spacing w:before="0" w:after="0" w:line="240" w:lineRule="auto"/>
              <w:jc w:val="center"/>
            </w:pPr>
            <w:r>
              <w:rPr>
                <w:rFonts w:ascii="宋体" w:hAnsi="宋体" w:eastAsia="宋体"/>
                <w:b w:val="0"/>
                <w:i w:val="0"/>
                <w:sz w:val="18"/>
              </w:rPr>
              <w:t>&gt;=10%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00AF36AA">
            <w:pPr>
              <w:spacing w:before="0" w:after="0" w:line="240" w:lineRule="auto"/>
              <w:jc w:val="center"/>
            </w:pPr>
            <w:r>
              <w:rPr>
                <w:rFonts w:ascii="宋体" w:hAnsi="宋体" w:eastAsia="宋体"/>
                <w:b w:val="0"/>
                <w:i w:val="0"/>
                <w:sz w:val="18"/>
              </w:rPr>
              <w:t>=10%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312A1E93">
            <w:pPr>
              <w:spacing w:before="0" w:after="0" w:line="240" w:lineRule="auto"/>
              <w:jc w:val="center"/>
            </w:pPr>
            <w:r>
              <w:rPr>
                <w:rFonts w:ascii="宋体" w:hAnsi="宋体" w:eastAsia="宋体"/>
                <w:b w:val="0"/>
                <w:i w:val="0"/>
                <w:sz w:val="18"/>
              </w:rPr>
              <w:t>100%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28CCF8AD">
            <w:pPr>
              <w:spacing w:before="0" w:after="0" w:line="240" w:lineRule="auto"/>
              <w:jc w:val="center"/>
            </w:pPr>
            <w:r>
              <w:rPr>
                <w:rFonts w:ascii="宋体" w:hAnsi="宋体" w:eastAsia="宋体"/>
                <w:b w:val="0"/>
                <w:i w:val="0"/>
                <w:sz w:val="18"/>
              </w:rPr>
              <w:t>10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7AF0F967">
            <w:pPr>
              <w:spacing w:before="0" w:after="0" w:line="240" w:lineRule="auto"/>
              <w:jc w:val="center"/>
            </w:pPr>
            <w:r>
              <w:rPr>
                <w:rFonts w:ascii="宋体" w:hAnsi="宋体" w:eastAsia="宋体"/>
                <w:b w:val="0"/>
                <w:i w:val="0"/>
                <w:sz w:val="18"/>
              </w:rPr>
              <w:t>历史标准</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3411DE45">
            <w:pPr>
              <w:spacing w:before="0" w:after="0" w:line="240" w:lineRule="auto"/>
              <w:jc w:val="center"/>
            </w:pPr>
            <w:r>
              <w:rPr>
                <w:rFonts w:ascii="宋体" w:hAnsi="宋体" w:eastAsia="宋体"/>
                <w:b w:val="0"/>
                <w:i w:val="0"/>
                <w:sz w:val="18"/>
              </w:rPr>
              <w:t>-</w:t>
            </w:r>
          </w:p>
        </w:tc>
        <w:tc>
          <w:tcPr>
            <w:tcW w:w="405" w:type="pct"/>
            <w:tcBorders>
              <w:top w:val="single" w:color="auto" w:sz="10" w:space="0"/>
              <w:left w:val="single" w:color="auto" w:sz="10" w:space="0"/>
              <w:bottom w:val="single" w:color="auto" w:sz="10" w:space="0"/>
              <w:right w:val="single" w:color="auto" w:sz="10" w:space="0"/>
              <w:insideV w:val="single" w:sz="10" w:space="0"/>
            </w:tcBorders>
            <w:vAlign w:val="center"/>
          </w:tcPr>
          <w:p w14:paraId="059BBA82">
            <w:pPr>
              <w:spacing w:before="0" w:after="0" w:line="240" w:lineRule="auto"/>
              <w:jc w:val="center"/>
            </w:pPr>
            <w:r>
              <w:rPr>
                <w:rFonts w:ascii="宋体" w:hAnsi="宋体" w:eastAsia="宋体"/>
                <w:b w:val="0"/>
                <w:i w:val="0"/>
                <w:sz w:val="18"/>
              </w:rPr>
              <w:t>按照完成比例赋分</w:t>
            </w:r>
          </w:p>
        </w:tc>
        <w:tc>
          <w:tcPr>
            <w:tcW w:w="360" w:type="pct"/>
            <w:tcBorders>
              <w:top w:val="single" w:color="auto" w:sz="10" w:space="0"/>
              <w:left w:val="single" w:color="auto" w:sz="10" w:space="0"/>
              <w:bottom w:val="single" w:color="auto" w:sz="10" w:space="0"/>
              <w:right w:val="single" w:color="auto" w:sz="10" w:space="0"/>
              <w:insideV w:val="single" w:sz="10" w:space="0"/>
            </w:tcBorders>
            <w:vAlign w:val="center"/>
          </w:tcPr>
          <w:p w14:paraId="39A93570">
            <w:pPr>
              <w:spacing w:before="0" w:after="0" w:line="240" w:lineRule="auto"/>
              <w:jc w:val="center"/>
            </w:pPr>
            <w:r>
              <w:rPr>
                <w:rFonts w:ascii="宋体" w:hAnsi="宋体" w:eastAsia="宋体"/>
                <w:b w:val="0"/>
                <w:i w:val="0"/>
                <w:sz w:val="18"/>
              </w:rPr>
              <w:t>工作资料</w:t>
            </w:r>
          </w:p>
        </w:tc>
        <w:tc>
          <w:tcPr>
            <w:tcW w:w="838" w:type="pct"/>
            <w:tcBorders>
              <w:top w:val="single" w:color="auto" w:sz="10" w:space="0"/>
              <w:left w:val="single" w:color="auto" w:sz="10" w:space="0"/>
              <w:bottom w:val="single" w:color="auto" w:sz="10" w:space="0"/>
              <w:right w:val="single" w:color="auto" w:sz="10" w:space="0"/>
              <w:insideV w:val="single" w:sz="10" w:space="0"/>
            </w:tcBorders>
            <w:vAlign w:val="center"/>
          </w:tcPr>
          <w:p w14:paraId="3DFED3A5">
            <w:pPr>
              <w:spacing w:before="0" w:after="0" w:line="240" w:lineRule="auto"/>
              <w:jc w:val="center"/>
            </w:pPr>
          </w:p>
        </w:tc>
      </w:tr>
      <w:tr w14:paraId="4C892D00">
        <w:tblPrEx>
          <w:tblCellMar>
            <w:top w:w="36" w:type="dxa"/>
            <w:left w:w="36" w:type="dxa"/>
            <w:bottom w:w="36" w:type="dxa"/>
            <w:right w:w="36" w:type="dxa"/>
          </w:tblCellMar>
        </w:tblPrEx>
        <w:trPr>
          <w:trHeight w:val="380" w:hRule="atLeast"/>
        </w:trPr>
        <w:tc>
          <w:tcPr>
            <w:tcW w:w="211" w:type="pct"/>
            <w:vMerge w:val="continue"/>
            <w:tcBorders>
              <w:top w:val="single" w:color="auto" w:sz="10" w:space="0"/>
              <w:left w:val="single" w:color="auto" w:sz="10" w:space="0"/>
              <w:bottom w:val="single" w:color="auto" w:sz="10" w:space="0"/>
              <w:right w:val="single" w:color="auto" w:sz="10" w:space="0"/>
              <w:insideV w:val="single" w:sz="10" w:space="0"/>
            </w:tcBorders>
          </w:tcPr>
          <w:p w14:paraId="46C59980"/>
        </w:tc>
        <w:tc>
          <w:tcPr>
            <w:tcW w:w="296" w:type="pct"/>
            <w:vMerge w:val="continue"/>
            <w:tcBorders>
              <w:top w:val="single" w:color="auto" w:sz="10" w:space="0"/>
              <w:left w:val="single" w:color="auto" w:sz="10" w:space="0"/>
              <w:bottom w:val="single" w:color="auto" w:sz="10" w:space="0"/>
              <w:right w:val="single" w:color="auto" w:sz="10" w:space="0"/>
              <w:insideV w:val="single" w:sz="10" w:space="0"/>
            </w:tcBorders>
          </w:tcPr>
          <w:p w14:paraId="62C78DB2"/>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04C98C65">
            <w:pPr>
              <w:spacing w:before="0" w:after="0" w:line="240" w:lineRule="auto"/>
              <w:jc w:val="center"/>
            </w:pPr>
            <w:r>
              <w:rPr>
                <w:rFonts w:ascii="宋体" w:hAnsi="宋体" w:eastAsia="宋体"/>
                <w:b w:val="0"/>
                <w:i w:val="0"/>
                <w:sz w:val="18"/>
              </w:rPr>
              <w:t>质量指标</w:t>
            </w:r>
          </w:p>
        </w:tc>
        <w:tc>
          <w:tcPr>
            <w:tcW w:w="474" w:type="pct"/>
            <w:tcBorders>
              <w:top w:val="single" w:color="auto" w:sz="10" w:space="0"/>
              <w:left w:val="single" w:color="auto" w:sz="10" w:space="0"/>
              <w:bottom w:val="single" w:color="auto" w:sz="10" w:space="0"/>
              <w:right w:val="single" w:color="auto" w:sz="10" w:space="0"/>
              <w:insideV w:val="single" w:sz="10" w:space="0"/>
            </w:tcBorders>
            <w:vAlign w:val="center"/>
          </w:tcPr>
          <w:p w14:paraId="6DA5345C">
            <w:pPr>
              <w:spacing w:before="0" w:after="0" w:line="240" w:lineRule="auto"/>
              <w:jc w:val="center"/>
            </w:pPr>
            <w:r>
              <w:rPr>
                <w:rFonts w:ascii="宋体" w:hAnsi="宋体" w:eastAsia="宋体"/>
                <w:b w:val="0"/>
                <w:i w:val="0"/>
                <w:color w:val="000000"/>
                <w:sz w:val="18"/>
              </w:rPr>
              <w:t>地下水水质监测质量控制样品合格率</w:t>
            </w:r>
          </w:p>
        </w:tc>
        <w:tc>
          <w:tcPr>
            <w:tcW w:w="337" w:type="pct"/>
            <w:tcBorders>
              <w:top w:val="single" w:color="auto" w:sz="10" w:space="0"/>
              <w:left w:val="single" w:color="auto" w:sz="10" w:space="0"/>
              <w:bottom w:val="single" w:color="auto" w:sz="10" w:space="0"/>
              <w:right w:val="single" w:color="auto" w:sz="10" w:space="0"/>
              <w:insideV w:val="single" w:sz="10" w:space="0"/>
            </w:tcBorders>
            <w:vAlign w:val="center"/>
          </w:tcPr>
          <w:p w14:paraId="46FF47D7">
            <w:pPr>
              <w:spacing w:before="0" w:after="0" w:line="240" w:lineRule="auto"/>
              <w:jc w:val="center"/>
            </w:pPr>
            <w:r>
              <w:rPr>
                <w:rFonts w:ascii="宋体" w:hAnsi="宋体" w:eastAsia="宋体"/>
                <w:b w:val="0"/>
                <w:i w:val="0"/>
                <w:sz w:val="18"/>
              </w:rPr>
              <w:t>10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31578B3F">
            <w:pPr>
              <w:spacing w:before="0" w:after="0" w:line="240" w:lineRule="auto"/>
              <w:jc w:val="center"/>
            </w:pPr>
            <w:r>
              <w:rPr>
                <w:rFonts w:ascii="宋体" w:hAnsi="宋体" w:eastAsia="宋体"/>
                <w:b w:val="0"/>
                <w:i w:val="0"/>
                <w:sz w:val="18"/>
              </w:rPr>
              <w:t>&gt;=90%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6647782A">
            <w:pPr>
              <w:spacing w:before="0" w:after="0" w:line="240" w:lineRule="auto"/>
              <w:jc w:val="center"/>
            </w:pPr>
            <w:r>
              <w:rPr>
                <w:rFonts w:ascii="宋体" w:hAnsi="宋体" w:eastAsia="宋体"/>
                <w:b w:val="0"/>
                <w:i w:val="0"/>
                <w:sz w:val="18"/>
              </w:rPr>
              <w:t>=90%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178E9D61">
            <w:pPr>
              <w:spacing w:before="0" w:after="0" w:line="240" w:lineRule="auto"/>
              <w:jc w:val="center"/>
            </w:pPr>
            <w:r>
              <w:rPr>
                <w:rFonts w:ascii="宋体" w:hAnsi="宋体" w:eastAsia="宋体"/>
                <w:b w:val="0"/>
                <w:i w:val="0"/>
                <w:sz w:val="18"/>
              </w:rPr>
              <w:t>100%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47D0E2F3">
            <w:pPr>
              <w:spacing w:before="0" w:after="0" w:line="240" w:lineRule="auto"/>
              <w:jc w:val="center"/>
            </w:pPr>
            <w:r>
              <w:rPr>
                <w:rFonts w:ascii="宋体" w:hAnsi="宋体" w:eastAsia="宋体"/>
                <w:b w:val="0"/>
                <w:i w:val="0"/>
                <w:sz w:val="18"/>
              </w:rPr>
              <w:t>10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6C42151A">
            <w:pPr>
              <w:spacing w:before="0" w:after="0" w:line="240" w:lineRule="auto"/>
              <w:jc w:val="center"/>
            </w:pPr>
            <w:r>
              <w:rPr>
                <w:rFonts w:ascii="宋体" w:hAnsi="宋体" w:eastAsia="宋体"/>
                <w:b w:val="0"/>
                <w:i w:val="0"/>
                <w:sz w:val="18"/>
              </w:rPr>
              <w:t>历史标准</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6DF4626D">
            <w:pPr>
              <w:spacing w:before="0" w:after="0" w:line="240" w:lineRule="auto"/>
              <w:jc w:val="center"/>
            </w:pPr>
            <w:r>
              <w:rPr>
                <w:rFonts w:ascii="宋体" w:hAnsi="宋体" w:eastAsia="宋体"/>
                <w:b w:val="0"/>
                <w:i w:val="0"/>
                <w:sz w:val="18"/>
              </w:rPr>
              <w:t>-</w:t>
            </w:r>
          </w:p>
        </w:tc>
        <w:tc>
          <w:tcPr>
            <w:tcW w:w="405" w:type="pct"/>
            <w:tcBorders>
              <w:top w:val="single" w:color="auto" w:sz="10" w:space="0"/>
              <w:left w:val="single" w:color="auto" w:sz="10" w:space="0"/>
              <w:bottom w:val="single" w:color="auto" w:sz="10" w:space="0"/>
              <w:right w:val="single" w:color="auto" w:sz="10" w:space="0"/>
              <w:insideV w:val="single" w:sz="10" w:space="0"/>
            </w:tcBorders>
            <w:vAlign w:val="center"/>
          </w:tcPr>
          <w:p w14:paraId="1B23BAC3">
            <w:pPr>
              <w:spacing w:before="0" w:after="0" w:line="240" w:lineRule="auto"/>
              <w:jc w:val="center"/>
            </w:pPr>
            <w:r>
              <w:rPr>
                <w:rFonts w:ascii="宋体" w:hAnsi="宋体" w:eastAsia="宋体"/>
                <w:b w:val="0"/>
                <w:i w:val="0"/>
                <w:sz w:val="18"/>
              </w:rPr>
              <w:t>按照完成比例赋分</w:t>
            </w:r>
          </w:p>
        </w:tc>
        <w:tc>
          <w:tcPr>
            <w:tcW w:w="360" w:type="pct"/>
            <w:tcBorders>
              <w:top w:val="single" w:color="auto" w:sz="10" w:space="0"/>
              <w:left w:val="single" w:color="auto" w:sz="10" w:space="0"/>
              <w:bottom w:val="single" w:color="auto" w:sz="10" w:space="0"/>
              <w:right w:val="single" w:color="auto" w:sz="10" w:space="0"/>
              <w:insideV w:val="single" w:sz="10" w:space="0"/>
            </w:tcBorders>
            <w:vAlign w:val="center"/>
          </w:tcPr>
          <w:p w14:paraId="51FD1DEF">
            <w:pPr>
              <w:spacing w:before="0" w:after="0" w:line="240" w:lineRule="auto"/>
              <w:jc w:val="center"/>
            </w:pPr>
            <w:r>
              <w:rPr>
                <w:rFonts w:ascii="宋体" w:hAnsi="宋体" w:eastAsia="宋体"/>
                <w:b w:val="0"/>
                <w:i w:val="0"/>
                <w:sz w:val="18"/>
              </w:rPr>
              <w:t>工作资料</w:t>
            </w:r>
          </w:p>
        </w:tc>
        <w:tc>
          <w:tcPr>
            <w:tcW w:w="838" w:type="pct"/>
            <w:tcBorders>
              <w:top w:val="single" w:color="auto" w:sz="10" w:space="0"/>
              <w:left w:val="single" w:color="auto" w:sz="10" w:space="0"/>
              <w:bottom w:val="single" w:color="auto" w:sz="10" w:space="0"/>
              <w:right w:val="single" w:color="auto" w:sz="10" w:space="0"/>
              <w:insideV w:val="single" w:sz="10" w:space="0"/>
            </w:tcBorders>
            <w:vAlign w:val="center"/>
          </w:tcPr>
          <w:p w14:paraId="01DED1D6">
            <w:pPr>
              <w:spacing w:before="0" w:after="0" w:line="240" w:lineRule="auto"/>
              <w:jc w:val="center"/>
            </w:pPr>
          </w:p>
        </w:tc>
      </w:tr>
      <w:tr w14:paraId="3E2D33F3">
        <w:tblPrEx>
          <w:tblCellMar>
            <w:top w:w="36" w:type="dxa"/>
            <w:left w:w="36" w:type="dxa"/>
            <w:bottom w:w="36" w:type="dxa"/>
            <w:right w:w="36" w:type="dxa"/>
          </w:tblCellMar>
        </w:tblPrEx>
        <w:trPr>
          <w:trHeight w:val="380" w:hRule="atLeast"/>
        </w:trPr>
        <w:tc>
          <w:tcPr>
            <w:tcW w:w="211" w:type="pct"/>
            <w:vMerge w:val="continue"/>
            <w:tcBorders>
              <w:top w:val="single" w:color="auto" w:sz="10" w:space="0"/>
              <w:left w:val="single" w:color="auto" w:sz="10" w:space="0"/>
              <w:bottom w:val="single" w:color="auto" w:sz="10" w:space="0"/>
              <w:right w:val="single" w:color="auto" w:sz="10" w:space="0"/>
              <w:insideV w:val="single" w:sz="10" w:space="0"/>
            </w:tcBorders>
          </w:tcPr>
          <w:p w14:paraId="41F7BB19"/>
        </w:tc>
        <w:tc>
          <w:tcPr>
            <w:tcW w:w="296" w:type="pct"/>
            <w:vMerge w:val="continue"/>
            <w:tcBorders>
              <w:top w:val="single" w:color="auto" w:sz="10" w:space="0"/>
              <w:left w:val="single" w:color="auto" w:sz="10" w:space="0"/>
              <w:bottom w:val="single" w:color="auto" w:sz="10" w:space="0"/>
              <w:right w:val="single" w:color="auto" w:sz="10" w:space="0"/>
              <w:insideV w:val="single" w:sz="10" w:space="0"/>
            </w:tcBorders>
          </w:tcPr>
          <w:p w14:paraId="3DD5F86A"/>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4DBB4285">
            <w:pPr>
              <w:spacing w:before="0" w:after="0" w:line="240" w:lineRule="auto"/>
              <w:jc w:val="center"/>
            </w:pPr>
            <w:r>
              <w:rPr>
                <w:rFonts w:ascii="宋体" w:hAnsi="宋体" w:eastAsia="宋体"/>
                <w:b w:val="0"/>
                <w:i w:val="0"/>
                <w:sz w:val="18"/>
              </w:rPr>
              <w:t>时效指标</w:t>
            </w:r>
          </w:p>
        </w:tc>
        <w:tc>
          <w:tcPr>
            <w:tcW w:w="474" w:type="pct"/>
            <w:tcBorders>
              <w:top w:val="single" w:color="auto" w:sz="10" w:space="0"/>
              <w:left w:val="single" w:color="auto" w:sz="10" w:space="0"/>
              <w:bottom w:val="single" w:color="auto" w:sz="10" w:space="0"/>
              <w:right w:val="single" w:color="auto" w:sz="10" w:space="0"/>
              <w:insideV w:val="single" w:sz="10" w:space="0"/>
            </w:tcBorders>
            <w:vAlign w:val="center"/>
          </w:tcPr>
          <w:p w14:paraId="7E4E39DE">
            <w:pPr>
              <w:spacing w:before="0" w:after="0" w:line="240" w:lineRule="auto"/>
              <w:jc w:val="center"/>
            </w:pPr>
            <w:r>
              <w:rPr>
                <w:rFonts w:ascii="宋体" w:hAnsi="宋体" w:eastAsia="宋体"/>
                <w:b w:val="0"/>
                <w:i w:val="0"/>
                <w:color w:val="000000"/>
                <w:sz w:val="18"/>
              </w:rPr>
              <w:t>地下水水质监测按时完成率</w:t>
            </w:r>
          </w:p>
        </w:tc>
        <w:tc>
          <w:tcPr>
            <w:tcW w:w="337" w:type="pct"/>
            <w:tcBorders>
              <w:top w:val="single" w:color="auto" w:sz="10" w:space="0"/>
              <w:left w:val="single" w:color="auto" w:sz="10" w:space="0"/>
              <w:bottom w:val="single" w:color="auto" w:sz="10" w:space="0"/>
              <w:right w:val="single" w:color="auto" w:sz="10" w:space="0"/>
              <w:insideV w:val="single" w:sz="10" w:space="0"/>
            </w:tcBorders>
            <w:vAlign w:val="center"/>
          </w:tcPr>
          <w:p w14:paraId="6DE2DC03">
            <w:pPr>
              <w:spacing w:before="0" w:after="0" w:line="240" w:lineRule="auto"/>
              <w:jc w:val="center"/>
            </w:pPr>
            <w:r>
              <w:rPr>
                <w:rFonts w:ascii="宋体" w:hAnsi="宋体" w:eastAsia="宋体"/>
                <w:b w:val="0"/>
                <w:i w:val="0"/>
                <w:sz w:val="18"/>
              </w:rPr>
              <w:t>10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0B23D899">
            <w:pPr>
              <w:spacing w:before="0" w:after="0" w:line="240" w:lineRule="auto"/>
              <w:jc w:val="center"/>
            </w:pPr>
            <w:r>
              <w:rPr>
                <w:rFonts w:ascii="宋体" w:hAnsi="宋体" w:eastAsia="宋体"/>
                <w:b w:val="0"/>
                <w:i w:val="0"/>
                <w:sz w:val="18"/>
              </w:rPr>
              <w:t>&gt;=90%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0717E8AB">
            <w:pPr>
              <w:spacing w:before="0" w:after="0" w:line="240" w:lineRule="auto"/>
              <w:jc w:val="center"/>
            </w:pPr>
            <w:r>
              <w:rPr>
                <w:rFonts w:ascii="宋体" w:hAnsi="宋体" w:eastAsia="宋体"/>
                <w:b w:val="0"/>
                <w:i w:val="0"/>
                <w:sz w:val="18"/>
              </w:rPr>
              <w:t>=90%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7892024B">
            <w:pPr>
              <w:spacing w:before="0" w:after="0" w:line="240" w:lineRule="auto"/>
              <w:jc w:val="center"/>
            </w:pPr>
            <w:r>
              <w:rPr>
                <w:rFonts w:ascii="宋体" w:hAnsi="宋体" w:eastAsia="宋体"/>
                <w:b w:val="0"/>
                <w:i w:val="0"/>
                <w:sz w:val="18"/>
              </w:rPr>
              <w:t>100%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3EBBDE82">
            <w:pPr>
              <w:spacing w:before="0" w:after="0" w:line="240" w:lineRule="auto"/>
              <w:jc w:val="center"/>
            </w:pPr>
            <w:r>
              <w:rPr>
                <w:rFonts w:ascii="宋体" w:hAnsi="宋体" w:eastAsia="宋体"/>
                <w:b w:val="0"/>
                <w:i w:val="0"/>
                <w:sz w:val="18"/>
              </w:rPr>
              <w:t>10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501C113A">
            <w:pPr>
              <w:spacing w:before="0" w:after="0" w:line="240" w:lineRule="auto"/>
              <w:jc w:val="center"/>
            </w:pPr>
            <w:r>
              <w:rPr>
                <w:rFonts w:ascii="宋体" w:hAnsi="宋体" w:eastAsia="宋体"/>
                <w:b w:val="0"/>
                <w:i w:val="0"/>
                <w:sz w:val="18"/>
              </w:rPr>
              <w:t>计划标准</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35B058C1">
            <w:pPr>
              <w:spacing w:before="0" w:after="0" w:line="240" w:lineRule="auto"/>
              <w:jc w:val="center"/>
            </w:pPr>
            <w:r>
              <w:rPr>
                <w:rFonts w:ascii="宋体" w:hAnsi="宋体" w:eastAsia="宋体"/>
                <w:b w:val="0"/>
                <w:i w:val="0"/>
                <w:sz w:val="18"/>
              </w:rPr>
              <w:t>-</w:t>
            </w:r>
          </w:p>
        </w:tc>
        <w:tc>
          <w:tcPr>
            <w:tcW w:w="405" w:type="pct"/>
            <w:tcBorders>
              <w:top w:val="single" w:color="auto" w:sz="10" w:space="0"/>
              <w:left w:val="single" w:color="auto" w:sz="10" w:space="0"/>
              <w:bottom w:val="single" w:color="auto" w:sz="10" w:space="0"/>
              <w:right w:val="single" w:color="auto" w:sz="10" w:space="0"/>
              <w:insideV w:val="single" w:sz="10" w:space="0"/>
            </w:tcBorders>
            <w:vAlign w:val="center"/>
          </w:tcPr>
          <w:p w14:paraId="49BBCCDC">
            <w:pPr>
              <w:spacing w:before="0" w:after="0" w:line="240" w:lineRule="auto"/>
              <w:jc w:val="center"/>
            </w:pPr>
            <w:r>
              <w:rPr>
                <w:rFonts w:ascii="宋体" w:hAnsi="宋体" w:eastAsia="宋体"/>
                <w:b w:val="0"/>
                <w:i w:val="0"/>
                <w:sz w:val="18"/>
              </w:rPr>
              <w:t>按照完成比例赋分</w:t>
            </w:r>
          </w:p>
        </w:tc>
        <w:tc>
          <w:tcPr>
            <w:tcW w:w="360" w:type="pct"/>
            <w:tcBorders>
              <w:top w:val="single" w:color="auto" w:sz="10" w:space="0"/>
              <w:left w:val="single" w:color="auto" w:sz="10" w:space="0"/>
              <w:bottom w:val="single" w:color="auto" w:sz="10" w:space="0"/>
              <w:right w:val="single" w:color="auto" w:sz="10" w:space="0"/>
              <w:insideV w:val="single" w:sz="10" w:space="0"/>
            </w:tcBorders>
            <w:vAlign w:val="center"/>
          </w:tcPr>
          <w:p w14:paraId="2F449EE3">
            <w:pPr>
              <w:spacing w:before="0" w:after="0" w:line="240" w:lineRule="auto"/>
              <w:jc w:val="center"/>
            </w:pPr>
            <w:r>
              <w:rPr>
                <w:rFonts w:ascii="宋体" w:hAnsi="宋体" w:eastAsia="宋体"/>
                <w:b w:val="0"/>
                <w:i w:val="0"/>
                <w:sz w:val="18"/>
              </w:rPr>
              <w:t>工作资料</w:t>
            </w:r>
          </w:p>
        </w:tc>
        <w:tc>
          <w:tcPr>
            <w:tcW w:w="838" w:type="pct"/>
            <w:tcBorders>
              <w:top w:val="single" w:color="auto" w:sz="10" w:space="0"/>
              <w:left w:val="single" w:color="auto" w:sz="10" w:space="0"/>
              <w:bottom w:val="single" w:color="auto" w:sz="10" w:space="0"/>
              <w:right w:val="single" w:color="auto" w:sz="10" w:space="0"/>
              <w:insideV w:val="single" w:sz="10" w:space="0"/>
            </w:tcBorders>
            <w:vAlign w:val="center"/>
          </w:tcPr>
          <w:p w14:paraId="0DEF5C6C">
            <w:pPr>
              <w:spacing w:before="0" w:after="0" w:line="240" w:lineRule="auto"/>
              <w:jc w:val="center"/>
            </w:pPr>
          </w:p>
        </w:tc>
      </w:tr>
      <w:tr w14:paraId="4A6F805B">
        <w:tblPrEx>
          <w:tblCellMar>
            <w:top w:w="36" w:type="dxa"/>
            <w:left w:w="36" w:type="dxa"/>
            <w:bottom w:w="36" w:type="dxa"/>
            <w:right w:w="36" w:type="dxa"/>
          </w:tblCellMar>
        </w:tblPrEx>
        <w:trPr>
          <w:trHeight w:val="380" w:hRule="atLeast"/>
        </w:trPr>
        <w:tc>
          <w:tcPr>
            <w:tcW w:w="211" w:type="pct"/>
            <w:vMerge w:val="continue"/>
            <w:tcBorders>
              <w:top w:val="single" w:color="auto" w:sz="10" w:space="0"/>
              <w:left w:val="single" w:color="auto" w:sz="10" w:space="0"/>
              <w:bottom w:val="single" w:color="auto" w:sz="10" w:space="0"/>
              <w:right w:val="single" w:color="auto" w:sz="10" w:space="0"/>
              <w:insideV w:val="single" w:sz="10" w:space="0"/>
            </w:tcBorders>
          </w:tcPr>
          <w:p w14:paraId="41618AD4"/>
        </w:tc>
        <w:tc>
          <w:tcPr>
            <w:tcW w:w="296"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905E9">
            <w:pPr>
              <w:spacing w:before="0" w:after="0" w:line="240" w:lineRule="auto"/>
              <w:jc w:val="center"/>
            </w:pPr>
            <w:r>
              <w:rPr>
                <w:rFonts w:ascii="宋体" w:hAnsi="宋体" w:eastAsia="宋体"/>
                <w:b w:val="0"/>
                <w:i w:val="0"/>
                <w:sz w:val="18"/>
              </w:rPr>
              <w:t>成本指标</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35DCAD0A">
            <w:pPr>
              <w:spacing w:before="0" w:after="0" w:line="240" w:lineRule="auto"/>
              <w:jc w:val="center"/>
            </w:pPr>
            <w:r>
              <w:rPr>
                <w:rFonts w:ascii="宋体" w:hAnsi="宋体" w:eastAsia="宋体"/>
                <w:b w:val="0"/>
                <w:i w:val="0"/>
                <w:sz w:val="18"/>
              </w:rPr>
              <w:t>经济成本指标</w:t>
            </w:r>
          </w:p>
        </w:tc>
        <w:tc>
          <w:tcPr>
            <w:tcW w:w="474" w:type="pct"/>
            <w:tcBorders>
              <w:top w:val="single" w:color="auto" w:sz="10" w:space="0"/>
              <w:left w:val="single" w:color="auto" w:sz="10" w:space="0"/>
              <w:bottom w:val="single" w:color="auto" w:sz="10" w:space="0"/>
              <w:right w:val="single" w:color="auto" w:sz="10" w:space="0"/>
              <w:insideV w:val="single" w:sz="10" w:space="0"/>
            </w:tcBorders>
            <w:vAlign w:val="center"/>
          </w:tcPr>
          <w:p w14:paraId="1B56035A">
            <w:pPr>
              <w:spacing w:before="0" w:after="0" w:line="240" w:lineRule="auto"/>
              <w:jc w:val="center"/>
            </w:pPr>
            <w:r>
              <w:rPr>
                <w:rFonts w:ascii="宋体" w:hAnsi="宋体" w:eastAsia="宋体"/>
                <w:b w:val="0"/>
                <w:i w:val="0"/>
                <w:color w:val="000000"/>
                <w:sz w:val="18"/>
              </w:rPr>
              <w:t>委托第三方样品分析、测定费用</w:t>
            </w:r>
          </w:p>
        </w:tc>
        <w:tc>
          <w:tcPr>
            <w:tcW w:w="337" w:type="pct"/>
            <w:tcBorders>
              <w:top w:val="single" w:color="auto" w:sz="10" w:space="0"/>
              <w:left w:val="single" w:color="auto" w:sz="10" w:space="0"/>
              <w:bottom w:val="single" w:color="auto" w:sz="10" w:space="0"/>
              <w:right w:val="single" w:color="auto" w:sz="10" w:space="0"/>
              <w:insideV w:val="single" w:sz="10" w:space="0"/>
            </w:tcBorders>
            <w:vAlign w:val="center"/>
          </w:tcPr>
          <w:p w14:paraId="378009C6">
            <w:pPr>
              <w:spacing w:before="0" w:after="0" w:line="240" w:lineRule="auto"/>
              <w:jc w:val="center"/>
            </w:pPr>
            <w:r>
              <w:rPr>
                <w:rFonts w:ascii="宋体" w:hAnsi="宋体" w:eastAsia="宋体"/>
                <w:b w:val="0"/>
                <w:i w:val="0"/>
                <w:sz w:val="18"/>
              </w:rPr>
              <w:t>5</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7A5E4350">
            <w:pPr>
              <w:spacing w:before="0" w:after="0" w:line="240" w:lineRule="auto"/>
              <w:jc w:val="center"/>
            </w:pPr>
            <w:r>
              <w:rPr>
                <w:rFonts w:ascii="宋体" w:hAnsi="宋体" w:eastAsia="宋体"/>
                <w:b w:val="0"/>
                <w:i w:val="0"/>
                <w:sz w:val="18"/>
              </w:rPr>
              <w:t>&lt;=22万元</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23025128">
            <w:pPr>
              <w:spacing w:before="0" w:after="0" w:line="240" w:lineRule="auto"/>
              <w:jc w:val="center"/>
            </w:pPr>
            <w:r>
              <w:rPr>
                <w:rFonts w:ascii="宋体" w:hAnsi="宋体" w:eastAsia="宋体"/>
                <w:b w:val="0"/>
                <w:i w:val="0"/>
                <w:sz w:val="18"/>
              </w:rPr>
              <w:t>=22万元</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5C7ACAB6">
            <w:pPr>
              <w:spacing w:before="0" w:after="0" w:line="240" w:lineRule="auto"/>
              <w:jc w:val="center"/>
            </w:pPr>
            <w:r>
              <w:rPr>
                <w:rFonts w:ascii="宋体" w:hAnsi="宋体" w:eastAsia="宋体"/>
                <w:b w:val="0"/>
                <w:i w:val="0"/>
                <w:sz w:val="18"/>
              </w:rPr>
              <w:t>100%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2D3628D6">
            <w:pPr>
              <w:spacing w:before="0" w:after="0" w:line="240" w:lineRule="auto"/>
              <w:jc w:val="center"/>
            </w:pPr>
            <w:r>
              <w:rPr>
                <w:rFonts w:ascii="宋体" w:hAnsi="宋体" w:eastAsia="宋体"/>
                <w:b w:val="0"/>
                <w:i w:val="0"/>
                <w:sz w:val="18"/>
              </w:rPr>
              <w:t>5</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21E9F5FE">
            <w:pPr>
              <w:spacing w:before="0" w:after="0" w:line="240" w:lineRule="auto"/>
              <w:jc w:val="center"/>
            </w:pPr>
            <w:r>
              <w:rPr>
                <w:rFonts w:ascii="宋体" w:hAnsi="宋体" w:eastAsia="宋体"/>
                <w:b w:val="0"/>
                <w:i w:val="0"/>
                <w:sz w:val="18"/>
              </w:rPr>
              <w:t>计划标准</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2BA0333C">
            <w:pPr>
              <w:spacing w:before="0" w:after="0" w:line="240" w:lineRule="auto"/>
              <w:jc w:val="center"/>
            </w:pPr>
            <w:r>
              <w:rPr>
                <w:rFonts w:ascii="宋体" w:hAnsi="宋体" w:eastAsia="宋体"/>
                <w:b w:val="0"/>
                <w:i w:val="0"/>
                <w:sz w:val="18"/>
              </w:rPr>
              <w:t>-</w:t>
            </w:r>
          </w:p>
        </w:tc>
        <w:tc>
          <w:tcPr>
            <w:tcW w:w="405" w:type="pct"/>
            <w:tcBorders>
              <w:top w:val="single" w:color="auto" w:sz="10" w:space="0"/>
              <w:left w:val="single" w:color="auto" w:sz="10" w:space="0"/>
              <w:bottom w:val="single" w:color="auto" w:sz="10" w:space="0"/>
              <w:right w:val="single" w:color="auto" w:sz="10" w:space="0"/>
              <w:insideV w:val="single" w:sz="10" w:space="0"/>
            </w:tcBorders>
            <w:vAlign w:val="center"/>
          </w:tcPr>
          <w:p w14:paraId="4329FA5C">
            <w:pPr>
              <w:spacing w:before="0" w:after="0" w:line="240" w:lineRule="auto"/>
              <w:jc w:val="center"/>
            </w:pPr>
            <w:r>
              <w:rPr>
                <w:rFonts w:ascii="宋体" w:hAnsi="宋体" w:eastAsia="宋体"/>
                <w:b w:val="0"/>
                <w:i w:val="0"/>
                <w:sz w:val="18"/>
              </w:rPr>
              <w:t>按照完成比例赋分</w:t>
            </w:r>
          </w:p>
        </w:tc>
        <w:tc>
          <w:tcPr>
            <w:tcW w:w="360" w:type="pct"/>
            <w:tcBorders>
              <w:top w:val="single" w:color="auto" w:sz="10" w:space="0"/>
              <w:left w:val="single" w:color="auto" w:sz="10" w:space="0"/>
              <w:bottom w:val="single" w:color="auto" w:sz="10" w:space="0"/>
              <w:right w:val="single" w:color="auto" w:sz="10" w:space="0"/>
              <w:insideV w:val="single" w:sz="10" w:space="0"/>
            </w:tcBorders>
            <w:vAlign w:val="center"/>
          </w:tcPr>
          <w:p w14:paraId="649A3B95">
            <w:pPr>
              <w:spacing w:before="0" w:after="0" w:line="240" w:lineRule="auto"/>
              <w:jc w:val="center"/>
            </w:pPr>
            <w:r>
              <w:rPr>
                <w:rFonts w:ascii="宋体" w:hAnsi="宋体" w:eastAsia="宋体"/>
                <w:b w:val="0"/>
                <w:i w:val="0"/>
                <w:sz w:val="18"/>
              </w:rPr>
              <w:t>原始凭证</w:t>
            </w:r>
          </w:p>
        </w:tc>
        <w:tc>
          <w:tcPr>
            <w:tcW w:w="838" w:type="pct"/>
            <w:tcBorders>
              <w:top w:val="single" w:color="auto" w:sz="10" w:space="0"/>
              <w:left w:val="single" w:color="auto" w:sz="10" w:space="0"/>
              <w:bottom w:val="single" w:color="auto" w:sz="10" w:space="0"/>
              <w:right w:val="single" w:color="auto" w:sz="10" w:space="0"/>
              <w:insideV w:val="single" w:sz="10" w:space="0"/>
            </w:tcBorders>
            <w:vAlign w:val="center"/>
          </w:tcPr>
          <w:p w14:paraId="274B8630">
            <w:pPr>
              <w:spacing w:before="0" w:after="0" w:line="240" w:lineRule="auto"/>
              <w:jc w:val="center"/>
            </w:pPr>
            <w:r>
              <w:rPr>
                <w:rFonts w:ascii="宋体" w:hAnsi="宋体" w:eastAsia="宋体"/>
                <w:b w:val="0"/>
                <w:i w:val="0"/>
                <w:sz w:val="18"/>
              </w:rPr>
              <w:t>偏差原因：今年检测项目略有调整，样品分析费用上有优惠；整改措施：今后周全考虑各项因素，精准编制预算。</w:t>
            </w:r>
          </w:p>
        </w:tc>
      </w:tr>
      <w:tr w14:paraId="6EA50E37">
        <w:tblPrEx>
          <w:tblCellMar>
            <w:top w:w="36" w:type="dxa"/>
            <w:left w:w="36" w:type="dxa"/>
            <w:bottom w:w="36" w:type="dxa"/>
            <w:right w:w="36" w:type="dxa"/>
          </w:tblCellMar>
        </w:tblPrEx>
        <w:trPr>
          <w:trHeight w:val="380" w:hRule="atLeast"/>
        </w:trPr>
        <w:tc>
          <w:tcPr>
            <w:tcW w:w="211" w:type="pct"/>
            <w:vMerge w:val="continue"/>
            <w:tcBorders>
              <w:top w:val="single" w:color="auto" w:sz="10" w:space="0"/>
              <w:left w:val="single" w:color="auto" w:sz="10" w:space="0"/>
              <w:bottom w:val="single" w:color="auto" w:sz="10" w:space="0"/>
              <w:right w:val="single" w:color="auto" w:sz="10" w:space="0"/>
              <w:insideV w:val="single" w:sz="10" w:space="0"/>
            </w:tcBorders>
          </w:tcPr>
          <w:p w14:paraId="7481A68C"/>
        </w:tc>
        <w:tc>
          <w:tcPr>
            <w:tcW w:w="296" w:type="pct"/>
            <w:vMerge w:val="continue"/>
            <w:tcBorders>
              <w:top w:val="single" w:color="auto" w:sz="10" w:space="0"/>
              <w:left w:val="single" w:color="auto" w:sz="10" w:space="0"/>
              <w:bottom w:val="single" w:color="auto" w:sz="10" w:space="0"/>
              <w:right w:val="single" w:color="auto" w:sz="10" w:space="0"/>
              <w:insideV w:val="single" w:sz="10" w:space="0"/>
            </w:tcBorders>
          </w:tcPr>
          <w:p w14:paraId="73098A52"/>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29BA6050">
            <w:pPr>
              <w:spacing w:before="0" w:after="0" w:line="240" w:lineRule="auto"/>
              <w:jc w:val="center"/>
            </w:pPr>
            <w:r>
              <w:rPr>
                <w:rFonts w:ascii="宋体" w:hAnsi="宋体" w:eastAsia="宋体"/>
                <w:b w:val="0"/>
                <w:i w:val="0"/>
                <w:sz w:val="18"/>
              </w:rPr>
              <w:t>经济成本指标</w:t>
            </w:r>
          </w:p>
        </w:tc>
        <w:tc>
          <w:tcPr>
            <w:tcW w:w="474" w:type="pct"/>
            <w:tcBorders>
              <w:top w:val="single" w:color="auto" w:sz="10" w:space="0"/>
              <w:left w:val="single" w:color="auto" w:sz="10" w:space="0"/>
              <w:bottom w:val="single" w:color="auto" w:sz="10" w:space="0"/>
              <w:right w:val="single" w:color="auto" w:sz="10" w:space="0"/>
              <w:insideV w:val="single" w:sz="10" w:space="0"/>
            </w:tcBorders>
            <w:vAlign w:val="center"/>
          </w:tcPr>
          <w:p w14:paraId="59D04383">
            <w:pPr>
              <w:spacing w:before="0" w:after="0" w:line="240" w:lineRule="auto"/>
              <w:jc w:val="center"/>
            </w:pPr>
            <w:r>
              <w:rPr>
                <w:rFonts w:ascii="宋体" w:hAnsi="宋体" w:eastAsia="宋体"/>
                <w:b w:val="0"/>
                <w:i w:val="0"/>
                <w:color w:val="000000"/>
                <w:sz w:val="18"/>
              </w:rPr>
              <w:t>地下水抽水采样费用</w:t>
            </w:r>
          </w:p>
        </w:tc>
        <w:tc>
          <w:tcPr>
            <w:tcW w:w="337" w:type="pct"/>
            <w:tcBorders>
              <w:top w:val="single" w:color="auto" w:sz="10" w:space="0"/>
              <w:left w:val="single" w:color="auto" w:sz="10" w:space="0"/>
              <w:bottom w:val="single" w:color="auto" w:sz="10" w:space="0"/>
              <w:right w:val="single" w:color="auto" w:sz="10" w:space="0"/>
              <w:insideV w:val="single" w:sz="10" w:space="0"/>
            </w:tcBorders>
            <w:vAlign w:val="center"/>
          </w:tcPr>
          <w:p w14:paraId="11780F89">
            <w:pPr>
              <w:spacing w:before="0" w:after="0" w:line="240" w:lineRule="auto"/>
              <w:jc w:val="center"/>
            </w:pPr>
            <w:r>
              <w:rPr>
                <w:rFonts w:ascii="宋体" w:hAnsi="宋体" w:eastAsia="宋体"/>
                <w:b w:val="0"/>
                <w:i w:val="0"/>
                <w:sz w:val="18"/>
              </w:rPr>
              <w:t>5</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516FB69A">
            <w:pPr>
              <w:spacing w:before="0" w:after="0" w:line="240" w:lineRule="auto"/>
              <w:jc w:val="center"/>
            </w:pPr>
            <w:r>
              <w:rPr>
                <w:rFonts w:ascii="宋体" w:hAnsi="宋体" w:eastAsia="宋体"/>
                <w:b w:val="0"/>
                <w:i w:val="0"/>
                <w:sz w:val="18"/>
              </w:rPr>
              <w:t>&lt;=14万元</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59FF8398">
            <w:pPr>
              <w:spacing w:before="0" w:after="0" w:line="240" w:lineRule="auto"/>
              <w:jc w:val="center"/>
            </w:pPr>
            <w:r>
              <w:rPr>
                <w:rFonts w:ascii="宋体" w:hAnsi="宋体" w:eastAsia="宋体"/>
                <w:b w:val="0"/>
                <w:i w:val="0"/>
                <w:sz w:val="18"/>
              </w:rPr>
              <w:t>=14万元</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5AE7B24F">
            <w:pPr>
              <w:spacing w:before="0" w:after="0" w:line="240" w:lineRule="auto"/>
              <w:jc w:val="center"/>
            </w:pPr>
            <w:r>
              <w:rPr>
                <w:rFonts w:ascii="宋体" w:hAnsi="宋体" w:eastAsia="宋体"/>
                <w:b w:val="0"/>
                <w:i w:val="0"/>
                <w:sz w:val="18"/>
              </w:rPr>
              <w:t>100%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3C1E765A">
            <w:pPr>
              <w:spacing w:before="0" w:after="0" w:line="240" w:lineRule="auto"/>
              <w:jc w:val="center"/>
            </w:pPr>
            <w:r>
              <w:rPr>
                <w:rFonts w:ascii="宋体" w:hAnsi="宋体" w:eastAsia="宋体"/>
                <w:b w:val="0"/>
                <w:i w:val="0"/>
                <w:sz w:val="18"/>
              </w:rPr>
              <w:t>5</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44C3903E">
            <w:pPr>
              <w:spacing w:before="0" w:after="0" w:line="240" w:lineRule="auto"/>
              <w:jc w:val="center"/>
            </w:pPr>
            <w:r>
              <w:rPr>
                <w:rFonts w:ascii="宋体" w:hAnsi="宋体" w:eastAsia="宋体"/>
                <w:b w:val="0"/>
                <w:i w:val="0"/>
                <w:sz w:val="18"/>
              </w:rPr>
              <w:t>计划标准</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20209407">
            <w:pPr>
              <w:spacing w:before="0" w:after="0" w:line="240" w:lineRule="auto"/>
              <w:jc w:val="center"/>
            </w:pPr>
            <w:r>
              <w:rPr>
                <w:rFonts w:ascii="宋体" w:hAnsi="宋体" w:eastAsia="宋体"/>
                <w:b w:val="0"/>
                <w:i w:val="0"/>
                <w:sz w:val="18"/>
              </w:rPr>
              <w:t>-</w:t>
            </w:r>
          </w:p>
        </w:tc>
        <w:tc>
          <w:tcPr>
            <w:tcW w:w="405" w:type="pct"/>
            <w:tcBorders>
              <w:top w:val="single" w:color="auto" w:sz="10" w:space="0"/>
              <w:left w:val="single" w:color="auto" w:sz="10" w:space="0"/>
              <w:bottom w:val="single" w:color="auto" w:sz="10" w:space="0"/>
              <w:right w:val="single" w:color="auto" w:sz="10" w:space="0"/>
              <w:insideV w:val="single" w:sz="10" w:space="0"/>
            </w:tcBorders>
            <w:vAlign w:val="center"/>
          </w:tcPr>
          <w:p w14:paraId="7C14D612">
            <w:pPr>
              <w:spacing w:before="0" w:after="0" w:line="240" w:lineRule="auto"/>
              <w:jc w:val="center"/>
            </w:pPr>
            <w:r>
              <w:rPr>
                <w:rFonts w:ascii="宋体" w:hAnsi="宋体" w:eastAsia="宋体"/>
                <w:b w:val="0"/>
                <w:i w:val="0"/>
                <w:sz w:val="18"/>
              </w:rPr>
              <w:t>按照完成比例赋分</w:t>
            </w:r>
          </w:p>
        </w:tc>
        <w:tc>
          <w:tcPr>
            <w:tcW w:w="360" w:type="pct"/>
            <w:tcBorders>
              <w:top w:val="single" w:color="auto" w:sz="10" w:space="0"/>
              <w:left w:val="single" w:color="auto" w:sz="10" w:space="0"/>
              <w:bottom w:val="single" w:color="auto" w:sz="10" w:space="0"/>
              <w:right w:val="single" w:color="auto" w:sz="10" w:space="0"/>
              <w:insideV w:val="single" w:sz="10" w:space="0"/>
            </w:tcBorders>
            <w:vAlign w:val="center"/>
          </w:tcPr>
          <w:p w14:paraId="438591F4">
            <w:pPr>
              <w:spacing w:before="0" w:after="0" w:line="240" w:lineRule="auto"/>
              <w:jc w:val="center"/>
            </w:pPr>
            <w:r>
              <w:rPr>
                <w:rFonts w:ascii="宋体" w:hAnsi="宋体" w:eastAsia="宋体"/>
                <w:b w:val="0"/>
                <w:i w:val="0"/>
                <w:sz w:val="18"/>
              </w:rPr>
              <w:t>原始凭证</w:t>
            </w:r>
          </w:p>
        </w:tc>
        <w:tc>
          <w:tcPr>
            <w:tcW w:w="838" w:type="pct"/>
            <w:tcBorders>
              <w:top w:val="single" w:color="auto" w:sz="10" w:space="0"/>
              <w:left w:val="single" w:color="auto" w:sz="10" w:space="0"/>
              <w:bottom w:val="single" w:color="auto" w:sz="10" w:space="0"/>
              <w:right w:val="single" w:color="auto" w:sz="10" w:space="0"/>
              <w:insideV w:val="single" w:sz="10" w:space="0"/>
            </w:tcBorders>
            <w:vAlign w:val="center"/>
          </w:tcPr>
          <w:p w14:paraId="32816B5B">
            <w:pPr>
              <w:spacing w:before="0" w:after="0" w:line="240" w:lineRule="auto"/>
              <w:jc w:val="center"/>
            </w:pPr>
          </w:p>
        </w:tc>
      </w:tr>
      <w:tr w14:paraId="429AA97D">
        <w:tblPrEx>
          <w:tblCellMar>
            <w:top w:w="36" w:type="dxa"/>
            <w:left w:w="36" w:type="dxa"/>
            <w:bottom w:w="36" w:type="dxa"/>
            <w:right w:w="36" w:type="dxa"/>
          </w:tblCellMar>
        </w:tblPrEx>
        <w:trPr>
          <w:trHeight w:val="380" w:hRule="atLeast"/>
        </w:trPr>
        <w:tc>
          <w:tcPr>
            <w:tcW w:w="211" w:type="pct"/>
            <w:vMerge w:val="continue"/>
            <w:tcBorders>
              <w:top w:val="single" w:color="auto" w:sz="10" w:space="0"/>
              <w:left w:val="single" w:color="auto" w:sz="10" w:space="0"/>
              <w:bottom w:val="single" w:color="auto" w:sz="10" w:space="0"/>
              <w:right w:val="single" w:color="auto" w:sz="10" w:space="0"/>
              <w:insideV w:val="single" w:sz="10" w:space="0"/>
            </w:tcBorders>
          </w:tcPr>
          <w:p w14:paraId="670D2507"/>
        </w:tc>
        <w:tc>
          <w:tcPr>
            <w:tcW w:w="296" w:type="pct"/>
            <w:vMerge w:val="continue"/>
            <w:tcBorders>
              <w:top w:val="single" w:color="auto" w:sz="10" w:space="0"/>
              <w:left w:val="single" w:color="auto" w:sz="10" w:space="0"/>
              <w:bottom w:val="single" w:color="auto" w:sz="10" w:space="0"/>
              <w:right w:val="single" w:color="auto" w:sz="10" w:space="0"/>
              <w:insideV w:val="single" w:sz="10" w:space="0"/>
            </w:tcBorders>
          </w:tcPr>
          <w:p w14:paraId="1B9216E4"/>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6CA863CB">
            <w:pPr>
              <w:spacing w:before="0" w:after="0" w:line="240" w:lineRule="auto"/>
              <w:jc w:val="center"/>
            </w:pPr>
            <w:r>
              <w:rPr>
                <w:rFonts w:ascii="宋体" w:hAnsi="宋体" w:eastAsia="宋体"/>
                <w:b w:val="0"/>
                <w:i w:val="0"/>
                <w:sz w:val="18"/>
              </w:rPr>
              <w:t>经济成本指标</w:t>
            </w:r>
          </w:p>
        </w:tc>
        <w:tc>
          <w:tcPr>
            <w:tcW w:w="474" w:type="pct"/>
            <w:tcBorders>
              <w:top w:val="single" w:color="auto" w:sz="10" w:space="0"/>
              <w:left w:val="single" w:color="auto" w:sz="10" w:space="0"/>
              <w:bottom w:val="single" w:color="auto" w:sz="10" w:space="0"/>
              <w:right w:val="single" w:color="auto" w:sz="10" w:space="0"/>
              <w:insideV w:val="single" w:sz="10" w:space="0"/>
            </w:tcBorders>
            <w:vAlign w:val="center"/>
          </w:tcPr>
          <w:p w14:paraId="2ADCE30A">
            <w:pPr>
              <w:spacing w:before="0" w:after="0" w:line="240" w:lineRule="auto"/>
              <w:jc w:val="center"/>
            </w:pPr>
            <w:r>
              <w:rPr>
                <w:rFonts w:ascii="宋体" w:hAnsi="宋体" w:eastAsia="宋体"/>
                <w:b w:val="0"/>
                <w:i w:val="0"/>
                <w:color w:val="000000"/>
                <w:sz w:val="18"/>
              </w:rPr>
              <w:t>改建标准化实验室建设费用</w:t>
            </w:r>
          </w:p>
        </w:tc>
        <w:tc>
          <w:tcPr>
            <w:tcW w:w="337" w:type="pct"/>
            <w:tcBorders>
              <w:top w:val="single" w:color="auto" w:sz="10" w:space="0"/>
              <w:left w:val="single" w:color="auto" w:sz="10" w:space="0"/>
              <w:bottom w:val="single" w:color="auto" w:sz="10" w:space="0"/>
              <w:right w:val="single" w:color="auto" w:sz="10" w:space="0"/>
              <w:insideV w:val="single" w:sz="10" w:space="0"/>
            </w:tcBorders>
            <w:vAlign w:val="center"/>
          </w:tcPr>
          <w:p w14:paraId="7AFD44FF">
            <w:pPr>
              <w:spacing w:before="0" w:after="0" w:line="240" w:lineRule="auto"/>
              <w:jc w:val="center"/>
            </w:pPr>
            <w:r>
              <w:rPr>
                <w:rFonts w:ascii="宋体" w:hAnsi="宋体" w:eastAsia="宋体"/>
                <w:b w:val="0"/>
                <w:i w:val="0"/>
                <w:sz w:val="18"/>
              </w:rPr>
              <w:t>5</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614EDDC2">
            <w:pPr>
              <w:spacing w:before="0" w:after="0" w:line="240" w:lineRule="auto"/>
              <w:jc w:val="center"/>
            </w:pPr>
            <w:r>
              <w:rPr>
                <w:rFonts w:ascii="宋体" w:hAnsi="宋体" w:eastAsia="宋体"/>
                <w:b w:val="0"/>
                <w:i w:val="0"/>
                <w:sz w:val="18"/>
              </w:rPr>
              <w:t>&lt;=100万元</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21CF47F9">
            <w:pPr>
              <w:spacing w:before="0" w:after="0" w:line="240" w:lineRule="auto"/>
              <w:jc w:val="center"/>
            </w:pPr>
            <w:r>
              <w:rPr>
                <w:rFonts w:ascii="宋体" w:hAnsi="宋体" w:eastAsia="宋体"/>
                <w:b w:val="0"/>
                <w:i w:val="0"/>
                <w:sz w:val="18"/>
              </w:rPr>
              <w:t>=80.41万元</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6520C18A">
            <w:pPr>
              <w:spacing w:before="0" w:after="0" w:line="240" w:lineRule="auto"/>
              <w:jc w:val="center"/>
            </w:pPr>
            <w:r>
              <w:rPr>
                <w:rFonts w:ascii="宋体" w:hAnsi="宋体" w:eastAsia="宋体"/>
                <w:b w:val="0"/>
                <w:i w:val="0"/>
                <w:sz w:val="18"/>
              </w:rPr>
              <w:t>80.41%</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68F06F3F">
            <w:pPr>
              <w:spacing w:before="0" w:after="0" w:line="240" w:lineRule="auto"/>
              <w:jc w:val="center"/>
            </w:pPr>
            <w:r>
              <w:rPr>
                <w:rFonts w:ascii="宋体" w:hAnsi="宋体" w:eastAsia="宋体"/>
                <w:b w:val="0"/>
                <w:i w:val="0"/>
                <w:sz w:val="18"/>
              </w:rPr>
              <w:t>2.55</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7C7C09ED">
            <w:pPr>
              <w:spacing w:before="0" w:after="0" w:line="240" w:lineRule="auto"/>
              <w:jc w:val="center"/>
            </w:pPr>
            <w:r>
              <w:rPr>
                <w:rFonts w:ascii="宋体" w:hAnsi="宋体" w:eastAsia="宋体"/>
                <w:b w:val="0"/>
                <w:i w:val="0"/>
                <w:sz w:val="18"/>
              </w:rPr>
              <w:t>计划标准</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21A24AC4">
            <w:pPr>
              <w:spacing w:before="0" w:after="0" w:line="240" w:lineRule="auto"/>
              <w:jc w:val="center"/>
            </w:pPr>
            <w:r>
              <w:rPr>
                <w:rFonts w:ascii="宋体" w:hAnsi="宋体" w:eastAsia="宋体"/>
                <w:b w:val="0"/>
                <w:i w:val="0"/>
                <w:sz w:val="18"/>
              </w:rPr>
              <w:t>-</w:t>
            </w:r>
          </w:p>
        </w:tc>
        <w:tc>
          <w:tcPr>
            <w:tcW w:w="405" w:type="pct"/>
            <w:tcBorders>
              <w:top w:val="single" w:color="auto" w:sz="10" w:space="0"/>
              <w:left w:val="single" w:color="auto" w:sz="10" w:space="0"/>
              <w:bottom w:val="single" w:color="auto" w:sz="10" w:space="0"/>
              <w:right w:val="single" w:color="auto" w:sz="10" w:space="0"/>
              <w:insideV w:val="single" w:sz="10" w:space="0"/>
            </w:tcBorders>
            <w:vAlign w:val="center"/>
          </w:tcPr>
          <w:p w14:paraId="564B4597">
            <w:pPr>
              <w:spacing w:before="0" w:after="0" w:line="240" w:lineRule="auto"/>
              <w:jc w:val="center"/>
            </w:pPr>
            <w:r>
              <w:rPr>
                <w:rFonts w:ascii="宋体" w:hAnsi="宋体" w:eastAsia="宋体"/>
                <w:b w:val="0"/>
                <w:i w:val="0"/>
                <w:sz w:val="18"/>
              </w:rPr>
              <w:t>按照完成比例赋分</w:t>
            </w:r>
          </w:p>
        </w:tc>
        <w:tc>
          <w:tcPr>
            <w:tcW w:w="360" w:type="pct"/>
            <w:tcBorders>
              <w:top w:val="single" w:color="auto" w:sz="10" w:space="0"/>
              <w:left w:val="single" w:color="auto" w:sz="10" w:space="0"/>
              <w:bottom w:val="single" w:color="auto" w:sz="10" w:space="0"/>
              <w:right w:val="single" w:color="auto" w:sz="10" w:space="0"/>
              <w:insideV w:val="single" w:sz="10" w:space="0"/>
            </w:tcBorders>
            <w:vAlign w:val="center"/>
          </w:tcPr>
          <w:p w14:paraId="687D5BEA">
            <w:pPr>
              <w:spacing w:before="0" w:after="0" w:line="240" w:lineRule="auto"/>
              <w:jc w:val="center"/>
            </w:pPr>
            <w:r>
              <w:rPr>
                <w:rFonts w:ascii="宋体" w:hAnsi="宋体" w:eastAsia="宋体"/>
                <w:b w:val="0"/>
                <w:i w:val="0"/>
                <w:sz w:val="18"/>
              </w:rPr>
              <w:t>原始凭证</w:t>
            </w:r>
          </w:p>
        </w:tc>
        <w:tc>
          <w:tcPr>
            <w:tcW w:w="838" w:type="pct"/>
            <w:tcBorders>
              <w:top w:val="single" w:color="auto" w:sz="10" w:space="0"/>
              <w:left w:val="single" w:color="auto" w:sz="10" w:space="0"/>
              <w:bottom w:val="single" w:color="auto" w:sz="10" w:space="0"/>
              <w:right w:val="single" w:color="auto" w:sz="10" w:space="0"/>
              <w:insideV w:val="single" w:sz="10" w:space="0"/>
            </w:tcBorders>
            <w:vAlign w:val="center"/>
          </w:tcPr>
          <w:p w14:paraId="41032EDC">
            <w:pPr>
              <w:spacing w:before="0" w:after="0" w:line="240" w:lineRule="auto"/>
              <w:jc w:val="center"/>
            </w:pPr>
            <w:r>
              <w:rPr>
                <w:rFonts w:ascii="宋体" w:hAnsi="宋体" w:eastAsia="宋体"/>
                <w:b w:val="0"/>
                <w:i w:val="0"/>
                <w:sz w:val="18"/>
              </w:rPr>
              <w:t>偏差原因：实验室改造项目批复较晚，并且项目经费截至目前未到位；改进措施：项目资金还在协调，自筹部分正在有序推进。</w:t>
            </w:r>
          </w:p>
        </w:tc>
      </w:tr>
      <w:tr w14:paraId="2EF0300B">
        <w:tblPrEx>
          <w:tblCellMar>
            <w:top w:w="36" w:type="dxa"/>
            <w:left w:w="36" w:type="dxa"/>
            <w:bottom w:w="36" w:type="dxa"/>
            <w:right w:w="36" w:type="dxa"/>
          </w:tblCellMar>
        </w:tblPrEx>
        <w:trPr>
          <w:trHeight w:val="380" w:hRule="atLeast"/>
        </w:trPr>
        <w:tc>
          <w:tcPr>
            <w:tcW w:w="211" w:type="pct"/>
            <w:vMerge w:val="continue"/>
            <w:tcBorders>
              <w:top w:val="single" w:color="auto" w:sz="10" w:space="0"/>
              <w:left w:val="single" w:color="auto" w:sz="10" w:space="0"/>
              <w:bottom w:val="single" w:color="auto" w:sz="10" w:space="0"/>
              <w:right w:val="single" w:color="auto" w:sz="10" w:space="0"/>
              <w:insideV w:val="single" w:sz="10" w:space="0"/>
            </w:tcBorders>
          </w:tcPr>
          <w:p w14:paraId="16CE1D73"/>
        </w:tc>
        <w:tc>
          <w:tcPr>
            <w:tcW w:w="296" w:type="pct"/>
            <w:vMerge w:val="continue"/>
            <w:tcBorders>
              <w:top w:val="single" w:color="auto" w:sz="10" w:space="0"/>
              <w:left w:val="single" w:color="auto" w:sz="10" w:space="0"/>
              <w:bottom w:val="single" w:color="auto" w:sz="10" w:space="0"/>
              <w:right w:val="single" w:color="auto" w:sz="10" w:space="0"/>
              <w:insideV w:val="single" w:sz="10" w:space="0"/>
            </w:tcBorders>
          </w:tcPr>
          <w:p w14:paraId="62795C57"/>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65C44676">
            <w:pPr>
              <w:spacing w:before="0" w:after="0" w:line="240" w:lineRule="auto"/>
              <w:jc w:val="center"/>
            </w:pPr>
            <w:r>
              <w:rPr>
                <w:rFonts w:ascii="宋体" w:hAnsi="宋体" w:eastAsia="宋体"/>
                <w:b w:val="0"/>
                <w:i w:val="0"/>
                <w:sz w:val="18"/>
              </w:rPr>
              <w:t>经济成本指标</w:t>
            </w:r>
          </w:p>
        </w:tc>
        <w:tc>
          <w:tcPr>
            <w:tcW w:w="474" w:type="pct"/>
            <w:tcBorders>
              <w:top w:val="single" w:color="auto" w:sz="10" w:space="0"/>
              <w:left w:val="single" w:color="auto" w:sz="10" w:space="0"/>
              <w:bottom w:val="single" w:color="auto" w:sz="10" w:space="0"/>
              <w:right w:val="single" w:color="auto" w:sz="10" w:space="0"/>
              <w:insideV w:val="single" w:sz="10" w:space="0"/>
            </w:tcBorders>
            <w:vAlign w:val="center"/>
          </w:tcPr>
          <w:p w14:paraId="50251B66">
            <w:pPr>
              <w:spacing w:before="0" w:after="0" w:line="240" w:lineRule="auto"/>
              <w:jc w:val="center"/>
            </w:pPr>
            <w:r>
              <w:rPr>
                <w:rFonts w:ascii="宋体" w:hAnsi="宋体" w:eastAsia="宋体"/>
                <w:b w:val="0"/>
                <w:i w:val="0"/>
                <w:color w:val="000000"/>
                <w:sz w:val="18"/>
              </w:rPr>
              <w:t>水文组织能力建设成本</w:t>
            </w:r>
          </w:p>
        </w:tc>
        <w:tc>
          <w:tcPr>
            <w:tcW w:w="337" w:type="pct"/>
            <w:tcBorders>
              <w:top w:val="single" w:color="auto" w:sz="10" w:space="0"/>
              <w:left w:val="single" w:color="auto" w:sz="10" w:space="0"/>
              <w:bottom w:val="single" w:color="auto" w:sz="10" w:space="0"/>
              <w:right w:val="single" w:color="auto" w:sz="10" w:space="0"/>
              <w:insideV w:val="single" w:sz="10" w:space="0"/>
            </w:tcBorders>
            <w:vAlign w:val="center"/>
          </w:tcPr>
          <w:p w14:paraId="39D4047A">
            <w:pPr>
              <w:spacing w:before="0" w:after="0" w:line="240" w:lineRule="auto"/>
              <w:jc w:val="center"/>
            </w:pPr>
            <w:r>
              <w:rPr>
                <w:rFonts w:ascii="宋体" w:hAnsi="宋体" w:eastAsia="宋体"/>
                <w:b w:val="0"/>
                <w:i w:val="0"/>
                <w:sz w:val="18"/>
              </w:rPr>
              <w:t>5</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06A1C4A6">
            <w:pPr>
              <w:spacing w:before="0" w:after="0" w:line="240" w:lineRule="auto"/>
              <w:jc w:val="center"/>
            </w:pPr>
            <w:r>
              <w:rPr>
                <w:rFonts w:ascii="宋体" w:hAnsi="宋体" w:eastAsia="宋体"/>
                <w:b w:val="0"/>
                <w:i w:val="0"/>
                <w:sz w:val="18"/>
              </w:rPr>
              <w:t>&lt;=15.98万元</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69CE549B">
            <w:pPr>
              <w:spacing w:before="0" w:after="0" w:line="240" w:lineRule="auto"/>
              <w:jc w:val="center"/>
            </w:pPr>
            <w:r>
              <w:rPr>
                <w:rFonts w:ascii="宋体" w:hAnsi="宋体" w:eastAsia="宋体"/>
                <w:b w:val="0"/>
                <w:i w:val="0"/>
                <w:sz w:val="18"/>
              </w:rPr>
              <w:t>=15.98万元</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2FE2C2A1">
            <w:pPr>
              <w:spacing w:before="0" w:after="0" w:line="240" w:lineRule="auto"/>
              <w:jc w:val="center"/>
            </w:pPr>
            <w:r>
              <w:rPr>
                <w:rFonts w:ascii="宋体" w:hAnsi="宋体" w:eastAsia="宋体"/>
                <w:b w:val="0"/>
                <w:i w:val="0"/>
                <w:sz w:val="18"/>
              </w:rPr>
              <w:t>100%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61C96B0D">
            <w:pPr>
              <w:spacing w:before="0" w:after="0" w:line="240" w:lineRule="auto"/>
              <w:jc w:val="center"/>
            </w:pPr>
            <w:r>
              <w:rPr>
                <w:rFonts w:ascii="宋体" w:hAnsi="宋体" w:eastAsia="宋体"/>
                <w:b w:val="0"/>
                <w:i w:val="0"/>
                <w:sz w:val="18"/>
              </w:rPr>
              <w:t>5</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108D70AE">
            <w:pPr>
              <w:spacing w:before="0" w:after="0" w:line="240" w:lineRule="auto"/>
              <w:jc w:val="center"/>
            </w:pPr>
            <w:r>
              <w:rPr>
                <w:rFonts w:ascii="宋体" w:hAnsi="宋体" w:eastAsia="宋体"/>
                <w:b w:val="0"/>
                <w:i w:val="0"/>
                <w:sz w:val="18"/>
              </w:rPr>
              <w:t>计划标准</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14155260">
            <w:pPr>
              <w:spacing w:before="0" w:after="0" w:line="240" w:lineRule="auto"/>
              <w:jc w:val="center"/>
            </w:pPr>
            <w:r>
              <w:rPr>
                <w:rFonts w:ascii="宋体" w:hAnsi="宋体" w:eastAsia="宋体"/>
                <w:b w:val="0"/>
                <w:i w:val="0"/>
                <w:sz w:val="18"/>
              </w:rPr>
              <w:t>-</w:t>
            </w:r>
          </w:p>
        </w:tc>
        <w:tc>
          <w:tcPr>
            <w:tcW w:w="405" w:type="pct"/>
            <w:tcBorders>
              <w:top w:val="single" w:color="auto" w:sz="10" w:space="0"/>
              <w:left w:val="single" w:color="auto" w:sz="10" w:space="0"/>
              <w:bottom w:val="single" w:color="auto" w:sz="10" w:space="0"/>
              <w:right w:val="single" w:color="auto" w:sz="10" w:space="0"/>
              <w:insideV w:val="single" w:sz="10" w:space="0"/>
            </w:tcBorders>
            <w:vAlign w:val="center"/>
          </w:tcPr>
          <w:p w14:paraId="0EB0786C">
            <w:pPr>
              <w:spacing w:before="0" w:after="0" w:line="240" w:lineRule="auto"/>
              <w:jc w:val="center"/>
            </w:pPr>
            <w:r>
              <w:rPr>
                <w:rFonts w:ascii="宋体" w:hAnsi="宋体" w:eastAsia="宋体"/>
                <w:b w:val="0"/>
                <w:i w:val="0"/>
                <w:sz w:val="18"/>
              </w:rPr>
              <w:t>按照完成比例赋分</w:t>
            </w:r>
          </w:p>
        </w:tc>
        <w:tc>
          <w:tcPr>
            <w:tcW w:w="360" w:type="pct"/>
            <w:tcBorders>
              <w:top w:val="single" w:color="auto" w:sz="10" w:space="0"/>
              <w:left w:val="single" w:color="auto" w:sz="10" w:space="0"/>
              <w:bottom w:val="single" w:color="auto" w:sz="10" w:space="0"/>
              <w:right w:val="single" w:color="auto" w:sz="10" w:space="0"/>
              <w:insideV w:val="single" w:sz="10" w:space="0"/>
            </w:tcBorders>
            <w:vAlign w:val="center"/>
          </w:tcPr>
          <w:p w14:paraId="088113CF">
            <w:pPr>
              <w:spacing w:before="0" w:after="0" w:line="240" w:lineRule="auto"/>
              <w:jc w:val="center"/>
            </w:pPr>
            <w:r>
              <w:rPr>
                <w:rFonts w:ascii="宋体" w:hAnsi="宋体" w:eastAsia="宋体"/>
                <w:b w:val="0"/>
                <w:i w:val="0"/>
                <w:sz w:val="18"/>
              </w:rPr>
              <w:t>原始凭证</w:t>
            </w:r>
          </w:p>
        </w:tc>
        <w:tc>
          <w:tcPr>
            <w:tcW w:w="838" w:type="pct"/>
            <w:tcBorders>
              <w:top w:val="single" w:color="auto" w:sz="10" w:space="0"/>
              <w:left w:val="single" w:color="auto" w:sz="10" w:space="0"/>
              <w:bottom w:val="single" w:color="auto" w:sz="10" w:space="0"/>
              <w:right w:val="single" w:color="auto" w:sz="10" w:space="0"/>
              <w:insideV w:val="single" w:sz="10" w:space="0"/>
            </w:tcBorders>
            <w:vAlign w:val="center"/>
          </w:tcPr>
          <w:p w14:paraId="26E6C9BB">
            <w:pPr>
              <w:spacing w:before="0" w:after="0" w:line="240" w:lineRule="auto"/>
              <w:jc w:val="center"/>
            </w:pPr>
            <w:r>
              <w:rPr>
                <w:rFonts w:ascii="宋体" w:hAnsi="宋体" w:eastAsia="宋体"/>
                <w:b w:val="0"/>
                <w:i w:val="0"/>
                <w:sz w:val="18"/>
              </w:rPr>
              <w:t>偏差原因：税金及附加有减免政策，在职转退休，福利费有所下调；改进措施：今后考虑周全，精准编制预算。</w:t>
            </w:r>
          </w:p>
        </w:tc>
      </w:tr>
      <w:tr w14:paraId="706D9B22">
        <w:tblPrEx>
          <w:tblCellMar>
            <w:top w:w="36" w:type="dxa"/>
            <w:left w:w="36" w:type="dxa"/>
            <w:bottom w:w="36" w:type="dxa"/>
            <w:right w:w="36" w:type="dxa"/>
          </w:tblCellMar>
        </w:tblPrEx>
        <w:trPr>
          <w:trHeight w:val="380" w:hRule="atLeast"/>
        </w:trPr>
        <w:tc>
          <w:tcPr>
            <w:tcW w:w="211" w:type="pct"/>
            <w:vMerge w:val="continue"/>
            <w:tcBorders>
              <w:top w:val="single" w:color="auto" w:sz="10" w:space="0"/>
              <w:left w:val="single" w:color="auto" w:sz="10" w:space="0"/>
              <w:bottom w:val="single" w:color="auto" w:sz="10" w:space="0"/>
              <w:right w:val="single" w:color="auto" w:sz="10" w:space="0"/>
              <w:insideV w:val="single" w:sz="10" w:space="0"/>
            </w:tcBorders>
          </w:tcPr>
          <w:p w14:paraId="3EA29E9B"/>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3AAD24A4">
            <w:pPr>
              <w:spacing w:before="0" w:after="0" w:line="240" w:lineRule="auto"/>
              <w:jc w:val="center"/>
            </w:pPr>
            <w:r>
              <w:rPr>
                <w:rFonts w:ascii="宋体" w:hAnsi="宋体" w:eastAsia="宋体"/>
                <w:b w:val="0"/>
                <w:i w:val="0"/>
                <w:sz w:val="18"/>
              </w:rPr>
              <w:t>效益指标</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10DCAF9E">
            <w:pPr>
              <w:spacing w:before="0" w:after="0" w:line="240" w:lineRule="auto"/>
              <w:jc w:val="center"/>
            </w:pPr>
            <w:r>
              <w:rPr>
                <w:rFonts w:ascii="宋体" w:hAnsi="宋体" w:eastAsia="宋体"/>
                <w:b w:val="0"/>
                <w:i w:val="0"/>
                <w:sz w:val="18"/>
              </w:rPr>
              <w:t>社会效益指标</w:t>
            </w:r>
          </w:p>
        </w:tc>
        <w:tc>
          <w:tcPr>
            <w:tcW w:w="474" w:type="pct"/>
            <w:tcBorders>
              <w:top w:val="single" w:color="auto" w:sz="10" w:space="0"/>
              <w:left w:val="single" w:color="auto" w:sz="10" w:space="0"/>
              <w:bottom w:val="single" w:color="auto" w:sz="10" w:space="0"/>
              <w:right w:val="single" w:color="auto" w:sz="10" w:space="0"/>
              <w:insideV w:val="single" w:sz="10" w:space="0"/>
            </w:tcBorders>
            <w:vAlign w:val="center"/>
          </w:tcPr>
          <w:p w14:paraId="0D1AA365">
            <w:pPr>
              <w:spacing w:before="0" w:after="0" w:line="240" w:lineRule="auto"/>
              <w:jc w:val="center"/>
            </w:pPr>
            <w:r>
              <w:rPr>
                <w:rFonts w:ascii="宋体" w:hAnsi="宋体" w:eastAsia="宋体"/>
                <w:b w:val="0"/>
                <w:i w:val="0"/>
                <w:color w:val="000000"/>
                <w:sz w:val="18"/>
              </w:rPr>
              <w:t>饮用水水源水质达标率</w:t>
            </w:r>
          </w:p>
        </w:tc>
        <w:tc>
          <w:tcPr>
            <w:tcW w:w="337" w:type="pct"/>
            <w:tcBorders>
              <w:top w:val="single" w:color="auto" w:sz="10" w:space="0"/>
              <w:left w:val="single" w:color="auto" w:sz="10" w:space="0"/>
              <w:bottom w:val="single" w:color="auto" w:sz="10" w:space="0"/>
              <w:right w:val="single" w:color="auto" w:sz="10" w:space="0"/>
              <w:insideV w:val="single" w:sz="10" w:space="0"/>
            </w:tcBorders>
            <w:vAlign w:val="center"/>
          </w:tcPr>
          <w:p w14:paraId="1C55D6B6">
            <w:pPr>
              <w:spacing w:before="0" w:after="0" w:line="240" w:lineRule="auto"/>
              <w:jc w:val="center"/>
            </w:pPr>
            <w:r>
              <w:rPr>
                <w:rFonts w:ascii="宋体" w:hAnsi="宋体" w:eastAsia="宋体"/>
                <w:b w:val="0"/>
                <w:i w:val="0"/>
                <w:sz w:val="18"/>
              </w:rPr>
              <w:t>20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576E90D7">
            <w:pPr>
              <w:spacing w:before="0" w:after="0" w:line="240" w:lineRule="auto"/>
              <w:jc w:val="center"/>
            </w:pPr>
            <w:r>
              <w:rPr>
                <w:rFonts w:ascii="宋体" w:hAnsi="宋体" w:eastAsia="宋体"/>
                <w:b w:val="0"/>
                <w:i w:val="0"/>
                <w:sz w:val="18"/>
              </w:rPr>
              <w:t>&gt;=90%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3730784C">
            <w:pPr>
              <w:spacing w:before="0" w:after="0" w:line="240" w:lineRule="auto"/>
              <w:jc w:val="center"/>
            </w:pPr>
            <w:r>
              <w:rPr>
                <w:rFonts w:ascii="宋体" w:hAnsi="宋体" w:eastAsia="宋体"/>
                <w:b w:val="0"/>
                <w:i w:val="0"/>
                <w:sz w:val="18"/>
              </w:rPr>
              <w:t>=95%</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0BA11A15">
            <w:pPr>
              <w:spacing w:before="0" w:after="0" w:line="240" w:lineRule="auto"/>
              <w:jc w:val="center"/>
            </w:pPr>
            <w:r>
              <w:rPr>
                <w:rFonts w:ascii="宋体" w:hAnsi="宋体" w:eastAsia="宋体"/>
                <w:b w:val="0"/>
                <w:i w:val="0"/>
                <w:sz w:val="18"/>
              </w:rPr>
              <w:t>100%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0CE9BA4E">
            <w:pPr>
              <w:spacing w:before="0" w:after="0" w:line="240" w:lineRule="auto"/>
              <w:jc w:val="center"/>
            </w:pPr>
            <w:r>
              <w:rPr>
                <w:rFonts w:ascii="宋体" w:hAnsi="宋体" w:eastAsia="宋体"/>
                <w:b w:val="0"/>
                <w:i w:val="0"/>
                <w:sz w:val="18"/>
              </w:rPr>
              <w:t>20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2C22ADE3">
            <w:pPr>
              <w:spacing w:before="0" w:after="0" w:line="240" w:lineRule="auto"/>
              <w:jc w:val="center"/>
            </w:pPr>
            <w:r>
              <w:rPr>
                <w:rFonts w:ascii="宋体" w:hAnsi="宋体" w:eastAsia="宋体"/>
                <w:b w:val="0"/>
                <w:i w:val="0"/>
                <w:sz w:val="18"/>
              </w:rPr>
              <w:t>历史标准</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0D8D70FC">
            <w:pPr>
              <w:spacing w:before="0" w:after="0" w:line="240" w:lineRule="auto"/>
              <w:jc w:val="center"/>
            </w:pPr>
            <w:r>
              <w:rPr>
                <w:rFonts w:ascii="宋体" w:hAnsi="宋体" w:eastAsia="宋体"/>
                <w:b w:val="0"/>
                <w:i w:val="0"/>
                <w:sz w:val="18"/>
              </w:rPr>
              <w:t>-</w:t>
            </w:r>
          </w:p>
        </w:tc>
        <w:tc>
          <w:tcPr>
            <w:tcW w:w="405" w:type="pct"/>
            <w:tcBorders>
              <w:top w:val="single" w:color="auto" w:sz="10" w:space="0"/>
              <w:left w:val="single" w:color="auto" w:sz="10" w:space="0"/>
              <w:bottom w:val="single" w:color="auto" w:sz="10" w:space="0"/>
              <w:right w:val="single" w:color="auto" w:sz="10" w:space="0"/>
              <w:insideV w:val="single" w:sz="10" w:space="0"/>
            </w:tcBorders>
            <w:vAlign w:val="center"/>
          </w:tcPr>
          <w:p w14:paraId="5A9C5E6B">
            <w:pPr>
              <w:spacing w:before="0" w:after="0" w:line="240" w:lineRule="auto"/>
              <w:jc w:val="center"/>
            </w:pPr>
            <w:r>
              <w:rPr>
                <w:rFonts w:ascii="宋体" w:hAnsi="宋体" w:eastAsia="宋体"/>
                <w:b w:val="0"/>
                <w:i w:val="0"/>
                <w:sz w:val="18"/>
              </w:rPr>
              <w:t>按评判等级赋分</w:t>
            </w:r>
          </w:p>
        </w:tc>
        <w:tc>
          <w:tcPr>
            <w:tcW w:w="360" w:type="pct"/>
            <w:tcBorders>
              <w:top w:val="single" w:color="auto" w:sz="10" w:space="0"/>
              <w:left w:val="single" w:color="auto" w:sz="10" w:space="0"/>
              <w:bottom w:val="single" w:color="auto" w:sz="10" w:space="0"/>
              <w:right w:val="single" w:color="auto" w:sz="10" w:space="0"/>
              <w:insideV w:val="single" w:sz="10" w:space="0"/>
            </w:tcBorders>
            <w:vAlign w:val="center"/>
          </w:tcPr>
          <w:p w14:paraId="11339FE2">
            <w:pPr>
              <w:spacing w:before="0" w:after="0" w:line="240" w:lineRule="auto"/>
              <w:jc w:val="center"/>
            </w:pPr>
            <w:r>
              <w:rPr>
                <w:rFonts w:ascii="宋体" w:hAnsi="宋体" w:eastAsia="宋体"/>
                <w:b w:val="0"/>
                <w:i w:val="0"/>
                <w:sz w:val="18"/>
              </w:rPr>
              <w:t>工作资料</w:t>
            </w:r>
          </w:p>
        </w:tc>
        <w:tc>
          <w:tcPr>
            <w:tcW w:w="838" w:type="pct"/>
            <w:tcBorders>
              <w:top w:val="single" w:color="auto" w:sz="10" w:space="0"/>
              <w:left w:val="single" w:color="auto" w:sz="10" w:space="0"/>
              <w:bottom w:val="single" w:color="auto" w:sz="10" w:space="0"/>
              <w:right w:val="single" w:color="auto" w:sz="10" w:space="0"/>
              <w:insideV w:val="single" w:sz="10" w:space="0"/>
            </w:tcBorders>
            <w:vAlign w:val="center"/>
          </w:tcPr>
          <w:p w14:paraId="54A26DD7">
            <w:pPr>
              <w:spacing w:before="0" w:after="0" w:line="240" w:lineRule="auto"/>
              <w:jc w:val="center"/>
            </w:pPr>
          </w:p>
        </w:tc>
      </w:tr>
      <w:tr w14:paraId="39E1C4D7">
        <w:tblPrEx>
          <w:tblCellMar>
            <w:top w:w="36" w:type="dxa"/>
            <w:left w:w="36" w:type="dxa"/>
            <w:bottom w:w="36" w:type="dxa"/>
            <w:right w:w="36" w:type="dxa"/>
          </w:tblCellMar>
        </w:tblPrEx>
        <w:trPr>
          <w:trHeight w:val="380" w:hRule="atLeast"/>
        </w:trPr>
        <w:tc>
          <w:tcPr>
            <w:tcW w:w="1279" w:type="pct"/>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C2505D">
            <w:pPr>
              <w:spacing w:before="0" w:after="0" w:line="240" w:lineRule="auto"/>
              <w:jc w:val="center"/>
            </w:pPr>
            <w:r>
              <w:rPr>
                <w:rFonts w:ascii="宋体" w:hAnsi="宋体" w:eastAsia="宋体"/>
                <w:b/>
                <w:i w:val="0"/>
                <w:color w:val="000000"/>
                <w:sz w:val="18"/>
              </w:rPr>
              <w:t>总分</w:t>
            </w:r>
          </w:p>
        </w:tc>
        <w:tc>
          <w:tcPr>
            <w:tcW w:w="337" w:type="pct"/>
            <w:tcBorders>
              <w:top w:val="single" w:color="auto" w:sz="10" w:space="0"/>
              <w:left w:val="single" w:color="auto" w:sz="10" w:space="0"/>
              <w:bottom w:val="single" w:color="auto" w:sz="10" w:space="0"/>
              <w:right w:val="single" w:color="auto" w:sz="10" w:space="0"/>
              <w:insideV w:val="single" w:sz="10" w:space="0"/>
            </w:tcBorders>
            <w:vAlign w:val="center"/>
          </w:tcPr>
          <w:p w14:paraId="52A79D35">
            <w:pPr>
              <w:spacing w:before="0" w:after="0" w:line="240" w:lineRule="auto"/>
              <w:jc w:val="center"/>
            </w:pPr>
            <w:r>
              <w:rPr>
                <w:rFonts w:ascii="宋体" w:hAnsi="宋体" w:eastAsia="宋体"/>
                <w:b w:val="0"/>
                <w:i w:val="0"/>
                <w:color w:val="000000"/>
                <w:sz w:val="18"/>
              </w:rPr>
              <w:t>100</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364D1484">
            <w:pPr>
              <w:spacing w:before="0" w:after="0" w:line="240" w:lineRule="auto"/>
              <w:jc w:val="center"/>
            </w:pP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1E4ED7B7">
            <w:pPr>
              <w:spacing w:before="0" w:after="0" w:line="240" w:lineRule="auto"/>
              <w:jc w:val="center"/>
            </w:pP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4A892B18">
            <w:pPr>
              <w:spacing w:before="0" w:after="0" w:line="240" w:lineRule="auto"/>
              <w:jc w:val="center"/>
            </w:pP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0D4255A6">
            <w:pPr>
              <w:spacing w:before="0" w:after="0" w:line="240" w:lineRule="auto"/>
              <w:jc w:val="center"/>
            </w:pPr>
            <w:r>
              <w:rPr>
                <w:rFonts w:ascii="宋体" w:hAnsi="宋体" w:eastAsia="宋体"/>
                <w:b w:val="0"/>
                <w:i w:val="0"/>
                <w:color w:val="000000"/>
                <w:sz w:val="18"/>
              </w:rPr>
              <w:t>94.33</w:t>
            </w: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6631BA8E">
            <w:pPr>
              <w:spacing w:before="0" w:after="0" w:line="240" w:lineRule="auto"/>
              <w:jc w:val="center"/>
            </w:pPr>
          </w:p>
        </w:tc>
        <w:tc>
          <w:tcPr>
            <w:tcW w:w="296" w:type="pct"/>
            <w:tcBorders>
              <w:top w:val="single" w:color="auto" w:sz="10" w:space="0"/>
              <w:left w:val="single" w:color="auto" w:sz="10" w:space="0"/>
              <w:bottom w:val="single" w:color="auto" w:sz="10" w:space="0"/>
              <w:right w:val="single" w:color="auto" w:sz="10" w:space="0"/>
              <w:insideV w:val="single" w:sz="10" w:space="0"/>
            </w:tcBorders>
            <w:vAlign w:val="center"/>
          </w:tcPr>
          <w:p w14:paraId="1CBAB4CB">
            <w:pPr>
              <w:spacing w:before="0" w:after="0" w:line="240" w:lineRule="auto"/>
              <w:jc w:val="center"/>
            </w:pPr>
          </w:p>
        </w:tc>
        <w:tc>
          <w:tcPr>
            <w:tcW w:w="405" w:type="pct"/>
            <w:tcBorders>
              <w:top w:val="single" w:color="auto" w:sz="10" w:space="0"/>
              <w:left w:val="single" w:color="auto" w:sz="10" w:space="0"/>
              <w:bottom w:val="single" w:color="auto" w:sz="10" w:space="0"/>
              <w:right w:val="single" w:color="auto" w:sz="10" w:space="0"/>
              <w:insideV w:val="single" w:sz="10" w:space="0"/>
            </w:tcBorders>
            <w:vAlign w:val="center"/>
          </w:tcPr>
          <w:p w14:paraId="5E7AB26D">
            <w:pPr>
              <w:spacing w:before="0" w:after="0" w:line="240" w:lineRule="auto"/>
              <w:jc w:val="center"/>
            </w:pPr>
          </w:p>
        </w:tc>
        <w:tc>
          <w:tcPr>
            <w:tcW w:w="360" w:type="pct"/>
            <w:tcBorders>
              <w:top w:val="single" w:color="auto" w:sz="10" w:space="0"/>
              <w:left w:val="single" w:color="auto" w:sz="10" w:space="0"/>
              <w:bottom w:val="single" w:color="auto" w:sz="10" w:space="0"/>
              <w:right w:val="single" w:color="auto" w:sz="10" w:space="0"/>
              <w:insideV w:val="single" w:sz="10" w:space="0"/>
            </w:tcBorders>
            <w:vAlign w:val="center"/>
          </w:tcPr>
          <w:p w14:paraId="665D3ADC">
            <w:pPr>
              <w:spacing w:before="0" w:after="0" w:line="240" w:lineRule="auto"/>
              <w:jc w:val="center"/>
            </w:pPr>
          </w:p>
        </w:tc>
        <w:tc>
          <w:tcPr>
            <w:tcW w:w="838" w:type="pct"/>
            <w:tcBorders>
              <w:top w:val="single" w:color="auto" w:sz="10" w:space="0"/>
              <w:left w:val="single" w:color="auto" w:sz="10" w:space="0"/>
              <w:bottom w:val="single" w:color="auto" w:sz="10" w:space="0"/>
              <w:right w:val="single" w:color="auto" w:sz="10" w:space="0"/>
              <w:insideV w:val="single" w:sz="10" w:space="0"/>
            </w:tcBorders>
            <w:vAlign w:val="center"/>
          </w:tcPr>
          <w:p w14:paraId="1D1D29C8">
            <w:pPr>
              <w:spacing w:before="0" w:after="0" w:line="240" w:lineRule="auto"/>
              <w:jc w:val="center"/>
            </w:pPr>
          </w:p>
        </w:tc>
      </w:tr>
    </w:tbl>
    <w:p w14:paraId="3F00D496">
      <w:r>
        <w:br w:type="page"/>
      </w:r>
    </w:p>
    <w:p w14:paraId="01EE00B5">
      <w:pPr>
        <w:sectPr>
          <w:type w:val="continuous"/>
          <w:pgSz w:w="11906" w:h="16838"/>
          <w:pgMar w:top="1440" w:right="1800" w:bottom="1440" w:left="1800" w:header="851" w:footer="992" w:gutter="0"/>
          <w:cols w:space="720" w:num="1"/>
          <w:docGrid w:type="lines" w:linePitch="312" w:charSpace="0"/>
        </w:sectPr>
      </w:pPr>
    </w:p>
    <w:p w14:paraId="3485FC6D">
      <w:pPr>
        <w:spacing w:line="640" w:lineRule="exact"/>
        <w:ind w:firstLine="640"/>
        <w:jc w:val="both"/>
        <w:outlineLvl w:val="2"/>
      </w:pPr>
      <w:r>
        <w:rPr>
          <w:rFonts w:ascii="黑体" w:hAnsi="黑体" w:eastAsia="黑体"/>
          <w:sz w:val="32"/>
        </w:rPr>
        <w:t>十二、其他需说明的事项</w:t>
      </w:r>
    </w:p>
    <w:p w14:paraId="1E04590A">
      <w:pPr>
        <w:spacing w:line="580" w:lineRule="exact"/>
        <w:ind w:firstLine="640"/>
        <w:jc w:val="both"/>
      </w:pPr>
      <w:r>
        <w:rPr>
          <w:rFonts w:ascii="仿宋_GB2312" w:hAnsi="仿宋_GB2312" w:eastAsia="仿宋_GB2312"/>
          <w:b w:val="0"/>
          <w:sz w:val="32"/>
        </w:rPr>
        <w:t>本单位无其他需说明的事项。</w:t>
      </w:r>
    </w:p>
    <w:p w14:paraId="64AAB106">
      <w:r>
        <w:br w:type="page"/>
      </w:r>
    </w:p>
    <w:p w14:paraId="00A03D41">
      <w:pPr>
        <w:spacing w:line="600" w:lineRule="exact"/>
        <w:jc w:val="center"/>
        <w:outlineLvl w:val="0"/>
      </w:pPr>
      <w:r>
        <w:rPr>
          <w:rFonts w:ascii="黑体" w:hAnsi="黑体" w:eastAsia="黑体"/>
          <w:sz w:val="32"/>
        </w:rPr>
        <w:t>第三部分 专业名词解释</w:t>
      </w:r>
    </w:p>
    <w:p w14:paraId="5DF12086">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174182DA">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EF5730A">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0EFB92E">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F4195CD">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0372F33C">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601B38A3">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684A0CD6">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1DBE6EDB">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710E64F7">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23DF8549">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7E916F76">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2C1EC03">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4214A903">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1FFAA24C">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791CB61A">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065A47B">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5E2B7BA3">
      <w:r>
        <w:br w:type="page"/>
      </w:r>
    </w:p>
    <w:p w14:paraId="4015DB1C">
      <w:pPr>
        <w:spacing w:line="240" w:lineRule="auto"/>
        <w:jc w:val="center"/>
        <w:outlineLvl w:val="1"/>
      </w:pPr>
      <w:r>
        <w:rPr>
          <w:rFonts w:ascii="黑体" w:hAnsi="黑体" w:eastAsia="黑体"/>
          <w:sz w:val="32"/>
        </w:rPr>
        <w:t>第四部分 部门决算报表（见附表）</w:t>
      </w:r>
    </w:p>
    <w:p w14:paraId="74F78D2D">
      <w:pPr>
        <w:autoSpaceDE w:val="0"/>
        <w:autoSpaceDN w:val="0"/>
        <w:spacing w:line="600" w:lineRule="exact"/>
        <w:ind w:firstLine="640" w:firstLineChars="200"/>
      </w:pPr>
      <w:r>
        <w:rPr>
          <w:rFonts w:ascii="仿宋_GB2312" w:hAnsi="仿宋_GB2312" w:eastAsia="仿宋_GB2312"/>
          <w:b w:val="0"/>
          <w:sz w:val="32"/>
        </w:rPr>
        <w:t>一、《收入支出决算总表》</w:t>
      </w:r>
    </w:p>
    <w:p w14:paraId="39CB106A">
      <w:pPr>
        <w:autoSpaceDE w:val="0"/>
        <w:autoSpaceDN w:val="0"/>
        <w:spacing w:line="600" w:lineRule="exact"/>
        <w:ind w:firstLine="640" w:firstLineChars="200"/>
      </w:pPr>
      <w:r>
        <w:rPr>
          <w:rFonts w:ascii="仿宋_GB2312" w:hAnsi="仿宋_GB2312" w:eastAsia="仿宋_GB2312"/>
          <w:b w:val="0"/>
          <w:sz w:val="32"/>
        </w:rPr>
        <w:t>二、《收入决算表》</w:t>
      </w:r>
    </w:p>
    <w:p w14:paraId="034F5912">
      <w:pPr>
        <w:autoSpaceDE w:val="0"/>
        <w:autoSpaceDN w:val="0"/>
        <w:spacing w:line="600" w:lineRule="exact"/>
        <w:ind w:firstLine="640" w:firstLineChars="200"/>
      </w:pPr>
      <w:r>
        <w:rPr>
          <w:rFonts w:ascii="仿宋_GB2312" w:hAnsi="仿宋_GB2312" w:eastAsia="仿宋_GB2312"/>
          <w:b w:val="0"/>
          <w:sz w:val="32"/>
        </w:rPr>
        <w:t>三、《支出决算表》</w:t>
      </w:r>
    </w:p>
    <w:p w14:paraId="30FA9FCE">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4788DD30">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159C83F">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370A6748">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0CC3FE67">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8FD4D70">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5EC9238B">
      <w:pPr>
        <w:autoSpaceDE w:val="0"/>
        <w:autoSpaceDN w:val="0"/>
        <w:spacing w:line="600" w:lineRule="exact"/>
        <w:ind w:firstLine="640" w:firstLineChars="200"/>
      </w:pPr>
    </w:p>
    <w:p w14:paraId="3A697D5F">
      <w:pPr>
        <w:autoSpaceDE w:val="0"/>
        <w:autoSpaceDN w:val="0"/>
        <w:spacing w:line="600" w:lineRule="exact"/>
        <w:ind w:firstLine="640" w:firstLineChars="200"/>
      </w:pPr>
    </w:p>
    <w:p w14:paraId="32485F3E">
      <w:pPr>
        <w:autoSpaceDE w:val="0"/>
        <w:autoSpaceDN w:val="0"/>
        <w:spacing w:line="600" w:lineRule="exact"/>
        <w:ind w:firstLine="640" w:firstLineChars="200"/>
      </w:pPr>
    </w:p>
    <w:p w14:paraId="1B26C437">
      <w:pPr>
        <w:autoSpaceDE w:val="0"/>
        <w:autoSpaceDN w:val="0"/>
        <w:spacing w:line="600" w:lineRule="exact"/>
        <w:ind w:firstLine="640" w:firstLineChars="200"/>
      </w:pPr>
    </w:p>
    <w:p w14:paraId="6E290F8C">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BB90FD7-370A-4480-94B6-5493B3A9558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DE1BED6-D4AB-4D19-96F5-F2BB64CF868D}"/>
  </w:font>
  <w:font w:name="仿宋_GB2312">
    <w:panose1 w:val="02010609030101010101"/>
    <w:charset w:val="86"/>
    <w:family w:val="modern"/>
    <w:pitch w:val="default"/>
    <w:sig w:usb0="00000001" w:usb1="080E0000" w:usb2="00000000" w:usb3="00000000" w:csb0="00040000" w:csb1="00000000"/>
    <w:embedRegular r:id="rId3" w:fontKey="{F96E8EFC-82BC-4893-B0A5-027DA3564B44}"/>
  </w:font>
  <w:font w:name="楷体_GB2312">
    <w:altName w:val="楷体"/>
    <w:panose1 w:val="00000000000000000000"/>
    <w:charset w:val="00"/>
    <w:family w:val="auto"/>
    <w:pitch w:val="default"/>
    <w:sig w:usb0="00000000" w:usb1="00000000" w:usb2="00000000" w:usb3="00000000" w:csb0="00000000" w:csb1="00000000"/>
    <w:embedRegular r:id="rId4" w:fontKey="{A87BE867-231A-4BF9-B2B7-4D33FBE69CC7}"/>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6F07935"/>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71E74DD"/>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7fd8b10d-9c94-45b0-b65e-0a4059090271</errorID>
      <errorWord>2月31日</errorWord>
      <group>L1_Sensitive</group>
      <groupName>敏感问题</groupName>
      <ability>L2_UserSensitive</ability>
      <abilityName>自定义敏感词</abilityName>
      <candidateList/>
      <explain>来自自定义敏感词库。</explain>
      <paraID>47B4B226</paraID>
      <start>8</start>
      <end>13</end>
      <status>ignored</status>
      <modifiedWord/>
      <trackRevisions>false</trackRevisions>
    </reviewItem>
    <reviewItem>
      <errorID>3ff633f6-8861-4153-9ee2-e1dde383f943</errorID>
      <errorWord>月对</errorWord>
      <group>L1_Word</group>
      <groupName>字词问题</groupName>
      <ability>L2_Typo</ability>
      <abilityName>字词错误</abilityName>
      <candidateList>
        <item>月</item>
      </candidateList>
      <explain/>
      <paraID>7C62CEF1</paraID>
      <start>141</start>
      <end>143</end>
      <status>ignored</status>
      <modifiedWord/>
      <trackRevisions>false</trackRevisions>
    </reviewItem>
    <reviewItem>
      <errorID>3ad12566-91c7-429a-9b41-c0ba4156a0e0</errorID>
      <errorWord>监控</errorWord>
      <group>L1_Sensitive</group>
      <groupName>敏感问题</groupName>
      <ability>L2_UserSensitive</ability>
      <abilityName>自定义敏感词</abilityName>
      <candidateList/>
      <explain>来自自定义敏感词库。</explain>
      <paraID>7C62CEF1</paraID>
      <start>690</start>
      <end>692</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2f3dee02-4673-41d2-8371-bfb8a1356f7c}">
  <ds:schemaRefs/>
</ds:datastoreItem>
</file>

<file path=docProps/app.xml><?xml version="1.0" encoding="utf-8"?>
<Properties xmlns="http://schemas.openxmlformats.org/officeDocument/2006/extended-properties" xmlns:vt="http://schemas.openxmlformats.org/officeDocument/2006/docPropsVTypes">
  <Template>Normal.dotm</Template>
  <Pages>23</Pages>
  <Words>8591</Words>
  <Characters>9643</Characters>
  <Lines>10</Lines>
  <Paragraphs>2</Paragraphs>
  <TotalTime>16</TotalTime>
  <ScaleCrop>false</ScaleCrop>
  <LinksUpToDate>false</LinksUpToDate>
  <CharactersWithSpaces>9657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2026-08-28T07:32:25Z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