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新疆维吾尔自治区水资源管理中心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78FB06DF">
      <w:r>
        <w:br w:type="page"/>
      </w:r>
    </w:p>
    <w:p w14:paraId="6CAE6F95">
      <w:pPr>
        <w:spacing w:line="640" w:lineRule="exact"/>
        <w:jc w:val="center"/>
        <w:outlineLvl w:val="1"/>
      </w:pPr>
      <w:r>
        <w:rPr>
          <w:rFonts w:ascii="黑体" w:hAnsi="黑体" w:eastAsia="黑体"/>
          <w:sz w:val="32"/>
        </w:rPr>
        <w:t>第一部分 单位概况</w:t>
      </w:r>
    </w:p>
    <w:p w14:paraId="62F25086">
      <w:pPr>
        <w:spacing w:line="640" w:lineRule="exact"/>
        <w:ind w:firstLine="640"/>
        <w:jc w:val="both"/>
        <w:outlineLvl w:val="2"/>
      </w:pPr>
      <w:r>
        <w:rPr>
          <w:rFonts w:ascii="黑体" w:hAnsi="黑体" w:eastAsia="黑体"/>
          <w:sz w:val="32"/>
        </w:rPr>
        <w:t>一、主要职能</w:t>
      </w:r>
    </w:p>
    <w:p w14:paraId="2FD14102">
      <w:pPr>
        <w:spacing w:line="580" w:lineRule="exact"/>
        <w:ind w:firstLine="640"/>
        <w:jc w:val="both"/>
      </w:pPr>
      <w:r>
        <w:rPr>
          <w:rFonts w:ascii="仿宋_GB2312" w:hAnsi="仿宋_GB2312" w:eastAsia="仿宋_GB2312"/>
          <w:sz w:val="32"/>
        </w:rPr>
        <w:t>具体负责拟定水资源管理相关指标，组织开展监督和考核等工作；受委托承担取水许可和建设项目水资源论证的相关技术工作；负责水资源管理信息化建设及运行管理；对计划用水、节约用水情况进行技术评估和指导等；负责水资源信息资料的统计分析工作，编制水资源公报；承担水资源管理有关项目、政策法规的研究与咨询；完成厅交办的其他工作。</w:t>
      </w:r>
    </w:p>
    <w:p w14:paraId="30E4F8CB">
      <w:pPr>
        <w:spacing w:line="640" w:lineRule="exact"/>
        <w:ind w:firstLine="640"/>
        <w:jc w:val="both"/>
        <w:outlineLvl w:val="2"/>
      </w:pPr>
      <w:r>
        <w:rPr>
          <w:rFonts w:ascii="黑体" w:hAnsi="黑体" w:eastAsia="黑体"/>
          <w:sz w:val="32"/>
        </w:rPr>
        <w:t>二、机构设置</w:t>
      </w:r>
    </w:p>
    <w:p w14:paraId="2297C5F9">
      <w:pPr>
        <w:spacing w:line="580" w:lineRule="exact"/>
        <w:ind w:firstLine="640"/>
        <w:jc w:val="both"/>
      </w:pPr>
      <w:r>
        <w:rPr>
          <w:rFonts w:ascii="仿宋_GB2312" w:hAnsi="仿宋_GB2312" w:eastAsia="仿宋_GB2312"/>
          <w:sz w:val="32"/>
        </w:rPr>
        <w:t>新疆维吾尔自治区水资源管理中心无下属预算单位。</w:t>
      </w:r>
    </w:p>
    <w:p w14:paraId="4D4EBBA0">
      <w:r>
        <w:br w:type="page"/>
      </w:r>
    </w:p>
    <w:p w14:paraId="243F32CC">
      <w:pPr>
        <w:spacing w:line="240" w:lineRule="auto"/>
        <w:jc w:val="center"/>
        <w:outlineLvl w:val="1"/>
      </w:pPr>
      <w:r>
        <w:rPr>
          <w:rFonts w:ascii="黑体" w:hAnsi="黑体" w:eastAsia="黑体"/>
          <w:sz w:val="32"/>
        </w:rPr>
        <w:t>第二部分 部门决算情况说明</w:t>
      </w:r>
    </w:p>
    <w:p w14:paraId="46553799">
      <w:pPr>
        <w:spacing w:line="640" w:lineRule="exact"/>
        <w:ind w:firstLine="640"/>
        <w:jc w:val="both"/>
        <w:outlineLvl w:val="2"/>
      </w:pPr>
      <w:r>
        <w:rPr>
          <w:rFonts w:ascii="黑体" w:hAnsi="黑体" w:eastAsia="黑体"/>
          <w:sz w:val="32"/>
        </w:rPr>
        <w:t>一、收入支出决算总体情况说明</w:t>
      </w:r>
    </w:p>
    <w:p w14:paraId="28F90D90">
      <w:pPr>
        <w:spacing w:line="580" w:lineRule="exact"/>
        <w:ind w:firstLine="640"/>
        <w:jc w:val="both"/>
      </w:pPr>
      <w:r>
        <w:rPr>
          <w:rFonts w:ascii="仿宋_GB2312" w:hAnsi="仿宋_GB2312" w:eastAsia="仿宋_GB2312"/>
          <w:b/>
          <w:sz w:val="32"/>
        </w:rPr>
        <w:t>2025年度收入总计807.97万元，</w:t>
      </w:r>
      <w:r>
        <w:rPr>
          <w:rFonts w:ascii="仿宋_GB2312" w:hAnsi="仿宋_GB2312" w:eastAsia="仿宋_GB2312"/>
          <w:b w:val="0"/>
          <w:sz w:val="32"/>
        </w:rPr>
        <w:t>其中：本年收入合计793.77万元，使用非财政拨款结余（含专用结余）5.17万元，年初结转和结余9.03万元。</w:t>
      </w:r>
    </w:p>
    <w:p w14:paraId="6E7E8EEB">
      <w:pPr>
        <w:spacing w:line="580" w:lineRule="exact"/>
        <w:ind w:firstLine="640"/>
        <w:jc w:val="both"/>
      </w:pPr>
      <w:r>
        <w:rPr>
          <w:rFonts w:ascii="仿宋_GB2312" w:hAnsi="仿宋_GB2312" w:eastAsia="仿宋_GB2312"/>
          <w:b/>
          <w:sz w:val="32"/>
        </w:rPr>
        <w:t>2025年度支出总计807.97万元，</w:t>
      </w:r>
      <w:r>
        <w:rPr>
          <w:rFonts w:ascii="仿宋_GB2312" w:hAnsi="仿宋_GB2312" w:eastAsia="仿宋_GB2312"/>
          <w:b w:val="0"/>
          <w:sz w:val="32"/>
        </w:rPr>
        <w:t>其中：本年支出合计804.27万元，结余分配0.00万元，年末结转和结余3.71万元。</w:t>
      </w:r>
    </w:p>
    <w:p w14:paraId="6E12FCD4">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增加655.30万元，增长429.23%，主要原因是：</w:t>
      </w:r>
      <w:r>
        <w:rPr>
          <w:rFonts w:hint="eastAsia" w:ascii="仿宋_GB2312" w:hAnsi="仿宋_GB2312" w:eastAsia="仿宋_GB2312"/>
          <w:b w:val="0"/>
          <w:sz w:val="32"/>
          <w:lang w:val="en-US" w:eastAsia="zh-CN"/>
        </w:rPr>
        <w:t>本年机构改革，</w:t>
      </w:r>
      <w:r>
        <w:rPr>
          <w:rFonts w:ascii="仿宋_GB2312" w:hAnsi="仿宋_GB2312" w:eastAsia="仿宋_GB2312"/>
          <w:b w:val="0"/>
          <w:sz w:val="32"/>
        </w:rPr>
        <w:t>自治区水资源中心和农牧水利资金监督检查所合并，人员增加，人员经费及公用经费相应增加。</w:t>
      </w:r>
    </w:p>
    <w:p w14:paraId="3AB8C147">
      <w:pPr>
        <w:spacing w:line="640" w:lineRule="exact"/>
        <w:ind w:firstLine="640"/>
        <w:jc w:val="both"/>
        <w:outlineLvl w:val="2"/>
      </w:pPr>
      <w:r>
        <w:rPr>
          <w:rFonts w:ascii="黑体" w:hAnsi="黑体" w:eastAsia="黑体"/>
          <w:sz w:val="32"/>
        </w:rPr>
        <w:t>二、收入决算情况说明</w:t>
      </w:r>
    </w:p>
    <w:p w14:paraId="1ECD8308">
      <w:pPr>
        <w:spacing w:line="580" w:lineRule="exact"/>
        <w:ind w:firstLine="640"/>
        <w:jc w:val="both"/>
      </w:pPr>
      <w:r>
        <w:rPr>
          <w:rFonts w:ascii="仿宋_GB2312" w:hAnsi="仿宋_GB2312" w:eastAsia="仿宋_GB2312"/>
          <w:b/>
          <w:sz w:val="32"/>
        </w:rPr>
        <w:t>本年收入793.77万元，</w:t>
      </w:r>
      <w:r>
        <w:rPr>
          <w:rFonts w:ascii="仿宋_GB2312" w:hAnsi="仿宋_GB2312" w:eastAsia="仿宋_GB2312"/>
          <w:b w:val="0"/>
          <w:sz w:val="32"/>
        </w:rPr>
        <w:t>其中：财政拨款收入793.56万元，占99.97%；上级补助收入0.00万元，占0.00%；事业收入0.00万元，占0.00%；经营收入0.00万元，占0.00%；附属单位上缴收入0.00万元，占0.00%；其他收入0.21万元，占0.03%。</w:t>
      </w:r>
    </w:p>
    <w:p w14:paraId="5D455299">
      <w:pPr>
        <w:spacing w:line="640" w:lineRule="exact"/>
        <w:ind w:firstLine="640"/>
        <w:jc w:val="both"/>
        <w:outlineLvl w:val="2"/>
      </w:pPr>
      <w:r>
        <w:rPr>
          <w:rFonts w:ascii="黑体" w:hAnsi="黑体" w:eastAsia="黑体"/>
          <w:sz w:val="32"/>
        </w:rPr>
        <w:t>三、支出决算情况说明</w:t>
      </w:r>
    </w:p>
    <w:p w14:paraId="398E06A2">
      <w:pPr>
        <w:spacing w:line="580" w:lineRule="exact"/>
        <w:ind w:firstLine="640"/>
        <w:jc w:val="both"/>
      </w:pPr>
      <w:r>
        <w:rPr>
          <w:rFonts w:ascii="仿宋_GB2312" w:hAnsi="仿宋_GB2312" w:eastAsia="仿宋_GB2312"/>
          <w:b/>
          <w:sz w:val="32"/>
        </w:rPr>
        <w:t>本年支出804.27万元，</w:t>
      </w:r>
      <w:r>
        <w:rPr>
          <w:rFonts w:ascii="仿宋_GB2312" w:hAnsi="仿宋_GB2312" w:eastAsia="仿宋_GB2312"/>
          <w:b w:val="0"/>
          <w:sz w:val="32"/>
        </w:rPr>
        <w:t>其中：基本支出424.27万元，占52.75%；项目支出380.00万元，占47.25%；上缴上级支出0.00万元，占0.00%；经营支出0.00万元，占0.00%；对附属单位补助支出0.00万元，占0.00%。</w:t>
      </w:r>
    </w:p>
    <w:p w14:paraId="7679780C">
      <w:pPr>
        <w:spacing w:line="640" w:lineRule="exact"/>
        <w:ind w:firstLine="640"/>
        <w:jc w:val="both"/>
        <w:outlineLvl w:val="2"/>
      </w:pPr>
      <w:r>
        <w:rPr>
          <w:rFonts w:ascii="黑体" w:hAnsi="黑体" w:eastAsia="黑体"/>
          <w:sz w:val="32"/>
        </w:rPr>
        <w:t>四、财政拨款收入支出决算总体情况说明</w:t>
      </w:r>
    </w:p>
    <w:p w14:paraId="0ECE75B6">
      <w:pPr>
        <w:spacing w:line="580" w:lineRule="exact"/>
        <w:ind w:firstLine="640"/>
        <w:jc w:val="both"/>
      </w:pPr>
      <w:r>
        <w:rPr>
          <w:rFonts w:ascii="仿宋_GB2312" w:hAnsi="仿宋_GB2312" w:eastAsia="仿宋_GB2312"/>
          <w:b/>
          <w:sz w:val="32"/>
        </w:rPr>
        <w:t>2025年度财政拨款收入总计802.28万元，</w:t>
      </w:r>
      <w:r>
        <w:rPr>
          <w:rFonts w:ascii="仿宋_GB2312" w:hAnsi="仿宋_GB2312" w:eastAsia="仿宋_GB2312"/>
          <w:b w:val="0"/>
          <w:sz w:val="32"/>
        </w:rPr>
        <w:t>其中：年初财政拨款结转和结余8.73万元，本年财政拨款收入793.56万元。</w:t>
      </w:r>
      <w:r>
        <w:rPr>
          <w:rFonts w:ascii="仿宋_GB2312" w:hAnsi="仿宋_GB2312" w:eastAsia="仿宋_GB2312"/>
          <w:b/>
          <w:sz w:val="32"/>
        </w:rPr>
        <w:t>财政拨款支出总计802.28万元，</w:t>
      </w:r>
      <w:r>
        <w:rPr>
          <w:rFonts w:ascii="仿宋_GB2312" w:hAnsi="仿宋_GB2312" w:eastAsia="仿宋_GB2312"/>
          <w:b w:val="0"/>
          <w:sz w:val="32"/>
        </w:rPr>
        <w:t>其中：年末财政拨款结转和结余3.40万元，本年财政拨款支出798.88万元。</w:t>
      </w:r>
    </w:p>
    <w:p w14:paraId="16200AF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增加649.68万元，增长425.74%，主要原因是：</w:t>
      </w:r>
      <w:r>
        <w:rPr>
          <w:rFonts w:hint="eastAsia" w:ascii="仿宋_GB2312" w:hAnsi="仿宋_GB2312" w:eastAsia="仿宋_GB2312"/>
          <w:b w:val="0"/>
          <w:sz w:val="32"/>
          <w:lang w:val="en-US" w:eastAsia="zh-CN"/>
        </w:rPr>
        <w:t>本年机构改革，</w:t>
      </w:r>
      <w:r>
        <w:rPr>
          <w:rFonts w:ascii="仿宋_GB2312" w:hAnsi="仿宋_GB2312" w:eastAsia="仿宋_GB2312"/>
          <w:b w:val="0"/>
          <w:sz w:val="32"/>
        </w:rPr>
        <w:t>自治区水资源中心和农牧水利资金监督检查所合并，人员增加，人员经费及公用经费相应增加。</w:t>
      </w:r>
      <w:r>
        <w:rPr>
          <w:rFonts w:ascii="仿宋_GB2312" w:hAnsi="仿宋_GB2312" w:eastAsia="仿宋_GB2312"/>
          <w:b/>
          <w:sz w:val="32"/>
        </w:rPr>
        <w:t>与年初预算相比，</w:t>
      </w:r>
      <w:r>
        <w:rPr>
          <w:rFonts w:ascii="仿宋_GB2312" w:hAnsi="仿宋_GB2312" w:eastAsia="仿宋_GB2312"/>
          <w:b w:val="0"/>
          <w:sz w:val="32"/>
        </w:rPr>
        <w:t>年初预算数715.01万元，决算数802.28万元，预决算差异率12.21%，主要原因是：</w:t>
      </w:r>
      <w:r>
        <w:rPr>
          <w:rFonts w:hint="eastAsia" w:ascii="仿宋_GB2312" w:hAnsi="仿宋_GB2312" w:eastAsia="仿宋_GB2312"/>
          <w:b w:val="0"/>
          <w:sz w:val="32"/>
          <w:lang w:val="en-US" w:eastAsia="zh-CN"/>
        </w:rPr>
        <w:t>年</w:t>
      </w:r>
      <w:r>
        <w:rPr>
          <w:rFonts w:ascii="仿宋_GB2312" w:hAnsi="仿宋_GB2312" w:eastAsia="仿宋_GB2312"/>
          <w:b w:val="0"/>
          <w:sz w:val="32"/>
        </w:rPr>
        <w:t>中追加</w:t>
      </w:r>
      <w:bookmarkStart w:id="0" w:name="_GoBack"/>
      <w:r>
        <w:rPr>
          <w:rFonts w:ascii="仿宋_GB2312" w:hAnsi="仿宋_GB2312" w:eastAsia="仿宋_GB2312"/>
          <w:b w:val="0"/>
          <w:sz w:val="32"/>
        </w:rPr>
        <w:t>民族团结一家亲</w:t>
      </w:r>
      <w:bookmarkEnd w:id="0"/>
      <w:r>
        <w:rPr>
          <w:rFonts w:ascii="仿宋_GB2312" w:hAnsi="仿宋_GB2312" w:eastAsia="仿宋_GB2312"/>
          <w:b w:val="0"/>
          <w:sz w:val="32"/>
        </w:rPr>
        <w:t>活动经费、在职和退休</w:t>
      </w:r>
      <w:r>
        <w:rPr>
          <w:rFonts w:hint="eastAsia" w:ascii="仿宋_GB2312" w:hAnsi="仿宋_GB2312" w:eastAsia="仿宋_GB2312"/>
          <w:b w:val="0"/>
          <w:sz w:val="32"/>
          <w:lang w:val="en-US" w:eastAsia="zh-CN"/>
        </w:rPr>
        <w:t>人员</w:t>
      </w:r>
      <w:r>
        <w:rPr>
          <w:rFonts w:ascii="仿宋_GB2312" w:hAnsi="仿宋_GB2312" w:eastAsia="仿宋_GB2312"/>
          <w:b w:val="0"/>
          <w:sz w:val="32"/>
        </w:rPr>
        <w:t>绩效奖、人员增资</w:t>
      </w:r>
      <w:r>
        <w:rPr>
          <w:rFonts w:hint="eastAsia" w:ascii="仿宋_GB2312" w:hAnsi="仿宋_GB2312" w:eastAsia="仿宋_GB2312"/>
          <w:b w:val="0"/>
          <w:sz w:val="32"/>
          <w:lang w:val="en-US" w:eastAsia="zh-CN"/>
        </w:rPr>
        <w:t>部分导致预决算存在差异</w:t>
      </w:r>
      <w:r>
        <w:rPr>
          <w:rFonts w:ascii="仿宋_GB2312" w:hAnsi="仿宋_GB2312" w:eastAsia="仿宋_GB2312"/>
          <w:b w:val="0"/>
          <w:sz w:val="32"/>
        </w:rPr>
        <w:t>。</w:t>
      </w:r>
    </w:p>
    <w:p w14:paraId="7AA496BB">
      <w:pPr>
        <w:spacing w:line="640" w:lineRule="exact"/>
        <w:ind w:firstLine="640"/>
        <w:jc w:val="both"/>
        <w:outlineLvl w:val="2"/>
      </w:pPr>
      <w:r>
        <w:rPr>
          <w:rFonts w:ascii="黑体" w:hAnsi="黑体" w:eastAsia="黑体"/>
          <w:sz w:val="32"/>
        </w:rPr>
        <w:t>五、一般公共预算财政拨款支出决算情况说明</w:t>
      </w:r>
    </w:p>
    <w:p w14:paraId="121B9A75">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事业发展、民生保障等重点支出，体现在有关支出科目中。</w:t>
      </w:r>
    </w:p>
    <w:p w14:paraId="448BF529">
      <w:pPr>
        <w:spacing w:line="580" w:lineRule="exact"/>
        <w:ind w:firstLine="640"/>
        <w:jc w:val="both"/>
      </w:pPr>
      <w:r>
        <w:rPr>
          <w:rFonts w:ascii="仿宋_GB2312" w:hAnsi="仿宋_GB2312" w:eastAsia="仿宋_GB2312"/>
          <w:b w:val="0"/>
          <w:sz w:val="32"/>
        </w:rPr>
        <w:t>按照支出功能分类，农林水支出（类）水利（款）水利行业业务管理（项）的支出占本年财政拨款支出总额的比重最高，2025年度决算数为475.04万元，占比59.46%，主要用于在职事业人员的工资福利，日常公用经费，单位</w:t>
      </w:r>
      <w:r>
        <w:rPr>
          <w:rFonts w:hint="eastAsia" w:ascii="仿宋_GB2312" w:hAnsi="仿宋_GB2312" w:eastAsia="仿宋_GB2312"/>
          <w:b w:val="0"/>
          <w:sz w:val="32"/>
          <w:lang w:val="en-US" w:eastAsia="zh-CN"/>
        </w:rPr>
        <w:t>专项</w:t>
      </w:r>
      <w:r>
        <w:rPr>
          <w:rFonts w:ascii="仿宋_GB2312" w:hAnsi="仿宋_GB2312" w:eastAsia="仿宋_GB2312"/>
          <w:b w:val="0"/>
          <w:sz w:val="32"/>
        </w:rPr>
        <w:t>项目经费。</w:t>
      </w:r>
    </w:p>
    <w:p w14:paraId="5E2460F3">
      <w:pPr>
        <w:spacing w:line="640" w:lineRule="exact"/>
        <w:ind w:firstLine="640"/>
        <w:jc w:val="both"/>
        <w:outlineLvl w:val="3"/>
      </w:pPr>
      <w:r>
        <w:rPr>
          <w:rFonts w:ascii="楷体_GB2312" w:hAnsi="楷体_GB2312" w:eastAsia="楷体_GB2312"/>
          <w:b/>
          <w:sz w:val="32"/>
        </w:rPr>
        <w:t>（一）一般公共预算财政拨款支出决算总体情况</w:t>
      </w:r>
    </w:p>
    <w:p w14:paraId="79D0D0AF">
      <w:pPr>
        <w:spacing w:line="580" w:lineRule="exact"/>
        <w:ind w:firstLine="640"/>
        <w:jc w:val="both"/>
      </w:pPr>
      <w:r>
        <w:rPr>
          <w:rFonts w:ascii="仿宋_GB2312" w:hAnsi="仿宋_GB2312" w:eastAsia="仿宋_GB2312"/>
          <w:b/>
          <w:sz w:val="32"/>
        </w:rPr>
        <w:t>2025年度一般公共预算财政拨款支出798.88万元，</w:t>
      </w:r>
      <w:r>
        <w:rPr>
          <w:rFonts w:ascii="仿宋_GB2312" w:hAnsi="仿宋_GB2312" w:eastAsia="仿宋_GB2312"/>
          <w:b w:val="0"/>
          <w:sz w:val="32"/>
        </w:rPr>
        <w:t>占本年支出合计的99.33%。</w:t>
      </w:r>
      <w:r>
        <w:rPr>
          <w:rFonts w:ascii="仿宋_GB2312" w:hAnsi="仿宋_GB2312" w:eastAsia="仿宋_GB2312"/>
          <w:b/>
          <w:sz w:val="32"/>
        </w:rPr>
        <w:t>与上年相比，</w:t>
      </w:r>
      <w:r>
        <w:rPr>
          <w:rFonts w:ascii="仿宋_GB2312" w:hAnsi="仿宋_GB2312" w:eastAsia="仿宋_GB2312"/>
          <w:b w:val="0"/>
          <w:sz w:val="32"/>
        </w:rPr>
        <w:t>增加652.18万元，增长444.57%，主要原因是：</w:t>
      </w:r>
      <w:r>
        <w:rPr>
          <w:rFonts w:hint="eastAsia" w:ascii="仿宋_GB2312" w:hAnsi="仿宋_GB2312" w:eastAsia="仿宋_GB2312"/>
          <w:b w:val="0"/>
          <w:sz w:val="32"/>
          <w:lang w:val="en-US" w:eastAsia="zh-CN"/>
        </w:rPr>
        <w:t>本年机构改革，</w:t>
      </w:r>
      <w:r>
        <w:rPr>
          <w:rFonts w:ascii="仿宋_GB2312" w:hAnsi="仿宋_GB2312" w:eastAsia="仿宋_GB2312"/>
          <w:b w:val="0"/>
          <w:sz w:val="32"/>
        </w:rPr>
        <w:t>自治区水资源中心和农牧水利资金监督检查所合并，人员增加，人员经费及公用经费相应增加。</w:t>
      </w:r>
      <w:r>
        <w:rPr>
          <w:rFonts w:ascii="仿宋_GB2312" w:hAnsi="仿宋_GB2312" w:eastAsia="仿宋_GB2312"/>
          <w:b/>
          <w:sz w:val="32"/>
        </w:rPr>
        <w:t>与年初预算相比，</w:t>
      </w:r>
      <w:r>
        <w:rPr>
          <w:rFonts w:ascii="仿宋_GB2312" w:hAnsi="仿宋_GB2312" w:eastAsia="仿宋_GB2312"/>
          <w:b w:val="0"/>
          <w:sz w:val="32"/>
        </w:rPr>
        <w:t>年初预算数715.01万元，决算数798.88万元，预决算差异率11.73%，主要原因是：</w:t>
      </w:r>
      <w:r>
        <w:rPr>
          <w:rFonts w:hint="eastAsia" w:ascii="仿宋_GB2312" w:hAnsi="仿宋_GB2312" w:eastAsia="仿宋_GB2312"/>
          <w:b w:val="0"/>
          <w:sz w:val="32"/>
          <w:lang w:val="en-US" w:eastAsia="zh-CN"/>
        </w:rPr>
        <w:t>年</w:t>
      </w:r>
      <w:r>
        <w:rPr>
          <w:rFonts w:ascii="仿宋_GB2312" w:hAnsi="仿宋_GB2312" w:eastAsia="仿宋_GB2312"/>
          <w:b w:val="0"/>
          <w:sz w:val="32"/>
        </w:rPr>
        <w:t>中追加民族团结一家亲活动经费、在职和退休</w:t>
      </w:r>
      <w:r>
        <w:rPr>
          <w:rFonts w:hint="eastAsia" w:ascii="仿宋_GB2312" w:hAnsi="仿宋_GB2312" w:eastAsia="仿宋_GB2312"/>
          <w:b w:val="0"/>
          <w:sz w:val="32"/>
          <w:lang w:val="en-US" w:eastAsia="zh-CN"/>
        </w:rPr>
        <w:t>人员</w:t>
      </w:r>
      <w:r>
        <w:rPr>
          <w:rFonts w:ascii="仿宋_GB2312" w:hAnsi="仿宋_GB2312" w:eastAsia="仿宋_GB2312"/>
          <w:b w:val="0"/>
          <w:sz w:val="32"/>
        </w:rPr>
        <w:t>绩效奖、人员增资</w:t>
      </w:r>
      <w:r>
        <w:rPr>
          <w:rFonts w:hint="eastAsia" w:ascii="仿宋_GB2312" w:hAnsi="仿宋_GB2312" w:eastAsia="仿宋_GB2312"/>
          <w:b w:val="0"/>
          <w:sz w:val="32"/>
          <w:lang w:val="en-US" w:eastAsia="zh-CN"/>
        </w:rPr>
        <w:t>部分导致预决算存在差异</w:t>
      </w:r>
      <w:r>
        <w:rPr>
          <w:rFonts w:ascii="仿宋_GB2312" w:hAnsi="仿宋_GB2312" w:eastAsia="仿宋_GB2312"/>
          <w:b w:val="0"/>
          <w:sz w:val="32"/>
        </w:rPr>
        <w:t>。</w:t>
      </w:r>
    </w:p>
    <w:p w14:paraId="4469D753">
      <w:pPr>
        <w:spacing w:line="640" w:lineRule="exact"/>
        <w:ind w:firstLine="640"/>
        <w:jc w:val="both"/>
        <w:outlineLvl w:val="3"/>
      </w:pPr>
      <w:r>
        <w:rPr>
          <w:rFonts w:ascii="楷体_GB2312" w:hAnsi="楷体_GB2312" w:eastAsia="楷体_GB2312"/>
          <w:b/>
          <w:sz w:val="32"/>
        </w:rPr>
        <w:t>（二）一般公共预算财政拨款支出决算结构情况</w:t>
      </w:r>
    </w:p>
    <w:p w14:paraId="76DAC70C">
      <w:pPr>
        <w:spacing w:line="580" w:lineRule="exact"/>
        <w:ind w:firstLine="640"/>
        <w:jc w:val="both"/>
      </w:pPr>
      <w:r>
        <w:rPr>
          <w:rFonts w:ascii="仿宋_GB2312" w:hAnsi="仿宋_GB2312" w:eastAsia="仿宋_GB2312"/>
          <w:b w:val="0"/>
          <w:sz w:val="32"/>
        </w:rPr>
        <w:t>1.社会保障和就业支出（类）69.84万元，占8.74%。</w:t>
      </w:r>
    </w:p>
    <w:p w14:paraId="1795842D">
      <w:pPr>
        <w:spacing w:line="580" w:lineRule="exact"/>
        <w:ind w:firstLine="640"/>
        <w:jc w:val="both"/>
      </w:pPr>
      <w:r>
        <w:rPr>
          <w:rFonts w:ascii="仿宋_GB2312" w:hAnsi="仿宋_GB2312" w:eastAsia="仿宋_GB2312"/>
          <w:b w:val="0"/>
          <w:sz w:val="32"/>
        </w:rPr>
        <w:t>2.卫生健康支出（类）34.58万元，占4.33%。</w:t>
      </w:r>
    </w:p>
    <w:p w14:paraId="41FC19CC">
      <w:pPr>
        <w:spacing w:line="580" w:lineRule="exact"/>
        <w:ind w:firstLine="640"/>
        <w:jc w:val="both"/>
      </w:pPr>
      <w:r>
        <w:rPr>
          <w:rFonts w:ascii="仿宋_GB2312" w:hAnsi="仿宋_GB2312" w:eastAsia="仿宋_GB2312"/>
          <w:b w:val="0"/>
          <w:sz w:val="32"/>
        </w:rPr>
        <w:t>3.农林水支出（类）668.63万元，占83.70%。</w:t>
      </w:r>
    </w:p>
    <w:p w14:paraId="4496F36C">
      <w:pPr>
        <w:spacing w:line="580" w:lineRule="exact"/>
        <w:ind w:firstLine="640"/>
        <w:jc w:val="both"/>
      </w:pPr>
      <w:r>
        <w:rPr>
          <w:rFonts w:ascii="仿宋_GB2312" w:hAnsi="仿宋_GB2312" w:eastAsia="仿宋_GB2312"/>
          <w:b w:val="0"/>
          <w:sz w:val="32"/>
        </w:rPr>
        <w:t>4.住房保障支出（类）25.84万元，占3.23%。</w:t>
      </w:r>
    </w:p>
    <w:p w14:paraId="4FB48F6D">
      <w:pPr>
        <w:spacing w:line="640" w:lineRule="exact"/>
        <w:ind w:firstLine="640"/>
        <w:jc w:val="both"/>
        <w:outlineLvl w:val="3"/>
      </w:pPr>
      <w:r>
        <w:rPr>
          <w:rFonts w:ascii="楷体_GB2312" w:hAnsi="楷体_GB2312" w:eastAsia="楷体_GB2312"/>
          <w:b/>
          <w:sz w:val="32"/>
        </w:rPr>
        <w:t>（三）一般公共预算财政拨款支出决算具体情况</w:t>
      </w:r>
    </w:p>
    <w:p w14:paraId="08AC26F8">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1.社会保障和就业支出（类）行政事业单位养老支出（款）行政单位离退休（项）：支出决算数为5.05万元，比上年决算增加0.60万元，增长13.48%，主要原因是：本年增加退休人员基础绩效奖，退休费支出增加。</w:t>
      </w:r>
    </w:p>
    <w:p w14:paraId="6C051D48">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2.社会保障和就业支出（类）行政事业单位养老支出（款）事业单位离退休（项）：支出决算数为5.93万元，比上年决算增加5.93万元，增长100.00%，主要原因是：</w:t>
      </w:r>
      <w:r>
        <w:rPr>
          <w:rFonts w:hint="eastAsia" w:ascii="仿宋_GB2312" w:hAnsi="仿宋_GB2312" w:eastAsia="仿宋_GB2312"/>
          <w:b w:val="0"/>
          <w:sz w:val="32"/>
          <w:lang w:val="en-US" w:eastAsia="zh-CN"/>
        </w:rPr>
        <w:t>本年机构改革，</w:t>
      </w:r>
      <w:r>
        <w:rPr>
          <w:rFonts w:ascii="仿宋_GB2312" w:hAnsi="仿宋_GB2312" w:eastAsia="仿宋_GB2312"/>
          <w:b w:val="0"/>
          <w:sz w:val="32"/>
        </w:rPr>
        <w:t>自治区水资源中心和农牧水利资金监督检查所合并，退休人员增加，增加退休人员基础绩效奖，退休费支出增加。</w:t>
      </w:r>
    </w:p>
    <w:p w14:paraId="45752BC3">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3.社会保障和就业支出（类）行政事业单位养老支出（款）机关事业单位基本养老保险缴费支出（项）：支出决算数为39.63万元，比上年决算增加27.44万元，增长225.10%，主要原因是：</w:t>
      </w:r>
      <w:r>
        <w:rPr>
          <w:rFonts w:hint="eastAsia" w:ascii="仿宋_GB2312" w:hAnsi="仿宋_GB2312" w:eastAsia="仿宋_GB2312"/>
          <w:b w:val="0"/>
          <w:sz w:val="32"/>
          <w:lang w:val="en-US" w:eastAsia="zh-CN"/>
        </w:rPr>
        <w:t>本年机构改革，</w:t>
      </w:r>
      <w:r>
        <w:rPr>
          <w:rFonts w:ascii="仿宋_GB2312" w:hAnsi="仿宋_GB2312" w:eastAsia="仿宋_GB2312"/>
          <w:b w:val="0"/>
          <w:sz w:val="32"/>
        </w:rPr>
        <w:t>自治区水资源中心和农牧水利资金监督检查所合并，</w:t>
      </w:r>
      <w:r>
        <w:rPr>
          <w:rFonts w:hint="eastAsia" w:ascii="仿宋_GB2312" w:hAnsi="仿宋_GB2312" w:eastAsia="仿宋_GB2312"/>
          <w:b w:val="0"/>
          <w:sz w:val="32"/>
          <w:lang w:val="en-US" w:eastAsia="zh-CN"/>
        </w:rPr>
        <w:t>在职人员增加</w:t>
      </w:r>
      <w:r>
        <w:rPr>
          <w:rFonts w:ascii="仿宋_GB2312" w:hAnsi="仿宋_GB2312" w:eastAsia="仿宋_GB2312"/>
          <w:b w:val="0"/>
          <w:sz w:val="32"/>
        </w:rPr>
        <w:t>，基本养老保险缴费支出增加。</w:t>
      </w:r>
    </w:p>
    <w:p w14:paraId="60014EC1">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19.23万元，比上年决算增加19.23万元，增长100.00%，主要原因是：按照自治区财政厅政策，在职人员职业年金</w:t>
      </w:r>
      <w:r>
        <w:rPr>
          <w:rFonts w:hint="eastAsia" w:ascii="仿宋_GB2312" w:hAnsi="仿宋_GB2312" w:eastAsia="仿宋_GB2312"/>
          <w:b w:val="0"/>
          <w:sz w:val="32"/>
          <w:lang w:val="en-US" w:eastAsia="zh-CN"/>
        </w:rPr>
        <w:t>单位部分坐</w:t>
      </w:r>
      <w:r>
        <w:rPr>
          <w:rFonts w:ascii="仿宋_GB2312" w:hAnsi="仿宋_GB2312" w:eastAsia="仿宋_GB2312"/>
          <w:b w:val="0"/>
          <w:sz w:val="32"/>
        </w:rPr>
        <w:t>实，职业年金支出增加。</w:t>
      </w:r>
    </w:p>
    <w:p w14:paraId="79DEB408">
      <w:pPr>
        <w:spacing w:line="580" w:lineRule="exact"/>
        <w:ind w:firstLine="640"/>
        <w:jc w:val="both"/>
      </w:pPr>
      <w:r>
        <w:rPr>
          <w:rFonts w:ascii="仿宋_GB2312" w:hAnsi="仿宋_GB2312" w:eastAsia="仿宋_GB2312"/>
          <w:b w:val="0"/>
          <w:sz w:val="32"/>
        </w:rPr>
        <w:t>5.卫生健康支出（类）行政事业单位医疗（款）行政单位医疗（项）：支出决算数为5.96万元，比上年决算减少0.36万元，下降5.70%，主要原因是：本年功能科目调整，行政单位医疗上年度单独列支，本年部分调整至主科目列支，导致经费较上年减少。</w:t>
      </w:r>
    </w:p>
    <w:p w14:paraId="7C314290">
      <w:pPr>
        <w:spacing w:line="580" w:lineRule="exact"/>
        <w:ind w:firstLine="640"/>
        <w:jc w:val="both"/>
      </w:pPr>
      <w:r>
        <w:rPr>
          <w:rFonts w:ascii="仿宋_GB2312" w:hAnsi="仿宋_GB2312" w:eastAsia="仿宋_GB2312"/>
          <w:b w:val="0"/>
          <w:sz w:val="32"/>
        </w:rPr>
        <w:t>6.卫生健康支出（类）行政事业单位医疗（款）事业单位医疗（项）：支出决算数为13.11万元，比上年决算增加13.11万元，增长100.00%，主要原因是：</w:t>
      </w:r>
      <w:r>
        <w:rPr>
          <w:rFonts w:hint="eastAsia" w:ascii="仿宋_GB2312" w:hAnsi="仿宋_GB2312" w:eastAsia="仿宋_GB2312"/>
          <w:b w:val="0"/>
          <w:sz w:val="32"/>
          <w:lang w:val="en-US" w:eastAsia="zh-CN"/>
        </w:rPr>
        <w:t>本年机构改革，</w:t>
      </w:r>
      <w:r>
        <w:rPr>
          <w:rFonts w:ascii="仿宋_GB2312" w:hAnsi="仿宋_GB2312" w:eastAsia="仿宋_GB2312"/>
          <w:b w:val="0"/>
          <w:sz w:val="32"/>
        </w:rPr>
        <w:t>自治区水资源中心和农牧水利资金监督所合并</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在职人员增加</w:t>
      </w:r>
      <w:r>
        <w:rPr>
          <w:rFonts w:ascii="仿宋_GB2312" w:hAnsi="仿宋_GB2312" w:eastAsia="仿宋_GB2312"/>
          <w:b w:val="0"/>
          <w:sz w:val="32"/>
        </w:rPr>
        <w:t>，医疗支出增加。</w:t>
      </w:r>
    </w:p>
    <w:p w14:paraId="25647B6E">
      <w:pPr>
        <w:spacing w:line="580" w:lineRule="exact"/>
        <w:ind w:firstLine="640"/>
        <w:jc w:val="both"/>
      </w:pPr>
      <w:r>
        <w:rPr>
          <w:rFonts w:ascii="仿宋_GB2312" w:hAnsi="仿宋_GB2312" w:eastAsia="仿宋_GB2312"/>
          <w:b w:val="0"/>
          <w:sz w:val="32"/>
        </w:rPr>
        <w:t>7.卫生健康支出（类）行政事业单位医疗（款）公务员医疗补助（项）：支出决算数为15.50万元，比上年决算增加10.17万元，增长190.81%，主要原因是：</w:t>
      </w:r>
      <w:r>
        <w:rPr>
          <w:rFonts w:hint="eastAsia" w:ascii="仿宋_GB2312" w:hAnsi="仿宋_GB2312" w:eastAsia="仿宋_GB2312"/>
          <w:b w:val="0"/>
          <w:sz w:val="32"/>
          <w:lang w:val="en-US" w:eastAsia="zh-CN"/>
        </w:rPr>
        <w:t>本年机构改革，</w:t>
      </w:r>
      <w:r>
        <w:rPr>
          <w:rFonts w:ascii="仿宋_GB2312" w:hAnsi="仿宋_GB2312" w:eastAsia="仿宋_GB2312"/>
          <w:b w:val="0"/>
          <w:sz w:val="32"/>
        </w:rPr>
        <w:t>自治区水资源中心和农牧水利资金监督检查所合并，本年在职人员增加，公务员医疗补助较上年增加。</w:t>
      </w:r>
    </w:p>
    <w:p w14:paraId="6AE77628">
      <w:pPr>
        <w:spacing w:line="580" w:lineRule="exact"/>
        <w:ind w:firstLine="640"/>
        <w:jc w:val="both"/>
      </w:pPr>
      <w:r>
        <w:rPr>
          <w:rFonts w:ascii="仿宋_GB2312" w:hAnsi="仿宋_GB2312" w:eastAsia="仿宋_GB2312"/>
          <w:b w:val="0"/>
          <w:sz w:val="32"/>
        </w:rPr>
        <w:t>8.农林水支出（类）水利（款）行政运行（项）：支出决算数为93.59万元，比上年决算减少5.62万元，下降5.66%，主要原因是：</w:t>
      </w:r>
      <w:r>
        <w:rPr>
          <w:rFonts w:hint="eastAsia" w:ascii="仿宋_GB2312" w:hAnsi="仿宋_GB2312" w:eastAsia="仿宋_GB2312"/>
          <w:b w:val="0"/>
          <w:sz w:val="32"/>
          <w:lang w:val="en-US" w:eastAsia="zh-CN"/>
        </w:rPr>
        <w:t>本年机构改革，</w:t>
      </w:r>
      <w:r>
        <w:rPr>
          <w:rFonts w:ascii="仿宋_GB2312" w:hAnsi="仿宋_GB2312" w:eastAsia="仿宋_GB2312"/>
          <w:b w:val="0"/>
          <w:sz w:val="32"/>
        </w:rPr>
        <w:t>自治区水资源中心和农牧水利资金监督检查所合并，原农牧水利资金监督检查所职能撤销，经费减少。</w:t>
      </w:r>
    </w:p>
    <w:p w14:paraId="6E76BADC">
      <w:pPr>
        <w:spacing w:line="580" w:lineRule="exact"/>
        <w:ind w:firstLine="640"/>
        <w:jc w:val="both"/>
      </w:pPr>
      <w:r>
        <w:rPr>
          <w:rFonts w:ascii="仿宋_GB2312" w:hAnsi="仿宋_GB2312" w:eastAsia="仿宋_GB2312"/>
          <w:b w:val="0"/>
          <w:sz w:val="32"/>
        </w:rPr>
        <w:t>9.农林水支出（类）水利（款）水利行业业务管理（项）：支出决算数为475.04万元，比上年决算增加465.04万元，增长4,650.40%，主要原因是：</w:t>
      </w:r>
      <w:r>
        <w:rPr>
          <w:rFonts w:hint="eastAsia" w:ascii="仿宋_GB2312" w:hAnsi="仿宋_GB2312" w:eastAsia="仿宋_GB2312"/>
          <w:b w:val="0"/>
          <w:sz w:val="32"/>
          <w:lang w:val="en-US" w:eastAsia="zh-CN"/>
        </w:rPr>
        <w:t>本年机构改革，</w:t>
      </w:r>
      <w:r>
        <w:rPr>
          <w:rFonts w:ascii="仿宋_GB2312" w:hAnsi="仿宋_GB2312" w:eastAsia="仿宋_GB2312"/>
          <w:b w:val="0"/>
          <w:sz w:val="32"/>
        </w:rPr>
        <w:t>自治区水资源中心和农牧水利资金监督检查所合并，</w:t>
      </w:r>
      <w:r>
        <w:rPr>
          <w:rFonts w:hint="eastAsia" w:ascii="仿宋_GB2312" w:hAnsi="仿宋_GB2312" w:eastAsia="仿宋_GB2312"/>
          <w:b w:val="0"/>
          <w:sz w:val="32"/>
          <w:lang w:val="en-US" w:eastAsia="zh-CN"/>
        </w:rPr>
        <w:t>在职人员增加</w:t>
      </w:r>
      <w:r>
        <w:rPr>
          <w:rFonts w:ascii="仿宋_GB2312" w:hAnsi="仿宋_GB2312" w:eastAsia="仿宋_GB2312"/>
          <w:b w:val="0"/>
          <w:sz w:val="32"/>
        </w:rPr>
        <w:t>，</w:t>
      </w:r>
      <w:r>
        <w:rPr>
          <w:rFonts w:hint="eastAsia" w:ascii="仿宋_GB2312" w:hAnsi="仿宋_GB2312" w:eastAsia="仿宋_GB2312"/>
          <w:b w:val="0"/>
          <w:sz w:val="32"/>
          <w:lang w:val="en-US" w:eastAsia="zh-CN"/>
        </w:rPr>
        <w:t>相应人员经费增加，专项项目经费增加</w:t>
      </w:r>
      <w:r>
        <w:rPr>
          <w:rFonts w:ascii="仿宋_GB2312" w:hAnsi="仿宋_GB2312" w:eastAsia="仿宋_GB2312"/>
          <w:b w:val="0"/>
          <w:sz w:val="32"/>
        </w:rPr>
        <w:t>。</w:t>
      </w:r>
    </w:p>
    <w:p w14:paraId="1E8A9075">
      <w:pPr>
        <w:spacing w:line="580" w:lineRule="exact"/>
        <w:ind w:firstLine="640"/>
        <w:jc w:val="both"/>
      </w:pPr>
      <w:r>
        <w:rPr>
          <w:rFonts w:ascii="仿宋_GB2312" w:hAnsi="仿宋_GB2312" w:eastAsia="仿宋_GB2312"/>
          <w:b w:val="0"/>
          <w:sz w:val="32"/>
        </w:rPr>
        <w:t>10.农林水支出（类）水利（款）水资源节约管理与保护（项）：支出决算数为100.00万元，比上年决算增加100.00万元，增长100.00%，主要原因是：</w:t>
      </w:r>
      <w:r>
        <w:rPr>
          <w:rFonts w:hint="eastAsia" w:ascii="仿宋_GB2312" w:hAnsi="仿宋_GB2312" w:eastAsia="仿宋_GB2312"/>
          <w:b w:val="0"/>
          <w:sz w:val="32"/>
          <w:lang w:val="en-US" w:eastAsia="zh-CN"/>
        </w:rPr>
        <w:t>本年机构改革，</w:t>
      </w:r>
      <w:r>
        <w:rPr>
          <w:rFonts w:ascii="仿宋_GB2312" w:hAnsi="仿宋_GB2312" w:eastAsia="仿宋_GB2312"/>
          <w:b w:val="0"/>
          <w:sz w:val="32"/>
        </w:rPr>
        <w:t>自治区水资源中心和农牧水利资金监督检查所合并</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新增</w:t>
      </w:r>
      <w:r>
        <w:rPr>
          <w:rFonts w:ascii="仿宋_GB2312" w:hAnsi="仿宋_GB2312" w:eastAsia="仿宋_GB2312"/>
          <w:b w:val="0"/>
          <w:sz w:val="32"/>
        </w:rPr>
        <w:t>自治区水利发展资金项目经费。</w:t>
      </w:r>
    </w:p>
    <w:p w14:paraId="0DB66350">
      <w:pPr>
        <w:spacing w:line="580" w:lineRule="exact"/>
        <w:ind w:firstLine="640"/>
        <w:jc w:val="both"/>
      </w:pPr>
      <w:r>
        <w:rPr>
          <w:rFonts w:ascii="仿宋_GB2312" w:hAnsi="仿宋_GB2312" w:eastAsia="仿宋_GB2312"/>
          <w:b w:val="0"/>
          <w:sz w:val="32"/>
        </w:rPr>
        <w:t>11.住房保障支出（类）住房改革支出（款）住房公积金（项）：支出决算数为25.84万元，比上年决算增加16.65万元，增长181.18%，主要原因是：</w:t>
      </w:r>
      <w:r>
        <w:rPr>
          <w:rFonts w:hint="eastAsia" w:ascii="仿宋_GB2312" w:hAnsi="仿宋_GB2312" w:eastAsia="仿宋_GB2312"/>
          <w:b w:val="0"/>
          <w:sz w:val="32"/>
          <w:lang w:val="en-US" w:eastAsia="zh-CN"/>
        </w:rPr>
        <w:t>本年机构改革，</w:t>
      </w:r>
      <w:r>
        <w:rPr>
          <w:rFonts w:ascii="仿宋_GB2312" w:hAnsi="仿宋_GB2312" w:eastAsia="仿宋_GB2312"/>
          <w:b w:val="0"/>
          <w:sz w:val="32"/>
        </w:rPr>
        <w:t>自治区水资源中心和农牧水利资金监督检查所合并，</w:t>
      </w:r>
      <w:r>
        <w:rPr>
          <w:rFonts w:hint="eastAsia" w:ascii="仿宋_GB2312" w:hAnsi="仿宋_GB2312" w:eastAsia="仿宋_GB2312"/>
          <w:b w:val="0"/>
          <w:sz w:val="32"/>
          <w:lang w:val="en-US" w:eastAsia="zh-CN"/>
        </w:rPr>
        <w:t>在职</w:t>
      </w:r>
      <w:r>
        <w:rPr>
          <w:rFonts w:ascii="仿宋_GB2312" w:hAnsi="仿宋_GB2312" w:eastAsia="仿宋_GB2312"/>
          <w:b w:val="0"/>
          <w:sz w:val="32"/>
        </w:rPr>
        <w:t>人员增加，住房公积金</w:t>
      </w:r>
      <w:r>
        <w:rPr>
          <w:rFonts w:hint="eastAsia" w:ascii="仿宋_GB2312" w:hAnsi="仿宋_GB2312" w:eastAsia="仿宋_GB2312"/>
          <w:b w:val="0"/>
          <w:sz w:val="32"/>
          <w:lang w:val="en-US" w:eastAsia="zh-CN"/>
        </w:rPr>
        <w:t>支出较上年</w:t>
      </w:r>
      <w:r>
        <w:rPr>
          <w:rFonts w:ascii="仿宋_GB2312" w:hAnsi="仿宋_GB2312" w:eastAsia="仿宋_GB2312"/>
          <w:b w:val="0"/>
          <w:sz w:val="32"/>
        </w:rPr>
        <w:t>增加。</w:t>
      </w:r>
    </w:p>
    <w:p w14:paraId="21FECD25">
      <w:pPr>
        <w:spacing w:line="640" w:lineRule="exact"/>
        <w:ind w:firstLine="640"/>
        <w:jc w:val="both"/>
        <w:outlineLvl w:val="2"/>
      </w:pPr>
      <w:r>
        <w:rPr>
          <w:rFonts w:ascii="黑体" w:hAnsi="黑体" w:eastAsia="黑体"/>
          <w:sz w:val="32"/>
        </w:rPr>
        <w:t>六、一般公共预算财政拨款基本支出决算情况说明</w:t>
      </w:r>
    </w:p>
    <w:p w14:paraId="49ED0505">
      <w:pPr>
        <w:spacing w:line="580" w:lineRule="exact"/>
        <w:ind w:firstLine="640"/>
        <w:jc w:val="both"/>
      </w:pPr>
      <w:r>
        <w:rPr>
          <w:rFonts w:ascii="仿宋_GB2312" w:hAnsi="仿宋_GB2312" w:eastAsia="仿宋_GB2312"/>
          <w:b w:val="0"/>
          <w:sz w:val="32"/>
        </w:rPr>
        <w:t>2025年度一般公共预算财政拨款基本支出418.88万元，其中：</w:t>
      </w:r>
      <w:r>
        <w:rPr>
          <w:rFonts w:ascii="仿宋_GB2312" w:hAnsi="仿宋_GB2312" w:eastAsia="仿宋_GB2312"/>
          <w:b/>
          <w:sz w:val="32"/>
        </w:rPr>
        <w:t>人员经费395.23万元，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奖励金、其他对个人和家庭的补助。</w:t>
      </w:r>
    </w:p>
    <w:p w14:paraId="634A7EC7">
      <w:pPr>
        <w:spacing w:line="580" w:lineRule="exact"/>
        <w:ind w:firstLine="640"/>
        <w:jc w:val="both"/>
      </w:pPr>
      <w:r>
        <w:rPr>
          <w:rFonts w:ascii="仿宋_GB2312" w:hAnsi="仿宋_GB2312" w:eastAsia="仿宋_GB2312"/>
          <w:b/>
          <w:sz w:val="32"/>
        </w:rPr>
        <w:t>公用经费23.65万元，</w:t>
      </w:r>
      <w:r>
        <w:rPr>
          <w:rFonts w:ascii="仿宋_GB2312" w:hAnsi="仿宋_GB2312" w:eastAsia="仿宋_GB2312"/>
          <w:b w:val="0"/>
          <w:sz w:val="32"/>
        </w:rPr>
        <w:t>包括：办公费、水费、电费、邮电费、物业管理费、差旅费、工会经费、福利费、其他商品和服务支出。</w:t>
      </w:r>
    </w:p>
    <w:p w14:paraId="03D68495">
      <w:pPr>
        <w:spacing w:line="640" w:lineRule="exact"/>
        <w:ind w:firstLine="640"/>
        <w:jc w:val="both"/>
        <w:outlineLvl w:val="2"/>
      </w:pPr>
      <w:r>
        <w:rPr>
          <w:rFonts w:ascii="黑体" w:hAnsi="黑体" w:eastAsia="黑体"/>
          <w:sz w:val="32"/>
        </w:rPr>
        <w:t>七、政府性基金预算财政拨款收入支出决算情况说明</w:t>
      </w:r>
    </w:p>
    <w:p w14:paraId="6FBDE7E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03AECD7">
      <w:pPr>
        <w:spacing w:line="640" w:lineRule="exact"/>
        <w:ind w:firstLine="640"/>
        <w:jc w:val="both"/>
        <w:outlineLvl w:val="2"/>
      </w:pPr>
      <w:r>
        <w:rPr>
          <w:rFonts w:ascii="黑体" w:hAnsi="黑体" w:eastAsia="黑体"/>
          <w:sz w:val="32"/>
        </w:rPr>
        <w:t>八、国有资本经营预算财政拨款收入支出决算情况说明</w:t>
      </w:r>
    </w:p>
    <w:p w14:paraId="6A70A85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3A3A36D">
      <w:pPr>
        <w:spacing w:line="640" w:lineRule="exact"/>
        <w:ind w:firstLine="640"/>
        <w:jc w:val="both"/>
        <w:outlineLvl w:val="2"/>
      </w:pPr>
      <w:r>
        <w:rPr>
          <w:rFonts w:ascii="黑体" w:hAnsi="黑体" w:eastAsia="黑体"/>
          <w:sz w:val="32"/>
        </w:rPr>
        <w:t>九、财政拨款“三公”经费支出决算情况说明</w:t>
      </w:r>
    </w:p>
    <w:p w14:paraId="444174CF">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7C3AAFEE">
      <w:pPr>
        <w:spacing w:line="580" w:lineRule="exact"/>
        <w:ind w:firstLine="640"/>
        <w:jc w:val="both"/>
      </w:pPr>
      <w:r>
        <w:rPr>
          <w:rFonts w:ascii="仿宋_GB2312" w:hAnsi="仿宋_GB2312" w:eastAsia="仿宋_GB2312"/>
          <w:b/>
          <w:sz w:val="32"/>
        </w:rPr>
        <w:t>具体情况如下：</w:t>
      </w:r>
    </w:p>
    <w:p w14:paraId="41E0CA3F">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79B7CF7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14:paraId="7A58863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84743A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D458C0C">
      <w:pPr>
        <w:spacing w:line="640" w:lineRule="exact"/>
        <w:ind w:firstLine="640"/>
        <w:jc w:val="both"/>
        <w:outlineLvl w:val="2"/>
      </w:pPr>
      <w:r>
        <w:rPr>
          <w:rFonts w:ascii="黑体" w:hAnsi="黑体" w:eastAsia="黑体"/>
          <w:sz w:val="32"/>
        </w:rPr>
        <w:t>十、其他重要事项的情况说明</w:t>
      </w:r>
    </w:p>
    <w:p w14:paraId="463425CD">
      <w:pPr>
        <w:spacing w:line="640" w:lineRule="exact"/>
        <w:ind w:firstLine="640"/>
        <w:jc w:val="both"/>
        <w:outlineLvl w:val="3"/>
      </w:pPr>
      <w:r>
        <w:rPr>
          <w:rFonts w:ascii="楷体_GB2312" w:hAnsi="楷体_GB2312" w:eastAsia="楷体_GB2312"/>
          <w:b/>
          <w:sz w:val="32"/>
        </w:rPr>
        <w:t>（一）机关运行经费及公用经费支出情况</w:t>
      </w:r>
    </w:p>
    <w:p w14:paraId="71186FAD">
      <w:pPr>
        <w:spacing w:line="580" w:lineRule="exact"/>
        <w:ind w:firstLine="640"/>
        <w:jc w:val="both"/>
      </w:pPr>
      <w:r>
        <w:rPr>
          <w:rFonts w:ascii="仿宋_GB2312" w:hAnsi="仿宋_GB2312" w:eastAsia="仿宋_GB2312"/>
          <w:b w:val="0"/>
          <w:sz w:val="32"/>
        </w:rPr>
        <w:t>2025年度新疆维吾尔自治区水资源管理中心（事业单位）公用经费支出23.65万元，比上年增加13.66万元，增长136.74%，主要原因是：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自治区水资源中心和农牧水利资金监督所合并，</w:t>
      </w:r>
      <w:r>
        <w:rPr>
          <w:rFonts w:hint="eastAsia" w:ascii="仿宋_GB2312" w:hAnsi="仿宋_GB2312" w:eastAsia="仿宋_GB2312"/>
          <w:b w:val="0"/>
          <w:sz w:val="32"/>
          <w:lang w:val="en-US" w:eastAsia="zh-CN"/>
        </w:rPr>
        <w:t>业务量增加，</w:t>
      </w:r>
      <w:r>
        <w:rPr>
          <w:rFonts w:ascii="仿宋_GB2312" w:hAnsi="仿宋_GB2312" w:eastAsia="仿宋_GB2312"/>
          <w:b w:val="0"/>
          <w:sz w:val="32"/>
        </w:rPr>
        <w:t>公用经费增加。</w:t>
      </w:r>
    </w:p>
    <w:p w14:paraId="6D4141C7">
      <w:pPr>
        <w:spacing w:line="640" w:lineRule="exact"/>
        <w:ind w:firstLine="640"/>
        <w:jc w:val="both"/>
        <w:outlineLvl w:val="3"/>
      </w:pPr>
      <w:r>
        <w:rPr>
          <w:rFonts w:ascii="楷体_GB2312" w:hAnsi="楷体_GB2312" w:eastAsia="楷体_GB2312"/>
          <w:b/>
          <w:sz w:val="32"/>
        </w:rPr>
        <w:t>（二）政府采购情况</w:t>
      </w:r>
    </w:p>
    <w:p w14:paraId="77B9CC38">
      <w:pPr>
        <w:spacing w:line="580" w:lineRule="exact"/>
        <w:ind w:firstLine="640"/>
        <w:jc w:val="both"/>
      </w:pPr>
      <w:r>
        <w:rPr>
          <w:rFonts w:ascii="仿宋_GB2312" w:hAnsi="仿宋_GB2312" w:eastAsia="仿宋_GB2312"/>
          <w:b w:val="0"/>
          <w:sz w:val="32"/>
        </w:rPr>
        <w:t>2025年度政府采购支出总额318.60万元，其中：政府采购货物支出0.00万元、政府采购工程支出0.00万元、政府采购服务支出318.60万元。</w:t>
      </w:r>
    </w:p>
    <w:p w14:paraId="3FC829BF">
      <w:pPr>
        <w:spacing w:line="580" w:lineRule="exact"/>
        <w:ind w:firstLine="640"/>
        <w:jc w:val="both"/>
      </w:pPr>
      <w:r>
        <w:rPr>
          <w:rFonts w:ascii="仿宋_GB2312" w:hAnsi="仿宋_GB2312" w:eastAsia="仿宋_GB2312"/>
          <w:b w:val="0"/>
          <w:sz w:val="32"/>
        </w:rPr>
        <w:t>授予中小企业合同金额318.60万元，占政府采购支出总额的100.00%，其中：授予小微企业合同金额134.30万元，占政府采购支出总额的42.15%。</w:t>
      </w:r>
    </w:p>
    <w:p w14:paraId="0FA13C12">
      <w:pPr>
        <w:spacing w:line="640" w:lineRule="exact"/>
        <w:ind w:firstLine="640"/>
        <w:jc w:val="both"/>
        <w:outlineLvl w:val="3"/>
      </w:pPr>
      <w:r>
        <w:rPr>
          <w:rFonts w:ascii="楷体_GB2312" w:hAnsi="楷体_GB2312" w:eastAsia="楷体_GB2312"/>
          <w:b/>
          <w:sz w:val="32"/>
        </w:rPr>
        <w:t>（三）国有资产占用情况说明</w:t>
      </w:r>
    </w:p>
    <w:p w14:paraId="4D49C6BF">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D41C341">
      <w:pPr>
        <w:spacing w:line="640" w:lineRule="exact"/>
        <w:ind w:firstLine="640"/>
        <w:jc w:val="both"/>
        <w:outlineLvl w:val="2"/>
      </w:pPr>
      <w:r>
        <w:rPr>
          <w:rFonts w:ascii="黑体" w:hAnsi="黑体" w:eastAsia="黑体"/>
          <w:sz w:val="32"/>
        </w:rPr>
        <w:t>十一、预算绩效的情况说明</w:t>
      </w:r>
    </w:p>
    <w:p w14:paraId="0D7C4AB7">
      <w:pPr>
        <w:spacing w:line="580" w:lineRule="exact"/>
        <w:ind w:firstLine="640"/>
        <w:jc w:val="both"/>
      </w:pPr>
      <w:r>
        <w:rPr>
          <w:rFonts w:ascii="仿宋_GB2312" w:hAnsi="仿宋_GB2312" w:eastAsia="仿宋_GB2312"/>
          <w:b w:val="0"/>
          <w:sz w:val="32"/>
        </w:rPr>
        <w:t>根据预算绩效管理要求，本单位预算绩效评价项目1个，全年预算数280.00万元，全年执行数280.00万元。预算绩效管理取得的成效：</w:t>
      </w:r>
      <w:r>
        <w:rPr>
          <w:rFonts w:hint="eastAsia" w:ascii="仿宋_GB2312" w:hAnsi="仿宋_GB2312" w:eastAsia="仿宋_GB2312"/>
          <w:b w:val="0"/>
          <w:sz w:val="32"/>
          <w:lang w:val="en-US" w:eastAsia="zh-CN"/>
        </w:rPr>
        <w:t>一是</w:t>
      </w:r>
      <w:r>
        <w:rPr>
          <w:rFonts w:ascii="仿宋_GB2312" w:hAnsi="仿宋_GB2312" w:eastAsia="仿宋_GB2312"/>
          <w:b w:val="0"/>
          <w:sz w:val="32"/>
        </w:rPr>
        <w:t>通过项目的实施，确保国家水资源监控能力建设新疆一期项目485个取用水监测站点正常运行，实现中央、流域和自治区水资源管理过程核心信息的互联互通，为实行最严格水资源管理制度提供基本技术支撑；</w:t>
      </w:r>
      <w:r>
        <w:rPr>
          <w:rFonts w:hint="eastAsia" w:ascii="仿宋_GB2312" w:hAnsi="仿宋_GB2312" w:eastAsia="仿宋_GB2312"/>
          <w:b w:val="0"/>
          <w:sz w:val="32"/>
          <w:lang w:val="en-US" w:eastAsia="zh-CN"/>
        </w:rPr>
        <w:t>二是</w:t>
      </w:r>
      <w:r>
        <w:rPr>
          <w:rFonts w:ascii="仿宋_GB2312" w:hAnsi="仿宋_GB2312" w:eastAsia="仿宋_GB2312"/>
          <w:b w:val="0"/>
          <w:sz w:val="32"/>
        </w:rPr>
        <w:t>完成自治区2024年度实行最严格水资源管理制度的考核工作；</w:t>
      </w:r>
      <w:r>
        <w:rPr>
          <w:rFonts w:hint="eastAsia" w:ascii="仿宋_GB2312" w:hAnsi="仿宋_GB2312" w:eastAsia="仿宋_GB2312"/>
          <w:b w:val="0"/>
          <w:sz w:val="32"/>
          <w:lang w:val="en-US" w:eastAsia="zh-CN"/>
        </w:rPr>
        <w:t>三是</w:t>
      </w:r>
      <w:r>
        <w:rPr>
          <w:rFonts w:ascii="仿宋_GB2312" w:hAnsi="仿宋_GB2312" w:eastAsia="仿宋_GB2312"/>
          <w:b w:val="0"/>
          <w:sz w:val="32"/>
        </w:rPr>
        <w:t>完成对典型地州、县（市、区）取用水量、监测水量等水量数据的复核工作；</w:t>
      </w:r>
      <w:r>
        <w:rPr>
          <w:rFonts w:hint="eastAsia" w:ascii="仿宋_GB2312" w:hAnsi="仿宋_GB2312" w:eastAsia="仿宋_GB2312"/>
          <w:b w:val="0"/>
          <w:sz w:val="32"/>
          <w:lang w:val="en-US" w:eastAsia="zh-CN"/>
        </w:rPr>
        <w:t>四是</w:t>
      </w:r>
      <w:r>
        <w:rPr>
          <w:rFonts w:ascii="仿宋_GB2312" w:hAnsi="仿宋_GB2312" w:eastAsia="仿宋_GB2312"/>
          <w:b w:val="0"/>
          <w:sz w:val="32"/>
        </w:rPr>
        <w:t>组织完成委托相关项目的水资源论证审查及现场核验工作。发现的问题及原因：</w:t>
      </w:r>
      <w:r>
        <w:rPr>
          <w:rFonts w:hint="eastAsia" w:ascii="仿宋_GB2312" w:hAnsi="仿宋_GB2312" w:eastAsia="仿宋_GB2312"/>
          <w:b w:val="0"/>
          <w:sz w:val="32"/>
          <w:lang w:val="en-US" w:eastAsia="zh-CN"/>
        </w:rPr>
        <w:t>一是</w:t>
      </w:r>
      <w:r>
        <w:rPr>
          <w:rFonts w:ascii="仿宋_GB2312" w:hAnsi="仿宋_GB2312" w:eastAsia="仿宋_GB2312"/>
          <w:b w:val="0"/>
          <w:sz w:val="32"/>
        </w:rPr>
        <w:t>目前存在对绩效评价工作的认识不足、对绩效评价工作的重视程度不强，根据绩效管理结果整改问题、完善政策、改进管理能力不够</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二是</w:t>
      </w:r>
      <w:r>
        <w:rPr>
          <w:rFonts w:ascii="仿宋_GB2312" w:hAnsi="仿宋_GB2312" w:eastAsia="仿宋_GB2312"/>
          <w:b w:val="0"/>
          <w:sz w:val="32"/>
        </w:rPr>
        <w:t>年初预算编制不够更科学、合理，资金使用不规范等问题。下一步改进措施：</w:t>
      </w:r>
      <w:r>
        <w:rPr>
          <w:rFonts w:hint="eastAsia" w:ascii="仿宋_GB2312" w:hAnsi="仿宋_GB2312" w:eastAsia="仿宋_GB2312"/>
          <w:b w:val="0"/>
          <w:sz w:val="32"/>
          <w:lang w:val="en-US" w:eastAsia="zh-CN"/>
        </w:rPr>
        <w:t>一是</w:t>
      </w:r>
      <w:r>
        <w:rPr>
          <w:rFonts w:ascii="仿宋_GB2312" w:hAnsi="仿宋_GB2312" w:eastAsia="仿宋_GB2312"/>
          <w:b w:val="0"/>
          <w:sz w:val="32"/>
        </w:rPr>
        <w:t>按国家政策法规定和本部门实际情况，进一步建立健全财务基础管理制度和约束机制</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二是</w:t>
      </w:r>
      <w:r>
        <w:rPr>
          <w:rFonts w:ascii="仿宋_GB2312" w:hAnsi="仿宋_GB2312" w:eastAsia="仿宋_GB2312"/>
          <w:b w:val="0"/>
          <w:sz w:val="32"/>
        </w:rPr>
        <w:t>依法、有效地使用财政资金，提高财政资金使用效率，在完成部门职能目标中合理分配人、财、物，使之达到较高的工作效率和水平。具体附项目支出绩效自评表。</w:t>
      </w:r>
    </w:p>
    <w:p w14:paraId="412E7CE4">
      <w:r>
        <w:br w:type="page"/>
      </w:r>
    </w:p>
    <w:p w14:paraId="5E419956">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1"/>
        <w:gridCol w:w="493"/>
        <w:gridCol w:w="493"/>
        <w:gridCol w:w="787"/>
        <w:gridCol w:w="560"/>
        <w:gridCol w:w="493"/>
        <w:gridCol w:w="493"/>
        <w:gridCol w:w="493"/>
        <w:gridCol w:w="493"/>
        <w:gridCol w:w="493"/>
        <w:gridCol w:w="493"/>
        <w:gridCol w:w="674"/>
        <w:gridCol w:w="598"/>
        <w:gridCol w:w="1390"/>
      </w:tblGrid>
      <w:tr w14:paraId="039DCEC5">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725D3BA">
            <w:pPr>
              <w:spacing w:before="0" w:after="0" w:line="240" w:lineRule="auto"/>
              <w:jc w:val="center"/>
            </w:pPr>
            <w:r>
              <w:rPr>
                <w:rFonts w:ascii="宋体" w:hAnsi="宋体" w:eastAsia="宋体"/>
                <w:b/>
                <w:i w:val="0"/>
                <w:sz w:val="32"/>
              </w:rPr>
              <w:t>项目支出绩效自评表</w:t>
            </w:r>
          </w:p>
        </w:tc>
      </w:tr>
      <w:tr w14:paraId="55FCCA41">
        <w:tblPrEx>
          <w:tblCellMar>
            <w:top w:w="36" w:type="dxa"/>
            <w:left w:w="36" w:type="dxa"/>
            <w:bottom w:w="36" w:type="dxa"/>
            <w:right w:w="36" w:type="dxa"/>
          </w:tblCellMar>
        </w:tblPrEx>
        <w:trPr>
          <w:trHeight w:val="379"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BE56D5C">
            <w:pPr>
              <w:spacing w:before="0" w:after="0" w:line="240" w:lineRule="auto"/>
              <w:jc w:val="center"/>
            </w:pPr>
            <w:r>
              <w:rPr>
                <w:rFonts w:ascii="宋体" w:hAnsi="宋体" w:eastAsia="宋体"/>
                <w:b w:val="0"/>
                <w:i w:val="0"/>
                <w:sz w:val="22"/>
              </w:rPr>
              <w:t>(2025年度)</w:t>
            </w:r>
          </w:p>
        </w:tc>
      </w:tr>
      <w:tr w14:paraId="03BDD37D">
        <w:tblPrEx>
          <w:tblCellMar>
            <w:top w:w="36" w:type="dxa"/>
            <w:left w:w="36" w:type="dxa"/>
            <w:bottom w:w="36" w:type="dxa"/>
            <w:right w:w="36" w:type="dxa"/>
          </w:tblCellMar>
        </w:tblPrEx>
        <w:trPr>
          <w:trHeight w:val="379"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CF26D">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D0947A0">
            <w:pPr>
              <w:spacing w:before="0" w:after="0" w:line="240" w:lineRule="auto"/>
              <w:jc w:val="center"/>
            </w:pPr>
            <w:r>
              <w:rPr>
                <w:rFonts w:ascii="宋体" w:hAnsi="宋体" w:eastAsia="宋体"/>
                <w:b w:val="0"/>
                <w:i w:val="0"/>
                <w:sz w:val="18"/>
              </w:rPr>
              <w:t>自治区水利发展专项</w:t>
            </w:r>
          </w:p>
        </w:tc>
      </w:tr>
      <w:tr w14:paraId="103E0D6A">
        <w:tblPrEx>
          <w:tblCellMar>
            <w:top w:w="36" w:type="dxa"/>
            <w:left w:w="36" w:type="dxa"/>
            <w:bottom w:w="36" w:type="dxa"/>
            <w:right w:w="36" w:type="dxa"/>
          </w:tblCellMar>
        </w:tblPrEx>
        <w:trPr>
          <w:trHeight w:val="379"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B31BA">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C597DA">
            <w:pPr>
              <w:spacing w:before="0" w:after="0" w:line="240" w:lineRule="auto"/>
              <w:jc w:val="center"/>
            </w:pPr>
            <w:r>
              <w:rPr>
                <w:rFonts w:ascii="宋体" w:hAnsi="宋体" w:eastAsia="宋体"/>
                <w:b w:val="0"/>
                <w:i w:val="0"/>
                <w:sz w:val="18"/>
              </w:rPr>
              <w:t>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9193A">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04311A">
            <w:pPr>
              <w:spacing w:before="0" w:after="0" w:line="240" w:lineRule="auto"/>
              <w:jc w:val="center"/>
            </w:pPr>
            <w:r>
              <w:rPr>
                <w:rFonts w:ascii="宋体" w:hAnsi="宋体" w:eastAsia="宋体"/>
                <w:b w:val="0"/>
                <w:i w:val="0"/>
                <w:sz w:val="18"/>
              </w:rPr>
              <w:t>新疆维吾尔自治区水资源管理中心</w:t>
            </w:r>
          </w:p>
        </w:tc>
      </w:tr>
      <w:tr w14:paraId="50F4F512">
        <w:tblPrEx>
          <w:tblCellMar>
            <w:top w:w="36" w:type="dxa"/>
            <w:left w:w="36" w:type="dxa"/>
            <w:bottom w:w="36" w:type="dxa"/>
            <w:right w:w="36" w:type="dxa"/>
          </w:tblCellMar>
        </w:tblPrEx>
        <w:trPr>
          <w:trHeight w:val="379"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BBBCC">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4C4F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7397B9">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B9A1C">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C41A1">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5CF0E">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F3BC2">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619236">
            <w:pPr>
              <w:spacing w:before="0" w:after="0" w:line="240" w:lineRule="auto"/>
              <w:jc w:val="center"/>
            </w:pPr>
            <w:r>
              <w:rPr>
                <w:rFonts w:ascii="宋体" w:hAnsi="宋体" w:eastAsia="宋体"/>
                <w:b/>
                <w:i w:val="0"/>
                <w:sz w:val="18"/>
              </w:rPr>
              <w:t>得分</w:t>
            </w:r>
          </w:p>
        </w:tc>
      </w:tr>
      <w:tr w14:paraId="7FF0594F">
        <w:tblPrEx>
          <w:tblCellMar>
            <w:top w:w="36" w:type="dxa"/>
            <w:left w:w="36" w:type="dxa"/>
            <w:bottom w:w="36" w:type="dxa"/>
            <w:right w:w="36" w:type="dxa"/>
          </w:tblCellMar>
        </w:tblPrEx>
        <w:trPr>
          <w:trHeight w:val="379"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8D0406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489BC">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C238DB">
            <w:pPr>
              <w:spacing w:before="0" w:after="0" w:line="240" w:lineRule="auto"/>
              <w:jc w:val="center"/>
            </w:pPr>
            <w:r>
              <w:rPr>
                <w:rFonts w:ascii="宋体" w:hAnsi="宋体" w:eastAsia="宋体"/>
                <w:b w:val="0"/>
                <w:i w:val="0"/>
                <w:sz w:val="18"/>
              </w:rPr>
              <w:t>280.00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32828">
            <w:pPr>
              <w:spacing w:before="0" w:after="0" w:line="240" w:lineRule="auto"/>
              <w:jc w:val="center"/>
            </w:pPr>
            <w:r>
              <w:rPr>
                <w:rFonts w:ascii="宋体" w:hAnsi="宋体" w:eastAsia="宋体"/>
                <w:b w:val="0"/>
                <w:i w:val="0"/>
                <w:sz w:val="18"/>
              </w:rPr>
              <w:t>280.00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1E468">
            <w:pPr>
              <w:spacing w:before="0" w:after="0" w:line="240" w:lineRule="auto"/>
              <w:jc w:val="center"/>
            </w:pPr>
            <w:r>
              <w:rPr>
                <w:rFonts w:ascii="宋体" w:hAnsi="宋体" w:eastAsia="宋体"/>
                <w:b w:val="0"/>
                <w:i w:val="0"/>
                <w:sz w:val="18"/>
              </w:rPr>
              <w:t>280.00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1463E">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F59B4">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F8F839">
            <w:pPr>
              <w:spacing w:before="0" w:after="0" w:line="240" w:lineRule="auto"/>
              <w:jc w:val="center"/>
            </w:pPr>
            <w:r>
              <w:rPr>
                <w:rFonts w:ascii="宋体" w:hAnsi="宋体" w:eastAsia="宋体"/>
                <w:b w:val="0"/>
                <w:i w:val="0"/>
                <w:sz w:val="18"/>
              </w:rPr>
              <w:t>10.00</w:t>
            </w:r>
          </w:p>
        </w:tc>
      </w:tr>
      <w:tr w14:paraId="0975BC4E">
        <w:tblPrEx>
          <w:tblCellMar>
            <w:top w:w="36" w:type="dxa"/>
            <w:left w:w="36" w:type="dxa"/>
            <w:bottom w:w="36" w:type="dxa"/>
            <w:right w:w="36" w:type="dxa"/>
          </w:tblCellMar>
        </w:tblPrEx>
        <w:trPr>
          <w:trHeight w:val="379"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1F2EC3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9142F">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0913A4">
            <w:pPr>
              <w:spacing w:before="0" w:after="0" w:line="240" w:lineRule="auto"/>
              <w:jc w:val="center"/>
            </w:pPr>
            <w:r>
              <w:rPr>
                <w:rFonts w:ascii="宋体" w:hAnsi="宋体" w:eastAsia="宋体"/>
                <w:b w:val="0"/>
                <w:i w:val="0"/>
                <w:sz w:val="18"/>
              </w:rPr>
              <w:t>280.00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BECF8">
            <w:pPr>
              <w:spacing w:before="0" w:after="0" w:line="240" w:lineRule="auto"/>
              <w:jc w:val="center"/>
            </w:pPr>
            <w:r>
              <w:rPr>
                <w:rFonts w:ascii="宋体" w:hAnsi="宋体" w:eastAsia="宋体"/>
                <w:b w:val="0"/>
                <w:i w:val="0"/>
                <w:sz w:val="18"/>
              </w:rPr>
              <w:t>280.00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D7F4E">
            <w:pPr>
              <w:spacing w:before="0" w:after="0" w:line="240" w:lineRule="auto"/>
              <w:jc w:val="center"/>
            </w:pPr>
            <w:r>
              <w:rPr>
                <w:rFonts w:ascii="宋体" w:hAnsi="宋体" w:eastAsia="宋体"/>
                <w:b w:val="0"/>
                <w:i w:val="0"/>
                <w:sz w:val="18"/>
              </w:rPr>
              <w:t>280.00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3977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E53C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A7DDFE">
            <w:pPr>
              <w:spacing w:before="0" w:after="0" w:line="240" w:lineRule="auto"/>
              <w:jc w:val="center"/>
            </w:pPr>
            <w:r>
              <w:rPr>
                <w:rFonts w:ascii="宋体" w:hAnsi="宋体" w:eastAsia="宋体"/>
                <w:b w:val="0"/>
                <w:i w:val="0"/>
                <w:sz w:val="18"/>
              </w:rPr>
              <w:t>—</w:t>
            </w:r>
          </w:p>
        </w:tc>
      </w:tr>
      <w:tr w14:paraId="6E11C3C9">
        <w:tblPrEx>
          <w:tblCellMar>
            <w:top w:w="36" w:type="dxa"/>
            <w:left w:w="36" w:type="dxa"/>
            <w:bottom w:w="36" w:type="dxa"/>
            <w:right w:w="36" w:type="dxa"/>
          </w:tblCellMar>
        </w:tblPrEx>
        <w:trPr>
          <w:trHeight w:val="379"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1352C6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B4910">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CCE01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3ED9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5CE2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8C2D3">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4356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2F7148">
            <w:pPr>
              <w:spacing w:before="0" w:after="0" w:line="240" w:lineRule="auto"/>
              <w:jc w:val="center"/>
            </w:pPr>
            <w:r>
              <w:rPr>
                <w:rFonts w:ascii="宋体" w:hAnsi="宋体" w:eastAsia="宋体"/>
                <w:b w:val="0"/>
                <w:i w:val="0"/>
                <w:sz w:val="18"/>
              </w:rPr>
              <w:t>—</w:t>
            </w:r>
          </w:p>
        </w:tc>
      </w:tr>
      <w:tr w14:paraId="7846D885">
        <w:tblPrEx>
          <w:tblCellMar>
            <w:top w:w="36" w:type="dxa"/>
            <w:left w:w="36" w:type="dxa"/>
            <w:bottom w:w="36" w:type="dxa"/>
            <w:right w:w="36" w:type="dxa"/>
          </w:tblCellMar>
        </w:tblPrEx>
        <w:trPr>
          <w:trHeight w:val="379"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8E6329">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30D576">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48C174">
            <w:pPr>
              <w:spacing w:before="0" w:after="0" w:line="240" w:lineRule="auto"/>
              <w:jc w:val="center"/>
            </w:pPr>
            <w:r>
              <w:rPr>
                <w:rFonts w:ascii="宋体" w:hAnsi="宋体" w:eastAsia="宋体"/>
                <w:b/>
                <w:i w:val="0"/>
                <w:sz w:val="18"/>
              </w:rPr>
              <w:t>实际完成情况</w:t>
            </w:r>
          </w:p>
        </w:tc>
      </w:tr>
      <w:tr w14:paraId="336D29A7">
        <w:tblPrEx>
          <w:tblCellMar>
            <w:top w:w="36" w:type="dxa"/>
            <w:left w:w="36" w:type="dxa"/>
            <w:bottom w:w="36" w:type="dxa"/>
            <w:right w:w="36" w:type="dxa"/>
          </w:tblCellMar>
        </w:tblPrEx>
        <w:trPr>
          <w:trHeight w:val="702"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485177"/>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F7F790">
            <w:pPr>
              <w:spacing w:before="0" w:after="0" w:line="240" w:lineRule="auto"/>
              <w:jc w:val="center"/>
            </w:pPr>
            <w:r>
              <w:rPr>
                <w:rFonts w:ascii="宋体" w:hAnsi="宋体" w:eastAsia="宋体"/>
                <w:b w:val="0"/>
                <w:i w:val="0"/>
                <w:sz w:val="18"/>
              </w:rPr>
              <w:t>1、通过项目的实施，确保国家水资源监控能力建设新疆一期项目485个取用水监测站点正常运行，实现中央、流域和自治区水资源管理过程核心信息的互联互通，为实行最严格水资源管理制度提供基本技术支撑；2、完成自治区2024年度实行最严格水资源管理制度的考核工作；3、完成对典型地州、县（市、区）取用水量、监测水量等水量数据的复核工作；4、组织完成委托相关项目的水资源论证审查及现场核验工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BE9910">
            <w:pPr>
              <w:spacing w:before="0" w:after="0" w:line="240" w:lineRule="auto"/>
              <w:jc w:val="center"/>
            </w:pPr>
            <w:r>
              <w:rPr>
                <w:rFonts w:ascii="宋体" w:hAnsi="宋体" w:eastAsia="宋体"/>
                <w:b w:val="0"/>
                <w:i w:val="0"/>
                <w:sz w:val="18"/>
              </w:rPr>
              <w:t>1、通过项目的实施，完成了全疆 485个取用水监测站点正常运行，确保国家水资源监控能力建设新疆一期项目平稳运行，实现中央、流域和自治区水资源管理过程核心信息的互联互通，为实行最严格水资源管理制度提供基本技术支撑；2、完成自治区2024年度实行最严格水资源管理制度的考核工作，已通过人民政府审核并报送水利部审核；3、完成对典型地州、县（市、区）取用水量、监测水量等水量数据的复核工作；4、组织完成年初制定的25个项目的水资源论证审查及现场核验工作。</w:t>
            </w:r>
          </w:p>
        </w:tc>
      </w:tr>
      <w:tr w14:paraId="0862C3A8">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3B0DE">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622EBE">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FEF72">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CBAFD">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A87FE">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0BEA9">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3BEFA">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2DA4F1">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8FD22C">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463766">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3E352">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8E4B5">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C38F1">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FCF65">
            <w:pPr>
              <w:spacing w:before="0" w:after="0" w:line="240" w:lineRule="auto"/>
              <w:jc w:val="center"/>
            </w:pPr>
            <w:r>
              <w:rPr>
                <w:rFonts w:ascii="宋体" w:hAnsi="宋体" w:eastAsia="宋体"/>
                <w:b/>
                <w:i w:val="0"/>
                <w:sz w:val="18"/>
              </w:rPr>
              <w:t>偏差原因分析及改进措施</w:t>
            </w:r>
          </w:p>
        </w:tc>
      </w:tr>
      <w:tr w14:paraId="4C718241">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41F38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FA830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01C3B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50D9B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3AA70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B5DEA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9B02B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4CB24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E073E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0AC90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2B20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C313B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6CDF8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D8F275"/>
        </w:tc>
      </w:tr>
      <w:tr w14:paraId="35CD985F">
        <w:tblPrEx>
          <w:tblCellMar>
            <w:top w:w="36" w:type="dxa"/>
            <w:left w:w="36" w:type="dxa"/>
            <w:bottom w:w="36" w:type="dxa"/>
            <w:right w:w="36" w:type="dxa"/>
          </w:tblCellMar>
        </w:tblPrEx>
        <w:trPr>
          <w:trHeight w:val="379"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B81490">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835B6">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BD635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5A23B4">
            <w:pPr>
              <w:spacing w:before="0" w:after="0" w:line="240" w:lineRule="auto"/>
              <w:jc w:val="center"/>
            </w:pPr>
            <w:r>
              <w:rPr>
                <w:rFonts w:ascii="宋体" w:hAnsi="宋体" w:eastAsia="宋体"/>
                <w:b w:val="0"/>
                <w:i w:val="0"/>
                <w:color w:val="000000"/>
                <w:sz w:val="18"/>
              </w:rPr>
              <w:t>运维取用水监测站点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D2E94D">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092998">
            <w:pPr>
              <w:spacing w:before="0" w:after="0" w:line="240" w:lineRule="auto"/>
              <w:jc w:val="center"/>
            </w:pPr>
            <w:r>
              <w:rPr>
                <w:rFonts w:ascii="宋体" w:hAnsi="宋体" w:eastAsia="宋体"/>
                <w:b w:val="0"/>
                <w:i w:val="0"/>
                <w:sz w:val="18"/>
              </w:rPr>
              <w:t>=485个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830168">
            <w:pPr>
              <w:spacing w:before="0" w:after="0" w:line="240" w:lineRule="auto"/>
              <w:jc w:val="center"/>
            </w:pPr>
            <w:r>
              <w:rPr>
                <w:rFonts w:ascii="宋体" w:hAnsi="宋体" w:eastAsia="宋体"/>
                <w:b w:val="0"/>
                <w:i w:val="0"/>
                <w:sz w:val="18"/>
              </w:rPr>
              <w:t>=485个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9D915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12DA3D">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BA311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09D49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E0EE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605C5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E356B6">
            <w:pPr>
              <w:spacing w:before="0" w:after="0" w:line="240" w:lineRule="auto"/>
              <w:jc w:val="center"/>
            </w:pPr>
          </w:p>
        </w:tc>
      </w:tr>
      <w:tr w14:paraId="28AA52F9">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8929C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1DB24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12076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1BA619">
            <w:pPr>
              <w:spacing w:before="0" w:after="0" w:line="240" w:lineRule="auto"/>
              <w:jc w:val="center"/>
            </w:pPr>
            <w:r>
              <w:rPr>
                <w:rFonts w:ascii="宋体" w:hAnsi="宋体" w:eastAsia="宋体"/>
                <w:b w:val="0"/>
                <w:i w:val="0"/>
                <w:color w:val="000000"/>
                <w:sz w:val="18"/>
              </w:rPr>
              <w:t>水资源论证审查及核验</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C4C112">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3F1C0E">
            <w:pPr>
              <w:spacing w:before="0" w:after="0" w:line="240" w:lineRule="auto"/>
              <w:jc w:val="center"/>
            </w:pPr>
            <w:r>
              <w:rPr>
                <w:rFonts w:ascii="宋体" w:hAnsi="宋体" w:eastAsia="宋体"/>
                <w:b w:val="0"/>
                <w:i w:val="0"/>
                <w:sz w:val="18"/>
              </w:rPr>
              <w:t>&gt;=30个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CC952F">
            <w:pPr>
              <w:spacing w:before="0" w:after="0" w:line="240" w:lineRule="auto"/>
              <w:jc w:val="center"/>
            </w:pPr>
            <w:r>
              <w:rPr>
                <w:rFonts w:ascii="宋体" w:hAnsi="宋体" w:eastAsia="宋体"/>
                <w:b w:val="0"/>
                <w:i w:val="0"/>
                <w:sz w:val="18"/>
              </w:rPr>
              <w:t>=30个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478C7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603AB8">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ADCCE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16591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B4341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A10EC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FB876F">
            <w:pPr>
              <w:spacing w:before="0" w:after="0" w:line="240" w:lineRule="auto"/>
              <w:jc w:val="center"/>
            </w:pPr>
          </w:p>
        </w:tc>
      </w:tr>
      <w:tr w14:paraId="35B32873">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CD81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FF04B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066FF3">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424D81">
            <w:pPr>
              <w:spacing w:before="0" w:after="0" w:line="240" w:lineRule="auto"/>
              <w:jc w:val="center"/>
            </w:pPr>
            <w:r>
              <w:rPr>
                <w:rFonts w:ascii="宋体" w:hAnsi="宋体" w:eastAsia="宋体"/>
                <w:b w:val="0"/>
                <w:i w:val="0"/>
                <w:color w:val="000000"/>
                <w:sz w:val="18"/>
              </w:rPr>
              <w:t>取用水监测站点数据到报率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3C65B6">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1E8DE4">
            <w:pPr>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B2034B">
            <w:pPr>
              <w:spacing w:before="0" w:after="0" w:line="240" w:lineRule="auto"/>
              <w:jc w:val="center"/>
            </w:pPr>
            <w:r>
              <w:rPr>
                <w:rFonts w:ascii="宋体" w:hAnsi="宋体" w:eastAsia="宋体"/>
                <w:b w:val="0"/>
                <w:i w:val="0"/>
                <w:sz w:val="18"/>
              </w:rPr>
              <w:t>=88.29%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1C218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659DAE">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94803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E9B2E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C65A6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BAC52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A3A2E4">
            <w:pPr>
              <w:spacing w:before="0" w:after="0" w:line="240" w:lineRule="auto"/>
              <w:jc w:val="center"/>
            </w:pPr>
          </w:p>
        </w:tc>
      </w:tr>
      <w:tr w14:paraId="67EFFA80">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61B1F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D14BB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FBF00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5FA920">
            <w:pPr>
              <w:spacing w:before="0" w:after="0" w:line="240" w:lineRule="auto"/>
              <w:jc w:val="center"/>
            </w:pPr>
            <w:r>
              <w:rPr>
                <w:rFonts w:ascii="宋体" w:hAnsi="宋体" w:eastAsia="宋体"/>
                <w:b w:val="0"/>
                <w:i w:val="0"/>
                <w:color w:val="000000"/>
                <w:sz w:val="18"/>
              </w:rPr>
              <w:t>水资源论证审查及核验项目完成率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609BFE">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A44DC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6F177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D0649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0DAE3C">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A25EA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7F4BA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56290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F7775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65E5A0">
            <w:pPr>
              <w:spacing w:before="0" w:after="0" w:line="240" w:lineRule="auto"/>
              <w:jc w:val="center"/>
            </w:pPr>
          </w:p>
        </w:tc>
      </w:tr>
      <w:tr w14:paraId="75A2D05E">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44FB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20B7E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775E6A">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D9E35A">
            <w:pPr>
              <w:spacing w:before="0" w:after="0" w:line="240" w:lineRule="auto"/>
              <w:jc w:val="center"/>
            </w:pPr>
            <w:r>
              <w:rPr>
                <w:rFonts w:ascii="宋体" w:hAnsi="宋体" w:eastAsia="宋体"/>
                <w:b w:val="0"/>
                <w:i w:val="0"/>
                <w:color w:val="000000"/>
                <w:sz w:val="18"/>
              </w:rPr>
              <w:t>运维取用水监测站点完成时限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A09137">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94C2A0">
            <w:pPr>
              <w:spacing w:before="0" w:after="0" w:line="240" w:lineRule="auto"/>
              <w:jc w:val="center"/>
            </w:pPr>
            <w:r>
              <w:rPr>
                <w:rFonts w:ascii="宋体" w:hAnsi="宋体" w:eastAsia="宋体"/>
                <w:b w:val="0"/>
                <w:i w:val="0"/>
                <w:sz w:val="18"/>
              </w:rPr>
              <w:t>&lt;=2025年12月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F91AA4">
            <w:pPr>
              <w:spacing w:before="0" w:after="0" w:line="240" w:lineRule="auto"/>
              <w:jc w:val="center"/>
            </w:pPr>
            <w:r>
              <w:rPr>
                <w:rFonts w:ascii="宋体" w:hAnsi="宋体" w:eastAsia="宋体"/>
                <w:b w:val="0"/>
                <w:i w:val="0"/>
                <w:sz w:val="18"/>
              </w:rPr>
              <w:t>=2025年12月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2FA10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C00A1C">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2B011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18899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84AE5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710A3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D285C7">
            <w:pPr>
              <w:spacing w:before="0" w:after="0" w:line="240" w:lineRule="auto"/>
              <w:jc w:val="center"/>
            </w:pPr>
          </w:p>
        </w:tc>
      </w:tr>
      <w:tr w14:paraId="0461EA17">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40E9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087A4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9F7F5A">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3D338C">
            <w:pPr>
              <w:spacing w:before="0" w:after="0" w:line="240" w:lineRule="auto"/>
              <w:jc w:val="center"/>
            </w:pPr>
            <w:r>
              <w:rPr>
                <w:rFonts w:ascii="宋体" w:hAnsi="宋体" w:eastAsia="宋体"/>
                <w:b w:val="0"/>
                <w:i w:val="0"/>
                <w:color w:val="000000"/>
                <w:sz w:val="18"/>
              </w:rPr>
              <w:t>平均单个水资源论证审查及核验项目完成时限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5A4D3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F0124E">
            <w:pPr>
              <w:spacing w:before="0" w:after="0" w:line="240" w:lineRule="auto"/>
              <w:jc w:val="center"/>
            </w:pPr>
            <w:r>
              <w:rPr>
                <w:rFonts w:ascii="宋体" w:hAnsi="宋体" w:eastAsia="宋体"/>
                <w:b w:val="0"/>
                <w:i w:val="0"/>
                <w:sz w:val="18"/>
              </w:rPr>
              <w:t>&lt;=15工作日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7D46C0">
            <w:pPr>
              <w:spacing w:before="0" w:after="0" w:line="240" w:lineRule="auto"/>
              <w:jc w:val="center"/>
            </w:pPr>
            <w:r>
              <w:rPr>
                <w:rFonts w:ascii="宋体" w:hAnsi="宋体" w:eastAsia="宋体"/>
                <w:b w:val="0"/>
                <w:i w:val="0"/>
                <w:sz w:val="18"/>
              </w:rPr>
              <w:t>=15工作日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B5903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70E4D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6C5EF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B5F92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3102A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EC1F4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D0F1D3">
            <w:pPr>
              <w:spacing w:before="0" w:after="0" w:line="240" w:lineRule="auto"/>
              <w:jc w:val="center"/>
            </w:pPr>
          </w:p>
        </w:tc>
      </w:tr>
      <w:tr w14:paraId="72147CDB">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24340F"/>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0EE53">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74D4D">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13F734">
            <w:pPr>
              <w:spacing w:before="0" w:after="0" w:line="240" w:lineRule="auto"/>
              <w:jc w:val="center"/>
            </w:pPr>
            <w:r>
              <w:rPr>
                <w:rFonts w:ascii="宋体" w:hAnsi="宋体" w:eastAsia="宋体"/>
                <w:b w:val="0"/>
                <w:i w:val="0"/>
                <w:color w:val="000000"/>
                <w:sz w:val="18"/>
              </w:rPr>
              <w:t>维修维护费用和水量复核及系统等保测评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5F01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1A1E7F">
            <w:pPr>
              <w:spacing w:before="0" w:after="0" w:line="240" w:lineRule="auto"/>
              <w:jc w:val="center"/>
            </w:pPr>
            <w:r>
              <w:rPr>
                <w:rFonts w:ascii="宋体" w:hAnsi="宋体" w:eastAsia="宋体"/>
                <w:b w:val="0"/>
                <w:i w:val="0"/>
                <w:sz w:val="18"/>
              </w:rPr>
              <w:t>&lt;=220万元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BF17F0">
            <w:pPr>
              <w:spacing w:before="0" w:after="0" w:line="240" w:lineRule="auto"/>
              <w:jc w:val="center"/>
            </w:pPr>
            <w:r>
              <w:rPr>
                <w:rFonts w:ascii="宋体" w:hAnsi="宋体" w:eastAsia="宋体"/>
                <w:b w:val="0"/>
                <w:i w:val="0"/>
                <w:sz w:val="18"/>
              </w:rPr>
              <w:t>=220万元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B0696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F5AA1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2A3A6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69069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63D95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34B6A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905C47">
            <w:pPr>
              <w:spacing w:before="0" w:after="0" w:line="240" w:lineRule="auto"/>
              <w:jc w:val="center"/>
            </w:pPr>
          </w:p>
        </w:tc>
      </w:tr>
      <w:tr w14:paraId="1E7305D7">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60DD9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F95F8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D3081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2A4C5B">
            <w:pPr>
              <w:spacing w:before="0" w:after="0" w:line="240" w:lineRule="auto"/>
              <w:jc w:val="center"/>
            </w:pPr>
            <w:r>
              <w:rPr>
                <w:rFonts w:ascii="宋体" w:hAnsi="宋体" w:eastAsia="宋体"/>
                <w:b w:val="0"/>
                <w:i w:val="0"/>
                <w:color w:val="000000"/>
                <w:sz w:val="18"/>
              </w:rPr>
              <w:t>水资源监督管理考核及咨询成本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DF9CE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CAA373">
            <w:pPr>
              <w:spacing w:before="0" w:after="0" w:line="240" w:lineRule="auto"/>
              <w:jc w:val="center"/>
            </w:pPr>
            <w:r>
              <w:rPr>
                <w:rFonts w:ascii="宋体" w:hAnsi="宋体" w:eastAsia="宋体"/>
                <w:b w:val="0"/>
                <w:i w:val="0"/>
                <w:sz w:val="18"/>
              </w:rPr>
              <w:t>&lt;=60万元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12D9D9">
            <w:pPr>
              <w:spacing w:before="0" w:after="0" w:line="240" w:lineRule="auto"/>
              <w:jc w:val="center"/>
            </w:pPr>
            <w:r>
              <w:rPr>
                <w:rFonts w:ascii="宋体" w:hAnsi="宋体" w:eastAsia="宋体"/>
                <w:b w:val="0"/>
                <w:i w:val="0"/>
                <w:sz w:val="18"/>
              </w:rPr>
              <w:t>=60万元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60429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34A7A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EC544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058C7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58601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09C8A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69577C">
            <w:pPr>
              <w:spacing w:before="0" w:after="0" w:line="240" w:lineRule="auto"/>
              <w:jc w:val="center"/>
            </w:pPr>
          </w:p>
        </w:tc>
      </w:tr>
      <w:tr w14:paraId="6DEA62E7">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10337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195785">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FD4A77">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AFCCD">
            <w:pPr>
              <w:spacing w:before="0" w:after="0" w:line="240" w:lineRule="auto"/>
              <w:jc w:val="center"/>
            </w:pPr>
            <w:r>
              <w:rPr>
                <w:rFonts w:ascii="宋体" w:hAnsi="宋体" w:eastAsia="宋体"/>
                <w:b w:val="0"/>
                <w:i w:val="0"/>
                <w:color w:val="000000"/>
                <w:sz w:val="18"/>
              </w:rPr>
              <w:t>业务人员节水意识提升率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A6EFF0">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67C348">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3DED9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66ADD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0F2038">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8E475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4F456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71287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31F5CB">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59230D">
            <w:pPr>
              <w:spacing w:before="0" w:after="0" w:line="240" w:lineRule="auto"/>
              <w:jc w:val="center"/>
            </w:pPr>
          </w:p>
        </w:tc>
      </w:tr>
      <w:tr w14:paraId="41D64D85">
        <w:tblPrEx>
          <w:tblCellMar>
            <w:top w:w="36" w:type="dxa"/>
            <w:left w:w="36" w:type="dxa"/>
            <w:bottom w:w="36" w:type="dxa"/>
            <w:right w:w="36" w:type="dxa"/>
          </w:tblCellMar>
        </w:tblPrEx>
        <w:trPr>
          <w:trHeight w:val="379"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A71AAB">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3FBF07">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49E81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29BAB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F034D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1BEE62">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9F787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3B079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F33E3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3614A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68854A">
            <w:pPr>
              <w:spacing w:before="0" w:after="0" w:line="240" w:lineRule="auto"/>
              <w:jc w:val="center"/>
            </w:pPr>
          </w:p>
        </w:tc>
      </w:tr>
    </w:tbl>
    <w:p w14:paraId="411DD277">
      <w:r>
        <w:br w:type="page"/>
      </w:r>
    </w:p>
    <w:p w14:paraId="11AEF3D3">
      <w:pPr>
        <w:sectPr>
          <w:type w:val="continuous"/>
          <w:pgSz w:w="11906" w:h="16838"/>
          <w:pgMar w:top="1440" w:right="1800" w:bottom="1440" w:left="1800" w:header="851" w:footer="992" w:gutter="0"/>
          <w:cols w:space="720" w:num="1"/>
          <w:docGrid w:type="lines" w:linePitch="312" w:charSpace="0"/>
        </w:sectPr>
      </w:pPr>
    </w:p>
    <w:p w14:paraId="73DEDC63">
      <w:pPr>
        <w:spacing w:line="640" w:lineRule="exact"/>
        <w:ind w:firstLine="640"/>
        <w:jc w:val="both"/>
        <w:outlineLvl w:val="2"/>
      </w:pPr>
      <w:r>
        <w:rPr>
          <w:rFonts w:ascii="黑体" w:hAnsi="黑体" w:eastAsia="黑体"/>
          <w:sz w:val="32"/>
        </w:rPr>
        <w:t>十二、其他需说明的事项</w:t>
      </w:r>
    </w:p>
    <w:p w14:paraId="662BC1A0">
      <w:pPr>
        <w:spacing w:line="580" w:lineRule="exact"/>
        <w:ind w:firstLine="640"/>
        <w:jc w:val="both"/>
      </w:pPr>
      <w:r>
        <w:rPr>
          <w:rFonts w:ascii="仿宋_GB2312" w:hAnsi="仿宋_GB2312" w:eastAsia="仿宋_GB2312"/>
          <w:b w:val="0"/>
          <w:sz w:val="32"/>
        </w:rPr>
        <w:t>本单位无其他需说明的事项。</w:t>
      </w:r>
    </w:p>
    <w:p w14:paraId="0E6EBB81">
      <w:r>
        <w:br w:type="page"/>
      </w:r>
    </w:p>
    <w:p w14:paraId="5003BDFF">
      <w:pPr>
        <w:spacing w:line="600" w:lineRule="exact"/>
        <w:jc w:val="center"/>
        <w:outlineLvl w:val="0"/>
      </w:pPr>
      <w:r>
        <w:rPr>
          <w:rFonts w:ascii="黑体" w:hAnsi="黑体" w:eastAsia="黑体"/>
          <w:sz w:val="32"/>
        </w:rPr>
        <w:t>第三部分 专业名词解释</w:t>
      </w:r>
    </w:p>
    <w:p w14:paraId="473B2598">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2AAD1F69">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423C5AE">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7CF321EC">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5D45075">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3CDD6695">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15350843">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0063BF23">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24FE8901">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150C00ED">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7CACD777">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4F959818">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4E6444AE">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2D93B5B0">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1816F353">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74D1E759">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0024DEB5">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0D2AE62C">
      <w:r>
        <w:br w:type="page"/>
      </w:r>
    </w:p>
    <w:p w14:paraId="585CEAB4">
      <w:pPr>
        <w:spacing w:line="240" w:lineRule="auto"/>
        <w:jc w:val="center"/>
        <w:outlineLvl w:val="1"/>
      </w:pPr>
      <w:r>
        <w:rPr>
          <w:rFonts w:ascii="黑体" w:hAnsi="黑体" w:eastAsia="黑体"/>
          <w:sz w:val="32"/>
        </w:rPr>
        <w:t>第四部分 部门决算报表（见附表）</w:t>
      </w:r>
    </w:p>
    <w:p w14:paraId="2E99A06D">
      <w:pPr>
        <w:autoSpaceDE w:val="0"/>
        <w:autoSpaceDN w:val="0"/>
        <w:spacing w:line="600" w:lineRule="exact"/>
        <w:ind w:firstLine="640" w:firstLineChars="200"/>
      </w:pPr>
      <w:r>
        <w:rPr>
          <w:rFonts w:ascii="仿宋_GB2312" w:hAnsi="仿宋_GB2312" w:eastAsia="仿宋_GB2312"/>
          <w:b w:val="0"/>
          <w:sz w:val="32"/>
        </w:rPr>
        <w:t>一、《收入支出决算总表》</w:t>
      </w:r>
    </w:p>
    <w:p w14:paraId="03E1B252">
      <w:pPr>
        <w:autoSpaceDE w:val="0"/>
        <w:autoSpaceDN w:val="0"/>
        <w:spacing w:line="600" w:lineRule="exact"/>
        <w:ind w:firstLine="640" w:firstLineChars="200"/>
      </w:pPr>
      <w:r>
        <w:rPr>
          <w:rFonts w:ascii="仿宋_GB2312" w:hAnsi="仿宋_GB2312" w:eastAsia="仿宋_GB2312"/>
          <w:b w:val="0"/>
          <w:sz w:val="32"/>
        </w:rPr>
        <w:t>二、《收入决算表》</w:t>
      </w:r>
    </w:p>
    <w:p w14:paraId="7C7DF08F">
      <w:pPr>
        <w:autoSpaceDE w:val="0"/>
        <w:autoSpaceDN w:val="0"/>
        <w:spacing w:line="600" w:lineRule="exact"/>
        <w:ind w:firstLine="640" w:firstLineChars="200"/>
      </w:pPr>
      <w:r>
        <w:rPr>
          <w:rFonts w:ascii="仿宋_GB2312" w:hAnsi="仿宋_GB2312" w:eastAsia="仿宋_GB2312"/>
          <w:b w:val="0"/>
          <w:sz w:val="32"/>
        </w:rPr>
        <w:t>三、《支出决算表》</w:t>
      </w:r>
    </w:p>
    <w:p w14:paraId="33932B5F">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14915332">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0E1417F1">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684AB2A4">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5AED40BF">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2753B0D5">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4BE8536F">
      <w:pPr>
        <w:autoSpaceDE w:val="0"/>
        <w:autoSpaceDN w:val="0"/>
        <w:spacing w:line="600" w:lineRule="exact"/>
        <w:ind w:firstLine="640" w:firstLineChars="200"/>
      </w:pPr>
    </w:p>
    <w:p w14:paraId="303953F8">
      <w:pPr>
        <w:autoSpaceDE w:val="0"/>
        <w:autoSpaceDN w:val="0"/>
        <w:spacing w:line="600" w:lineRule="exact"/>
        <w:ind w:firstLine="640" w:firstLineChars="200"/>
      </w:pPr>
    </w:p>
    <w:p w14:paraId="108CD53C">
      <w:pPr>
        <w:autoSpaceDE w:val="0"/>
        <w:autoSpaceDN w:val="0"/>
        <w:spacing w:line="600" w:lineRule="exact"/>
        <w:ind w:firstLine="640" w:firstLineChars="200"/>
      </w:pPr>
    </w:p>
    <w:p w14:paraId="65D7EE8A">
      <w:pPr>
        <w:autoSpaceDE w:val="0"/>
        <w:autoSpaceDN w:val="0"/>
        <w:spacing w:line="600" w:lineRule="exact"/>
        <w:ind w:firstLine="640" w:firstLineChars="200"/>
      </w:pPr>
    </w:p>
    <w:p w14:paraId="330A2908">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7FB49B3-FB5B-43CF-BCC2-BF2EB7EDE80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40D39CD3-3181-478B-B7A6-26982A83A65E}"/>
  </w:font>
  <w:font w:name="微软雅黑">
    <w:panose1 w:val="020B0503020204020204"/>
    <w:charset w:val="86"/>
    <w:family w:val="auto"/>
    <w:pitch w:val="default"/>
    <w:sig w:usb0="80000287" w:usb1="2ACF3C50" w:usb2="00000016" w:usb3="00000000" w:csb0="0004001F" w:csb1="00000000"/>
  </w:font>
  <w:font w:name="仿宋_GB2312">
    <w:altName w:val="微软雅黑"/>
    <w:panose1 w:val="02010609030101010101"/>
    <w:charset w:val="86"/>
    <w:family w:val="modern"/>
    <w:pitch w:val="default"/>
    <w:sig w:usb0="00000001" w:usb1="080E0000" w:usb2="00000000" w:usb3="00000000" w:csb0="00040000" w:csb1="00000000"/>
    <w:embedRegular r:id="rId3" w:fontKey="{7A0EB749-7F8A-4DDD-A570-A31B66E7CE4D}"/>
  </w:font>
  <w:font w:name="楷体_GB2312">
    <w:altName w:val="楷体"/>
    <w:panose1 w:val="00000000000000000000"/>
    <w:charset w:val="00"/>
    <w:family w:val="auto"/>
    <w:pitch w:val="default"/>
    <w:sig w:usb0="00000000" w:usb1="00000000" w:usb2="00000000" w:usb3="00000000" w:csb0="00000000" w:csb1="00000000"/>
    <w:embedRegular r:id="rId4" w:fontKey="{5AF9593E-12A7-45A4-9682-94E87F4882B4}"/>
  </w:font>
  <w:font w:name="KSOF8080F95D">
    <w:panose1 w:val="020B0503020204020204"/>
    <w:charset w:val="86"/>
    <w:family w:val="auto"/>
    <w:pitch w:val="default"/>
    <w:sig w:usb0="00000001" w:usb1="00000000" w:usb2="00000000" w:usb3="00000000" w:csb0="00040001" w:csb1="00000000"/>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05748B"/>
    <w:rsid w:val="043E5B56"/>
    <w:rsid w:val="04EF7C1A"/>
    <w:rsid w:val="06792773"/>
    <w:rsid w:val="06896151"/>
    <w:rsid w:val="07C5140B"/>
    <w:rsid w:val="09A729D8"/>
    <w:rsid w:val="0A7B4867"/>
    <w:rsid w:val="0AC260D6"/>
    <w:rsid w:val="0B8C3ECC"/>
    <w:rsid w:val="0BC24C29"/>
    <w:rsid w:val="0C3613A3"/>
    <w:rsid w:val="0C7227A7"/>
    <w:rsid w:val="0DCA6EF7"/>
    <w:rsid w:val="0E4B1576"/>
    <w:rsid w:val="11E15093"/>
    <w:rsid w:val="120E0809"/>
    <w:rsid w:val="14C845F4"/>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8975FE"/>
    <w:rsid w:val="3EA7725F"/>
    <w:rsid w:val="40834692"/>
    <w:rsid w:val="423A32B2"/>
    <w:rsid w:val="464B7E04"/>
    <w:rsid w:val="46901EEE"/>
    <w:rsid w:val="469C74D2"/>
    <w:rsid w:val="47445515"/>
    <w:rsid w:val="48E21116"/>
    <w:rsid w:val="493C2BF3"/>
    <w:rsid w:val="49C97D5C"/>
    <w:rsid w:val="49F5131D"/>
    <w:rsid w:val="4AE426AE"/>
    <w:rsid w:val="4B4C0111"/>
    <w:rsid w:val="4D3F1CC6"/>
    <w:rsid w:val="4D730311"/>
    <w:rsid w:val="505A358E"/>
    <w:rsid w:val="50DB5F45"/>
    <w:rsid w:val="52F92565"/>
    <w:rsid w:val="55DA564E"/>
    <w:rsid w:val="563C2F09"/>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21017E"/>
    <w:rsid w:val="71473612"/>
    <w:rsid w:val="716B13F9"/>
    <w:rsid w:val="718F7F65"/>
    <w:rsid w:val="73423603"/>
    <w:rsid w:val="73DE4104"/>
    <w:rsid w:val="73FB6630"/>
    <w:rsid w:val="74CE04EC"/>
    <w:rsid w:val="74E76DCD"/>
    <w:rsid w:val="76660D7C"/>
    <w:rsid w:val="76CF72D3"/>
    <w:rsid w:val="77ED6F44"/>
    <w:rsid w:val="78B87A58"/>
    <w:rsid w:val="79195143"/>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8d123d21-e7bf-45c7-81fa-5213ebca4b19</errorID>
      <errorWord>民族团结一家亲</errorWord>
      <group>L1_Sensitive</group>
      <groupName>敏感问题</groupName>
      <ability>L2_UserSensitive</ability>
      <abilityName>自定义敏感词</abilityName>
      <candidateList/>
      <explain>来自自定义敏感词库。</explain>
      <paraID>16200AF9</paraID>
      <start>149</start>
      <end>156</end>
      <status>unmodified</status>
      <modifiedWord/>
      <trackRevisions>false</trackRevisions>
    </reviewItem>
    <reviewItem>
      <errorID>72ce90cb-7125-42e4-8e85-78fa2e2de161</errorID>
      <errorWord>民族团结一家亲</errorWord>
      <group>L1_Sensitive</group>
      <groupName>敏感问题</groupName>
      <ability>L2_UserSensitive</ability>
      <abilityName>自定义敏感词</abilityName>
      <candidateList/>
      <explain>来自自定义敏感词库。</explain>
      <paraID>79D0D0AF</paraID>
      <start>181</start>
      <end>188</end>
      <status>unmodified</status>
      <modifiedWord/>
      <trackRevisions>false</trackRevisions>
    </reviewItem>
    <reviewItem>
      <errorID>574ee216-4b06-4877-bec7-da29705d176f</errorID>
      <errorWord>监控</errorWord>
      <group>L1_Sensitive</group>
      <groupName>敏感问题</groupName>
      <ability>L2_UserSensitive</ability>
      <abilityName>自定义敏感词</abilityName>
      <candidateList/>
      <explain>来自自定义敏感词库。</explain>
      <paraID> D7C4AB7</paraID>
      <start>82</start>
      <end>84</end>
      <status>unmodified</status>
      <modifiedWord/>
      <trackRevisions>false</trackRevisions>
    </reviewItem>
    <reviewItem>
      <errorID>0611e9d8-854c-4c7e-83f0-85ee1822441a</errorID>
      <errorWord>不够更</errorWord>
      <group>L1_Word</group>
      <groupName>字词问题</groupName>
      <ability>L2_Typo</ability>
      <abilityName>字词错误</abilityName>
      <candidateList>
        <item>不够</item>
      </candidateList>
      <explain/>
      <paraID> D7C4AB7</paraID>
      <start>333</start>
      <end>336</end>
      <status>unmodified</status>
      <modifiedWord/>
      <trackRevisions>false</trackRevisions>
    </reviewItem>
    <reviewItem>
      <errorID>f2e1a2c4-0efb-4e88-a6c5-b760dd0d5d3a</errorID>
      <errorWord>政策法规定</errorWord>
      <group>L1_Word</group>
      <groupName>字词问题</groupName>
      <ability>L2_Typo</ability>
      <abilityName>字词错误</abilityName>
      <candidateList>
        <item>政策法规</item>
      </candidateList>
      <explain/>
      <paraID> D7C4AB7</paraID>
      <start>366</start>
      <end>371</end>
      <status>unmodified</status>
      <modifiedWord/>
      <trackRevisions>false</trackRevisions>
    </reviewItem>
    <reviewItem>
      <errorID>f5d94558-d805-44db-8995-4185cb732b73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4EF7F790</paraID>
      <start>0</start>
      <end>2</end>
      <status>unmodified</status>
      <modifiedWord/>
      <trackRevisions>false</trackRevisions>
    </reviewItem>
    <reviewItem>
      <errorID>4bf24a9d-6a79-4366-ba08-7309bdab7809</errorID>
      <errorWord>监控</errorWord>
      <group>L1_Sensitive</group>
      <groupName>敏感问题</groupName>
      <ability>L2_UserSensitive</ability>
      <abilityName>自定义敏感词</abilityName>
      <candidateList/>
      <explain>来自自定义敏感词库。</explain>
      <paraID>4EF7F790</paraID>
      <start>17</start>
      <end>19</end>
      <status>unmodified</status>
      <modifiedWord/>
      <trackRevisions>false</trackRevisions>
    </reviewItem>
    <reviewItem>
      <errorID>9ee8a890-d8c9-4d2b-943e-fe49b0070c4e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5BE9910</paraID>
      <start>0</start>
      <end>2</end>
      <status>unmodified</status>
      <modifiedWord/>
      <trackRevisions>false</trackRevisions>
    </reviewItem>
    <reviewItem>
      <errorID>c8a861de-3dc1-4139-8748-7cfab9bd839d</errorID>
      <errorWord>监控</errorWord>
      <group>L1_Sensitive</group>
      <groupName>敏感问题</groupName>
      <ability>L2_UserSensitive</ability>
      <abilityName>自定义敏感词</abilityName>
      <candidateList/>
      <explain>来自自定义敏感词库。</explain>
      <paraID> 5BE9910</paraID>
      <start>39</start>
      <end>41</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c8719604-0127-4822-9847-af6d3851e663}">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1770</Words>
  <Characters>2040</Characters>
  <Lines>10</Lines>
  <Paragraphs>2</Paragraphs>
  <TotalTime>10</TotalTime>
  <ScaleCrop>false</ScaleCrop>
  <LinksUpToDate>false</LinksUpToDate>
  <CharactersWithSpaces>2048</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来财&amp;十个勤天</cp:lastModifiedBy>
  <cp:lastPrinted>2024-07-22T11:58:00Z</cp:lastPrinted>
  <dcterms:modified xsi:type="dcterms:W3CDTF">2026-08-28T05:49:37Z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8FDA567F26D84A8C8A1B02E29FDE1AE6_13</vt:lpwstr>
  </property>
  <property fmtid="{D5CDD505-2E9C-101B-9397-08002B2CF9AE}" pid="4" name="KSOTemplateDocerSaveRecord">
    <vt:lpwstr>eyJoZGlkIjoiZTliZGUwNWM5NjQxODUyZjhjYWVlMWZjZWZmNTI5MzgiLCJ1c2VySWQiOiIzNzI2MDMzNTYifQ==</vt:lpwstr>
  </property>
</Properties>
</file>