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DE1098">
      <w:pPr>
        <w:rPr>
          <w:rFonts w:hint="eastAsia" w:ascii="黑体" w:hAnsi="黑体" w:eastAsia="黑体"/>
          <w:sz w:val="32"/>
          <w:szCs w:val="32"/>
        </w:rPr>
      </w:pPr>
    </w:p>
    <w:p w14:paraId="7E2F62AB">
      <w:pPr>
        <w:jc w:val="center"/>
        <w:rPr>
          <w:rFonts w:hint="eastAsia" w:ascii="方正小标宋_GBK" w:hAnsi="宋体" w:eastAsia="方正小标宋_GBK"/>
          <w:sz w:val="44"/>
          <w:szCs w:val="44"/>
        </w:rPr>
      </w:pPr>
    </w:p>
    <w:p w14:paraId="7AE936F3">
      <w:pPr>
        <w:jc w:val="center"/>
        <w:rPr>
          <w:rFonts w:hint="eastAsia" w:ascii="方正小标宋_GBK" w:hAnsi="宋体" w:eastAsia="方正小标宋_GBK"/>
          <w:sz w:val="44"/>
          <w:szCs w:val="44"/>
        </w:rPr>
      </w:pPr>
    </w:p>
    <w:p w14:paraId="5FEDF9CB">
      <w:pPr>
        <w:jc w:val="center"/>
        <w:rPr>
          <w:rFonts w:hint="eastAsia" w:ascii="方正小标宋_GBK" w:hAnsi="宋体" w:eastAsia="方正小标宋_GBK"/>
          <w:sz w:val="44"/>
          <w:szCs w:val="44"/>
        </w:rPr>
      </w:pPr>
    </w:p>
    <w:p w14:paraId="4794C1C7">
      <w:pPr>
        <w:jc w:val="center"/>
        <w:rPr>
          <w:rFonts w:hint="eastAsia" w:ascii="方正小标宋_GBK" w:hAnsi="宋体" w:eastAsia="方正小标宋_GBK"/>
          <w:sz w:val="44"/>
          <w:szCs w:val="44"/>
        </w:rPr>
      </w:pPr>
    </w:p>
    <w:p w14:paraId="2FB3E0A1">
      <w:pPr>
        <w:spacing w:line="640" w:lineRule="exact"/>
        <w:jc w:val="center"/>
        <w:rPr>
          <w:rFonts w:hint="eastAsia" w:ascii="方正小标宋_GBK" w:hAnsi="宋体" w:eastAsia="方正小标宋_GBK"/>
          <w:sz w:val="44"/>
          <w:szCs w:val="44"/>
        </w:rPr>
      </w:pPr>
      <w:r>
        <w:rPr>
          <w:rFonts w:hint="eastAsia" w:ascii="方正小标宋_GBK" w:hAnsi="宋体" w:eastAsia="方正小标宋_GBK"/>
          <w:sz w:val="44"/>
          <w:szCs w:val="44"/>
        </w:rPr>
        <w:t>新疆维吾尔自治区玛纳斯河流域水利管理中心</w:t>
      </w:r>
    </w:p>
    <w:p w14:paraId="55AD8026">
      <w:pPr>
        <w:spacing w:line="640" w:lineRule="exact"/>
        <w:jc w:val="center"/>
        <w:rPr>
          <w:rFonts w:hint="eastAsia" w:ascii="方正小标宋_GBK" w:hAnsi="宋体" w:eastAsia="方正小标宋_GBK"/>
          <w:sz w:val="44"/>
          <w:szCs w:val="44"/>
        </w:rPr>
      </w:pPr>
      <w:r>
        <w:rPr>
          <w:rFonts w:hint="eastAsia" w:ascii="方正小标宋_GBK" w:hAnsi="宋体" w:eastAsia="方正小标宋_GBK"/>
          <w:sz w:val="44"/>
          <w:szCs w:val="44"/>
        </w:rPr>
        <w:t>2025年度部门决算公开说明</w:t>
      </w:r>
    </w:p>
    <w:p w14:paraId="7C1A23FE">
      <w:pPr>
        <w:spacing w:line="600" w:lineRule="exact"/>
        <w:jc w:val="center"/>
        <w:rPr>
          <w:rFonts w:hint="eastAsia" w:ascii="仿宋_GB2312" w:hAnsi="仿宋_GB2312" w:eastAsia="仿宋_GB2312" w:cs="仿宋_GB2312"/>
          <w:bCs/>
          <w:kern w:val="0"/>
          <w:sz w:val="32"/>
          <w:szCs w:val="32"/>
        </w:rPr>
      </w:pPr>
      <w:r>
        <w:rPr>
          <w:rFonts w:hint="eastAsia" w:ascii="方正小标宋_GBK" w:hAnsi="宋体" w:eastAsia="方正小标宋_GBK"/>
          <w:sz w:val="44"/>
          <w:szCs w:val="44"/>
        </w:rPr>
        <w:br w:type="page"/>
      </w:r>
      <w:r>
        <w:rPr>
          <w:rFonts w:hint="eastAsia" w:ascii="仿宋_GB2312" w:hAnsi="仿宋_GB2312" w:eastAsia="仿宋_GB2312" w:cs="仿宋_GB2312"/>
          <w:b/>
          <w:kern w:val="0"/>
          <w:sz w:val="36"/>
          <w:szCs w:val="36"/>
        </w:rPr>
        <w:t>目  录</w:t>
      </w:r>
    </w:p>
    <w:p w14:paraId="11E3C096">
      <w:pPr>
        <w:pStyle w:val="6"/>
        <w:tabs>
          <w:tab w:val="right" w:leader="dot" w:pos="8306"/>
        </w:tabs>
        <w:spacing w:line="60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"_Toc31918" </w:instrText>
      </w:r>
      <w:r>
        <w:fldChar w:fldCharType="separate"/>
      </w:r>
      <w:r>
        <w:rPr>
          <w:rFonts w:hint="eastAsia" w:ascii="仿宋_GB2312" w:hAnsi="仿宋_GB2312" w:eastAsia="仿宋_GB2312" w:cs="仿宋_GB2312"/>
          <w:b/>
          <w:bCs/>
          <w:sz w:val="32"/>
          <w:szCs w:val="32"/>
        </w:rPr>
        <w:t>第一部分 单位概况</w:t>
      </w:r>
      <w:r>
        <w:rPr>
          <w:rFonts w:hint="eastAsia" w:ascii="仿宋_GB2312" w:hAnsi="仿宋_GB2312" w:eastAsia="仿宋_GB2312" w:cs="仿宋_GB2312"/>
          <w:b/>
          <w:bCs/>
          <w:sz w:val="32"/>
          <w:szCs w:val="32"/>
        </w:rPr>
        <w:fldChar w:fldCharType="end"/>
      </w:r>
    </w:p>
    <w:p w14:paraId="695FF0F6">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"_Toc2898"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14:paraId="20AC0F98">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"_Toc1387" </w:instrText>
      </w:r>
      <w:r>
        <w:fldChar w:fldCharType="separate"/>
      </w:r>
      <w:r>
        <w:rPr>
          <w:rFonts w:hint="eastAsia" w:ascii="仿宋_GB2312" w:hAnsi="仿宋_GB2312" w:eastAsia="仿宋_GB2312" w:cs="仿宋_GB2312"/>
          <w:bCs/>
          <w:kern w:val="0"/>
          <w:sz w:val="32"/>
          <w:szCs w:val="32"/>
        </w:rPr>
        <w:t>二、机构设置</w:t>
      </w:r>
      <w:r>
        <w:rPr>
          <w:rFonts w:hint="eastAsia" w:ascii="仿宋_GB2312" w:hAnsi="仿宋_GB2312" w:eastAsia="仿宋_GB2312" w:cs="仿宋_GB2312"/>
          <w:bCs/>
          <w:kern w:val="0"/>
          <w:sz w:val="32"/>
          <w:szCs w:val="32"/>
        </w:rPr>
        <w:fldChar w:fldCharType="end"/>
      </w:r>
    </w:p>
    <w:p w14:paraId="03DF0839">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"_Toc7559" </w:instrText>
      </w:r>
      <w:r>
        <w:fldChar w:fldCharType="separate"/>
      </w:r>
      <w:r>
        <w:rPr>
          <w:rFonts w:hint="eastAsia" w:ascii="仿宋_GB2312" w:hAnsi="仿宋_GB2312" w:eastAsia="仿宋_GB2312" w:cs="仿宋_GB2312"/>
          <w:b/>
          <w:bCs/>
          <w:sz w:val="32"/>
          <w:szCs w:val="32"/>
        </w:rPr>
        <w:t>第二部分 部门决算情况说明</w:t>
      </w:r>
      <w:r>
        <w:rPr>
          <w:rFonts w:hint="eastAsia" w:ascii="仿宋_GB2312" w:hAnsi="仿宋_GB2312" w:eastAsia="仿宋_GB2312" w:cs="仿宋_GB2312"/>
          <w:b/>
          <w:bCs/>
          <w:sz w:val="32"/>
          <w:szCs w:val="32"/>
        </w:rPr>
        <w:fldChar w:fldCharType="end"/>
      </w:r>
    </w:p>
    <w:p w14:paraId="1E4B298F">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"_Toc6321"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14:paraId="448604E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"_Toc6311"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14:paraId="6477D7D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"_Toc20629"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14:paraId="64A0CBA4">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"_Toc7371"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14:paraId="07B13FA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"_Toc18905"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14:paraId="35E4954F">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"_Toc1165" </w:instrText>
      </w:r>
      <w:r>
        <w:fldChar w:fldCharType="separate"/>
      </w:r>
      <w:r>
        <w:rPr>
          <w:rFonts w:hint="eastAsia" w:ascii="仿宋_GB2312" w:hAnsi="仿宋_GB2312" w:eastAsia="仿宋_GB2312" w:cs="仿宋_GB2312"/>
          <w:sz w:val="32"/>
          <w:szCs w:val="32"/>
        </w:rPr>
        <w:t>（一）一般公共预算财政拨款支出决算总体情况</w:t>
      </w:r>
      <w:r>
        <w:rPr>
          <w:rFonts w:hint="eastAsia" w:ascii="仿宋_GB2312" w:hAnsi="仿宋_GB2312" w:eastAsia="仿宋_GB2312" w:cs="仿宋_GB2312"/>
          <w:sz w:val="32"/>
          <w:szCs w:val="32"/>
        </w:rPr>
        <w:fldChar w:fldCharType="end"/>
      </w:r>
    </w:p>
    <w:p w14:paraId="1D40B9CA">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"_Toc27147" </w:instrText>
      </w:r>
      <w:r>
        <w:fldChar w:fldCharType="separate"/>
      </w:r>
      <w:r>
        <w:rPr>
          <w:rFonts w:hint="eastAsia" w:ascii="仿宋_GB2312" w:hAnsi="仿宋_GB2312" w:eastAsia="仿宋_GB2312" w:cs="仿宋_GB2312"/>
          <w:sz w:val="32"/>
          <w:szCs w:val="32"/>
        </w:rPr>
        <w:t>（二）一般公共预算财政拨款支出决算结构情况</w:t>
      </w:r>
      <w:r>
        <w:rPr>
          <w:rFonts w:hint="eastAsia" w:ascii="仿宋_GB2312" w:hAnsi="仿宋_GB2312" w:eastAsia="仿宋_GB2312" w:cs="仿宋_GB2312"/>
          <w:sz w:val="32"/>
          <w:szCs w:val="32"/>
        </w:rPr>
        <w:fldChar w:fldCharType="end"/>
      </w:r>
    </w:p>
    <w:p w14:paraId="572435CD">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"_Toc10037" </w:instrText>
      </w:r>
      <w:r>
        <w:fldChar w:fldCharType="separate"/>
      </w:r>
      <w:r>
        <w:rPr>
          <w:rFonts w:hint="eastAsia" w:ascii="仿宋_GB2312" w:hAnsi="仿宋_GB2312" w:eastAsia="仿宋_GB2312" w:cs="仿宋_GB2312"/>
          <w:sz w:val="32"/>
          <w:szCs w:val="32"/>
        </w:rPr>
        <w:t>（三）一般公共预算财政拨款支出决算具体情况</w:t>
      </w:r>
      <w:r>
        <w:rPr>
          <w:rFonts w:hint="eastAsia" w:ascii="仿宋_GB2312" w:hAnsi="仿宋_GB2312" w:eastAsia="仿宋_GB2312" w:cs="仿宋_GB2312"/>
          <w:sz w:val="32"/>
          <w:szCs w:val="32"/>
        </w:rPr>
        <w:fldChar w:fldCharType="end"/>
      </w:r>
    </w:p>
    <w:p w14:paraId="2330D4E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"_Toc23415"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14:paraId="2363D305">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"_Toc7523" </w:instrText>
      </w:r>
      <w:r>
        <w:fldChar w:fldCharType="separate"/>
      </w:r>
      <w:r>
        <w:rPr>
          <w:rFonts w:hint="eastAsia" w:ascii="仿宋_GB2312" w:hAnsi="仿宋_GB2312" w:eastAsia="仿宋_GB2312" w:cs="仿宋_GB2312"/>
          <w:bCs/>
          <w:kern w:val="0"/>
          <w:sz w:val="32"/>
          <w:szCs w:val="32"/>
        </w:rPr>
        <w:t>七、政府性基金预算财政拨款收入支出决算情况说明</w:t>
      </w:r>
      <w:r>
        <w:rPr>
          <w:rFonts w:hint="eastAsia" w:ascii="仿宋_GB2312" w:hAnsi="仿宋_GB2312" w:eastAsia="仿宋_GB2312" w:cs="仿宋_GB2312"/>
          <w:bCs/>
          <w:kern w:val="0"/>
          <w:sz w:val="32"/>
          <w:szCs w:val="32"/>
        </w:rPr>
        <w:fldChar w:fldCharType="end"/>
      </w:r>
    </w:p>
    <w:p w14:paraId="47A33664">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"_Toc5563" </w:instrText>
      </w:r>
      <w:r>
        <w:fldChar w:fldCharType="separate"/>
      </w:r>
      <w:r>
        <w:rPr>
          <w:rFonts w:hint="eastAsia" w:ascii="仿宋_GB2312" w:hAnsi="仿宋_GB2312" w:eastAsia="仿宋_GB2312" w:cs="仿宋_GB2312"/>
          <w:bCs/>
          <w:kern w:val="0"/>
          <w:sz w:val="32"/>
          <w:szCs w:val="32"/>
        </w:rPr>
        <w:t>八、国有资本经营预算财政拨款收入支出决算情况说明</w:t>
      </w:r>
      <w:r>
        <w:rPr>
          <w:rFonts w:hint="eastAsia" w:ascii="仿宋_GB2312" w:hAnsi="仿宋_GB2312" w:eastAsia="仿宋_GB2312" w:cs="仿宋_GB2312"/>
          <w:bCs/>
          <w:kern w:val="0"/>
          <w:sz w:val="32"/>
          <w:szCs w:val="32"/>
        </w:rPr>
        <w:fldChar w:fldCharType="end"/>
      </w:r>
    </w:p>
    <w:p w14:paraId="5B6A706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"_Toc9161" </w:instrText>
      </w:r>
      <w:r>
        <w:fldChar w:fldCharType="separate"/>
      </w:r>
      <w:r>
        <w:rPr>
          <w:rFonts w:hint="eastAsia" w:ascii="仿宋_GB2312" w:hAnsi="仿宋_GB2312" w:eastAsia="仿宋_GB2312" w:cs="仿宋_GB2312"/>
          <w:bCs/>
          <w:kern w:val="0"/>
          <w:sz w:val="32"/>
          <w:szCs w:val="32"/>
        </w:rPr>
        <w:t>九、财政拨款“三公”经费支出决算情况说明</w:t>
      </w:r>
      <w:r>
        <w:rPr>
          <w:rFonts w:hint="eastAsia" w:ascii="仿宋_GB2312" w:hAnsi="仿宋_GB2312" w:eastAsia="仿宋_GB2312" w:cs="仿宋_GB2312"/>
          <w:bCs/>
          <w:kern w:val="0"/>
          <w:sz w:val="32"/>
          <w:szCs w:val="32"/>
        </w:rPr>
        <w:fldChar w:fldCharType="end"/>
      </w:r>
    </w:p>
    <w:p w14:paraId="1D67ADC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"_Toc16395" </w:instrText>
      </w:r>
      <w:r>
        <w:fldChar w:fldCharType="separate"/>
      </w:r>
      <w:r>
        <w:rPr>
          <w:rFonts w:hint="eastAsia" w:ascii="仿宋_GB2312" w:hAnsi="仿宋_GB2312" w:eastAsia="仿宋_GB2312" w:cs="仿宋_GB2312"/>
          <w:bCs/>
          <w:kern w:val="0"/>
          <w:sz w:val="32"/>
          <w:szCs w:val="32"/>
        </w:rPr>
        <w:t>十、其他重要事项的情况说明</w:t>
      </w:r>
      <w:r>
        <w:rPr>
          <w:rFonts w:hint="eastAsia" w:ascii="仿宋_GB2312" w:hAnsi="仿宋_GB2312" w:eastAsia="仿宋_GB2312" w:cs="仿宋_GB2312"/>
          <w:bCs/>
          <w:kern w:val="0"/>
          <w:sz w:val="32"/>
          <w:szCs w:val="32"/>
        </w:rPr>
        <w:fldChar w:fldCharType="end"/>
      </w:r>
    </w:p>
    <w:p w14:paraId="2D81D31B">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"_Toc21748" </w:instrText>
      </w:r>
      <w:r>
        <w:fldChar w:fldCharType="separate"/>
      </w:r>
      <w:r>
        <w:rPr>
          <w:rFonts w:hint="eastAsia" w:ascii="仿宋_GB2312" w:hAnsi="仿宋_GB2312" w:eastAsia="仿宋_GB2312" w:cs="仿宋_GB2312"/>
          <w:sz w:val="32"/>
          <w:szCs w:val="32"/>
        </w:rPr>
        <w:t>（一）机关运行经费及公用经费支出情况</w:t>
      </w:r>
      <w:r>
        <w:rPr>
          <w:rFonts w:hint="eastAsia" w:ascii="仿宋_GB2312" w:hAnsi="仿宋_GB2312" w:eastAsia="仿宋_GB2312" w:cs="仿宋_GB2312"/>
          <w:sz w:val="32"/>
          <w:szCs w:val="32"/>
        </w:rPr>
        <w:fldChar w:fldCharType="end"/>
      </w:r>
    </w:p>
    <w:p w14:paraId="688C6E4D">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"_Toc25177"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14:paraId="6E70625A">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"_Toc31294"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14:paraId="687A037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"_Toc17664" </w:instrText>
      </w:r>
      <w:r>
        <w:fldChar w:fldCharType="separate"/>
      </w:r>
      <w:r>
        <w:rPr>
          <w:rFonts w:hint="eastAsia" w:ascii="仿宋_GB2312" w:hAnsi="仿宋_GB2312" w:eastAsia="仿宋_GB2312" w:cs="仿宋_GB2312"/>
          <w:bCs/>
          <w:kern w:val="0"/>
          <w:sz w:val="32"/>
          <w:szCs w:val="32"/>
        </w:rPr>
        <w:t>十一、预算绩效的情况说明</w:t>
      </w:r>
      <w:r>
        <w:rPr>
          <w:rFonts w:hint="eastAsia" w:ascii="仿宋_GB2312" w:hAnsi="仿宋_GB2312" w:eastAsia="仿宋_GB2312" w:cs="仿宋_GB2312"/>
          <w:bCs/>
          <w:kern w:val="0"/>
          <w:sz w:val="32"/>
          <w:szCs w:val="32"/>
        </w:rPr>
        <w:fldChar w:fldCharType="end"/>
      </w:r>
    </w:p>
    <w:p w14:paraId="2BE4C8B9">
      <w:pPr>
        <w:spacing w:line="600" w:lineRule="exact"/>
        <w:rPr>
          <w:rFonts w:eastAsia="仿宋_GB2312"/>
        </w:rPr>
      </w:pPr>
      <w:r>
        <w:rPr>
          <w:rFonts w:hint="eastAsia" w:ascii="仿宋_GB2312" w:hAnsi="仿宋_GB2312" w:eastAsia="仿宋_GB2312" w:cs="仿宋_GB2312"/>
          <w:sz w:val="32"/>
          <w:szCs w:val="32"/>
        </w:rPr>
        <w:t>十二、</w:t>
      </w:r>
      <w:r>
        <w:rPr>
          <w:rFonts w:ascii="仿宋_GB2312" w:hAnsi="仿宋_GB2312" w:eastAsia="仿宋_GB2312" w:cs="仿宋_GB2312"/>
          <w:sz w:val="32"/>
          <w:szCs w:val="32"/>
        </w:rPr>
        <w:t>其他需说明的事项</w:t>
      </w:r>
    </w:p>
    <w:p w14:paraId="02F533C8">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"_Toc30038" </w:instrText>
      </w:r>
      <w:r>
        <w:fldChar w:fldCharType="separate"/>
      </w:r>
      <w:r>
        <w:rPr>
          <w:rFonts w:hint="eastAsia" w:ascii="仿宋_GB2312" w:hAnsi="仿宋_GB2312" w:eastAsia="仿宋_GB2312" w:cs="仿宋_GB2312"/>
          <w:b/>
          <w:bCs/>
          <w:sz w:val="32"/>
          <w:szCs w:val="32"/>
        </w:rPr>
        <w:t>第三部分 专业名词解释</w:t>
      </w:r>
      <w:r>
        <w:rPr>
          <w:rFonts w:hint="eastAsia" w:ascii="仿宋_GB2312" w:hAnsi="仿宋_GB2312" w:eastAsia="仿宋_GB2312" w:cs="仿宋_GB2312"/>
          <w:b/>
          <w:bCs/>
          <w:sz w:val="32"/>
          <w:szCs w:val="32"/>
        </w:rPr>
        <w:fldChar w:fldCharType="end"/>
      </w:r>
    </w:p>
    <w:p w14:paraId="13D03994">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"_Toc6831" </w:instrText>
      </w:r>
      <w:r>
        <w:fldChar w:fldCharType="separate"/>
      </w:r>
      <w:r>
        <w:rPr>
          <w:rFonts w:hint="eastAsia" w:ascii="仿宋_GB2312" w:hAnsi="仿宋_GB2312" w:eastAsia="仿宋_GB2312" w:cs="仿宋_GB2312"/>
          <w:b/>
          <w:bCs/>
          <w:sz w:val="32"/>
          <w:szCs w:val="32"/>
        </w:rPr>
        <w:t>第四部分 部门决算报表（见附表）</w:t>
      </w:r>
      <w:r>
        <w:rPr>
          <w:rFonts w:hint="eastAsia" w:ascii="仿宋_GB2312" w:hAnsi="仿宋_GB2312" w:eastAsia="仿宋_GB2312" w:cs="仿宋_GB2312"/>
          <w:b/>
          <w:bCs/>
          <w:sz w:val="32"/>
          <w:szCs w:val="32"/>
        </w:rPr>
        <w:fldChar w:fldCharType="end"/>
      </w:r>
    </w:p>
    <w:p w14:paraId="363DA5E8">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"_Toc3845"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14:paraId="7612762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"_Toc11927"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14:paraId="3D4C3500">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"_Toc7443"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14:paraId="2F9A11B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"_Toc24884"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14:paraId="44A5CB8E">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"_Toc16518"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14:paraId="277EE406">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"_Toc20514"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14:paraId="49FE8110">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"_Toc18055" </w:instrText>
      </w:r>
      <w:r>
        <w:fldChar w:fldCharType="separate"/>
      </w:r>
      <w:r>
        <w:rPr>
          <w:rFonts w:hint="eastAsia" w:ascii="仿宋_GB2312" w:hAnsi="仿宋_GB2312" w:eastAsia="仿宋_GB2312" w:cs="仿宋_GB2312"/>
          <w:bCs/>
          <w:kern w:val="0"/>
          <w:sz w:val="32"/>
          <w:szCs w:val="32"/>
        </w:rPr>
        <w:t>七、《政府性基金预算财政拨款收入支出决算表》</w:t>
      </w:r>
      <w:r>
        <w:rPr>
          <w:rFonts w:hint="eastAsia" w:ascii="仿宋_GB2312" w:hAnsi="仿宋_GB2312" w:eastAsia="仿宋_GB2312" w:cs="仿宋_GB2312"/>
          <w:bCs/>
          <w:kern w:val="0"/>
          <w:sz w:val="32"/>
          <w:szCs w:val="32"/>
        </w:rPr>
        <w:fldChar w:fldCharType="end"/>
      </w:r>
    </w:p>
    <w:p w14:paraId="43AA1635">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"_Toc10719" </w:instrText>
      </w:r>
      <w:r>
        <w:fldChar w:fldCharType="separate"/>
      </w:r>
      <w:r>
        <w:rPr>
          <w:rFonts w:hint="eastAsia" w:ascii="仿宋_GB2312" w:hAnsi="仿宋_GB2312" w:eastAsia="仿宋_GB2312" w:cs="仿宋_GB2312"/>
          <w:bCs/>
          <w:kern w:val="0"/>
          <w:sz w:val="32"/>
          <w:szCs w:val="32"/>
        </w:rPr>
        <w:t>八、《国有资本经营预算财政拨款收入支出决算表》</w:t>
      </w:r>
      <w:r>
        <w:rPr>
          <w:rFonts w:hint="eastAsia" w:ascii="仿宋_GB2312" w:hAnsi="仿宋_GB2312" w:eastAsia="仿宋_GB2312" w:cs="仿宋_GB2312"/>
          <w:bCs/>
          <w:kern w:val="0"/>
          <w:sz w:val="32"/>
          <w:szCs w:val="32"/>
        </w:rPr>
        <w:fldChar w:fldCharType="end"/>
      </w:r>
    </w:p>
    <w:p w14:paraId="5D4DF260">
      <w:pPr>
        <w:pStyle w:val="7"/>
        <w:tabs>
          <w:tab w:val="right" w:leader="dot" w:pos="8306"/>
        </w:tabs>
        <w:spacing w:line="600" w:lineRule="exact"/>
        <w:ind w:left="0" w:leftChars="0"/>
        <w:rPr>
          <w:rFonts w:hint="eastAsia" w:ascii="黑体" w:hAnsi="黑体" w:eastAsia="黑体" w:cs="宋体"/>
          <w:bCs/>
          <w:kern w:val="0"/>
          <w:sz w:val="32"/>
          <w:szCs w:val="32"/>
        </w:rPr>
      </w:pPr>
      <w:r>
        <w:fldChar w:fldCharType="begin"/>
      </w:r>
      <w:r>
        <w:instrText xml:space="preserve"> HYPERLINK \l "_Toc18861" </w:instrText>
      </w:r>
      <w:r>
        <w:fldChar w:fldCharType="separate"/>
      </w:r>
      <w:r>
        <w:rPr>
          <w:rFonts w:hint="eastAsia" w:ascii="仿宋_GB2312" w:hAnsi="仿宋_GB2312" w:eastAsia="仿宋_GB2312" w:cs="仿宋_GB2312"/>
          <w:bCs/>
          <w:kern w:val="0"/>
          <w:sz w:val="32"/>
          <w:szCs w:val="32"/>
        </w:rPr>
        <w:t>九、《财政拨款“三公”经费支出决算表》</w:t>
      </w:r>
      <w:r>
        <w:rPr>
          <w:rFonts w:hint="eastAsia" w:ascii="仿宋_GB2312" w:hAnsi="仿宋_GB2312" w:eastAsia="仿宋_GB2312" w:cs="仿宋_GB2312"/>
          <w:bCs/>
          <w:kern w:val="0"/>
          <w:sz w:val="32"/>
          <w:szCs w:val="32"/>
        </w:rPr>
        <w:fldChar w:fldCharType="end"/>
      </w:r>
      <w:r>
        <w:rPr>
          <w:rFonts w:hint="eastAsia" w:ascii="仿宋_GB2312" w:hAnsi="仿宋_GB2312" w:eastAsia="仿宋_GB2312" w:cs="仿宋_GB2312"/>
          <w:sz w:val="32"/>
          <w:szCs w:val="32"/>
        </w:rPr>
        <w:fldChar w:fldCharType="end"/>
      </w:r>
    </w:p>
    <w:p w14:paraId="15837F25">
      <w:r>
        <w:br w:type="page"/>
      </w:r>
    </w:p>
    <w:p w14:paraId="7BE28D1C">
      <w:pPr>
        <w:spacing w:line="640" w:lineRule="exact"/>
        <w:jc w:val="center"/>
        <w:outlineLvl w:val="1"/>
      </w:pPr>
      <w:r>
        <w:rPr>
          <w:rFonts w:ascii="黑体" w:hAnsi="黑体" w:eastAsia="黑体"/>
          <w:sz w:val="32"/>
        </w:rPr>
        <w:t>第一部分 单位概况</w:t>
      </w:r>
    </w:p>
    <w:p w14:paraId="41B92089">
      <w:pPr>
        <w:spacing w:line="640" w:lineRule="exact"/>
        <w:ind w:firstLine="640"/>
        <w:jc w:val="both"/>
        <w:outlineLvl w:val="2"/>
      </w:pPr>
      <w:r>
        <w:rPr>
          <w:rFonts w:ascii="黑体" w:hAnsi="黑体" w:eastAsia="黑体"/>
          <w:sz w:val="32"/>
        </w:rPr>
        <w:t>一、主要职能</w:t>
      </w:r>
    </w:p>
    <w:p w14:paraId="0F1D9131">
      <w:pPr>
        <w:spacing w:line="580" w:lineRule="exact"/>
        <w:ind w:firstLine="640"/>
        <w:jc w:val="both"/>
      </w:pPr>
      <w:r>
        <w:rPr>
          <w:rFonts w:ascii="仿宋_GB2312" w:hAnsi="仿宋_GB2312" w:eastAsia="仿宋_GB2312"/>
          <w:sz w:val="32"/>
        </w:rPr>
        <w:t>新疆玛纳斯河流域，位于石河子市与玛纳斯县之间的交接处，是承担石河子市、玛纳斯县、沙湾县和克拉玛依的小拐乡，以及新疆生产建设兵团农八师、农六师的十九个大型农牧团场的农业用水，承担新疆最大的玛纳斯火力发电厂和最大的红山嘴梯级水力发电厂的发电用水。灌区内人口86.28万人，有效灌溉面积315万亩，是自治区重要的商品粮棉和轻工业基地。单位承担玛纳斯河流域管辖范围内的水资源管理、流域综合治理等工作；承担管辖范围内水利工程运行管理及供水等工作。</w:t>
      </w:r>
    </w:p>
    <w:p w14:paraId="71808BF8">
      <w:pPr>
        <w:spacing w:line="640" w:lineRule="exact"/>
        <w:ind w:firstLine="640"/>
        <w:jc w:val="both"/>
        <w:outlineLvl w:val="2"/>
      </w:pPr>
      <w:r>
        <w:rPr>
          <w:rFonts w:ascii="黑体" w:hAnsi="黑体" w:eastAsia="黑体"/>
          <w:sz w:val="32"/>
        </w:rPr>
        <w:t>二、机构设置</w:t>
      </w:r>
    </w:p>
    <w:p w14:paraId="118C879A">
      <w:pPr>
        <w:spacing w:line="580" w:lineRule="exact"/>
        <w:ind w:firstLine="640"/>
        <w:jc w:val="both"/>
      </w:pPr>
      <w:r>
        <w:rPr>
          <w:rFonts w:ascii="仿宋_GB2312" w:hAnsi="仿宋_GB2312" w:eastAsia="仿宋_GB2312"/>
          <w:sz w:val="32"/>
        </w:rPr>
        <w:t>新疆维吾尔自治区玛纳斯河流域水利管理中心无下属预算单位。</w:t>
      </w:r>
    </w:p>
    <w:p w14:paraId="7DCA570A">
      <w:r>
        <w:br w:type="page"/>
      </w:r>
    </w:p>
    <w:p w14:paraId="457F4306">
      <w:pPr>
        <w:spacing w:line="240" w:lineRule="auto"/>
        <w:jc w:val="center"/>
        <w:outlineLvl w:val="1"/>
      </w:pPr>
      <w:r>
        <w:rPr>
          <w:rFonts w:ascii="黑体" w:hAnsi="黑体" w:eastAsia="黑体"/>
          <w:sz w:val="32"/>
        </w:rPr>
        <w:t>第二部分 部门决算情况说明</w:t>
      </w:r>
    </w:p>
    <w:p w14:paraId="7E5C8B44">
      <w:pPr>
        <w:spacing w:line="640" w:lineRule="exact"/>
        <w:ind w:firstLine="640"/>
        <w:jc w:val="both"/>
        <w:outlineLvl w:val="2"/>
      </w:pPr>
      <w:r>
        <w:rPr>
          <w:rFonts w:ascii="黑体" w:hAnsi="黑体" w:eastAsia="黑体"/>
          <w:sz w:val="32"/>
        </w:rPr>
        <w:t>一、收入支出决算总体情况说明</w:t>
      </w:r>
    </w:p>
    <w:p w14:paraId="28BCD332">
      <w:pPr>
        <w:spacing w:line="580" w:lineRule="exact"/>
        <w:ind w:firstLine="640"/>
        <w:jc w:val="both"/>
      </w:pPr>
      <w:r>
        <w:rPr>
          <w:rFonts w:ascii="仿宋_GB2312" w:hAnsi="仿宋_GB2312" w:eastAsia="仿宋_GB2312"/>
          <w:b/>
          <w:sz w:val="32"/>
        </w:rPr>
        <w:t>2025年度收入总计8,423.01万元，</w:t>
      </w:r>
      <w:r>
        <w:rPr>
          <w:rFonts w:ascii="仿宋_GB2312" w:hAnsi="仿宋_GB2312" w:eastAsia="仿宋_GB2312"/>
          <w:b w:val="0"/>
          <w:sz w:val="32"/>
        </w:rPr>
        <w:t>其中：本年收入合计8,246.34万元，使用非财政拨款结余（含专用结余）22.69万元，年初结转和结余153.98万元。</w:t>
      </w:r>
    </w:p>
    <w:p w14:paraId="25F5043E">
      <w:pPr>
        <w:spacing w:line="580" w:lineRule="exact"/>
        <w:ind w:firstLine="640"/>
        <w:jc w:val="both"/>
      </w:pPr>
      <w:r>
        <w:rPr>
          <w:rFonts w:ascii="仿宋_GB2312" w:hAnsi="仿宋_GB2312" w:eastAsia="仿宋_GB2312"/>
          <w:b/>
          <w:sz w:val="32"/>
        </w:rPr>
        <w:t>2025年度支出总计8,423.01万元，</w:t>
      </w:r>
      <w:r>
        <w:rPr>
          <w:rFonts w:ascii="仿宋_GB2312" w:hAnsi="仿宋_GB2312" w:eastAsia="仿宋_GB2312"/>
          <w:b w:val="0"/>
          <w:sz w:val="32"/>
        </w:rPr>
        <w:t>其中：本年支出合计8,330.62万元，结余分配0.00万元，年末结转和结余92.38万元。</w:t>
      </w:r>
    </w:p>
    <w:p w14:paraId="0FA20DCE">
      <w:pPr>
        <w:spacing w:line="580" w:lineRule="exact"/>
        <w:ind w:firstLine="640"/>
        <w:jc w:val="both"/>
      </w:pPr>
      <w:r>
        <w:rPr>
          <w:rFonts w:ascii="仿宋_GB2312" w:hAnsi="仿宋_GB2312" w:eastAsia="仿宋_GB2312"/>
          <w:b/>
          <w:sz w:val="32"/>
        </w:rPr>
        <w:t>收入支出总体与上年相比，</w:t>
      </w:r>
      <w:r>
        <w:rPr>
          <w:rFonts w:ascii="仿宋_GB2312" w:hAnsi="仿宋_GB2312" w:eastAsia="仿宋_GB2312"/>
          <w:b w:val="0"/>
          <w:sz w:val="32"/>
        </w:rPr>
        <w:t>减少608.42万元，下降6.74%，主要原因是：财政项目减少以及一家主要用水单位因机构改革原因未足额缴纳水费。</w:t>
      </w:r>
    </w:p>
    <w:p w14:paraId="17565E87">
      <w:pPr>
        <w:spacing w:line="640" w:lineRule="exact"/>
        <w:ind w:firstLine="640"/>
        <w:jc w:val="both"/>
        <w:outlineLvl w:val="2"/>
      </w:pPr>
      <w:r>
        <w:rPr>
          <w:rFonts w:ascii="黑体" w:hAnsi="黑体" w:eastAsia="黑体"/>
          <w:sz w:val="32"/>
        </w:rPr>
        <w:t>二、收入决算情况说明</w:t>
      </w:r>
    </w:p>
    <w:p w14:paraId="19A9392B">
      <w:pPr>
        <w:spacing w:line="580" w:lineRule="exact"/>
        <w:ind w:firstLine="640"/>
        <w:jc w:val="both"/>
      </w:pPr>
      <w:r>
        <w:rPr>
          <w:rFonts w:ascii="仿宋_GB2312" w:hAnsi="仿宋_GB2312" w:eastAsia="仿宋_GB2312"/>
          <w:b/>
          <w:sz w:val="32"/>
        </w:rPr>
        <w:t>本年收入8,246.34万元，</w:t>
      </w:r>
      <w:r>
        <w:rPr>
          <w:rFonts w:ascii="仿宋_GB2312" w:hAnsi="仿宋_GB2312" w:eastAsia="仿宋_GB2312"/>
          <w:b w:val="0"/>
          <w:sz w:val="32"/>
        </w:rPr>
        <w:t>其中：财政拨款收入1,213.04万元，占14.71%；上级补助收入0.00万元，占0.00%；事业收入0.00万元，占0.00%；经营收入6,874.42万元，占83.36%；附属单位上缴收入0.00万元，占0.00%；其他收入158.88万元，占1.93%。</w:t>
      </w:r>
    </w:p>
    <w:p w14:paraId="41183822">
      <w:pPr>
        <w:spacing w:line="640" w:lineRule="exact"/>
        <w:ind w:firstLine="640"/>
        <w:jc w:val="both"/>
        <w:outlineLvl w:val="2"/>
      </w:pPr>
      <w:r>
        <w:rPr>
          <w:rFonts w:ascii="黑体" w:hAnsi="黑体" w:eastAsia="黑体"/>
          <w:sz w:val="32"/>
        </w:rPr>
        <w:t>三、支出决算情况说明</w:t>
      </w:r>
    </w:p>
    <w:p w14:paraId="51FCB51F">
      <w:pPr>
        <w:spacing w:line="580" w:lineRule="exact"/>
        <w:ind w:firstLine="640"/>
        <w:jc w:val="both"/>
      </w:pPr>
      <w:r>
        <w:rPr>
          <w:rFonts w:ascii="仿宋_GB2312" w:hAnsi="仿宋_GB2312" w:eastAsia="仿宋_GB2312"/>
          <w:b/>
          <w:sz w:val="32"/>
        </w:rPr>
        <w:t>本年支出8,330.62万元，</w:t>
      </w:r>
      <w:r>
        <w:rPr>
          <w:rFonts w:ascii="仿宋_GB2312" w:hAnsi="仿宋_GB2312" w:eastAsia="仿宋_GB2312"/>
          <w:b w:val="0"/>
          <w:sz w:val="32"/>
        </w:rPr>
        <w:t>其中：基本支出1,291.61万元，占15.50%；项目支出164.59万元，占1.98%；上缴上级支出0.00万元，占0.00%；经营支出6,874.42万元，占82.52%；对附属单位补助支出0.00万元，占0.00%。</w:t>
      </w:r>
    </w:p>
    <w:p w14:paraId="611B9983">
      <w:pPr>
        <w:spacing w:line="640" w:lineRule="exact"/>
        <w:ind w:firstLine="640"/>
        <w:jc w:val="both"/>
        <w:outlineLvl w:val="2"/>
      </w:pPr>
      <w:r>
        <w:rPr>
          <w:rFonts w:ascii="黑体" w:hAnsi="黑体" w:eastAsia="黑体"/>
          <w:sz w:val="32"/>
        </w:rPr>
        <w:t>四、财政拨款收入支出决算总体情况说明</w:t>
      </w:r>
    </w:p>
    <w:p w14:paraId="2D0F7B0D">
      <w:pPr>
        <w:spacing w:line="580" w:lineRule="exact"/>
        <w:ind w:firstLine="640"/>
        <w:jc w:val="both"/>
      </w:pPr>
      <w:r>
        <w:rPr>
          <w:rFonts w:ascii="仿宋_GB2312" w:hAnsi="仿宋_GB2312" w:eastAsia="仿宋_GB2312"/>
          <w:b/>
          <w:sz w:val="32"/>
        </w:rPr>
        <w:t>2025年度财政拨款收入总计1,320.82万元，</w:t>
      </w:r>
      <w:r>
        <w:rPr>
          <w:rFonts w:ascii="仿宋_GB2312" w:hAnsi="仿宋_GB2312" w:eastAsia="仿宋_GB2312"/>
          <w:b w:val="0"/>
          <w:sz w:val="32"/>
        </w:rPr>
        <w:t>其中：年初财政拨款结转和结余107.77万元，本年财政拨款收入1,213.04万元。</w:t>
      </w:r>
      <w:r>
        <w:rPr>
          <w:rFonts w:ascii="仿宋_GB2312" w:hAnsi="仿宋_GB2312" w:eastAsia="仿宋_GB2312"/>
          <w:b/>
          <w:sz w:val="32"/>
        </w:rPr>
        <w:t>财政拨款支出总计1,320.82万元，</w:t>
      </w:r>
      <w:r>
        <w:rPr>
          <w:rFonts w:ascii="仿宋_GB2312" w:hAnsi="仿宋_GB2312" w:eastAsia="仿宋_GB2312"/>
          <w:b w:val="0"/>
          <w:sz w:val="32"/>
        </w:rPr>
        <w:t>其中：年末财政拨款结转和结余92.38万元，本年财政拨款支出1,228.43万元。</w:t>
      </w:r>
    </w:p>
    <w:p w14:paraId="3609C96E">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411.60万元，增长45.27%，主要原因是：依据事业单位改革要求，将新疆玛纳斯河流域管理局、新疆玛纳斯河流域管理局水利管理中心整合，组建新疆维吾尔自治区玛纳斯河流域水利管理中心，新单位增加原新疆玛纳斯河流域管理局一般公共预算，财政拨款收入支出增加。</w:t>
      </w:r>
      <w:r>
        <w:rPr>
          <w:rFonts w:ascii="仿宋_GB2312" w:hAnsi="仿宋_GB2312" w:eastAsia="仿宋_GB2312"/>
          <w:b/>
          <w:sz w:val="32"/>
        </w:rPr>
        <w:t>与年初预算相比，</w:t>
      </w:r>
      <w:r>
        <w:rPr>
          <w:rFonts w:ascii="仿宋_GB2312" w:hAnsi="仿宋_GB2312" w:eastAsia="仿宋_GB2312"/>
          <w:b w:val="0"/>
          <w:sz w:val="32"/>
        </w:rPr>
        <w:t>年初预算数991.93万元，决算数1,320.82万元，预决算差异率33.16%，主要原因是：依据事业单位改革要求，将新疆玛纳斯河流域管理局、新疆玛纳斯河流域管理局水利管理中心整合，组建新疆维吾尔自治区玛纳斯河流域水利管理中心，新单位年中追加了原新疆玛纳斯河流域管理局一般公共预算，导致预决算存在差异。</w:t>
      </w:r>
    </w:p>
    <w:p w14:paraId="3FE232EB">
      <w:pPr>
        <w:spacing w:line="640" w:lineRule="exact"/>
        <w:ind w:firstLine="640"/>
        <w:jc w:val="both"/>
        <w:outlineLvl w:val="2"/>
      </w:pPr>
      <w:r>
        <w:rPr>
          <w:rFonts w:ascii="黑体" w:hAnsi="黑体" w:eastAsia="黑体"/>
          <w:sz w:val="32"/>
        </w:rPr>
        <w:t>五、一般公共预算财政拨款支出决算情况说明</w:t>
      </w:r>
    </w:p>
    <w:p w14:paraId="01162F17">
      <w:pPr>
        <w:spacing w:line="580" w:lineRule="exact"/>
        <w:ind w:firstLine="640"/>
        <w:jc w:val="both"/>
      </w:pPr>
      <w:r>
        <w:rPr>
          <w:rFonts w:ascii="仿宋_GB2312" w:hAnsi="仿宋_GB2312" w:eastAsia="仿宋_GB2312"/>
          <w:b w:val="0"/>
          <w:sz w:val="32"/>
        </w:rPr>
        <w:t>按照党中央、国务院关于党政机关习惯过紧日子的有关要求，厉行节约办一切事业，严控一般性支出。同时坚持有保有压，优化支出结构，提高资金使用效率，合理保障</w:t>
      </w:r>
      <w:r>
        <w:rPr>
          <w:rFonts w:hint="eastAsia" w:ascii="仿宋_GB2312" w:hAnsi="仿宋_GB2312" w:eastAsia="仿宋_GB2312"/>
          <w:b w:val="0"/>
          <w:sz w:val="32"/>
          <w:lang w:val="en-US" w:eastAsia="zh-CN"/>
        </w:rPr>
        <w:t>单位运行、</w:t>
      </w:r>
      <w:r>
        <w:rPr>
          <w:rFonts w:ascii="仿宋_GB2312" w:hAnsi="仿宋_GB2312" w:eastAsia="仿宋_GB2312"/>
          <w:b w:val="0"/>
          <w:sz w:val="32"/>
        </w:rPr>
        <w:t>事业发展、民生保障等重点支出，体现在有关支出科目中。</w:t>
      </w:r>
    </w:p>
    <w:p w14:paraId="4AC39312">
      <w:pPr>
        <w:spacing w:line="580" w:lineRule="exact"/>
        <w:ind w:firstLine="640"/>
        <w:jc w:val="both"/>
      </w:pPr>
      <w:r>
        <w:rPr>
          <w:rFonts w:ascii="仿宋_GB2312" w:hAnsi="仿宋_GB2312" w:eastAsia="仿宋_GB2312"/>
          <w:b w:val="0"/>
          <w:sz w:val="32"/>
        </w:rPr>
        <w:t>按照支出功能分类，农林水支出（类）水利（款）水利工程运行与维护（项）的支出占本年财政拨款支出总额的比重最高，2025年度决算数为497.68万元，占比40.51%，主要用于人员工资、日常公用经费以及白蚁等害堤动物防治项目。</w:t>
      </w:r>
    </w:p>
    <w:p w14:paraId="52E06886">
      <w:pPr>
        <w:spacing w:line="640" w:lineRule="exact"/>
        <w:ind w:firstLine="640"/>
        <w:jc w:val="both"/>
        <w:outlineLvl w:val="3"/>
      </w:pPr>
      <w:r>
        <w:rPr>
          <w:rFonts w:ascii="楷体_GB2312" w:hAnsi="楷体_GB2312" w:eastAsia="楷体_GB2312"/>
          <w:b/>
          <w:sz w:val="32"/>
        </w:rPr>
        <w:t>（一）一般公共预算财政拨款支出决算总体情况</w:t>
      </w:r>
    </w:p>
    <w:p w14:paraId="7BF237BD">
      <w:pPr>
        <w:spacing w:line="580" w:lineRule="exact"/>
        <w:ind w:firstLine="640"/>
        <w:jc w:val="both"/>
      </w:pPr>
      <w:r>
        <w:rPr>
          <w:rFonts w:ascii="仿宋_GB2312" w:hAnsi="仿宋_GB2312" w:eastAsia="仿宋_GB2312"/>
          <w:b/>
          <w:sz w:val="32"/>
        </w:rPr>
        <w:t>2025年度一般公共预算财政拨款支出1,228.43万元，</w:t>
      </w:r>
      <w:r>
        <w:rPr>
          <w:rFonts w:ascii="仿宋_GB2312" w:hAnsi="仿宋_GB2312" w:eastAsia="仿宋_GB2312"/>
          <w:b w:val="0"/>
          <w:sz w:val="32"/>
        </w:rPr>
        <w:t>占本年支出合计的14.75%。</w:t>
      </w:r>
      <w:r>
        <w:rPr>
          <w:rFonts w:ascii="仿宋_GB2312" w:hAnsi="仿宋_GB2312" w:eastAsia="仿宋_GB2312"/>
          <w:b/>
          <w:sz w:val="32"/>
        </w:rPr>
        <w:t>与上年相比，</w:t>
      </w:r>
      <w:r>
        <w:rPr>
          <w:rFonts w:ascii="仿宋_GB2312" w:hAnsi="仿宋_GB2312" w:eastAsia="仿宋_GB2312"/>
          <w:b w:val="0"/>
          <w:sz w:val="32"/>
        </w:rPr>
        <w:t>增加426.98万元，增长53.28%，主要原因是：依据事业单位改革要求，将新疆玛纳斯河流域管理局、新疆玛纳斯河流域管理局水利管理中心整合，组建新疆维吾尔自治区玛纳斯河流域水利管理中心，新疆玛纳斯河流域管理局是全额单位，新疆玛纳斯河流域管理局水利管理中心与新疆维吾尔自治区玛纳斯河流域水利管理中心都是差额单位，新单位增加了原新疆玛纳斯河流域管理局一般公共预算，财政拨款支出与上年比增加。</w:t>
      </w:r>
      <w:r>
        <w:rPr>
          <w:rFonts w:ascii="仿宋_GB2312" w:hAnsi="仿宋_GB2312" w:eastAsia="仿宋_GB2312"/>
          <w:b/>
          <w:sz w:val="32"/>
        </w:rPr>
        <w:t>与年初预算相比，</w:t>
      </w:r>
      <w:r>
        <w:rPr>
          <w:rFonts w:ascii="仿宋_GB2312" w:hAnsi="仿宋_GB2312" w:eastAsia="仿宋_GB2312"/>
          <w:b w:val="0"/>
          <w:sz w:val="32"/>
        </w:rPr>
        <w:t>年初预算数991.93万元，决算数1,228.43万元，预决算差异率23.84%，主要原因是：依据事业单位改革要求，将新疆玛纳斯河流域管理局、新疆玛纳斯河流域管理局水利管理中心整合，组建新疆维吾尔自治区玛纳斯河流域水利管理中心，新疆玛纳斯河流域管理局是全额单位，新疆玛纳斯河流域管理局水利管理中心与新疆维吾尔自治区玛纳斯河流域水利管理中心都是差额单位，新单位年中增加了原新疆玛纳斯河流域管理局一般公共预算，导致预决算存在差异。</w:t>
      </w:r>
    </w:p>
    <w:p w14:paraId="02C3E32B">
      <w:pPr>
        <w:spacing w:line="640" w:lineRule="exact"/>
        <w:ind w:firstLine="640"/>
        <w:jc w:val="both"/>
        <w:outlineLvl w:val="3"/>
      </w:pPr>
      <w:r>
        <w:rPr>
          <w:rFonts w:ascii="楷体_GB2312" w:hAnsi="楷体_GB2312" w:eastAsia="楷体_GB2312"/>
          <w:b/>
          <w:sz w:val="32"/>
        </w:rPr>
        <w:t>（二）一般公共预算财政拨款支出决算结构情况</w:t>
      </w:r>
    </w:p>
    <w:p w14:paraId="187EC14E">
      <w:pPr>
        <w:spacing w:line="580" w:lineRule="exact"/>
        <w:ind w:firstLine="640"/>
        <w:jc w:val="both"/>
      </w:pPr>
      <w:r>
        <w:rPr>
          <w:rFonts w:ascii="仿宋_GB2312" w:hAnsi="仿宋_GB2312" w:eastAsia="仿宋_GB2312"/>
          <w:b w:val="0"/>
          <w:sz w:val="32"/>
        </w:rPr>
        <w:t>1.社会保障和就业支出（类）225.14万元，占18.33%。</w:t>
      </w:r>
    </w:p>
    <w:p w14:paraId="0AEA9F65">
      <w:pPr>
        <w:spacing w:line="580" w:lineRule="exact"/>
        <w:ind w:firstLine="640"/>
        <w:jc w:val="both"/>
      </w:pPr>
      <w:r>
        <w:rPr>
          <w:rFonts w:ascii="仿宋_GB2312" w:hAnsi="仿宋_GB2312" w:eastAsia="仿宋_GB2312"/>
          <w:b w:val="0"/>
          <w:sz w:val="32"/>
        </w:rPr>
        <w:t>2.卫生健康支出（类）46.16万元，占3.76%。</w:t>
      </w:r>
    </w:p>
    <w:p w14:paraId="4F540C50">
      <w:pPr>
        <w:spacing w:line="580" w:lineRule="exact"/>
        <w:ind w:firstLine="640"/>
        <w:jc w:val="both"/>
      </w:pPr>
      <w:r>
        <w:rPr>
          <w:rFonts w:ascii="仿宋_GB2312" w:hAnsi="仿宋_GB2312" w:eastAsia="仿宋_GB2312"/>
          <w:b w:val="0"/>
          <w:sz w:val="32"/>
        </w:rPr>
        <w:t>3.农林水支出（类）921.94万元，占75.05%。</w:t>
      </w:r>
    </w:p>
    <w:p w14:paraId="13926B48">
      <w:pPr>
        <w:spacing w:line="580" w:lineRule="exact"/>
        <w:ind w:firstLine="640"/>
        <w:jc w:val="both"/>
      </w:pPr>
      <w:r>
        <w:rPr>
          <w:rFonts w:ascii="仿宋_GB2312" w:hAnsi="仿宋_GB2312" w:eastAsia="仿宋_GB2312"/>
          <w:b w:val="0"/>
          <w:sz w:val="32"/>
        </w:rPr>
        <w:t>4.住房保障支出（类）35.20万元，占2.87%。</w:t>
      </w:r>
    </w:p>
    <w:p w14:paraId="61B457D0">
      <w:pPr>
        <w:spacing w:line="640" w:lineRule="exact"/>
        <w:ind w:firstLine="640"/>
        <w:jc w:val="both"/>
        <w:outlineLvl w:val="3"/>
      </w:pPr>
      <w:r>
        <w:rPr>
          <w:rFonts w:ascii="楷体_GB2312" w:hAnsi="楷体_GB2312" w:eastAsia="楷体_GB2312"/>
          <w:b/>
          <w:sz w:val="32"/>
        </w:rPr>
        <w:t>（三）一般公共预算财政拨款支出决算具体情况</w:t>
      </w:r>
    </w:p>
    <w:p w14:paraId="623FAE75">
      <w:pPr>
        <w:spacing w:line="580" w:lineRule="exact"/>
        <w:ind w:firstLine="640"/>
        <w:jc w:val="both"/>
      </w:pPr>
      <w:r>
        <w:rPr>
          <w:rFonts w:ascii="仿宋_GB2312" w:hAnsi="仿宋_GB2312" w:eastAsia="仿宋_GB2312"/>
          <w:b w:val="0"/>
          <w:sz w:val="32"/>
        </w:rPr>
        <w:t>1.社会保障和就业支出（类）行政事业单位养老支出（款）事业单位离退休（项）：支出决算数为49.48万元，比上年决算增加49.48万元，增长100.00%，主要原因是：依据事业单位改革要求，将新疆玛纳斯河流域管理局、新疆玛纳斯河流域管理局水利管理中心整合，组建新疆维吾尔自治区玛纳斯河流域水利管理中心，新单位上年无决算，新疆玛纳斯河流域管理局是全额单位，新疆玛纳斯河流域管理局水利管理中心与新疆维吾尔自治区玛纳斯河流域水利管理中心都是差额单位，今年新单位因机构改革并入了原新疆玛纳斯河流域管理局离退休人员相关经费支出，导致事业单位离退休财政拨款支出比上年增加。</w:t>
      </w:r>
    </w:p>
    <w:p w14:paraId="646C556F">
      <w:pPr>
        <w:spacing w:line="580" w:lineRule="exact"/>
        <w:ind w:firstLine="640"/>
        <w:jc w:val="both"/>
      </w:pPr>
      <w:r>
        <w:rPr>
          <w:rFonts w:ascii="仿宋_GB2312" w:hAnsi="仿宋_GB2312" w:eastAsia="仿宋_GB2312"/>
          <w:b w:val="0"/>
          <w:sz w:val="32"/>
        </w:rPr>
        <w:t>2.社会保障和就业支出（类）行政事业单位养老支出（款）机关事业单位基本养老保险缴费支出（项）：支出决算数为46.93万元，比上年决算增加46.93万元，增长100.00%，主要原因是：依据事业单位改革要求，将新疆玛纳斯河流域管理局、新疆玛纳斯河流域管理局水利管理中心整合，组建新疆维吾尔自治区玛纳斯河流域水利管理中心，新单位上年无决算，新疆玛纳斯河流域管理局是全额单位，新疆玛纳斯河流域管理局水利管理中心与新疆维吾尔自治区玛纳斯河流域水利管理中心都是差额单位，今年新单位因机构改革并入了原新疆玛纳斯河流域管理局机关事业单位基本养老保险缴费支出，导致机关事业单位基本养老保险缴费支出比上年增加。</w:t>
      </w:r>
    </w:p>
    <w:p w14:paraId="15917C93">
      <w:pPr>
        <w:spacing w:line="580" w:lineRule="exact"/>
        <w:ind w:firstLine="640"/>
        <w:jc w:val="both"/>
      </w:pPr>
      <w:r>
        <w:rPr>
          <w:rFonts w:ascii="仿宋_GB2312" w:hAnsi="仿宋_GB2312" w:eastAsia="仿宋_GB2312"/>
          <w:b w:val="0"/>
          <w:sz w:val="32"/>
        </w:rPr>
        <w:t>3.社会保障和就业支出（类）行政事业单位养老支出（款）机关事业单位职业年金缴费支出（项）：支出决算数为128.73万元，比上年决算增加128.73万元，增长100.00%，主要原因是：依据事业单位改革要求，将新疆玛纳斯河流域管理局、新疆玛纳斯河流域管理局水利管理中心整合，组建新疆维吾尔自治区玛纳斯河流域水利管理中心，新单位上年无决算，新疆玛纳斯河流域管理局是全额单位，新疆玛纳斯河流域管理局水利管理中心与新疆维吾尔自治区玛纳斯河流域水利管理中心都是差额单位，今年新单位因机构改革并入了原新疆玛纳斯河流域管理局机关事业单位职业年金缴费支出，导致机关事业单位职业年金缴费支出比上年增加。</w:t>
      </w:r>
    </w:p>
    <w:p w14:paraId="4219ECD1">
      <w:pPr>
        <w:spacing w:line="580" w:lineRule="exact"/>
        <w:ind w:firstLine="640"/>
        <w:jc w:val="both"/>
      </w:pPr>
      <w:r>
        <w:rPr>
          <w:rFonts w:ascii="仿宋_GB2312" w:hAnsi="仿宋_GB2312" w:eastAsia="仿宋_GB2312"/>
          <w:b w:val="0"/>
          <w:sz w:val="32"/>
        </w:rPr>
        <w:t>4.卫生健康支出（类）行政事业单位医疗（款）事业单位医疗（项）：支出决算数为25.62万元，比上年决算增加25.62万元，增长100.00%，主要原因是：依据事业单位改革要求，将新疆玛纳斯河流域管理局、新疆玛纳斯河流域管理局水利管理中心整合，组建新疆维吾尔自治区玛纳斯河流域水利管理中心，新单位上年无决算，新疆玛纳斯河流域管理局是全额单位，新疆玛纳斯河流域管理局水利管理中心与新疆维吾尔自治区玛纳斯河流域水利管理中心都是差额单位，今年新单位因机构改革并入了原新疆玛纳斯河流域管理局事业单位医疗支出，导致事业单位医疗支出比上年增加。</w:t>
      </w:r>
    </w:p>
    <w:p w14:paraId="0962CCD8">
      <w:pPr>
        <w:spacing w:line="580" w:lineRule="exact"/>
        <w:ind w:firstLine="640"/>
        <w:jc w:val="both"/>
      </w:pPr>
      <w:r>
        <w:rPr>
          <w:rFonts w:ascii="仿宋_GB2312" w:hAnsi="仿宋_GB2312" w:eastAsia="仿宋_GB2312"/>
          <w:b w:val="0"/>
          <w:sz w:val="32"/>
        </w:rPr>
        <w:t>5.卫生健康支出（类）行政事业单位医疗（款）公务员医疗补助（项）：支出决算数为20.53万元，比上年决算增加20.53万元，增长100.00%，主要原因是：依据事业单位改革要求，将新疆玛纳斯河流域管理局、新疆玛纳斯河流域管理局水利管理中心整合，组建新疆维吾尔自治区玛纳斯河流域水利管理中心，新单位上年无决算，新疆玛纳斯河流域管理局是全额单位，新疆玛纳斯河流域管理局水利管理中心与新疆维吾尔自治区玛纳斯河流域水利管理中心都是差额单位，今年新单位因机构改革纳入了原新疆玛纳斯河流域管理局人员的公务员医疗补助，导致公务员医疗补助比上年增加。</w:t>
      </w:r>
    </w:p>
    <w:p w14:paraId="1EDBEC42">
      <w:pPr>
        <w:spacing w:line="580" w:lineRule="exact"/>
        <w:ind w:firstLine="640"/>
        <w:jc w:val="both"/>
      </w:pPr>
      <w:r>
        <w:rPr>
          <w:rFonts w:ascii="仿宋_GB2312" w:hAnsi="仿宋_GB2312" w:eastAsia="仿宋_GB2312"/>
          <w:b w:val="0"/>
          <w:sz w:val="32"/>
        </w:rPr>
        <w:t>6.农林水支出（类）水利（款）水利行业业务管理（项）：支出决算数为378.87万元，比上年决算增加378.87万元，增长100.00%，主要原因是：依据事业单位改革要求，将新疆玛纳斯河流域管理局、新疆玛纳斯河流域管理局水利管理中心整合，组建新疆维吾尔自治区玛纳斯河流域水利管理中心，新单位上年无决算，新疆玛纳斯河流域管理局是全额单位，新疆玛纳斯河流域管理局水利管理中心与新疆维吾尔自治区玛纳斯河流域水利管理中心都是差额单位，今年新单位因机构改革并入了原新疆玛纳斯河流域管理局一般公共预算，增加了原新疆玛纳斯河流域管理局的基本支出和项目支出，导致相关科目支出较上年增加。</w:t>
      </w:r>
    </w:p>
    <w:p w14:paraId="7CC695C8">
      <w:pPr>
        <w:spacing w:line="580" w:lineRule="exact"/>
        <w:ind w:firstLine="640"/>
        <w:jc w:val="both"/>
      </w:pPr>
      <w:r>
        <w:rPr>
          <w:rFonts w:ascii="仿宋_GB2312" w:hAnsi="仿宋_GB2312" w:eastAsia="仿宋_GB2312"/>
          <w:b w:val="0"/>
          <w:sz w:val="32"/>
        </w:rPr>
        <w:t>7.农林水支出（类）水利（款）水利工程建设（项）：支出决算数为15.39万元，比上年决算减少46.87万元，下降75.28%，主要原因是：以前年度基建项目的结转资金已逐年消化，较上年相比，基建项目减少，相关的基础设施建设支出减少，因而水利工程建设较上年支出减少。</w:t>
      </w:r>
    </w:p>
    <w:p w14:paraId="11DA4588">
      <w:pPr>
        <w:spacing w:line="580" w:lineRule="exact"/>
        <w:ind w:firstLine="640"/>
        <w:jc w:val="both"/>
      </w:pPr>
      <w:r>
        <w:rPr>
          <w:rFonts w:ascii="仿宋_GB2312" w:hAnsi="仿宋_GB2312" w:eastAsia="仿宋_GB2312"/>
          <w:b w:val="0"/>
          <w:sz w:val="32"/>
        </w:rPr>
        <w:t>8.农林水支出（类）水利（款）水利工程运行与维护（项）：支出决算数为497.68万元，比上年决算减少232.51万元，下降31.84%，主要原因是：财政项目资金支出减少，上年度有自治区水利发展资金以及中央水利发展资金财政项目资金，2025年度没有相关财政项目，导致相关支出较上年减少。</w:t>
      </w:r>
    </w:p>
    <w:p w14:paraId="5A2BAA09">
      <w:pPr>
        <w:spacing w:line="580" w:lineRule="exact"/>
        <w:ind w:firstLine="640"/>
        <w:jc w:val="both"/>
      </w:pPr>
      <w:r>
        <w:rPr>
          <w:rFonts w:ascii="仿宋_GB2312" w:hAnsi="仿宋_GB2312" w:eastAsia="仿宋_GB2312"/>
          <w:b w:val="0"/>
          <w:sz w:val="32"/>
        </w:rPr>
        <w:t>9.农林水支出（类）水利（款）防汛（项）：支出决算数为30.00万元，比上年决算增加30.00万元，增长100.00%，主要原因是：依据事业单位改革要求，将新疆玛纳斯河流域管理局、新疆玛纳斯河流域管理局水利管理中心整合，组建新疆维吾尔自治区玛纳斯河流域水利管理中心，新单位上年无决算，今年新单位因机构改革增加了原新疆玛纳斯河流域管理局水利管理中心的2024年农业防灾减灾和水利救灾资金预算（防灾救灾第十三批）项目支出，导致防汛支出较上年增加。</w:t>
      </w:r>
    </w:p>
    <w:p w14:paraId="4A095D1B">
      <w:pPr>
        <w:spacing w:line="580" w:lineRule="exact"/>
        <w:ind w:firstLine="640"/>
        <w:jc w:val="both"/>
      </w:pPr>
      <w:r>
        <w:rPr>
          <w:rFonts w:ascii="仿宋_GB2312" w:hAnsi="仿宋_GB2312" w:eastAsia="仿宋_GB2312"/>
          <w:b w:val="0"/>
          <w:sz w:val="32"/>
        </w:rPr>
        <w:t>10.农林水支出（类）水利（款）江河湖库水系综合整治（项）：支出决算数为0.00万元，比上年决算减少9.00万元，下降100.00%，主要原因是：上年度的江河湖库水系综合整治项目已经完成，项目款项也已结清，2025年度没有江河湖库水系综合整治项目，导致支出较上年减少。</w:t>
      </w:r>
    </w:p>
    <w:p w14:paraId="44F3502A">
      <w:pPr>
        <w:spacing w:line="580" w:lineRule="exact"/>
        <w:ind w:firstLine="640"/>
        <w:jc w:val="both"/>
      </w:pPr>
      <w:r>
        <w:rPr>
          <w:rFonts w:ascii="仿宋_GB2312" w:hAnsi="仿宋_GB2312" w:eastAsia="仿宋_GB2312"/>
          <w:b w:val="0"/>
          <w:sz w:val="32"/>
        </w:rPr>
        <w:t>11.住房保障支出（类）住房改革支出（款）住房公积金（项）：支出决算数为35.20万元，比上年决算增加35.20万元，增长100.00%，主要原因是：依据事业单位改革要求，将新疆玛纳斯河流域管理局、新疆玛纳斯河流域管理局水利管理中心整合，组建新疆维吾尔自治区玛纳斯河流域水利管理中心，新单位上年无决算，新疆玛纳斯河流域管理局是全额单位，新疆玛纳斯河流域管理局水利管理中心与新疆维吾尔自治区玛纳斯河流域水利管理中心都是差额单位，今年新单位因机构改革纳入了原新疆玛纳斯河流域管理局人员的住房公积金，导致住房公积金较上年支出增加。</w:t>
      </w:r>
    </w:p>
    <w:p w14:paraId="1E2E13EB">
      <w:pPr>
        <w:spacing w:line="640" w:lineRule="exact"/>
        <w:ind w:firstLine="640"/>
        <w:jc w:val="both"/>
        <w:outlineLvl w:val="2"/>
      </w:pPr>
      <w:r>
        <w:rPr>
          <w:rFonts w:ascii="黑体" w:hAnsi="黑体" w:eastAsia="黑体"/>
          <w:sz w:val="32"/>
        </w:rPr>
        <w:t>六、一般公共预算财政拨款基本支出决算情况说明</w:t>
      </w:r>
    </w:p>
    <w:p w14:paraId="4F15BD39">
      <w:pPr>
        <w:spacing w:line="580" w:lineRule="exact"/>
        <w:ind w:firstLine="640"/>
        <w:jc w:val="both"/>
      </w:pPr>
      <w:r>
        <w:rPr>
          <w:rFonts w:ascii="仿宋_GB2312" w:hAnsi="仿宋_GB2312" w:eastAsia="仿宋_GB2312"/>
          <w:b w:val="0"/>
          <w:sz w:val="32"/>
        </w:rPr>
        <w:t>2025年度一般公共预算财政拨款基本支出1,110.04万元，其中：</w:t>
      </w:r>
      <w:r>
        <w:rPr>
          <w:rFonts w:ascii="仿宋_GB2312" w:hAnsi="仿宋_GB2312" w:eastAsia="仿宋_GB2312"/>
          <w:b/>
          <w:sz w:val="32"/>
        </w:rPr>
        <w:t>人员经费1,067.74万元，</w:t>
      </w:r>
      <w:r>
        <w:rPr>
          <w:rFonts w:ascii="仿宋_GB2312" w:hAnsi="仿宋_GB2312" w:eastAsia="仿宋_GB2312"/>
          <w:b w:val="0"/>
          <w:sz w:val="32"/>
        </w:rPr>
        <w:t>包括：基本工资、津贴补贴、奖金、绩效工资、机关事业单位基本养老保险缴费、职业年金缴费、职工基本医疗保险缴费、公务员医疗补助缴费、其他社会保障缴费、住房公积金、其他工资福利支出、退休费。</w:t>
      </w:r>
    </w:p>
    <w:p w14:paraId="57C14F13">
      <w:pPr>
        <w:spacing w:line="580" w:lineRule="exact"/>
        <w:ind w:firstLine="640"/>
        <w:jc w:val="both"/>
      </w:pPr>
      <w:r>
        <w:rPr>
          <w:rFonts w:ascii="仿宋_GB2312" w:hAnsi="仿宋_GB2312" w:eastAsia="仿宋_GB2312"/>
          <w:b/>
          <w:sz w:val="32"/>
        </w:rPr>
        <w:t>公用经费42.30万元，</w:t>
      </w:r>
      <w:r>
        <w:rPr>
          <w:rFonts w:ascii="仿宋_GB2312" w:hAnsi="仿宋_GB2312" w:eastAsia="仿宋_GB2312"/>
          <w:b w:val="0"/>
          <w:sz w:val="32"/>
        </w:rPr>
        <w:t>包括：办公费、水费、电费、邮电费、差旅费、公务接待费、委托业务费、工会经费、福利费、公务用车运行维护费、其他商品和服务支出。</w:t>
      </w:r>
    </w:p>
    <w:p w14:paraId="7ED677AA">
      <w:pPr>
        <w:spacing w:line="640" w:lineRule="exact"/>
        <w:ind w:firstLine="640"/>
        <w:jc w:val="both"/>
        <w:outlineLvl w:val="2"/>
      </w:pPr>
      <w:r>
        <w:rPr>
          <w:rFonts w:ascii="黑体" w:hAnsi="黑体" w:eastAsia="黑体"/>
          <w:sz w:val="32"/>
        </w:rPr>
        <w:t>七、政府性基金预算财政拨款收入支出决算情况说明</w:t>
      </w:r>
    </w:p>
    <w:p w14:paraId="29D9964B">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543B8E6D">
      <w:pPr>
        <w:spacing w:line="640" w:lineRule="exact"/>
        <w:ind w:firstLine="640"/>
        <w:jc w:val="both"/>
        <w:outlineLvl w:val="2"/>
      </w:pPr>
      <w:r>
        <w:rPr>
          <w:rFonts w:ascii="黑体" w:hAnsi="黑体" w:eastAsia="黑体"/>
          <w:sz w:val="32"/>
        </w:rPr>
        <w:t>八、国有资本经营预算财政拨款收入支出决算情况说明</w:t>
      </w:r>
    </w:p>
    <w:p w14:paraId="22CF2ED8">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0509133E">
      <w:pPr>
        <w:spacing w:line="640" w:lineRule="exact"/>
        <w:ind w:firstLine="640"/>
        <w:jc w:val="both"/>
        <w:outlineLvl w:val="2"/>
      </w:pPr>
      <w:r>
        <w:rPr>
          <w:rFonts w:ascii="黑体" w:hAnsi="黑体" w:eastAsia="黑体"/>
          <w:sz w:val="32"/>
        </w:rPr>
        <w:t>九、财政拨款“三公”经费支出决算情况说明</w:t>
      </w:r>
    </w:p>
    <w:p w14:paraId="1D8AE36F">
      <w:pPr>
        <w:spacing w:line="580" w:lineRule="exact"/>
        <w:ind w:firstLine="640"/>
        <w:jc w:val="both"/>
      </w:pPr>
      <w:r>
        <w:rPr>
          <w:rFonts w:ascii="仿宋_GB2312" w:hAnsi="仿宋_GB2312" w:eastAsia="仿宋_GB2312"/>
          <w:b/>
          <w:sz w:val="32"/>
        </w:rPr>
        <w:t>2025年度财政拨款“三公”经费支出4.34万元，</w:t>
      </w:r>
      <w:r>
        <w:rPr>
          <w:rFonts w:ascii="仿宋_GB2312" w:hAnsi="仿宋_GB2312" w:eastAsia="仿宋_GB2312"/>
          <w:b w:val="0"/>
          <w:sz w:val="32"/>
        </w:rPr>
        <w:t>比上年增加4.34万元，增长100.00%，主要原因是：依据事业单位改革要求，将新疆玛纳斯河流域管理局、新疆玛纳斯河流域管理局水利管理中心整合，组建新疆维吾尔自治区玛纳斯河流域水利管理中心，新单位上年无决算，新疆玛纳斯河流域管理局是全额单位，新疆玛纳斯河流域管理局水利管理中心与新疆维吾尔自治区玛纳斯河流域水利管理中心都是差额单位，今年新单位因机构改革增加了原新疆玛纳斯河流域管理局的“三公”经费，因而“三公”经费支出较上年增加。其中：因公出国（境）费用支出0.00万元，占0.00%，比上年增加0.00万元，增长0.00%，主要原因是：2024年与2025年均无因公出国（境）费用支出。公务用车购置及运行维护费支出3.87万元，占89.17%，比上年增加3.87万元，增长100.00%，主要原因是：依据事业单位改革要求，将新疆玛纳斯河流域管理局、新疆玛纳斯河流域管理局水利管理中心整合，组建新疆维吾尔自治区玛纳斯河流域水利管理中心，新单位上年无决算，新疆玛纳斯河流域管理局是全额单位，新疆玛纳斯河流域管理局水利管理中心与新疆维吾尔自治区玛纳斯河流域水利管理中心都是差额单位，今年新单位因机构改革增加了原新疆玛纳斯河流域管理局的公务用车运行维护费，因而公务用车购置及运行维护费支出较上年增加。公务接待费支出0.47万元，占10.83%，比上年增加0.47万元，增长100.00%，主要原因是：依据事业单位改革要求，将新疆玛纳斯河流域管理局、新疆玛纳斯河流域管理局水利管理中心整合，组建新疆维吾尔自治区玛纳斯河流域水利管理中心，新单位上年无决算，新疆玛纳斯河流域管理局是全额单位，新疆玛纳斯河流域管理局水利管理中心与新疆维吾尔自治区玛纳斯河流域水利管理中心都是差额单位，今年新单位因机构改革增加了原新疆玛纳斯河流域管理局的公务接待费，因而公务接待费支出较上年增加。</w:t>
      </w:r>
    </w:p>
    <w:p w14:paraId="4DFF4144">
      <w:pPr>
        <w:spacing w:line="580" w:lineRule="exact"/>
        <w:ind w:firstLine="640"/>
        <w:jc w:val="both"/>
      </w:pPr>
      <w:r>
        <w:rPr>
          <w:rFonts w:ascii="仿宋_GB2312" w:hAnsi="仿宋_GB2312" w:eastAsia="仿宋_GB2312"/>
          <w:b/>
          <w:sz w:val="32"/>
        </w:rPr>
        <w:t>具体情况如下：</w:t>
      </w:r>
    </w:p>
    <w:p w14:paraId="73203FA8">
      <w:pPr>
        <w:spacing w:line="580" w:lineRule="exact"/>
        <w:ind w:firstLine="640"/>
        <w:jc w:val="both"/>
      </w:pPr>
      <w:r>
        <w:rPr>
          <w:rFonts w:ascii="仿宋_GB2312" w:hAnsi="仿宋_GB2312" w:eastAsia="仿宋_GB2312"/>
          <w:b w:val="0"/>
          <w:sz w:val="32"/>
        </w:rPr>
        <w:t>因公出国（境）费用0.00万元，开支内容包括本单位无因公出国（境）费用。单位全年安排的因公出国（境）团组0个，因公出国（境）0人次。</w:t>
      </w:r>
    </w:p>
    <w:p w14:paraId="66694FCC">
      <w:pPr>
        <w:spacing w:line="580" w:lineRule="exact"/>
        <w:ind w:firstLine="640"/>
        <w:jc w:val="both"/>
      </w:pPr>
      <w:r>
        <w:rPr>
          <w:rFonts w:ascii="仿宋_GB2312" w:hAnsi="仿宋_GB2312" w:eastAsia="仿宋_GB2312"/>
          <w:b w:val="0"/>
          <w:sz w:val="32"/>
        </w:rPr>
        <w:t>公务用车购置及运行维护费3.87万元，其中：公务用车购置费0.00万元，公务用车运行维护费3.87万元。公务用车运行维护费开支内容包括车辆加油费、保险费及过路费。公务用车购置数0辆，公务用车保有量15辆。国有资产占用情况中固定资产车辆15辆，与公务用车保有量差异原因是：本单位公务用车保有量与固定资产车辆一致无差异。</w:t>
      </w:r>
    </w:p>
    <w:p w14:paraId="791BF4D7">
      <w:pPr>
        <w:spacing w:line="580" w:lineRule="exact"/>
        <w:ind w:firstLine="640"/>
        <w:jc w:val="both"/>
      </w:pPr>
      <w:r>
        <w:rPr>
          <w:rFonts w:ascii="仿宋_GB2312" w:hAnsi="仿宋_GB2312" w:eastAsia="仿宋_GB2312"/>
          <w:b w:val="0"/>
          <w:sz w:val="32"/>
        </w:rPr>
        <w:t>公务接待费0.47万元，开支内容包括自治区调研组调研及其他单位考察学习小组就餐产生的餐费。单位全年安排的国内公务接待3批次，50人次。</w:t>
      </w:r>
    </w:p>
    <w:p w14:paraId="405E6FF0">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财政拨款“三公”经费支出全年预算数4.38万元，决算数4.34万元，预决算差异率-0.91%，主要原因是：为加强预算管理，</w:t>
      </w:r>
      <w:r>
        <w:rPr>
          <w:rFonts w:hint="eastAsia" w:ascii="仿宋_GB2312" w:hAnsi="仿宋_GB2312" w:eastAsia="仿宋_GB2312"/>
          <w:b w:val="0"/>
          <w:sz w:val="32"/>
          <w:lang w:val="en-US" w:eastAsia="zh-CN"/>
        </w:rPr>
        <w:t>厉行节约，减少</w:t>
      </w:r>
      <w:r>
        <w:rPr>
          <w:rFonts w:ascii="仿宋_GB2312" w:hAnsi="仿宋_GB2312" w:eastAsia="仿宋_GB2312"/>
          <w:b w:val="0"/>
          <w:sz w:val="32"/>
        </w:rPr>
        <w:t>“三公”经费支出，导致预决算存在差异。其中：因公出国（境）费用全年预算数0.00万元，决算数0.00万元，预决算差异率0.00%，主要原因是：本单位无因公出国（境）费用。公务用车购置费全年预算数0.00万元，决算数0.00万元，预决算差异率0.00%，主要原因是：本单位无公务用车购置费。公务用车运行维护费全年预算数3.87万元，决算数3.87万元，预决算差异率0.00%，主要原因是：严格按照预算执行，预决算无差异。公务接待费全年预算数0.51万元，决算数0.47万元，预决算差异率-7.84%，主要原因是：为加强预算管理，</w:t>
      </w:r>
      <w:r>
        <w:rPr>
          <w:rFonts w:hint="eastAsia" w:ascii="仿宋_GB2312" w:hAnsi="仿宋_GB2312" w:eastAsia="仿宋_GB2312"/>
          <w:b w:val="0"/>
          <w:sz w:val="32"/>
          <w:lang w:val="en-US" w:eastAsia="zh-CN"/>
        </w:rPr>
        <w:t>厉行节约，减少</w:t>
      </w:r>
      <w:r>
        <w:rPr>
          <w:rFonts w:ascii="仿宋_GB2312" w:hAnsi="仿宋_GB2312" w:eastAsia="仿宋_GB2312"/>
          <w:b w:val="0"/>
          <w:sz w:val="32"/>
        </w:rPr>
        <w:t>公务接待费支出，导致预决算存在差异。</w:t>
      </w:r>
    </w:p>
    <w:p w14:paraId="26C91F2D">
      <w:pPr>
        <w:spacing w:line="640" w:lineRule="exact"/>
        <w:ind w:firstLine="640"/>
        <w:jc w:val="both"/>
        <w:outlineLvl w:val="2"/>
      </w:pPr>
      <w:r>
        <w:rPr>
          <w:rFonts w:ascii="黑体" w:hAnsi="黑体" w:eastAsia="黑体"/>
          <w:sz w:val="32"/>
        </w:rPr>
        <w:t>十、其他重要事项的情况说明</w:t>
      </w:r>
    </w:p>
    <w:p w14:paraId="247A16E2">
      <w:pPr>
        <w:spacing w:line="640" w:lineRule="exact"/>
        <w:ind w:firstLine="640"/>
        <w:jc w:val="both"/>
        <w:outlineLvl w:val="3"/>
      </w:pPr>
      <w:r>
        <w:rPr>
          <w:rFonts w:ascii="楷体_GB2312" w:hAnsi="楷体_GB2312" w:eastAsia="楷体_GB2312"/>
          <w:b/>
          <w:sz w:val="32"/>
        </w:rPr>
        <w:t>（一）机关运行经费及公用经费支出情况</w:t>
      </w:r>
    </w:p>
    <w:p w14:paraId="51A0A07B">
      <w:pPr>
        <w:spacing w:line="580" w:lineRule="exact"/>
        <w:ind w:firstLine="640"/>
        <w:jc w:val="both"/>
      </w:pPr>
      <w:r>
        <w:rPr>
          <w:rFonts w:ascii="仿宋_GB2312" w:hAnsi="仿宋_GB2312" w:eastAsia="仿宋_GB2312"/>
          <w:b w:val="0"/>
          <w:sz w:val="32"/>
        </w:rPr>
        <w:t>2025年度新疆维吾尔自治区玛纳斯河流域水利管理中心（事业单位）公用经费支出42.30万元，比上年增加42.30万元，增长100.00%，主要原因是：因为机构改革并入原新疆玛纳斯河流域管理局一般公共预算，公用经费支出增加。</w:t>
      </w:r>
    </w:p>
    <w:p w14:paraId="08BB5241">
      <w:pPr>
        <w:spacing w:line="640" w:lineRule="exact"/>
        <w:ind w:firstLine="640"/>
        <w:jc w:val="both"/>
        <w:outlineLvl w:val="3"/>
      </w:pPr>
      <w:r>
        <w:rPr>
          <w:rFonts w:ascii="楷体_GB2312" w:hAnsi="楷体_GB2312" w:eastAsia="楷体_GB2312"/>
          <w:b/>
          <w:sz w:val="32"/>
        </w:rPr>
        <w:t>（二）政府采购情况</w:t>
      </w:r>
    </w:p>
    <w:p w14:paraId="62AC3D87">
      <w:pPr>
        <w:spacing w:line="580" w:lineRule="exact"/>
        <w:ind w:firstLine="640"/>
        <w:jc w:val="both"/>
      </w:pPr>
      <w:r>
        <w:rPr>
          <w:rFonts w:ascii="仿宋_GB2312" w:hAnsi="仿宋_GB2312" w:eastAsia="仿宋_GB2312"/>
          <w:b w:val="0"/>
          <w:sz w:val="32"/>
        </w:rPr>
        <w:t>2025年度政府采购支出总额339.11万元，其中：政府采购货物支出45.07万元、政府采购工程支出167.58万元、政府采购服务支出126.46万元。</w:t>
      </w:r>
    </w:p>
    <w:p w14:paraId="4D610459">
      <w:pPr>
        <w:spacing w:line="580" w:lineRule="exact"/>
        <w:ind w:firstLine="640"/>
        <w:jc w:val="both"/>
      </w:pPr>
      <w:r>
        <w:rPr>
          <w:rFonts w:ascii="仿宋_GB2312" w:hAnsi="仿宋_GB2312" w:eastAsia="仿宋_GB2312"/>
          <w:b w:val="0"/>
          <w:sz w:val="32"/>
        </w:rPr>
        <w:t>授予中小企业合同金额339.11万元，占政府采购支出总额的100.00%，其中：授予小微企业合同金额339.11万元，占政府采购支出总额的100.00%。</w:t>
      </w:r>
    </w:p>
    <w:p w14:paraId="47C361FC">
      <w:pPr>
        <w:spacing w:line="640" w:lineRule="exact"/>
        <w:ind w:firstLine="640"/>
        <w:jc w:val="both"/>
        <w:outlineLvl w:val="3"/>
      </w:pPr>
      <w:r>
        <w:rPr>
          <w:rFonts w:ascii="楷体_GB2312" w:hAnsi="楷体_GB2312" w:eastAsia="楷体_GB2312"/>
          <w:b/>
          <w:sz w:val="32"/>
        </w:rPr>
        <w:t>（三）国有资产占用情况说明</w:t>
      </w:r>
    </w:p>
    <w:p w14:paraId="421281B8">
      <w:pPr>
        <w:spacing w:line="580" w:lineRule="exact"/>
        <w:ind w:firstLine="640"/>
        <w:jc w:val="both"/>
      </w:pPr>
      <w:r>
        <w:rPr>
          <w:rFonts w:ascii="仿宋_GB2312" w:hAnsi="仿宋_GB2312" w:eastAsia="仿宋_GB2312"/>
          <w:b w:val="0"/>
          <w:sz w:val="32"/>
        </w:rPr>
        <w:t>截至2025年12月31日，房屋34,779.14平方米，价值7,452.66万元。车辆15辆，价值349.46万元，其中：副部（省）级及以上领导用车0辆、主要负责人用车0辆、机要通信用车0辆、应急保障用车0辆、执法执勤用车0辆、特种专业技术用车0辆、离退休干部服务用车0辆、其他用车15辆，其他用车主要是：一般公务用车。单价100万元（含）以上设备（不含车辆）7台（套）。</w:t>
      </w:r>
    </w:p>
    <w:p w14:paraId="6116BE60">
      <w:pPr>
        <w:spacing w:line="640" w:lineRule="exact"/>
        <w:ind w:firstLine="640"/>
        <w:jc w:val="both"/>
        <w:outlineLvl w:val="2"/>
      </w:pPr>
      <w:r>
        <w:rPr>
          <w:rFonts w:ascii="黑体" w:hAnsi="黑体" w:eastAsia="黑体"/>
          <w:sz w:val="32"/>
        </w:rPr>
        <w:t>十一、预算绩效的情况说明</w:t>
      </w:r>
    </w:p>
    <w:p w14:paraId="7ABD865B">
      <w:pPr>
        <w:spacing w:line="580" w:lineRule="exact"/>
        <w:ind w:firstLine="640"/>
        <w:jc w:val="both"/>
      </w:pPr>
      <w:r>
        <w:rPr>
          <w:rFonts w:ascii="仿宋_GB2312" w:hAnsi="仿宋_GB2312" w:eastAsia="仿宋_GB2312"/>
          <w:b w:val="0"/>
          <w:sz w:val="32"/>
        </w:rPr>
        <w:t>根据预算绩效管理要求，本单位预算绩效评价项目</w:t>
      </w:r>
      <w:r>
        <w:rPr>
          <w:rFonts w:hint="eastAsia" w:ascii="仿宋_GB2312" w:hAnsi="仿宋_GB2312" w:eastAsia="仿宋_GB2312"/>
          <w:b w:val="0"/>
          <w:sz w:val="32"/>
          <w:lang w:val="en-US" w:eastAsia="zh-CN"/>
        </w:rPr>
        <w:t>2</w:t>
      </w:r>
      <w:r>
        <w:rPr>
          <w:rFonts w:ascii="仿宋_GB2312" w:hAnsi="仿宋_GB2312" w:eastAsia="仿宋_GB2312"/>
          <w:b w:val="0"/>
          <w:sz w:val="32"/>
        </w:rPr>
        <w:t>个，全年预算数5,082.61万元，全年执行数5,082.61万元。预算绩效</w:t>
      </w:r>
      <w:bookmarkStart w:id="0" w:name="_GoBack"/>
      <w:bookmarkEnd w:id="0"/>
      <w:r>
        <w:rPr>
          <w:rFonts w:ascii="仿宋_GB2312" w:hAnsi="仿宋_GB2312" w:eastAsia="仿宋_GB2312"/>
          <w:b w:val="0"/>
          <w:sz w:val="32"/>
        </w:rPr>
        <w:t>管理取得的成效：围绕预设绩效目标稳步推进，整体实施成效良好。一是目标达成方面，核心任务均按计划落地。项目管理层面，通过规范的立项审批、科学的预算编制与严格的资金管控，保障了项目实施的合规性与高效性，管理制度健全且执行到位，未出现重大流程偏差或资金使用问题</w:t>
      </w:r>
      <w:r>
        <w:rPr>
          <w:rFonts w:hint="eastAsia" w:ascii="仿宋_GB2312" w:hAnsi="仿宋_GB2312" w:eastAsia="仿宋_GB2312"/>
          <w:b w:val="0"/>
          <w:sz w:val="32"/>
          <w:lang w:eastAsia="zh-CN"/>
        </w:rPr>
        <w:t>，在</w:t>
      </w:r>
      <w:r>
        <w:rPr>
          <w:rFonts w:ascii="仿宋_GB2312" w:hAnsi="仿宋_GB2312" w:eastAsia="仿宋_GB2312"/>
          <w:b w:val="0"/>
          <w:sz w:val="32"/>
        </w:rPr>
        <w:t>产出成果上，项目产出数量满足计划要求，质量符合相关标准规范，产出时效与成本控制均达到预期目标。二是从项目的目标达成情况来看，2025年玛河安全防护栏安装工程在数量指标、质量指标等方面表现出色，如年初早谋划、早实施，项目在开始和施工过程中提高了工作效率，工程在保质量的前提下较快完成施工，完成资金支付，达到了预期的标准与要求。三是项目管理方面，新疆维吾尔自治区玛纳斯河流域水利管理中心通过有效的规划、组织与协调，项目得以顺利实施，并在预算与时间上保持了良好的控制。从项目效益的角度来看，本项目不仅实现了预期的社会效益、经济效益等方面产生了积极的影响。发现的问题及原因：一是相关绩效管理方面专业知识的系统性学习有待加强。各项指标的设置要进一步优化、完善，主要在细化、量化上改进。在绩效自评过程中，由于部分人员缺乏相关绩效管理专业知识，自评价工作还存在自我审定的局限性，影响评价质量。二是因轮岗、调动等因素使</w:t>
      </w:r>
      <w:r>
        <w:rPr>
          <w:rFonts w:hint="eastAsia" w:ascii="仿宋_GB2312" w:hAnsi="仿宋_GB2312" w:eastAsia="仿宋_GB2312"/>
          <w:b w:val="0"/>
          <w:sz w:val="32"/>
          <w:lang w:eastAsia="zh-CN"/>
        </w:rPr>
        <w:t>本单位</w:t>
      </w:r>
      <w:r>
        <w:rPr>
          <w:rFonts w:ascii="仿宋_GB2312" w:hAnsi="仿宋_GB2312" w:eastAsia="仿宋_GB2312"/>
          <w:b w:val="0"/>
          <w:sz w:val="32"/>
        </w:rPr>
        <w:t>绩效工作人员流动频繁，造成工作衔接不到位的情况。下一步改进措施：一是加强有关绩效管理工作方面的培训。积极组织第三方开展绩效管理工作培训，进一步夯实业务基础，提高</w:t>
      </w:r>
      <w:r>
        <w:rPr>
          <w:rFonts w:hint="eastAsia" w:ascii="仿宋_GB2312" w:hAnsi="仿宋_GB2312" w:eastAsia="仿宋_GB2312"/>
          <w:b w:val="0"/>
          <w:sz w:val="32"/>
          <w:lang w:eastAsia="zh-CN"/>
        </w:rPr>
        <w:t>本单位</w:t>
      </w:r>
      <w:r>
        <w:rPr>
          <w:rFonts w:ascii="仿宋_GB2312" w:hAnsi="仿宋_GB2312" w:eastAsia="仿宋_GB2312"/>
          <w:b w:val="0"/>
          <w:sz w:val="32"/>
        </w:rPr>
        <w:t>绩效人员水平。二是完善相关制度。专门设定对绩效工作人员定职、定岗、定责等相关制度措施，进一步提升</w:t>
      </w:r>
      <w:r>
        <w:rPr>
          <w:rFonts w:hint="eastAsia" w:ascii="仿宋_GB2312" w:hAnsi="仿宋_GB2312" w:eastAsia="仿宋_GB2312"/>
          <w:b w:val="0"/>
          <w:sz w:val="32"/>
          <w:lang w:eastAsia="zh-CN"/>
        </w:rPr>
        <w:t>本单位</w:t>
      </w:r>
      <w:r>
        <w:rPr>
          <w:rFonts w:ascii="仿宋_GB2312" w:hAnsi="仿宋_GB2312" w:eastAsia="仿宋_GB2312"/>
          <w:b w:val="0"/>
          <w:sz w:val="32"/>
        </w:rPr>
        <w:t>绩效管理工作业务水平，扎实做好绩效管理工作。三是规范项目建设的程序。项目前期做好可行性研究报告，更加细化实施方案，严格执行资金管理办法和财政资金管理制度，严格按照项目实施方案、招投标管理办法等稳步推进工作，各部门根据自己科室项目的特点进行总结。四是完善项目评价过程中有关数据和资料的收集、整理、审核及分析。项目启动时同步做好档案的归纳与整理，及时整理、收集、汇总，健全档案资料。项目后续管理有待进一步加强和跟踪。五是加强对绩效管理工作的组织领导，提高对预算绩效管理工作重要性的认识，总结经验查找问题，抓紧研究制定更全面更完善的绩效评价管理办法。结合水利安全考核建立绩效工作考核制度，加大全局对全面实施预算绩效管理和绩效管理工作的学习力度，让“花钱必问效，无效必问责”的理念深入工作每个环节。具体附项目支出绩效自评表。</w:t>
      </w:r>
    </w:p>
    <w:p w14:paraId="1625FB17">
      <w:r>
        <w:br w:type="page"/>
      </w:r>
    </w:p>
    <w:p w14:paraId="0F10C092">
      <w:pPr>
        <w:sectPr>
          <w:footerReference r:id="rId3" w:type="default"/>
          <w:pgSz w:w="11906" w:h="16838"/>
          <w:pgMar w:top="2098" w:right="1531" w:bottom="1985" w:left="1531" w:header="851" w:footer="992" w:gutter="0"/>
          <w:cols w:space="720" w:num="1"/>
          <w:docGrid w:type="lines" w:linePitch="312" w:charSpace="0"/>
        </w:sectPr>
      </w:pPr>
    </w:p>
    <w:tbl>
      <w:tblPr>
        <w:tblStyle w:val="8"/>
        <w:tblW w:w="5000" w:type="pct"/>
        <w:tblInd w:w="0" w:type="dxa"/>
        <w:tblLayout w:type="fixed"/>
        <w:tblCellMar>
          <w:top w:w="36" w:type="dxa"/>
          <w:left w:w="36" w:type="dxa"/>
          <w:bottom w:w="36" w:type="dxa"/>
          <w:right w:w="36" w:type="dxa"/>
        </w:tblCellMar>
      </w:tblPr>
      <w:tblGrid>
        <w:gridCol w:w="355"/>
        <w:gridCol w:w="497"/>
        <w:gridCol w:w="497"/>
        <w:gridCol w:w="795"/>
        <w:gridCol w:w="565"/>
        <w:gridCol w:w="497"/>
        <w:gridCol w:w="497"/>
        <w:gridCol w:w="497"/>
        <w:gridCol w:w="497"/>
        <w:gridCol w:w="497"/>
        <w:gridCol w:w="497"/>
        <w:gridCol w:w="680"/>
        <w:gridCol w:w="603"/>
        <w:gridCol w:w="1402"/>
      </w:tblGrid>
      <w:tr w14:paraId="285C8AAB">
        <w:tblPrEx>
          <w:tblCellMar>
            <w:top w:w="36" w:type="dxa"/>
            <w:left w:w="36" w:type="dxa"/>
            <w:bottom w:w="36" w:type="dxa"/>
            <w:right w:w="36" w:type="dxa"/>
          </w:tblCellMar>
        </w:tblPrEx>
        <w:trPr>
          <w:trHeight w:val="405" w:hRule="atLeast"/>
        </w:trPr>
        <w:tc>
          <w:tcPr>
            <w:tcW w:w="593"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2BF95A28">
            <w:pPr>
              <w:spacing w:before="0" w:after="0" w:line="240" w:lineRule="auto"/>
              <w:jc w:val="center"/>
            </w:pPr>
            <w:r>
              <w:rPr>
                <w:rFonts w:ascii="宋体" w:hAnsi="宋体" w:eastAsia="宋体"/>
                <w:b/>
                <w:i w:val="0"/>
                <w:sz w:val="32"/>
              </w:rPr>
              <w:t>项目支出绩效自评表</w:t>
            </w:r>
          </w:p>
        </w:tc>
      </w:tr>
      <w:tr w14:paraId="4797E204">
        <w:tblPrEx>
          <w:tblCellMar>
            <w:top w:w="36" w:type="dxa"/>
            <w:left w:w="36" w:type="dxa"/>
            <w:bottom w:w="36" w:type="dxa"/>
            <w:right w:w="36" w:type="dxa"/>
          </w:tblCellMar>
        </w:tblPrEx>
        <w:trPr>
          <w:trHeight w:val="380" w:hRule="atLeast"/>
        </w:trPr>
        <w:tc>
          <w:tcPr>
            <w:tcW w:w="593"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407CA44C">
            <w:pPr>
              <w:spacing w:before="0" w:after="0" w:line="240" w:lineRule="auto"/>
              <w:jc w:val="center"/>
            </w:pPr>
            <w:r>
              <w:rPr>
                <w:rFonts w:ascii="宋体" w:hAnsi="宋体" w:eastAsia="宋体"/>
                <w:b w:val="0"/>
                <w:i w:val="0"/>
                <w:sz w:val="22"/>
              </w:rPr>
              <w:t>(2025年度)</w:t>
            </w:r>
          </w:p>
        </w:tc>
      </w:tr>
      <w:tr w14:paraId="280EEFE6">
        <w:tblPrEx>
          <w:tblCellMar>
            <w:top w:w="36" w:type="dxa"/>
            <w:left w:w="36" w:type="dxa"/>
            <w:bottom w:w="36" w:type="dxa"/>
            <w:right w:w="36" w:type="dxa"/>
          </w:tblCellMar>
        </w:tblPrEx>
        <w:trPr>
          <w:trHeight w:val="380" w:hRule="atLeast"/>
        </w:trPr>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7B01E7">
            <w:pPr>
              <w:spacing w:before="0" w:after="0" w:line="240" w:lineRule="auto"/>
              <w:jc w:val="center"/>
            </w:pPr>
            <w:r>
              <w:rPr>
                <w:rFonts w:ascii="宋体" w:hAnsi="宋体" w:eastAsia="宋体"/>
                <w:b/>
                <w:i w:val="0"/>
                <w:sz w:val="18"/>
              </w:rPr>
              <w:t>项目名称</w:t>
            </w:r>
          </w:p>
        </w:tc>
        <w:tc>
          <w:tcPr>
            <w:tcW w:w="593" w:type="dxa"/>
            <w:gridSpan w:val="12"/>
            <w:tcBorders>
              <w:top w:val="single" w:color="auto" w:sz="10" w:space="0"/>
              <w:left w:val="single" w:color="auto" w:sz="10" w:space="0"/>
              <w:bottom w:val="single" w:color="auto" w:sz="10" w:space="0"/>
              <w:right w:val="single" w:color="auto" w:sz="10" w:space="0"/>
              <w:insideV w:val="single" w:sz="10" w:space="0"/>
            </w:tcBorders>
            <w:vAlign w:val="center"/>
          </w:tcPr>
          <w:p w14:paraId="505DC0D4">
            <w:pPr>
              <w:spacing w:before="0" w:after="0" w:line="240" w:lineRule="auto"/>
              <w:jc w:val="center"/>
            </w:pPr>
            <w:r>
              <w:rPr>
                <w:rFonts w:ascii="宋体" w:hAnsi="宋体" w:eastAsia="宋体"/>
                <w:b w:val="0"/>
                <w:i w:val="0"/>
                <w:sz w:val="18"/>
              </w:rPr>
              <w:t>自治区水利发展资金</w:t>
            </w:r>
          </w:p>
        </w:tc>
      </w:tr>
      <w:tr w14:paraId="3474E4B4">
        <w:tblPrEx>
          <w:tblCellMar>
            <w:top w:w="36" w:type="dxa"/>
            <w:left w:w="36" w:type="dxa"/>
            <w:bottom w:w="36" w:type="dxa"/>
            <w:right w:w="36" w:type="dxa"/>
          </w:tblCellMar>
        </w:tblPrEx>
        <w:trPr>
          <w:trHeight w:val="380" w:hRule="atLeast"/>
        </w:trPr>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9EA3AA">
            <w:pPr>
              <w:spacing w:before="0" w:after="0" w:line="240" w:lineRule="auto"/>
              <w:jc w:val="center"/>
            </w:pPr>
            <w:r>
              <w:rPr>
                <w:rFonts w:ascii="宋体" w:hAnsi="宋体" w:eastAsia="宋体"/>
                <w:b/>
                <w:i w:val="0"/>
                <w:sz w:val="18"/>
              </w:rPr>
              <w:t>主管部门</w:t>
            </w:r>
          </w:p>
        </w:tc>
        <w:tc>
          <w:tcPr>
            <w:tcW w:w="593"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E06AB32">
            <w:pPr>
              <w:spacing w:before="0" w:after="0" w:line="240" w:lineRule="auto"/>
              <w:jc w:val="center"/>
            </w:pPr>
            <w:r>
              <w:rPr>
                <w:rFonts w:ascii="宋体" w:hAnsi="宋体" w:eastAsia="宋体"/>
                <w:b w:val="0"/>
                <w:i w:val="0"/>
                <w:sz w:val="18"/>
              </w:rPr>
              <w:t>新疆维吾尔自治区水利厅</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420DE4">
            <w:pPr>
              <w:spacing w:before="0" w:after="0" w:line="240" w:lineRule="auto"/>
              <w:jc w:val="center"/>
            </w:pPr>
            <w:r>
              <w:rPr>
                <w:rFonts w:ascii="宋体" w:hAnsi="宋体" w:eastAsia="宋体"/>
                <w:b/>
                <w:i w:val="0"/>
                <w:sz w:val="18"/>
              </w:rPr>
              <w:t>实施单位</w:t>
            </w:r>
          </w:p>
        </w:tc>
        <w:tc>
          <w:tcPr>
            <w:tcW w:w="593"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93FBDF9">
            <w:pPr>
              <w:spacing w:before="0" w:after="0" w:line="240" w:lineRule="auto"/>
              <w:jc w:val="center"/>
            </w:pPr>
            <w:r>
              <w:rPr>
                <w:rFonts w:ascii="宋体" w:hAnsi="宋体" w:eastAsia="宋体"/>
                <w:b w:val="0"/>
                <w:i w:val="0"/>
                <w:sz w:val="18"/>
              </w:rPr>
              <w:t>新疆维吾尔自治区玛纳斯河流域水利管理中心</w:t>
            </w:r>
          </w:p>
        </w:tc>
      </w:tr>
      <w:tr w14:paraId="0D7A9737">
        <w:tblPrEx>
          <w:tblCellMar>
            <w:top w:w="36" w:type="dxa"/>
            <w:left w:w="36" w:type="dxa"/>
            <w:bottom w:w="36" w:type="dxa"/>
            <w:right w:w="36" w:type="dxa"/>
          </w:tblCellMar>
        </w:tblPrEx>
        <w:trPr>
          <w:trHeight w:val="380" w:hRule="atLeast"/>
        </w:trPr>
        <w:tc>
          <w:tcPr>
            <w:tcW w:w="593" w:type="dxa"/>
            <w:gridSpan w:val="2"/>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4464B7C">
            <w:pPr>
              <w:spacing w:before="0" w:after="0" w:line="240" w:lineRule="auto"/>
              <w:jc w:val="center"/>
            </w:pPr>
            <w:r>
              <w:rPr>
                <w:rFonts w:ascii="宋体" w:hAnsi="宋体" w:eastAsia="宋体"/>
                <w:b/>
                <w:i w:val="0"/>
                <w:sz w:val="18"/>
              </w:rPr>
              <w:t>项目资金
（万元）</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C1D9D7">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08DD056">
            <w:pPr>
              <w:spacing w:before="0" w:after="0" w:line="240" w:lineRule="auto"/>
              <w:jc w:val="center"/>
            </w:pPr>
            <w:r>
              <w:rPr>
                <w:rFonts w:ascii="宋体" w:hAnsi="宋体" w:eastAsia="宋体"/>
                <w:b/>
                <w:i w:val="0"/>
                <w:sz w:val="18"/>
              </w:rPr>
              <w:t>年初预算数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B498AB">
            <w:pPr>
              <w:spacing w:before="0" w:after="0" w:line="240" w:lineRule="auto"/>
              <w:jc w:val="center"/>
            </w:pPr>
            <w:r>
              <w:rPr>
                <w:rFonts w:ascii="宋体" w:hAnsi="宋体" w:eastAsia="宋体"/>
                <w:b/>
                <w:i w:val="0"/>
                <w:sz w:val="18"/>
              </w:rPr>
              <w:t>全年预算数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E86DCF">
            <w:pPr>
              <w:spacing w:before="0" w:after="0" w:line="240" w:lineRule="auto"/>
              <w:jc w:val="center"/>
            </w:pPr>
            <w:r>
              <w:rPr>
                <w:rFonts w:ascii="宋体" w:hAnsi="宋体" w:eastAsia="宋体"/>
                <w:b/>
                <w:i w:val="0"/>
                <w:sz w:val="18"/>
              </w:rPr>
              <w:t>全年执行数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F2DD56">
            <w:pPr>
              <w:spacing w:before="0" w:after="0" w:line="240" w:lineRule="auto"/>
              <w:jc w:val="center"/>
            </w:pPr>
            <w:r>
              <w:rPr>
                <w:rFonts w:ascii="宋体" w:hAnsi="宋体" w:eastAsia="宋体"/>
                <w:b/>
                <w:i w:val="0"/>
                <w:sz w:val="18"/>
              </w:rPr>
              <w:t>分值</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795CC2">
            <w:pPr>
              <w:spacing w:before="0" w:after="0" w:line="240" w:lineRule="auto"/>
              <w:jc w:val="center"/>
            </w:pPr>
            <w:r>
              <w:rPr>
                <w:rFonts w:ascii="宋体" w:hAnsi="宋体" w:eastAsia="宋体"/>
                <w:b/>
                <w:i w:val="0"/>
                <w:sz w:val="18"/>
              </w:rPr>
              <w:t>执行率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5D8E487">
            <w:pPr>
              <w:spacing w:before="0" w:after="0" w:line="240" w:lineRule="auto"/>
              <w:jc w:val="center"/>
            </w:pPr>
            <w:r>
              <w:rPr>
                <w:rFonts w:ascii="宋体" w:hAnsi="宋体" w:eastAsia="宋体"/>
                <w:b/>
                <w:i w:val="0"/>
                <w:sz w:val="18"/>
              </w:rPr>
              <w:t>得分</w:t>
            </w:r>
          </w:p>
        </w:tc>
      </w:tr>
      <w:tr w14:paraId="0386A87C">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0BDEC6ED"/>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E30ABD">
            <w:pPr>
              <w:spacing w:before="0" w:after="0" w:line="240" w:lineRule="auto"/>
              <w:jc w:val="center"/>
            </w:pPr>
            <w:r>
              <w:rPr>
                <w:rFonts w:ascii="宋体" w:hAnsi="宋体" w:eastAsia="宋体"/>
                <w:b/>
                <w:i w:val="0"/>
                <w:sz w:val="18"/>
              </w:rPr>
              <w:t>年度资金总额</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1C02D29">
            <w:pPr>
              <w:spacing w:before="0" w:after="0" w:line="240" w:lineRule="auto"/>
              <w:jc w:val="center"/>
            </w:pPr>
            <w:r>
              <w:rPr>
                <w:rFonts w:ascii="宋体" w:hAnsi="宋体" w:eastAsia="宋体"/>
                <w:b w:val="0"/>
                <w:i w:val="0"/>
                <w:sz w:val="18"/>
              </w:rPr>
              <w:t>70.00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517DBF">
            <w:pPr>
              <w:spacing w:before="0" w:after="0" w:line="240" w:lineRule="auto"/>
              <w:jc w:val="center"/>
            </w:pPr>
            <w:r>
              <w:rPr>
                <w:rFonts w:ascii="宋体" w:hAnsi="宋体" w:eastAsia="宋体"/>
                <w:b w:val="0"/>
                <w:i w:val="0"/>
                <w:sz w:val="18"/>
              </w:rPr>
              <w:t>70.00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37EADB">
            <w:pPr>
              <w:spacing w:before="0" w:after="0" w:line="240" w:lineRule="auto"/>
              <w:jc w:val="center"/>
            </w:pPr>
            <w:r>
              <w:rPr>
                <w:rFonts w:ascii="宋体" w:hAnsi="宋体" w:eastAsia="宋体"/>
                <w:b w:val="0"/>
                <w:i w:val="0"/>
                <w:sz w:val="18"/>
              </w:rPr>
              <w:t>70.00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E8AF31">
            <w:pPr>
              <w:spacing w:before="0" w:after="0" w:line="240" w:lineRule="auto"/>
              <w:jc w:val="center"/>
            </w:pPr>
            <w:r>
              <w:rPr>
                <w:rFonts w:ascii="宋体" w:hAnsi="宋体" w:eastAsia="宋体"/>
                <w:b w:val="0"/>
                <w:i w:val="0"/>
                <w:sz w:val="18"/>
              </w:rPr>
              <w:t>10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0144FF">
            <w:pPr>
              <w:spacing w:before="0" w:after="0" w:line="240" w:lineRule="auto"/>
              <w:jc w:val="center"/>
            </w:pPr>
            <w:r>
              <w:rPr>
                <w:rFonts w:ascii="宋体" w:hAnsi="宋体" w:eastAsia="宋体"/>
                <w:b w:val="0"/>
                <w:i w:val="0"/>
                <w:sz w:val="18"/>
              </w:rPr>
              <w:t>100.00%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11D028F">
            <w:pPr>
              <w:spacing w:before="0" w:after="0" w:line="240" w:lineRule="auto"/>
              <w:jc w:val="center"/>
            </w:pPr>
            <w:r>
              <w:rPr>
                <w:rFonts w:ascii="宋体" w:hAnsi="宋体" w:eastAsia="宋体"/>
                <w:b w:val="0"/>
                <w:i w:val="0"/>
                <w:sz w:val="18"/>
              </w:rPr>
              <w:t>10.00</w:t>
            </w:r>
          </w:p>
        </w:tc>
      </w:tr>
      <w:tr w14:paraId="591F0AA2">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714385C7"/>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E99D10">
            <w:pPr>
              <w:spacing w:before="0" w:after="0" w:line="240" w:lineRule="auto"/>
              <w:jc w:val="center"/>
            </w:pPr>
            <w:r>
              <w:rPr>
                <w:rFonts w:ascii="宋体" w:hAnsi="宋体" w:eastAsia="宋体"/>
                <w:b/>
                <w:i w:val="0"/>
                <w:sz w:val="18"/>
              </w:rPr>
              <w:t>其中：当年财政拨款</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652EEAE">
            <w:pPr>
              <w:spacing w:before="0" w:after="0" w:line="240" w:lineRule="auto"/>
              <w:jc w:val="center"/>
            </w:pPr>
            <w:r>
              <w:rPr>
                <w:rFonts w:ascii="宋体" w:hAnsi="宋体" w:eastAsia="宋体"/>
                <w:b w:val="0"/>
                <w:i w:val="0"/>
                <w:sz w:val="18"/>
              </w:rPr>
              <w:t>70.00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7E1F17">
            <w:pPr>
              <w:spacing w:before="0" w:after="0" w:line="240" w:lineRule="auto"/>
              <w:jc w:val="center"/>
            </w:pPr>
            <w:r>
              <w:rPr>
                <w:rFonts w:ascii="宋体" w:hAnsi="宋体" w:eastAsia="宋体"/>
                <w:b w:val="0"/>
                <w:i w:val="0"/>
                <w:sz w:val="18"/>
              </w:rPr>
              <w:t>70.00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8CFCD1">
            <w:pPr>
              <w:spacing w:before="0" w:after="0" w:line="240" w:lineRule="auto"/>
              <w:jc w:val="center"/>
            </w:pPr>
            <w:r>
              <w:rPr>
                <w:rFonts w:ascii="宋体" w:hAnsi="宋体" w:eastAsia="宋体"/>
                <w:b w:val="0"/>
                <w:i w:val="0"/>
                <w:sz w:val="18"/>
              </w:rPr>
              <w:t>70.00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075BB8">
            <w:pPr>
              <w:spacing w:before="0" w:after="0" w:line="240" w:lineRule="auto"/>
              <w:jc w:val="center"/>
            </w:pPr>
            <w:r>
              <w:rPr>
                <w:rFonts w:ascii="宋体" w:hAnsi="宋体" w:eastAsia="宋体"/>
                <w:b w:val="0"/>
                <w:i w:val="0"/>
                <w:sz w:val="18"/>
              </w:rPr>
              <w:t>—</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6B6D8C">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CF73E7D">
            <w:pPr>
              <w:spacing w:before="0" w:after="0" w:line="240" w:lineRule="auto"/>
              <w:jc w:val="center"/>
            </w:pPr>
            <w:r>
              <w:rPr>
                <w:rFonts w:ascii="宋体" w:hAnsi="宋体" w:eastAsia="宋体"/>
                <w:b w:val="0"/>
                <w:i w:val="0"/>
                <w:sz w:val="18"/>
              </w:rPr>
              <w:t>—</w:t>
            </w:r>
          </w:p>
        </w:tc>
      </w:tr>
      <w:tr w14:paraId="381C1194">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18E6C3AF"/>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645D2C">
            <w:pPr>
              <w:spacing w:before="0" w:after="0" w:line="240" w:lineRule="auto"/>
              <w:jc w:val="center"/>
            </w:pPr>
            <w:r>
              <w:rPr>
                <w:rFonts w:ascii="宋体" w:hAnsi="宋体" w:eastAsia="宋体"/>
                <w:b/>
                <w:i w:val="0"/>
                <w:sz w:val="18"/>
              </w:rPr>
              <w:t>其他资金</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308DF22">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59B851">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B4167A">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D99C19">
            <w:pPr>
              <w:spacing w:before="0" w:after="0" w:line="240" w:lineRule="auto"/>
              <w:jc w:val="center"/>
            </w:pPr>
            <w:r>
              <w:rPr>
                <w:rFonts w:ascii="宋体" w:hAnsi="宋体" w:eastAsia="宋体"/>
                <w:b w:val="0"/>
                <w:i w:val="0"/>
                <w:sz w:val="18"/>
              </w:rPr>
              <w:t>—</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A2468B">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27D4780">
            <w:pPr>
              <w:spacing w:before="0" w:after="0" w:line="240" w:lineRule="auto"/>
              <w:jc w:val="center"/>
            </w:pPr>
            <w:r>
              <w:rPr>
                <w:rFonts w:ascii="宋体" w:hAnsi="宋体" w:eastAsia="宋体"/>
                <w:b w:val="0"/>
                <w:i w:val="0"/>
                <w:sz w:val="18"/>
              </w:rPr>
              <w:t>—</w:t>
            </w:r>
          </w:p>
        </w:tc>
      </w:tr>
      <w:tr w14:paraId="1763F653">
        <w:tblPrEx>
          <w:tblCellMar>
            <w:top w:w="36" w:type="dxa"/>
            <w:left w:w="36" w:type="dxa"/>
            <w:bottom w:w="36" w:type="dxa"/>
            <w:right w:w="36" w:type="dxa"/>
          </w:tblCellMar>
        </w:tblPrEx>
        <w:trPr>
          <w:trHeight w:val="380" w:hRule="atLeast"/>
        </w:trPr>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607EAB4">
            <w:pPr>
              <w:spacing w:before="0" w:after="0" w:line="240" w:lineRule="auto"/>
              <w:jc w:val="center"/>
            </w:pPr>
            <w:r>
              <w:rPr>
                <w:rFonts w:ascii="宋体" w:hAnsi="宋体" w:eastAsia="宋体"/>
                <w:b/>
                <w:i w:val="0"/>
                <w:sz w:val="18"/>
              </w:rPr>
              <w:t>年度总体目标</w:t>
            </w:r>
          </w:p>
        </w:tc>
        <w:tc>
          <w:tcPr>
            <w:tcW w:w="593"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2CCA045">
            <w:pPr>
              <w:spacing w:before="0" w:after="0" w:line="240" w:lineRule="auto"/>
              <w:jc w:val="center"/>
            </w:pPr>
            <w:r>
              <w:rPr>
                <w:rFonts w:ascii="宋体" w:hAnsi="宋体" w:eastAsia="宋体"/>
                <w:b/>
                <w:i w:val="0"/>
                <w:sz w:val="18"/>
              </w:rPr>
              <w:t>预期目标</w:t>
            </w:r>
          </w:p>
        </w:tc>
        <w:tc>
          <w:tcPr>
            <w:tcW w:w="593"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B93C6A4">
            <w:pPr>
              <w:spacing w:before="0" w:after="0" w:line="240" w:lineRule="auto"/>
              <w:jc w:val="center"/>
            </w:pPr>
            <w:r>
              <w:rPr>
                <w:rFonts w:ascii="宋体" w:hAnsi="宋体" w:eastAsia="宋体"/>
                <w:b/>
                <w:i w:val="0"/>
                <w:sz w:val="18"/>
              </w:rPr>
              <w:t>实际完成情况</w:t>
            </w:r>
          </w:p>
        </w:tc>
      </w:tr>
      <w:tr w14:paraId="58144432">
        <w:tblPrEx>
          <w:tblCellMar>
            <w:top w:w="36" w:type="dxa"/>
            <w:left w:w="36" w:type="dxa"/>
            <w:bottom w:w="36" w:type="dxa"/>
            <w:right w:w="36" w:type="dxa"/>
          </w:tblCellMar>
        </w:tblPrEx>
        <w:trPr>
          <w:trHeight w:val="70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9B13623"/>
        </w:tc>
        <w:tc>
          <w:tcPr>
            <w:tcW w:w="593"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ACF7A93">
            <w:pPr>
              <w:spacing w:before="0" w:after="0" w:line="240" w:lineRule="auto"/>
              <w:jc w:val="center"/>
            </w:pPr>
            <w:r>
              <w:rPr>
                <w:rFonts w:ascii="宋体" w:hAnsi="宋体" w:eastAsia="宋体"/>
                <w:b w:val="0"/>
                <w:i w:val="0"/>
                <w:sz w:val="18"/>
              </w:rPr>
              <w:t>该项目总投资70万元，其中：财政资金70万元，主要用于水源地保护区防护栏的安装，有利于提高水利工程安全运行，通过该项目实施达到保障供水安全的效果。</w:t>
            </w:r>
          </w:p>
        </w:tc>
        <w:tc>
          <w:tcPr>
            <w:tcW w:w="593"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B5D1191">
            <w:pPr>
              <w:spacing w:before="0" w:after="0" w:line="240" w:lineRule="auto"/>
              <w:jc w:val="center"/>
            </w:pPr>
            <w:r>
              <w:rPr>
                <w:rFonts w:ascii="宋体" w:hAnsi="宋体" w:eastAsia="宋体"/>
                <w:b w:val="0"/>
                <w:i w:val="0"/>
                <w:sz w:val="18"/>
              </w:rPr>
              <w:t>项目实施情况：（1）完成水源地保护区2km长的防护栏安装。（2）施工符合规定标准达到95%以上。（3）项目完工验收合格率达到100%。(4) 项目2025年4月开工，达到完成率的100%。（5）项目完成时间2025年11月，达到完成率的100%。（6）防护栏材料费控制在预算指标64.60万元内。（7）土方及混凝土费控制在预算指标3.07万元内。(8) 公务用车运行维护费控制在预算指标2.33万元内。(9)保障水源地供水安全率达到100%。项目的实施提高了水利工程安全运行，有效保障供水安全。</w:t>
            </w:r>
          </w:p>
        </w:tc>
      </w:tr>
      <w:tr w14:paraId="4F525750">
        <w:tblPrEx>
          <w:tblCellMar>
            <w:top w:w="36" w:type="dxa"/>
            <w:left w:w="36" w:type="dxa"/>
            <w:bottom w:w="36" w:type="dxa"/>
            <w:right w:w="36" w:type="dxa"/>
          </w:tblCellMar>
        </w:tblPrEx>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CB0130C">
            <w:pPr>
              <w:spacing w:before="0" w:after="0" w:line="240" w:lineRule="auto"/>
              <w:jc w:val="center"/>
            </w:pP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2E8F89C">
            <w:pPr>
              <w:spacing w:before="0" w:after="0" w:line="240" w:lineRule="auto"/>
              <w:jc w:val="center"/>
            </w:pPr>
            <w:r>
              <w:rPr>
                <w:rFonts w:ascii="宋体" w:hAnsi="宋体" w:eastAsia="宋体"/>
                <w:b/>
                <w:i w:val="0"/>
                <w:sz w:val="18"/>
              </w:rPr>
              <w:t>一级指标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B99C982">
            <w:pPr>
              <w:spacing w:before="0" w:after="0" w:line="240" w:lineRule="auto"/>
              <w:jc w:val="center"/>
            </w:pPr>
            <w:r>
              <w:rPr>
                <w:rFonts w:ascii="宋体" w:hAnsi="宋体" w:eastAsia="宋体"/>
                <w:b/>
                <w:i w:val="0"/>
                <w:sz w:val="18"/>
              </w:rPr>
              <w:t>二级指标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41B1483">
            <w:pPr>
              <w:spacing w:before="0" w:after="0" w:line="240" w:lineRule="auto"/>
              <w:jc w:val="center"/>
            </w:pPr>
            <w:r>
              <w:rPr>
                <w:rFonts w:ascii="宋体" w:hAnsi="宋体" w:eastAsia="宋体"/>
                <w:b/>
                <w:i w:val="0"/>
                <w:sz w:val="18"/>
              </w:rPr>
              <w:t>三级指标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67F1BB4">
            <w:pPr>
              <w:spacing w:before="0" w:after="0" w:line="240" w:lineRule="auto"/>
              <w:jc w:val="center"/>
            </w:pPr>
            <w:r>
              <w:rPr>
                <w:rFonts w:ascii="宋体" w:hAnsi="宋体" w:eastAsia="宋体"/>
                <w:b/>
                <w:i w:val="0"/>
                <w:sz w:val="18"/>
              </w:rPr>
              <w:t>权重</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8C43219">
            <w:pPr>
              <w:spacing w:before="0" w:after="0" w:line="240" w:lineRule="auto"/>
              <w:jc w:val="center"/>
            </w:pPr>
            <w:r>
              <w:rPr>
                <w:rFonts w:ascii="宋体" w:hAnsi="宋体" w:eastAsia="宋体"/>
                <w:b/>
                <w:i w:val="0"/>
                <w:sz w:val="18"/>
              </w:rPr>
              <w:t>目标值</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83D0A1E">
            <w:pPr>
              <w:spacing w:before="0" w:after="0" w:line="240" w:lineRule="auto"/>
              <w:jc w:val="center"/>
            </w:pPr>
            <w:r>
              <w:rPr>
                <w:rFonts w:ascii="宋体" w:hAnsi="宋体" w:eastAsia="宋体"/>
                <w:b/>
                <w:i w:val="0"/>
                <w:sz w:val="18"/>
              </w:rPr>
              <w:t>业绩值</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387F710">
            <w:pPr>
              <w:spacing w:before="0" w:after="0" w:line="240" w:lineRule="auto"/>
              <w:jc w:val="center"/>
            </w:pPr>
            <w:r>
              <w:rPr>
                <w:rFonts w:ascii="宋体" w:hAnsi="宋体" w:eastAsia="宋体"/>
                <w:b/>
                <w:i w:val="0"/>
                <w:sz w:val="18"/>
              </w:rPr>
              <w:t>完成率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C1038AF">
            <w:pPr>
              <w:spacing w:before="0" w:after="0" w:line="240" w:lineRule="auto"/>
              <w:jc w:val="center"/>
            </w:pPr>
            <w:r>
              <w:rPr>
                <w:rFonts w:ascii="宋体" w:hAnsi="宋体" w:eastAsia="宋体"/>
                <w:b/>
                <w:i w:val="0"/>
                <w:sz w:val="18"/>
              </w:rPr>
              <w:t>指标得分</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6CF74E5">
            <w:pPr>
              <w:spacing w:before="0" w:after="0" w:line="240" w:lineRule="auto"/>
              <w:jc w:val="center"/>
            </w:pPr>
            <w:r>
              <w:rPr>
                <w:rFonts w:ascii="宋体" w:hAnsi="宋体" w:eastAsia="宋体"/>
                <w:b/>
                <w:i w:val="0"/>
                <w:sz w:val="18"/>
              </w:rPr>
              <w:t>指标值设定依据</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1DC874A">
            <w:pPr>
              <w:spacing w:before="0" w:after="0" w:line="240" w:lineRule="auto"/>
              <w:jc w:val="center"/>
            </w:pPr>
            <w:r>
              <w:rPr>
                <w:rFonts w:ascii="宋体" w:hAnsi="宋体" w:eastAsia="宋体"/>
                <w:b/>
                <w:i w:val="0"/>
                <w:sz w:val="18"/>
              </w:rPr>
              <w:t>上年完成情况</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FB29E05">
            <w:pPr>
              <w:spacing w:before="0" w:after="0" w:line="240" w:lineRule="auto"/>
              <w:jc w:val="center"/>
            </w:pPr>
            <w:r>
              <w:rPr>
                <w:rFonts w:ascii="宋体" w:hAnsi="宋体" w:eastAsia="宋体"/>
                <w:b/>
                <w:i w:val="0"/>
                <w:sz w:val="18"/>
              </w:rPr>
              <w:t>赋分规则</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8583573">
            <w:pPr>
              <w:spacing w:before="0" w:after="0" w:line="240" w:lineRule="auto"/>
              <w:jc w:val="center"/>
            </w:pPr>
            <w:r>
              <w:rPr>
                <w:rFonts w:ascii="宋体" w:hAnsi="宋体" w:eastAsia="宋体"/>
                <w:b/>
                <w:i w:val="0"/>
                <w:sz w:val="18"/>
              </w:rPr>
              <w:t>佐证资料</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0181BB3">
            <w:pPr>
              <w:spacing w:before="0" w:after="0" w:line="240" w:lineRule="auto"/>
              <w:jc w:val="center"/>
            </w:pPr>
            <w:r>
              <w:rPr>
                <w:rFonts w:ascii="宋体" w:hAnsi="宋体" w:eastAsia="宋体"/>
                <w:b/>
                <w:i w:val="0"/>
                <w:sz w:val="18"/>
              </w:rPr>
              <w:t>偏差原因分析及改进措施</w:t>
            </w:r>
          </w:p>
        </w:tc>
      </w:tr>
      <w:tr w14:paraId="60685CAA">
        <w:tblPrEx>
          <w:tblCellMar>
            <w:top w:w="36" w:type="dxa"/>
            <w:left w:w="36" w:type="dxa"/>
            <w:bottom w:w="36" w:type="dxa"/>
            <w:right w:w="36" w:type="dxa"/>
          </w:tblCellMar>
        </w:tblPrEx>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CC03718"/>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05E88EA"/>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A2011E8"/>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1F63970"/>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41B7446"/>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36E4616"/>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487FC30"/>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EFE9C8A"/>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100BA5F"/>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C3C04A3"/>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00DC933"/>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D814F08"/>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6139F29"/>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E05E8CB"/>
        </w:tc>
      </w:tr>
      <w:tr w14:paraId="462BD900">
        <w:tblPrEx>
          <w:tblCellMar>
            <w:top w:w="36" w:type="dxa"/>
            <w:left w:w="36" w:type="dxa"/>
            <w:bottom w:w="36" w:type="dxa"/>
            <w:right w:w="36" w:type="dxa"/>
          </w:tblCellMar>
        </w:tblPrEx>
        <w:trPr>
          <w:trHeight w:val="380" w:hRule="atLeast"/>
        </w:trPr>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99F64A2">
            <w:pPr>
              <w:spacing w:before="0" w:after="0" w:line="240" w:lineRule="auto"/>
              <w:jc w:val="center"/>
            </w:pPr>
            <w:r>
              <w:rPr>
                <w:rFonts w:ascii="宋体" w:hAnsi="宋体" w:eastAsia="宋体"/>
                <w:b/>
                <w:i w:val="0"/>
                <w:sz w:val="18"/>
              </w:rPr>
              <w:t>年度绩效指标完成情况</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E0FD057">
            <w:pPr>
              <w:spacing w:before="0" w:after="0" w:line="240" w:lineRule="auto"/>
              <w:jc w:val="center"/>
            </w:pPr>
            <w:r>
              <w:rPr>
                <w:rFonts w:ascii="宋体" w:hAnsi="宋体" w:eastAsia="宋体"/>
                <w:b w:val="0"/>
                <w:i w:val="0"/>
                <w:sz w:val="18"/>
              </w:rPr>
              <w:t>产出指标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090B4BF">
            <w:pPr>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1A56812">
            <w:pPr>
              <w:spacing w:before="0" w:after="0" w:line="240" w:lineRule="auto"/>
              <w:jc w:val="center"/>
            </w:pPr>
            <w:r>
              <w:rPr>
                <w:rFonts w:ascii="宋体" w:hAnsi="宋体" w:eastAsia="宋体"/>
                <w:b w:val="0"/>
                <w:i w:val="0"/>
                <w:color w:val="000000"/>
                <w:sz w:val="18"/>
              </w:rPr>
              <w:t>防护栏长度</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4554B01">
            <w:pPr>
              <w:spacing w:before="0" w:after="0" w:line="240" w:lineRule="auto"/>
              <w:jc w:val="center"/>
            </w:pPr>
            <w:r>
              <w:rPr>
                <w:rFonts w:ascii="宋体" w:hAnsi="宋体" w:eastAsia="宋体"/>
                <w:b w:val="0"/>
                <w:i w:val="0"/>
                <w:sz w:val="18"/>
              </w:rPr>
              <w:t>8</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1605E55">
            <w:pPr>
              <w:spacing w:before="0" w:after="0" w:line="240" w:lineRule="auto"/>
              <w:jc w:val="center"/>
            </w:pPr>
            <w:r>
              <w:rPr>
                <w:rFonts w:ascii="宋体" w:hAnsi="宋体" w:eastAsia="宋体"/>
                <w:b w:val="0"/>
                <w:i w:val="0"/>
                <w:sz w:val="18"/>
              </w:rPr>
              <w:t>&gt;=2千米</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EFE1DD6">
            <w:pPr>
              <w:spacing w:before="0" w:after="0" w:line="240" w:lineRule="auto"/>
              <w:jc w:val="center"/>
            </w:pPr>
            <w:r>
              <w:rPr>
                <w:rFonts w:ascii="宋体" w:hAnsi="宋体" w:eastAsia="宋体"/>
                <w:b w:val="0"/>
                <w:i w:val="0"/>
                <w:sz w:val="18"/>
              </w:rPr>
              <w:t>=2千米</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E2AE75B">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4D4594D">
            <w:pPr>
              <w:spacing w:before="0" w:after="0" w:line="240" w:lineRule="auto"/>
              <w:jc w:val="center"/>
            </w:pPr>
            <w:r>
              <w:rPr>
                <w:rFonts w:ascii="宋体" w:hAnsi="宋体" w:eastAsia="宋体"/>
                <w:b w:val="0"/>
                <w:i w:val="0"/>
                <w:sz w:val="18"/>
              </w:rPr>
              <w:t>8</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177DCF5">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F0C19ED">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A9C13F9">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38B8859">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7961B3A">
            <w:pPr>
              <w:spacing w:before="0" w:after="0" w:line="240" w:lineRule="auto"/>
              <w:jc w:val="center"/>
            </w:pPr>
          </w:p>
        </w:tc>
      </w:tr>
      <w:tr w14:paraId="54FC2184">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35AD6A7"/>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D1388CB"/>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A0DB470">
            <w:pPr>
              <w:spacing w:before="0" w:after="0" w:line="240" w:lineRule="auto"/>
              <w:jc w:val="center"/>
            </w:pPr>
            <w:r>
              <w:rPr>
                <w:rFonts w:ascii="宋体" w:hAnsi="宋体" w:eastAsia="宋体"/>
                <w:b w:val="0"/>
                <w:i w:val="0"/>
                <w:sz w:val="18"/>
              </w:rPr>
              <w:t>质量指标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F1B5805">
            <w:pPr>
              <w:spacing w:before="0" w:after="0" w:line="240" w:lineRule="auto"/>
              <w:jc w:val="center"/>
            </w:pPr>
            <w:r>
              <w:rPr>
                <w:rFonts w:ascii="宋体" w:hAnsi="宋体" w:eastAsia="宋体"/>
                <w:b w:val="0"/>
                <w:i w:val="0"/>
                <w:color w:val="000000"/>
                <w:sz w:val="18"/>
              </w:rPr>
              <w:t>施工符合规定标准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BB1E5C4">
            <w:pPr>
              <w:spacing w:before="0" w:after="0" w:line="240" w:lineRule="auto"/>
              <w:jc w:val="center"/>
            </w:pPr>
            <w:r>
              <w:rPr>
                <w:rFonts w:ascii="宋体" w:hAnsi="宋体" w:eastAsia="宋体"/>
                <w:b w:val="0"/>
                <w:i w:val="0"/>
                <w:sz w:val="18"/>
              </w:rPr>
              <w:t>8</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85D47C4">
            <w:pPr>
              <w:spacing w:before="0" w:after="0" w:line="240" w:lineRule="auto"/>
              <w:jc w:val="center"/>
            </w:pPr>
            <w:r>
              <w:rPr>
                <w:rFonts w:ascii="宋体" w:hAnsi="宋体" w:eastAsia="宋体"/>
                <w:b w:val="0"/>
                <w:i w:val="0"/>
                <w:sz w:val="18"/>
              </w:rPr>
              <w:t>&gt;=95%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F7A4973">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926DB55">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49F9FE4">
            <w:pPr>
              <w:spacing w:before="0" w:after="0" w:line="240" w:lineRule="auto"/>
              <w:jc w:val="center"/>
            </w:pPr>
            <w:r>
              <w:rPr>
                <w:rFonts w:ascii="宋体" w:hAnsi="宋体" w:eastAsia="宋体"/>
                <w:b w:val="0"/>
                <w:i w:val="0"/>
                <w:sz w:val="18"/>
              </w:rPr>
              <w:t>8</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8AF9FF5">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74A0123">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990B3D7">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89D97E1">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F318CD4">
            <w:pPr>
              <w:spacing w:before="0" w:after="0" w:line="240" w:lineRule="auto"/>
              <w:jc w:val="center"/>
            </w:pPr>
          </w:p>
        </w:tc>
      </w:tr>
      <w:tr w14:paraId="69594C11">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DE29C91"/>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762C52A"/>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DCC63B2">
            <w:pPr>
              <w:spacing w:before="0" w:after="0" w:line="240" w:lineRule="auto"/>
              <w:jc w:val="center"/>
            </w:pPr>
            <w:r>
              <w:rPr>
                <w:rFonts w:ascii="宋体" w:hAnsi="宋体" w:eastAsia="宋体"/>
                <w:b w:val="0"/>
                <w:i w:val="0"/>
                <w:sz w:val="18"/>
              </w:rPr>
              <w:t>质量指标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7E9F7AF">
            <w:pPr>
              <w:spacing w:before="0" w:after="0" w:line="240" w:lineRule="auto"/>
              <w:jc w:val="center"/>
            </w:pPr>
            <w:r>
              <w:rPr>
                <w:rFonts w:ascii="宋体" w:hAnsi="宋体" w:eastAsia="宋体"/>
                <w:b w:val="0"/>
                <w:i w:val="0"/>
                <w:color w:val="000000"/>
                <w:sz w:val="18"/>
              </w:rPr>
              <w:t>项目完工验收合格率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5994FC1">
            <w:pPr>
              <w:spacing w:before="0" w:after="0" w:line="240" w:lineRule="auto"/>
              <w:jc w:val="center"/>
            </w:pPr>
            <w:r>
              <w:rPr>
                <w:rFonts w:ascii="宋体" w:hAnsi="宋体" w:eastAsia="宋体"/>
                <w:b w:val="0"/>
                <w:i w:val="0"/>
                <w:sz w:val="18"/>
              </w:rPr>
              <w:t>6</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C0692D2">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233C30E">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E488FB3">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823DB9A">
            <w:pPr>
              <w:spacing w:before="0" w:after="0" w:line="240" w:lineRule="auto"/>
              <w:jc w:val="center"/>
            </w:pPr>
            <w:r>
              <w:rPr>
                <w:rFonts w:ascii="宋体" w:hAnsi="宋体" w:eastAsia="宋体"/>
                <w:b w:val="0"/>
                <w:i w:val="0"/>
                <w:sz w:val="18"/>
              </w:rPr>
              <w:t>6</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8888F53">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DBB8B39">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417F52A">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E73BF47">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55AD102">
            <w:pPr>
              <w:spacing w:before="0" w:after="0" w:line="240" w:lineRule="auto"/>
              <w:jc w:val="center"/>
            </w:pPr>
          </w:p>
        </w:tc>
      </w:tr>
      <w:tr w14:paraId="27D57605">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9D56260"/>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E14B96F"/>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78F0F44">
            <w:pPr>
              <w:spacing w:before="0" w:after="0" w:line="240" w:lineRule="auto"/>
              <w:jc w:val="center"/>
            </w:pPr>
            <w:r>
              <w:rPr>
                <w:rFonts w:ascii="宋体" w:hAnsi="宋体" w:eastAsia="宋体"/>
                <w:b w:val="0"/>
                <w:i w:val="0"/>
                <w:sz w:val="18"/>
              </w:rPr>
              <w:t>时效指标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C2CF449">
            <w:pPr>
              <w:spacing w:before="0" w:after="0" w:line="240" w:lineRule="auto"/>
              <w:jc w:val="center"/>
            </w:pPr>
            <w:r>
              <w:rPr>
                <w:rFonts w:ascii="宋体" w:hAnsi="宋体" w:eastAsia="宋体"/>
                <w:b w:val="0"/>
                <w:i w:val="0"/>
                <w:color w:val="000000"/>
                <w:sz w:val="18"/>
              </w:rPr>
              <w:t>完工时间</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A017C0B">
            <w:pPr>
              <w:spacing w:before="0" w:after="0" w:line="240" w:lineRule="auto"/>
              <w:jc w:val="center"/>
            </w:pPr>
            <w:r>
              <w:rPr>
                <w:rFonts w:ascii="宋体" w:hAnsi="宋体" w:eastAsia="宋体"/>
                <w:b w:val="0"/>
                <w:i w:val="0"/>
                <w:sz w:val="18"/>
              </w:rPr>
              <w:t>9</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90AAF0B">
            <w:pPr>
              <w:spacing w:before="0" w:after="0" w:line="240" w:lineRule="auto"/>
              <w:jc w:val="center"/>
            </w:pPr>
            <w:r>
              <w:rPr>
                <w:rFonts w:ascii="宋体" w:hAnsi="宋体" w:eastAsia="宋体"/>
                <w:b w:val="0"/>
                <w:i w:val="0"/>
                <w:sz w:val="18"/>
              </w:rPr>
              <w:t>&lt;=11月</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D5AA7BF">
            <w:pPr>
              <w:spacing w:before="0" w:after="0" w:line="240" w:lineRule="auto"/>
              <w:jc w:val="center"/>
            </w:pPr>
            <w:r>
              <w:rPr>
                <w:rFonts w:ascii="宋体" w:hAnsi="宋体" w:eastAsia="宋体"/>
                <w:b w:val="0"/>
                <w:i w:val="0"/>
                <w:sz w:val="18"/>
              </w:rPr>
              <w:t>=5月</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3327905">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26E0A68">
            <w:pPr>
              <w:spacing w:before="0" w:after="0" w:line="240" w:lineRule="auto"/>
              <w:jc w:val="center"/>
            </w:pPr>
            <w:r>
              <w:rPr>
                <w:rFonts w:ascii="宋体" w:hAnsi="宋体" w:eastAsia="宋体"/>
                <w:b w:val="0"/>
                <w:i w:val="0"/>
                <w:sz w:val="18"/>
              </w:rPr>
              <w:t>9</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8F309E1">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822397B">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DD6132E">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3F8BAB5">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4D096C4">
            <w:pPr>
              <w:spacing w:before="0" w:after="0" w:line="240" w:lineRule="auto"/>
              <w:jc w:val="center"/>
            </w:pPr>
          </w:p>
        </w:tc>
      </w:tr>
      <w:tr w14:paraId="645883E4">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2D2812F"/>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0A98971"/>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455148C">
            <w:pPr>
              <w:spacing w:before="0" w:after="0" w:line="240" w:lineRule="auto"/>
              <w:jc w:val="center"/>
            </w:pPr>
            <w:r>
              <w:rPr>
                <w:rFonts w:ascii="宋体" w:hAnsi="宋体" w:eastAsia="宋体"/>
                <w:b w:val="0"/>
                <w:i w:val="0"/>
                <w:sz w:val="18"/>
              </w:rPr>
              <w:t>时效指标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5B23365">
            <w:pPr>
              <w:spacing w:before="0" w:after="0" w:line="240" w:lineRule="auto"/>
              <w:jc w:val="center"/>
            </w:pPr>
            <w:r>
              <w:rPr>
                <w:rFonts w:ascii="宋体" w:hAnsi="宋体" w:eastAsia="宋体"/>
                <w:b w:val="0"/>
                <w:i w:val="0"/>
                <w:color w:val="000000"/>
                <w:sz w:val="18"/>
              </w:rPr>
              <w:t>开工时间</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3467A25">
            <w:pPr>
              <w:spacing w:before="0" w:after="0" w:line="240" w:lineRule="auto"/>
              <w:jc w:val="center"/>
            </w:pPr>
            <w:r>
              <w:rPr>
                <w:rFonts w:ascii="宋体" w:hAnsi="宋体" w:eastAsia="宋体"/>
                <w:b w:val="0"/>
                <w:i w:val="0"/>
                <w:sz w:val="18"/>
              </w:rPr>
              <w:t>9</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DFDD475">
            <w:pPr>
              <w:spacing w:before="0" w:after="0" w:line="240" w:lineRule="auto"/>
              <w:jc w:val="center"/>
            </w:pPr>
            <w:r>
              <w:rPr>
                <w:rFonts w:ascii="宋体" w:hAnsi="宋体" w:eastAsia="宋体"/>
                <w:b w:val="0"/>
                <w:i w:val="0"/>
                <w:sz w:val="18"/>
              </w:rPr>
              <w:t>&lt;=6月</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BD867F4">
            <w:pPr>
              <w:spacing w:before="0" w:after="0" w:line="240" w:lineRule="auto"/>
              <w:jc w:val="center"/>
            </w:pPr>
            <w:r>
              <w:rPr>
                <w:rFonts w:ascii="宋体" w:hAnsi="宋体" w:eastAsia="宋体"/>
                <w:b w:val="0"/>
                <w:i w:val="0"/>
                <w:sz w:val="18"/>
              </w:rPr>
              <w:t>=4月</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2E65BDF">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20CA93D">
            <w:pPr>
              <w:spacing w:before="0" w:after="0" w:line="240" w:lineRule="auto"/>
              <w:jc w:val="center"/>
            </w:pPr>
            <w:r>
              <w:rPr>
                <w:rFonts w:ascii="宋体" w:hAnsi="宋体" w:eastAsia="宋体"/>
                <w:b w:val="0"/>
                <w:i w:val="0"/>
                <w:sz w:val="18"/>
              </w:rPr>
              <w:t>9</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564C1EE">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CAB4B19">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9386A50">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53CA390">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1E38C8F">
            <w:pPr>
              <w:spacing w:before="0" w:after="0" w:line="240" w:lineRule="auto"/>
              <w:jc w:val="center"/>
            </w:pPr>
          </w:p>
        </w:tc>
      </w:tr>
      <w:tr w14:paraId="10B78A65">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EA9E4D7"/>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F9376C0">
            <w:pPr>
              <w:spacing w:before="0" w:after="0" w:line="240" w:lineRule="auto"/>
              <w:jc w:val="center"/>
            </w:pPr>
            <w:r>
              <w:rPr>
                <w:rFonts w:ascii="宋体" w:hAnsi="宋体" w:eastAsia="宋体"/>
                <w:b w:val="0"/>
                <w:i w:val="0"/>
                <w:sz w:val="18"/>
              </w:rPr>
              <w:t>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79C9CAE">
            <w:pPr>
              <w:spacing w:before="0" w:after="0" w:line="240" w:lineRule="auto"/>
              <w:jc w:val="center"/>
            </w:pPr>
            <w:r>
              <w:rPr>
                <w:rFonts w:ascii="宋体" w:hAnsi="宋体" w:eastAsia="宋体"/>
                <w:b w:val="0"/>
                <w:i w:val="0"/>
                <w:sz w:val="18"/>
              </w:rPr>
              <w:t>经济成本指标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0066AAB">
            <w:pPr>
              <w:spacing w:before="0" w:after="0" w:line="240" w:lineRule="auto"/>
              <w:jc w:val="center"/>
            </w:pPr>
            <w:r>
              <w:rPr>
                <w:rFonts w:ascii="宋体" w:hAnsi="宋体" w:eastAsia="宋体"/>
                <w:b w:val="0"/>
                <w:i w:val="0"/>
                <w:color w:val="000000"/>
                <w:sz w:val="18"/>
              </w:rPr>
              <w:t>土方及混凝土费</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FD3865D">
            <w:pPr>
              <w:spacing w:before="0" w:after="0" w:line="240" w:lineRule="auto"/>
              <w:jc w:val="center"/>
            </w:pPr>
            <w:r>
              <w:rPr>
                <w:rFonts w:ascii="宋体" w:hAnsi="宋体" w:eastAsia="宋体"/>
                <w:b w:val="0"/>
                <w:i w:val="0"/>
                <w:sz w:val="18"/>
              </w:rPr>
              <w:t>7</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714F468">
            <w:pPr>
              <w:spacing w:before="0" w:after="0" w:line="240" w:lineRule="auto"/>
              <w:jc w:val="center"/>
            </w:pPr>
            <w:r>
              <w:rPr>
                <w:rFonts w:ascii="宋体" w:hAnsi="宋体" w:eastAsia="宋体"/>
                <w:b w:val="0"/>
                <w:i w:val="0"/>
                <w:sz w:val="18"/>
              </w:rPr>
              <w:t>&lt;=2.33万元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607F737">
            <w:pPr>
              <w:spacing w:before="0" w:after="0" w:line="240" w:lineRule="auto"/>
              <w:jc w:val="center"/>
            </w:pPr>
            <w:r>
              <w:rPr>
                <w:rFonts w:ascii="宋体" w:hAnsi="宋体" w:eastAsia="宋体"/>
                <w:b w:val="0"/>
                <w:i w:val="0"/>
                <w:sz w:val="18"/>
              </w:rPr>
              <w:t>=2.33万元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1B9A765">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E6B2BCB">
            <w:pPr>
              <w:spacing w:before="0" w:after="0" w:line="240" w:lineRule="auto"/>
              <w:jc w:val="center"/>
            </w:pPr>
            <w:r>
              <w:rPr>
                <w:rFonts w:ascii="宋体" w:hAnsi="宋体" w:eastAsia="宋体"/>
                <w:b w:val="0"/>
                <w:i w:val="0"/>
                <w:sz w:val="18"/>
              </w:rPr>
              <w:t>7</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7BD2D50">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373ACB0">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E9F7743">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31E8CDD">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D0C886E">
            <w:pPr>
              <w:spacing w:before="0" w:after="0" w:line="240" w:lineRule="auto"/>
              <w:jc w:val="center"/>
            </w:pPr>
          </w:p>
        </w:tc>
      </w:tr>
      <w:tr w14:paraId="67005E0E">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0C05E63"/>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3903351"/>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A1722C0">
            <w:pPr>
              <w:spacing w:before="0" w:after="0" w:line="240" w:lineRule="auto"/>
              <w:jc w:val="center"/>
            </w:pPr>
            <w:r>
              <w:rPr>
                <w:rFonts w:ascii="宋体" w:hAnsi="宋体" w:eastAsia="宋体"/>
                <w:b w:val="0"/>
                <w:i w:val="0"/>
                <w:sz w:val="18"/>
              </w:rPr>
              <w:t>经济成本指标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AE71147">
            <w:pPr>
              <w:spacing w:before="0" w:after="0" w:line="240" w:lineRule="auto"/>
              <w:jc w:val="center"/>
            </w:pPr>
            <w:r>
              <w:rPr>
                <w:rFonts w:ascii="宋体" w:hAnsi="宋体" w:eastAsia="宋体"/>
                <w:b w:val="0"/>
                <w:i w:val="0"/>
                <w:color w:val="000000"/>
                <w:sz w:val="18"/>
              </w:rPr>
              <w:t>防护栏材料费</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7337ADC">
            <w:pPr>
              <w:spacing w:before="0" w:after="0" w:line="240" w:lineRule="auto"/>
              <w:jc w:val="center"/>
            </w:pPr>
            <w:r>
              <w:rPr>
                <w:rFonts w:ascii="宋体" w:hAnsi="宋体" w:eastAsia="宋体"/>
                <w:b w:val="0"/>
                <w:i w:val="0"/>
                <w:sz w:val="18"/>
              </w:rPr>
              <w:t>7</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B53B691">
            <w:pPr>
              <w:spacing w:before="0" w:after="0" w:line="240" w:lineRule="auto"/>
              <w:jc w:val="center"/>
            </w:pPr>
            <w:r>
              <w:rPr>
                <w:rFonts w:ascii="宋体" w:hAnsi="宋体" w:eastAsia="宋体"/>
                <w:b w:val="0"/>
                <w:i w:val="0"/>
                <w:sz w:val="18"/>
              </w:rPr>
              <w:t>&lt;=64.60万元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D353C83">
            <w:pPr>
              <w:spacing w:before="0" w:after="0" w:line="240" w:lineRule="auto"/>
              <w:jc w:val="center"/>
            </w:pPr>
            <w:r>
              <w:rPr>
                <w:rFonts w:ascii="宋体" w:hAnsi="宋体" w:eastAsia="宋体"/>
                <w:b w:val="0"/>
                <w:i w:val="0"/>
                <w:sz w:val="18"/>
              </w:rPr>
              <w:t>=64.6万元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D97EC05">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16578CC">
            <w:pPr>
              <w:spacing w:before="0" w:after="0" w:line="240" w:lineRule="auto"/>
              <w:jc w:val="center"/>
            </w:pPr>
            <w:r>
              <w:rPr>
                <w:rFonts w:ascii="宋体" w:hAnsi="宋体" w:eastAsia="宋体"/>
                <w:b w:val="0"/>
                <w:i w:val="0"/>
                <w:sz w:val="18"/>
              </w:rPr>
              <w:t>7</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4D21714">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37A033B">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372FC11">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2164F0B">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7894856">
            <w:pPr>
              <w:spacing w:before="0" w:after="0" w:line="240" w:lineRule="auto"/>
              <w:jc w:val="center"/>
            </w:pPr>
          </w:p>
        </w:tc>
      </w:tr>
      <w:tr w14:paraId="0BDF6721">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8D68F21"/>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FEB0A34"/>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BB9FC46">
            <w:pPr>
              <w:spacing w:before="0" w:after="0" w:line="240" w:lineRule="auto"/>
              <w:jc w:val="center"/>
            </w:pPr>
            <w:r>
              <w:rPr>
                <w:rFonts w:ascii="宋体" w:hAnsi="宋体" w:eastAsia="宋体"/>
                <w:b w:val="0"/>
                <w:i w:val="0"/>
                <w:sz w:val="18"/>
              </w:rPr>
              <w:t>经济成本指标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4424AAE">
            <w:pPr>
              <w:spacing w:before="0" w:after="0" w:line="240" w:lineRule="auto"/>
              <w:jc w:val="center"/>
            </w:pPr>
            <w:r>
              <w:rPr>
                <w:rFonts w:ascii="宋体" w:hAnsi="宋体" w:eastAsia="宋体"/>
                <w:b w:val="0"/>
                <w:i w:val="0"/>
                <w:color w:val="000000"/>
                <w:sz w:val="18"/>
              </w:rPr>
              <w:t>公务用车运行维护费</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48ECC0C">
            <w:pPr>
              <w:spacing w:before="0" w:after="0" w:line="240" w:lineRule="auto"/>
              <w:jc w:val="center"/>
            </w:pPr>
            <w:r>
              <w:rPr>
                <w:rFonts w:ascii="宋体" w:hAnsi="宋体" w:eastAsia="宋体"/>
                <w:b w:val="0"/>
                <w:i w:val="0"/>
                <w:sz w:val="18"/>
              </w:rPr>
              <w:t>6</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B782CF8">
            <w:pPr>
              <w:spacing w:before="0" w:after="0" w:line="240" w:lineRule="auto"/>
              <w:jc w:val="center"/>
            </w:pPr>
            <w:r>
              <w:rPr>
                <w:rFonts w:ascii="宋体" w:hAnsi="宋体" w:eastAsia="宋体"/>
                <w:b w:val="0"/>
                <w:i w:val="0"/>
                <w:sz w:val="18"/>
              </w:rPr>
              <w:t>&lt;=3.07万元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4A4ABFD">
            <w:pPr>
              <w:spacing w:before="0" w:after="0" w:line="240" w:lineRule="auto"/>
              <w:jc w:val="center"/>
            </w:pPr>
            <w:r>
              <w:rPr>
                <w:rFonts w:ascii="宋体" w:hAnsi="宋体" w:eastAsia="宋体"/>
                <w:b w:val="0"/>
                <w:i w:val="0"/>
                <w:sz w:val="18"/>
              </w:rPr>
              <w:t>=3.07万元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03F90FF">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E9657C0">
            <w:pPr>
              <w:spacing w:before="0" w:after="0" w:line="240" w:lineRule="auto"/>
              <w:jc w:val="center"/>
            </w:pPr>
            <w:r>
              <w:rPr>
                <w:rFonts w:ascii="宋体" w:hAnsi="宋体" w:eastAsia="宋体"/>
                <w:b w:val="0"/>
                <w:i w:val="0"/>
                <w:sz w:val="18"/>
              </w:rPr>
              <w:t>6</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46BA213">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06EDC90">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8D62F1E">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5CA49DA">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E97805C">
            <w:pPr>
              <w:spacing w:before="0" w:after="0" w:line="240" w:lineRule="auto"/>
              <w:jc w:val="center"/>
            </w:pPr>
          </w:p>
        </w:tc>
      </w:tr>
      <w:tr w14:paraId="75E98652">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A4C71E2"/>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B5FE558">
            <w:pPr>
              <w:spacing w:before="0" w:after="0" w:line="240" w:lineRule="auto"/>
              <w:jc w:val="center"/>
            </w:pPr>
            <w:r>
              <w:rPr>
                <w:rFonts w:ascii="宋体" w:hAnsi="宋体" w:eastAsia="宋体"/>
                <w:b w:val="0"/>
                <w:i w:val="0"/>
                <w:sz w:val="18"/>
              </w:rPr>
              <w:t>效益指标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EE8AEBC">
            <w:pPr>
              <w:spacing w:before="0" w:after="0" w:line="240" w:lineRule="auto"/>
              <w:jc w:val="center"/>
            </w:pPr>
            <w:r>
              <w:rPr>
                <w:rFonts w:ascii="宋体" w:hAnsi="宋体" w:eastAsia="宋体"/>
                <w:b w:val="0"/>
                <w:i w:val="0"/>
                <w:sz w:val="18"/>
              </w:rPr>
              <w:t>社会效益指标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86BFE44">
            <w:pPr>
              <w:spacing w:before="0" w:after="0" w:line="240" w:lineRule="auto"/>
              <w:jc w:val="center"/>
            </w:pPr>
            <w:r>
              <w:rPr>
                <w:rFonts w:ascii="宋体" w:hAnsi="宋体" w:eastAsia="宋体"/>
                <w:b w:val="0"/>
                <w:i w:val="0"/>
                <w:color w:val="000000"/>
                <w:sz w:val="18"/>
              </w:rPr>
              <w:t>保障水源地供水安全率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8B58DCD">
            <w:pPr>
              <w:spacing w:before="0" w:after="0" w:line="240" w:lineRule="auto"/>
              <w:jc w:val="center"/>
            </w:pPr>
            <w:r>
              <w:rPr>
                <w:rFonts w:ascii="宋体" w:hAnsi="宋体" w:eastAsia="宋体"/>
                <w:b w:val="0"/>
                <w:i w:val="0"/>
                <w:sz w:val="18"/>
              </w:rPr>
              <w:t>30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A9D97FA">
            <w:pPr>
              <w:spacing w:before="0" w:after="0" w:line="240" w:lineRule="auto"/>
              <w:jc w:val="center"/>
            </w:pPr>
            <w:r>
              <w:rPr>
                <w:rFonts w:ascii="宋体" w:hAnsi="宋体" w:eastAsia="宋体"/>
                <w:b w:val="0"/>
                <w:i w:val="0"/>
                <w:sz w:val="18"/>
              </w:rPr>
              <w:t>&gt;=90%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67153EC">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968A064">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27F6CFC">
            <w:pPr>
              <w:spacing w:before="0" w:after="0" w:line="240" w:lineRule="auto"/>
              <w:jc w:val="center"/>
            </w:pPr>
            <w:r>
              <w:rPr>
                <w:rFonts w:ascii="宋体" w:hAnsi="宋体" w:eastAsia="宋体"/>
                <w:b w:val="0"/>
                <w:i w:val="0"/>
                <w:sz w:val="18"/>
              </w:rPr>
              <w:t>30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07E2E88">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761D75C">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032C747">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CBB8ED3">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64BE0C9">
            <w:pPr>
              <w:spacing w:before="0" w:after="0" w:line="240" w:lineRule="auto"/>
              <w:jc w:val="center"/>
            </w:pPr>
          </w:p>
        </w:tc>
      </w:tr>
      <w:tr w14:paraId="78AB6976">
        <w:tblPrEx>
          <w:tblCellMar>
            <w:top w:w="36" w:type="dxa"/>
            <w:left w:w="36" w:type="dxa"/>
            <w:bottom w:w="36" w:type="dxa"/>
            <w:right w:w="36" w:type="dxa"/>
          </w:tblCellMar>
        </w:tblPrEx>
        <w:trPr>
          <w:trHeight w:val="380" w:hRule="atLeast"/>
        </w:trPr>
        <w:tc>
          <w:tcPr>
            <w:tcW w:w="593"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3C8026EA">
            <w:pPr>
              <w:spacing w:before="0" w:after="0" w:line="240" w:lineRule="auto"/>
              <w:jc w:val="center"/>
            </w:pPr>
            <w:r>
              <w:rPr>
                <w:rFonts w:ascii="宋体" w:hAnsi="宋体" w:eastAsia="宋体"/>
                <w:b/>
                <w:i w:val="0"/>
                <w:color w:val="000000"/>
                <w:sz w:val="18"/>
              </w:rPr>
              <w:t>总分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9F39FD3">
            <w:pPr>
              <w:spacing w:before="0" w:after="0" w:line="240" w:lineRule="auto"/>
              <w:jc w:val="center"/>
            </w:pPr>
            <w:r>
              <w:rPr>
                <w:rFonts w:ascii="宋体" w:hAnsi="宋体" w:eastAsia="宋体"/>
                <w:b w:val="0"/>
                <w:i w:val="0"/>
                <w:color w:val="00000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BCEFA62">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4E0E338">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4D02AC3">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29B52A6">
            <w:pPr>
              <w:spacing w:before="0" w:after="0" w:line="240" w:lineRule="auto"/>
              <w:jc w:val="center"/>
            </w:pPr>
            <w:r>
              <w:rPr>
                <w:rFonts w:ascii="宋体" w:hAnsi="宋体" w:eastAsia="宋体"/>
                <w:b w:val="0"/>
                <w:i w:val="0"/>
                <w:color w:val="000000"/>
                <w:sz w:val="18"/>
              </w:rPr>
              <w:t>100.00分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E5AAFEC">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5F21EA9">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3375521">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8C15387">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BADCA32">
            <w:pPr>
              <w:spacing w:before="0" w:after="0" w:line="240" w:lineRule="auto"/>
              <w:jc w:val="center"/>
            </w:pPr>
          </w:p>
        </w:tc>
      </w:tr>
    </w:tbl>
    <w:p w14:paraId="298E5B6D">
      <w:r>
        <w:br w:type="page"/>
      </w:r>
    </w:p>
    <w:tbl>
      <w:tblPr>
        <w:tblStyle w:val="8"/>
        <w:tblW w:w="4998" w:type="pct"/>
        <w:tblInd w:w="0" w:type="dxa"/>
        <w:tblLayout w:type="fixed"/>
        <w:tblCellMar>
          <w:top w:w="36" w:type="dxa"/>
          <w:left w:w="36" w:type="dxa"/>
          <w:bottom w:w="36" w:type="dxa"/>
          <w:right w:w="36" w:type="dxa"/>
        </w:tblCellMar>
      </w:tblPr>
      <w:tblGrid>
        <w:gridCol w:w="355"/>
        <w:gridCol w:w="497"/>
        <w:gridCol w:w="497"/>
        <w:gridCol w:w="653"/>
        <w:gridCol w:w="813"/>
        <w:gridCol w:w="391"/>
        <w:gridCol w:w="497"/>
        <w:gridCol w:w="497"/>
        <w:gridCol w:w="497"/>
        <w:gridCol w:w="497"/>
        <w:gridCol w:w="497"/>
        <w:gridCol w:w="680"/>
        <w:gridCol w:w="603"/>
        <w:gridCol w:w="1402"/>
      </w:tblGrid>
      <w:tr w14:paraId="4D8C8D6B">
        <w:tblPrEx>
          <w:tblCellMar>
            <w:top w:w="36" w:type="dxa"/>
            <w:left w:w="36" w:type="dxa"/>
            <w:bottom w:w="36" w:type="dxa"/>
            <w:right w:w="36" w:type="dxa"/>
          </w:tblCellMar>
        </w:tblPrEx>
        <w:trPr>
          <w:trHeight w:val="405" w:hRule="atLeast"/>
        </w:trPr>
        <w:tc>
          <w:tcPr>
            <w:tcW w:w="8376"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2695E456">
            <w:pPr>
              <w:spacing w:before="0" w:after="0" w:line="240" w:lineRule="auto"/>
              <w:jc w:val="center"/>
            </w:pPr>
            <w:r>
              <w:rPr>
                <w:rFonts w:ascii="宋体" w:hAnsi="宋体" w:eastAsia="宋体"/>
                <w:b/>
                <w:i w:val="0"/>
                <w:sz w:val="32"/>
              </w:rPr>
              <w:t>项目支出绩效自评表</w:t>
            </w:r>
          </w:p>
        </w:tc>
      </w:tr>
      <w:tr w14:paraId="73DBA0EA">
        <w:tblPrEx>
          <w:tblCellMar>
            <w:top w:w="36" w:type="dxa"/>
            <w:left w:w="36" w:type="dxa"/>
            <w:bottom w:w="36" w:type="dxa"/>
            <w:right w:w="36" w:type="dxa"/>
          </w:tblCellMar>
        </w:tblPrEx>
        <w:trPr>
          <w:trHeight w:val="380" w:hRule="atLeast"/>
        </w:trPr>
        <w:tc>
          <w:tcPr>
            <w:tcW w:w="8376"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1283AF1E">
            <w:pPr>
              <w:spacing w:before="0" w:after="0" w:line="240" w:lineRule="auto"/>
              <w:jc w:val="center"/>
            </w:pPr>
            <w:r>
              <w:rPr>
                <w:rFonts w:ascii="宋体" w:hAnsi="宋体" w:eastAsia="宋体"/>
                <w:b w:val="0"/>
                <w:i w:val="0"/>
                <w:sz w:val="22"/>
              </w:rPr>
              <w:t>(2025年度)</w:t>
            </w:r>
          </w:p>
        </w:tc>
      </w:tr>
      <w:tr w14:paraId="11D8524A">
        <w:tblPrEx>
          <w:tblCellMar>
            <w:top w:w="36" w:type="dxa"/>
            <w:left w:w="36" w:type="dxa"/>
            <w:bottom w:w="36" w:type="dxa"/>
            <w:right w:w="36" w:type="dxa"/>
          </w:tblCellMar>
        </w:tblPrEx>
        <w:trPr>
          <w:trHeight w:val="380" w:hRule="atLeast"/>
        </w:trPr>
        <w:tc>
          <w:tcPr>
            <w:tcW w:w="85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24211B">
            <w:pPr>
              <w:spacing w:before="0" w:after="0" w:line="240" w:lineRule="auto"/>
              <w:jc w:val="center"/>
            </w:pPr>
            <w:r>
              <w:rPr>
                <w:rFonts w:ascii="宋体" w:hAnsi="宋体" w:eastAsia="宋体"/>
                <w:b/>
                <w:i w:val="0"/>
                <w:sz w:val="18"/>
              </w:rPr>
              <w:t>项目名称</w:t>
            </w:r>
          </w:p>
        </w:tc>
        <w:tc>
          <w:tcPr>
            <w:tcW w:w="7524" w:type="dxa"/>
            <w:gridSpan w:val="12"/>
            <w:tcBorders>
              <w:top w:val="single" w:color="auto" w:sz="10" w:space="0"/>
              <w:left w:val="single" w:color="auto" w:sz="10" w:space="0"/>
              <w:bottom w:val="single" w:color="auto" w:sz="10" w:space="0"/>
              <w:right w:val="single" w:color="auto" w:sz="10" w:space="0"/>
              <w:insideV w:val="single" w:sz="10" w:space="0"/>
            </w:tcBorders>
            <w:vAlign w:val="center"/>
          </w:tcPr>
          <w:p w14:paraId="30055927">
            <w:pPr>
              <w:spacing w:before="0" w:after="0" w:line="240" w:lineRule="auto"/>
              <w:jc w:val="center"/>
            </w:pPr>
            <w:r>
              <w:rPr>
                <w:rFonts w:ascii="宋体" w:hAnsi="宋体" w:eastAsia="宋体"/>
                <w:b w:val="0"/>
                <w:i w:val="0"/>
                <w:sz w:val="18"/>
              </w:rPr>
              <w:t>非财政拨款项目</w:t>
            </w:r>
          </w:p>
        </w:tc>
      </w:tr>
      <w:tr w14:paraId="1C9BB9ED">
        <w:tblPrEx>
          <w:tblCellMar>
            <w:top w:w="36" w:type="dxa"/>
            <w:left w:w="36" w:type="dxa"/>
            <w:bottom w:w="36" w:type="dxa"/>
            <w:right w:w="36" w:type="dxa"/>
          </w:tblCellMar>
        </w:tblPrEx>
        <w:trPr>
          <w:trHeight w:val="380" w:hRule="atLeast"/>
        </w:trPr>
        <w:tc>
          <w:tcPr>
            <w:tcW w:w="85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08975E">
            <w:pPr>
              <w:spacing w:before="0" w:after="0" w:line="240" w:lineRule="auto"/>
              <w:jc w:val="center"/>
            </w:pPr>
            <w:r>
              <w:rPr>
                <w:rFonts w:ascii="宋体" w:hAnsi="宋体" w:eastAsia="宋体"/>
                <w:b/>
                <w:i w:val="0"/>
                <w:sz w:val="18"/>
              </w:rPr>
              <w:t>主管部门</w:t>
            </w:r>
          </w:p>
        </w:tc>
        <w:tc>
          <w:tcPr>
            <w:tcW w:w="2851"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7AEBC2B">
            <w:pPr>
              <w:spacing w:before="0" w:after="0" w:line="240" w:lineRule="auto"/>
              <w:jc w:val="center"/>
            </w:pPr>
            <w:r>
              <w:rPr>
                <w:rFonts w:ascii="宋体" w:hAnsi="宋体" w:eastAsia="宋体"/>
                <w:b w:val="0"/>
                <w:i w:val="0"/>
                <w:sz w:val="18"/>
              </w:rPr>
              <w:t>新疆维吾尔自治区水利厅</w:t>
            </w:r>
          </w:p>
        </w:tc>
        <w:tc>
          <w:tcPr>
            <w:tcW w:w="99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2C41F9">
            <w:pPr>
              <w:spacing w:before="0" w:after="0" w:line="240" w:lineRule="auto"/>
              <w:jc w:val="center"/>
            </w:pPr>
            <w:r>
              <w:rPr>
                <w:rFonts w:ascii="宋体" w:hAnsi="宋体" w:eastAsia="宋体"/>
                <w:b/>
                <w:i w:val="0"/>
                <w:sz w:val="18"/>
              </w:rPr>
              <w:t>实施单位</w:t>
            </w:r>
          </w:p>
        </w:tc>
        <w:tc>
          <w:tcPr>
            <w:tcW w:w="3679"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A19183E">
            <w:pPr>
              <w:spacing w:before="0" w:after="0" w:line="240" w:lineRule="auto"/>
              <w:jc w:val="center"/>
            </w:pPr>
            <w:r>
              <w:rPr>
                <w:rFonts w:ascii="宋体" w:hAnsi="宋体" w:eastAsia="宋体"/>
                <w:b w:val="0"/>
                <w:i w:val="0"/>
                <w:sz w:val="18"/>
              </w:rPr>
              <w:t>新疆维吾尔自治区玛纳斯河流域水利管理中心</w:t>
            </w:r>
          </w:p>
        </w:tc>
      </w:tr>
      <w:tr w14:paraId="29B135CC">
        <w:tblPrEx>
          <w:tblCellMar>
            <w:top w:w="36" w:type="dxa"/>
            <w:left w:w="36" w:type="dxa"/>
            <w:bottom w:w="36" w:type="dxa"/>
            <w:right w:w="36" w:type="dxa"/>
          </w:tblCellMar>
        </w:tblPrEx>
        <w:trPr>
          <w:trHeight w:val="380" w:hRule="atLeast"/>
        </w:trPr>
        <w:tc>
          <w:tcPr>
            <w:tcW w:w="852" w:type="dxa"/>
            <w:gridSpan w:val="2"/>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E9E54CF">
            <w:pPr>
              <w:spacing w:before="0" w:after="0" w:line="240" w:lineRule="auto"/>
              <w:jc w:val="center"/>
            </w:pPr>
            <w:r>
              <w:rPr>
                <w:rFonts w:ascii="宋体" w:hAnsi="宋体" w:eastAsia="宋体"/>
                <w:b/>
                <w:i w:val="0"/>
                <w:sz w:val="18"/>
              </w:rPr>
              <w:t>项目资金
（万元）</w:t>
            </w:r>
          </w:p>
        </w:tc>
        <w:tc>
          <w:tcPr>
            <w:tcW w:w="115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BCF08E">
            <w:pPr>
              <w:spacing w:before="0" w:after="0" w:line="240" w:lineRule="auto"/>
              <w:jc w:val="center"/>
            </w:pPr>
          </w:p>
        </w:tc>
        <w:tc>
          <w:tcPr>
            <w:tcW w:w="813" w:type="dxa"/>
            <w:tcBorders>
              <w:top w:val="single" w:color="auto" w:sz="10" w:space="0"/>
              <w:left w:val="single" w:color="auto" w:sz="10" w:space="0"/>
              <w:bottom w:val="single" w:color="auto" w:sz="10" w:space="0"/>
              <w:right w:val="single" w:color="auto" w:sz="10" w:space="0"/>
              <w:insideV w:val="single" w:sz="10" w:space="0"/>
            </w:tcBorders>
            <w:vAlign w:val="center"/>
          </w:tcPr>
          <w:p w14:paraId="72B5F866">
            <w:pPr>
              <w:spacing w:before="0" w:after="0" w:line="240" w:lineRule="auto"/>
              <w:jc w:val="center"/>
            </w:pPr>
            <w:r>
              <w:rPr>
                <w:rFonts w:ascii="宋体" w:hAnsi="宋体" w:eastAsia="宋体"/>
                <w:b/>
                <w:i w:val="0"/>
                <w:sz w:val="18"/>
              </w:rPr>
              <w:t>年初预算数</w:t>
            </w:r>
          </w:p>
        </w:tc>
        <w:tc>
          <w:tcPr>
            <w:tcW w:w="88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7C6093">
            <w:pPr>
              <w:spacing w:before="0" w:after="0" w:line="240" w:lineRule="auto"/>
              <w:jc w:val="center"/>
            </w:pPr>
            <w:r>
              <w:rPr>
                <w:rFonts w:ascii="宋体" w:hAnsi="宋体" w:eastAsia="宋体"/>
                <w:b/>
                <w:i w:val="0"/>
                <w:sz w:val="18"/>
              </w:rPr>
              <w:t>全年预算数</w:t>
            </w:r>
          </w:p>
        </w:tc>
        <w:tc>
          <w:tcPr>
            <w:tcW w:w="99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206EB3">
            <w:pPr>
              <w:spacing w:before="0" w:after="0" w:line="240" w:lineRule="auto"/>
              <w:jc w:val="center"/>
            </w:pPr>
            <w:r>
              <w:rPr>
                <w:rFonts w:ascii="宋体" w:hAnsi="宋体" w:eastAsia="宋体"/>
                <w:b/>
                <w:i w:val="0"/>
                <w:sz w:val="18"/>
              </w:rPr>
              <w:t>全年执行数</w:t>
            </w:r>
          </w:p>
        </w:tc>
        <w:tc>
          <w:tcPr>
            <w:tcW w:w="99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822D2A">
            <w:pPr>
              <w:spacing w:before="0" w:after="0" w:line="240" w:lineRule="auto"/>
              <w:jc w:val="center"/>
            </w:pPr>
            <w:r>
              <w:rPr>
                <w:rFonts w:ascii="宋体" w:hAnsi="宋体" w:eastAsia="宋体"/>
                <w:b/>
                <w:i w:val="0"/>
                <w:sz w:val="18"/>
              </w:rPr>
              <w:t>分值</w:t>
            </w:r>
          </w:p>
        </w:tc>
        <w:tc>
          <w:tcPr>
            <w:tcW w:w="128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0B2D46">
            <w:pPr>
              <w:spacing w:before="0" w:after="0" w:line="240" w:lineRule="auto"/>
              <w:jc w:val="center"/>
            </w:pPr>
            <w:r>
              <w:rPr>
                <w:rFonts w:ascii="宋体" w:hAnsi="宋体" w:eastAsia="宋体"/>
                <w:b/>
                <w:i w:val="0"/>
                <w:sz w:val="18"/>
              </w:rPr>
              <w:t>执行率</w:t>
            </w:r>
          </w:p>
        </w:tc>
        <w:tc>
          <w:tcPr>
            <w:tcW w:w="1402" w:type="dxa"/>
            <w:tcBorders>
              <w:top w:val="single" w:color="auto" w:sz="10" w:space="0"/>
              <w:left w:val="single" w:color="auto" w:sz="10" w:space="0"/>
              <w:bottom w:val="single" w:color="auto" w:sz="10" w:space="0"/>
              <w:right w:val="single" w:color="auto" w:sz="10" w:space="0"/>
              <w:insideV w:val="single" w:sz="10" w:space="0"/>
            </w:tcBorders>
            <w:vAlign w:val="center"/>
          </w:tcPr>
          <w:p w14:paraId="4E71602D">
            <w:pPr>
              <w:spacing w:before="0" w:after="0" w:line="240" w:lineRule="auto"/>
              <w:jc w:val="center"/>
            </w:pPr>
            <w:r>
              <w:rPr>
                <w:rFonts w:ascii="宋体" w:hAnsi="宋体" w:eastAsia="宋体"/>
                <w:b/>
                <w:i w:val="0"/>
                <w:sz w:val="18"/>
              </w:rPr>
              <w:t>得分</w:t>
            </w:r>
          </w:p>
        </w:tc>
      </w:tr>
      <w:tr w14:paraId="41E4F6AD">
        <w:tblPrEx>
          <w:tblCellMar>
            <w:top w:w="36" w:type="dxa"/>
            <w:left w:w="36" w:type="dxa"/>
            <w:bottom w:w="36" w:type="dxa"/>
            <w:right w:w="36" w:type="dxa"/>
          </w:tblCellMar>
        </w:tblPrEx>
        <w:trPr>
          <w:trHeight w:val="380" w:hRule="atLeast"/>
        </w:trPr>
        <w:tc>
          <w:tcPr>
            <w:tcW w:w="852"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4018AF84"/>
        </w:tc>
        <w:tc>
          <w:tcPr>
            <w:tcW w:w="115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5331CB">
            <w:pPr>
              <w:spacing w:before="0" w:after="0" w:line="240" w:lineRule="auto"/>
              <w:jc w:val="center"/>
            </w:pPr>
            <w:r>
              <w:rPr>
                <w:rFonts w:ascii="宋体" w:hAnsi="宋体" w:eastAsia="宋体"/>
                <w:b/>
                <w:i w:val="0"/>
                <w:sz w:val="18"/>
              </w:rPr>
              <w:t>年度资金总额</w:t>
            </w:r>
          </w:p>
        </w:tc>
        <w:tc>
          <w:tcPr>
            <w:tcW w:w="813" w:type="dxa"/>
            <w:tcBorders>
              <w:top w:val="single" w:color="auto" w:sz="10" w:space="0"/>
              <w:left w:val="single" w:color="auto" w:sz="10" w:space="0"/>
              <w:bottom w:val="single" w:color="auto" w:sz="10" w:space="0"/>
              <w:right w:val="single" w:color="auto" w:sz="10" w:space="0"/>
              <w:insideV w:val="single" w:sz="10" w:space="0"/>
            </w:tcBorders>
            <w:vAlign w:val="center"/>
          </w:tcPr>
          <w:p w14:paraId="781D7C0A">
            <w:pPr>
              <w:spacing w:before="0" w:after="0" w:line="240" w:lineRule="auto"/>
              <w:jc w:val="center"/>
            </w:pPr>
            <w:r>
              <w:rPr>
                <w:rFonts w:ascii="宋体" w:hAnsi="宋体" w:eastAsia="宋体"/>
                <w:b w:val="0"/>
                <w:i w:val="0"/>
                <w:sz w:val="18"/>
              </w:rPr>
              <w:t>5012.61</w:t>
            </w:r>
          </w:p>
        </w:tc>
        <w:tc>
          <w:tcPr>
            <w:tcW w:w="88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F95D07">
            <w:pPr>
              <w:spacing w:before="0" w:after="0" w:line="240" w:lineRule="auto"/>
              <w:jc w:val="center"/>
            </w:pPr>
            <w:r>
              <w:rPr>
                <w:rFonts w:ascii="宋体" w:hAnsi="宋体" w:eastAsia="宋体"/>
                <w:b w:val="0"/>
                <w:i w:val="0"/>
                <w:sz w:val="18"/>
              </w:rPr>
              <w:t>5012.61</w:t>
            </w:r>
          </w:p>
        </w:tc>
        <w:tc>
          <w:tcPr>
            <w:tcW w:w="99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D986EB">
            <w:pPr>
              <w:spacing w:before="0" w:after="0" w:line="240" w:lineRule="auto"/>
              <w:jc w:val="center"/>
            </w:pPr>
            <w:r>
              <w:rPr>
                <w:rFonts w:ascii="宋体" w:hAnsi="宋体" w:eastAsia="宋体"/>
                <w:b w:val="0"/>
                <w:i w:val="0"/>
                <w:sz w:val="18"/>
              </w:rPr>
              <w:t>5012.61</w:t>
            </w:r>
          </w:p>
        </w:tc>
        <w:tc>
          <w:tcPr>
            <w:tcW w:w="99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70F1B6">
            <w:pPr>
              <w:spacing w:before="0" w:after="0" w:line="240" w:lineRule="auto"/>
              <w:jc w:val="center"/>
            </w:pPr>
            <w:r>
              <w:rPr>
                <w:rFonts w:ascii="宋体" w:hAnsi="宋体" w:eastAsia="宋体"/>
                <w:b w:val="0"/>
                <w:i w:val="0"/>
                <w:sz w:val="18"/>
              </w:rPr>
              <w:t>10</w:t>
            </w:r>
          </w:p>
        </w:tc>
        <w:tc>
          <w:tcPr>
            <w:tcW w:w="128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5E650C">
            <w:pPr>
              <w:spacing w:before="0" w:after="0" w:line="240" w:lineRule="auto"/>
              <w:jc w:val="center"/>
            </w:pPr>
            <w:r>
              <w:rPr>
                <w:rFonts w:ascii="宋体" w:hAnsi="宋体" w:eastAsia="宋体"/>
                <w:b w:val="0"/>
                <w:i w:val="0"/>
                <w:sz w:val="18"/>
              </w:rPr>
              <w:t>100.00%</w:t>
            </w:r>
          </w:p>
        </w:tc>
        <w:tc>
          <w:tcPr>
            <w:tcW w:w="1402" w:type="dxa"/>
            <w:tcBorders>
              <w:top w:val="single" w:color="auto" w:sz="10" w:space="0"/>
              <w:left w:val="single" w:color="auto" w:sz="10" w:space="0"/>
              <w:bottom w:val="single" w:color="auto" w:sz="10" w:space="0"/>
              <w:right w:val="single" w:color="auto" w:sz="10" w:space="0"/>
              <w:insideV w:val="single" w:sz="10" w:space="0"/>
            </w:tcBorders>
            <w:vAlign w:val="center"/>
          </w:tcPr>
          <w:p w14:paraId="15F8D9D8">
            <w:pPr>
              <w:spacing w:before="0" w:after="0" w:line="240" w:lineRule="auto"/>
              <w:jc w:val="center"/>
            </w:pPr>
            <w:r>
              <w:rPr>
                <w:rFonts w:ascii="宋体" w:hAnsi="宋体" w:eastAsia="宋体"/>
                <w:b w:val="0"/>
                <w:i w:val="0"/>
                <w:sz w:val="18"/>
              </w:rPr>
              <w:t>10.00</w:t>
            </w:r>
          </w:p>
        </w:tc>
      </w:tr>
      <w:tr w14:paraId="66099E06">
        <w:tblPrEx>
          <w:tblCellMar>
            <w:top w:w="36" w:type="dxa"/>
            <w:left w:w="36" w:type="dxa"/>
            <w:bottom w:w="36" w:type="dxa"/>
            <w:right w:w="36" w:type="dxa"/>
          </w:tblCellMar>
        </w:tblPrEx>
        <w:trPr>
          <w:trHeight w:val="380" w:hRule="atLeast"/>
        </w:trPr>
        <w:tc>
          <w:tcPr>
            <w:tcW w:w="852"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029D24C5"/>
        </w:tc>
        <w:tc>
          <w:tcPr>
            <w:tcW w:w="115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759836">
            <w:pPr>
              <w:spacing w:before="0" w:after="0" w:line="240" w:lineRule="auto"/>
              <w:jc w:val="center"/>
            </w:pPr>
            <w:r>
              <w:rPr>
                <w:rFonts w:ascii="宋体" w:hAnsi="宋体" w:eastAsia="宋体"/>
                <w:b/>
                <w:i w:val="0"/>
                <w:sz w:val="18"/>
              </w:rPr>
              <w:t>其中：当年财政拨款</w:t>
            </w:r>
          </w:p>
        </w:tc>
        <w:tc>
          <w:tcPr>
            <w:tcW w:w="813" w:type="dxa"/>
            <w:tcBorders>
              <w:top w:val="single" w:color="auto" w:sz="10" w:space="0"/>
              <w:left w:val="single" w:color="auto" w:sz="10" w:space="0"/>
              <w:bottom w:val="single" w:color="auto" w:sz="10" w:space="0"/>
              <w:right w:val="single" w:color="auto" w:sz="10" w:space="0"/>
              <w:insideV w:val="single" w:sz="10" w:space="0"/>
            </w:tcBorders>
            <w:vAlign w:val="center"/>
          </w:tcPr>
          <w:p w14:paraId="62043E1D">
            <w:pPr>
              <w:spacing w:before="0" w:after="0" w:line="240" w:lineRule="auto"/>
              <w:jc w:val="center"/>
            </w:pPr>
            <w:r>
              <w:rPr>
                <w:rFonts w:ascii="宋体" w:hAnsi="宋体" w:eastAsia="宋体"/>
                <w:b w:val="0"/>
                <w:i w:val="0"/>
                <w:sz w:val="18"/>
              </w:rPr>
              <w:t>0.00</w:t>
            </w:r>
          </w:p>
        </w:tc>
        <w:tc>
          <w:tcPr>
            <w:tcW w:w="88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9E22B4">
            <w:pPr>
              <w:spacing w:before="0" w:after="0" w:line="240" w:lineRule="auto"/>
              <w:jc w:val="center"/>
            </w:pPr>
            <w:r>
              <w:rPr>
                <w:rFonts w:ascii="宋体" w:hAnsi="宋体" w:eastAsia="宋体"/>
                <w:b w:val="0"/>
                <w:i w:val="0"/>
                <w:sz w:val="18"/>
              </w:rPr>
              <w:t>0.00</w:t>
            </w:r>
          </w:p>
        </w:tc>
        <w:tc>
          <w:tcPr>
            <w:tcW w:w="99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5BBDBC">
            <w:pPr>
              <w:spacing w:before="0" w:after="0" w:line="240" w:lineRule="auto"/>
              <w:jc w:val="center"/>
            </w:pPr>
            <w:r>
              <w:rPr>
                <w:rFonts w:ascii="宋体" w:hAnsi="宋体" w:eastAsia="宋体"/>
                <w:b w:val="0"/>
                <w:i w:val="0"/>
                <w:sz w:val="18"/>
              </w:rPr>
              <w:t>0.00</w:t>
            </w:r>
          </w:p>
        </w:tc>
        <w:tc>
          <w:tcPr>
            <w:tcW w:w="99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E47DDD">
            <w:pPr>
              <w:spacing w:before="0" w:after="0" w:line="240" w:lineRule="auto"/>
              <w:jc w:val="center"/>
            </w:pPr>
            <w:r>
              <w:rPr>
                <w:rFonts w:ascii="宋体" w:hAnsi="宋体" w:eastAsia="宋体"/>
                <w:b w:val="0"/>
                <w:i w:val="0"/>
                <w:sz w:val="18"/>
              </w:rPr>
              <w:t>—</w:t>
            </w:r>
          </w:p>
        </w:tc>
        <w:tc>
          <w:tcPr>
            <w:tcW w:w="128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4C29B9">
            <w:pPr>
              <w:spacing w:before="0" w:after="0" w:line="240" w:lineRule="auto"/>
              <w:jc w:val="center"/>
            </w:pPr>
            <w:r>
              <w:rPr>
                <w:rFonts w:ascii="宋体" w:hAnsi="宋体" w:eastAsia="宋体"/>
                <w:b w:val="0"/>
                <w:i w:val="0"/>
                <w:sz w:val="18"/>
              </w:rPr>
              <w:t>—</w:t>
            </w:r>
          </w:p>
        </w:tc>
        <w:tc>
          <w:tcPr>
            <w:tcW w:w="1402" w:type="dxa"/>
            <w:tcBorders>
              <w:top w:val="single" w:color="auto" w:sz="10" w:space="0"/>
              <w:left w:val="single" w:color="auto" w:sz="10" w:space="0"/>
              <w:bottom w:val="single" w:color="auto" w:sz="10" w:space="0"/>
              <w:right w:val="single" w:color="auto" w:sz="10" w:space="0"/>
              <w:insideV w:val="single" w:sz="10" w:space="0"/>
            </w:tcBorders>
            <w:vAlign w:val="center"/>
          </w:tcPr>
          <w:p w14:paraId="671B152B">
            <w:pPr>
              <w:spacing w:before="0" w:after="0" w:line="240" w:lineRule="auto"/>
              <w:jc w:val="center"/>
            </w:pPr>
            <w:r>
              <w:rPr>
                <w:rFonts w:ascii="宋体" w:hAnsi="宋体" w:eastAsia="宋体"/>
                <w:b w:val="0"/>
                <w:i w:val="0"/>
                <w:sz w:val="18"/>
              </w:rPr>
              <w:t>—</w:t>
            </w:r>
          </w:p>
        </w:tc>
      </w:tr>
      <w:tr w14:paraId="466F2972">
        <w:tblPrEx>
          <w:tblCellMar>
            <w:top w:w="36" w:type="dxa"/>
            <w:left w:w="36" w:type="dxa"/>
            <w:bottom w:w="36" w:type="dxa"/>
            <w:right w:w="36" w:type="dxa"/>
          </w:tblCellMar>
        </w:tblPrEx>
        <w:trPr>
          <w:trHeight w:val="380" w:hRule="atLeast"/>
        </w:trPr>
        <w:tc>
          <w:tcPr>
            <w:tcW w:w="852"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425328AF"/>
        </w:tc>
        <w:tc>
          <w:tcPr>
            <w:tcW w:w="115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046431">
            <w:pPr>
              <w:spacing w:before="0" w:after="0" w:line="240" w:lineRule="auto"/>
              <w:jc w:val="center"/>
            </w:pPr>
            <w:r>
              <w:rPr>
                <w:rFonts w:ascii="宋体" w:hAnsi="宋体" w:eastAsia="宋体"/>
                <w:b/>
                <w:i w:val="0"/>
                <w:sz w:val="18"/>
              </w:rPr>
              <w:t>其他资金</w:t>
            </w:r>
          </w:p>
        </w:tc>
        <w:tc>
          <w:tcPr>
            <w:tcW w:w="813" w:type="dxa"/>
            <w:tcBorders>
              <w:top w:val="single" w:color="auto" w:sz="10" w:space="0"/>
              <w:left w:val="single" w:color="auto" w:sz="10" w:space="0"/>
              <w:bottom w:val="single" w:color="auto" w:sz="10" w:space="0"/>
              <w:right w:val="single" w:color="auto" w:sz="10" w:space="0"/>
              <w:insideV w:val="single" w:sz="10" w:space="0"/>
            </w:tcBorders>
            <w:vAlign w:val="center"/>
          </w:tcPr>
          <w:p w14:paraId="04D831CF">
            <w:pPr>
              <w:spacing w:before="0" w:after="0" w:line="240" w:lineRule="auto"/>
              <w:jc w:val="center"/>
            </w:pPr>
            <w:r>
              <w:rPr>
                <w:rFonts w:ascii="宋体" w:hAnsi="宋体" w:eastAsia="宋体"/>
                <w:b w:val="0"/>
                <w:i w:val="0"/>
                <w:sz w:val="18"/>
              </w:rPr>
              <w:t>5012.61</w:t>
            </w:r>
          </w:p>
        </w:tc>
        <w:tc>
          <w:tcPr>
            <w:tcW w:w="88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A7FC92">
            <w:pPr>
              <w:spacing w:before="0" w:after="0" w:line="240" w:lineRule="auto"/>
              <w:jc w:val="center"/>
            </w:pPr>
            <w:r>
              <w:rPr>
                <w:rFonts w:ascii="宋体" w:hAnsi="宋体" w:eastAsia="宋体"/>
                <w:b w:val="0"/>
                <w:i w:val="0"/>
                <w:sz w:val="18"/>
              </w:rPr>
              <w:t>5012.61</w:t>
            </w:r>
          </w:p>
        </w:tc>
        <w:tc>
          <w:tcPr>
            <w:tcW w:w="99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76ABD8">
            <w:pPr>
              <w:spacing w:before="0" w:after="0" w:line="240" w:lineRule="auto"/>
              <w:jc w:val="center"/>
            </w:pPr>
            <w:r>
              <w:rPr>
                <w:rFonts w:ascii="宋体" w:hAnsi="宋体" w:eastAsia="宋体"/>
                <w:b w:val="0"/>
                <w:i w:val="0"/>
                <w:sz w:val="18"/>
              </w:rPr>
              <w:t>5012.61</w:t>
            </w:r>
          </w:p>
        </w:tc>
        <w:tc>
          <w:tcPr>
            <w:tcW w:w="99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ADC675">
            <w:pPr>
              <w:spacing w:before="0" w:after="0" w:line="240" w:lineRule="auto"/>
              <w:jc w:val="center"/>
            </w:pPr>
            <w:r>
              <w:rPr>
                <w:rFonts w:ascii="宋体" w:hAnsi="宋体" w:eastAsia="宋体"/>
                <w:b w:val="0"/>
                <w:i w:val="0"/>
                <w:sz w:val="18"/>
              </w:rPr>
              <w:t>—</w:t>
            </w:r>
          </w:p>
        </w:tc>
        <w:tc>
          <w:tcPr>
            <w:tcW w:w="128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533F93">
            <w:pPr>
              <w:spacing w:before="0" w:after="0" w:line="240" w:lineRule="auto"/>
              <w:jc w:val="center"/>
            </w:pPr>
            <w:r>
              <w:rPr>
                <w:rFonts w:ascii="宋体" w:hAnsi="宋体" w:eastAsia="宋体"/>
                <w:b w:val="0"/>
                <w:i w:val="0"/>
                <w:sz w:val="18"/>
              </w:rPr>
              <w:t>—</w:t>
            </w:r>
          </w:p>
        </w:tc>
        <w:tc>
          <w:tcPr>
            <w:tcW w:w="1402" w:type="dxa"/>
            <w:tcBorders>
              <w:top w:val="single" w:color="auto" w:sz="10" w:space="0"/>
              <w:left w:val="single" w:color="auto" w:sz="10" w:space="0"/>
              <w:bottom w:val="single" w:color="auto" w:sz="10" w:space="0"/>
              <w:right w:val="single" w:color="auto" w:sz="10" w:space="0"/>
              <w:insideV w:val="single" w:sz="10" w:space="0"/>
            </w:tcBorders>
            <w:vAlign w:val="center"/>
          </w:tcPr>
          <w:p w14:paraId="3124D234">
            <w:pPr>
              <w:spacing w:before="0" w:after="0" w:line="240" w:lineRule="auto"/>
              <w:jc w:val="center"/>
            </w:pPr>
            <w:r>
              <w:rPr>
                <w:rFonts w:ascii="宋体" w:hAnsi="宋体" w:eastAsia="宋体"/>
                <w:b w:val="0"/>
                <w:i w:val="0"/>
                <w:sz w:val="18"/>
              </w:rPr>
              <w:t>—</w:t>
            </w:r>
          </w:p>
        </w:tc>
      </w:tr>
      <w:tr w14:paraId="18432423">
        <w:tblPrEx>
          <w:tblCellMar>
            <w:top w:w="36" w:type="dxa"/>
            <w:left w:w="36" w:type="dxa"/>
            <w:bottom w:w="36" w:type="dxa"/>
            <w:right w:w="36" w:type="dxa"/>
          </w:tblCellMar>
        </w:tblPrEx>
        <w:trPr>
          <w:trHeight w:val="380" w:hRule="atLeast"/>
        </w:trPr>
        <w:tc>
          <w:tcPr>
            <w:tcW w:w="35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4CD30B3">
            <w:pPr>
              <w:spacing w:before="0" w:after="0" w:line="240" w:lineRule="auto"/>
              <w:jc w:val="center"/>
            </w:pPr>
            <w:r>
              <w:rPr>
                <w:rFonts w:ascii="宋体" w:hAnsi="宋体" w:eastAsia="宋体"/>
                <w:b/>
                <w:i w:val="0"/>
                <w:sz w:val="18"/>
              </w:rPr>
              <w:t>年度总体目标</w:t>
            </w:r>
          </w:p>
        </w:tc>
        <w:tc>
          <w:tcPr>
            <w:tcW w:w="3348"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1168BFC">
            <w:pPr>
              <w:spacing w:before="0" w:after="0" w:line="240" w:lineRule="auto"/>
              <w:jc w:val="center"/>
            </w:pPr>
            <w:r>
              <w:rPr>
                <w:rFonts w:ascii="宋体" w:hAnsi="宋体" w:eastAsia="宋体"/>
                <w:b/>
                <w:i w:val="0"/>
                <w:sz w:val="18"/>
              </w:rPr>
              <w:t>预期目标</w:t>
            </w:r>
          </w:p>
        </w:tc>
        <w:tc>
          <w:tcPr>
            <w:tcW w:w="4673"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94EC8E2">
            <w:pPr>
              <w:spacing w:before="0" w:after="0" w:line="240" w:lineRule="auto"/>
              <w:jc w:val="center"/>
            </w:pPr>
            <w:r>
              <w:rPr>
                <w:rFonts w:ascii="宋体" w:hAnsi="宋体" w:eastAsia="宋体"/>
                <w:b/>
                <w:i w:val="0"/>
                <w:sz w:val="18"/>
              </w:rPr>
              <w:t>实际完成情况</w:t>
            </w:r>
          </w:p>
        </w:tc>
      </w:tr>
      <w:tr w14:paraId="3CA2A3C0">
        <w:tblPrEx>
          <w:tblCellMar>
            <w:top w:w="36" w:type="dxa"/>
            <w:left w:w="36" w:type="dxa"/>
            <w:bottom w:w="36" w:type="dxa"/>
            <w:right w:w="36" w:type="dxa"/>
          </w:tblCellMar>
        </w:tblPrEx>
        <w:trPr>
          <w:trHeight w:val="700" w:hRule="atLeast"/>
        </w:trPr>
        <w:tc>
          <w:tcPr>
            <w:tcW w:w="355" w:type="dxa"/>
            <w:vMerge w:val="continue"/>
            <w:tcBorders>
              <w:top w:val="single" w:color="auto" w:sz="10" w:space="0"/>
              <w:left w:val="single" w:color="auto" w:sz="10" w:space="0"/>
              <w:bottom w:val="single" w:color="auto" w:sz="10" w:space="0"/>
              <w:right w:val="single" w:color="auto" w:sz="10" w:space="0"/>
              <w:insideV w:val="single" w:sz="10" w:space="0"/>
            </w:tcBorders>
          </w:tcPr>
          <w:p w14:paraId="6B11B92A"/>
        </w:tc>
        <w:tc>
          <w:tcPr>
            <w:tcW w:w="3348"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2E45C45">
            <w:pPr>
              <w:spacing w:before="0" w:after="0" w:line="240" w:lineRule="auto"/>
              <w:jc w:val="center"/>
            </w:pPr>
            <w:r>
              <w:rPr>
                <w:rFonts w:ascii="宋体" w:hAnsi="宋体" w:eastAsia="宋体"/>
                <w:b w:val="0"/>
                <w:i w:val="0"/>
                <w:sz w:val="18"/>
              </w:rPr>
              <w:t>1、通过保障基本民生、保工资、保运转，实现保障职工的基本生活权益，达到保障单位稳健运行的效果。2、通过防护栏安装项目，达到保障我单位职工及行人车辆安全的效果。3、通过维修工程项目，达到玛河下游灌区用水需求得到保障的目的。4、通过水利工程巩固提升项目，达到改善水闸运行环境，提升水闸设施稳定运行的效果</w:t>
            </w:r>
          </w:p>
        </w:tc>
        <w:tc>
          <w:tcPr>
            <w:tcW w:w="4673"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C6F142C">
            <w:pPr>
              <w:spacing w:before="0" w:after="0" w:line="240" w:lineRule="auto"/>
              <w:jc w:val="center"/>
            </w:pPr>
            <w:r>
              <w:rPr>
                <w:rFonts w:ascii="宋体" w:hAnsi="宋体" w:eastAsia="宋体"/>
                <w:b w:val="0"/>
                <w:i w:val="0"/>
                <w:sz w:val="18"/>
              </w:rPr>
              <w:t>（1）完成西调渠分水闸和九公里分水闸2座水闸建筑改造。（2）支付10笔质保金。（3）完成1本流域规划修编编制报告。（4）完成161名职工工资发放。（5）全年完成12次工资发放。（6）工程质量验收合格率达到95%以上。（7）报告验收合格率达到100%。（8）水闸建筑改造项目开始时间7月1日。（9）水闸建筑改造项目完成时间11月24日。（10）项目支出经费729万元。（11）正常运行经费支出4283.61万元。</w:t>
            </w:r>
          </w:p>
        </w:tc>
      </w:tr>
      <w:tr w14:paraId="5A025D90">
        <w:tblPrEx>
          <w:tblCellMar>
            <w:top w:w="36" w:type="dxa"/>
            <w:left w:w="36" w:type="dxa"/>
            <w:bottom w:w="36" w:type="dxa"/>
            <w:right w:w="36" w:type="dxa"/>
          </w:tblCellMar>
        </w:tblPrEx>
        <w:tc>
          <w:tcPr>
            <w:tcW w:w="35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2B9BAA7">
            <w:pPr>
              <w:spacing w:before="0" w:after="0" w:line="240" w:lineRule="auto"/>
              <w:jc w:val="center"/>
            </w:pPr>
          </w:p>
        </w:tc>
        <w:tc>
          <w:tcPr>
            <w:tcW w:w="497"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265F15B">
            <w:pPr>
              <w:spacing w:before="0" w:after="0" w:line="240" w:lineRule="auto"/>
              <w:jc w:val="center"/>
            </w:pPr>
            <w:r>
              <w:rPr>
                <w:rFonts w:ascii="宋体" w:hAnsi="宋体" w:eastAsia="宋体"/>
                <w:b/>
                <w:i w:val="0"/>
                <w:sz w:val="18"/>
              </w:rPr>
              <w:t>一级指标</w:t>
            </w:r>
          </w:p>
        </w:tc>
        <w:tc>
          <w:tcPr>
            <w:tcW w:w="497"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B5F0B93">
            <w:pPr>
              <w:spacing w:before="0" w:after="0" w:line="240" w:lineRule="auto"/>
              <w:jc w:val="center"/>
            </w:pPr>
            <w:r>
              <w:rPr>
                <w:rFonts w:ascii="宋体" w:hAnsi="宋体" w:eastAsia="宋体"/>
                <w:b/>
                <w:i w:val="0"/>
                <w:sz w:val="18"/>
              </w:rPr>
              <w:t>二级指标</w:t>
            </w:r>
          </w:p>
        </w:tc>
        <w:tc>
          <w:tcPr>
            <w:tcW w:w="65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5A59A25">
            <w:pPr>
              <w:spacing w:before="0" w:after="0" w:line="240" w:lineRule="auto"/>
              <w:jc w:val="center"/>
            </w:pPr>
            <w:r>
              <w:rPr>
                <w:rFonts w:ascii="宋体" w:hAnsi="宋体" w:eastAsia="宋体"/>
                <w:b/>
                <w:i w:val="0"/>
                <w:sz w:val="18"/>
              </w:rPr>
              <w:t>三级指标</w:t>
            </w:r>
          </w:p>
        </w:tc>
        <w:tc>
          <w:tcPr>
            <w:tcW w:w="81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1D720D1">
            <w:pPr>
              <w:spacing w:before="0" w:after="0" w:line="240" w:lineRule="auto"/>
              <w:jc w:val="center"/>
            </w:pPr>
            <w:r>
              <w:rPr>
                <w:rFonts w:ascii="宋体" w:hAnsi="宋体" w:eastAsia="宋体"/>
                <w:b/>
                <w:i w:val="0"/>
                <w:sz w:val="18"/>
              </w:rPr>
              <w:t>权重</w:t>
            </w:r>
          </w:p>
        </w:tc>
        <w:tc>
          <w:tcPr>
            <w:tcW w:w="391"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094F287">
            <w:pPr>
              <w:spacing w:before="0" w:after="0" w:line="240" w:lineRule="auto"/>
              <w:jc w:val="center"/>
            </w:pPr>
            <w:r>
              <w:rPr>
                <w:rFonts w:ascii="宋体" w:hAnsi="宋体" w:eastAsia="宋体"/>
                <w:b/>
                <w:i w:val="0"/>
                <w:sz w:val="18"/>
              </w:rPr>
              <w:t>目标值</w:t>
            </w:r>
          </w:p>
        </w:tc>
        <w:tc>
          <w:tcPr>
            <w:tcW w:w="497"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A7E31EB">
            <w:pPr>
              <w:spacing w:before="0" w:after="0" w:line="240" w:lineRule="auto"/>
              <w:jc w:val="center"/>
            </w:pPr>
            <w:r>
              <w:rPr>
                <w:rFonts w:ascii="宋体" w:hAnsi="宋体" w:eastAsia="宋体"/>
                <w:b/>
                <w:i w:val="0"/>
                <w:sz w:val="18"/>
              </w:rPr>
              <w:t>业绩值</w:t>
            </w:r>
          </w:p>
        </w:tc>
        <w:tc>
          <w:tcPr>
            <w:tcW w:w="497"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33EDA5F">
            <w:pPr>
              <w:spacing w:before="0" w:after="0" w:line="240" w:lineRule="auto"/>
              <w:jc w:val="center"/>
            </w:pPr>
            <w:r>
              <w:rPr>
                <w:rFonts w:ascii="宋体" w:hAnsi="宋体" w:eastAsia="宋体"/>
                <w:b/>
                <w:i w:val="0"/>
                <w:sz w:val="18"/>
              </w:rPr>
              <w:t>完成率</w:t>
            </w:r>
          </w:p>
        </w:tc>
        <w:tc>
          <w:tcPr>
            <w:tcW w:w="497"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0A49845">
            <w:pPr>
              <w:spacing w:before="0" w:after="0" w:line="240" w:lineRule="auto"/>
              <w:jc w:val="center"/>
            </w:pPr>
            <w:r>
              <w:rPr>
                <w:rFonts w:ascii="宋体" w:hAnsi="宋体" w:eastAsia="宋体"/>
                <w:b/>
                <w:i w:val="0"/>
                <w:sz w:val="18"/>
              </w:rPr>
              <w:t>指标得分</w:t>
            </w:r>
          </w:p>
        </w:tc>
        <w:tc>
          <w:tcPr>
            <w:tcW w:w="497"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C4A5A83">
            <w:pPr>
              <w:spacing w:before="0" w:after="0" w:line="240" w:lineRule="auto"/>
              <w:jc w:val="center"/>
            </w:pPr>
            <w:r>
              <w:rPr>
                <w:rFonts w:ascii="宋体" w:hAnsi="宋体" w:eastAsia="宋体"/>
                <w:b/>
                <w:i w:val="0"/>
                <w:sz w:val="18"/>
              </w:rPr>
              <w:t>指标值设定依据</w:t>
            </w:r>
          </w:p>
        </w:tc>
        <w:tc>
          <w:tcPr>
            <w:tcW w:w="497"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1769E6B">
            <w:pPr>
              <w:spacing w:before="0" w:after="0" w:line="240" w:lineRule="auto"/>
              <w:jc w:val="center"/>
            </w:pPr>
            <w:r>
              <w:rPr>
                <w:rFonts w:ascii="宋体" w:hAnsi="宋体" w:eastAsia="宋体"/>
                <w:b/>
                <w:i w:val="0"/>
                <w:sz w:val="18"/>
              </w:rPr>
              <w:t>上年完成情况</w:t>
            </w:r>
          </w:p>
        </w:tc>
        <w:tc>
          <w:tcPr>
            <w:tcW w:w="680"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5FE14D6">
            <w:pPr>
              <w:spacing w:before="0" w:after="0" w:line="240" w:lineRule="auto"/>
              <w:jc w:val="center"/>
            </w:pPr>
            <w:r>
              <w:rPr>
                <w:rFonts w:ascii="宋体" w:hAnsi="宋体" w:eastAsia="宋体"/>
                <w:b/>
                <w:i w:val="0"/>
                <w:sz w:val="18"/>
              </w:rPr>
              <w:t>赋分规则</w:t>
            </w:r>
          </w:p>
        </w:tc>
        <w:tc>
          <w:tcPr>
            <w:tcW w:w="60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6AF5F00">
            <w:pPr>
              <w:spacing w:before="0" w:after="0" w:line="240" w:lineRule="auto"/>
              <w:jc w:val="center"/>
            </w:pPr>
            <w:r>
              <w:rPr>
                <w:rFonts w:ascii="宋体" w:hAnsi="宋体" w:eastAsia="宋体"/>
                <w:b/>
                <w:i w:val="0"/>
                <w:sz w:val="18"/>
              </w:rPr>
              <w:t>佐证资料</w:t>
            </w:r>
          </w:p>
        </w:tc>
        <w:tc>
          <w:tcPr>
            <w:tcW w:w="140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4B2FE19">
            <w:pPr>
              <w:spacing w:before="0" w:after="0" w:line="240" w:lineRule="auto"/>
              <w:jc w:val="center"/>
            </w:pPr>
            <w:r>
              <w:rPr>
                <w:rFonts w:ascii="宋体" w:hAnsi="宋体" w:eastAsia="宋体"/>
                <w:b/>
                <w:i w:val="0"/>
                <w:sz w:val="18"/>
              </w:rPr>
              <w:t>偏差原因分析及改进措施</w:t>
            </w:r>
          </w:p>
        </w:tc>
      </w:tr>
      <w:tr w14:paraId="406618F9">
        <w:tblPrEx>
          <w:tblCellMar>
            <w:top w:w="36" w:type="dxa"/>
            <w:left w:w="36" w:type="dxa"/>
            <w:bottom w:w="36" w:type="dxa"/>
            <w:right w:w="36" w:type="dxa"/>
          </w:tblCellMar>
        </w:tblPrEx>
        <w:tc>
          <w:tcPr>
            <w:tcW w:w="355" w:type="dxa"/>
            <w:vMerge w:val="continue"/>
            <w:tcBorders>
              <w:top w:val="single" w:color="auto" w:sz="10" w:space="0"/>
              <w:left w:val="single" w:color="auto" w:sz="10" w:space="0"/>
              <w:bottom w:val="single" w:color="auto" w:sz="10" w:space="0"/>
              <w:right w:val="single" w:color="auto" w:sz="10" w:space="0"/>
              <w:insideV w:val="single" w:sz="10" w:space="0"/>
            </w:tcBorders>
          </w:tcPr>
          <w:p w14:paraId="36CE4B2D"/>
        </w:tc>
        <w:tc>
          <w:tcPr>
            <w:tcW w:w="497" w:type="dxa"/>
            <w:vMerge w:val="continue"/>
            <w:tcBorders>
              <w:top w:val="single" w:color="auto" w:sz="10" w:space="0"/>
              <w:left w:val="single" w:color="auto" w:sz="10" w:space="0"/>
              <w:bottom w:val="single" w:color="auto" w:sz="10" w:space="0"/>
              <w:right w:val="single" w:color="auto" w:sz="10" w:space="0"/>
              <w:insideV w:val="single" w:sz="10" w:space="0"/>
            </w:tcBorders>
          </w:tcPr>
          <w:p w14:paraId="48701852"/>
        </w:tc>
        <w:tc>
          <w:tcPr>
            <w:tcW w:w="497" w:type="dxa"/>
            <w:vMerge w:val="continue"/>
            <w:tcBorders>
              <w:top w:val="single" w:color="auto" w:sz="10" w:space="0"/>
              <w:left w:val="single" w:color="auto" w:sz="10" w:space="0"/>
              <w:bottom w:val="single" w:color="auto" w:sz="10" w:space="0"/>
              <w:right w:val="single" w:color="auto" w:sz="10" w:space="0"/>
              <w:insideV w:val="single" w:sz="10" w:space="0"/>
            </w:tcBorders>
          </w:tcPr>
          <w:p w14:paraId="789B3586"/>
        </w:tc>
        <w:tc>
          <w:tcPr>
            <w:tcW w:w="653" w:type="dxa"/>
            <w:vMerge w:val="continue"/>
            <w:tcBorders>
              <w:top w:val="single" w:color="auto" w:sz="10" w:space="0"/>
              <w:left w:val="single" w:color="auto" w:sz="10" w:space="0"/>
              <w:bottom w:val="single" w:color="auto" w:sz="10" w:space="0"/>
              <w:right w:val="single" w:color="auto" w:sz="10" w:space="0"/>
              <w:insideV w:val="single" w:sz="10" w:space="0"/>
            </w:tcBorders>
          </w:tcPr>
          <w:p w14:paraId="5B316BBA"/>
        </w:tc>
        <w:tc>
          <w:tcPr>
            <w:tcW w:w="813" w:type="dxa"/>
            <w:vMerge w:val="continue"/>
            <w:tcBorders>
              <w:top w:val="single" w:color="auto" w:sz="10" w:space="0"/>
              <w:left w:val="single" w:color="auto" w:sz="10" w:space="0"/>
              <w:bottom w:val="single" w:color="auto" w:sz="10" w:space="0"/>
              <w:right w:val="single" w:color="auto" w:sz="10" w:space="0"/>
              <w:insideV w:val="single" w:sz="10" w:space="0"/>
            </w:tcBorders>
          </w:tcPr>
          <w:p w14:paraId="0102762C"/>
        </w:tc>
        <w:tc>
          <w:tcPr>
            <w:tcW w:w="391" w:type="dxa"/>
            <w:vMerge w:val="continue"/>
            <w:tcBorders>
              <w:top w:val="single" w:color="auto" w:sz="10" w:space="0"/>
              <w:left w:val="single" w:color="auto" w:sz="10" w:space="0"/>
              <w:bottom w:val="single" w:color="auto" w:sz="10" w:space="0"/>
              <w:right w:val="single" w:color="auto" w:sz="10" w:space="0"/>
              <w:insideV w:val="single" w:sz="10" w:space="0"/>
            </w:tcBorders>
          </w:tcPr>
          <w:p w14:paraId="4A75BB95"/>
        </w:tc>
        <w:tc>
          <w:tcPr>
            <w:tcW w:w="497" w:type="dxa"/>
            <w:vMerge w:val="continue"/>
            <w:tcBorders>
              <w:top w:val="single" w:color="auto" w:sz="10" w:space="0"/>
              <w:left w:val="single" w:color="auto" w:sz="10" w:space="0"/>
              <w:bottom w:val="single" w:color="auto" w:sz="10" w:space="0"/>
              <w:right w:val="single" w:color="auto" w:sz="10" w:space="0"/>
              <w:insideV w:val="single" w:sz="10" w:space="0"/>
            </w:tcBorders>
          </w:tcPr>
          <w:p w14:paraId="2A1F93DB"/>
        </w:tc>
        <w:tc>
          <w:tcPr>
            <w:tcW w:w="497" w:type="dxa"/>
            <w:vMerge w:val="continue"/>
            <w:tcBorders>
              <w:top w:val="single" w:color="auto" w:sz="10" w:space="0"/>
              <w:left w:val="single" w:color="auto" w:sz="10" w:space="0"/>
              <w:bottom w:val="single" w:color="auto" w:sz="10" w:space="0"/>
              <w:right w:val="single" w:color="auto" w:sz="10" w:space="0"/>
              <w:insideV w:val="single" w:sz="10" w:space="0"/>
            </w:tcBorders>
          </w:tcPr>
          <w:p w14:paraId="6283DABE"/>
        </w:tc>
        <w:tc>
          <w:tcPr>
            <w:tcW w:w="497" w:type="dxa"/>
            <w:vMerge w:val="continue"/>
            <w:tcBorders>
              <w:top w:val="single" w:color="auto" w:sz="10" w:space="0"/>
              <w:left w:val="single" w:color="auto" w:sz="10" w:space="0"/>
              <w:bottom w:val="single" w:color="auto" w:sz="10" w:space="0"/>
              <w:right w:val="single" w:color="auto" w:sz="10" w:space="0"/>
              <w:insideV w:val="single" w:sz="10" w:space="0"/>
            </w:tcBorders>
          </w:tcPr>
          <w:p w14:paraId="782DC82A"/>
        </w:tc>
        <w:tc>
          <w:tcPr>
            <w:tcW w:w="497" w:type="dxa"/>
            <w:vMerge w:val="continue"/>
            <w:tcBorders>
              <w:top w:val="single" w:color="auto" w:sz="10" w:space="0"/>
              <w:left w:val="single" w:color="auto" w:sz="10" w:space="0"/>
              <w:bottom w:val="single" w:color="auto" w:sz="10" w:space="0"/>
              <w:right w:val="single" w:color="auto" w:sz="10" w:space="0"/>
              <w:insideV w:val="single" w:sz="10" w:space="0"/>
            </w:tcBorders>
          </w:tcPr>
          <w:p w14:paraId="6EF50D0D"/>
        </w:tc>
        <w:tc>
          <w:tcPr>
            <w:tcW w:w="497" w:type="dxa"/>
            <w:vMerge w:val="continue"/>
            <w:tcBorders>
              <w:top w:val="single" w:color="auto" w:sz="10" w:space="0"/>
              <w:left w:val="single" w:color="auto" w:sz="10" w:space="0"/>
              <w:bottom w:val="single" w:color="auto" w:sz="10" w:space="0"/>
              <w:right w:val="single" w:color="auto" w:sz="10" w:space="0"/>
              <w:insideV w:val="single" w:sz="10" w:space="0"/>
            </w:tcBorders>
          </w:tcPr>
          <w:p w14:paraId="326AB984"/>
        </w:tc>
        <w:tc>
          <w:tcPr>
            <w:tcW w:w="680" w:type="dxa"/>
            <w:vMerge w:val="continue"/>
            <w:tcBorders>
              <w:top w:val="single" w:color="auto" w:sz="10" w:space="0"/>
              <w:left w:val="single" w:color="auto" w:sz="10" w:space="0"/>
              <w:bottom w:val="single" w:color="auto" w:sz="10" w:space="0"/>
              <w:right w:val="single" w:color="auto" w:sz="10" w:space="0"/>
              <w:insideV w:val="single" w:sz="10" w:space="0"/>
            </w:tcBorders>
          </w:tcPr>
          <w:p w14:paraId="37A0271A"/>
        </w:tc>
        <w:tc>
          <w:tcPr>
            <w:tcW w:w="603" w:type="dxa"/>
            <w:vMerge w:val="continue"/>
            <w:tcBorders>
              <w:top w:val="single" w:color="auto" w:sz="10" w:space="0"/>
              <w:left w:val="single" w:color="auto" w:sz="10" w:space="0"/>
              <w:bottom w:val="single" w:color="auto" w:sz="10" w:space="0"/>
              <w:right w:val="single" w:color="auto" w:sz="10" w:space="0"/>
              <w:insideV w:val="single" w:sz="10" w:space="0"/>
            </w:tcBorders>
          </w:tcPr>
          <w:p w14:paraId="6B2328A7"/>
        </w:tc>
        <w:tc>
          <w:tcPr>
            <w:tcW w:w="1402" w:type="dxa"/>
            <w:vMerge w:val="continue"/>
            <w:tcBorders>
              <w:top w:val="single" w:color="auto" w:sz="10" w:space="0"/>
              <w:left w:val="single" w:color="auto" w:sz="10" w:space="0"/>
              <w:bottom w:val="single" w:color="auto" w:sz="10" w:space="0"/>
              <w:right w:val="single" w:color="auto" w:sz="10" w:space="0"/>
              <w:insideV w:val="single" w:sz="10" w:space="0"/>
            </w:tcBorders>
          </w:tcPr>
          <w:p w14:paraId="2DBA7A3D"/>
        </w:tc>
      </w:tr>
      <w:tr w14:paraId="6128BC48">
        <w:tblPrEx>
          <w:tblCellMar>
            <w:top w:w="36" w:type="dxa"/>
            <w:left w:w="36" w:type="dxa"/>
            <w:bottom w:w="36" w:type="dxa"/>
            <w:right w:w="36" w:type="dxa"/>
          </w:tblCellMar>
        </w:tblPrEx>
        <w:trPr>
          <w:trHeight w:val="380" w:hRule="atLeast"/>
        </w:trPr>
        <w:tc>
          <w:tcPr>
            <w:tcW w:w="35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EF7853D">
            <w:pPr>
              <w:spacing w:before="0" w:after="0" w:line="240" w:lineRule="auto"/>
              <w:jc w:val="center"/>
            </w:pPr>
            <w:r>
              <w:rPr>
                <w:rFonts w:ascii="宋体" w:hAnsi="宋体" w:eastAsia="宋体"/>
                <w:b/>
                <w:i w:val="0"/>
                <w:sz w:val="18"/>
              </w:rPr>
              <w:t>年度绩效指标完成情况</w:t>
            </w:r>
          </w:p>
        </w:tc>
        <w:tc>
          <w:tcPr>
            <w:tcW w:w="497"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914F959">
            <w:pPr>
              <w:spacing w:before="0" w:after="0" w:line="240" w:lineRule="auto"/>
              <w:jc w:val="center"/>
            </w:pPr>
            <w:r>
              <w:rPr>
                <w:rFonts w:ascii="宋体" w:hAnsi="宋体" w:eastAsia="宋体"/>
                <w:b w:val="0"/>
                <w:i w:val="0"/>
                <w:sz w:val="18"/>
              </w:rPr>
              <w:t>产出指标</w:t>
            </w:r>
          </w:p>
        </w:tc>
        <w:tc>
          <w:tcPr>
            <w:tcW w:w="497" w:type="dxa"/>
            <w:tcBorders>
              <w:top w:val="single" w:color="auto" w:sz="10" w:space="0"/>
              <w:left w:val="single" w:color="auto" w:sz="10" w:space="0"/>
              <w:bottom w:val="single" w:color="auto" w:sz="10" w:space="0"/>
              <w:right w:val="single" w:color="auto" w:sz="10" w:space="0"/>
              <w:insideV w:val="single" w:sz="10" w:space="0"/>
            </w:tcBorders>
            <w:vAlign w:val="center"/>
          </w:tcPr>
          <w:p w14:paraId="47083905">
            <w:pPr>
              <w:spacing w:before="0" w:after="0" w:line="240" w:lineRule="auto"/>
              <w:jc w:val="center"/>
            </w:pPr>
            <w:r>
              <w:rPr>
                <w:rFonts w:ascii="宋体" w:hAnsi="宋体" w:eastAsia="宋体"/>
                <w:b w:val="0"/>
                <w:i w:val="0"/>
                <w:sz w:val="18"/>
              </w:rPr>
              <w:t>数量指标</w:t>
            </w:r>
          </w:p>
        </w:tc>
        <w:tc>
          <w:tcPr>
            <w:tcW w:w="653" w:type="dxa"/>
            <w:tcBorders>
              <w:top w:val="single" w:color="auto" w:sz="10" w:space="0"/>
              <w:left w:val="single" w:color="auto" w:sz="10" w:space="0"/>
              <w:bottom w:val="single" w:color="auto" w:sz="10" w:space="0"/>
              <w:right w:val="single" w:color="auto" w:sz="10" w:space="0"/>
              <w:insideV w:val="single" w:sz="10" w:space="0"/>
            </w:tcBorders>
            <w:vAlign w:val="center"/>
          </w:tcPr>
          <w:p w14:paraId="5DB6BAFB">
            <w:pPr>
              <w:spacing w:before="0" w:after="0" w:line="240" w:lineRule="auto"/>
              <w:jc w:val="center"/>
            </w:pPr>
            <w:r>
              <w:rPr>
                <w:rFonts w:ascii="宋体" w:hAnsi="宋体" w:eastAsia="宋体"/>
                <w:b w:val="0"/>
                <w:i w:val="0"/>
                <w:color w:val="000000"/>
                <w:sz w:val="18"/>
              </w:rPr>
              <w:t>人员工资发放次数</w:t>
            </w:r>
          </w:p>
        </w:tc>
        <w:tc>
          <w:tcPr>
            <w:tcW w:w="813" w:type="dxa"/>
            <w:tcBorders>
              <w:top w:val="single" w:color="auto" w:sz="10" w:space="0"/>
              <w:left w:val="single" w:color="auto" w:sz="10" w:space="0"/>
              <w:bottom w:val="single" w:color="auto" w:sz="10" w:space="0"/>
              <w:right w:val="single" w:color="auto" w:sz="10" w:space="0"/>
              <w:insideV w:val="single" w:sz="10" w:space="0"/>
            </w:tcBorders>
            <w:vAlign w:val="center"/>
          </w:tcPr>
          <w:p w14:paraId="7C32B692">
            <w:pPr>
              <w:spacing w:before="0" w:after="0" w:line="240" w:lineRule="auto"/>
              <w:jc w:val="center"/>
            </w:pPr>
            <w:r>
              <w:rPr>
                <w:rFonts w:ascii="宋体" w:hAnsi="宋体" w:eastAsia="宋体"/>
                <w:b w:val="0"/>
                <w:i w:val="0"/>
                <w:sz w:val="18"/>
              </w:rPr>
              <w:t>9</w:t>
            </w:r>
          </w:p>
        </w:tc>
        <w:tc>
          <w:tcPr>
            <w:tcW w:w="391" w:type="dxa"/>
            <w:tcBorders>
              <w:top w:val="single" w:color="auto" w:sz="10" w:space="0"/>
              <w:left w:val="single" w:color="auto" w:sz="10" w:space="0"/>
              <w:bottom w:val="single" w:color="auto" w:sz="10" w:space="0"/>
              <w:right w:val="single" w:color="auto" w:sz="10" w:space="0"/>
              <w:insideV w:val="single" w:sz="10" w:space="0"/>
            </w:tcBorders>
            <w:vAlign w:val="center"/>
          </w:tcPr>
          <w:p w14:paraId="3C348805">
            <w:pPr>
              <w:spacing w:before="0" w:after="0" w:line="240" w:lineRule="auto"/>
              <w:jc w:val="center"/>
            </w:pPr>
            <w:r>
              <w:rPr>
                <w:rFonts w:ascii="宋体" w:hAnsi="宋体" w:eastAsia="宋体"/>
                <w:b w:val="0"/>
                <w:i w:val="0"/>
                <w:sz w:val="18"/>
              </w:rPr>
              <w:t>=12次</w:t>
            </w:r>
          </w:p>
        </w:tc>
        <w:tc>
          <w:tcPr>
            <w:tcW w:w="497" w:type="dxa"/>
            <w:tcBorders>
              <w:top w:val="single" w:color="auto" w:sz="10" w:space="0"/>
              <w:left w:val="single" w:color="auto" w:sz="10" w:space="0"/>
              <w:bottom w:val="single" w:color="auto" w:sz="10" w:space="0"/>
              <w:right w:val="single" w:color="auto" w:sz="10" w:space="0"/>
              <w:insideV w:val="single" w:sz="10" w:space="0"/>
            </w:tcBorders>
            <w:vAlign w:val="center"/>
          </w:tcPr>
          <w:p w14:paraId="19815A7A">
            <w:pPr>
              <w:spacing w:before="0" w:after="0" w:line="240" w:lineRule="auto"/>
              <w:jc w:val="center"/>
            </w:pPr>
            <w:r>
              <w:rPr>
                <w:rFonts w:ascii="宋体" w:hAnsi="宋体" w:eastAsia="宋体"/>
                <w:b w:val="0"/>
                <w:i w:val="0"/>
                <w:sz w:val="18"/>
              </w:rPr>
              <w:t>=12次</w:t>
            </w:r>
          </w:p>
        </w:tc>
        <w:tc>
          <w:tcPr>
            <w:tcW w:w="497" w:type="dxa"/>
            <w:tcBorders>
              <w:top w:val="single" w:color="auto" w:sz="10" w:space="0"/>
              <w:left w:val="single" w:color="auto" w:sz="10" w:space="0"/>
              <w:bottom w:val="single" w:color="auto" w:sz="10" w:space="0"/>
              <w:right w:val="single" w:color="auto" w:sz="10" w:space="0"/>
              <w:insideV w:val="single" w:sz="10" w:space="0"/>
            </w:tcBorders>
            <w:vAlign w:val="center"/>
          </w:tcPr>
          <w:p w14:paraId="4E91E5E1">
            <w:pPr>
              <w:spacing w:before="0" w:after="0" w:line="240" w:lineRule="auto"/>
              <w:jc w:val="center"/>
            </w:pPr>
            <w:r>
              <w:rPr>
                <w:rFonts w:ascii="宋体" w:hAnsi="宋体" w:eastAsia="宋体"/>
                <w:b w:val="0"/>
                <w:i w:val="0"/>
                <w:sz w:val="18"/>
              </w:rPr>
              <w:t>100%</w:t>
            </w:r>
          </w:p>
        </w:tc>
        <w:tc>
          <w:tcPr>
            <w:tcW w:w="497" w:type="dxa"/>
            <w:tcBorders>
              <w:top w:val="single" w:color="auto" w:sz="10" w:space="0"/>
              <w:left w:val="single" w:color="auto" w:sz="10" w:space="0"/>
              <w:bottom w:val="single" w:color="auto" w:sz="10" w:space="0"/>
              <w:right w:val="single" w:color="auto" w:sz="10" w:space="0"/>
              <w:insideV w:val="single" w:sz="10" w:space="0"/>
            </w:tcBorders>
            <w:vAlign w:val="center"/>
          </w:tcPr>
          <w:p w14:paraId="021B1BCD">
            <w:pPr>
              <w:spacing w:before="0" w:after="0" w:line="240" w:lineRule="auto"/>
              <w:jc w:val="center"/>
            </w:pPr>
            <w:r>
              <w:rPr>
                <w:rFonts w:ascii="宋体" w:hAnsi="宋体" w:eastAsia="宋体"/>
                <w:b w:val="0"/>
                <w:i w:val="0"/>
                <w:sz w:val="18"/>
              </w:rPr>
              <w:t>9</w:t>
            </w:r>
          </w:p>
        </w:tc>
        <w:tc>
          <w:tcPr>
            <w:tcW w:w="497" w:type="dxa"/>
            <w:tcBorders>
              <w:top w:val="single" w:color="auto" w:sz="10" w:space="0"/>
              <w:left w:val="single" w:color="auto" w:sz="10" w:space="0"/>
              <w:bottom w:val="single" w:color="auto" w:sz="10" w:space="0"/>
              <w:right w:val="single" w:color="auto" w:sz="10" w:space="0"/>
              <w:insideV w:val="single" w:sz="10" w:space="0"/>
            </w:tcBorders>
            <w:vAlign w:val="center"/>
          </w:tcPr>
          <w:p w14:paraId="4FA3DC51">
            <w:pPr>
              <w:spacing w:before="0" w:after="0" w:line="240" w:lineRule="auto"/>
              <w:jc w:val="center"/>
            </w:pPr>
            <w:r>
              <w:rPr>
                <w:rFonts w:ascii="宋体" w:hAnsi="宋体" w:eastAsia="宋体"/>
                <w:b w:val="0"/>
                <w:i w:val="0"/>
                <w:sz w:val="18"/>
              </w:rPr>
              <w:t>计划标准</w:t>
            </w:r>
          </w:p>
        </w:tc>
        <w:tc>
          <w:tcPr>
            <w:tcW w:w="497" w:type="dxa"/>
            <w:tcBorders>
              <w:top w:val="single" w:color="auto" w:sz="10" w:space="0"/>
              <w:left w:val="single" w:color="auto" w:sz="10" w:space="0"/>
              <w:bottom w:val="single" w:color="auto" w:sz="10" w:space="0"/>
              <w:right w:val="single" w:color="auto" w:sz="10" w:space="0"/>
              <w:insideV w:val="single" w:sz="10" w:space="0"/>
            </w:tcBorders>
            <w:vAlign w:val="center"/>
          </w:tcPr>
          <w:p w14:paraId="05496F8A">
            <w:pPr>
              <w:spacing w:before="0" w:after="0" w:line="240" w:lineRule="auto"/>
              <w:jc w:val="center"/>
            </w:pPr>
            <w:r>
              <w:rPr>
                <w:rFonts w:ascii="宋体" w:hAnsi="宋体" w:eastAsia="宋体"/>
                <w:b w:val="0"/>
                <w:i w:val="0"/>
                <w:sz w:val="18"/>
              </w:rPr>
              <w:t>-</w:t>
            </w:r>
          </w:p>
        </w:tc>
        <w:tc>
          <w:tcPr>
            <w:tcW w:w="680" w:type="dxa"/>
            <w:tcBorders>
              <w:top w:val="single" w:color="auto" w:sz="10" w:space="0"/>
              <w:left w:val="single" w:color="auto" w:sz="10" w:space="0"/>
              <w:bottom w:val="single" w:color="auto" w:sz="10" w:space="0"/>
              <w:right w:val="single" w:color="auto" w:sz="10" w:space="0"/>
              <w:insideV w:val="single" w:sz="10" w:space="0"/>
            </w:tcBorders>
            <w:vAlign w:val="center"/>
          </w:tcPr>
          <w:p w14:paraId="661DD4BE">
            <w:pPr>
              <w:spacing w:before="0" w:after="0" w:line="240" w:lineRule="auto"/>
              <w:jc w:val="center"/>
            </w:pPr>
            <w:r>
              <w:rPr>
                <w:rFonts w:ascii="宋体" w:hAnsi="宋体" w:eastAsia="宋体"/>
                <w:b w:val="0"/>
                <w:i w:val="0"/>
                <w:sz w:val="18"/>
              </w:rPr>
              <w:t>按照完成比例赋分</w:t>
            </w:r>
          </w:p>
        </w:tc>
        <w:tc>
          <w:tcPr>
            <w:tcW w:w="603" w:type="dxa"/>
            <w:tcBorders>
              <w:top w:val="single" w:color="auto" w:sz="10" w:space="0"/>
              <w:left w:val="single" w:color="auto" w:sz="10" w:space="0"/>
              <w:bottom w:val="single" w:color="auto" w:sz="10" w:space="0"/>
              <w:right w:val="single" w:color="auto" w:sz="10" w:space="0"/>
              <w:insideV w:val="single" w:sz="10" w:space="0"/>
            </w:tcBorders>
            <w:vAlign w:val="center"/>
          </w:tcPr>
          <w:p w14:paraId="3DF8DD64">
            <w:pPr>
              <w:spacing w:before="0" w:after="0" w:line="240" w:lineRule="auto"/>
              <w:jc w:val="center"/>
            </w:pPr>
            <w:r>
              <w:rPr>
                <w:rFonts w:ascii="宋体" w:hAnsi="宋体" w:eastAsia="宋体"/>
                <w:b w:val="0"/>
                <w:i w:val="0"/>
                <w:sz w:val="18"/>
              </w:rPr>
              <w:t>工作资料</w:t>
            </w:r>
          </w:p>
        </w:tc>
        <w:tc>
          <w:tcPr>
            <w:tcW w:w="1402" w:type="dxa"/>
            <w:tcBorders>
              <w:top w:val="single" w:color="auto" w:sz="10" w:space="0"/>
              <w:left w:val="single" w:color="auto" w:sz="10" w:space="0"/>
              <w:bottom w:val="single" w:color="auto" w:sz="10" w:space="0"/>
              <w:right w:val="single" w:color="auto" w:sz="10" w:space="0"/>
              <w:insideV w:val="single" w:sz="10" w:space="0"/>
            </w:tcBorders>
            <w:vAlign w:val="center"/>
          </w:tcPr>
          <w:p w14:paraId="5EAF52EE">
            <w:pPr>
              <w:spacing w:before="0" w:after="0" w:line="240" w:lineRule="auto"/>
              <w:jc w:val="center"/>
            </w:pPr>
          </w:p>
        </w:tc>
      </w:tr>
      <w:tr w14:paraId="486A212C">
        <w:tblPrEx>
          <w:tblCellMar>
            <w:top w:w="36" w:type="dxa"/>
            <w:left w:w="36" w:type="dxa"/>
            <w:bottom w:w="36" w:type="dxa"/>
            <w:right w:w="36" w:type="dxa"/>
          </w:tblCellMar>
        </w:tblPrEx>
        <w:trPr>
          <w:trHeight w:val="380" w:hRule="atLeast"/>
        </w:trPr>
        <w:tc>
          <w:tcPr>
            <w:tcW w:w="355" w:type="dxa"/>
            <w:vMerge w:val="continue"/>
            <w:tcBorders>
              <w:top w:val="single" w:color="auto" w:sz="10" w:space="0"/>
              <w:left w:val="single" w:color="auto" w:sz="10" w:space="0"/>
              <w:bottom w:val="single" w:color="auto" w:sz="10" w:space="0"/>
              <w:right w:val="single" w:color="auto" w:sz="10" w:space="0"/>
              <w:insideV w:val="single" w:sz="10" w:space="0"/>
            </w:tcBorders>
          </w:tcPr>
          <w:p w14:paraId="6AD1A841"/>
        </w:tc>
        <w:tc>
          <w:tcPr>
            <w:tcW w:w="497" w:type="dxa"/>
            <w:vMerge w:val="continue"/>
            <w:tcBorders>
              <w:top w:val="single" w:color="auto" w:sz="10" w:space="0"/>
              <w:left w:val="single" w:color="auto" w:sz="10" w:space="0"/>
              <w:bottom w:val="single" w:color="auto" w:sz="10" w:space="0"/>
              <w:right w:val="single" w:color="auto" w:sz="10" w:space="0"/>
              <w:insideV w:val="single" w:sz="10" w:space="0"/>
            </w:tcBorders>
          </w:tcPr>
          <w:p w14:paraId="42EF0BE5"/>
        </w:tc>
        <w:tc>
          <w:tcPr>
            <w:tcW w:w="497" w:type="dxa"/>
            <w:tcBorders>
              <w:top w:val="single" w:color="auto" w:sz="10" w:space="0"/>
              <w:left w:val="single" w:color="auto" w:sz="10" w:space="0"/>
              <w:bottom w:val="single" w:color="auto" w:sz="10" w:space="0"/>
              <w:right w:val="single" w:color="auto" w:sz="10" w:space="0"/>
              <w:insideV w:val="single" w:sz="10" w:space="0"/>
            </w:tcBorders>
            <w:vAlign w:val="center"/>
          </w:tcPr>
          <w:p w14:paraId="5899968D">
            <w:pPr>
              <w:spacing w:before="0" w:after="0" w:line="240" w:lineRule="auto"/>
              <w:jc w:val="center"/>
            </w:pPr>
            <w:r>
              <w:rPr>
                <w:rFonts w:ascii="宋体" w:hAnsi="宋体" w:eastAsia="宋体"/>
                <w:b w:val="0"/>
                <w:i w:val="0"/>
                <w:sz w:val="18"/>
              </w:rPr>
              <w:t>数量指标</w:t>
            </w:r>
          </w:p>
        </w:tc>
        <w:tc>
          <w:tcPr>
            <w:tcW w:w="653" w:type="dxa"/>
            <w:tcBorders>
              <w:top w:val="single" w:color="auto" w:sz="10" w:space="0"/>
              <w:left w:val="single" w:color="auto" w:sz="10" w:space="0"/>
              <w:bottom w:val="single" w:color="auto" w:sz="10" w:space="0"/>
              <w:right w:val="single" w:color="auto" w:sz="10" w:space="0"/>
              <w:insideV w:val="single" w:sz="10" w:space="0"/>
            </w:tcBorders>
            <w:vAlign w:val="center"/>
          </w:tcPr>
          <w:p w14:paraId="261F14D9">
            <w:pPr>
              <w:spacing w:before="0" w:after="0" w:line="240" w:lineRule="auto"/>
              <w:jc w:val="center"/>
            </w:pPr>
            <w:r>
              <w:rPr>
                <w:rFonts w:ascii="宋体" w:hAnsi="宋体" w:eastAsia="宋体"/>
                <w:b w:val="0"/>
                <w:i w:val="0"/>
                <w:color w:val="000000"/>
                <w:sz w:val="18"/>
              </w:rPr>
              <w:t>人员工资发放人数</w:t>
            </w:r>
          </w:p>
        </w:tc>
        <w:tc>
          <w:tcPr>
            <w:tcW w:w="813" w:type="dxa"/>
            <w:tcBorders>
              <w:top w:val="single" w:color="auto" w:sz="10" w:space="0"/>
              <w:left w:val="single" w:color="auto" w:sz="10" w:space="0"/>
              <w:bottom w:val="single" w:color="auto" w:sz="10" w:space="0"/>
              <w:right w:val="single" w:color="auto" w:sz="10" w:space="0"/>
              <w:insideV w:val="single" w:sz="10" w:space="0"/>
            </w:tcBorders>
            <w:vAlign w:val="center"/>
          </w:tcPr>
          <w:p w14:paraId="3C4D424C">
            <w:pPr>
              <w:spacing w:before="0" w:after="0" w:line="240" w:lineRule="auto"/>
              <w:jc w:val="center"/>
            </w:pPr>
            <w:r>
              <w:rPr>
                <w:rFonts w:ascii="宋体" w:hAnsi="宋体" w:eastAsia="宋体"/>
                <w:b w:val="0"/>
                <w:i w:val="0"/>
                <w:sz w:val="18"/>
              </w:rPr>
              <w:t>8</w:t>
            </w:r>
          </w:p>
        </w:tc>
        <w:tc>
          <w:tcPr>
            <w:tcW w:w="391" w:type="dxa"/>
            <w:tcBorders>
              <w:top w:val="single" w:color="auto" w:sz="10" w:space="0"/>
              <w:left w:val="single" w:color="auto" w:sz="10" w:space="0"/>
              <w:bottom w:val="single" w:color="auto" w:sz="10" w:space="0"/>
              <w:right w:val="single" w:color="auto" w:sz="10" w:space="0"/>
              <w:insideV w:val="single" w:sz="10" w:space="0"/>
            </w:tcBorders>
            <w:vAlign w:val="center"/>
          </w:tcPr>
          <w:p w14:paraId="694F9EC2">
            <w:pPr>
              <w:spacing w:before="0" w:after="0" w:line="240" w:lineRule="auto"/>
              <w:jc w:val="center"/>
            </w:pPr>
            <w:r>
              <w:rPr>
                <w:rFonts w:ascii="宋体" w:hAnsi="宋体" w:eastAsia="宋体"/>
                <w:b w:val="0"/>
                <w:i w:val="0"/>
                <w:sz w:val="18"/>
              </w:rPr>
              <w:t>&gt;=161人</w:t>
            </w:r>
          </w:p>
        </w:tc>
        <w:tc>
          <w:tcPr>
            <w:tcW w:w="497" w:type="dxa"/>
            <w:tcBorders>
              <w:top w:val="single" w:color="auto" w:sz="10" w:space="0"/>
              <w:left w:val="single" w:color="auto" w:sz="10" w:space="0"/>
              <w:bottom w:val="single" w:color="auto" w:sz="10" w:space="0"/>
              <w:right w:val="single" w:color="auto" w:sz="10" w:space="0"/>
              <w:insideV w:val="single" w:sz="10" w:space="0"/>
            </w:tcBorders>
            <w:vAlign w:val="center"/>
          </w:tcPr>
          <w:p w14:paraId="1E39A560">
            <w:pPr>
              <w:spacing w:before="0" w:after="0" w:line="240" w:lineRule="auto"/>
              <w:jc w:val="center"/>
            </w:pPr>
            <w:r>
              <w:rPr>
                <w:rFonts w:ascii="宋体" w:hAnsi="宋体" w:eastAsia="宋体"/>
                <w:b w:val="0"/>
                <w:i w:val="0"/>
                <w:sz w:val="18"/>
              </w:rPr>
              <w:t>=161人</w:t>
            </w:r>
          </w:p>
        </w:tc>
        <w:tc>
          <w:tcPr>
            <w:tcW w:w="497" w:type="dxa"/>
            <w:tcBorders>
              <w:top w:val="single" w:color="auto" w:sz="10" w:space="0"/>
              <w:left w:val="single" w:color="auto" w:sz="10" w:space="0"/>
              <w:bottom w:val="single" w:color="auto" w:sz="10" w:space="0"/>
              <w:right w:val="single" w:color="auto" w:sz="10" w:space="0"/>
              <w:insideV w:val="single" w:sz="10" w:space="0"/>
            </w:tcBorders>
            <w:vAlign w:val="center"/>
          </w:tcPr>
          <w:p w14:paraId="04637C92">
            <w:pPr>
              <w:spacing w:before="0" w:after="0" w:line="240" w:lineRule="auto"/>
              <w:jc w:val="center"/>
            </w:pPr>
            <w:r>
              <w:rPr>
                <w:rFonts w:ascii="宋体" w:hAnsi="宋体" w:eastAsia="宋体"/>
                <w:b w:val="0"/>
                <w:i w:val="0"/>
                <w:sz w:val="18"/>
              </w:rPr>
              <w:t>100%</w:t>
            </w:r>
          </w:p>
        </w:tc>
        <w:tc>
          <w:tcPr>
            <w:tcW w:w="497" w:type="dxa"/>
            <w:tcBorders>
              <w:top w:val="single" w:color="auto" w:sz="10" w:space="0"/>
              <w:left w:val="single" w:color="auto" w:sz="10" w:space="0"/>
              <w:bottom w:val="single" w:color="auto" w:sz="10" w:space="0"/>
              <w:right w:val="single" w:color="auto" w:sz="10" w:space="0"/>
              <w:insideV w:val="single" w:sz="10" w:space="0"/>
            </w:tcBorders>
            <w:vAlign w:val="center"/>
          </w:tcPr>
          <w:p w14:paraId="5D8D2976">
            <w:pPr>
              <w:spacing w:before="0" w:after="0" w:line="240" w:lineRule="auto"/>
              <w:jc w:val="center"/>
            </w:pPr>
            <w:r>
              <w:rPr>
                <w:rFonts w:ascii="宋体" w:hAnsi="宋体" w:eastAsia="宋体"/>
                <w:b w:val="0"/>
                <w:i w:val="0"/>
                <w:sz w:val="18"/>
              </w:rPr>
              <w:t>8</w:t>
            </w:r>
          </w:p>
        </w:tc>
        <w:tc>
          <w:tcPr>
            <w:tcW w:w="497" w:type="dxa"/>
            <w:tcBorders>
              <w:top w:val="single" w:color="auto" w:sz="10" w:space="0"/>
              <w:left w:val="single" w:color="auto" w:sz="10" w:space="0"/>
              <w:bottom w:val="single" w:color="auto" w:sz="10" w:space="0"/>
              <w:right w:val="single" w:color="auto" w:sz="10" w:space="0"/>
              <w:insideV w:val="single" w:sz="10" w:space="0"/>
            </w:tcBorders>
            <w:vAlign w:val="center"/>
          </w:tcPr>
          <w:p w14:paraId="49D91924">
            <w:pPr>
              <w:spacing w:before="0" w:after="0" w:line="240" w:lineRule="auto"/>
              <w:jc w:val="center"/>
            </w:pPr>
            <w:r>
              <w:rPr>
                <w:rFonts w:ascii="宋体" w:hAnsi="宋体" w:eastAsia="宋体"/>
                <w:b w:val="0"/>
                <w:i w:val="0"/>
                <w:sz w:val="18"/>
              </w:rPr>
              <w:t>计划标准</w:t>
            </w:r>
          </w:p>
        </w:tc>
        <w:tc>
          <w:tcPr>
            <w:tcW w:w="497" w:type="dxa"/>
            <w:tcBorders>
              <w:top w:val="single" w:color="auto" w:sz="10" w:space="0"/>
              <w:left w:val="single" w:color="auto" w:sz="10" w:space="0"/>
              <w:bottom w:val="single" w:color="auto" w:sz="10" w:space="0"/>
              <w:right w:val="single" w:color="auto" w:sz="10" w:space="0"/>
              <w:insideV w:val="single" w:sz="10" w:space="0"/>
            </w:tcBorders>
            <w:vAlign w:val="center"/>
          </w:tcPr>
          <w:p w14:paraId="2ADAE896">
            <w:pPr>
              <w:spacing w:before="0" w:after="0" w:line="240" w:lineRule="auto"/>
              <w:jc w:val="center"/>
            </w:pPr>
            <w:r>
              <w:rPr>
                <w:rFonts w:ascii="宋体" w:hAnsi="宋体" w:eastAsia="宋体"/>
                <w:b w:val="0"/>
                <w:i w:val="0"/>
                <w:sz w:val="18"/>
              </w:rPr>
              <w:t>-</w:t>
            </w:r>
          </w:p>
        </w:tc>
        <w:tc>
          <w:tcPr>
            <w:tcW w:w="680" w:type="dxa"/>
            <w:tcBorders>
              <w:top w:val="single" w:color="auto" w:sz="10" w:space="0"/>
              <w:left w:val="single" w:color="auto" w:sz="10" w:space="0"/>
              <w:bottom w:val="single" w:color="auto" w:sz="10" w:space="0"/>
              <w:right w:val="single" w:color="auto" w:sz="10" w:space="0"/>
              <w:insideV w:val="single" w:sz="10" w:space="0"/>
            </w:tcBorders>
            <w:vAlign w:val="center"/>
          </w:tcPr>
          <w:p w14:paraId="3F7A0F4A">
            <w:pPr>
              <w:spacing w:before="0" w:after="0" w:line="240" w:lineRule="auto"/>
              <w:jc w:val="center"/>
            </w:pPr>
            <w:r>
              <w:rPr>
                <w:rFonts w:ascii="宋体" w:hAnsi="宋体" w:eastAsia="宋体"/>
                <w:b w:val="0"/>
                <w:i w:val="0"/>
                <w:sz w:val="18"/>
              </w:rPr>
              <w:t>按照完成比例赋分</w:t>
            </w:r>
          </w:p>
        </w:tc>
        <w:tc>
          <w:tcPr>
            <w:tcW w:w="603" w:type="dxa"/>
            <w:tcBorders>
              <w:top w:val="single" w:color="auto" w:sz="10" w:space="0"/>
              <w:left w:val="single" w:color="auto" w:sz="10" w:space="0"/>
              <w:bottom w:val="single" w:color="auto" w:sz="10" w:space="0"/>
              <w:right w:val="single" w:color="auto" w:sz="10" w:space="0"/>
              <w:insideV w:val="single" w:sz="10" w:space="0"/>
            </w:tcBorders>
            <w:vAlign w:val="center"/>
          </w:tcPr>
          <w:p w14:paraId="6D57FA30">
            <w:pPr>
              <w:spacing w:before="0" w:after="0" w:line="240" w:lineRule="auto"/>
              <w:jc w:val="center"/>
            </w:pPr>
            <w:r>
              <w:rPr>
                <w:rFonts w:ascii="宋体" w:hAnsi="宋体" w:eastAsia="宋体"/>
                <w:b w:val="0"/>
                <w:i w:val="0"/>
                <w:sz w:val="18"/>
              </w:rPr>
              <w:t>工作资料</w:t>
            </w:r>
          </w:p>
        </w:tc>
        <w:tc>
          <w:tcPr>
            <w:tcW w:w="1402" w:type="dxa"/>
            <w:tcBorders>
              <w:top w:val="single" w:color="auto" w:sz="10" w:space="0"/>
              <w:left w:val="single" w:color="auto" w:sz="10" w:space="0"/>
              <w:bottom w:val="single" w:color="auto" w:sz="10" w:space="0"/>
              <w:right w:val="single" w:color="auto" w:sz="10" w:space="0"/>
              <w:insideV w:val="single" w:sz="10" w:space="0"/>
            </w:tcBorders>
            <w:vAlign w:val="center"/>
          </w:tcPr>
          <w:p w14:paraId="7BCAE19E">
            <w:pPr>
              <w:spacing w:before="0" w:after="0" w:line="240" w:lineRule="auto"/>
              <w:jc w:val="center"/>
            </w:pPr>
          </w:p>
        </w:tc>
      </w:tr>
      <w:tr w14:paraId="02445A09">
        <w:tblPrEx>
          <w:tblCellMar>
            <w:top w:w="36" w:type="dxa"/>
            <w:left w:w="36" w:type="dxa"/>
            <w:bottom w:w="36" w:type="dxa"/>
            <w:right w:w="36" w:type="dxa"/>
          </w:tblCellMar>
        </w:tblPrEx>
        <w:trPr>
          <w:trHeight w:val="380" w:hRule="atLeast"/>
        </w:trPr>
        <w:tc>
          <w:tcPr>
            <w:tcW w:w="355" w:type="dxa"/>
            <w:vMerge w:val="continue"/>
            <w:tcBorders>
              <w:top w:val="single" w:color="auto" w:sz="10" w:space="0"/>
              <w:left w:val="single" w:color="auto" w:sz="10" w:space="0"/>
              <w:bottom w:val="single" w:color="auto" w:sz="10" w:space="0"/>
              <w:right w:val="single" w:color="auto" w:sz="10" w:space="0"/>
              <w:insideV w:val="single" w:sz="10" w:space="0"/>
            </w:tcBorders>
          </w:tcPr>
          <w:p w14:paraId="0B084C1A"/>
        </w:tc>
        <w:tc>
          <w:tcPr>
            <w:tcW w:w="497" w:type="dxa"/>
            <w:vMerge w:val="continue"/>
            <w:tcBorders>
              <w:top w:val="single" w:color="auto" w:sz="10" w:space="0"/>
              <w:left w:val="single" w:color="auto" w:sz="10" w:space="0"/>
              <w:bottom w:val="single" w:color="auto" w:sz="10" w:space="0"/>
              <w:right w:val="single" w:color="auto" w:sz="10" w:space="0"/>
              <w:insideV w:val="single" w:sz="10" w:space="0"/>
            </w:tcBorders>
          </w:tcPr>
          <w:p w14:paraId="220C0E3F"/>
        </w:tc>
        <w:tc>
          <w:tcPr>
            <w:tcW w:w="497" w:type="dxa"/>
            <w:tcBorders>
              <w:top w:val="single" w:color="auto" w:sz="10" w:space="0"/>
              <w:left w:val="single" w:color="auto" w:sz="10" w:space="0"/>
              <w:bottom w:val="single" w:color="auto" w:sz="10" w:space="0"/>
              <w:right w:val="single" w:color="auto" w:sz="10" w:space="0"/>
              <w:insideV w:val="single" w:sz="10" w:space="0"/>
            </w:tcBorders>
            <w:vAlign w:val="center"/>
          </w:tcPr>
          <w:p w14:paraId="51056679">
            <w:pPr>
              <w:spacing w:before="0" w:after="0" w:line="240" w:lineRule="auto"/>
              <w:jc w:val="center"/>
            </w:pPr>
            <w:r>
              <w:rPr>
                <w:rFonts w:ascii="宋体" w:hAnsi="宋体" w:eastAsia="宋体"/>
                <w:b w:val="0"/>
                <w:i w:val="0"/>
                <w:sz w:val="18"/>
              </w:rPr>
              <w:t>数量指标</w:t>
            </w:r>
          </w:p>
        </w:tc>
        <w:tc>
          <w:tcPr>
            <w:tcW w:w="653" w:type="dxa"/>
            <w:tcBorders>
              <w:top w:val="single" w:color="auto" w:sz="10" w:space="0"/>
              <w:left w:val="single" w:color="auto" w:sz="10" w:space="0"/>
              <w:bottom w:val="single" w:color="auto" w:sz="10" w:space="0"/>
              <w:right w:val="single" w:color="auto" w:sz="10" w:space="0"/>
              <w:insideV w:val="single" w:sz="10" w:space="0"/>
            </w:tcBorders>
            <w:vAlign w:val="center"/>
          </w:tcPr>
          <w:p w14:paraId="1480084D">
            <w:pPr>
              <w:spacing w:before="0" w:after="0" w:line="240" w:lineRule="auto"/>
              <w:jc w:val="center"/>
            </w:pPr>
            <w:r>
              <w:rPr>
                <w:rFonts w:ascii="宋体" w:hAnsi="宋体" w:eastAsia="宋体"/>
                <w:b w:val="0"/>
                <w:i w:val="0"/>
                <w:color w:val="000000"/>
                <w:sz w:val="18"/>
              </w:rPr>
              <w:t>流域规划修编报告</w:t>
            </w:r>
          </w:p>
        </w:tc>
        <w:tc>
          <w:tcPr>
            <w:tcW w:w="813" w:type="dxa"/>
            <w:tcBorders>
              <w:top w:val="single" w:color="auto" w:sz="10" w:space="0"/>
              <w:left w:val="single" w:color="auto" w:sz="10" w:space="0"/>
              <w:bottom w:val="single" w:color="auto" w:sz="10" w:space="0"/>
              <w:right w:val="single" w:color="auto" w:sz="10" w:space="0"/>
              <w:insideV w:val="single" w:sz="10" w:space="0"/>
            </w:tcBorders>
            <w:vAlign w:val="center"/>
          </w:tcPr>
          <w:p w14:paraId="784E24CF">
            <w:pPr>
              <w:spacing w:before="0" w:after="0" w:line="240" w:lineRule="auto"/>
              <w:jc w:val="center"/>
            </w:pPr>
            <w:r>
              <w:rPr>
                <w:rFonts w:ascii="宋体" w:hAnsi="宋体" w:eastAsia="宋体"/>
                <w:b w:val="0"/>
                <w:i w:val="0"/>
                <w:sz w:val="18"/>
              </w:rPr>
              <w:t>7</w:t>
            </w:r>
          </w:p>
        </w:tc>
        <w:tc>
          <w:tcPr>
            <w:tcW w:w="391" w:type="dxa"/>
            <w:tcBorders>
              <w:top w:val="single" w:color="auto" w:sz="10" w:space="0"/>
              <w:left w:val="single" w:color="auto" w:sz="10" w:space="0"/>
              <w:bottom w:val="single" w:color="auto" w:sz="10" w:space="0"/>
              <w:right w:val="single" w:color="auto" w:sz="10" w:space="0"/>
              <w:insideV w:val="single" w:sz="10" w:space="0"/>
            </w:tcBorders>
            <w:vAlign w:val="center"/>
          </w:tcPr>
          <w:p w14:paraId="15360C70">
            <w:pPr>
              <w:spacing w:before="0" w:after="0" w:line="240" w:lineRule="auto"/>
              <w:jc w:val="center"/>
            </w:pPr>
            <w:r>
              <w:rPr>
                <w:rFonts w:ascii="宋体" w:hAnsi="宋体" w:eastAsia="宋体"/>
                <w:b w:val="0"/>
                <w:i w:val="0"/>
                <w:sz w:val="18"/>
              </w:rPr>
              <w:t>=1本</w:t>
            </w:r>
          </w:p>
        </w:tc>
        <w:tc>
          <w:tcPr>
            <w:tcW w:w="497" w:type="dxa"/>
            <w:tcBorders>
              <w:top w:val="single" w:color="auto" w:sz="10" w:space="0"/>
              <w:left w:val="single" w:color="auto" w:sz="10" w:space="0"/>
              <w:bottom w:val="single" w:color="auto" w:sz="10" w:space="0"/>
              <w:right w:val="single" w:color="auto" w:sz="10" w:space="0"/>
              <w:insideV w:val="single" w:sz="10" w:space="0"/>
            </w:tcBorders>
            <w:vAlign w:val="center"/>
          </w:tcPr>
          <w:p w14:paraId="5284ED1E">
            <w:pPr>
              <w:spacing w:before="0" w:after="0" w:line="240" w:lineRule="auto"/>
              <w:jc w:val="center"/>
            </w:pPr>
            <w:r>
              <w:rPr>
                <w:rFonts w:ascii="宋体" w:hAnsi="宋体" w:eastAsia="宋体"/>
                <w:b w:val="0"/>
                <w:i w:val="0"/>
                <w:sz w:val="18"/>
              </w:rPr>
              <w:t>=1本</w:t>
            </w:r>
          </w:p>
        </w:tc>
        <w:tc>
          <w:tcPr>
            <w:tcW w:w="497" w:type="dxa"/>
            <w:tcBorders>
              <w:top w:val="single" w:color="auto" w:sz="10" w:space="0"/>
              <w:left w:val="single" w:color="auto" w:sz="10" w:space="0"/>
              <w:bottom w:val="single" w:color="auto" w:sz="10" w:space="0"/>
              <w:right w:val="single" w:color="auto" w:sz="10" w:space="0"/>
              <w:insideV w:val="single" w:sz="10" w:space="0"/>
            </w:tcBorders>
            <w:vAlign w:val="center"/>
          </w:tcPr>
          <w:p w14:paraId="6B1F7D1A">
            <w:pPr>
              <w:spacing w:before="0" w:after="0" w:line="240" w:lineRule="auto"/>
              <w:jc w:val="center"/>
            </w:pPr>
            <w:r>
              <w:rPr>
                <w:rFonts w:ascii="宋体" w:hAnsi="宋体" w:eastAsia="宋体"/>
                <w:b w:val="0"/>
                <w:i w:val="0"/>
                <w:sz w:val="18"/>
              </w:rPr>
              <w:t>100%</w:t>
            </w:r>
          </w:p>
        </w:tc>
        <w:tc>
          <w:tcPr>
            <w:tcW w:w="497" w:type="dxa"/>
            <w:tcBorders>
              <w:top w:val="single" w:color="auto" w:sz="10" w:space="0"/>
              <w:left w:val="single" w:color="auto" w:sz="10" w:space="0"/>
              <w:bottom w:val="single" w:color="auto" w:sz="10" w:space="0"/>
              <w:right w:val="single" w:color="auto" w:sz="10" w:space="0"/>
              <w:insideV w:val="single" w:sz="10" w:space="0"/>
            </w:tcBorders>
            <w:vAlign w:val="center"/>
          </w:tcPr>
          <w:p w14:paraId="69D5B1E5">
            <w:pPr>
              <w:spacing w:before="0" w:after="0" w:line="240" w:lineRule="auto"/>
              <w:jc w:val="center"/>
            </w:pPr>
            <w:r>
              <w:rPr>
                <w:rFonts w:ascii="宋体" w:hAnsi="宋体" w:eastAsia="宋体"/>
                <w:b w:val="0"/>
                <w:i w:val="0"/>
                <w:sz w:val="18"/>
              </w:rPr>
              <w:t>7</w:t>
            </w:r>
          </w:p>
        </w:tc>
        <w:tc>
          <w:tcPr>
            <w:tcW w:w="497" w:type="dxa"/>
            <w:tcBorders>
              <w:top w:val="single" w:color="auto" w:sz="10" w:space="0"/>
              <w:left w:val="single" w:color="auto" w:sz="10" w:space="0"/>
              <w:bottom w:val="single" w:color="auto" w:sz="10" w:space="0"/>
              <w:right w:val="single" w:color="auto" w:sz="10" w:space="0"/>
              <w:insideV w:val="single" w:sz="10" w:space="0"/>
            </w:tcBorders>
            <w:vAlign w:val="center"/>
          </w:tcPr>
          <w:p w14:paraId="654D1501">
            <w:pPr>
              <w:spacing w:before="0" w:after="0" w:line="240" w:lineRule="auto"/>
              <w:jc w:val="center"/>
            </w:pPr>
            <w:r>
              <w:rPr>
                <w:rFonts w:ascii="宋体" w:hAnsi="宋体" w:eastAsia="宋体"/>
                <w:b w:val="0"/>
                <w:i w:val="0"/>
                <w:sz w:val="18"/>
              </w:rPr>
              <w:t>计划标准</w:t>
            </w:r>
          </w:p>
        </w:tc>
        <w:tc>
          <w:tcPr>
            <w:tcW w:w="497" w:type="dxa"/>
            <w:tcBorders>
              <w:top w:val="single" w:color="auto" w:sz="10" w:space="0"/>
              <w:left w:val="single" w:color="auto" w:sz="10" w:space="0"/>
              <w:bottom w:val="single" w:color="auto" w:sz="10" w:space="0"/>
              <w:right w:val="single" w:color="auto" w:sz="10" w:space="0"/>
              <w:insideV w:val="single" w:sz="10" w:space="0"/>
            </w:tcBorders>
            <w:vAlign w:val="center"/>
          </w:tcPr>
          <w:p w14:paraId="0E346AF9">
            <w:pPr>
              <w:spacing w:before="0" w:after="0" w:line="240" w:lineRule="auto"/>
              <w:jc w:val="center"/>
            </w:pPr>
            <w:r>
              <w:rPr>
                <w:rFonts w:ascii="宋体" w:hAnsi="宋体" w:eastAsia="宋体"/>
                <w:b w:val="0"/>
                <w:i w:val="0"/>
                <w:sz w:val="18"/>
              </w:rPr>
              <w:t>-</w:t>
            </w:r>
          </w:p>
        </w:tc>
        <w:tc>
          <w:tcPr>
            <w:tcW w:w="680" w:type="dxa"/>
            <w:tcBorders>
              <w:top w:val="single" w:color="auto" w:sz="10" w:space="0"/>
              <w:left w:val="single" w:color="auto" w:sz="10" w:space="0"/>
              <w:bottom w:val="single" w:color="auto" w:sz="10" w:space="0"/>
              <w:right w:val="single" w:color="auto" w:sz="10" w:space="0"/>
              <w:insideV w:val="single" w:sz="10" w:space="0"/>
            </w:tcBorders>
            <w:vAlign w:val="center"/>
          </w:tcPr>
          <w:p w14:paraId="5C396D9D">
            <w:pPr>
              <w:spacing w:before="0" w:after="0" w:line="240" w:lineRule="auto"/>
              <w:jc w:val="center"/>
            </w:pPr>
            <w:r>
              <w:rPr>
                <w:rFonts w:ascii="宋体" w:hAnsi="宋体" w:eastAsia="宋体"/>
                <w:b w:val="0"/>
                <w:i w:val="0"/>
                <w:sz w:val="18"/>
              </w:rPr>
              <w:t>按照完成比例赋分</w:t>
            </w:r>
          </w:p>
        </w:tc>
        <w:tc>
          <w:tcPr>
            <w:tcW w:w="603" w:type="dxa"/>
            <w:tcBorders>
              <w:top w:val="single" w:color="auto" w:sz="10" w:space="0"/>
              <w:left w:val="single" w:color="auto" w:sz="10" w:space="0"/>
              <w:bottom w:val="single" w:color="auto" w:sz="10" w:space="0"/>
              <w:right w:val="single" w:color="auto" w:sz="10" w:space="0"/>
              <w:insideV w:val="single" w:sz="10" w:space="0"/>
            </w:tcBorders>
            <w:vAlign w:val="center"/>
          </w:tcPr>
          <w:p w14:paraId="42EFF217">
            <w:pPr>
              <w:spacing w:before="0" w:after="0" w:line="240" w:lineRule="auto"/>
              <w:jc w:val="center"/>
            </w:pPr>
            <w:r>
              <w:rPr>
                <w:rFonts w:ascii="宋体" w:hAnsi="宋体" w:eastAsia="宋体"/>
                <w:b w:val="0"/>
                <w:i w:val="0"/>
                <w:sz w:val="18"/>
              </w:rPr>
              <w:t>工作资料</w:t>
            </w:r>
          </w:p>
        </w:tc>
        <w:tc>
          <w:tcPr>
            <w:tcW w:w="1402" w:type="dxa"/>
            <w:tcBorders>
              <w:top w:val="single" w:color="auto" w:sz="10" w:space="0"/>
              <w:left w:val="single" w:color="auto" w:sz="10" w:space="0"/>
              <w:bottom w:val="single" w:color="auto" w:sz="10" w:space="0"/>
              <w:right w:val="single" w:color="auto" w:sz="10" w:space="0"/>
              <w:insideV w:val="single" w:sz="10" w:space="0"/>
            </w:tcBorders>
            <w:vAlign w:val="center"/>
          </w:tcPr>
          <w:p w14:paraId="4452B424">
            <w:pPr>
              <w:spacing w:before="0" w:after="0" w:line="240" w:lineRule="auto"/>
              <w:jc w:val="center"/>
            </w:pPr>
          </w:p>
        </w:tc>
      </w:tr>
      <w:tr w14:paraId="326A6EFE">
        <w:tblPrEx>
          <w:tblCellMar>
            <w:top w:w="36" w:type="dxa"/>
            <w:left w:w="36" w:type="dxa"/>
            <w:bottom w:w="36" w:type="dxa"/>
            <w:right w:w="36" w:type="dxa"/>
          </w:tblCellMar>
        </w:tblPrEx>
        <w:trPr>
          <w:trHeight w:val="380" w:hRule="atLeast"/>
        </w:trPr>
        <w:tc>
          <w:tcPr>
            <w:tcW w:w="355" w:type="dxa"/>
            <w:vMerge w:val="continue"/>
            <w:tcBorders>
              <w:top w:val="single" w:color="auto" w:sz="10" w:space="0"/>
              <w:left w:val="single" w:color="auto" w:sz="10" w:space="0"/>
              <w:bottom w:val="single" w:color="auto" w:sz="10" w:space="0"/>
              <w:right w:val="single" w:color="auto" w:sz="10" w:space="0"/>
              <w:insideV w:val="single" w:sz="10" w:space="0"/>
            </w:tcBorders>
          </w:tcPr>
          <w:p w14:paraId="38D03BAF"/>
        </w:tc>
        <w:tc>
          <w:tcPr>
            <w:tcW w:w="497" w:type="dxa"/>
            <w:vMerge w:val="continue"/>
            <w:tcBorders>
              <w:top w:val="single" w:color="auto" w:sz="10" w:space="0"/>
              <w:left w:val="single" w:color="auto" w:sz="10" w:space="0"/>
              <w:bottom w:val="single" w:color="auto" w:sz="10" w:space="0"/>
              <w:right w:val="single" w:color="auto" w:sz="10" w:space="0"/>
              <w:insideV w:val="single" w:sz="10" w:space="0"/>
            </w:tcBorders>
          </w:tcPr>
          <w:p w14:paraId="459D7381"/>
        </w:tc>
        <w:tc>
          <w:tcPr>
            <w:tcW w:w="497" w:type="dxa"/>
            <w:tcBorders>
              <w:top w:val="single" w:color="auto" w:sz="10" w:space="0"/>
              <w:left w:val="single" w:color="auto" w:sz="10" w:space="0"/>
              <w:bottom w:val="single" w:color="auto" w:sz="10" w:space="0"/>
              <w:right w:val="single" w:color="auto" w:sz="10" w:space="0"/>
              <w:insideV w:val="single" w:sz="10" w:space="0"/>
            </w:tcBorders>
            <w:vAlign w:val="center"/>
          </w:tcPr>
          <w:p w14:paraId="40B335F7">
            <w:pPr>
              <w:spacing w:before="0" w:after="0" w:line="240" w:lineRule="auto"/>
              <w:jc w:val="center"/>
            </w:pPr>
            <w:r>
              <w:rPr>
                <w:rFonts w:ascii="宋体" w:hAnsi="宋体" w:eastAsia="宋体"/>
                <w:b w:val="0"/>
                <w:i w:val="0"/>
                <w:sz w:val="18"/>
              </w:rPr>
              <w:t>数量指标</w:t>
            </w:r>
          </w:p>
        </w:tc>
        <w:tc>
          <w:tcPr>
            <w:tcW w:w="653" w:type="dxa"/>
            <w:tcBorders>
              <w:top w:val="single" w:color="auto" w:sz="10" w:space="0"/>
              <w:left w:val="single" w:color="auto" w:sz="10" w:space="0"/>
              <w:bottom w:val="single" w:color="auto" w:sz="10" w:space="0"/>
              <w:right w:val="single" w:color="auto" w:sz="10" w:space="0"/>
              <w:insideV w:val="single" w:sz="10" w:space="0"/>
            </w:tcBorders>
            <w:vAlign w:val="center"/>
          </w:tcPr>
          <w:p w14:paraId="59C1B657">
            <w:pPr>
              <w:spacing w:before="0" w:after="0" w:line="240" w:lineRule="auto"/>
              <w:jc w:val="center"/>
            </w:pPr>
            <w:r>
              <w:rPr>
                <w:rFonts w:ascii="宋体" w:hAnsi="宋体" w:eastAsia="宋体"/>
                <w:b w:val="0"/>
                <w:i w:val="0"/>
                <w:color w:val="000000"/>
                <w:sz w:val="18"/>
              </w:rPr>
              <w:t>水闸建筑改造数量</w:t>
            </w:r>
          </w:p>
        </w:tc>
        <w:tc>
          <w:tcPr>
            <w:tcW w:w="813" w:type="dxa"/>
            <w:tcBorders>
              <w:top w:val="single" w:color="auto" w:sz="10" w:space="0"/>
              <w:left w:val="single" w:color="auto" w:sz="10" w:space="0"/>
              <w:bottom w:val="single" w:color="auto" w:sz="10" w:space="0"/>
              <w:right w:val="single" w:color="auto" w:sz="10" w:space="0"/>
              <w:insideV w:val="single" w:sz="10" w:space="0"/>
            </w:tcBorders>
            <w:vAlign w:val="center"/>
          </w:tcPr>
          <w:p w14:paraId="4C7F5E36">
            <w:pPr>
              <w:spacing w:before="0" w:after="0" w:line="240" w:lineRule="auto"/>
              <w:jc w:val="center"/>
            </w:pPr>
            <w:r>
              <w:rPr>
                <w:rFonts w:ascii="宋体" w:hAnsi="宋体" w:eastAsia="宋体"/>
                <w:b w:val="0"/>
                <w:i w:val="0"/>
                <w:sz w:val="18"/>
              </w:rPr>
              <w:t>7</w:t>
            </w:r>
          </w:p>
        </w:tc>
        <w:tc>
          <w:tcPr>
            <w:tcW w:w="391" w:type="dxa"/>
            <w:tcBorders>
              <w:top w:val="single" w:color="auto" w:sz="10" w:space="0"/>
              <w:left w:val="single" w:color="auto" w:sz="10" w:space="0"/>
              <w:bottom w:val="single" w:color="auto" w:sz="10" w:space="0"/>
              <w:right w:val="single" w:color="auto" w:sz="10" w:space="0"/>
              <w:insideV w:val="single" w:sz="10" w:space="0"/>
            </w:tcBorders>
            <w:vAlign w:val="center"/>
          </w:tcPr>
          <w:p w14:paraId="0269C0DB">
            <w:pPr>
              <w:spacing w:before="0" w:after="0" w:line="240" w:lineRule="auto"/>
              <w:jc w:val="center"/>
            </w:pPr>
            <w:r>
              <w:rPr>
                <w:rFonts w:ascii="宋体" w:hAnsi="宋体" w:eastAsia="宋体"/>
                <w:b w:val="0"/>
                <w:i w:val="0"/>
                <w:sz w:val="18"/>
              </w:rPr>
              <w:t>&gt;=2座</w:t>
            </w:r>
          </w:p>
        </w:tc>
        <w:tc>
          <w:tcPr>
            <w:tcW w:w="497" w:type="dxa"/>
            <w:tcBorders>
              <w:top w:val="single" w:color="auto" w:sz="10" w:space="0"/>
              <w:left w:val="single" w:color="auto" w:sz="10" w:space="0"/>
              <w:bottom w:val="single" w:color="auto" w:sz="10" w:space="0"/>
              <w:right w:val="single" w:color="auto" w:sz="10" w:space="0"/>
              <w:insideV w:val="single" w:sz="10" w:space="0"/>
            </w:tcBorders>
            <w:vAlign w:val="center"/>
          </w:tcPr>
          <w:p w14:paraId="59934B4F">
            <w:pPr>
              <w:spacing w:before="0" w:after="0" w:line="240" w:lineRule="auto"/>
              <w:jc w:val="center"/>
            </w:pPr>
            <w:r>
              <w:rPr>
                <w:rFonts w:ascii="宋体" w:hAnsi="宋体" w:eastAsia="宋体"/>
                <w:b w:val="0"/>
                <w:i w:val="0"/>
                <w:sz w:val="18"/>
              </w:rPr>
              <w:t>=2座</w:t>
            </w:r>
          </w:p>
        </w:tc>
        <w:tc>
          <w:tcPr>
            <w:tcW w:w="497" w:type="dxa"/>
            <w:tcBorders>
              <w:top w:val="single" w:color="auto" w:sz="10" w:space="0"/>
              <w:left w:val="single" w:color="auto" w:sz="10" w:space="0"/>
              <w:bottom w:val="single" w:color="auto" w:sz="10" w:space="0"/>
              <w:right w:val="single" w:color="auto" w:sz="10" w:space="0"/>
              <w:insideV w:val="single" w:sz="10" w:space="0"/>
            </w:tcBorders>
            <w:vAlign w:val="center"/>
          </w:tcPr>
          <w:p w14:paraId="497304D6">
            <w:pPr>
              <w:spacing w:before="0" w:after="0" w:line="240" w:lineRule="auto"/>
              <w:jc w:val="center"/>
            </w:pPr>
            <w:r>
              <w:rPr>
                <w:rFonts w:ascii="宋体" w:hAnsi="宋体" w:eastAsia="宋体"/>
                <w:b w:val="0"/>
                <w:i w:val="0"/>
                <w:sz w:val="18"/>
              </w:rPr>
              <w:t>100%</w:t>
            </w:r>
          </w:p>
        </w:tc>
        <w:tc>
          <w:tcPr>
            <w:tcW w:w="497" w:type="dxa"/>
            <w:tcBorders>
              <w:top w:val="single" w:color="auto" w:sz="10" w:space="0"/>
              <w:left w:val="single" w:color="auto" w:sz="10" w:space="0"/>
              <w:bottom w:val="single" w:color="auto" w:sz="10" w:space="0"/>
              <w:right w:val="single" w:color="auto" w:sz="10" w:space="0"/>
              <w:insideV w:val="single" w:sz="10" w:space="0"/>
            </w:tcBorders>
            <w:vAlign w:val="center"/>
          </w:tcPr>
          <w:p w14:paraId="2A3E989B">
            <w:pPr>
              <w:spacing w:before="0" w:after="0" w:line="240" w:lineRule="auto"/>
              <w:jc w:val="center"/>
            </w:pPr>
            <w:r>
              <w:rPr>
                <w:rFonts w:ascii="宋体" w:hAnsi="宋体" w:eastAsia="宋体"/>
                <w:b w:val="0"/>
                <w:i w:val="0"/>
                <w:sz w:val="18"/>
              </w:rPr>
              <w:t>7</w:t>
            </w:r>
          </w:p>
        </w:tc>
        <w:tc>
          <w:tcPr>
            <w:tcW w:w="497" w:type="dxa"/>
            <w:tcBorders>
              <w:top w:val="single" w:color="auto" w:sz="10" w:space="0"/>
              <w:left w:val="single" w:color="auto" w:sz="10" w:space="0"/>
              <w:bottom w:val="single" w:color="auto" w:sz="10" w:space="0"/>
              <w:right w:val="single" w:color="auto" w:sz="10" w:space="0"/>
              <w:insideV w:val="single" w:sz="10" w:space="0"/>
            </w:tcBorders>
            <w:vAlign w:val="center"/>
          </w:tcPr>
          <w:p w14:paraId="45336E26">
            <w:pPr>
              <w:spacing w:before="0" w:after="0" w:line="240" w:lineRule="auto"/>
              <w:jc w:val="center"/>
            </w:pPr>
            <w:r>
              <w:rPr>
                <w:rFonts w:ascii="宋体" w:hAnsi="宋体" w:eastAsia="宋体"/>
                <w:b w:val="0"/>
                <w:i w:val="0"/>
                <w:sz w:val="18"/>
              </w:rPr>
              <w:t>计划标准</w:t>
            </w:r>
          </w:p>
        </w:tc>
        <w:tc>
          <w:tcPr>
            <w:tcW w:w="497" w:type="dxa"/>
            <w:tcBorders>
              <w:top w:val="single" w:color="auto" w:sz="10" w:space="0"/>
              <w:left w:val="single" w:color="auto" w:sz="10" w:space="0"/>
              <w:bottom w:val="single" w:color="auto" w:sz="10" w:space="0"/>
              <w:right w:val="single" w:color="auto" w:sz="10" w:space="0"/>
              <w:insideV w:val="single" w:sz="10" w:space="0"/>
            </w:tcBorders>
            <w:vAlign w:val="center"/>
          </w:tcPr>
          <w:p w14:paraId="01518316">
            <w:pPr>
              <w:spacing w:before="0" w:after="0" w:line="240" w:lineRule="auto"/>
              <w:jc w:val="center"/>
            </w:pPr>
            <w:r>
              <w:rPr>
                <w:rFonts w:ascii="宋体" w:hAnsi="宋体" w:eastAsia="宋体"/>
                <w:b w:val="0"/>
                <w:i w:val="0"/>
                <w:sz w:val="18"/>
              </w:rPr>
              <w:t>-</w:t>
            </w:r>
          </w:p>
        </w:tc>
        <w:tc>
          <w:tcPr>
            <w:tcW w:w="680" w:type="dxa"/>
            <w:tcBorders>
              <w:top w:val="single" w:color="auto" w:sz="10" w:space="0"/>
              <w:left w:val="single" w:color="auto" w:sz="10" w:space="0"/>
              <w:bottom w:val="single" w:color="auto" w:sz="10" w:space="0"/>
              <w:right w:val="single" w:color="auto" w:sz="10" w:space="0"/>
              <w:insideV w:val="single" w:sz="10" w:space="0"/>
            </w:tcBorders>
            <w:vAlign w:val="center"/>
          </w:tcPr>
          <w:p w14:paraId="4D5287CA">
            <w:pPr>
              <w:spacing w:before="0" w:after="0" w:line="240" w:lineRule="auto"/>
              <w:jc w:val="center"/>
            </w:pPr>
            <w:r>
              <w:rPr>
                <w:rFonts w:ascii="宋体" w:hAnsi="宋体" w:eastAsia="宋体"/>
                <w:b w:val="0"/>
                <w:i w:val="0"/>
                <w:sz w:val="18"/>
              </w:rPr>
              <w:t>按照完成比例赋分</w:t>
            </w:r>
          </w:p>
        </w:tc>
        <w:tc>
          <w:tcPr>
            <w:tcW w:w="603" w:type="dxa"/>
            <w:tcBorders>
              <w:top w:val="single" w:color="auto" w:sz="10" w:space="0"/>
              <w:left w:val="single" w:color="auto" w:sz="10" w:space="0"/>
              <w:bottom w:val="single" w:color="auto" w:sz="10" w:space="0"/>
              <w:right w:val="single" w:color="auto" w:sz="10" w:space="0"/>
              <w:insideV w:val="single" w:sz="10" w:space="0"/>
            </w:tcBorders>
            <w:vAlign w:val="center"/>
          </w:tcPr>
          <w:p w14:paraId="176415AF">
            <w:pPr>
              <w:spacing w:before="0" w:after="0" w:line="240" w:lineRule="auto"/>
              <w:jc w:val="center"/>
            </w:pPr>
            <w:r>
              <w:rPr>
                <w:rFonts w:ascii="宋体" w:hAnsi="宋体" w:eastAsia="宋体"/>
                <w:b w:val="0"/>
                <w:i w:val="0"/>
                <w:sz w:val="18"/>
              </w:rPr>
              <w:t>工作资料</w:t>
            </w:r>
          </w:p>
        </w:tc>
        <w:tc>
          <w:tcPr>
            <w:tcW w:w="1402" w:type="dxa"/>
            <w:tcBorders>
              <w:top w:val="single" w:color="auto" w:sz="10" w:space="0"/>
              <w:left w:val="single" w:color="auto" w:sz="10" w:space="0"/>
              <w:bottom w:val="single" w:color="auto" w:sz="10" w:space="0"/>
              <w:right w:val="single" w:color="auto" w:sz="10" w:space="0"/>
              <w:insideV w:val="single" w:sz="10" w:space="0"/>
            </w:tcBorders>
            <w:vAlign w:val="center"/>
          </w:tcPr>
          <w:p w14:paraId="0B692523">
            <w:pPr>
              <w:spacing w:before="0" w:after="0" w:line="240" w:lineRule="auto"/>
              <w:jc w:val="center"/>
            </w:pPr>
          </w:p>
        </w:tc>
      </w:tr>
      <w:tr w14:paraId="6411204C">
        <w:tblPrEx>
          <w:tblCellMar>
            <w:top w:w="36" w:type="dxa"/>
            <w:left w:w="36" w:type="dxa"/>
            <w:bottom w:w="36" w:type="dxa"/>
            <w:right w:w="36" w:type="dxa"/>
          </w:tblCellMar>
        </w:tblPrEx>
        <w:trPr>
          <w:trHeight w:val="380" w:hRule="atLeast"/>
        </w:trPr>
        <w:tc>
          <w:tcPr>
            <w:tcW w:w="355" w:type="dxa"/>
            <w:vMerge w:val="continue"/>
            <w:tcBorders>
              <w:top w:val="single" w:color="auto" w:sz="10" w:space="0"/>
              <w:left w:val="single" w:color="auto" w:sz="10" w:space="0"/>
              <w:bottom w:val="single" w:color="auto" w:sz="10" w:space="0"/>
              <w:right w:val="single" w:color="auto" w:sz="10" w:space="0"/>
              <w:insideV w:val="single" w:sz="10" w:space="0"/>
            </w:tcBorders>
          </w:tcPr>
          <w:p w14:paraId="5F9DE9CD"/>
        </w:tc>
        <w:tc>
          <w:tcPr>
            <w:tcW w:w="497" w:type="dxa"/>
            <w:vMerge w:val="continue"/>
            <w:tcBorders>
              <w:top w:val="single" w:color="auto" w:sz="10" w:space="0"/>
              <w:left w:val="single" w:color="auto" w:sz="10" w:space="0"/>
              <w:bottom w:val="single" w:color="auto" w:sz="10" w:space="0"/>
              <w:right w:val="single" w:color="auto" w:sz="10" w:space="0"/>
              <w:insideV w:val="single" w:sz="10" w:space="0"/>
            </w:tcBorders>
          </w:tcPr>
          <w:p w14:paraId="00233EAB"/>
        </w:tc>
        <w:tc>
          <w:tcPr>
            <w:tcW w:w="497" w:type="dxa"/>
            <w:tcBorders>
              <w:top w:val="single" w:color="auto" w:sz="10" w:space="0"/>
              <w:left w:val="single" w:color="auto" w:sz="10" w:space="0"/>
              <w:bottom w:val="single" w:color="auto" w:sz="10" w:space="0"/>
              <w:right w:val="single" w:color="auto" w:sz="10" w:space="0"/>
              <w:insideV w:val="single" w:sz="10" w:space="0"/>
            </w:tcBorders>
            <w:vAlign w:val="center"/>
          </w:tcPr>
          <w:p w14:paraId="58247E3F">
            <w:pPr>
              <w:spacing w:before="0" w:after="0" w:line="240" w:lineRule="auto"/>
              <w:jc w:val="center"/>
            </w:pPr>
            <w:r>
              <w:rPr>
                <w:rFonts w:ascii="宋体" w:hAnsi="宋体" w:eastAsia="宋体"/>
                <w:b w:val="0"/>
                <w:i w:val="0"/>
                <w:sz w:val="18"/>
              </w:rPr>
              <w:t>数量指标</w:t>
            </w:r>
          </w:p>
        </w:tc>
        <w:tc>
          <w:tcPr>
            <w:tcW w:w="653" w:type="dxa"/>
            <w:tcBorders>
              <w:top w:val="single" w:color="auto" w:sz="10" w:space="0"/>
              <w:left w:val="single" w:color="auto" w:sz="10" w:space="0"/>
              <w:bottom w:val="single" w:color="auto" w:sz="10" w:space="0"/>
              <w:right w:val="single" w:color="auto" w:sz="10" w:space="0"/>
              <w:insideV w:val="single" w:sz="10" w:space="0"/>
            </w:tcBorders>
            <w:vAlign w:val="center"/>
          </w:tcPr>
          <w:p w14:paraId="23B35B84">
            <w:pPr>
              <w:spacing w:before="0" w:after="0" w:line="240" w:lineRule="auto"/>
              <w:jc w:val="center"/>
            </w:pPr>
            <w:r>
              <w:rPr>
                <w:rFonts w:ascii="宋体" w:hAnsi="宋体" w:eastAsia="宋体"/>
                <w:b w:val="0"/>
                <w:i w:val="0"/>
                <w:color w:val="000000"/>
                <w:sz w:val="18"/>
              </w:rPr>
              <w:t>支付质保金笔数</w:t>
            </w:r>
          </w:p>
        </w:tc>
        <w:tc>
          <w:tcPr>
            <w:tcW w:w="813" w:type="dxa"/>
            <w:tcBorders>
              <w:top w:val="single" w:color="auto" w:sz="10" w:space="0"/>
              <w:left w:val="single" w:color="auto" w:sz="10" w:space="0"/>
              <w:bottom w:val="single" w:color="auto" w:sz="10" w:space="0"/>
              <w:right w:val="single" w:color="auto" w:sz="10" w:space="0"/>
              <w:insideV w:val="single" w:sz="10" w:space="0"/>
            </w:tcBorders>
            <w:vAlign w:val="center"/>
          </w:tcPr>
          <w:p w14:paraId="218920AB">
            <w:pPr>
              <w:spacing w:before="0" w:after="0" w:line="240" w:lineRule="auto"/>
              <w:jc w:val="center"/>
            </w:pPr>
            <w:r>
              <w:rPr>
                <w:rFonts w:ascii="宋体" w:hAnsi="宋体" w:eastAsia="宋体"/>
                <w:b w:val="0"/>
                <w:i w:val="0"/>
                <w:sz w:val="18"/>
              </w:rPr>
              <w:t>7</w:t>
            </w:r>
          </w:p>
        </w:tc>
        <w:tc>
          <w:tcPr>
            <w:tcW w:w="391" w:type="dxa"/>
            <w:tcBorders>
              <w:top w:val="single" w:color="auto" w:sz="10" w:space="0"/>
              <w:left w:val="single" w:color="auto" w:sz="10" w:space="0"/>
              <w:bottom w:val="single" w:color="auto" w:sz="10" w:space="0"/>
              <w:right w:val="single" w:color="auto" w:sz="10" w:space="0"/>
              <w:insideV w:val="single" w:sz="10" w:space="0"/>
            </w:tcBorders>
            <w:vAlign w:val="center"/>
          </w:tcPr>
          <w:p w14:paraId="38AEAF05">
            <w:pPr>
              <w:spacing w:before="0" w:after="0" w:line="240" w:lineRule="auto"/>
              <w:jc w:val="center"/>
            </w:pPr>
            <w:r>
              <w:rPr>
                <w:rFonts w:ascii="宋体" w:hAnsi="宋体" w:eastAsia="宋体"/>
                <w:b w:val="0"/>
                <w:i w:val="0"/>
                <w:sz w:val="18"/>
              </w:rPr>
              <w:t>&gt;=10笔</w:t>
            </w:r>
          </w:p>
        </w:tc>
        <w:tc>
          <w:tcPr>
            <w:tcW w:w="497" w:type="dxa"/>
            <w:tcBorders>
              <w:top w:val="single" w:color="auto" w:sz="10" w:space="0"/>
              <w:left w:val="single" w:color="auto" w:sz="10" w:space="0"/>
              <w:bottom w:val="single" w:color="auto" w:sz="10" w:space="0"/>
              <w:right w:val="single" w:color="auto" w:sz="10" w:space="0"/>
              <w:insideV w:val="single" w:sz="10" w:space="0"/>
            </w:tcBorders>
            <w:vAlign w:val="center"/>
          </w:tcPr>
          <w:p w14:paraId="4B29E2C9">
            <w:pPr>
              <w:spacing w:before="0" w:after="0" w:line="240" w:lineRule="auto"/>
              <w:jc w:val="center"/>
            </w:pPr>
            <w:r>
              <w:rPr>
                <w:rFonts w:ascii="宋体" w:hAnsi="宋体" w:eastAsia="宋体"/>
                <w:b w:val="0"/>
                <w:i w:val="0"/>
                <w:sz w:val="18"/>
              </w:rPr>
              <w:t>=10笔</w:t>
            </w:r>
          </w:p>
        </w:tc>
        <w:tc>
          <w:tcPr>
            <w:tcW w:w="497" w:type="dxa"/>
            <w:tcBorders>
              <w:top w:val="single" w:color="auto" w:sz="10" w:space="0"/>
              <w:left w:val="single" w:color="auto" w:sz="10" w:space="0"/>
              <w:bottom w:val="single" w:color="auto" w:sz="10" w:space="0"/>
              <w:right w:val="single" w:color="auto" w:sz="10" w:space="0"/>
              <w:insideV w:val="single" w:sz="10" w:space="0"/>
            </w:tcBorders>
            <w:vAlign w:val="center"/>
          </w:tcPr>
          <w:p w14:paraId="58BE9B65">
            <w:pPr>
              <w:spacing w:before="0" w:after="0" w:line="240" w:lineRule="auto"/>
              <w:jc w:val="center"/>
            </w:pPr>
            <w:r>
              <w:rPr>
                <w:rFonts w:ascii="宋体" w:hAnsi="宋体" w:eastAsia="宋体"/>
                <w:b w:val="0"/>
                <w:i w:val="0"/>
                <w:sz w:val="18"/>
              </w:rPr>
              <w:t>100%</w:t>
            </w:r>
          </w:p>
        </w:tc>
        <w:tc>
          <w:tcPr>
            <w:tcW w:w="497" w:type="dxa"/>
            <w:tcBorders>
              <w:top w:val="single" w:color="auto" w:sz="10" w:space="0"/>
              <w:left w:val="single" w:color="auto" w:sz="10" w:space="0"/>
              <w:bottom w:val="single" w:color="auto" w:sz="10" w:space="0"/>
              <w:right w:val="single" w:color="auto" w:sz="10" w:space="0"/>
              <w:insideV w:val="single" w:sz="10" w:space="0"/>
            </w:tcBorders>
            <w:vAlign w:val="center"/>
          </w:tcPr>
          <w:p w14:paraId="52A33EE0">
            <w:pPr>
              <w:spacing w:before="0" w:after="0" w:line="240" w:lineRule="auto"/>
              <w:jc w:val="center"/>
            </w:pPr>
            <w:r>
              <w:rPr>
                <w:rFonts w:ascii="宋体" w:hAnsi="宋体" w:eastAsia="宋体"/>
                <w:b w:val="0"/>
                <w:i w:val="0"/>
                <w:sz w:val="18"/>
              </w:rPr>
              <w:t>7</w:t>
            </w:r>
          </w:p>
        </w:tc>
        <w:tc>
          <w:tcPr>
            <w:tcW w:w="497" w:type="dxa"/>
            <w:tcBorders>
              <w:top w:val="single" w:color="auto" w:sz="10" w:space="0"/>
              <w:left w:val="single" w:color="auto" w:sz="10" w:space="0"/>
              <w:bottom w:val="single" w:color="auto" w:sz="10" w:space="0"/>
              <w:right w:val="single" w:color="auto" w:sz="10" w:space="0"/>
              <w:insideV w:val="single" w:sz="10" w:space="0"/>
            </w:tcBorders>
            <w:vAlign w:val="center"/>
          </w:tcPr>
          <w:p w14:paraId="6BD35FAD">
            <w:pPr>
              <w:spacing w:before="0" w:after="0" w:line="240" w:lineRule="auto"/>
              <w:jc w:val="center"/>
            </w:pPr>
            <w:r>
              <w:rPr>
                <w:rFonts w:ascii="宋体" w:hAnsi="宋体" w:eastAsia="宋体"/>
                <w:b w:val="0"/>
                <w:i w:val="0"/>
                <w:sz w:val="18"/>
              </w:rPr>
              <w:t>计划标准</w:t>
            </w:r>
          </w:p>
        </w:tc>
        <w:tc>
          <w:tcPr>
            <w:tcW w:w="497" w:type="dxa"/>
            <w:tcBorders>
              <w:top w:val="single" w:color="auto" w:sz="10" w:space="0"/>
              <w:left w:val="single" w:color="auto" w:sz="10" w:space="0"/>
              <w:bottom w:val="single" w:color="auto" w:sz="10" w:space="0"/>
              <w:right w:val="single" w:color="auto" w:sz="10" w:space="0"/>
              <w:insideV w:val="single" w:sz="10" w:space="0"/>
            </w:tcBorders>
            <w:vAlign w:val="center"/>
          </w:tcPr>
          <w:p w14:paraId="672DF238">
            <w:pPr>
              <w:spacing w:before="0" w:after="0" w:line="240" w:lineRule="auto"/>
              <w:jc w:val="center"/>
            </w:pPr>
            <w:r>
              <w:rPr>
                <w:rFonts w:ascii="宋体" w:hAnsi="宋体" w:eastAsia="宋体"/>
                <w:b w:val="0"/>
                <w:i w:val="0"/>
                <w:sz w:val="18"/>
              </w:rPr>
              <w:t>-</w:t>
            </w:r>
          </w:p>
        </w:tc>
        <w:tc>
          <w:tcPr>
            <w:tcW w:w="680" w:type="dxa"/>
            <w:tcBorders>
              <w:top w:val="single" w:color="auto" w:sz="10" w:space="0"/>
              <w:left w:val="single" w:color="auto" w:sz="10" w:space="0"/>
              <w:bottom w:val="single" w:color="auto" w:sz="10" w:space="0"/>
              <w:right w:val="single" w:color="auto" w:sz="10" w:space="0"/>
              <w:insideV w:val="single" w:sz="10" w:space="0"/>
            </w:tcBorders>
            <w:vAlign w:val="center"/>
          </w:tcPr>
          <w:p w14:paraId="6305D8EE">
            <w:pPr>
              <w:spacing w:before="0" w:after="0" w:line="240" w:lineRule="auto"/>
              <w:jc w:val="center"/>
            </w:pPr>
            <w:r>
              <w:rPr>
                <w:rFonts w:ascii="宋体" w:hAnsi="宋体" w:eastAsia="宋体"/>
                <w:b w:val="0"/>
                <w:i w:val="0"/>
                <w:sz w:val="18"/>
              </w:rPr>
              <w:t>按照完成比例赋分</w:t>
            </w:r>
          </w:p>
        </w:tc>
        <w:tc>
          <w:tcPr>
            <w:tcW w:w="603" w:type="dxa"/>
            <w:tcBorders>
              <w:top w:val="single" w:color="auto" w:sz="10" w:space="0"/>
              <w:left w:val="single" w:color="auto" w:sz="10" w:space="0"/>
              <w:bottom w:val="single" w:color="auto" w:sz="10" w:space="0"/>
              <w:right w:val="single" w:color="auto" w:sz="10" w:space="0"/>
              <w:insideV w:val="single" w:sz="10" w:space="0"/>
            </w:tcBorders>
            <w:vAlign w:val="center"/>
          </w:tcPr>
          <w:p w14:paraId="6B745317">
            <w:pPr>
              <w:spacing w:before="0" w:after="0" w:line="240" w:lineRule="auto"/>
              <w:jc w:val="center"/>
            </w:pPr>
            <w:r>
              <w:rPr>
                <w:rFonts w:ascii="宋体" w:hAnsi="宋体" w:eastAsia="宋体"/>
                <w:b w:val="0"/>
                <w:i w:val="0"/>
                <w:sz w:val="18"/>
              </w:rPr>
              <w:t>工作资料</w:t>
            </w:r>
          </w:p>
        </w:tc>
        <w:tc>
          <w:tcPr>
            <w:tcW w:w="1402" w:type="dxa"/>
            <w:tcBorders>
              <w:top w:val="single" w:color="auto" w:sz="10" w:space="0"/>
              <w:left w:val="single" w:color="auto" w:sz="10" w:space="0"/>
              <w:bottom w:val="single" w:color="auto" w:sz="10" w:space="0"/>
              <w:right w:val="single" w:color="auto" w:sz="10" w:space="0"/>
              <w:insideV w:val="single" w:sz="10" w:space="0"/>
            </w:tcBorders>
            <w:vAlign w:val="center"/>
          </w:tcPr>
          <w:p w14:paraId="3E5715B7">
            <w:pPr>
              <w:spacing w:before="0" w:after="0" w:line="240" w:lineRule="auto"/>
              <w:jc w:val="center"/>
            </w:pPr>
          </w:p>
        </w:tc>
      </w:tr>
      <w:tr w14:paraId="533556D5">
        <w:tblPrEx>
          <w:tblCellMar>
            <w:top w:w="36" w:type="dxa"/>
            <w:left w:w="36" w:type="dxa"/>
            <w:bottom w:w="36" w:type="dxa"/>
            <w:right w:w="36" w:type="dxa"/>
          </w:tblCellMar>
        </w:tblPrEx>
        <w:trPr>
          <w:trHeight w:val="380" w:hRule="atLeast"/>
        </w:trPr>
        <w:tc>
          <w:tcPr>
            <w:tcW w:w="355" w:type="dxa"/>
            <w:vMerge w:val="continue"/>
            <w:tcBorders>
              <w:top w:val="single" w:color="auto" w:sz="10" w:space="0"/>
              <w:left w:val="single" w:color="auto" w:sz="10" w:space="0"/>
              <w:bottom w:val="single" w:color="auto" w:sz="10" w:space="0"/>
              <w:right w:val="single" w:color="auto" w:sz="10" w:space="0"/>
              <w:insideV w:val="single" w:sz="10" w:space="0"/>
            </w:tcBorders>
          </w:tcPr>
          <w:p w14:paraId="171CDBA1"/>
        </w:tc>
        <w:tc>
          <w:tcPr>
            <w:tcW w:w="497" w:type="dxa"/>
            <w:vMerge w:val="continue"/>
            <w:tcBorders>
              <w:top w:val="single" w:color="auto" w:sz="10" w:space="0"/>
              <w:left w:val="single" w:color="auto" w:sz="10" w:space="0"/>
              <w:bottom w:val="single" w:color="auto" w:sz="10" w:space="0"/>
              <w:right w:val="single" w:color="auto" w:sz="10" w:space="0"/>
              <w:insideV w:val="single" w:sz="10" w:space="0"/>
            </w:tcBorders>
          </w:tcPr>
          <w:p w14:paraId="73DAC78E"/>
        </w:tc>
        <w:tc>
          <w:tcPr>
            <w:tcW w:w="497" w:type="dxa"/>
            <w:tcBorders>
              <w:top w:val="single" w:color="auto" w:sz="10" w:space="0"/>
              <w:left w:val="single" w:color="auto" w:sz="10" w:space="0"/>
              <w:bottom w:val="single" w:color="auto" w:sz="10" w:space="0"/>
              <w:right w:val="single" w:color="auto" w:sz="10" w:space="0"/>
              <w:insideV w:val="single" w:sz="10" w:space="0"/>
            </w:tcBorders>
            <w:vAlign w:val="center"/>
          </w:tcPr>
          <w:p w14:paraId="214BAC4A">
            <w:pPr>
              <w:spacing w:before="0" w:after="0" w:line="240" w:lineRule="auto"/>
              <w:jc w:val="center"/>
            </w:pPr>
            <w:r>
              <w:rPr>
                <w:rFonts w:ascii="宋体" w:hAnsi="宋体" w:eastAsia="宋体"/>
                <w:b w:val="0"/>
                <w:i w:val="0"/>
                <w:sz w:val="18"/>
              </w:rPr>
              <w:t>质量指标</w:t>
            </w:r>
          </w:p>
        </w:tc>
        <w:tc>
          <w:tcPr>
            <w:tcW w:w="653" w:type="dxa"/>
            <w:tcBorders>
              <w:top w:val="single" w:color="auto" w:sz="10" w:space="0"/>
              <w:left w:val="single" w:color="auto" w:sz="10" w:space="0"/>
              <w:bottom w:val="single" w:color="auto" w:sz="10" w:space="0"/>
              <w:right w:val="single" w:color="auto" w:sz="10" w:space="0"/>
              <w:insideV w:val="single" w:sz="10" w:space="0"/>
            </w:tcBorders>
            <w:vAlign w:val="center"/>
          </w:tcPr>
          <w:p w14:paraId="7B843978">
            <w:pPr>
              <w:spacing w:before="0" w:after="0" w:line="240" w:lineRule="auto"/>
              <w:jc w:val="center"/>
            </w:pPr>
            <w:r>
              <w:rPr>
                <w:rFonts w:ascii="宋体" w:hAnsi="宋体" w:eastAsia="宋体"/>
                <w:b w:val="0"/>
                <w:i w:val="0"/>
                <w:color w:val="000000"/>
                <w:sz w:val="18"/>
              </w:rPr>
              <w:t>工程质量验收合格率</w:t>
            </w:r>
          </w:p>
        </w:tc>
        <w:tc>
          <w:tcPr>
            <w:tcW w:w="813" w:type="dxa"/>
            <w:tcBorders>
              <w:top w:val="single" w:color="auto" w:sz="10" w:space="0"/>
              <w:left w:val="single" w:color="auto" w:sz="10" w:space="0"/>
              <w:bottom w:val="single" w:color="auto" w:sz="10" w:space="0"/>
              <w:right w:val="single" w:color="auto" w:sz="10" w:space="0"/>
              <w:insideV w:val="single" w:sz="10" w:space="0"/>
            </w:tcBorders>
            <w:vAlign w:val="center"/>
          </w:tcPr>
          <w:p w14:paraId="61CC851F">
            <w:pPr>
              <w:spacing w:before="0" w:after="0" w:line="240" w:lineRule="auto"/>
              <w:jc w:val="center"/>
            </w:pPr>
            <w:r>
              <w:rPr>
                <w:rFonts w:ascii="宋体" w:hAnsi="宋体" w:eastAsia="宋体"/>
                <w:b w:val="0"/>
                <w:i w:val="0"/>
                <w:sz w:val="18"/>
              </w:rPr>
              <w:t>7</w:t>
            </w:r>
          </w:p>
        </w:tc>
        <w:tc>
          <w:tcPr>
            <w:tcW w:w="391" w:type="dxa"/>
            <w:tcBorders>
              <w:top w:val="single" w:color="auto" w:sz="10" w:space="0"/>
              <w:left w:val="single" w:color="auto" w:sz="10" w:space="0"/>
              <w:bottom w:val="single" w:color="auto" w:sz="10" w:space="0"/>
              <w:right w:val="single" w:color="auto" w:sz="10" w:space="0"/>
              <w:insideV w:val="single" w:sz="10" w:space="0"/>
            </w:tcBorders>
            <w:vAlign w:val="center"/>
          </w:tcPr>
          <w:p w14:paraId="2954DDA4">
            <w:pPr>
              <w:spacing w:before="0" w:after="0" w:line="240" w:lineRule="auto"/>
              <w:jc w:val="center"/>
            </w:pPr>
            <w:r>
              <w:rPr>
                <w:rFonts w:ascii="宋体" w:hAnsi="宋体" w:eastAsia="宋体"/>
                <w:b w:val="0"/>
                <w:i w:val="0"/>
                <w:sz w:val="18"/>
              </w:rPr>
              <w:t>&gt;=95%</w:t>
            </w:r>
          </w:p>
        </w:tc>
        <w:tc>
          <w:tcPr>
            <w:tcW w:w="497" w:type="dxa"/>
            <w:tcBorders>
              <w:top w:val="single" w:color="auto" w:sz="10" w:space="0"/>
              <w:left w:val="single" w:color="auto" w:sz="10" w:space="0"/>
              <w:bottom w:val="single" w:color="auto" w:sz="10" w:space="0"/>
              <w:right w:val="single" w:color="auto" w:sz="10" w:space="0"/>
              <w:insideV w:val="single" w:sz="10" w:space="0"/>
            </w:tcBorders>
            <w:vAlign w:val="center"/>
          </w:tcPr>
          <w:p w14:paraId="21B8CF3A">
            <w:pPr>
              <w:spacing w:before="0" w:after="0" w:line="240" w:lineRule="auto"/>
              <w:jc w:val="center"/>
            </w:pPr>
            <w:r>
              <w:rPr>
                <w:rFonts w:ascii="宋体" w:hAnsi="宋体" w:eastAsia="宋体"/>
                <w:b w:val="0"/>
                <w:i w:val="0"/>
                <w:sz w:val="18"/>
              </w:rPr>
              <w:t>=100%</w:t>
            </w:r>
          </w:p>
        </w:tc>
        <w:tc>
          <w:tcPr>
            <w:tcW w:w="497" w:type="dxa"/>
            <w:tcBorders>
              <w:top w:val="single" w:color="auto" w:sz="10" w:space="0"/>
              <w:left w:val="single" w:color="auto" w:sz="10" w:space="0"/>
              <w:bottom w:val="single" w:color="auto" w:sz="10" w:space="0"/>
              <w:right w:val="single" w:color="auto" w:sz="10" w:space="0"/>
              <w:insideV w:val="single" w:sz="10" w:space="0"/>
            </w:tcBorders>
            <w:vAlign w:val="center"/>
          </w:tcPr>
          <w:p w14:paraId="4E0C079A">
            <w:pPr>
              <w:spacing w:before="0" w:after="0" w:line="240" w:lineRule="auto"/>
              <w:jc w:val="center"/>
            </w:pPr>
            <w:r>
              <w:rPr>
                <w:rFonts w:ascii="宋体" w:hAnsi="宋体" w:eastAsia="宋体"/>
                <w:b w:val="0"/>
                <w:i w:val="0"/>
                <w:sz w:val="18"/>
              </w:rPr>
              <w:t>100%</w:t>
            </w:r>
          </w:p>
        </w:tc>
        <w:tc>
          <w:tcPr>
            <w:tcW w:w="497" w:type="dxa"/>
            <w:tcBorders>
              <w:top w:val="single" w:color="auto" w:sz="10" w:space="0"/>
              <w:left w:val="single" w:color="auto" w:sz="10" w:space="0"/>
              <w:bottom w:val="single" w:color="auto" w:sz="10" w:space="0"/>
              <w:right w:val="single" w:color="auto" w:sz="10" w:space="0"/>
              <w:insideV w:val="single" w:sz="10" w:space="0"/>
            </w:tcBorders>
            <w:vAlign w:val="center"/>
          </w:tcPr>
          <w:p w14:paraId="790B241F">
            <w:pPr>
              <w:spacing w:before="0" w:after="0" w:line="240" w:lineRule="auto"/>
              <w:jc w:val="center"/>
            </w:pPr>
            <w:r>
              <w:rPr>
                <w:rFonts w:ascii="宋体" w:hAnsi="宋体" w:eastAsia="宋体"/>
                <w:b w:val="0"/>
                <w:i w:val="0"/>
                <w:sz w:val="18"/>
              </w:rPr>
              <w:t>7</w:t>
            </w:r>
          </w:p>
        </w:tc>
        <w:tc>
          <w:tcPr>
            <w:tcW w:w="497" w:type="dxa"/>
            <w:tcBorders>
              <w:top w:val="single" w:color="auto" w:sz="10" w:space="0"/>
              <w:left w:val="single" w:color="auto" w:sz="10" w:space="0"/>
              <w:bottom w:val="single" w:color="auto" w:sz="10" w:space="0"/>
              <w:right w:val="single" w:color="auto" w:sz="10" w:space="0"/>
              <w:insideV w:val="single" w:sz="10" w:space="0"/>
            </w:tcBorders>
            <w:vAlign w:val="center"/>
          </w:tcPr>
          <w:p w14:paraId="0651DD1B">
            <w:pPr>
              <w:spacing w:before="0" w:after="0" w:line="240" w:lineRule="auto"/>
              <w:jc w:val="center"/>
            </w:pPr>
            <w:r>
              <w:rPr>
                <w:rFonts w:ascii="宋体" w:hAnsi="宋体" w:eastAsia="宋体"/>
                <w:b w:val="0"/>
                <w:i w:val="0"/>
                <w:sz w:val="18"/>
              </w:rPr>
              <w:t>计划标准</w:t>
            </w:r>
          </w:p>
        </w:tc>
        <w:tc>
          <w:tcPr>
            <w:tcW w:w="497" w:type="dxa"/>
            <w:tcBorders>
              <w:top w:val="single" w:color="auto" w:sz="10" w:space="0"/>
              <w:left w:val="single" w:color="auto" w:sz="10" w:space="0"/>
              <w:bottom w:val="single" w:color="auto" w:sz="10" w:space="0"/>
              <w:right w:val="single" w:color="auto" w:sz="10" w:space="0"/>
              <w:insideV w:val="single" w:sz="10" w:space="0"/>
            </w:tcBorders>
            <w:vAlign w:val="center"/>
          </w:tcPr>
          <w:p w14:paraId="2BF10298">
            <w:pPr>
              <w:spacing w:before="0" w:after="0" w:line="240" w:lineRule="auto"/>
              <w:jc w:val="center"/>
            </w:pPr>
            <w:r>
              <w:rPr>
                <w:rFonts w:ascii="宋体" w:hAnsi="宋体" w:eastAsia="宋体"/>
                <w:b w:val="0"/>
                <w:i w:val="0"/>
                <w:sz w:val="18"/>
              </w:rPr>
              <w:t>-</w:t>
            </w:r>
          </w:p>
        </w:tc>
        <w:tc>
          <w:tcPr>
            <w:tcW w:w="680" w:type="dxa"/>
            <w:tcBorders>
              <w:top w:val="single" w:color="auto" w:sz="10" w:space="0"/>
              <w:left w:val="single" w:color="auto" w:sz="10" w:space="0"/>
              <w:bottom w:val="single" w:color="auto" w:sz="10" w:space="0"/>
              <w:right w:val="single" w:color="auto" w:sz="10" w:space="0"/>
              <w:insideV w:val="single" w:sz="10" w:space="0"/>
            </w:tcBorders>
            <w:vAlign w:val="center"/>
          </w:tcPr>
          <w:p w14:paraId="750C28EB">
            <w:pPr>
              <w:spacing w:before="0" w:after="0" w:line="240" w:lineRule="auto"/>
              <w:jc w:val="center"/>
            </w:pPr>
            <w:r>
              <w:rPr>
                <w:rFonts w:ascii="宋体" w:hAnsi="宋体" w:eastAsia="宋体"/>
                <w:b w:val="0"/>
                <w:i w:val="0"/>
                <w:sz w:val="18"/>
              </w:rPr>
              <w:t>按照完成比例赋分</w:t>
            </w:r>
          </w:p>
        </w:tc>
        <w:tc>
          <w:tcPr>
            <w:tcW w:w="603" w:type="dxa"/>
            <w:tcBorders>
              <w:top w:val="single" w:color="auto" w:sz="10" w:space="0"/>
              <w:left w:val="single" w:color="auto" w:sz="10" w:space="0"/>
              <w:bottom w:val="single" w:color="auto" w:sz="10" w:space="0"/>
              <w:right w:val="single" w:color="auto" w:sz="10" w:space="0"/>
              <w:insideV w:val="single" w:sz="10" w:space="0"/>
            </w:tcBorders>
            <w:vAlign w:val="center"/>
          </w:tcPr>
          <w:p w14:paraId="09C86A44">
            <w:pPr>
              <w:spacing w:before="0" w:after="0" w:line="240" w:lineRule="auto"/>
              <w:jc w:val="center"/>
            </w:pPr>
            <w:r>
              <w:rPr>
                <w:rFonts w:ascii="宋体" w:hAnsi="宋体" w:eastAsia="宋体"/>
                <w:b w:val="0"/>
                <w:i w:val="0"/>
                <w:sz w:val="18"/>
              </w:rPr>
              <w:t>工作资料</w:t>
            </w:r>
          </w:p>
        </w:tc>
        <w:tc>
          <w:tcPr>
            <w:tcW w:w="1402" w:type="dxa"/>
            <w:tcBorders>
              <w:top w:val="single" w:color="auto" w:sz="10" w:space="0"/>
              <w:left w:val="single" w:color="auto" w:sz="10" w:space="0"/>
              <w:bottom w:val="single" w:color="auto" w:sz="10" w:space="0"/>
              <w:right w:val="single" w:color="auto" w:sz="10" w:space="0"/>
              <w:insideV w:val="single" w:sz="10" w:space="0"/>
            </w:tcBorders>
            <w:vAlign w:val="center"/>
          </w:tcPr>
          <w:p w14:paraId="65041AC5">
            <w:pPr>
              <w:spacing w:before="0" w:after="0" w:line="240" w:lineRule="auto"/>
              <w:jc w:val="center"/>
            </w:pPr>
          </w:p>
        </w:tc>
      </w:tr>
      <w:tr w14:paraId="5540A514">
        <w:tblPrEx>
          <w:tblCellMar>
            <w:top w:w="36" w:type="dxa"/>
            <w:left w:w="36" w:type="dxa"/>
            <w:bottom w:w="36" w:type="dxa"/>
            <w:right w:w="36" w:type="dxa"/>
          </w:tblCellMar>
        </w:tblPrEx>
        <w:trPr>
          <w:trHeight w:val="380" w:hRule="atLeast"/>
        </w:trPr>
        <w:tc>
          <w:tcPr>
            <w:tcW w:w="355" w:type="dxa"/>
            <w:vMerge w:val="continue"/>
            <w:tcBorders>
              <w:top w:val="single" w:color="auto" w:sz="10" w:space="0"/>
              <w:left w:val="single" w:color="auto" w:sz="10" w:space="0"/>
              <w:bottom w:val="single" w:color="auto" w:sz="10" w:space="0"/>
              <w:right w:val="single" w:color="auto" w:sz="10" w:space="0"/>
              <w:insideV w:val="single" w:sz="10" w:space="0"/>
            </w:tcBorders>
          </w:tcPr>
          <w:p w14:paraId="29EE7DF6"/>
        </w:tc>
        <w:tc>
          <w:tcPr>
            <w:tcW w:w="497" w:type="dxa"/>
            <w:vMerge w:val="continue"/>
            <w:tcBorders>
              <w:top w:val="single" w:color="auto" w:sz="10" w:space="0"/>
              <w:left w:val="single" w:color="auto" w:sz="10" w:space="0"/>
              <w:bottom w:val="single" w:color="auto" w:sz="10" w:space="0"/>
              <w:right w:val="single" w:color="auto" w:sz="10" w:space="0"/>
              <w:insideV w:val="single" w:sz="10" w:space="0"/>
            </w:tcBorders>
          </w:tcPr>
          <w:p w14:paraId="2854E526"/>
        </w:tc>
        <w:tc>
          <w:tcPr>
            <w:tcW w:w="497" w:type="dxa"/>
            <w:tcBorders>
              <w:top w:val="single" w:color="auto" w:sz="10" w:space="0"/>
              <w:left w:val="single" w:color="auto" w:sz="10" w:space="0"/>
              <w:bottom w:val="single" w:color="auto" w:sz="10" w:space="0"/>
              <w:right w:val="single" w:color="auto" w:sz="10" w:space="0"/>
              <w:insideV w:val="single" w:sz="10" w:space="0"/>
            </w:tcBorders>
            <w:vAlign w:val="center"/>
          </w:tcPr>
          <w:p w14:paraId="298D811C">
            <w:pPr>
              <w:spacing w:before="0" w:after="0" w:line="240" w:lineRule="auto"/>
              <w:jc w:val="center"/>
            </w:pPr>
            <w:r>
              <w:rPr>
                <w:rFonts w:ascii="宋体" w:hAnsi="宋体" w:eastAsia="宋体"/>
                <w:b w:val="0"/>
                <w:i w:val="0"/>
                <w:sz w:val="18"/>
              </w:rPr>
              <w:t>质量指标</w:t>
            </w:r>
          </w:p>
        </w:tc>
        <w:tc>
          <w:tcPr>
            <w:tcW w:w="653" w:type="dxa"/>
            <w:tcBorders>
              <w:top w:val="single" w:color="auto" w:sz="10" w:space="0"/>
              <w:left w:val="single" w:color="auto" w:sz="10" w:space="0"/>
              <w:bottom w:val="single" w:color="auto" w:sz="10" w:space="0"/>
              <w:right w:val="single" w:color="auto" w:sz="10" w:space="0"/>
              <w:insideV w:val="single" w:sz="10" w:space="0"/>
            </w:tcBorders>
            <w:vAlign w:val="center"/>
          </w:tcPr>
          <w:p w14:paraId="613879ED">
            <w:pPr>
              <w:spacing w:before="0" w:after="0" w:line="240" w:lineRule="auto"/>
              <w:jc w:val="center"/>
            </w:pPr>
            <w:r>
              <w:rPr>
                <w:rFonts w:ascii="宋体" w:hAnsi="宋体" w:eastAsia="宋体"/>
                <w:b w:val="0"/>
                <w:i w:val="0"/>
                <w:color w:val="000000"/>
                <w:sz w:val="18"/>
              </w:rPr>
              <w:t>报告验收合格率</w:t>
            </w:r>
          </w:p>
        </w:tc>
        <w:tc>
          <w:tcPr>
            <w:tcW w:w="813" w:type="dxa"/>
            <w:tcBorders>
              <w:top w:val="single" w:color="auto" w:sz="10" w:space="0"/>
              <w:left w:val="single" w:color="auto" w:sz="10" w:space="0"/>
              <w:bottom w:val="single" w:color="auto" w:sz="10" w:space="0"/>
              <w:right w:val="single" w:color="auto" w:sz="10" w:space="0"/>
              <w:insideV w:val="single" w:sz="10" w:space="0"/>
            </w:tcBorders>
            <w:vAlign w:val="center"/>
          </w:tcPr>
          <w:p w14:paraId="3C325F82">
            <w:pPr>
              <w:spacing w:before="0" w:after="0" w:line="240" w:lineRule="auto"/>
              <w:jc w:val="center"/>
            </w:pPr>
            <w:r>
              <w:rPr>
                <w:rFonts w:ascii="宋体" w:hAnsi="宋体" w:eastAsia="宋体"/>
                <w:b w:val="0"/>
                <w:i w:val="0"/>
                <w:sz w:val="18"/>
              </w:rPr>
              <w:t>7</w:t>
            </w:r>
          </w:p>
        </w:tc>
        <w:tc>
          <w:tcPr>
            <w:tcW w:w="391" w:type="dxa"/>
            <w:tcBorders>
              <w:top w:val="single" w:color="auto" w:sz="10" w:space="0"/>
              <w:left w:val="single" w:color="auto" w:sz="10" w:space="0"/>
              <w:bottom w:val="single" w:color="auto" w:sz="10" w:space="0"/>
              <w:right w:val="single" w:color="auto" w:sz="10" w:space="0"/>
              <w:insideV w:val="single" w:sz="10" w:space="0"/>
            </w:tcBorders>
            <w:vAlign w:val="center"/>
          </w:tcPr>
          <w:p w14:paraId="1F6522AD">
            <w:pPr>
              <w:spacing w:before="0" w:after="0" w:line="240" w:lineRule="auto"/>
              <w:jc w:val="center"/>
            </w:pPr>
            <w:r>
              <w:rPr>
                <w:rFonts w:ascii="宋体" w:hAnsi="宋体" w:eastAsia="宋体"/>
                <w:b w:val="0"/>
                <w:i w:val="0"/>
                <w:sz w:val="18"/>
              </w:rPr>
              <w:t>&gt;=95%</w:t>
            </w:r>
          </w:p>
        </w:tc>
        <w:tc>
          <w:tcPr>
            <w:tcW w:w="497" w:type="dxa"/>
            <w:tcBorders>
              <w:top w:val="single" w:color="auto" w:sz="10" w:space="0"/>
              <w:left w:val="single" w:color="auto" w:sz="10" w:space="0"/>
              <w:bottom w:val="single" w:color="auto" w:sz="10" w:space="0"/>
              <w:right w:val="single" w:color="auto" w:sz="10" w:space="0"/>
              <w:insideV w:val="single" w:sz="10" w:space="0"/>
            </w:tcBorders>
            <w:vAlign w:val="center"/>
          </w:tcPr>
          <w:p w14:paraId="63CF7BCA">
            <w:pPr>
              <w:spacing w:before="0" w:after="0" w:line="240" w:lineRule="auto"/>
              <w:jc w:val="center"/>
            </w:pPr>
            <w:r>
              <w:rPr>
                <w:rFonts w:ascii="宋体" w:hAnsi="宋体" w:eastAsia="宋体"/>
                <w:b w:val="0"/>
                <w:i w:val="0"/>
                <w:sz w:val="18"/>
              </w:rPr>
              <w:t>=100%</w:t>
            </w:r>
          </w:p>
        </w:tc>
        <w:tc>
          <w:tcPr>
            <w:tcW w:w="497" w:type="dxa"/>
            <w:tcBorders>
              <w:top w:val="single" w:color="auto" w:sz="10" w:space="0"/>
              <w:left w:val="single" w:color="auto" w:sz="10" w:space="0"/>
              <w:bottom w:val="single" w:color="auto" w:sz="10" w:space="0"/>
              <w:right w:val="single" w:color="auto" w:sz="10" w:space="0"/>
              <w:insideV w:val="single" w:sz="10" w:space="0"/>
            </w:tcBorders>
            <w:vAlign w:val="center"/>
          </w:tcPr>
          <w:p w14:paraId="053A6FD0">
            <w:pPr>
              <w:spacing w:before="0" w:after="0" w:line="240" w:lineRule="auto"/>
              <w:jc w:val="center"/>
            </w:pPr>
            <w:r>
              <w:rPr>
                <w:rFonts w:ascii="宋体" w:hAnsi="宋体" w:eastAsia="宋体"/>
                <w:b w:val="0"/>
                <w:i w:val="0"/>
                <w:sz w:val="18"/>
              </w:rPr>
              <w:t>100%</w:t>
            </w:r>
          </w:p>
        </w:tc>
        <w:tc>
          <w:tcPr>
            <w:tcW w:w="497" w:type="dxa"/>
            <w:tcBorders>
              <w:top w:val="single" w:color="auto" w:sz="10" w:space="0"/>
              <w:left w:val="single" w:color="auto" w:sz="10" w:space="0"/>
              <w:bottom w:val="single" w:color="auto" w:sz="10" w:space="0"/>
              <w:right w:val="single" w:color="auto" w:sz="10" w:space="0"/>
              <w:insideV w:val="single" w:sz="10" w:space="0"/>
            </w:tcBorders>
            <w:vAlign w:val="center"/>
          </w:tcPr>
          <w:p w14:paraId="238BC408">
            <w:pPr>
              <w:spacing w:before="0" w:after="0" w:line="240" w:lineRule="auto"/>
              <w:jc w:val="center"/>
            </w:pPr>
            <w:r>
              <w:rPr>
                <w:rFonts w:ascii="宋体" w:hAnsi="宋体" w:eastAsia="宋体"/>
                <w:b w:val="0"/>
                <w:i w:val="0"/>
                <w:sz w:val="18"/>
              </w:rPr>
              <w:t>7</w:t>
            </w:r>
          </w:p>
        </w:tc>
        <w:tc>
          <w:tcPr>
            <w:tcW w:w="497" w:type="dxa"/>
            <w:tcBorders>
              <w:top w:val="single" w:color="auto" w:sz="10" w:space="0"/>
              <w:left w:val="single" w:color="auto" w:sz="10" w:space="0"/>
              <w:bottom w:val="single" w:color="auto" w:sz="10" w:space="0"/>
              <w:right w:val="single" w:color="auto" w:sz="10" w:space="0"/>
              <w:insideV w:val="single" w:sz="10" w:space="0"/>
            </w:tcBorders>
            <w:vAlign w:val="center"/>
          </w:tcPr>
          <w:p w14:paraId="014759FD">
            <w:pPr>
              <w:spacing w:before="0" w:after="0" w:line="240" w:lineRule="auto"/>
              <w:jc w:val="center"/>
            </w:pPr>
            <w:r>
              <w:rPr>
                <w:rFonts w:ascii="宋体" w:hAnsi="宋体" w:eastAsia="宋体"/>
                <w:b w:val="0"/>
                <w:i w:val="0"/>
                <w:sz w:val="18"/>
              </w:rPr>
              <w:t>计划标准</w:t>
            </w:r>
          </w:p>
        </w:tc>
        <w:tc>
          <w:tcPr>
            <w:tcW w:w="497" w:type="dxa"/>
            <w:tcBorders>
              <w:top w:val="single" w:color="auto" w:sz="10" w:space="0"/>
              <w:left w:val="single" w:color="auto" w:sz="10" w:space="0"/>
              <w:bottom w:val="single" w:color="auto" w:sz="10" w:space="0"/>
              <w:right w:val="single" w:color="auto" w:sz="10" w:space="0"/>
              <w:insideV w:val="single" w:sz="10" w:space="0"/>
            </w:tcBorders>
            <w:vAlign w:val="center"/>
          </w:tcPr>
          <w:p w14:paraId="1E13DC55">
            <w:pPr>
              <w:spacing w:before="0" w:after="0" w:line="240" w:lineRule="auto"/>
              <w:jc w:val="center"/>
            </w:pPr>
            <w:r>
              <w:rPr>
                <w:rFonts w:ascii="宋体" w:hAnsi="宋体" w:eastAsia="宋体"/>
                <w:b w:val="0"/>
                <w:i w:val="0"/>
                <w:sz w:val="18"/>
              </w:rPr>
              <w:t>-</w:t>
            </w:r>
          </w:p>
        </w:tc>
        <w:tc>
          <w:tcPr>
            <w:tcW w:w="680" w:type="dxa"/>
            <w:tcBorders>
              <w:top w:val="single" w:color="auto" w:sz="10" w:space="0"/>
              <w:left w:val="single" w:color="auto" w:sz="10" w:space="0"/>
              <w:bottom w:val="single" w:color="auto" w:sz="10" w:space="0"/>
              <w:right w:val="single" w:color="auto" w:sz="10" w:space="0"/>
              <w:insideV w:val="single" w:sz="10" w:space="0"/>
            </w:tcBorders>
            <w:vAlign w:val="center"/>
          </w:tcPr>
          <w:p w14:paraId="6F1ACA55">
            <w:pPr>
              <w:spacing w:before="0" w:after="0" w:line="240" w:lineRule="auto"/>
              <w:jc w:val="center"/>
            </w:pPr>
            <w:r>
              <w:rPr>
                <w:rFonts w:ascii="宋体" w:hAnsi="宋体" w:eastAsia="宋体"/>
                <w:b w:val="0"/>
                <w:i w:val="0"/>
                <w:sz w:val="18"/>
              </w:rPr>
              <w:t>按照完成比例赋分</w:t>
            </w:r>
          </w:p>
        </w:tc>
        <w:tc>
          <w:tcPr>
            <w:tcW w:w="603" w:type="dxa"/>
            <w:tcBorders>
              <w:top w:val="single" w:color="auto" w:sz="10" w:space="0"/>
              <w:left w:val="single" w:color="auto" w:sz="10" w:space="0"/>
              <w:bottom w:val="single" w:color="auto" w:sz="10" w:space="0"/>
              <w:right w:val="single" w:color="auto" w:sz="10" w:space="0"/>
              <w:insideV w:val="single" w:sz="10" w:space="0"/>
            </w:tcBorders>
            <w:vAlign w:val="center"/>
          </w:tcPr>
          <w:p w14:paraId="06DC11C6">
            <w:pPr>
              <w:spacing w:before="0" w:after="0" w:line="240" w:lineRule="auto"/>
              <w:jc w:val="center"/>
            </w:pPr>
            <w:r>
              <w:rPr>
                <w:rFonts w:ascii="宋体" w:hAnsi="宋体" w:eastAsia="宋体"/>
                <w:b w:val="0"/>
                <w:i w:val="0"/>
                <w:sz w:val="18"/>
              </w:rPr>
              <w:t>工作资料</w:t>
            </w:r>
          </w:p>
        </w:tc>
        <w:tc>
          <w:tcPr>
            <w:tcW w:w="1402" w:type="dxa"/>
            <w:tcBorders>
              <w:top w:val="single" w:color="auto" w:sz="10" w:space="0"/>
              <w:left w:val="single" w:color="auto" w:sz="10" w:space="0"/>
              <w:bottom w:val="single" w:color="auto" w:sz="10" w:space="0"/>
              <w:right w:val="single" w:color="auto" w:sz="10" w:space="0"/>
              <w:insideV w:val="single" w:sz="10" w:space="0"/>
            </w:tcBorders>
            <w:vAlign w:val="center"/>
          </w:tcPr>
          <w:p w14:paraId="62B90B8F">
            <w:pPr>
              <w:spacing w:before="0" w:after="0" w:line="240" w:lineRule="auto"/>
              <w:jc w:val="center"/>
            </w:pPr>
          </w:p>
        </w:tc>
      </w:tr>
      <w:tr w14:paraId="73A4C035">
        <w:tblPrEx>
          <w:tblCellMar>
            <w:top w:w="36" w:type="dxa"/>
            <w:left w:w="36" w:type="dxa"/>
            <w:bottom w:w="36" w:type="dxa"/>
            <w:right w:w="36" w:type="dxa"/>
          </w:tblCellMar>
        </w:tblPrEx>
        <w:trPr>
          <w:trHeight w:val="380" w:hRule="atLeast"/>
        </w:trPr>
        <w:tc>
          <w:tcPr>
            <w:tcW w:w="355" w:type="dxa"/>
            <w:vMerge w:val="continue"/>
            <w:tcBorders>
              <w:top w:val="single" w:color="auto" w:sz="10" w:space="0"/>
              <w:left w:val="single" w:color="auto" w:sz="10" w:space="0"/>
              <w:bottom w:val="single" w:color="auto" w:sz="10" w:space="0"/>
              <w:right w:val="single" w:color="auto" w:sz="10" w:space="0"/>
              <w:insideV w:val="single" w:sz="10" w:space="0"/>
            </w:tcBorders>
          </w:tcPr>
          <w:p w14:paraId="7896ED7A"/>
        </w:tc>
        <w:tc>
          <w:tcPr>
            <w:tcW w:w="497" w:type="dxa"/>
            <w:vMerge w:val="continue"/>
            <w:tcBorders>
              <w:top w:val="single" w:color="auto" w:sz="10" w:space="0"/>
              <w:left w:val="single" w:color="auto" w:sz="10" w:space="0"/>
              <w:bottom w:val="single" w:color="auto" w:sz="10" w:space="0"/>
              <w:right w:val="single" w:color="auto" w:sz="10" w:space="0"/>
              <w:insideV w:val="single" w:sz="10" w:space="0"/>
            </w:tcBorders>
          </w:tcPr>
          <w:p w14:paraId="459A1F11"/>
        </w:tc>
        <w:tc>
          <w:tcPr>
            <w:tcW w:w="497" w:type="dxa"/>
            <w:tcBorders>
              <w:top w:val="single" w:color="auto" w:sz="10" w:space="0"/>
              <w:left w:val="single" w:color="auto" w:sz="10" w:space="0"/>
              <w:bottom w:val="single" w:color="auto" w:sz="10" w:space="0"/>
              <w:right w:val="single" w:color="auto" w:sz="10" w:space="0"/>
              <w:insideV w:val="single" w:sz="10" w:space="0"/>
            </w:tcBorders>
            <w:vAlign w:val="center"/>
          </w:tcPr>
          <w:p w14:paraId="53FD58F4">
            <w:pPr>
              <w:spacing w:before="0" w:after="0" w:line="240" w:lineRule="auto"/>
              <w:jc w:val="center"/>
            </w:pPr>
            <w:r>
              <w:rPr>
                <w:rFonts w:ascii="宋体" w:hAnsi="宋体" w:eastAsia="宋体"/>
                <w:b w:val="0"/>
                <w:i w:val="0"/>
                <w:sz w:val="18"/>
              </w:rPr>
              <w:t>时效指标</w:t>
            </w:r>
          </w:p>
        </w:tc>
        <w:tc>
          <w:tcPr>
            <w:tcW w:w="653" w:type="dxa"/>
            <w:tcBorders>
              <w:top w:val="single" w:color="auto" w:sz="10" w:space="0"/>
              <w:left w:val="single" w:color="auto" w:sz="10" w:space="0"/>
              <w:bottom w:val="single" w:color="auto" w:sz="10" w:space="0"/>
              <w:right w:val="single" w:color="auto" w:sz="10" w:space="0"/>
              <w:insideV w:val="single" w:sz="10" w:space="0"/>
            </w:tcBorders>
            <w:vAlign w:val="center"/>
          </w:tcPr>
          <w:p w14:paraId="731DBCA0">
            <w:pPr>
              <w:spacing w:before="0" w:after="0" w:line="240" w:lineRule="auto"/>
              <w:jc w:val="center"/>
            </w:pPr>
            <w:r>
              <w:rPr>
                <w:rFonts w:ascii="宋体" w:hAnsi="宋体" w:eastAsia="宋体"/>
                <w:b w:val="0"/>
                <w:i w:val="0"/>
                <w:color w:val="000000"/>
                <w:sz w:val="18"/>
              </w:rPr>
              <w:t>水闸建筑改造项目计划开始时间</w:t>
            </w:r>
          </w:p>
        </w:tc>
        <w:tc>
          <w:tcPr>
            <w:tcW w:w="813" w:type="dxa"/>
            <w:tcBorders>
              <w:top w:val="single" w:color="auto" w:sz="10" w:space="0"/>
              <w:left w:val="single" w:color="auto" w:sz="10" w:space="0"/>
              <w:bottom w:val="single" w:color="auto" w:sz="10" w:space="0"/>
              <w:right w:val="single" w:color="auto" w:sz="10" w:space="0"/>
              <w:insideV w:val="single" w:sz="10" w:space="0"/>
            </w:tcBorders>
            <w:vAlign w:val="center"/>
          </w:tcPr>
          <w:p w14:paraId="7E211743">
            <w:pPr>
              <w:spacing w:before="0" w:after="0" w:line="240" w:lineRule="auto"/>
              <w:jc w:val="center"/>
            </w:pPr>
            <w:r>
              <w:rPr>
                <w:rFonts w:ascii="宋体" w:hAnsi="宋体" w:eastAsia="宋体"/>
                <w:b w:val="0"/>
                <w:i w:val="0"/>
                <w:sz w:val="18"/>
              </w:rPr>
              <w:t>9</w:t>
            </w:r>
          </w:p>
        </w:tc>
        <w:tc>
          <w:tcPr>
            <w:tcW w:w="391" w:type="dxa"/>
            <w:tcBorders>
              <w:top w:val="single" w:color="auto" w:sz="10" w:space="0"/>
              <w:left w:val="single" w:color="auto" w:sz="10" w:space="0"/>
              <w:bottom w:val="single" w:color="auto" w:sz="10" w:space="0"/>
              <w:right w:val="single" w:color="auto" w:sz="10" w:space="0"/>
              <w:insideV w:val="single" w:sz="10" w:space="0"/>
            </w:tcBorders>
            <w:vAlign w:val="center"/>
          </w:tcPr>
          <w:p w14:paraId="412B5200">
            <w:pPr>
              <w:spacing w:before="0" w:after="0" w:line="240" w:lineRule="auto"/>
              <w:jc w:val="center"/>
            </w:pPr>
            <w:r>
              <w:rPr>
                <w:rFonts w:ascii="宋体" w:hAnsi="宋体" w:eastAsia="宋体"/>
                <w:b w:val="0"/>
                <w:i w:val="0"/>
                <w:sz w:val="18"/>
              </w:rPr>
              <w:t>=2025年7月5日</w:t>
            </w:r>
          </w:p>
        </w:tc>
        <w:tc>
          <w:tcPr>
            <w:tcW w:w="497" w:type="dxa"/>
            <w:tcBorders>
              <w:top w:val="single" w:color="auto" w:sz="10" w:space="0"/>
              <w:left w:val="single" w:color="auto" w:sz="10" w:space="0"/>
              <w:bottom w:val="single" w:color="auto" w:sz="10" w:space="0"/>
              <w:right w:val="single" w:color="auto" w:sz="10" w:space="0"/>
              <w:insideV w:val="single" w:sz="10" w:space="0"/>
            </w:tcBorders>
            <w:vAlign w:val="center"/>
          </w:tcPr>
          <w:p w14:paraId="0AF85C38">
            <w:pPr>
              <w:spacing w:before="0" w:after="0" w:line="240" w:lineRule="auto"/>
              <w:jc w:val="center"/>
            </w:pPr>
            <w:r>
              <w:rPr>
                <w:rFonts w:ascii="宋体" w:hAnsi="宋体" w:eastAsia="宋体"/>
                <w:b w:val="0"/>
                <w:i w:val="0"/>
                <w:sz w:val="18"/>
              </w:rPr>
              <w:t>2025年7月1日</w:t>
            </w:r>
          </w:p>
        </w:tc>
        <w:tc>
          <w:tcPr>
            <w:tcW w:w="497" w:type="dxa"/>
            <w:tcBorders>
              <w:top w:val="single" w:color="auto" w:sz="10" w:space="0"/>
              <w:left w:val="single" w:color="auto" w:sz="10" w:space="0"/>
              <w:bottom w:val="single" w:color="auto" w:sz="10" w:space="0"/>
              <w:right w:val="single" w:color="auto" w:sz="10" w:space="0"/>
              <w:insideV w:val="single" w:sz="10" w:space="0"/>
            </w:tcBorders>
            <w:vAlign w:val="center"/>
          </w:tcPr>
          <w:p w14:paraId="14F4FCCA">
            <w:pPr>
              <w:spacing w:before="0" w:after="0" w:line="240" w:lineRule="auto"/>
              <w:jc w:val="center"/>
            </w:pPr>
            <w:r>
              <w:rPr>
                <w:rFonts w:ascii="宋体" w:hAnsi="宋体" w:eastAsia="宋体"/>
                <w:b w:val="0"/>
                <w:i w:val="0"/>
                <w:sz w:val="18"/>
              </w:rPr>
              <w:t>100%</w:t>
            </w:r>
          </w:p>
        </w:tc>
        <w:tc>
          <w:tcPr>
            <w:tcW w:w="497" w:type="dxa"/>
            <w:tcBorders>
              <w:top w:val="single" w:color="auto" w:sz="10" w:space="0"/>
              <w:left w:val="single" w:color="auto" w:sz="10" w:space="0"/>
              <w:bottom w:val="single" w:color="auto" w:sz="10" w:space="0"/>
              <w:right w:val="single" w:color="auto" w:sz="10" w:space="0"/>
              <w:insideV w:val="single" w:sz="10" w:space="0"/>
            </w:tcBorders>
            <w:vAlign w:val="center"/>
          </w:tcPr>
          <w:p w14:paraId="370D70AE">
            <w:pPr>
              <w:spacing w:before="0" w:after="0" w:line="240" w:lineRule="auto"/>
              <w:jc w:val="center"/>
            </w:pPr>
            <w:r>
              <w:rPr>
                <w:rFonts w:ascii="宋体" w:hAnsi="宋体" w:eastAsia="宋体"/>
                <w:b w:val="0"/>
                <w:i w:val="0"/>
                <w:sz w:val="18"/>
              </w:rPr>
              <w:t>9</w:t>
            </w:r>
          </w:p>
        </w:tc>
        <w:tc>
          <w:tcPr>
            <w:tcW w:w="497" w:type="dxa"/>
            <w:tcBorders>
              <w:top w:val="single" w:color="auto" w:sz="10" w:space="0"/>
              <w:left w:val="single" w:color="auto" w:sz="10" w:space="0"/>
              <w:bottom w:val="single" w:color="auto" w:sz="10" w:space="0"/>
              <w:right w:val="single" w:color="auto" w:sz="10" w:space="0"/>
              <w:insideV w:val="single" w:sz="10" w:space="0"/>
            </w:tcBorders>
            <w:vAlign w:val="center"/>
          </w:tcPr>
          <w:p w14:paraId="087B9845">
            <w:pPr>
              <w:spacing w:before="0" w:after="0" w:line="240" w:lineRule="auto"/>
              <w:jc w:val="center"/>
            </w:pPr>
            <w:r>
              <w:rPr>
                <w:rFonts w:ascii="宋体" w:hAnsi="宋体" w:eastAsia="宋体"/>
                <w:b w:val="0"/>
                <w:i w:val="0"/>
                <w:sz w:val="18"/>
              </w:rPr>
              <w:t>计划标准</w:t>
            </w:r>
          </w:p>
        </w:tc>
        <w:tc>
          <w:tcPr>
            <w:tcW w:w="497" w:type="dxa"/>
            <w:tcBorders>
              <w:top w:val="single" w:color="auto" w:sz="10" w:space="0"/>
              <w:left w:val="single" w:color="auto" w:sz="10" w:space="0"/>
              <w:bottom w:val="single" w:color="auto" w:sz="10" w:space="0"/>
              <w:right w:val="single" w:color="auto" w:sz="10" w:space="0"/>
              <w:insideV w:val="single" w:sz="10" w:space="0"/>
            </w:tcBorders>
            <w:vAlign w:val="center"/>
          </w:tcPr>
          <w:p w14:paraId="1CCC32E6">
            <w:pPr>
              <w:spacing w:before="0" w:after="0" w:line="240" w:lineRule="auto"/>
              <w:jc w:val="center"/>
            </w:pPr>
            <w:r>
              <w:rPr>
                <w:rFonts w:ascii="宋体" w:hAnsi="宋体" w:eastAsia="宋体"/>
                <w:b w:val="0"/>
                <w:i w:val="0"/>
                <w:sz w:val="18"/>
              </w:rPr>
              <w:t>-</w:t>
            </w:r>
          </w:p>
        </w:tc>
        <w:tc>
          <w:tcPr>
            <w:tcW w:w="680" w:type="dxa"/>
            <w:tcBorders>
              <w:top w:val="single" w:color="auto" w:sz="10" w:space="0"/>
              <w:left w:val="single" w:color="auto" w:sz="10" w:space="0"/>
              <w:bottom w:val="single" w:color="auto" w:sz="10" w:space="0"/>
              <w:right w:val="single" w:color="auto" w:sz="10" w:space="0"/>
              <w:insideV w:val="single" w:sz="10" w:space="0"/>
            </w:tcBorders>
            <w:vAlign w:val="center"/>
          </w:tcPr>
          <w:p w14:paraId="5C1C7187">
            <w:pPr>
              <w:spacing w:before="0" w:after="0" w:line="240" w:lineRule="auto"/>
              <w:jc w:val="center"/>
            </w:pPr>
            <w:r>
              <w:rPr>
                <w:rFonts w:ascii="宋体" w:hAnsi="宋体" w:eastAsia="宋体"/>
                <w:b w:val="0"/>
                <w:i w:val="0"/>
                <w:sz w:val="18"/>
              </w:rPr>
              <w:t>按照完成比例赋分</w:t>
            </w:r>
          </w:p>
        </w:tc>
        <w:tc>
          <w:tcPr>
            <w:tcW w:w="603" w:type="dxa"/>
            <w:tcBorders>
              <w:top w:val="single" w:color="auto" w:sz="10" w:space="0"/>
              <w:left w:val="single" w:color="auto" w:sz="10" w:space="0"/>
              <w:bottom w:val="single" w:color="auto" w:sz="10" w:space="0"/>
              <w:right w:val="single" w:color="auto" w:sz="10" w:space="0"/>
              <w:insideV w:val="single" w:sz="10" w:space="0"/>
            </w:tcBorders>
            <w:vAlign w:val="center"/>
          </w:tcPr>
          <w:p w14:paraId="0ABA7EBE">
            <w:pPr>
              <w:spacing w:before="0" w:after="0" w:line="240" w:lineRule="auto"/>
              <w:jc w:val="center"/>
            </w:pPr>
            <w:r>
              <w:rPr>
                <w:rFonts w:ascii="宋体" w:hAnsi="宋体" w:eastAsia="宋体"/>
                <w:b w:val="0"/>
                <w:i w:val="0"/>
                <w:sz w:val="18"/>
              </w:rPr>
              <w:t>工作资料</w:t>
            </w:r>
          </w:p>
        </w:tc>
        <w:tc>
          <w:tcPr>
            <w:tcW w:w="1402" w:type="dxa"/>
            <w:tcBorders>
              <w:top w:val="single" w:color="auto" w:sz="10" w:space="0"/>
              <w:left w:val="single" w:color="auto" w:sz="10" w:space="0"/>
              <w:bottom w:val="single" w:color="auto" w:sz="10" w:space="0"/>
              <w:right w:val="single" w:color="auto" w:sz="10" w:space="0"/>
              <w:insideV w:val="single" w:sz="10" w:space="0"/>
            </w:tcBorders>
            <w:vAlign w:val="center"/>
          </w:tcPr>
          <w:p w14:paraId="09C78D61">
            <w:pPr>
              <w:spacing w:before="0" w:after="0" w:line="240" w:lineRule="auto"/>
              <w:jc w:val="center"/>
            </w:pPr>
          </w:p>
        </w:tc>
      </w:tr>
      <w:tr w14:paraId="49B7717F">
        <w:tblPrEx>
          <w:tblCellMar>
            <w:top w:w="36" w:type="dxa"/>
            <w:left w:w="36" w:type="dxa"/>
            <w:bottom w:w="36" w:type="dxa"/>
            <w:right w:w="36" w:type="dxa"/>
          </w:tblCellMar>
        </w:tblPrEx>
        <w:trPr>
          <w:trHeight w:val="380" w:hRule="atLeast"/>
        </w:trPr>
        <w:tc>
          <w:tcPr>
            <w:tcW w:w="355" w:type="dxa"/>
            <w:vMerge w:val="continue"/>
            <w:tcBorders>
              <w:top w:val="single" w:color="auto" w:sz="10" w:space="0"/>
              <w:left w:val="single" w:color="auto" w:sz="10" w:space="0"/>
              <w:bottom w:val="single" w:color="auto" w:sz="10" w:space="0"/>
              <w:right w:val="single" w:color="auto" w:sz="10" w:space="0"/>
              <w:insideV w:val="single" w:sz="10" w:space="0"/>
            </w:tcBorders>
          </w:tcPr>
          <w:p w14:paraId="01641BC5"/>
        </w:tc>
        <w:tc>
          <w:tcPr>
            <w:tcW w:w="497" w:type="dxa"/>
            <w:vMerge w:val="continue"/>
            <w:tcBorders>
              <w:top w:val="single" w:color="auto" w:sz="10" w:space="0"/>
              <w:left w:val="single" w:color="auto" w:sz="10" w:space="0"/>
              <w:bottom w:val="single" w:color="auto" w:sz="10" w:space="0"/>
              <w:right w:val="single" w:color="auto" w:sz="10" w:space="0"/>
              <w:insideV w:val="single" w:sz="10" w:space="0"/>
            </w:tcBorders>
          </w:tcPr>
          <w:p w14:paraId="0DE065D0"/>
        </w:tc>
        <w:tc>
          <w:tcPr>
            <w:tcW w:w="497" w:type="dxa"/>
            <w:tcBorders>
              <w:top w:val="single" w:color="auto" w:sz="10" w:space="0"/>
              <w:left w:val="single" w:color="auto" w:sz="10" w:space="0"/>
              <w:bottom w:val="single" w:color="auto" w:sz="10" w:space="0"/>
              <w:right w:val="single" w:color="auto" w:sz="10" w:space="0"/>
              <w:insideV w:val="single" w:sz="10" w:space="0"/>
            </w:tcBorders>
            <w:vAlign w:val="center"/>
          </w:tcPr>
          <w:p w14:paraId="435FE91A">
            <w:pPr>
              <w:spacing w:before="0" w:after="0" w:line="240" w:lineRule="auto"/>
              <w:jc w:val="center"/>
            </w:pPr>
            <w:r>
              <w:rPr>
                <w:rFonts w:ascii="宋体" w:hAnsi="宋体" w:eastAsia="宋体"/>
                <w:b w:val="0"/>
                <w:i w:val="0"/>
                <w:sz w:val="18"/>
              </w:rPr>
              <w:t>时效指标</w:t>
            </w:r>
          </w:p>
        </w:tc>
        <w:tc>
          <w:tcPr>
            <w:tcW w:w="653" w:type="dxa"/>
            <w:tcBorders>
              <w:top w:val="single" w:color="auto" w:sz="10" w:space="0"/>
              <w:left w:val="single" w:color="auto" w:sz="10" w:space="0"/>
              <w:bottom w:val="single" w:color="auto" w:sz="10" w:space="0"/>
              <w:right w:val="single" w:color="auto" w:sz="10" w:space="0"/>
              <w:insideV w:val="single" w:sz="10" w:space="0"/>
            </w:tcBorders>
            <w:vAlign w:val="center"/>
          </w:tcPr>
          <w:p w14:paraId="27FA7A2C">
            <w:pPr>
              <w:spacing w:before="0" w:after="0" w:line="240" w:lineRule="auto"/>
              <w:jc w:val="center"/>
            </w:pPr>
            <w:r>
              <w:rPr>
                <w:rFonts w:ascii="宋体" w:hAnsi="宋体" w:eastAsia="宋体"/>
                <w:b w:val="0"/>
                <w:i w:val="0"/>
                <w:color w:val="000000"/>
                <w:sz w:val="18"/>
              </w:rPr>
              <w:t>水闸建筑改造项目计划完成时间</w:t>
            </w:r>
          </w:p>
        </w:tc>
        <w:tc>
          <w:tcPr>
            <w:tcW w:w="813" w:type="dxa"/>
            <w:tcBorders>
              <w:top w:val="single" w:color="auto" w:sz="10" w:space="0"/>
              <w:left w:val="single" w:color="auto" w:sz="10" w:space="0"/>
              <w:bottom w:val="single" w:color="auto" w:sz="10" w:space="0"/>
              <w:right w:val="single" w:color="auto" w:sz="10" w:space="0"/>
              <w:insideV w:val="single" w:sz="10" w:space="0"/>
            </w:tcBorders>
            <w:vAlign w:val="center"/>
          </w:tcPr>
          <w:p w14:paraId="23CADF69">
            <w:pPr>
              <w:spacing w:before="0" w:after="0" w:line="240" w:lineRule="auto"/>
              <w:jc w:val="center"/>
            </w:pPr>
            <w:r>
              <w:rPr>
                <w:rFonts w:ascii="宋体" w:hAnsi="宋体" w:eastAsia="宋体"/>
                <w:b w:val="0"/>
                <w:i w:val="0"/>
                <w:sz w:val="18"/>
              </w:rPr>
              <w:t>9</w:t>
            </w:r>
          </w:p>
        </w:tc>
        <w:tc>
          <w:tcPr>
            <w:tcW w:w="391" w:type="dxa"/>
            <w:tcBorders>
              <w:top w:val="single" w:color="auto" w:sz="10" w:space="0"/>
              <w:left w:val="single" w:color="auto" w:sz="10" w:space="0"/>
              <w:bottom w:val="single" w:color="auto" w:sz="10" w:space="0"/>
              <w:right w:val="single" w:color="auto" w:sz="10" w:space="0"/>
              <w:insideV w:val="single" w:sz="10" w:space="0"/>
            </w:tcBorders>
            <w:vAlign w:val="center"/>
          </w:tcPr>
          <w:p w14:paraId="451201F4">
            <w:pPr>
              <w:spacing w:before="0" w:after="0" w:line="240" w:lineRule="auto"/>
              <w:jc w:val="center"/>
            </w:pPr>
            <w:r>
              <w:rPr>
                <w:rFonts w:ascii="宋体" w:hAnsi="宋体" w:eastAsia="宋体"/>
                <w:b w:val="0"/>
                <w:i w:val="0"/>
                <w:sz w:val="18"/>
              </w:rPr>
              <w:t>=2025年11月1日</w:t>
            </w:r>
          </w:p>
        </w:tc>
        <w:tc>
          <w:tcPr>
            <w:tcW w:w="497" w:type="dxa"/>
            <w:tcBorders>
              <w:top w:val="single" w:color="auto" w:sz="10" w:space="0"/>
              <w:left w:val="single" w:color="auto" w:sz="10" w:space="0"/>
              <w:bottom w:val="single" w:color="auto" w:sz="10" w:space="0"/>
              <w:right w:val="single" w:color="auto" w:sz="10" w:space="0"/>
              <w:insideV w:val="single" w:sz="10" w:space="0"/>
            </w:tcBorders>
            <w:vAlign w:val="center"/>
          </w:tcPr>
          <w:p w14:paraId="7091705E">
            <w:pPr>
              <w:spacing w:before="0" w:after="0" w:line="240" w:lineRule="auto"/>
              <w:jc w:val="center"/>
            </w:pPr>
            <w:r>
              <w:rPr>
                <w:rFonts w:ascii="宋体" w:hAnsi="宋体" w:eastAsia="宋体"/>
                <w:b w:val="0"/>
                <w:i w:val="0"/>
                <w:sz w:val="18"/>
              </w:rPr>
              <w:t>2025年11月24日</w:t>
            </w:r>
          </w:p>
        </w:tc>
        <w:tc>
          <w:tcPr>
            <w:tcW w:w="497" w:type="dxa"/>
            <w:tcBorders>
              <w:top w:val="single" w:color="auto" w:sz="10" w:space="0"/>
              <w:left w:val="single" w:color="auto" w:sz="10" w:space="0"/>
              <w:bottom w:val="single" w:color="auto" w:sz="10" w:space="0"/>
              <w:right w:val="single" w:color="auto" w:sz="10" w:space="0"/>
              <w:insideV w:val="single" w:sz="10" w:space="0"/>
            </w:tcBorders>
            <w:vAlign w:val="center"/>
          </w:tcPr>
          <w:p w14:paraId="70E5B8B7">
            <w:pPr>
              <w:spacing w:before="0" w:after="0" w:line="240" w:lineRule="auto"/>
              <w:jc w:val="center"/>
            </w:pPr>
            <w:r>
              <w:rPr>
                <w:rFonts w:ascii="宋体" w:hAnsi="宋体" w:eastAsia="宋体"/>
                <w:b w:val="0"/>
                <w:i w:val="0"/>
                <w:sz w:val="18"/>
              </w:rPr>
              <w:t>0%</w:t>
            </w:r>
          </w:p>
        </w:tc>
        <w:tc>
          <w:tcPr>
            <w:tcW w:w="497" w:type="dxa"/>
            <w:tcBorders>
              <w:top w:val="single" w:color="auto" w:sz="10" w:space="0"/>
              <w:left w:val="single" w:color="auto" w:sz="10" w:space="0"/>
              <w:bottom w:val="single" w:color="auto" w:sz="10" w:space="0"/>
              <w:right w:val="single" w:color="auto" w:sz="10" w:space="0"/>
              <w:insideV w:val="single" w:sz="10" w:space="0"/>
            </w:tcBorders>
            <w:vAlign w:val="center"/>
          </w:tcPr>
          <w:p w14:paraId="1EB0541C">
            <w:pPr>
              <w:spacing w:before="0" w:after="0" w:line="240" w:lineRule="auto"/>
              <w:jc w:val="center"/>
            </w:pPr>
            <w:r>
              <w:rPr>
                <w:rFonts w:ascii="宋体" w:hAnsi="宋体" w:eastAsia="宋体"/>
                <w:b w:val="0"/>
                <w:i w:val="0"/>
                <w:sz w:val="18"/>
              </w:rPr>
              <w:t>0</w:t>
            </w:r>
          </w:p>
        </w:tc>
        <w:tc>
          <w:tcPr>
            <w:tcW w:w="497" w:type="dxa"/>
            <w:tcBorders>
              <w:top w:val="single" w:color="auto" w:sz="10" w:space="0"/>
              <w:left w:val="single" w:color="auto" w:sz="10" w:space="0"/>
              <w:bottom w:val="single" w:color="auto" w:sz="10" w:space="0"/>
              <w:right w:val="single" w:color="auto" w:sz="10" w:space="0"/>
              <w:insideV w:val="single" w:sz="10" w:space="0"/>
            </w:tcBorders>
            <w:vAlign w:val="center"/>
          </w:tcPr>
          <w:p w14:paraId="02D31E94">
            <w:pPr>
              <w:spacing w:before="0" w:after="0" w:line="240" w:lineRule="auto"/>
              <w:jc w:val="center"/>
            </w:pPr>
            <w:r>
              <w:rPr>
                <w:rFonts w:ascii="宋体" w:hAnsi="宋体" w:eastAsia="宋体"/>
                <w:b w:val="0"/>
                <w:i w:val="0"/>
                <w:sz w:val="18"/>
              </w:rPr>
              <w:t>计划标准</w:t>
            </w:r>
          </w:p>
        </w:tc>
        <w:tc>
          <w:tcPr>
            <w:tcW w:w="497" w:type="dxa"/>
            <w:tcBorders>
              <w:top w:val="single" w:color="auto" w:sz="10" w:space="0"/>
              <w:left w:val="single" w:color="auto" w:sz="10" w:space="0"/>
              <w:bottom w:val="single" w:color="auto" w:sz="10" w:space="0"/>
              <w:right w:val="single" w:color="auto" w:sz="10" w:space="0"/>
              <w:insideV w:val="single" w:sz="10" w:space="0"/>
            </w:tcBorders>
            <w:vAlign w:val="center"/>
          </w:tcPr>
          <w:p w14:paraId="0FD5DE1B">
            <w:pPr>
              <w:spacing w:before="0" w:after="0" w:line="240" w:lineRule="auto"/>
              <w:jc w:val="center"/>
            </w:pPr>
            <w:r>
              <w:rPr>
                <w:rFonts w:ascii="宋体" w:hAnsi="宋体" w:eastAsia="宋体"/>
                <w:b w:val="0"/>
                <w:i w:val="0"/>
                <w:sz w:val="18"/>
              </w:rPr>
              <w:t>-</w:t>
            </w:r>
          </w:p>
        </w:tc>
        <w:tc>
          <w:tcPr>
            <w:tcW w:w="680" w:type="dxa"/>
            <w:tcBorders>
              <w:top w:val="single" w:color="auto" w:sz="10" w:space="0"/>
              <w:left w:val="single" w:color="auto" w:sz="10" w:space="0"/>
              <w:bottom w:val="single" w:color="auto" w:sz="10" w:space="0"/>
              <w:right w:val="single" w:color="auto" w:sz="10" w:space="0"/>
              <w:insideV w:val="single" w:sz="10" w:space="0"/>
            </w:tcBorders>
            <w:vAlign w:val="center"/>
          </w:tcPr>
          <w:p w14:paraId="70808815">
            <w:pPr>
              <w:spacing w:before="0" w:after="0" w:line="240" w:lineRule="auto"/>
              <w:jc w:val="center"/>
            </w:pPr>
            <w:r>
              <w:rPr>
                <w:rFonts w:ascii="宋体" w:hAnsi="宋体" w:eastAsia="宋体"/>
                <w:b w:val="0"/>
                <w:i w:val="0"/>
                <w:sz w:val="18"/>
              </w:rPr>
              <w:t>按照完成比例赋分</w:t>
            </w:r>
          </w:p>
        </w:tc>
        <w:tc>
          <w:tcPr>
            <w:tcW w:w="603" w:type="dxa"/>
            <w:tcBorders>
              <w:top w:val="single" w:color="auto" w:sz="10" w:space="0"/>
              <w:left w:val="single" w:color="auto" w:sz="10" w:space="0"/>
              <w:bottom w:val="single" w:color="auto" w:sz="10" w:space="0"/>
              <w:right w:val="single" w:color="auto" w:sz="10" w:space="0"/>
              <w:insideV w:val="single" w:sz="10" w:space="0"/>
            </w:tcBorders>
            <w:vAlign w:val="center"/>
          </w:tcPr>
          <w:p w14:paraId="7387A273">
            <w:pPr>
              <w:spacing w:before="0" w:after="0" w:line="240" w:lineRule="auto"/>
              <w:jc w:val="center"/>
            </w:pPr>
            <w:r>
              <w:rPr>
                <w:rFonts w:ascii="宋体" w:hAnsi="宋体" w:eastAsia="宋体"/>
                <w:b w:val="0"/>
                <w:i w:val="0"/>
                <w:sz w:val="18"/>
              </w:rPr>
              <w:t>工作资料</w:t>
            </w:r>
          </w:p>
        </w:tc>
        <w:tc>
          <w:tcPr>
            <w:tcW w:w="1402" w:type="dxa"/>
            <w:tcBorders>
              <w:top w:val="single" w:color="auto" w:sz="10" w:space="0"/>
              <w:left w:val="single" w:color="auto" w:sz="10" w:space="0"/>
              <w:bottom w:val="single" w:color="auto" w:sz="10" w:space="0"/>
              <w:right w:val="single" w:color="auto" w:sz="10" w:space="0"/>
              <w:insideV w:val="single" w:sz="10" w:space="0"/>
            </w:tcBorders>
            <w:vAlign w:val="center"/>
          </w:tcPr>
          <w:p w14:paraId="249953D9">
            <w:pPr>
              <w:spacing w:before="0" w:after="0" w:line="240" w:lineRule="auto"/>
              <w:jc w:val="center"/>
            </w:pPr>
            <w:r>
              <w:rPr>
                <w:rFonts w:ascii="宋体" w:hAnsi="宋体" w:eastAsia="宋体"/>
                <w:b w:val="0"/>
                <w:i w:val="0"/>
                <w:sz w:val="18"/>
              </w:rPr>
              <w:t>偏差原因：本项目计划指标完成时间为2025年11月1日，实际完成时间2025年11月24日，较计划完成时间滞后23天。原为因绩效指标设置刚性过强，缺乏弹性空间，将计划时间机械地设定为“2025年11月1日”这一绝对时点，而未采用“&lt;=2025年11月1日”，在绩效目标制定的科学性、合理性方面存在欠缺，对水利工程建设周期的规律性把握不够精准。改进措施：在今后的绩效指标设置中，提升科学性与灵活性，预留合理的工期弹性空间。</w:t>
            </w:r>
          </w:p>
        </w:tc>
      </w:tr>
      <w:tr w14:paraId="1F321F21">
        <w:tblPrEx>
          <w:tblCellMar>
            <w:top w:w="36" w:type="dxa"/>
            <w:left w:w="36" w:type="dxa"/>
            <w:bottom w:w="36" w:type="dxa"/>
            <w:right w:w="36" w:type="dxa"/>
          </w:tblCellMar>
        </w:tblPrEx>
        <w:trPr>
          <w:trHeight w:val="380" w:hRule="atLeast"/>
        </w:trPr>
        <w:tc>
          <w:tcPr>
            <w:tcW w:w="355" w:type="dxa"/>
            <w:vMerge w:val="continue"/>
            <w:tcBorders>
              <w:top w:val="single" w:color="auto" w:sz="10" w:space="0"/>
              <w:left w:val="single" w:color="auto" w:sz="10" w:space="0"/>
              <w:bottom w:val="single" w:color="auto" w:sz="10" w:space="0"/>
              <w:right w:val="single" w:color="auto" w:sz="10" w:space="0"/>
              <w:insideV w:val="single" w:sz="10" w:space="0"/>
            </w:tcBorders>
          </w:tcPr>
          <w:p w14:paraId="44B61B10"/>
        </w:tc>
        <w:tc>
          <w:tcPr>
            <w:tcW w:w="497"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95F3719">
            <w:pPr>
              <w:spacing w:before="0" w:after="0" w:line="240" w:lineRule="auto"/>
              <w:jc w:val="center"/>
            </w:pPr>
            <w:r>
              <w:rPr>
                <w:rFonts w:ascii="宋体" w:hAnsi="宋体" w:eastAsia="宋体"/>
                <w:b w:val="0"/>
                <w:i w:val="0"/>
                <w:sz w:val="18"/>
              </w:rPr>
              <w:t>成本指标</w:t>
            </w:r>
          </w:p>
        </w:tc>
        <w:tc>
          <w:tcPr>
            <w:tcW w:w="497" w:type="dxa"/>
            <w:tcBorders>
              <w:top w:val="single" w:color="auto" w:sz="10" w:space="0"/>
              <w:left w:val="single" w:color="auto" w:sz="10" w:space="0"/>
              <w:bottom w:val="single" w:color="auto" w:sz="10" w:space="0"/>
              <w:right w:val="single" w:color="auto" w:sz="10" w:space="0"/>
              <w:insideV w:val="single" w:sz="10" w:space="0"/>
            </w:tcBorders>
            <w:vAlign w:val="center"/>
          </w:tcPr>
          <w:p w14:paraId="1DEB6847">
            <w:pPr>
              <w:spacing w:before="0" w:after="0" w:line="240" w:lineRule="auto"/>
              <w:jc w:val="center"/>
            </w:pPr>
            <w:r>
              <w:rPr>
                <w:rFonts w:ascii="宋体" w:hAnsi="宋体" w:eastAsia="宋体"/>
                <w:b w:val="0"/>
                <w:i w:val="0"/>
                <w:sz w:val="18"/>
              </w:rPr>
              <w:t>经济成本指标</w:t>
            </w:r>
          </w:p>
        </w:tc>
        <w:tc>
          <w:tcPr>
            <w:tcW w:w="653" w:type="dxa"/>
            <w:tcBorders>
              <w:top w:val="single" w:color="auto" w:sz="10" w:space="0"/>
              <w:left w:val="single" w:color="auto" w:sz="10" w:space="0"/>
              <w:bottom w:val="single" w:color="auto" w:sz="10" w:space="0"/>
              <w:right w:val="single" w:color="auto" w:sz="10" w:space="0"/>
              <w:insideV w:val="single" w:sz="10" w:space="0"/>
            </w:tcBorders>
            <w:vAlign w:val="center"/>
          </w:tcPr>
          <w:p w14:paraId="2D5952D4">
            <w:pPr>
              <w:spacing w:before="0" w:after="0" w:line="240" w:lineRule="auto"/>
              <w:jc w:val="center"/>
            </w:pPr>
            <w:r>
              <w:rPr>
                <w:rFonts w:ascii="宋体" w:hAnsi="宋体" w:eastAsia="宋体"/>
                <w:b w:val="0"/>
                <w:i w:val="0"/>
                <w:color w:val="000000"/>
                <w:sz w:val="18"/>
              </w:rPr>
              <w:t>正常运行经费支出</w:t>
            </w:r>
          </w:p>
        </w:tc>
        <w:tc>
          <w:tcPr>
            <w:tcW w:w="813" w:type="dxa"/>
            <w:tcBorders>
              <w:top w:val="single" w:color="auto" w:sz="10" w:space="0"/>
              <w:left w:val="single" w:color="auto" w:sz="10" w:space="0"/>
              <w:bottom w:val="single" w:color="auto" w:sz="10" w:space="0"/>
              <w:right w:val="single" w:color="auto" w:sz="10" w:space="0"/>
              <w:insideV w:val="single" w:sz="10" w:space="0"/>
            </w:tcBorders>
            <w:vAlign w:val="center"/>
          </w:tcPr>
          <w:p w14:paraId="52B5CE21">
            <w:pPr>
              <w:spacing w:before="0" w:after="0" w:line="240" w:lineRule="auto"/>
              <w:jc w:val="center"/>
            </w:pPr>
            <w:r>
              <w:rPr>
                <w:rFonts w:ascii="宋体" w:hAnsi="宋体" w:eastAsia="宋体"/>
                <w:b w:val="0"/>
                <w:i w:val="0"/>
                <w:sz w:val="18"/>
              </w:rPr>
              <w:t>10</w:t>
            </w:r>
          </w:p>
        </w:tc>
        <w:tc>
          <w:tcPr>
            <w:tcW w:w="391" w:type="dxa"/>
            <w:tcBorders>
              <w:top w:val="single" w:color="auto" w:sz="10" w:space="0"/>
              <w:left w:val="single" w:color="auto" w:sz="10" w:space="0"/>
              <w:bottom w:val="single" w:color="auto" w:sz="10" w:space="0"/>
              <w:right w:val="single" w:color="auto" w:sz="10" w:space="0"/>
              <w:insideV w:val="single" w:sz="10" w:space="0"/>
            </w:tcBorders>
            <w:vAlign w:val="center"/>
          </w:tcPr>
          <w:p w14:paraId="11925DD9">
            <w:pPr>
              <w:spacing w:before="0" w:after="0" w:line="240" w:lineRule="auto"/>
              <w:jc w:val="center"/>
            </w:pPr>
            <w:r>
              <w:rPr>
                <w:rFonts w:ascii="宋体" w:hAnsi="宋体" w:eastAsia="宋体"/>
                <w:b w:val="0"/>
                <w:i w:val="0"/>
                <w:sz w:val="18"/>
              </w:rPr>
              <w:t>&lt;=4283.61万元</w:t>
            </w:r>
          </w:p>
        </w:tc>
        <w:tc>
          <w:tcPr>
            <w:tcW w:w="497" w:type="dxa"/>
            <w:tcBorders>
              <w:top w:val="single" w:color="auto" w:sz="10" w:space="0"/>
              <w:left w:val="single" w:color="auto" w:sz="10" w:space="0"/>
              <w:bottom w:val="single" w:color="auto" w:sz="10" w:space="0"/>
              <w:right w:val="single" w:color="auto" w:sz="10" w:space="0"/>
              <w:insideV w:val="single" w:sz="10" w:space="0"/>
            </w:tcBorders>
            <w:vAlign w:val="center"/>
          </w:tcPr>
          <w:p w14:paraId="162573AE">
            <w:pPr>
              <w:spacing w:before="0" w:after="0" w:line="240" w:lineRule="auto"/>
              <w:jc w:val="center"/>
            </w:pPr>
            <w:r>
              <w:rPr>
                <w:rFonts w:ascii="宋体" w:hAnsi="宋体" w:eastAsia="宋体"/>
                <w:b w:val="0"/>
                <w:i w:val="0"/>
                <w:sz w:val="18"/>
              </w:rPr>
              <w:t>=4283.61万元</w:t>
            </w:r>
          </w:p>
        </w:tc>
        <w:tc>
          <w:tcPr>
            <w:tcW w:w="497" w:type="dxa"/>
            <w:tcBorders>
              <w:top w:val="single" w:color="auto" w:sz="10" w:space="0"/>
              <w:left w:val="single" w:color="auto" w:sz="10" w:space="0"/>
              <w:bottom w:val="single" w:color="auto" w:sz="10" w:space="0"/>
              <w:right w:val="single" w:color="auto" w:sz="10" w:space="0"/>
              <w:insideV w:val="single" w:sz="10" w:space="0"/>
            </w:tcBorders>
            <w:vAlign w:val="center"/>
          </w:tcPr>
          <w:p w14:paraId="1482AD88">
            <w:pPr>
              <w:spacing w:before="0" w:after="0" w:line="240" w:lineRule="auto"/>
              <w:jc w:val="center"/>
            </w:pPr>
            <w:r>
              <w:rPr>
                <w:rFonts w:ascii="宋体" w:hAnsi="宋体" w:eastAsia="宋体"/>
                <w:b w:val="0"/>
                <w:i w:val="0"/>
                <w:sz w:val="18"/>
              </w:rPr>
              <w:t>100%</w:t>
            </w:r>
          </w:p>
        </w:tc>
        <w:tc>
          <w:tcPr>
            <w:tcW w:w="497" w:type="dxa"/>
            <w:tcBorders>
              <w:top w:val="single" w:color="auto" w:sz="10" w:space="0"/>
              <w:left w:val="single" w:color="auto" w:sz="10" w:space="0"/>
              <w:bottom w:val="single" w:color="auto" w:sz="10" w:space="0"/>
              <w:right w:val="single" w:color="auto" w:sz="10" w:space="0"/>
              <w:insideV w:val="single" w:sz="10" w:space="0"/>
            </w:tcBorders>
            <w:vAlign w:val="center"/>
          </w:tcPr>
          <w:p w14:paraId="0DA38978">
            <w:pPr>
              <w:spacing w:before="0" w:after="0" w:line="240" w:lineRule="auto"/>
              <w:jc w:val="center"/>
            </w:pPr>
            <w:r>
              <w:rPr>
                <w:rFonts w:ascii="宋体" w:hAnsi="宋体" w:eastAsia="宋体"/>
                <w:b w:val="0"/>
                <w:i w:val="0"/>
                <w:sz w:val="18"/>
              </w:rPr>
              <w:t>10</w:t>
            </w:r>
          </w:p>
        </w:tc>
        <w:tc>
          <w:tcPr>
            <w:tcW w:w="497" w:type="dxa"/>
            <w:tcBorders>
              <w:top w:val="single" w:color="auto" w:sz="10" w:space="0"/>
              <w:left w:val="single" w:color="auto" w:sz="10" w:space="0"/>
              <w:bottom w:val="single" w:color="auto" w:sz="10" w:space="0"/>
              <w:right w:val="single" w:color="auto" w:sz="10" w:space="0"/>
              <w:insideV w:val="single" w:sz="10" w:space="0"/>
            </w:tcBorders>
            <w:vAlign w:val="center"/>
          </w:tcPr>
          <w:p w14:paraId="2061DE1B">
            <w:pPr>
              <w:spacing w:before="0" w:after="0" w:line="240" w:lineRule="auto"/>
              <w:jc w:val="center"/>
            </w:pPr>
            <w:r>
              <w:rPr>
                <w:rFonts w:ascii="宋体" w:hAnsi="宋体" w:eastAsia="宋体"/>
                <w:b w:val="0"/>
                <w:i w:val="0"/>
                <w:sz w:val="18"/>
              </w:rPr>
              <w:t>计划标准</w:t>
            </w:r>
          </w:p>
        </w:tc>
        <w:tc>
          <w:tcPr>
            <w:tcW w:w="497" w:type="dxa"/>
            <w:tcBorders>
              <w:top w:val="single" w:color="auto" w:sz="10" w:space="0"/>
              <w:left w:val="single" w:color="auto" w:sz="10" w:space="0"/>
              <w:bottom w:val="single" w:color="auto" w:sz="10" w:space="0"/>
              <w:right w:val="single" w:color="auto" w:sz="10" w:space="0"/>
              <w:insideV w:val="single" w:sz="10" w:space="0"/>
            </w:tcBorders>
            <w:vAlign w:val="center"/>
          </w:tcPr>
          <w:p w14:paraId="08C73F10">
            <w:pPr>
              <w:spacing w:before="0" w:after="0" w:line="240" w:lineRule="auto"/>
              <w:jc w:val="center"/>
            </w:pPr>
            <w:r>
              <w:rPr>
                <w:rFonts w:ascii="宋体" w:hAnsi="宋体" w:eastAsia="宋体"/>
                <w:b w:val="0"/>
                <w:i w:val="0"/>
                <w:sz w:val="18"/>
              </w:rPr>
              <w:t>-</w:t>
            </w:r>
          </w:p>
        </w:tc>
        <w:tc>
          <w:tcPr>
            <w:tcW w:w="680" w:type="dxa"/>
            <w:tcBorders>
              <w:top w:val="single" w:color="auto" w:sz="10" w:space="0"/>
              <w:left w:val="single" w:color="auto" w:sz="10" w:space="0"/>
              <w:bottom w:val="single" w:color="auto" w:sz="10" w:space="0"/>
              <w:right w:val="single" w:color="auto" w:sz="10" w:space="0"/>
              <w:insideV w:val="single" w:sz="10" w:space="0"/>
            </w:tcBorders>
            <w:vAlign w:val="center"/>
          </w:tcPr>
          <w:p w14:paraId="47E25D7F">
            <w:pPr>
              <w:spacing w:before="0" w:after="0" w:line="240" w:lineRule="auto"/>
              <w:jc w:val="center"/>
            </w:pPr>
            <w:r>
              <w:rPr>
                <w:rFonts w:ascii="宋体" w:hAnsi="宋体" w:eastAsia="宋体"/>
                <w:b w:val="0"/>
                <w:i w:val="0"/>
                <w:sz w:val="18"/>
              </w:rPr>
              <w:t>按照完成比例赋分</w:t>
            </w:r>
          </w:p>
        </w:tc>
        <w:tc>
          <w:tcPr>
            <w:tcW w:w="603" w:type="dxa"/>
            <w:tcBorders>
              <w:top w:val="single" w:color="auto" w:sz="10" w:space="0"/>
              <w:left w:val="single" w:color="auto" w:sz="10" w:space="0"/>
              <w:bottom w:val="single" w:color="auto" w:sz="10" w:space="0"/>
              <w:right w:val="single" w:color="auto" w:sz="10" w:space="0"/>
              <w:insideV w:val="single" w:sz="10" w:space="0"/>
            </w:tcBorders>
            <w:vAlign w:val="center"/>
          </w:tcPr>
          <w:p w14:paraId="5427645B">
            <w:pPr>
              <w:spacing w:before="0" w:after="0" w:line="240" w:lineRule="auto"/>
              <w:jc w:val="center"/>
            </w:pPr>
            <w:r>
              <w:rPr>
                <w:rFonts w:ascii="宋体" w:hAnsi="宋体" w:eastAsia="宋体"/>
                <w:b w:val="0"/>
                <w:i w:val="0"/>
                <w:sz w:val="18"/>
              </w:rPr>
              <w:t>工作资料</w:t>
            </w:r>
          </w:p>
        </w:tc>
        <w:tc>
          <w:tcPr>
            <w:tcW w:w="1402" w:type="dxa"/>
            <w:tcBorders>
              <w:top w:val="single" w:color="auto" w:sz="10" w:space="0"/>
              <w:left w:val="single" w:color="auto" w:sz="10" w:space="0"/>
              <w:bottom w:val="single" w:color="auto" w:sz="10" w:space="0"/>
              <w:right w:val="single" w:color="auto" w:sz="10" w:space="0"/>
              <w:insideV w:val="single" w:sz="10" w:space="0"/>
            </w:tcBorders>
            <w:vAlign w:val="center"/>
          </w:tcPr>
          <w:p w14:paraId="7CD34162">
            <w:pPr>
              <w:spacing w:before="0" w:after="0" w:line="240" w:lineRule="auto"/>
              <w:jc w:val="center"/>
            </w:pPr>
          </w:p>
        </w:tc>
      </w:tr>
      <w:tr w14:paraId="6CAA3972">
        <w:tblPrEx>
          <w:tblCellMar>
            <w:top w:w="36" w:type="dxa"/>
            <w:left w:w="36" w:type="dxa"/>
            <w:bottom w:w="36" w:type="dxa"/>
            <w:right w:w="36" w:type="dxa"/>
          </w:tblCellMar>
        </w:tblPrEx>
        <w:trPr>
          <w:trHeight w:val="380" w:hRule="atLeast"/>
        </w:trPr>
        <w:tc>
          <w:tcPr>
            <w:tcW w:w="355" w:type="dxa"/>
            <w:vMerge w:val="continue"/>
            <w:tcBorders>
              <w:top w:val="single" w:color="auto" w:sz="10" w:space="0"/>
              <w:left w:val="single" w:color="auto" w:sz="10" w:space="0"/>
              <w:bottom w:val="single" w:color="auto" w:sz="10" w:space="0"/>
              <w:right w:val="single" w:color="auto" w:sz="10" w:space="0"/>
              <w:insideV w:val="single" w:sz="10" w:space="0"/>
            </w:tcBorders>
          </w:tcPr>
          <w:p w14:paraId="6EB47C49"/>
        </w:tc>
        <w:tc>
          <w:tcPr>
            <w:tcW w:w="497" w:type="dxa"/>
            <w:vMerge w:val="continue"/>
            <w:tcBorders>
              <w:top w:val="single" w:color="auto" w:sz="10" w:space="0"/>
              <w:left w:val="single" w:color="auto" w:sz="10" w:space="0"/>
              <w:bottom w:val="single" w:color="auto" w:sz="10" w:space="0"/>
              <w:right w:val="single" w:color="auto" w:sz="10" w:space="0"/>
              <w:insideV w:val="single" w:sz="10" w:space="0"/>
            </w:tcBorders>
          </w:tcPr>
          <w:p w14:paraId="3DD211E3"/>
        </w:tc>
        <w:tc>
          <w:tcPr>
            <w:tcW w:w="497" w:type="dxa"/>
            <w:tcBorders>
              <w:top w:val="single" w:color="auto" w:sz="10" w:space="0"/>
              <w:left w:val="single" w:color="auto" w:sz="10" w:space="0"/>
              <w:bottom w:val="single" w:color="auto" w:sz="10" w:space="0"/>
              <w:right w:val="single" w:color="auto" w:sz="10" w:space="0"/>
              <w:insideV w:val="single" w:sz="10" w:space="0"/>
            </w:tcBorders>
            <w:vAlign w:val="center"/>
          </w:tcPr>
          <w:p w14:paraId="1CE3A032">
            <w:pPr>
              <w:spacing w:before="0" w:after="0" w:line="240" w:lineRule="auto"/>
              <w:jc w:val="center"/>
            </w:pPr>
            <w:r>
              <w:rPr>
                <w:rFonts w:ascii="宋体" w:hAnsi="宋体" w:eastAsia="宋体"/>
                <w:b w:val="0"/>
                <w:i w:val="0"/>
                <w:sz w:val="18"/>
              </w:rPr>
              <w:t>经济成本指标</w:t>
            </w:r>
          </w:p>
        </w:tc>
        <w:tc>
          <w:tcPr>
            <w:tcW w:w="653" w:type="dxa"/>
            <w:tcBorders>
              <w:top w:val="single" w:color="auto" w:sz="10" w:space="0"/>
              <w:left w:val="single" w:color="auto" w:sz="10" w:space="0"/>
              <w:bottom w:val="single" w:color="auto" w:sz="10" w:space="0"/>
              <w:right w:val="single" w:color="auto" w:sz="10" w:space="0"/>
              <w:insideV w:val="single" w:sz="10" w:space="0"/>
            </w:tcBorders>
            <w:vAlign w:val="center"/>
          </w:tcPr>
          <w:p w14:paraId="59F5B797">
            <w:pPr>
              <w:spacing w:before="0" w:after="0" w:line="240" w:lineRule="auto"/>
              <w:jc w:val="center"/>
            </w:pPr>
            <w:r>
              <w:rPr>
                <w:rFonts w:ascii="宋体" w:hAnsi="宋体" w:eastAsia="宋体"/>
                <w:b w:val="0"/>
                <w:i w:val="0"/>
                <w:color w:val="000000"/>
                <w:sz w:val="18"/>
              </w:rPr>
              <w:t>项目支出经费</w:t>
            </w:r>
          </w:p>
        </w:tc>
        <w:tc>
          <w:tcPr>
            <w:tcW w:w="813" w:type="dxa"/>
            <w:tcBorders>
              <w:top w:val="single" w:color="auto" w:sz="10" w:space="0"/>
              <w:left w:val="single" w:color="auto" w:sz="10" w:space="0"/>
              <w:bottom w:val="single" w:color="auto" w:sz="10" w:space="0"/>
              <w:right w:val="single" w:color="auto" w:sz="10" w:space="0"/>
              <w:insideV w:val="single" w:sz="10" w:space="0"/>
            </w:tcBorders>
            <w:vAlign w:val="center"/>
          </w:tcPr>
          <w:p w14:paraId="32695BD1">
            <w:pPr>
              <w:spacing w:before="0" w:after="0" w:line="240" w:lineRule="auto"/>
              <w:jc w:val="center"/>
            </w:pPr>
            <w:r>
              <w:rPr>
                <w:rFonts w:ascii="宋体" w:hAnsi="宋体" w:eastAsia="宋体"/>
                <w:b w:val="0"/>
                <w:i w:val="0"/>
                <w:sz w:val="18"/>
              </w:rPr>
              <w:t>10</w:t>
            </w:r>
          </w:p>
        </w:tc>
        <w:tc>
          <w:tcPr>
            <w:tcW w:w="391" w:type="dxa"/>
            <w:tcBorders>
              <w:top w:val="single" w:color="auto" w:sz="10" w:space="0"/>
              <w:left w:val="single" w:color="auto" w:sz="10" w:space="0"/>
              <w:bottom w:val="single" w:color="auto" w:sz="10" w:space="0"/>
              <w:right w:val="single" w:color="auto" w:sz="10" w:space="0"/>
              <w:insideV w:val="single" w:sz="10" w:space="0"/>
            </w:tcBorders>
            <w:vAlign w:val="center"/>
          </w:tcPr>
          <w:p w14:paraId="3A7134C4">
            <w:pPr>
              <w:spacing w:before="0" w:after="0" w:line="240" w:lineRule="auto"/>
              <w:jc w:val="center"/>
            </w:pPr>
            <w:r>
              <w:rPr>
                <w:rFonts w:ascii="宋体" w:hAnsi="宋体" w:eastAsia="宋体"/>
                <w:b w:val="0"/>
                <w:i w:val="0"/>
                <w:sz w:val="18"/>
              </w:rPr>
              <w:t>&lt;=729万元</w:t>
            </w:r>
          </w:p>
        </w:tc>
        <w:tc>
          <w:tcPr>
            <w:tcW w:w="497" w:type="dxa"/>
            <w:tcBorders>
              <w:top w:val="single" w:color="auto" w:sz="10" w:space="0"/>
              <w:left w:val="single" w:color="auto" w:sz="10" w:space="0"/>
              <w:bottom w:val="single" w:color="auto" w:sz="10" w:space="0"/>
              <w:right w:val="single" w:color="auto" w:sz="10" w:space="0"/>
              <w:insideV w:val="single" w:sz="10" w:space="0"/>
            </w:tcBorders>
            <w:vAlign w:val="center"/>
          </w:tcPr>
          <w:p w14:paraId="4C9F1AB0">
            <w:pPr>
              <w:spacing w:before="0" w:after="0" w:line="240" w:lineRule="auto"/>
              <w:jc w:val="center"/>
            </w:pPr>
            <w:r>
              <w:rPr>
                <w:rFonts w:ascii="宋体" w:hAnsi="宋体" w:eastAsia="宋体"/>
                <w:b w:val="0"/>
                <w:i w:val="0"/>
                <w:sz w:val="18"/>
              </w:rPr>
              <w:t>=729万元</w:t>
            </w:r>
          </w:p>
        </w:tc>
        <w:tc>
          <w:tcPr>
            <w:tcW w:w="497" w:type="dxa"/>
            <w:tcBorders>
              <w:top w:val="single" w:color="auto" w:sz="10" w:space="0"/>
              <w:left w:val="single" w:color="auto" w:sz="10" w:space="0"/>
              <w:bottom w:val="single" w:color="auto" w:sz="10" w:space="0"/>
              <w:right w:val="single" w:color="auto" w:sz="10" w:space="0"/>
              <w:insideV w:val="single" w:sz="10" w:space="0"/>
            </w:tcBorders>
            <w:vAlign w:val="center"/>
          </w:tcPr>
          <w:p w14:paraId="110B48E0">
            <w:pPr>
              <w:spacing w:before="0" w:after="0" w:line="240" w:lineRule="auto"/>
              <w:jc w:val="center"/>
            </w:pPr>
            <w:r>
              <w:rPr>
                <w:rFonts w:ascii="宋体" w:hAnsi="宋体" w:eastAsia="宋体"/>
                <w:b w:val="0"/>
                <w:i w:val="0"/>
                <w:sz w:val="18"/>
              </w:rPr>
              <w:t>100%</w:t>
            </w:r>
          </w:p>
        </w:tc>
        <w:tc>
          <w:tcPr>
            <w:tcW w:w="497" w:type="dxa"/>
            <w:tcBorders>
              <w:top w:val="single" w:color="auto" w:sz="10" w:space="0"/>
              <w:left w:val="single" w:color="auto" w:sz="10" w:space="0"/>
              <w:bottom w:val="single" w:color="auto" w:sz="10" w:space="0"/>
              <w:right w:val="single" w:color="auto" w:sz="10" w:space="0"/>
              <w:insideV w:val="single" w:sz="10" w:space="0"/>
            </w:tcBorders>
            <w:vAlign w:val="center"/>
          </w:tcPr>
          <w:p w14:paraId="27895D2B">
            <w:pPr>
              <w:spacing w:before="0" w:after="0" w:line="240" w:lineRule="auto"/>
              <w:jc w:val="center"/>
            </w:pPr>
            <w:r>
              <w:rPr>
                <w:rFonts w:ascii="宋体" w:hAnsi="宋体" w:eastAsia="宋体"/>
                <w:b w:val="0"/>
                <w:i w:val="0"/>
                <w:sz w:val="18"/>
              </w:rPr>
              <w:t>10</w:t>
            </w:r>
          </w:p>
        </w:tc>
        <w:tc>
          <w:tcPr>
            <w:tcW w:w="497" w:type="dxa"/>
            <w:tcBorders>
              <w:top w:val="single" w:color="auto" w:sz="10" w:space="0"/>
              <w:left w:val="single" w:color="auto" w:sz="10" w:space="0"/>
              <w:bottom w:val="single" w:color="auto" w:sz="10" w:space="0"/>
              <w:right w:val="single" w:color="auto" w:sz="10" w:space="0"/>
              <w:insideV w:val="single" w:sz="10" w:space="0"/>
            </w:tcBorders>
            <w:vAlign w:val="center"/>
          </w:tcPr>
          <w:p w14:paraId="56573076">
            <w:pPr>
              <w:spacing w:before="0" w:after="0" w:line="240" w:lineRule="auto"/>
              <w:jc w:val="center"/>
            </w:pPr>
            <w:r>
              <w:rPr>
                <w:rFonts w:ascii="宋体" w:hAnsi="宋体" w:eastAsia="宋体"/>
                <w:b w:val="0"/>
                <w:i w:val="0"/>
                <w:sz w:val="18"/>
              </w:rPr>
              <w:t>计划标准</w:t>
            </w:r>
          </w:p>
        </w:tc>
        <w:tc>
          <w:tcPr>
            <w:tcW w:w="497" w:type="dxa"/>
            <w:tcBorders>
              <w:top w:val="single" w:color="auto" w:sz="10" w:space="0"/>
              <w:left w:val="single" w:color="auto" w:sz="10" w:space="0"/>
              <w:bottom w:val="single" w:color="auto" w:sz="10" w:space="0"/>
              <w:right w:val="single" w:color="auto" w:sz="10" w:space="0"/>
              <w:insideV w:val="single" w:sz="10" w:space="0"/>
            </w:tcBorders>
            <w:vAlign w:val="center"/>
          </w:tcPr>
          <w:p w14:paraId="38294FDC">
            <w:pPr>
              <w:spacing w:before="0" w:after="0" w:line="240" w:lineRule="auto"/>
              <w:jc w:val="center"/>
            </w:pPr>
            <w:r>
              <w:rPr>
                <w:rFonts w:ascii="宋体" w:hAnsi="宋体" w:eastAsia="宋体"/>
                <w:b w:val="0"/>
                <w:i w:val="0"/>
                <w:sz w:val="18"/>
              </w:rPr>
              <w:t>-</w:t>
            </w:r>
          </w:p>
        </w:tc>
        <w:tc>
          <w:tcPr>
            <w:tcW w:w="680" w:type="dxa"/>
            <w:tcBorders>
              <w:top w:val="single" w:color="auto" w:sz="10" w:space="0"/>
              <w:left w:val="single" w:color="auto" w:sz="10" w:space="0"/>
              <w:bottom w:val="single" w:color="auto" w:sz="10" w:space="0"/>
              <w:right w:val="single" w:color="auto" w:sz="10" w:space="0"/>
              <w:insideV w:val="single" w:sz="10" w:space="0"/>
            </w:tcBorders>
            <w:vAlign w:val="center"/>
          </w:tcPr>
          <w:p w14:paraId="71E34223">
            <w:pPr>
              <w:spacing w:before="0" w:after="0" w:line="240" w:lineRule="auto"/>
              <w:jc w:val="center"/>
            </w:pPr>
            <w:r>
              <w:rPr>
                <w:rFonts w:ascii="宋体" w:hAnsi="宋体" w:eastAsia="宋体"/>
                <w:b w:val="0"/>
                <w:i w:val="0"/>
                <w:sz w:val="18"/>
              </w:rPr>
              <w:t>按照完成比例赋分</w:t>
            </w:r>
          </w:p>
        </w:tc>
        <w:tc>
          <w:tcPr>
            <w:tcW w:w="603" w:type="dxa"/>
            <w:tcBorders>
              <w:top w:val="single" w:color="auto" w:sz="10" w:space="0"/>
              <w:left w:val="single" w:color="auto" w:sz="10" w:space="0"/>
              <w:bottom w:val="single" w:color="auto" w:sz="10" w:space="0"/>
              <w:right w:val="single" w:color="auto" w:sz="10" w:space="0"/>
              <w:insideV w:val="single" w:sz="10" w:space="0"/>
            </w:tcBorders>
            <w:vAlign w:val="center"/>
          </w:tcPr>
          <w:p w14:paraId="2E903509">
            <w:pPr>
              <w:spacing w:before="0" w:after="0" w:line="240" w:lineRule="auto"/>
              <w:jc w:val="center"/>
            </w:pPr>
            <w:r>
              <w:rPr>
                <w:rFonts w:ascii="宋体" w:hAnsi="宋体" w:eastAsia="宋体"/>
                <w:b w:val="0"/>
                <w:i w:val="0"/>
                <w:sz w:val="18"/>
              </w:rPr>
              <w:t>工作资料</w:t>
            </w:r>
          </w:p>
        </w:tc>
        <w:tc>
          <w:tcPr>
            <w:tcW w:w="1402" w:type="dxa"/>
            <w:tcBorders>
              <w:top w:val="single" w:color="auto" w:sz="10" w:space="0"/>
              <w:left w:val="single" w:color="auto" w:sz="10" w:space="0"/>
              <w:bottom w:val="single" w:color="auto" w:sz="10" w:space="0"/>
              <w:right w:val="single" w:color="auto" w:sz="10" w:space="0"/>
              <w:insideV w:val="single" w:sz="10" w:space="0"/>
            </w:tcBorders>
            <w:vAlign w:val="center"/>
          </w:tcPr>
          <w:p w14:paraId="63DC37CC">
            <w:pPr>
              <w:spacing w:before="0" w:after="0" w:line="240" w:lineRule="auto"/>
              <w:jc w:val="center"/>
            </w:pPr>
          </w:p>
        </w:tc>
      </w:tr>
      <w:tr w14:paraId="089A090C">
        <w:tblPrEx>
          <w:tblCellMar>
            <w:top w:w="36" w:type="dxa"/>
            <w:left w:w="36" w:type="dxa"/>
            <w:bottom w:w="36" w:type="dxa"/>
            <w:right w:w="36" w:type="dxa"/>
          </w:tblCellMar>
        </w:tblPrEx>
        <w:trPr>
          <w:trHeight w:val="380" w:hRule="atLeast"/>
        </w:trPr>
        <w:tc>
          <w:tcPr>
            <w:tcW w:w="200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39973089">
            <w:pPr>
              <w:spacing w:before="0" w:after="0" w:line="240" w:lineRule="auto"/>
              <w:jc w:val="center"/>
            </w:pPr>
            <w:r>
              <w:rPr>
                <w:rFonts w:ascii="宋体" w:hAnsi="宋体" w:eastAsia="宋体"/>
                <w:b/>
                <w:i w:val="0"/>
                <w:color w:val="000000"/>
                <w:sz w:val="18"/>
              </w:rPr>
              <w:t>总分</w:t>
            </w:r>
          </w:p>
        </w:tc>
        <w:tc>
          <w:tcPr>
            <w:tcW w:w="813" w:type="dxa"/>
            <w:tcBorders>
              <w:top w:val="single" w:color="auto" w:sz="10" w:space="0"/>
              <w:left w:val="single" w:color="auto" w:sz="10" w:space="0"/>
              <w:bottom w:val="single" w:color="auto" w:sz="10" w:space="0"/>
              <w:right w:val="single" w:color="auto" w:sz="10" w:space="0"/>
              <w:insideV w:val="single" w:sz="10" w:space="0"/>
            </w:tcBorders>
            <w:vAlign w:val="center"/>
          </w:tcPr>
          <w:p w14:paraId="23A52A1B">
            <w:pPr>
              <w:spacing w:before="0" w:after="0" w:line="240" w:lineRule="auto"/>
              <w:jc w:val="center"/>
            </w:pPr>
            <w:r>
              <w:rPr>
                <w:rFonts w:ascii="宋体" w:hAnsi="宋体" w:eastAsia="宋体"/>
                <w:b w:val="0"/>
                <w:i w:val="0"/>
                <w:color w:val="000000"/>
                <w:sz w:val="18"/>
              </w:rPr>
              <w:t>100</w:t>
            </w:r>
          </w:p>
        </w:tc>
        <w:tc>
          <w:tcPr>
            <w:tcW w:w="391" w:type="dxa"/>
            <w:tcBorders>
              <w:top w:val="single" w:color="auto" w:sz="10" w:space="0"/>
              <w:left w:val="single" w:color="auto" w:sz="10" w:space="0"/>
              <w:bottom w:val="single" w:color="auto" w:sz="10" w:space="0"/>
              <w:right w:val="single" w:color="auto" w:sz="10" w:space="0"/>
              <w:insideV w:val="single" w:sz="10" w:space="0"/>
            </w:tcBorders>
            <w:vAlign w:val="center"/>
          </w:tcPr>
          <w:p w14:paraId="71E32DC1">
            <w:pPr>
              <w:spacing w:before="0" w:after="0" w:line="240" w:lineRule="auto"/>
              <w:jc w:val="center"/>
            </w:pPr>
          </w:p>
        </w:tc>
        <w:tc>
          <w:tcPr>
            <w:tcW w:w="497" w:type="dxa"/>
            <w:tcBorders>
              <w:top w:val="single" w:color="auto" w:sz="10" w:space="0"/>
              <w:left w:val="single" w:color="auto" w:sz="10" w:space="0"/>
              <w:bottom w:val="single" w:color="auto" w:sz="10" w:space="0"/>
              <w:right w:val="single" w:color="auto" w:sz="10" w:space="0"/>
              <w:insideV w:val="single" w:sz="10" w:space="0"/>
            </w:tcBorders>
            <w:vAlign w:val="center"/>
          </w:tcPr>
          <w:p w14:paraId="034FD2E9">
            <w:pPr>
              <w:spacing w:before="0" w:after="0" w:line="240" w:lineRule="auto"/>
              <w:jc w:val="center"/>
            </w:pPr>
          </w:p>
        </w:tc>
        <w:tc>
          <w:tcPr>
            <w:tcW w:w="497" w:type="dxa"/>
            <w:tcBorders>
              <w:top w:val="single" w:color="auto" w:sz="10" w:space="0"/>
              <w:left w:val="single" w:color="auto" w:sz="10" w:space="0"/>
              <w:bottom w:val="single" w:color="auto" w:sz="10" w:space="0"/>
              <w:right w:val="single" w:color="auto" w:sz="10" w:space="0"/>
              <w:insideV w:val="single" w:sz="10" w:space="0"/>
            </w:tcBorders>
            <w:vAlign w:val="center"/>
          </w:tcPr>
          <w:p w14:paraId="29E5B567">
            <w:pPr>
              <w:spacing w:before="0" w:after="0" w:line="240" w:lineRule="auto"/>
              <w:jc w:val="center"/>
            </w:pPr>
          </w:p>
        </w:tc>
        <w:tc>
          <w:tcPr>
            <w:tcW w:w="497" w:type="dxa"/>
            <w:tcBorders>
              <w:top w:val="single" w:color="auto" w:sz="10" w:space="0"/>
              <w:left w:val="single" w:color="auto" w:sz="10" w:space="0"/>
              <w:bottom w:val="single" w:color="auto" w:sz="10" w:space="0"/>
              <w:right w:val="single" w:color="auto" w:sz="10" w:space="0"/>
              <w:insideV w:val="single" w:sz="10" w:space="0"/>
            </w:tcBorders>
            <w:vAlign w:val="center"/>
          </w:tcPr>
          <w:p w14:paraId="6C9E9C7E">
            <w:pPr>
              <w:spacing w:before="0" w:after="0" w:line="240" w:lineRule="auto"/>
              <w:jc w:val="center"/>
            </w:pPr>
            <w:r>
              <w:rPr>
                <w:rFonts w:ascii="宋体" w:hAnsi="宋体" w:eastAsia="宋体"/>
                <w:b w:val="0"/>
                <w:i w:val="0"/>
                <w:color w:val="000000"/>
                <w:sz w:val="18"/>
              </w:rPr>
              <w:t>91.00分</w:t>
            </w:r>
          </w:p>
        </w:tc>
        <w:tc>
          <w:tcPr>
            <w:tcW w:w="497" w:type="dxa"/>
            <w:tcBorders>
              <w:top w:val="single" w:color="auto" w:sz="10" w:space="0"/>
              <w:left w:val="single" w:color="auto" w:sz="10" w:space="0"/>
              <w:bottom w:val="single" w:color="auto" w:sz="10" w:space="0"/>
              <w:right w:val="single" w:color="auto" w:sz="10" w:space="0"/>
              <w:insideV w:val="single" w:sz="10" w:space="0"/>
            </w:tcBorders>
            <w:vAlign w:val="center"/>
          </w:tcPr>
          <w:p w14:paraId="4CFFA2D2">
            <w:pPr>
              <w:spacing w:before="0" w:after="0" w:line="240" w:lineRule="auto"/>
              <w:jc w:val="center"/>
            </w:pPr>
          </w:p>
        </w:tc>
        <w:tc>
          <w:tcPr>
            <w:tcW w:w="497" w:type="dxa"/>
            <w:tcBorders>
              <w:top w:val="single" w:color="auto" w:sz="10" w:space="0"/>
              <w:left w:val="single" w:color="auto" w:sz="10" w:space="0"/>
              <w:bottom w:val="single" w:color="auto" w:sz="10" w:space="0"/>
              <w:right w:val="single" w:color="auto" w:sz="10" w:space="0"/>
              <w:insideV w:val="single" w:sz="10" w:space="0"/>
            </w:tcBorders>
            <w:vAlign w:val="center"/>
          </w:tcPr>
          <w:p w14:paraId="336C1B11">
            <w:pPr>
              <w:spacing w:before="0" w:after="0" w:line="240" w:lineRule="auto"/>
              <w:jc w:val="center"/>
            </w:pPr>
          </w:p>
        </w:tc>
        <w:tc>
          <w:tcPr>
            <w:tcW w:w="680" w:type="dxa"/>
            <w:tcBorders>
              <w:top w:val="single" w:color="auto" w:sz="10" w:space="0"/>
              <w:left w:val="single" w:color="auto" w:sz="10" w:space="0"/>
              <w:bottom w:val="single" w:color="auto" w:sz="10" w:space="0"/>
              <w:right w:val="single" w:color="auto" w:sz="10" w:space="0"/>
              <w:insideV w:val="single" w:sz="10" w:space="0"/>
            </w:tcBorders>
            <w:vAlign w:val="center"/>
          </w:tcPr>
          <w:p w14:paraId="7A133F7C">
            <w:pPr>
              <w:spacing w:before="0" w:after="0" w:line="240" w:lineRule="auto"/>
              <w:jc w:val="center"/>
            </w:pPr>
          </w:p>
        </w:tc>
        <w:tc>
          <w:tcPr>
            <w:tcW w:w="603" w:type="dxa"/>
            <w:tcBorders>
              <w:top w:val="single" w:color="auto" w:sz="10" w:space="0"/>
              <w:left w:val="single" w:color="auto" w:sz="10" w:space="0"/>
              <w:bottom w:val="single" w:color="auto" w:sz="10" w:space="0"/>
              <w:right w:val="single" w:color="auto" w:sz="10" w:space="0"/>
              <w:insideV w:val="single" w:sz="10" w:space="0"/>
            </w:tcBorders>
            <w:vAlign w:val="center"/>
          </w:tcPr>
          <w:p w14:paraId="20D7D26B">
            <w:pPr>
              <w:spacing w:before="0" w:after="0" w:line="240" w:lineRule="auto"/>
              <w:jc w:val="center"/>
            </w:pPr>
          </w:p>
        </w:tc>
        <w:tc>
          <w:tcPr>
            <w:tcW w:w="1402" w:type="dxa"/>
            <w:tcBorders>
              <w:top w:val="single" w:color="auto" w:sz="10" w:space="0"/>
              <w:left w:val="single" w:color="auto" w:sz="10" w:space="0"/>
              <w:bottom w:val="single" w:color="auto" w:sz="10" w:space="0"/>
              <w:right w:val="single" w:color="auto" w:sz="10" w:space="0"/>
              <w:insideV w:val="single" w:sz="10" w:space="0"/>
            </w:tcBorders>
            <w:vAlign w:val="center"/>
          </w:tcPr>
          <w:p w14:paraId="0531D211">
            <w:pPr>
              <w:spacing w:before="0" w:after="0" w:line="240" w:lineRule="auto"/>
              <w:jc w:val="center"/>
            </w:pPr>
          </w:p>
        </w:tc>
      </w:tr>
    </w:tbl>
    <w:p w14:paraId="6CD30429">
      <w:r>
        <w:br w:type="page"/>
      </w:r>
    </w:p>
    <w:p w14:paraId="037C2184">
      <w:pPr>
        <w:spacing w:line="640" w:lineRule="exact"/>
        <w:ind w:firstLine="640"/>
        <w:jc w:val="both"/>
        <w:outlineLvl w:val="2"/>
      </w:pPr>
      <w:r>
        <w:rPr>
          <w:rFonts w:ascii="黑体" w:hAnsi="黑体" w:eastAsia="黑体"/>
          <w:sz w:val="32"/>
        </w:rPr>
        <w:t>十二、其他需说明的事项</w:t>
      </w:r>
    </w:p>
    <w:p w14:paraId="71293577">
      <w:pPr>
        <w:spacing w:line="580" w:lineRule="exact"/>
        <w:ind w:firstLine="640"/>
        <w:jc w:val="both"/>
      </w:pPr>
      <w:r>
        <w:rPr>
          <w:rFonts w:ascii="仿宋_GB2312" w:hAnsi="仿宋_GB2312" w:eastAsia="仿宋_GB2312"/>
          <w:b w:val="0"/>
          <w:sz w:val="32"/>
        </w:rPr>
        <w:t>本单位无其他需说明的事项。</w:t>
      </w:r>
    </w:p>
    <w:p w14:paraId="469D9B6A">
      <w:r>
        <w:br w:type="page"/>
      </w:r>
    </w:p>
    <w:p w14:paraId="13EA79BB">
      <w:pPr>
        <w:spacing w:line="600" w:lineRule="exact"/>
        <w:jc w:val="center"/>
        <w:outlineLvl w:val="0"/>
      </w:pPr>
      <w:r>
        <w:rPr>
          <w:rFonts w:ascii="黑体" w:hAnsi="黑体" w:eastAsia="黑体"/>
          <w:sz w:val="32"/>
        </w:rPr>
        <w:t>第三部分 专业名词解释</w:t>
      </w:r>
    </w:p>
    <w:p w14:paraId="7A51E14D">
      <w:pPr>
        <w:autoSpaceDE w:val="0"/>
        <w:autoSpaceDN w:val="0"/>
        <w:spacing w:line="600" w:lineRule="exact"/>
        <w:ind w:firstLine="643" w:firstLineChars="200"/>
      </w:pPr>
      <w:r>
        <w:rPr>
          <w:rFonts w:ascii="仿宋_GB2312" w:hAnsi="仿宋_GB2312" w:eastAsia="仿宋_GB2312"/>
          <w:b/>
          <w:sz w:val="32"/>
        </w:rPr>
        <w:t>一、财政拨款收入：</w:t>
      </w:r>
      <w:r>
        <w:rPr>
          <w:rFonts w:ascii="仿宋_GB2312" w:hAnsi="仿宋_GB2312" w:eastAsia="仿宋_GB2312"/>
          <w:b w:val="0"/>
          <w:sz w:val="32"/>
        </w:rPr>
        <w:t>指单位本年度从同级财政部门取得的财政拨款，包括一般公共预算财政拨款、政府性基金预算财政拨款和国有资本经营预算财政拨款。</w:t>
      </w:r>
    </w:p>
    <w:p w14:paraId="17C3B45D">
      <w:pPr>
        <w:autoSpaceDE w:val="0"/>
        <w:autoSpaceDN w:val="0"/>
        <w:spacing w:line="600" w:lineRule="exact"/>
        <w:ind w:firstLine="643" w:firstLineChars="200"/>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7C369961">
      <w:pPr>
        <w:autoSpaceDE w:val="0"/>
        <w:autoSpaceDN w:val="0"/>
        <w:spacing w:line="600" w:lineRule="exact"/>
        <w:ind w:firstLine="643" w:firstLineChars="200"/>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指事业单位开展专业业务活动及其辅助活动取得的收入。</w:t>
      </w:r>
    </w:p>
    <w:p w14:paraId="526C1729">
      <w:pPr>
        <w:autoSpaceDE w:val="0"/>
        <w:autoSpaceDN w:val="0"/>
        <w:spacing w:line="600" w:lineRule="exact"/>
        <w:ind w:firstLine="643" w:firstLineChars="200"/>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54388869">
      <w:pPr>
        <w:autoSpaceDE w:val="0"/>
        <w:autoSpaceDN w:val="0"/>
        <w:spacing w:line="600" w:lineRule="exact"/>
        <w:ind w:firstLine="643" w:firstLineChars="200"/>
      </w:pPr>
      <w:r>
        <w:rPr>
          <w:rFonts w:ascii="仿宋_GB2312" w:hAnsi="仿宋_GB2312" w:eastAsia="仿宋_GB2312"/>
          <w:b/>
          <w:sz w:val="32"/>
        </w:rPr>
        <w:t>五、附属单位上缴收入：</w:t>
      </w:r>
      <w:r>
        <w:rPr>
          <w:rFonts w:ascii="仿宋_GB2312" w:hAnsi="仿宋_GB2312" w:eastAsia="仿宋_GB2312"/>
          <w:b w:val="0"/>
          <w:sz w:val="32"/>
        </w:rPr>
        <w:t>指事业单位附属独立核算单位按照有关规定上缴的收入。</w:t>
      </w:r>
    </w:p>
    <w:p w14:paraId="036F1879">
      <w:pPr>
        <w:autoSpaceDE w:val="0"/>
        <w:autoSpaceDN w:val="0"/>
        <w:spacing w:line="600" w:lineRule="exact"/>
        <w:ind w:firstLine="643" w:firstLineChars="200"/>
      </w:pPr>
      <w:r>
        <w:rPr>
          <w:rFonts w:ascii="仿宋_GB2312" w:hAnsi="仿宋_GB2312" w:eastAsia="仿宋_GB2312"/>
          <w:b/>
          <w:sz w:val="32"/>
        </w:rPr>
        <w:t>六、其他收入：</w:t>
      </w:r>
      <w:r>
        <w:rPr>
          <w:rFonts w:ascii="仿宋_GB2312" w:hAnsi="仿宋_GB2312" w:eastAsia="仿宋_GB2312"/>
          <w:b w:val="0"/>
          <w:sz w:val="32"/>
        </w:rPr>
        <w:t>指单位取得的除上述“财政拨款收入”“上级补助收入”“事业收入”“经营收入”“附属单位上缴收入”以外的各项收入。</w:t>
      </w:r>
    </w:p>
    <w:p w14:paraId="45D7D53F">
      <w:pPr>
        <w:autoSpaceDE w:val="0"/>
        <w:autoSpaceDN w:val="0"/>
        <w:spacing w:line="600" w:lineRule="exact"/>
        <w:ind w:firstLine="643" w:firstLineChars="200"/>
      </w:pPr>
      <w:r>
        <w:rPr>
          <w:rFonts w:ascii="仿宋_GB2312" w:hAnsi="仿宋_GB2312" w:eastAsia="仿宋_GB2312"/>
          <w:b/>
          <w:sz w:val="32"/>
        </w:rPr>
        <w:t>七、年初结转和结余：</w:t>
      </w:r>
      <w:r>
        <w:rPr>
          <w:rFonts w:ascii="仿宋_GB2312" w:hAnsi="仿宋_GB2312" w:eastAsia="仿宋_GB2312"/>
          <w:b w:val="0"/>
          <w:sz w:val="32"/>
        </w:rPr>
        <w:t>指单位上年结转本年使用的基本支出结转、项目支出结转和结余、经营结余。</w:t>
      </w:r>
    </w:p>
    <w:p w14:paraId="57D2904C">
      <w:pPr>
        <w:autoSpaceDE w:val="0"/>
        <w:autoSpaceDN w:val="0"/>
        <w:spacing w:line="600" w:lineRule="exact"/>
        <w:ind w:firstLine="643" w:firstLineChars="200"/>
      </w:pPr>
      <w:r>
        <w:rPr>
          <w:rFonts w:ascii="仿宋_GB2312" w:hAnsi="仿宋_GB2312" w:eastAsia="仿宋_GB2312"/>
          <w:b/>
          <w:sz w:val="32"/>
        </w:rPr>
        <w:t>八、使用非财政拨款结余（含专用结余）：</w:t>
      </w:r>
      <w:r>
        <w:rPr>
          <w:rFonts w:ascii="仿宋_GB2312" w:hAnsi="仿宋_GB2312" w:eastAsia="仿宋_GB2312"/>
          <w:b w:val="0"/>
          <w:sz w:val="32"/>
        </w:rPr>
        <w:t>指单位按照预算管理要求使用非财政拨款结余弥补收支差额的金额，以及使用专用结余安排支出的金额。</w:t>
      </w:r>
    </w:p>
    <w:p w14:paraId="43AF695C">
      <w:pPr>
        <w:autoSpaceDE w:val="0"/>
        <w:autoSpaceDN w:val="0"/>
        <w:spacing w:line="600" w:lineRule="exact"/>
        <w:ind w:firstLine="643" w:firstLineChars="200"/>
      </w:pPr>
      <w:r>
        <w:rPr>
          <w:rFonts w:ascii="仿宋_GB2312" w:hAnsi="仿宋_GB2312" w:eastAsia="仿宋_GB2312"/>
          <w:b/>
          <w:sz w:val="32"/>
        </w:rPr>
        <w:t>九、结余分配：</w:t>
      </w:r>
      <w:r>
        <w:rPr>
          <w:rFonts w:ascii="仿宋_GB2312" w:hAnsi="仿宋_GB2312" w:eastAsia="仿宋_GB2312"/>
          <w:b w:val="0"/>
          <w:sz w:val="32"/>
        </w:rPr>
        <w:t>指单位缴纳企业所得税以及从非财政拨款结余或经营结余中提取各类结余的情况。</w:t>
      </w:r>
    </w:p>
    <w:p w14:paraId="47204955">
      <w:pPr>
        <w:autoSpaceDE w:val="0"/>
        <w:autoSpaceDN w:val="0"/>
        <w:spacing w:line="600" w:lineRule="exact"/>
        <w:ind w:firstLine="643" w:firstLineChars="200"/>
      </w:pPr>
      <w:r>
        <w:rPr>
          <w:rFonts w:ascii="仿宋_GB2312" w:hAnsi="仿宋_GB2312" w:eastAsia="仿宋_GB2312"/>
          <w:b/>
          <w:sz w:val="32"/>
        </w:rPr>
        <w:t>十、年末结转和结余：</w:t>
      </w:r>
      <w:r>
        <w:rPr>
          <w:rFonts w:ascii="仿宋_GB2312" w:hAnsi="仿宋_GB2312" w:eastAsia="仿宋_GB2312"/>
          <w:b w:val="0"/>
          <w:sz w:val="32"/>
        </w:rPr>
        <w:t>指单位结转下年的基本支出结转、项目支出结转和结余、经营结余。</w:t>
      </w:r>
    </w:p>
    <w:p w14:paraId="740A817C">
      <w:pPr>
        <w:autoSpaceDE w:val="0"/>
        <w:autoSpaceDN w:val="0"/>
        <w:spacing w:line="600" w:lineRule="exact"/>
        <w:ind w:firstLine="643" w:firstLineChars="200"/>
      </w:pPr>
      <w:r>
        <w:rPr>
          <w:rFonts w:ascii="仿宋_GB2312" w:hAnsi="仿宋_GB2312" w:eastAsia="仿宋_GB2312"/>
          <w:b/>
          <w:sz w:val="32"/>
        </w:rPr>
        <w:t>十一、基本支出：</w:t>
      </w:r>
      <w:r>
        <w:rPr>
          <w:rFonts w:ascii="仿宋_GB2312" w:hAnsi="仿宋_GB2312" w:eastAsia="仿宋_GB2312"/>
          <w:b w:val="0"/>
          <w:sz w:val="32"/>
        </w:rPr>
        <w:t>指单位为保障机构正常运转、完成日常工作任务而发生的各项支出。</w:t>
      </w:r>
    </w:p>
    <w:p w14:paraId="47C8AA55">
      <w:pPr>
        <w:autoSpaceDE w:val="0"/>
        <w:autoSpaceDN w:val="0"/>
        <w:spacing w:line="600" w:lineRule="exact"/>
        <w:ind w:firstLine="643" w:firstLineChars="200"/>
      </w:pPr>
      <w:r>
        <w:rPr>
          <w:rFonts w:ascii="仿宋_GB2312" w:hAnsi="仿宋_GB2312" w:eastAsia="仿宋_GB2312"/>
          <w:b/>
          <w:sz w:val="32"/>
        </w:rPr>
        <w:t>十二、项目支出：</w:t>
      </w:r>
      <w:r>
        <w:rPr>
          <w:rFonts w:ascii="仿宋_GB2312" w:hAnsi="仿宋_GB2312" w:eastAsia="仿宋_GB2312"/>
          <w:b w:val="0"/>
          <w:sz w:val="32"/>
        </w:rPr>
        <w:t>指单位为完成特定的行政工作任务或事业发展目标，在基本支出之外发生的各项支出。</w:t>
      </w:r>
    </w:p>
    <w:p w14:paraId="7260A90E">
      <w:pPr>
        <w:autoSpaceDE w:val="0"/>
        <w:autoSpaceDN w:val="0"/>
        <w:spacing w:line="600" w:lineRule="exact"/>
        <w:ind w:firstLine="643" w:firstLineChars="200"/>
      </w:pPr>
      <w:r>
        <w:rPr>
          <w:rFonts w:ascii="仿宋_GB2312" w:hAnsi="仿宋_GB2312" w:eastAsia="仿宋_GB2312"/>
          <w:b/>
          <w:sz w:val="32"/>
        </w:rPr>
        <w:t>十三、上缴上级支出：</w:t>
      </w:r>
      <w:r>
        <w:rPr>
          <w:rFonts w:ascii="仿宋_GB2312" w:hAnsi="仿宋_GB2312" w:eastAsia="仿宋_GB2312"/>
          <w:b w:val="0"/>
          <w:sz w:val="32"/>
        </w:rPr>
        <w:t>指事业单位按照财政部门和主管部门的规定上缴上级单位的支出。</w:t>
      </w:r>
    </w:p>
    <w:p w14:paraId="583C6700">
      <w:pPr>
        <w:autoSpaceDE w:val="0"/>
        <w:autoSpaceDN w:val="0"/>
        <w:spacing w:line="600" w:lineRule="exact"/>
        <w:ind w:firstLine="643" w:firstLineChars="200"/>
      </w:pPr>
      <w:r>
        <w:rPr>
          <w:rFonts w:ascii="仿宋_GB2312" w:hAnsi="仿宋_GB2312" w:eastAsia="仿宋_GB2312"/>
          <w:b/>
          <w:sz w:val="32"/>
        </w:rPr>
        <w:t>十四、经营支出：</w:t>
      </w:r>
      <w:r>
        <w:rPr>
          <w:rFonts w:ascii="仿宋_GB2312" w:hAnsi="仿宋_GB2312" w:eastAsia="仿宋_GB2312"/>
          <w:b w:val="0"/>
          <w:sz w:val="32"/>
        </w:rPr>
        <w:t>指事业单位在专业活动及辅助活动之外开展非独立核算经营活动发生的支出。</w:t>
      </w:r>
    </w:p>
    <w:p w14:paraId="05B0FA45">
      <w:pPr>
        <w:autoSpaceDE w:val="0"/>
        <w:autoSpaceDN w:val="0"/>
        <w:spacing w:line="600" w:lineRule="exact"/>
        <w:ind w:firstLine="643" w:firstLineChars="200"/>
      </w:pPr>
      <w:r>
        <w:rPr>
          <w:rFonts w:ascii="仿宋_GB2312" w:hAnsi="仿宋_GB2312" w:eastAsia="仿宋_GB2312"/>
          <w:b/>
          <w:sz w:val="32"/>
        </w:rPr>
        <w:t>十五、对附属单位补助支出：</w:t>
      </w:r>
      <w:r>
        <w:rPr>
          <w:rFonts w:ascii="仿宋_GB2312" w:hAnsi="仿宋_GB2312" w:eastAsia="仿宋_GB2312"/>
          <w:b w:val="0"/>
          <w:sz w:val="32"/>
        </w:rPr>
        <w:t>指事业单位用财政补助收入之外的收入对附属单位补助发生的支出。</w:t>
      </w:r>
    </w:p>
    <w:p w14:paraId="7FC7F7C5">
      <w:pPr>
        <w:autoSpaceDE w:val="0"/>
        <w:autoSpaceDN w:val="0"/>
        <w:spacing w:line="600" w:lineRule="exact"/>
        <w:ind w:firstLine="643" w:firstLineChars="200"/>
      </w:pPr>
      <w:r>
        <w:rPr>
          <w:rFonts w:ascii="仿宋_GB2312" w:hAnsi="仿宋_GB2312" w:eastAsia="仿宋_GB2312"/>
          <w:b/>
          <w:sz w:val="32"/>
        </w:rPr>
        <w:t>十六、“三公”经费：</w:t>
      </w:r>
      <w:r>
        <w:rPr>
          <w:rFonts w:ascii="仿宋_GB2312" w:hAnsi="仿宋_GB2312" w:eastAsia="仿宋_GB2312"/>
          <w:b w:val="0"/>
          <w:sz w:val="32"/>
        </w:rPr>
        <w:t>指单位使用财政拨款安排的因公出国（境）费用、公务用车购置及运行维护费和公务接待费。其中，因公出国（境）费用反映单位公务出国（境）的国际旅费、国外城市间交通费、住宿费、伙食费、培训费、公杂费等支出；公务用车购置费反映公务用车购置支出（含车辆购置税、牌照费）；公务用车运行维护费反映单位按规定保留的公务用车燃料费、新能源汽车充电费、维修费、过路过桥费、保险费、安全奖励费用等支出；公务接待费反映单位按规定开支的各类公务接待（含外宾接待）费用。</w:t>
      </w:r>
    </w:p>
    <w:p w14:paraId="0F614303">
      <w:pPr>
        <w:autoSpaceDE w:val="0"/>
        <w:autoSpaceDN w:val="0"/>
        <w:spacing w:line="600" w:lineRule="exact"/>
        <w:ind w:firstLine="643" w:firstLineChars="200"/>
      </w:pPr>
      <w:r>
        <w:rPr>
          <w:rFonts w:ascii="仿宋_GB2312" w:hAnsi="仿宋_GB2312" w:eastAsia="仿宋_GB2312"/>
          <w:b/>
          <w:sz w:val="32"/>
        </w:rPr>
        <w:t>十七、机关运行经费：</w:t>
      </w:r>
      <w:r>
        <w:rPr>
          <w:rFonts w:ascii="仿宋_GB2312" w:hAnsi="仿宋_GB2312" w:eastAsia="仿宋_GB2312"/>
          <w:b w:val="0"/>
          <w:sz w:val="32"/>
        </w:rPr>
        <w:t>指行政单位和参照公务员法管理的事业单位财政拨款基本支出中的公用经费支出。</w:t>
      </w:r>
    </w:p>
    <w:p w14:paraId="364986FE">
      <w:r>
        <w:br w:type="page"/>
      </w:r>
    </w:p>
    <w:p w14:paraId="5779265C">
      <w:pPr>
        <w:spacing w:line="240" w:lineRule="auto"/>
        <w:jc w:val="center"/>
        <w:outlineLvl w:val="1"/>
      </w:pPr>
      <w:r>
        <w:rPr>
          <w:rFonts w:ascii="黑体" w:hAnsi="黑体" w:eastAsia="黑体"/>
          <w:sz w:val="32"/>
        </w:rPr>
        <w:t>第四部分 部门决算报表（见附表）</w:t>
      </w:r>
    </w:p>
    <w:p w14:paraId="7B2BB941">
      <w:pPr>
        <w:autoSpaceDE w:val="0"/>
        <w:autoSpaceDN w:val="0"/>
        <w:spacing w:line="600" w:lineRule="exact"/>
        <w:ind w:firstLine="640" w:firstLineChars="200"/>
      </w:pPr>
      <w:r>
        <w:rPr>
          <w:rFonts w:ascii="仿宋_GB2312" w:hAnsi="仿宋_GB2312" w:eastAsia="仿宋_GB2312"/>
          <w:b w:val="0"/>
          <w:sz w:val="32"/>
        </w:rPr>
        <w:t>一、《收入支出决算总表》</w:t>
      </w:r>
    </w:p>
    <w:p w14:paraId="3F25B892">
      <w:pPr>
        <w:autoSpaceDE w:val="0"/>
        <w:autoSpaceDN w:val="0"/>
        <w:spacing w:line="600" w:lineRule="exact"/>
        <w:ind w:firstLine="640" w:firstLineChars="200"/>
      </w:pPr>
      <w:r>
        <w:rPr>
          <w:rFonts w:ascii="仿宋_GB2312" w:hAnsi="仿宋_GB2312" w:eastAsia="仿宋_GB2312"/>
          <w:b w:val="0"/>
          <w:sz w:val="32"/>
        </w:rPr>
        <w:t>二、《收入决算表》</w:t>
      </w:r>
    </w:p>
    <w:p w14:paraId="4917B47C">
      <w:pPr>
        <w:autoSpaceDE w:val="0"/>
        <w:autoSpaceDN w:val="0"/>
        <w:spacing w:line="600" w:lineRule="exact"/>
        <w:ind w:firstLine="640" w:firstLineChars="200"/>
      </w:pPr>
      <w:r>
        <w:rPr>
          <w:rFonts w:ascii="仿宋_GB2312" w:hAnsi="仿宋_GB2312" w:eastAsia="仿宋_GB2312"/>
          <w:b w:val="0"/>
          <w:sz w:val="32"/>
        </w:rPr>
        <w:t>三、《支出决算表》</w:t>
      </w:r>
    </w:p>
    <w:p w14:paraId="6E82D2AD">
      <w:pPr>
        <w:autoSpaceDE w:val="0"/>
        <w:autoSpaceDN w:val="0"/>
        <w:spacing w:line="600" w:lineRule="exact"/>
        <w:ind w:firstLine="640" w:firstLineChars="200"/>
      </w:pPr>
      <w:r>
        <w:rPr>
          <w:rFonts w:ascii="仿宋_GB2312" w:hAnsi="仿宋_GB2312" w:eastAsia="仿宋_GB2312"/>
          <w:b w:val="0"/>
          <w:sz w:val="32"/>
        </w:rPr>
        <w:t>四、《财政拨款收入支出决算总表》</w:t>
      </w:r>
    </w:p>
    <w:p w14:paraId="425D7217">
      <w:pPr>
        <w:autoSpaceDE w:val="0"/>
        <w:autoSpaceDN w:val="0"/>
        <w:spacing w:line="600" w:lineRule="exact"/>
        <w:ind w:firstLine="640" w:firstLineChars="200"/>
      </w:pPr>
      <w:r>
        <w:rPr>
          <w:rFonts w:ascii="仿宋_GB2312" w:hAnsi="仿宋_GB2312" w:eastAsia="仿宋_GB2312"/>
          <w:b w:val="0"/>
          <w:sz w:val="32"/>
        </w:rPr>
        <w:t>五、《一般公共预算财政拨款支出决算表》</w:t>
      </w:r>
    </w:p>
    <w:p w14:paraId="41E7BB85">
      <w:pPr>
        <w:autoSpaceDE w:val="0"/>
        <w:autoSpaceDN w:val="0"/>
        <w:spacing w:line="600" w:lineRule="exact"/>
        <w:ind w:firstLine="640" w:firstLineChars="200"/>
      </w:pPr>
      <w:r>
        <w:rPr>
          <w:rFonts w:ascii="仿宋_GB2312" w:hAnsi="仿宋_GB2312" w:eastAsia="仿宋_GB2312"/>
          <w:b w:val="0"/>
          <w:sz w:val="32"/>
        </w:rPr>
        <w:t>六、《一般公共预算财政拨款基本支出决算表》</w:t>
      </w:r>
    </w:p>
    <w:p w14:paraId="333298A6">
      <w:pPr>
        <w:autoSpaceDE w:val="0"/>
        <w:autoSpaceDN w:val="0"/>
        <w:spacing w:line="600" w:lineRule="exact"/>
        <w:ind w:firstLine="640" w:firstLineChars="200"/>
      </w:pPr>
      <w:r>
        <w:rPr>
          <w:rFonts w:ascii="仿宋_GB2312" w:hAnsi="仿宋_GB2312" w:eastAsia="仿宋_GB2312"/>
          <w:b w:val="0"/>
          <w:sz w:val="32"/>
        </w:rPr>
        <w:t>七、《政府性基金预算财政拨款收入支出决算表》</w:t>
      </w:r>
    </w:p>
    <w:p w14:paraId="7AA9261B">
      <w:pPr>
        <w:autoSpaceDE w:val="0"/>
        <w:autoSpaceDN w:val="0"/>
        <w:spacing w:line="600" w:lineRule="exact"/>
        <w:ind w:firstLine="640" w:firstLineChars="200"/>
      </w:pPr>
      <w:r>
        <w:rPr>
          <w:rFonts w:ascii="仿宋_GB2312" w:hAnsi="仿宋_GB2312" w:eastAsia="仿宋_GB2312"/>
          <w:b w:val="0"/>
          <w:sz w:val="32"/>
        </w:rPr>
        <w:t>八、《国有资本经营预算财政拨款收入支出决算表》</w:t>
      </w:r>
    </w:p>
    <w:p w14:paraId="754B82E6">
      <w:pPr>
        <w:autoSpaceDE w:val="0"/>
        <w:autoSpaceDN w:val="0"/>
        <w:spacing w:line="600" w:lineRule="exact"/>
        <w:ind w:firstLine="640" w:firstLineChars="200"/>
      </w:pPr>
      <w:r>
        <w:rPr>
          <w:rFonts w:ascii="仿宋_GB2312" w:hAnsi="仿宋_GB2312" w:eastAsia="仿宋_GB2312"/>
          <w:b w:val="0"/>
          <w:sz w:val="32"/>
        </w:rPr>
        <w:t>九、《财政拨款“三公”经费支出决算表》</w:t>
      </w:r>
    </w:p>
    <w:p w14:paraId="6453621D">
      <w:pPr>
        <w:autoSpaceDE w:val="0"/>
        <w:autoSpaceDN w:val="0"/>
        <w:spacing w:line="600" w:lineRule="exact"/>
        <w:ind w:firstLine="640" w:firstLineChars="200"/>
      </w:pPr>
    </w:p>
    <w:p w14:paraId="2FC89743">
      <w:pPr>
        <w:autoSpaceDE w:val="0"/>
        <w:autoSpaceDN w:val="0"/>
        <w:spacing w:line="600" w:lineRule="exact"/>
        <w:ind w:firstLine="640" w:firstLineChars="200"/>
      </w:pPr>
    </w:p>
    <w:p w14:paraId="471B96E4">
      <w:pPr>
        <w:autoSpaceDE w:val="0"/>
        <w:autoSpaceDN w:val="0"/>
        <w:spacing w:line="600" w:lineRule="exact"/>
        <w:ind w:firstLine="640" w:firstLineChars="200"/>
      </w:pPr>
    </w:p>
    <w:p w14:paraId="3A937B26">
      <w:pPr>
        <w:autoSpaceDE w:val="0"/>
        <w:autoSpaceDN w:val="0"/>
        <w:spacing w:line="600" w:lineRule="exact"/>
        <w:ind w:firstLine="640" w:firstLineChars="200"/>
      </w:pPr>
    </w:p>
    <w:p w14:paraId="67D4B4E4">
      <w:pPr>
        <w:autoSpaceDE w:val="0"/>
        <w:autoSpaceDN w:val="0"/>
        <w:spacing w:line="600" w:lineRule="exact"/>
        <w:ind w:firstLine="640" w:firstLineChars="200"/>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BEC64972-D4A8-47A9-ACE6-A64B75011807}"/>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48616D4C-F294-49C4-9B57-5BCAD4278858}"/>
  </w:font>
  <w:font w:name="仿宋_GB2312">
    <w:panose1 w:val="02010609030101010101"/>
    <w:charset w:val="86"/>
    <w:family w:val="modern"/>
    <w:pitch w:val="default"/>
    <w:sig w:usb0="00000001" w:usb1="080E0000" w:usb2="00000000" w:usb3="00000000" w:csb0="00040000" w:csb1="00000000"/>
    <w:embedRegular r:id="rId3" w:fontKey="{EC5D14A9-69D9-428D-9067-0D1C45AD4C08}"/>
  </w:font>
  <w:font w:name="楷体_GB2312">
    <w:panose1 w:val="02010609030101010101"/>
    <w:charset w:val="86"/>
    <w:family w:val="auto"/>
    <w:pitch w:val="default"/>
    <w:sig w:usb0="00000001" w:usb1="080E0000" w:usb2="00000000" w:usb3="00000000" w:csb0="00040000" w:csb1="00000000"/>
    <w:embedRegular r:id="rId4" w:fontKey="{C826949F-AE76-44F4-98F6-F6C505A3167A}"/>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1994FD">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06890CC">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DOqXm5zwAAAAUBAAAPAAAAAAAAAAEAIAAAACIAAABk&#10;cnMvZG93bnJldi54bWxQSwECFAAUAAAACACHTuJA6rY5ptYBAACyAwAADgAAAAAAAAABACAAAAAe&#10;AQAAZHJzL2Uyb0RvYy54bWxQSwUGAAAAAAYABgBZAQAAZgUAAAAA&#10;">
              <v:fill on="f" focussize="0,0"/>
              <v:stroke on="f"/>
              <v:imagedata o:title=""/>
              <o:lock v:ext="edit" aspectratio="f"/>
              <v:textbox inset="0mm,0mm,0mm,0mm" style="mso-fit-shape-to-text:t;">
                <w:txbxContent>
                  <w:p w14:paraId="106890CC">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3"/>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AwYmRmZTlkODBlYWI2MWEzOGMyNWRlOTFmY2QzMTQifQ=="/>
  </w:docVars>
  <w:rsids>
    <w:rsidRoot w:val="00672051"/>
    <w:rsid w:val="000D14C6"/>
    <w:rsid w:val="002D017C"/>
    <w:rsid w:val="0039186B"/>
    <w:rsid w:val="00644722"/>
    <w:rsid w:val="00672051"/>
    <w:rsid w:val="006B29E4"/>
    <w:rsid w:val="00702FBA"/>
    <w:rsid w:val="00982448"/>
    <w:rsid w:val="009D5C6A"/>
    <w:rsid w:val="00A22425"/>
    <w:rsid w:val="00D34B7C"/>
    <w:rsid w:val="00F14B19"/>
    <w:rsid w:val="02F73D26"/>
    <w:rsid w:val="034D4FEF"/>
    <w:rsid w:val="03DE0026"/>
    <w:rsid w:val="03E2747C"/>
    <w:rsid w:val="043E5B56"/>
    <w:rsid w:val="04EF7C1A"/>
    <w:rsid w:val="06792773"/>
    <w:rsid w:val="06896151"/>
    <w:rsid w:val="09A729D8"/>
    <w:rsid w:val="0A7B4867"/>
    <w:rsid w:val="0AC260D6"/>
    <w:rsid w:val="0B8C3ECC"/>
    <w:rsid w:val="0BC24C29"/>
    <w:rsid w:val="0C3613A3"/>
    <w:rsid w:val="0C7227A7"/>
    <w:rsid w:val="0DCA6EF7"/>
    <w:rsid w:val="0E4B1576"/>
    <w:rsid w:val="11E15093"/>
    <w:rsid w:val="120E0809"/>
    <w:rsid w:val="181A30AD"/>
    <w:rsid w:val="1875698D"/>
    <w:rsid w:val="19071D6C"/>
    <w:rsid w:val="1C317E4F"/>
    <w:rsid w:val="1C472464"/>
    <w:rsid w:val="1DAF458D"/>
    <w:rsid w:val="1E086ACE"/>
    <w:rsid w:val="1EAA4A5F"/>
    <w:rsid w:val="1F040613"/>
    <w:rsid w:val="1F587A0B"/>
    <w:rsid w:val="1FE96E5D"/>
    <w:rsid w:val="2064678E"/>
    <w:rsid w:val="20DD6197"/>
    <w:rsid w:val="21F317F2"/>
    <w:rsid w:val="2241392C"/>
    <w:rsid w:val="23BC04D2"/>
    <w:rsid w:val="25275618"/>
    <w:rsid w:val="271E02F0"/>
    <w:rsid w:val="27CF2642"/>
    <w:rsid w:val="282459E2"/>
    <w:rsid w:val="2A053397"/>
    <w:rsid w:val="2A444FB1"/>
    <w:rsid w:val="2A6064E2"/>
    <w:rsid w:val="2BA9200B"/>
    <w:rsid w:val="2D1136DF"/>
    <w:rsid w:val="2DAE0E44"/>
    <w:rsid w:val="2EB07E70"/>
    <w:rsid w:val="2F9E416C"/>
    <w:rsid w:val="2FD27414"/>
    <w:rsid w:val="313F1D52"/>
    <w:rsid w:val="318029AB"/>
    <w:rsid w:val="319D6C1C"/>
    <w:rsid w:val="31C63837"/>
    <w:rsid w:val="32646060"/>
    <w:rsid w:val="326F0A17"/>
    <w:rsid w:val="34623382"/>
    <w:rsid w:val="390019F4"/>
    <w:rsid w:val="3914510A"/>
    <w:rsid w:val="3B1220C9"/>
    <w:rsid w:val="3D5275AC"/>
    <w:rsid w:val="3D55093B"/>
    <w:rsid w:val="3EA7725F"/>
    <w:rsid w:val="40834692"/>
    <w:rsid w:val="423A32B2"/>
    <w:rsid w:val="464B7E04"/>
    <w:rsid w:val="46901EEE"/>
    <w:rsid w:val="469C74D2"/>
    <w:rsid w:val="47445515"/>
    <w:rsid w:val="48E21116"/>
    <w:rsid w:val="49C97D5C"/>
    <w:rsid w:val="49F5131D"/>
    <w:rsid w:val="4AE426AE"/>
    <w:rsid w:val="4B4C0111"/>
    <w:rsid w:val="4D3F1CC6"/>
    <w:rsid w:val="4D730311"/>
    <w:rsid w:val="505A358E"/>
    <w:rsid w:val="50DB5F45"/>
    <w:rsid w:val="52F92565"/>
    <w:rsid w:val="55DA564E"/>
    <w:rsid w:val="56E07045"/>
    <w:rsid w:val="583059FA"/>
    <w:rsid w:val="587E6212"/>
    <w:rsid w:val="58D10A34"/>
    <w:rsid w:val="59973ABF"/>
    <w:rsid w:val="5A74678C"/>
    <w:rsid w:val="5AFC6609"/>
    <w:rsid w:val="5C3B09A8"/>
    <w:rsid w:val="5FA17648"/>
    <w:rsid w:val="613409CB"/>
    <w:rsid w:val="61A46A97"/>
    <w:rsid w:val="62DD7D21"/>
    <w:rsid w:val="65D97752"/>
    <w:rsid w:val="664C500C"/>
    <w:rsid w:val="670267B3"/>
    <w:rsid w:val="6773145F"/>
    <w:rsid w:val="68DB0208"/>
    <w:rsid w:val="69846A0E"/>
    <w:rsid w:val="69AD798C"/>
    <w:rsid w:val="6B68175F"/>
    <w:rsid w:val="6B8B5C99"/>
    <w:rsid w:val="6E0F7A08"/>
    <w:rsid w:val="6E801ABC"/>
    <w:rsid w:val="71473612"/>
    <w:rsid w:val="716B13F9"/>
    <w:rsid w:val="718F7F65"/>
    <w:rsid w:val="73423603"/>
    <w:rsid w:val="73DE4104"/>
    <w:rsid w:val="73FB6630"/>
    <w:rsid w:val="74CE04EC"/>
    <w:rsid w:val="74E76DCD"/>
    <w:rsid w:val="76660D7C"/>
    <w:rsid w:val="76CF72D3"/>
    <w:rsid w:val="77ED6F44"/>
    <w:rsid w:val="78B87A58"/>
    <w:rsid w:val="795A0A34"/>
    <w:rsid w:val="79FB30B5"/>
    <w:rsid w:val="7A0D3BC7"/>
    <w:rsid w:val="7A3A3CDB"/>
    <w:rsid w:val="7EAC4F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9">
    <w:name w:val="Default Paragraph Font"/>
    <w:semiHidden/>
    <w:unhideWhenUsed/>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customStyle="1" w:styleId="10">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11">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2">
    <w:name w:val="WPSOffice手动目录 1"/>
    <w:qFormat/>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3.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contractReview xmlns="http://schemas.wps.cn/vas-ai-hub/contract-review">
  <reviewItems>
    <reviewItem>
      <errorID>2efab5dc-366d-4ce3-aa64-0fedccd29d07</errorID>
      <errorWord>，</errorWord>
      <group>L1_Word</group>
      <groupName>字词问题</groupName>
      <ability>L2_Typo</ability>
      <abilityName>字词错误</abilityName>
      <candidateList>
        <item>，在</item>
      </candidateList>
      <explain/>
      <paraID>7ABD865B</paraID>
      <start>188</start>
      <end>190</end>
      <status>modified</status>
      <modifiedWord>，在</modifiedWord>
      <trackRevisions>false</trackRevisions>
    </reviewItem>
    <reviewItem>
      <errorID>9d58bed8-8fce-4bd8-a113-828bfacab9aa</errorID>
      <errorWord>于部</errorWord>
      <group>L1_Other</group>
      <groupName>其他问题</groupName>
      <ability>L2_UserTypo</ability>
      <abilityName>自定义错误</abilityName>
      <candidateList>
        <item>干部</item>
      </candidateList>
      <explain>来自自定义错词库。</explain>
      <paraID>7ABD865B</paraID>
      <start>537</start>
      <end>539</end>
      <status>unmodified</status>
      <modifiedWord/>
      <trackRevisions>false</trackRevisions>
    </reviewItem>
    <reviewItem>
      <errorID>134bb263-3bec-4189-94ce-7f58203faf85</errorID>
      <errorWord>我单位</errorWord>
      <group>L1_Other</group>
      <groupName>其他问题</groupName>
      <ability>L2_UserTypo</ability>
      <abilityName>自定义错误</abilityName>
      <candidateList>
        <item>本单位</item>
      </candidateList>
      <explain>来自自定义错词库。</explain>
      <paraID>7ABD865B</paraID>
      <start>591</start>
      <end>594</end>
      <status>modified</status>
      <modifiedWord>本单位</modifiedWord>
      <trackRevisions>false</trackRevisions>
    </reviewItem>
    <reviewItem>
      <errorID>2ed6bb0b-b7ff-42bf-9bf4-705ac803ede4</errorID>
      <errorWord>我单位</errorWord>
      <group>L1_Other</group>
      <groupName>其他问题</groupName>
      <ability>L2_UserTypo</ability>
      <abilityName>自定义错误</abilityName>
      <candidateList>
        <item>本单位</item>
      </candidateList>
      <explain>来自自定义错词库。</explain>
      <paraID>7ABD865B</paraID>
      <start>674</start>
      <end>677</end>
      <status>modified</status>
      <modifiedWord>本单位</modifiedWord>
      <trackRevisions>false</trackRevisions>
    </reviewItem>
    <reviewItem>
      <errorID>49ee2aaa-0761-4a17-9dcf-a49bee1302a5</errorID>
      <errorWord>我单位</errorWord>
      <group>L1_Other</group>
      <groupName>其他问题</groupName>
      <ability>L2_UserTypo</ability>
      <abilityName>自定义错误</abilityName>
      <candidateList>
        <item>本单位</item>
      </candidateList>
      <explain>来自自定义错词库。</explain>
      <paraID>7ABD865B</paraID>
      <start>725</start>
      <end>728</end>
      <status>modified</status>
      <modifiedWord>本单位</modifiedWord>
      <trackRevisions>false</trackRevisions>
    </reviewItem>
    <reviewItem>
      <errorID>ab644c33-b430-46f4-9f0c-04d3fd2f2bc3</errorID>
      <errorWord>跟踪</errorWord>
      <group>L1_Sensitive</group>
      <groupName>敏感问题</groupName>
      <ability>L2_UserSensitive</ability>
      <abilityName>自定义敏感词</abilityName>
      <candidateList/>
      <explain>来自自定义敏感词库。</explain>
      <paraID>7ABD865B</paraID>
      <start>931</start>
      <end>933</end>
      <status>unmodified</status>
      <modifiedWord/>
      <trackRevisions>false</trackRevisions>
    </reviewItem>
    <reviewItem>
      <errorID>1012214b-ed6f-4a41-b5fe-d2a1c79b8f2a</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19931513</paraID>
      <start>0</start>
      <end>2</end>
      <status>unmodified</status>
      <modifiedWord/>
      <trackRevisions>false</trackRevisions>
    </reviewItem>
    <reviewItem>
      <errorID>8751037a-276a-444b-b727-071b5f9351f0</errorID>
      <errorWord>我单位</errorWord>
      <group>L1_Other</group>
      <groupName>其他问题</groupName>
      <ability>L2_UserTypo</ability>
      <abilityName>自定义错误</abilityName>
      <candidateList>
        <item>本单位</item>
      </candidateList>
      <explain>来自自定义错词库。</explain>
      <paraID>19931513</paraID>
      <start>63</start>
      <end>66</end>
      <status>modified</status>
      <modifiedWord>本单位</modifiedWord>
      <trackRevisions>false</trackRevisions>
    </reviewItem>
    <reviewItem>
      <errorID>90bfed54-2e9c-42b0-94e7-4a465354c836</errorID>
      <errorWord>间</errorWord>
      <group>L1_Word</group>
      <groupName>字词问题</groupName>
      <ability>L2_Typo</ability>
      <abilityName>字词错误</abilityName>
      <candidateList>
        <item>间为</item>
      </candidateList>
      <explain/>
      <paraID>75A9C11A</paraID>
      <start>139</start>
      <end>141</end>
      <status>modified</status>
      <modifiedWord>间为</modifiedWord>
      <trackRevisions>false</trackRevisions>
    </reviewItem>
    <reviewItem>
      <errorID>8d4f1598-312f-4b29-bac8-4c616050930b</errorID>
      <errorWord>:</errorWord>
      <group>L1_Format</group>
      <groupName>格式问题</groupName>
      <ability>L2_HalfPunc_CN</ability>
      <abilityName>全半角问题</abilityName>
      <candidateList>
        <item>：</item>
      </candidateList>
      <explain>文本全半角错误。</explain>
      <paraID> 84CB4BD</paraID>
      <start>4</start>
      <end>5</end>
      <status>unmodified</status>
      <modifiedWord/>
      <trackRevisions>false</trackRevisions>
    </reviewItem>
    <reviewItem>
      <errorID>6acda141-2c74-43f6-bba5-90c7c1d5c736</errorID>
      <errorWord>&lt;</errorWord>
      <group>L1_Format</group>
      <groupName>格式问题</groupName>
      <ability>L2_HalfPunc_CN</ability>
      <abilityName>全半角问题</abilityName>
      <candidateList>
        <item>〈</item>
      </candidateList>
      <explain>文本全半角错误。</explain>
      <paraID> 84CB4BD</paraID>
      <start>115</start>
      <end>116</end>
      <status>unmodified</status>
      <modifiedWord/>
      <trackRevisions>false</trackRevisions>
    </reviewItem>
    <reviewItem>
      <errorID>7b6df284-af2f-44f8-ad6a-4d4f30b9901d</errorID>
      <errorWord>项目2025年</errorWord>
      <group>L1_Word</group>
      <groupName>字词问题</groupName>
      <ability>L2_Typo</ability>
      <abilityName>字词错误</abilityName>
      <candidateList>
        <item>项目于2025年</item>
      </candidateList>
      <explain/>
      <paraID>23F4B54D</paraID>
      <start>71</start>
      <end>79</end>
      <status>modified</status>
      <modifiedWord>项目于2025年</modifiedWord>
      <trackRevisions>false</trackRevisions>
    </reviewItem>
  </reviewItems>
  <config/>
</contractReview>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e8ef745-5acd-4dc5-8dac-181701601ff1}">
  <ds:schemaRefs/>
</ds:datastoreItem>
</file>

<file path=customXml/itemProps3.xml><?xml version="1.0" encoding="utf-8"?>
<ds:datastoreItem xmlns:ds="http://schemas.openxmlformats.org/officeDocument/2006/customXml" ds:itemID="{F0D2BC71-196F-4E8D-B958-07750D1EE8B3}">
  <ds:schemaRefs/>
</ds:datastoreItem>
</file>

<file path=docProps/app.xml><?xml version="1.0" encoding="utf-8"?>
<Properties xmlns="http://schemas.openxmlformats.org/officeDocument/2006/extended-properties" xmlns:vt="http://schemas.openxmlformats.org/officeDocument/2006/docPropsVTypes">
  <Template>Normal.dotm</Template>
  <Pages>28</Pages>
  <Words>8027</Words>
  <Characters>8824</Characters>
  <Lines>10</Lines>
  <Paragraphs>2</Paragraphs>
  <TotalTime>0</TotalTime>
  <ScaleCrop>false</ScaleCrop>
  <LinksUpToDate>false</LinksUpToDate>
  <CharactersWithSpaces>8832</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2026-07-22T07:37:00Z</dcterms:created>
  <dc:creator>GXR</dc:creator>
  <cp:lastModifiedBy>白羊</cp:lastModifiedBy>
  <cp:lastPrinted>2024-07-22T11:58:00Z</cp:lastPrinted>
  <dcterms:modified xsi:type="dcterms:W3CDTF">2026-08-28T09:43:29Z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8FDA567F26D84A8C8A1B02E29FDE1AE6_13</vt:lpwstr>
  </property>
  <property fmtid="{D5CDD505-2E9C-101B-9397-08002B2CF9AE}" pid="4" name="KSOTemplateDocerSaveRecord">
    <vt:lpwstr>eyJoZGlkIjoiN2E1ZDY0MDI5MTE3YjM0ZGMyMzg4N2EwMDI4ZjJiM2YiLCJ1c2VySWQiOiI0MzE2NzY3NzkifQ==</vt:lpwstr>
  </property>
</Properties>
</file>