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新疆维吾尔自治区艾比湖流域水利管理中心</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41288A21">
      <w:r>
        <w:br w:type="page"/>
      </w:r>
    </w:p>
    <w:p w14:paraId="712C0B96">
      <w:pPr>
        <w:spacing w:line="640" w:lineRule="exact"/>
        <w:jc w:val="center"/>
        <w:outlineLvl w:val="1"/>
      </w:pPr>
      <w:r>
        <w:rPr>
          <w:rFonts w:ascii="黑体" w:hAnsi="黑体" w:eastAsia="黑体"/>
          <w:sz w:val="32"/>
        </w:rPr>
        <w:t>第一部分 单位概况</w:t>
      </w:r>
    </w:p>
    <w:p w14:paraId="23975406">
      <w:pPr>
        <w:spacing w:line="640" w:lineRule="exact"/>
        <w:ind w:firstLine="640"/>
        <w:jc w:val="both"/>
        <w:outlineLvl w:val="2"/>
      </w:pPr>
      <w:r>
        <w:rPr>
          <w:rFonts w:ascii="黑体" w:hAnsi="黑体" w:eastAsia="黑体"/>
          <w:sz w:val="32"/>
        </w:rPr>
        <w:t>一、主要职能</w:t>
      </w:r>
    </w:p>
    <w:p w14:paraId="0447E4BE">
      <w:pPr>
        <w:spacing w:line="580" w:lineRule="exact"/>
        <w:ind w:firstLine="640"/>
        <w:jc w:val="both"/>
      </w:pPr>
      <w:r>
        <w:rPr>
          <w:rFonts w:ascii="仿宋_GB2312" w:hAnsi="仿宋_GB2312" w:eastAsia="仿宋_GB2312"/>
          <w:sz w:val="32"/>
        </w:rPr>
        <w:t>新疆维吾尔自治区艾比湖流域水利管理中心为公益一类事业单位，主要职责：依据法律法规，在所管辖的范围内依职责对水资源实施统一管理和监督，落实流域统一规划、统一治理统一调度、统一管理的“四统一”要求；承担流域综合治理、水利工程管理和跨流域调水监管等工作，统筹协调流域与区域、兵团与地方、行业与企业、调出区与调入区等水事关系；监督艾比湖入湖生态流量水量监测，实施河流湖泊生态流量水量管理；依据批准的流域水量分配方案、年度水量调度计划，实施水资源统一调度管理，监督流域水资源分配；在管辖范围内依法组织实施取水许可；监督指导流域管辖范围内水资源的合理开发利用；负责流域管辖范围内水资源保护工作；负责开展流域水利科技、统计工作，推进数字孪生水利建设工作；承担流域河湖长制办公室日常工作，完成河湖长交办的其他事项；承办自治区水行政主管部门交办的其他工作。</w:t>
      </w:r>
    </w:p>
    <w:p w14:paraId="5D7B34AE">
      <w:pPr>
        <w:spacing w:line="640" w:lineRule="exact"/>
        <w:ind w:firstLine="640"/>
        <w:jc w:val="both"/>
        <w:outlineLvl w:val="2"/>
      </w:pPr>
      <w:r>
        <w:rPr>
          <w:rFonts w:ascii="黑体" w:hAnsi="黑体" w:eastAsia="黑体"/>
          <w:sz w:val="32"/>
        </w:rPr>
        <w:t>二、机构设置</w:t>
      </w:r>
    </w:p>
    <w:p w14:paraId="2DD05A0D">
      <w:pPr>
        <w:spacing w:line="580" w:lineRule="exact"/>
        <w:ind w:firstLine="640"/>
        <w:jc w:val="both"/>
      </w:pPr>
      <w:r>
        <w:rPr>
          <w:rFonts w:ascii="仿宋_GB2312" w:hAnsi="仿宋_GB2312" w:eastAsia="仿宋_GB2312"/>
          <w:sz w:val="32"/>
        </w:rPr>
        <w:t>新疆维吾尔自治区艾比湖流域水利管理中心无下属预算单位。</w:t>
      </w:r>
    </w:p>
    <w:p w14:paraId="64547A03">
      <w:r>
        <w:br w:type="page"/>
      </w:r>
    </w:p>
    <w:p w14:paraId="34FA64D4">
      <w:pPr>
        <w:spacing w:line="240" w:lineRule="auto"/>
        <w:jc w:val="center"/>
        <w:outlineLvl w:val="1"/>
      </w:pPr>
      <w:r>
        <w:rPr>
          <w:rFonts w:ascii="黑体" w:hAnsi="黑体" w:eastAsia="黑体"/>
          <w:sz w:val="32"/>
        </w:rPr>
        <w:t>第二部分 部门决算情况说明</w:t>
      </w:r>
    </w:p>
    <w:p w14:paraId="07A182D5">
      <w:pPr>
        <w:spacing w:line="640" w:lineRule="exact"/>
        <w:ind w:firstLine="640"/>
        <w:jc w:val="both"/>
        <w:outlineLvl w:val="2"/>
      </w:pPr>
      <w:r>
        <w:rPr>
          <w:rFonts w:ascii="黑体" w:hAnsi="黑体" w:eastAsia="黑体"/>
          <w:sz w:val="32"/>
        </w:rPr>
        <w:t>一、收入支出决算总体情况说明</w:t>
      </w:r>
    </w:p>
    <w:p w14:paraId="666ABF3B">
      <w:pPr>
        <w:spacing w:line="580" w:lineRule="exact"/>
        <w:ind w:firstLine="640"/>
        <w:jc w:val="both"/>
      </w:pPr>
      <w:r>
        <w:rPr>
          <w:rFonts w:ascii="仿宋_GB2312" w:hAnsi="仿宋_GB2312" w:eastAsia="仿宋_GB2312"/>
          <w:b/>
          <w:sz w:val="32"/>
        </w:rPr>
        <w:t>2025年度收入总计126.17万元，</w:t>
      </w:r>
      <w:r>
        <w:rPr>
          <w:rFonts w:ascii="仿宋_GB2312" w:hAnsi="仿宋_GB2312" w:eastAsia="仿宋_GB2312"/>
          <w:b w:val="0"/>
          <w:sz w:val="32"/>
        </w:rPr>
        <w:t>其中：本年收入合计126.17万元，使用非财政拨款结余（含专用结余）0.00万元，年初结转和结余0.00万元。</w:t>
      </w:r>
    </w:p>
    <w:p w14:paraId="4A391B56">
      <w:pPr>
        <w:spacing w:line="580" w:lineRule="exact"/>
        <w:ind w:firstLine="640"/>
        <w:jc w:val="both"/>
      </w:pPr>
      <w:r>
        <w:rPr>
          <w:rFonts w:ascii="仿宋_GB2312" w:hAnsi="仿宋_GB2312" w:eastAsia="仿宋_GB2312"/>
          <w:b/>
          <w:sz w:val="32"/>
        </w:rPr>
        <w:t>2025年度支出总计126.17万元，</w:t>
      </w:r>
      <w:r>
        <w:rPr>
          <w:rFonts w:ascii="仿宋_GB2312" w:hAnsi="仿宋_GB2312" w:eastAsia="仿宋_GB2312"/>
          <w:b w:val="0"/>
          <w:sz w:val="32"/>
        </w:rPr>
        <w:t>其中：本年支出合计125.72万元，结余分配0.00万元，年末结转和结余0.45万元。</w:t>
      </w:r>
    </w:p>
    <w:p w14:paraId="3B12E771">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增加126.17万元，增长100.00%，主要原因是：本单位为本年新增预算单位，无上年对比数据。</w:t>
      </w:r>
    </w:p>
    <w:p w14:paraId="34F83B33">
      <w:pPr>
        <w:spacing w:line="640" w:lineRule="exact"/>
        <w:ind w:firstLine="640"/>
        <w:jc w:val="both"/>
        <w:outlineLvl w:val="2"/>
      </w:pPr>
      <w:r>
        <w:rPr>
          <w:rFonts w:ascii="黑体" w:hAnsi="黑体" w:eastAsia="黑体"/>
          <w:sz w:val="32"/>
        </w:rPr>
        <w:t>二、收入决算情况说明</w:t>
      </w:r>
    </w:p>
    <w:p w14:paraId="18035079">
      <w:pPr>
        <w:spacing w:line="580" w:lineRule="exact"/>
        <w:ind w:firstLine="640"/>
        <w:jc w:val="both"/>
      </w:pPr>
      <w:r>
        <w:rPr>
          <w:rFonts w:ascii="仿宋_GB2312" w:hAnsi="仿宋_GB2312" w:eastAsia="仿宋_GB2312"/>
          <w:b/>
          <w:sz w:val="32"/>
        </w:rPr>
        <w:t>本年收入126.17万元，</w:t>
      </w:r>
      <w:r>
        <w:rPr>
          <w:rFonts w:ascii="仿宋_GB2312" w:hAnsi="仿宋_GB2312" w:eastAsia="仿宋_GB2312"/>
          <w:b w:val="0"/>
          <w:sz w:val="32"/>
        </w:rPr>
        <w:t>其中：财政拨款收入126.17万元，占100.00%；上级补助收入0.00万元，占0.00%；事业收入0.00万元，占0.00%；经营收入0.00万元，占0.00%；附属单位上缴收入0.00万元，占0.00%；其他收入0.00万元，占0.00%。</w:t>
      </w:r>
    </w:p>
    <w:p w14:paraId="6F1E287C">
      <w:pPr>
        <w:spacing w:line="640" w:lineRule="exact"/>
        <w:ind w:firstLine="640"/>
        <w:jc w:val="both"/>
        <w:outlineLvl w:val="2"/>
      </w:pPr>
      <w:r>
        <w:rPr>
          <w:rFonts w:ascii="黑体" w:hAnsi="黑体" w:eastAsia="黑体"/>
          <w:sz w:val="32"/>
        </w:rPr>
        <w:t>三、支出决算情况说明</w:t>
      </w:r>
    </w:p>
    <w:p w14:paraId="25A5E531">
      <w:pPr>
        <w:spacing w:line="580" w:lineRule="exact"/>
        <w:ind w:firstLine="640"/>
        <w:jc w:val="both"/>
      </w:pPr>
      <w:r>
        <w:rPr>
          <w:rFonts w:ascii="仿宋_GB2312" w:hAnsi="仿宋_GB2312" w:eastAsia="仿宋_GB2312"/>
          <w:b/>
          <w:sz w:val="32"/>
        </w:rPr>
        <w:t>本年支出125.72万元，</w:t>
      </w:r>
      <w:r>
        <w:rPr>
          <w:rFonts w:ascii="仿宋_GB2312" w:hAnsi="仿宋_GB2312" w:eastAsia="仿宋_GB2312"/>
          <w:b w:val="0"/>
          <w:sz w:val="32"/>
        </w:rPr>
        <w:t>其中：基本支出125.72万元，占100.00%；项目支出0.00万元，占0.00%；上缴上级支出0.00万元，占0.00%；经营支出0.00万元，占0.00%；对附属单位补助支出0.00万元，占0.00%。</w:t>
      </w:r>
    </w:p>
    <w:p w14:paraId="4A5566FE">
      <w:pPr>
        <w:spacing w:line="640" w:lineRule="exact"/>
        <w:ind w:firstLine="640"/>
        <w:jc w:val="both"/>
        <w:outlineLvl w:val="2"/>
      </w:pPr>
      <w:r>
        <w:rPr>
          <w:rFonts w:ascii="黑体" w:hAnsi="黑体" w:eastAsia="黑体"/>
          <w:sz w:val="32"/>
        </w:rPr>
        <w:t>四、财政拨款收入支出决算总体情况说明</w:t>
      </w:r>
    </w:p>
    <w:p w14:paraId="376DB984">
      <w:pPr>
        <w:spacing w:line="580" w:lineRule="exact"/>
        <w:ind w:firstLine="640"/>
        <w:jc w:val="both"/>
      </w:pPr>
      <w:r>
        <w:rPr>
          <w:rFonts w:ascii="仿宋_GB2312" w:hAnsi="仿宋_GB2312" w:eastAsia="仿宋_GB2312"/>
          <w:b/>
          <w:sz w:val="32"/>
        </w:rPr>
        <w:t>2025年度财政拨款收入总计126.17万元，</w:t>
      </w:r>
      <w:r>
        <w:rPr>
          <w:rFonts w:ascii="仿宋_GB2312" w:hAnsi="仿宋_GB2312" w:eastAsia="仿宋_GB2312"/>
          <w:b w:val="0"/>
          <w:sz w:val="32"/>
        </w:rPr>
        <w:t>其中：年初财政拨款结转和结余0.00万元，本年财政拨款收入126.17万元。</w:t>
      </w:r>
      <w:r>
        <w:rPr>
          <w:rFonts w:ascii="仿宋_GB2312" w:hAnsi="仿宋_GB2312" w:eastAsia="仿宋_GB2312"/>
          <w:b/>
          <w:sz w:val="32"/>
        </w:rPr>
        <w:t>财政拨款支出总计126.17万元，</w:t>
      </w:r>
      <w:r>
        <w:rPr>
          <w:rFonts w:ascii="仿宋_GB2312" w:hAnsi="仿宋_GB2312" w:eastAsia="仿宋_GB2312"/>
          <w:b w:val="0"/>
          <w:sz w:val="32"/>
        </w:rPr>
        <w:t>其中：年末财政拨款结转和结余0.45万元，本年财政拨款支出125.72万元。</w:t>
      </w:r>
    </w:p>
    <w:p w14:paraId="4EBE8BA5">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增加126.17万元，增长100.00%，主要原因是：本单位为本年新增预算单位，无上年对比数据。</w:t>
      </w:r>
      <w:r>
        <w:rPr>
          <w:rFonts w:ascii="仿宋_GB2312" w:hAnsi="仿宋_GB2312" w:eastAsia="仿宋_GB2312"/>
          <w:b/>
          <w:sz w:val="32"/>
        </w:rPr>
        <w:t>与年初预算相比，</w:t>
      </w:r>
      <w:r>
        <w:rPr>
          <w:rFonts w:ascii="仿宋_GB2312" w:hAnsi="仿宋_GB2312" w:eastAsia="仿宋_GB2312"/>
          <w:b w:val="0"/>
          <w:sz w:val="32"/>
        </w:rPr>
        <w:t>年初预算数0.00万元，决算数126.17万元，预决算差异率100.00%，主要原因是：本单位为新增预算单位，无年初预算</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导致预决算存在差异</w:t>
      </w:r>
      <w:r>
        <w:rPr>
          <w:rFonts w:ascii="仿宋_GB2312" w:hAnsi="仿宋_GB2312" w:eastAsia="仿宋_GB2312"/>
          <w:b w:val="0"/>
          <w:sz w:val="32"/>
        </w:rPr>
        <w:t>。</w:t>
      </w:r>
    </w:p>
    <w:p w14:paraId="7CA1ED27">
      <w:pPr>
        <w:spacing w:line="640" w:lineRule="exact"/>
        <w:ind w:firstLine="640"/>
        <w:jc w:val="both"/>
        <w:outlineLvl w:val="2"/>
      </w:pPr>
      <w:r>
        <w:rPr>
          <w:rFonts w:ascii="黑体" w:hAnsi="黑体" w:eastAsia="黑体"/>
          <w:sz w:val="32"/>
        </w:rPr>
        <w:t>五、一般公共预算财政拨款支出决算情况说明</w:t>
      </w:r>
    </w:p>
    <w:p w14:paraId="2786ED94">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w:t>
      </w:r>
      <w:r>
        <w:rPr>
          <w:rFonts w:hint="eastAsia" w:ascii="仿宋_GB2312" w:hAnsi="仿宋_GB2312" w:eastAsia="仿宋_GB2312"/>
          <w:b w:val="0"/>
          <w:sz w:val="32"/>
          <w:lang w:val="en-US" w:eastAsia="zh-CN"/>
        </w:rPr>
        <w:t>单位</w:t>
      </w:r>
      <w:r>
        <w:rPr>
          <w:rFonts w:ascii="仿宋_GB2312" w:hAnsi="仿宋_GB2312" w:eastAsia="仿宋_GB2312"/>
          <w:b w:val="0"/>
          <w:sz w:val="32"/>
        </w:rPr>
        <w:t>运行，事业发展等重点支出，体现在有关支出科目中。</w:t>
      </w:r>
    </w:p>
    <w:p w14:paraId="1A06FA5C">
      <w:pPr>
        <w:spacing w:line="580" w:lineRule="exact"/>
        <w:ind w:firstLine="640"/>
        <w:jc w:val="both"/>
      </w:pPr>
      <w:r>
        <w:rPr>
          <w:rFonts w:ascii="仿宋_GB2312" w:hAnsi="仿宋_GB2312" w:eastAsia="仿宋_GB2312"/>
          <w:b w:val="0"/>
          <w:sz w:val="32"/>
        </w:rPr>
        <w:t>按照支出功能分类，农林水支出（类）水利（款）水利行业业务管理（项）的支出占本年财政拨款支出总额的比重最高，2025年度决算数为84.00万元，占比66.82%，主要用于在职人员工资福利。</w:t>
      </w:r>
    </w:p>
    <w:p w14:paraId="17294571">
      <w:pPr>
        <w:spacing w:line="640" w:lineRule="exact"/>
        <w:ind w:firstLine="640"/>
        <w:jc w:val="both"/>
        <w:outlineLvl w:val="3"/>
      </w:pPr>
      <w:r>
        <w:rPr>
          <w:rFonts w:ascii="楷体_GB2312" w:hAnsi="楷体_GB2312" w:eastAsia="楷体_GB2312"/>
          <w:b/>
          <w:sz w:val="32"/>
        </w:rPr>
        <w:t>（一）一般公共预算财政拨款支出决算总体情况</w:t>
      </w:r>
    </w:p>
    <w:p w14:paraId="06BA812F">
      <w:pPr>
        <w:spacing w:line="580" w:lineRule="exact"/>
        <w:ind w:firstLine="640"/>
        <w:jc w:val="both"/>
      </w:pPr>
      <w:r>
        <w:rPr>
          <w:rFonts w:ascii="仿宋_GB2312" w:hAnsi="仿宋_GB2312" w:eastAsia="仿宋_GB2312"/>
          <w:b/>
          <w:sz w:val="32"/>
        </w:rPr>
        <w:t>2025年度一般公共预算财政拨款支出125.72万元，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增加125.72万元，增长100.00%，主要原因是：本单位为本年新增预算单位，无上年对比数据。</w:t>
      </w:r>
      <w:r>
        <w:rPr>
          <w:rFonts w:ascii="仿宋_GB2312" w:hAnsi="仿宋_GB2312" w:eastAsia="仿宋_GB2312"/>
          <w:b/>
          <w:sz w:val="32"/>
        </w:rPr>
        <w:t>与年初预算相比，</w:t>
      </w:r>
      <w:r>
        <w:rPr>
          <w:rFonts w:ascii="仿宋_GB2312" w:hAnsi="仿宋_GB2312" w:eastAsia="仿宋_GB2312"/>
          <w:b w:val="0"/>
          <w:sz w:val="32"/>
        </w:rPr>
        <w:t>年初预算数0.00万元，决算数125.72万元，预决算差异率100.00%，主要原因是：本单位为新增预算单位，无年初预算</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导致预决算存在差异</w:t>
      </w:r>
      <w:r>
        <w:rPr>
          <w:rFonts w:ascii="仿宋_GB2312" w:hAnsi="仿宋_GB2312" w:eastAsia="仿宋_GB2312"/>
          <w:b w:val="0"/>
          <w:sz w:val="32"/>
        </w:rPr>
        <w:t>。</w:t>
      </w:r>
    </w:p>
    <w:p w14:paraId="31617B32">
      <w:pPr>
        <w:spacing w:line="640" w:lineRule="exact"/>
        <w:ind w:firstLine="640"/>
        <w:jc w:val="both"/>
        <w:outlineLvl w:val="3"/>
      </w:pPr>
      <w:r>
        <w:rPr>
          <w:rFonts w:ascii="楷体_GB2312" w:hAnsi="楷体_GB2312" w:eastAsia="楷体_GB2312"/>
          <w:b/>
          <w:sz w:val="32"/>
        </w:rPr>
        <w:t>（二）一般公共预算财政拨款支出决算结构情况</w:t>
      </w:r>
    </w:p>
    <w:p w14:paraId="6D2A2E6B">
      <w:pPr>
        <w:spacing w:line="580" w:lineRule="exact"/>
        <w:ind w:firstLine="640"/>
        <w:jc w:val="both"/>
      </w:pPr>
      <w:r>
        <w:rPr>
          <w:rFonts w:ascii="仿宋_GB2312" w:hAnsi="仿宋_GB2312" w:eastAsia="仿宋_GB2312"/>
          <w:b w:val="0"/>
          <w:sz w:val="32"/>
        </w:rPr>
        <w:t>1.社会保障和就业支出（类）18.06万元，占14.37%。</w:t>
      </w:r>
    </w:p>
    <w:p w14:paraId="5174184F">
      <w:pPr>
        <w:spacing w:line="580" w:lineRule="exact"/>
        <w:ind w:firstLine="640"/>
        <w:jc w:val="both"/>
      </w:pPr>
      <w:r>
        <w:rPr>
          <w:rFonts w:ascii="仿宋_GB2312" w:hAnsi="仿宋_GB2312" w:eastAsia="仿宋_GB2312"/>
          <w:b w:val="0"/>
          <w:sz w:val="32"/>
        </w:rPr>
        <w:t>2.卫生健康支出（类）13.61万元，占10.83%。</w:t>
      </w:r>
    </w:p>
    <w:p w14:paraId="6E815C6E">
      <w:pPr>
        <w:spacing w:line="580" w:lineRule="exact"/>
        <w:ind w:firstLine="640"/>
        <w:jc w:val="both"/>
      </w:pPr>
      <w:r>
        <w:rPr>
          <w:rFonts w:ascii="仿宋_GB2312" w:hAnsi="仿宋_GB2312" w:eastAsia="仿宋_GB2312"/>
          <w:b w:val="0"/>
          <w:sz w:val="32"/>
        </w:rPr>
        <w:t>3.农林水支出（类）84.00万元，占66.82%。</w:t>
      </w:r>
    </w:p>
    <w:p w14:paraId="5D802F53">
      <w:pPr>
        <w:spacing w:line="580" w:lineRule="exact"/>
        <w:ind w:firstLine="640"/>
        <w:jc w:val="both"/>
      </w:pPr>
      <w:r>
        <w:rPr>
          <w:rFonts w:ascii="仿宋_GB2312" w:hAnsi="仿宋_GB2312" w:eastAsia="仿宋_GB2312"/>
          <w:b w:val="0"/>
          <w:sz w:val="32"/>
        </w:rPr>
        <w:t>4.住房保障支出（类）10.04万元，占7.99%。</w:t>
      </w:r>
    </w:p>
    <w:p w14:paraId="4189DCB3">
      <w:pPr>
        <w:spacing w:line="640" w:lineRule="exact"/>
        <w:ind w:firstLine="640"/>
        <w:jc w:val="both"/>
        <w:outlineLvl w:val="3"/>
      </w:pPr>
      <w:r>
        <w:rPr>
          <w:rFonts w:ascii="楷体_GB2312" w:hAnsi="楷体_GB2312" w:eastAsia="楷体_GB2312"/>
          <w:b/>
          <w:sz w:val="32"/>
        </w:rPr>
        <w:t>（三）一般公共预算财政拨款支出决算具体情况</w:t>
      </w:r>
    </w:p>
    <w:p w14:paraId="632BD5A6">
      <w:pPr>
        <w:spacing w:line="580" w:lineRule="exact"/>
        <w:ind w:firstLine="640"/>
        <w:jc w:val="both"/>
      </w:pPr>
      <w:r>
        <w:rPr>
          <w:rFonts w:ascii="仿宋_GB2312" w:hAnsi="仿宋_GB2312" w:eastAsia="仿宋_GB2312"/>
          <w:b w:val="0"/>
          <w:sz w:val="32"/>
        </w:rPr>
        <w:t>1.社会保障和就业支出（类）行政事业单位养老支出（款）机关事业单位基本养老保险缴费支出（项）：支出决算数为13.39万元，比上年决算增加13.39万元，增长100.00%，主要原因是：本单位为本年新增预算单位，无上年对比数据。</w:t>
      </w:r>
    </w:p>
    <w:p w14:paraId="7A073D08">
      <w:pPr>
        <w:spacing w:line="580" w:lineRule="exact"/>
        <w:ind w:firstLine="640"/>
        <w:jc w:val="both"/>
      </w:pPr>
      <w:r>
        <w:rPr>
          <w:rFonts w:ascii="仿宋_GB2312" w:hAnsi="仿宋_GB2312" w:eastAsia="仿宋_GB2312"/>
          <w:b w:val="0"/>
          <w:sz w:val="32"/>
        </w:rPr>
        <w:t>2.社会保障和就业支出（类）行政事业单位养老支出（款）机关事业单位职业年金缴费支出（项）：支出决算数为4.68万元，比上年决算增加4.68万元，增长100.00%，主要原因是：本单位为本年新增预算单位，无上年对比数据。</w:t>
      </w:r>
    </w:p>
    <w:p w14:paraId="0FC4B3D8">
      <w:pPr>
        <w:spacing w:line="580" w:lineRule="exact"/>
        <w:ind w:firstLine="640"/>
        <w:jc w:val="both"/>
      </w:pPr>
      <w:r>
        <w:rPr>
          <w:rFonts w:ascii="仿宋_GB2312" w:hAnsi="仿宋_GB2312" w:eastAsia="仿宋_GB2312"/>
          <w:b w:val="0"/>
          <w:sz w:val="32"/>
        </w:rPr>
        <w:t>3.卫生健康支出（类）行政事业单位医疗（款）事业单位医疗（项）：支出决算数为7.75万元，比上年决算增加7.75万元，增长100.00%，主要原因是：本单位为本年新增预算单位，无上年对比数据。</w:t>
      </w:r>
    </w:p>
    <w:p w14:paraId="57602727">
      <w:pPr>
        <w:spacing w:line="580" w:lineRule="exact"/>
        <w:ind w:firstLine="640"/>
        <w:jc w:val="both"/>
      </w:pPr>
      <w:r>
        <w:rPr>
          <w:rFonts w:ascii="仿宋_GB2312" w:hAnsi="仿宋_GB2312" w:eastAsia="仿宋_GB2312"/>
          <w:b w:val="0"/>
          <w:sz w:val="32"/>
        </w:rPr>
        <w:t>4.卫生健康支出（类）行政事业单位医疗（款）公务员医疗补助（项）：支出决算数为5.86万元，比上年决算增加5.86万元，增长100.00%，主要原因是：本单位为本年新增预算单位，无上年对比数据。</w:t>
      </w:r>
    </w:p>
    <w:p w14:paraId="37E9E348">
      <w:pPr>
        <w:spacing w:line="580" w:lineRule="exact"/>
        <w:ind w:firstLine="640"/>
        <w:jc w:val="both"/>
      </w:pPr>
      <w:r>
        <w:rPr>
          <w:rFonts w:ascii="仿宋_GB2312" w:hAnsi="仿宋_GB2312" w:eastAsia="仿宋_GB2312"/>
          <w:b w:val="0"/>
          <w:sz w:val="32"/>
        </w:rPr>
        <w:t>5.农林水支出（类）水利（款）水利行业业务管理（项）：支出决算数为84.00万元，比上年决算增加84.00万元，增长100.00%，主要原因是：本单位为本年新增预算单位，无上年对比数据。</w:t>
      </w:r>
    </w:p>
    <w:p w14:paraId="5F7A9FD3">
      <w:pPr>
        <w:spacing w:line="580" w:lineRule="exact"/>
        <w:ind w:firstLine="640"/>
        <w:jc w:val="both"/>
      </w:pPr>
      <w:r>
        <w:rPr>
          <w:rFonts w:ascii="仿宋_GB2312" w:hAnsi="仿宋_GB2312" w:eastAsia="仿宋_GB2312"/>
          <w:b w:val="0"/>
          <w:sz w:val="32"/>
        </w:rPr>
        <w:t>6.住房保障支出（类）住房改革支出（款）住房公积金（项）：支出决算数为10.04万元，比上年决算增加10.04万元，增长100.00%，主要原因是：本单位为本年新增预算单位，无上年对比数据。</w:t>
      </w:r>
    </w:p>
    <w:p w14:paraId="76DD433B">
      <w:pPr>
        <w:spacing w:line="640" w:lineRule="exact"/>
        <w:ind w:firstLine="640"/>
        <w:jc w:val="both"/>
        <w:outlineLvl w:val="2"/>
      </w:pPr>
      <w:r>
        <w:rPr>
          <w:rFonts w:ascii="黑体" w:hAnsi="黑体" w:eastAsia="黑体"/>
          <w:sz w:val="32"/>
        </w:rPr>
        <w:t>六、一般公共预算财政拨款基本支出决算情况说明</w:t>
      </w:r>
    </w:p>
    <w:p w14:paraId="7569AAC3">
      <w:pPr>
        <w:spacing w:line="580" w:lineRule="exact"/>
        <w:ind w:firstLine="640"/>
        <w:jc w:val="both"/>
      </w:pPr>
      <w:r>
        <w:rPr>
          <w:rFonts w:ascii="仿宋_GB2312" w:hAnsi="仿宋_GB2312" w:eastAsia="仿宋_GB2312"/>
          <w:b w:val="0"/>
          <w:sz w:val="32"/>
        </w:rPr>
        <w:t>2025年度一般公共预算财政拨款基本支出125.72万元，其中：</w:t>
      </w:r>
      <w:r>
        <w:rPr>
          <w:rFonts w:ascii="仿宋_GB2312" w:hAnsi="仿宋_GB2312" w:eastAsia="仿宋_GB2312"/>
          <w:b/>
          <w:sz w:val="32"/>
        </w:rPr>
        <w:t>人员经费125.72万元，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w:t>
      </w:r>
    </w:p>
    <w:p w14:paraId="7C13C5F7">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179B469F">
      <w:pPr>
        <w:spacing w:line="640" w:lineRule="exact"/>
        <w:ind w:firstLine="640"/>
        <w:jc w:val="both"/>
        <w:outlineLvl w:val="2"/>
      </w:pPr>
      <w:r>
        <w:rPr>
          <w:rFonts w:ascii="黑体" w:hAnsi="黑体" w:eastAsia="黑体"/>
          <w:sz w:val="32"/>
        </w:rPr>
        <w:t>七、政府性基金预算财政拨款收入支出决算情况说明</w:t>
      </w:r>
    </w:p>
    <w:p w14:paraId="00044815">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5879BEA7">
      <w:pPr>
        <w:spacing w:line="640" w:lineRule="exact"/>
        <w:ind w:firstLine="640"/>
        <w:jc w:val="both"/>
        <w:outlineLvl w:val="2"/>
      </w:pPr>
      <w:r>
        <w:rPr>
          <w:rFonts w:ascii="黑体" w:hAnsi="黑体" w:eastAsia="黑体"/>
          <w:sz w:val="32"/>
        </w:rPr>
        <w:t>八、国有资本经营预算财政拨款收入支出决算情况说明</w:t>
      </w:r>
    </w:p>
    <w:p w14:paraId="2960A388">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DC97329">
      <w:pPr>
        <w:spacing w:line="640" w:lineRule="exact"/>
        <w:ind w:firstLine="640"/>
        <w:jc w:val="both"/>
        <w:outlineLvl w:val="2"/>
      </w:pPr>
      <w:r>
        <w:rPr>
          <w:rFonts w:ascii="黑体" w:hAnsi="黑体" w:eastAsia="黑体"/>
          <w:sz w:val="32"/>
        </w:rPr>
        <w:t>九、财政拨款“三公”经费支出决算情况说明</w:t>
      </w:r>
    </w:p>
    <w:p w14:paraId="2C12147B">
      <w:pPr>
        <w:spacing w:line="580" w:lineRule="exact"/>
        <w:ind w:firstLine="640"/>
        <w:jc w:val="both"/>
      </w:pPr>
      <w:r>
        <w:rPr>
          <w:rFonts w:ascii="仿宋_GB2312" w:hAnsi="仿宋_GB2312" w:eastAsia="仿宋_GB2312"/>
          <w:b/>
          <w:sz w:val="32"/>
        </w:rPr>
        <w:t>2025年度财政拨款“三公”经费支出0.00万元，</w:t>
      </w:r>
      <w:r>
        <w:rPr>
          <w:rFonts w:ascii="仿宋_GB2312" w:hAnsi="仿宋_GB2312" w:eastAsia="仿宋_GB2312"/>
          <w:b w:val="0"/>
          <w:sz w:val="32"/>
        </w:rPr>
        <w:t>比上年增加0.00万元，增长0.00%，主要原因是：2025年本单位无财政拨款“三公”经费支出。其中：因公出国（境）费用支出0.00万元，占0.00%，比上年增加0.00万元，增长0.00%，主要原因是：2025年本单位无因公出国（境）费用支出。公务用车购置及运行维护费支出0.00万元，占0.00%，比上年增加0.00万元，增长0.00%，主要原因是：2025年本单位无公务用车购置及运行维护费支出。公务接待费支出0.00万元，占0.00%，比上年增加0.00万元，增长0.00%，主要原因是：2025年本单位无公务接待费支出。</w:t>
      </w:r>
    </w:p>
    <w:p w14:paraId="68CFC7AA">
      <w:pPr>
        <w:spacing w:line="580" w:lineRule="exact"/>
        <w:ind w:firstLine="640"/>
        <w:jc w:val="both"/>
      </w:pPr>
      <w:r>
        <w:rPr>
          <w:rFonts w:ascii="仿宋_GB2312" w:hAnsi="仿宋_GB2312" w:eastAsia="仿宋_GB2312"/>
          <w:b/>
          <w:sz w:val="32"/>
        </w:rPr>
        <w:t>具体情况如下：</w:t>
      </w:r>
    </w:p>
    <w:p w14:paraId="51D34C83">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14:paraId="55EBB7F5">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辆，与公务用车保有量差异原因是：我中心固定资产账面车辆1辆，该车辆系2025年厅办划拨，已完成资产卡片入账，但相关预算未划转至我中心，未纳入公务用车预算管理，因此造成数据差异。</w:t>
      </w:r>
    </w:p>
    <w:p w14:paraId="6DFD0EAF">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AD9010A">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3F843FE0">
      <w:pPr>
        <w:spacing w:line="640" w:lineRule="exact"/>
        <w:ind w:firstLine="640"/>
        <w:jc w:val="both"/>
        <w:outlineLvl w:val="2"/>
      </w:pPr>
      <w:r>
        <w:rPr>
          <w:rFonts w:ascii="黑体" w:hAnsi="黑体" w:eastAsia="黑体"/>
          <w:sz w:val="32"/>
        </w:rPr>
        <w:t>十、其他重要事项的情况说明</w:t>
      </w:r>
    </w:p>
    <w:p w14:paraId="01C4E02C">
      <w:pPr>
        <w:spacing w:line="640" w:lineRule="exact"/>
        <w:ind w:firstLine="640"/>
        <w:jc w:val="both"/>
        <w:outlineLvl w:val="3"/>
      </w:pPr>
      <w:r>
        <w:rPr>
          <w:rFonts w:ascii="楷体_GB2312" w:hAnsi="楷体_GB2312" w:eastAsia="楷体_GB2312"/>
          <w:b/>
          <w:sz w:val="32"/>
        </w:rPr>
        <w:t>（一）机关运行经费及公用经费支出情况</w:t>
      </w:r>
    </w:p>
    <w:p w14:paraId="6F4C1E40">
      <w:pPr>
        <w:spacing w:line="580" w:lineRule="exact"/>
        <w:ind w:firstLine="640"/>
        <w:jc w:val="both"/>
      </w:pPr>
      <w:r>
        <w:rPr>
          <w:rFonts w:ascii="仿宋_GB2312" w:hAnsi="仿宋_GB2312" w:eastAsia="仿宋_GB2312"/>
          <w:b w:val="0"/>
          <w:sz w:val="32"/>
        </w:rPr>
        <w:t>2025年度新疆维吾尔自治区艾比湖流域水利管理中心（事业单位）公用经费支出0.00万元，比上年增加0.00万元，增长0.00%，主要原因是：2025年本单位无公用经费支出。</w:t>
      </w:r>
    </w:p>
    <w:p w14:paraId="27F3B5D9">
      <w:pPr>
        <w:spacing w:line="640" w:lineRule="exact"/>
        <w:ind w:firstLine="640"/>
        <w:jc w:val="both"/>
        <w:outlineLvl w:val="3"/>
      </w:pPr>
      <w:r>
        <w:rPr>
          <w:rFonts w:ascii="楷体_GB2312" w:hAnsi="楷体_GB2312" w:eastAsia="楷体_GB2312"/>
          <w:b/>
          <w:sz w:val="32"/>
        </w:rPr>
        <w:t>（二）政府采购情况</w:t>
      </w:r>
    </w:p>
    <w:p w14:paraId="18003120">
      <w:pPr>
        <w:spacing w:line="580" w:lineRule="exact"/>
        <w:ind w:firstLine="640"/>
        <w:jc w:val="both"/>
      </w:pPr>
      <w:r>
        <w:rPr>
          <w:rFonts w:ascii="仿宋_GB2312" w:hAnsi="仿宋_GB2312" w:eastAsia="仿宋_GB2312"/>
          <w:b w:val="0"/>
          <w:sz w:val="32"/>
        </w:rPr>
        <w:t>2025年度政府采购支出总额0.00万元，其中：政府采购货物支出0.00万元、政府采购工程支出0.00万元、政府采购服务支出0.00万元。</w:t>
      </w:r>
    </w:p>
    <w:p w14:paraId="4ECC84BF">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732D5318">
      <w:pPr>
        <w:spacing w:line="640" w:lineRule="exact"/>
        <w:ind w:firstLine="640"/>
        <w:jc w:val="both"/>
        <w:outlineLvl w:val="3"/>
      </w:pPr>
      <w:r>
        <w:rPr>
          <w:rFonts w:ascii="楷体_GB2312" w:hAnsi="楷体_GB2312" w:eastAsia="楷体_GB2312"/>
          <w:b/>
          <w:sz w:val="32"/>
        </w:rPr>
        <w:t>（三）国有资产占用情况说明</w:t>
      </w:r>
    </w:p>
    <w:p w14:paraId="4034A43A">
      <w:pPr>
        <w:spacing w:line="580" w:lineRule="exact"/>
        <w:ind w:firstLine="640"/>
        <w:jc w:val="both"/>
      </w:pPr>
      <w:r>
        <w:rPr>
          <w:rFonts w:ascii="仿宋_GB2312" w:hAnsi="仿宋_GB2312" w:eastAsia="仿宋_GB2312"/>
          <w:b w:val="0"/>
          <w:sz w:val="32"/>
        </w:rPr>
        <w:t>截至2025年12月31日，房屋3,748.20平方米，价值172.44万元。车辆1辆，价值33.87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0台（套）。</w:t>
      </w:r>
    </w:p>
    <w:p w14:paraId="68007B78">
      <w:pPr>
        <w:spacing w:line="640" w:lineRule="exact"/>
        <w:ind w:firstLine="640"/>
        <w:jc w:val="both"/>
        <w:outlineLvl w:val="2"/>
      </w:pPr>
      <w:r>
        <w:rPr>
          <w:rFonts w:ascii="黑体" w:hAnsi="黑体" w:eastAsia="黑体"/>
          <w:sz w:val="32"/>
        </w:rPr>
        <w:t>十一、预算绩效的情况说明</w:t>
      </w:r>
    </w:p>
    <w:p w14:paraId="3FD777A8">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2025年度我中心暂无预算绩效。发现的问题及原因：2025年度我中心暂无预算绩效。下一步改进措施：2025年度我中心暂无预算绩效。</w:t>
      </w:r>
    </w:p>
    <w:p w14:paraId="4DB4FF5C">
      <w:r>
        <w:br w:type="page"/>
      </w:r>
    </w:p>
    <w:p w14:paraId="210AE65F">
      <w:pPr>
        <w:spacing w:line="640" w:lineRule="exact"/>
        <w:ind w:firstLine="640"/>
        <w:jc w:val="both"/>
        <w:outlineLvl w:val="2"/>
      </w:pPr>
      <w:r>
        <w:rPr>
          <w:rFonts w:ascii="黑体" w:hAnsi="黑体" w:eastAsia="黑体"/>
          <w:sz w:val="32"/>
        </w:rPr>
        <w:t>十二、其他需说明的事项</w:t>
      </w:r>
    </w:p>
    <w:p w14:paraId="08113E9D">
      <w:pPr>
        <w:spacing w:line="580" w:lineRule="exact"/>
        <w:ind w:firstLine="640"/>
        <w:jc w:val="both"/>
      </w:pPr>
      <w:r>
        <w:rPr>
          <w:rFonts w:ascii="仿宋_GB2312" w:hAnsi="仿宋_GB2312" w:eastAsia="仿宋_GB2312"/>
          <w:b w:val="0"/>
          <w:sz w:val="32"/>
        </w:rPr>
        <w:t>本单位2025年度无政府采购支出，授予中小</w:t>
      </w:r>
      <w:r>
        <w:rPr>
          <w:rFonts w:hint="eastAsia" w:ascii="仿宋_GB2312" w:hAnsi="仿宋_GB2312" w:eastAsia="仿宋_GB2312"/>
          <w:b w:val="0"/>
          <w:sz w:val="32"/>
          <w:lang w:val="en-US" w:eastAsia="zh-CN"/>
        </w:rPr>
        <w:t>微</w:t>
      </w:r>
      <w:r>
        <w:rPr>
          <w:rFonts w:ascii="仿宋_GB2312" w:hAnsi="仿宋_GB2312" w:eastAsia="仿宋_GB2312"/>
          <w:b w:val="0"/>
          <w:sz w:val="32"/>
        </w:rPr>
        <w:t>企业合同金额0.00万元。</w:t>
      </w:r>
      <w:bookmarkStart w:id="0" w:name="_GoBack"/>
      <w:bookmarkEnd w:id="0"/>
    </w:p>
    <w:p w14:paraId="195AECCE">
      <w:r>
        <w:br w:type="page"/>
      </w:r>
    </w:p>
    <w:p w14:paraId="04E25A45">
      <w:pPr>
        <w:spacing w:line="600" w:lineRule="exact"/>
        <w:jc w:val="center"/>
        <w:outlineLvl w:val="0"/>
      </w:pPr>
      <w:r>
        <w:rPr>
          <w:rFonts w:ascii="黑体" w:hAnsi="黑体" w:eastAsia="黑体"/>
          <w:sz w:val="32"/>
        </w:rPr>
        <w:t>第三部分 专业名词解释</w:t>
      </w:r>
    </w:p>
    <w:p w14:paraId="3AC8C926">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3581FED8">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74C7FA6">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16D2612A">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310DD2B">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563CEF53">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07153E70">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424D1A6F">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26FFB868">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0B3A6D7C">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1628FEFD">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4330F9EC">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75868A73">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0B903929">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10ED80D7">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2F75A7C1">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2E0C5B1C">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525FAEA5">
      <w:r>
        <w:br w:type="page"/>
      </w:r>
    </w:p>
    <w:p w14:paraId="4FA53612">
      <w:pPr>
        <w:spacing w:line="240" w:lineRule="auto"/>
        <w:jc w:val="center"/>
        <w:outlineLvl w:val="1"/>
      </w:pPr>
      <w:r>
        <w:rPr>
          <w:rFonts w:ascii="黑体" w:hAnsi="黑体" w:eastAsia="黑体"/>
          <w:sz w:val="32"/>
        </w:rPr>
        <w:t>第四部分 部门决算报表（见附表）</w:t>
      </w:r>
    </w:p>
    <w:p w14:paraId="49A17E5D">
      <w:pPr>
        <w:autoSpaceDE w:val="0"/>
        <w:autoSpaceDN w:val="0"/>
        <w:spacing w:line="600" w:lineRule="exact"/>
        <w:ind w:firstLine="640" w:firstLineChars="200"/>
      </w:pPr>
      <w:r>
        <w:rPr>
          <w:rFonts w:ascii="仿宋_GB2312" w:hAnsi="仿宋_GB2312" w:eastAsia="仿宋_GB2312"/>
          <w:b w:val="0"/>
          <w:sz w:val="32"/>
        </w:rPr>
        <w:t>一、《收入支出决算总表》</w:t>
      </w:r>
    </w:p>
    <w:p w14:paraId="300C777D">
      <w:pPr>
        <w:autoSpaceDE w:val="0"/>
        <w:autoSpaceDN w:val="0"/>
        <w:spacing w:line="600" w:lineRule="exact"/>
        <w:ind w:firstLine="640" w:firstLineChars="200"/>
      </w:pPr>
      <w:r>
        <w:rPr>
          <w:rFonts w:ascii="仿宋_GB2312" w:hAnsi="仿宋_GB2312" w:eastAsia="仿宋_GB2312"/>
          <w:b w:val="0"/>
          <w:sz w:val="32"/>
        </w:rPr>
        <w:t>二、《收入决算表》</w:t>
      </w:r>
    </w:p>
    <w:p w14:paraId="0A782A90">
      <w:pPr>
        <w:autoSpaceDE w:val="0"/>
        <w:autoSpaceDN w:val="0"/>
        <w:spacing w:line="600" w:lineRule="exact"/>
        <w:ind w:firstLine="640" w:firstLineChars="200"/>
      </w:pPr>
      <w:r>
        <w:rPr>
          <w:rFonts w:ascii="仿宋_GB2312" w:hAnsi="仿宋_GB2312" w:eastAsia="仿宋_GB2312"/>
          <w:b w:val="0"/>
          <w:sz w:val="32"/>
        </w:rPr>
        <w:t>三、《支出决算表》</w:t>
      </w:r>
    </w:p>
    <w:p w14:paraId="114DD9CF">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51357A1B">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541EB937">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41DAA6AC">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2EF6B628">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390FA556">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2DD4F11A">
      <w:pPr>
        <w:autoSpaceDE w:val="0"/>
        <w:autoSpaceDN w:val="0"/>
        <w:spacing w:line="600" w:lineRule="exact"/>
        <w:ind w:firstLine="640" w:firstLineChars="200"/>
      </w:pPr>
    </w:p>
    <w:p w14:paraId="0900A157">
      <w:pPr>
        <w:autoSpaceDE w:val="0"/>
        <w:autoSpaceDN w:val="0"/>
        <w:spacing w:line="600" w:lineRule="exact"/>
        <w:ind w:firstLine="640" w:firstLineChars="200"/>
      </w:pPr>
    </w:p>
    <w:p w14:paraId="5CF5EA5D">
      <w:pPr>
        <w:autoSpaceDE w:val="0"/>
        <w:autoSpaceDN w:val="0"/>
        <w:spacing w:line="600" w:lineRule="exact"/>
        <w:ind w:firstLine="640" w:firstLineChars="200"/>
      </w:pPr>
    </w:p>
    <w:p w14:paraId="62762580">
      <w:pPr>
        <w:autoSpaceDE w:val="0"/>
        <w:autoSpaceDN w:val="0"/>
        <w:spacing w:line="600" w:lineRule="exact"/>
        <w:ind w:firstLine="640" w:firstLineChars="200"/>
      </w:pPr>
    </w:p>
    <w:p w14:paraId="5682C6FC">
      <w:pPr>
        <w:autoSpaceDE w:val="0"/>
        <w:autoSpaceDN w:val="0"/>
        <w:spacing w:line="600" w:lineRule="exact"/>
        <w:ind w:firstLine="640" w:firstLineChars="200"/>
      </w:pPr>
    </w:p>
    <w:sectPr>
      <w:footerReference r:id="rId3" w:type="default"/>
      <w:pgSz w:w="11906" w:h="16838"/>
      <w:pgMar w:top="2098" w:right="1531" w:bottom="1985"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46A6F4D-8E36-4BA2-BF57-941270752F2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8DA6DA4A-AD7C-42CE-989E-1C09ADCDF63B}"/>
  </w:font>
  <w:font w:name="仿宋_GB2312">
    <w:panose1 w:val="02010609030101010101"/>
    <w:charset w:val="86"/>
    <w:family w:val="modern"/>
    <w:pitch w:val="default"/>
    <w:sig w:usb0="00000001" w:usb1="080E0000" w:usb2="00000000" w:usb3="00000000" w:csb0="00040000" w:csb1="00000000"/>
    <w:embedRegular r:id="rId3" w:fontKey="{07BE4122-DF7B-4EF1-9DBB-CB64E213AD70}"/>
  </w:font>
  <w:font w:name="楷体_GB2312">
    <w:panose1 w:val="02010609030101010101"/>
    <w:charset w:val="86"/>
    <w:family w:val="auto"/>
    <w:pitch w:val="default"/>
    <w:sig w:usb0="00000001" w:usb1="080E0000" w:usb2="00000000" w:usb3="00000000" w:csb0="00040000" w:csb1="00000000"/>
    <w:embedRegular r:id="rId4" w:fontKey="{A91D3F37-8663-4897-8C8C-7848CE0E6E9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25A23F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15E4412"/>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config/>
</contractReview>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bd4aa7-dac8-4f6c-a01f-e8de9af15649}">
  <ds:schemaRefs/>
</ds:datastoreItem>
</file>

<file path=customXml/itemProps3.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17</Pages>
  <Words>5321</Words>
  <Characters>5936</Characters>
  <Lines>10</Lines>
  <Paragraphs>2</Paragraphs>
  <TotalTime>3</TotalTime>
  <ScaleCrop>false</ScaleCrop>
  <LinksUpToDate>false</LinksUpToDate>
  <CharactersWithSpaces>5946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白羊</cp:lastModifiedBy>
  <cp:lastPrinted>2024-07-22T11:58:00Z</cp:lastPrinted>
  <dcterms:modified xsi:type="dcterms:W3CDTF">2026-08-28T09:09:10Z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eyJoZGlkIjoiN2E1ZDY0MDI5MTE3YjM0ZGMyMzg4N2EwMDI4ZjJiM2YiLCJ1c2VySWQiOiI0MzE2NzY3NzkifQ==</vt:lpwstr>
  </property>
</Properties>
</file>