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新疆维吾尔自治区额尔齐斯河流域水利管理中心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D50A089">
      <w:r>
        <w:br w:type="page"/>
      </w:r>
    </w:p>
    <w:p w14:paraId="46B1759D">
      <w:pPr>
        <w:spacing w:line="640" w:lineRule="exact"/>
        <w:jc w:val="center"/>
        <w:outlineLvl w:val="1"/>
      </w:pPr>
      <w:r>
        <w:rPr>
          <w:rFonts w:ascii="黑体" w:hAnsi="黑体" w:eastAsia="黑体"/>
          <w:sz w:val="32"/>
        </w:rPr>
        <w:t>第一部分 单位概况</w:t>
      </w:r>
    </w:p>
    <w:p w14:paraId="5C54868B">
      <w:pPr>
        <w:spacing w:line="640" w:lineRule="exact"/>
        <w:ind w:firstLine="640"/>
        <w:jc w:val="both"/>
        <w:outlineLvl w:val="2"/>
      </w:pPr>
      <w:r>
        <w:rPr>
          <w:rFonts w:ascii="黑体" w:hAnsi="黑体" w:eastAsia="黑体"/>
          <w:sz w:val="32"/>
        </w:rPr>
        <w:t>一、主要职能</w:t>
      </w:r>
    </w:p>
    <w:p w14:paraId="30121127">
      <w:pPr>
        <w:spacing w:line="580" w:lineRule="exact"/>
        <w:ind w:firstLine="640"/>
        <w:jc w:val="both"/>
      </w:pPr>
      <w:r>
        <w:rPr>
          <w:rFonts w:ascii="仿宋_GB2312" w:hAnsi="仿宋_GB2312" w:eastAsia="仿宋_GB2312"/>
          <w:sz w:val="32"/>
        </w:rPr>
        <w:t>在所管辖的范围内依职责对水资源实施统一管理和监督，落实流域统一规划、统一治理、统一调度、统一管理的“四统一”要求；负责流域内水资源的合理开发利用、组织编制并监督实施流域综合规划和有关专业、专项规划、水利项目前期，开展有关评估、评价、审查工作；组织编制流域水量分配方案、年度水量调度计划，指导流域水能资源开发，负责流域内水库及电站水量统一调度、在管辖范围内依法组织实施取水许可，负责做好水资源费征收相关工作；负责流域内水资源保护工作、负责水域及其岸线、河道和管辖范围内水利设施的管理、保护与综合利用，依法开展水土保持监督管理、水生态及水环境保护工作，审查流域入河排污口设置，承担流域管辖范围内采砂管理和涉河涉水建设项目的审查及监督工作、按照规定和授权组织编制并实施流域内水旱灾害防御调度及应急水量调度方案；组织实施直管、具有控制性或跨区域重要水利工程建设与运行管理有关工作，负责流域管辖内水利项目年度投资建设、负责流域内水价水权改革工作、研究提出供水工程水价的调整方案；负责水利项目资金的使用、管理和监督，负责供水管理、发电及水费计收工作，承接政府购买服务业务，负责管辖范围内国有资产的管理，负责开展流域水利科技、统计工作，推进数字孪生水利建设工作；承担流域河湖长制办公室日常工作，完成河湖长交办的其他事项；负责管辖范围内水利风景区的规划、建设、申报及管理工作；承办自治区水行政主管部门交办的其他工作。</w:t>
      </w:r>
    </w:p>
    <w:p w14:paraId="0C0E53F7">
      <w:pPr>
        <w:spacing w:line="640" w:lineRule="exact"/>
        <w:ind w:firstLine="640"/>
        <w:jc w:val="both"/>
        <w:outlineLvl w:val="2"/>
      </w:pPr>
      <w:r>
        <w:rPr>
          <w:rFonts w:ascii="黑体" w:hAnsi="黑体" w:eastAsia="黑体"/>
          <w:sz w:val="32"/>
        </w:rPr>
        <w:t>二、机构设置</w:t>
      </w:r>
    </w:p>
    <w:p w14:paraId="7653A6B3">
      <w:pPr>
        <w:spacing w:line="580" w:lineRule="exact"/>
        <w:ind w:firstLine="640"/>
        <w:jc w:val="both"/>
      </w:pPr>
      <w:r>
        <w:rPr>
          <w:rFonts w:ascii="仿宋_GB2312" w:hAnsi="仿宋_GB2312" w:eastAsia="仿宋_GB2312"/>
          <w:sz w:val="32"/>
        </w:rPr>
        <w:t>新疆维吾尔自治区额尔齐斯河流域水利管理中心无下属预算单位。</w:t>
      </w:r>
    </w:p>
    <w:p w14:paraId="64432CF9">
      <w:r>
        <w:br w:type="page"/>
      </w:r>
    </w:p>
    <w:p w14:paraId="2F34C136">
      <w:pPr>
        <w:spacing w:line="240" w:lineRule="auto"/>
        <w:jc w:val="center"/>
        <w:outlineLvl w:val="1"/>
      </w:pPr>
      <w:r>
        <w:rPr>
          <w:rFonts w:ascii="黑体" w:hAnsi="黑体" w:eastAsia="黑体"/>
          <w:sz w:val="32"/>
        </w:rPr>
        <w:t>第二部分 部门决算情况说明</w:t>
      </w:r>
    </w:p>
    <w:p w14:paraId="2DBDB95B">
      <w:pPr>
        <w:spacing w:line="640" w:lineRule="exact"/>
        <w:ind w:firstLine="640"/>
        <w:jc w:val="both"/>
        <w:outlineLvl w:val="2"/>
      </w:pPr>
      <w:r>
        <w:rPr>
          <w:rFonts w:ascii="黑体" w:hAnsi="黑体" w:eastAsia="黑体"/>
          <w:sz w:val="32"/>
        </w:rPr>
        <w:t>一、收入支出决算总体情况说明</w:t>
      </w:r>
    </w:p>
    <w:p w14:paraId="5B9A5226">
      <w:pPr>
        <w:spacing w:line="580" w:lineRule="exact"/>
        <w:ind w:firstLine="640"/>
        <w:jc w:val="both"/>
      </w:pPr>
      <w:r>
        <w:rPr>
          <w:rFonts w:ascii="仿宋_GB2312" w:hAnsi="仿宋_GB2312" w:eastAsia="仿宋_GB2312"/>
          <w:b/>
          <w:sz w:val="32"/>
        </w:rPr>
        <w:t>2025年度收入总计6,983.50万元，</w:t>
      </w:r>
      <w:r>
        <w:rPr>
          <w:rFonts w:ascii="仿宋_GB2312" w:hAnsi="仿宋_GB2312" w:eastAsia="仿宋_GB2312"/>
          <w:b w:val="0"/>
          <w:sz w:val="32"/>
        </w:rPr>
        <w:t>其中：本年收入合计5,620.94万元，使用非财政拨款结余（含专用结余）850.99万元，年初结转和结余511.56万元。</w:t>
      </w:r>
    </w:p>
    <w:p w14:paraId="334EF821">
      <w:pPr>
        <w:spacing w:line="580" w:lineRule="exact"/>
        <w:ind w:firstLine="640"/>
        <w:jc w:val="both"/>
      </w:pPr>
      <w:r>
        <w:rPr>
          <w:rFonts w:ascii="仿宋_GB2312" w:hAnsi="仿宋_GB2312" w:eastAsia="仿宋_GB2312"/>
          <w:b/>
          <w:sz w:val="32"/>
        </w:rPr>
        <w:t>2025年度支出总计6,983.50万元，</w:t>
      </w:r>
      <w:r>
        <w:rPr>
          <w:rFonts w:ascii="仿宋_GB2312" w:hAnsi="仿宋_GB2312" w:eastAsia="仿宋_GB2312"/>
          <w:b w:val="0"/>
          <w:sz w:val="32"/>
        </w:rPr>
        <w:t>其中：本年支出合计6,820.42万元，结余分配2.18万元，年末结转和结余160.90万元。</w:t>
      </w:r>
    </w:p>
    <w:p w14:paraId="43D4618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增加6,983.50万元，增长100.00%，主要原因是：本单位为本年新增预算单位，无上年对比数据。</w:t>
      </w:r>
    </w:p>
    <w:p w14:paraId="02C3A39F">
      <w:pPr>
        <w:spacing w:line="640" w:lineRule="exact"/>
        <w:ind w:firstLine="640"/>
        <w:jc w:val="both"/>
        <w:outlineLvl w:val="2"/>
      </w:pPr>
      <w:r>
        <w:rPr>
          <w:rFonts w:ascii="黑体" w:hAnsi="黑体" w:eastAsia="黑体"/>
          <w:sz w:val="32"/>
        </w:rPr>
        <w:t>二、收入决算情况说明</w:t>
      </w:r>
    </w:p>
    <w:p w14:paraId="68B9791C">
      <w:pPr>
        <w:spacing w:line="580" w:lineRule="exact"/>
        <w:ind w:firstLine="640"/>
        <w:jc w:val="both"/>
      </w:pPr>
      <w:r>
        <w:rPr>
          <w:rFonts w:ascii="仿宋_GB2312" w:hAnsi="仿宋_GB2312" w:eastAsia="仿宋_GB2312"/>
          <w:b/>
          <w:sz w:val="32"/>
        </w:rPr>
        <w:t>本年收入5,620.94万元，</w:t>
      </w:r>
      <w:r>
        <w:rPr>
          <w:rFonts w:ascii="仿宋_GB2312" w:hAnsi="仿宋_GB2312" w:eastAsia="仿宋_GB2312"/>
          <w:b w:val="0"/>
          <w:sz w:val="32"/>
        </w:rPr>
        <w:t>其中：财政拨款收入40.00万元，占0.71%；上级补助收入0.00万元，占0.00%；事业收入0.00万元，占0.00%；经营收入4,944.80万元，占87.97%；附属单位上缴收入0.00万元，占0.00%；其他收入636.14万元，占11.32%。</w:t>
      </w:r>
    </w:p>
    <w:p w14:paraId="3A496A27">
      <w:pPr>
        <w:spacing w:line="640" w:lineRule="exact"/>
        <w:ind w:firstLine="640"/>
        <w:jc w:val="both"/>
        <w:outlineLvl w:val="2"/>
      </w:pPr>
      <w:r>
        <w:rPr>
          <w:rFonts w:ascii="黑体" w:hAnsi="黑体" w:eastAsia="黑体"/>
          <w:sz w:val="32"/>
        </w:rPr>
        <w:t>三、支出决算情况说明</w:t>
      </w:r>
    </w:p>
    <w:p w14:paraId="6D296C42">
      <w:pPr>
        <w:spacing w:line="580" w:lineRule="exact"/>
        <w:ind w:firstLine="640"/>
        <w:jc w:val="both"/>
      </w:pPr>
      <w:r>
        <w:rPr>
          <w:rFonts w:ascii="仿宋_GB2312" w:hAnsi="仿宋_GB2312" w:eastAsia="仿宋_GB2312"/>
          <w:b/>
          <w:sz w:val="32"/>
        </w:rPr>
        <w:t>本年支出6,820.42万元，</w:t>
      </w:r>
      <w:r>
        <w:rPr>
          <w:rFonts w:ascii="仿宋_GB2312" w:hAnsi="仿宋_GB2312" w:eastAsia="仿宋_GB2312"/>
          <w:b w:val="0"/>
          <w:sz w:val="32"/>
        </w:rPr>
        <w:t>其中：基本支出853.31万元，占12.51%；项目支出1,022.30万元，占14.99%；上缴上级支出0.00万元，占0.00%；经营支出4,944.80万元，占72.50%；对附属单位补助支出0.00万元，占0.00%。</w:t>
      </w:r>
    </w:p>
    <w:p w14:paraId="6626A472">
      <w:pPr>
        <w:spacing w:line="640" w:lineRule="exact"/>
        <w:ind w:firstLine="640"/>
        <w:jc w:val="both"/>
        <w:outlineLvl w:val="2"/>
      </w:pPr>
      <w:r>
        <w:rPr>
          <w:rFonts w:ascii="黑体" w:hAnsi="黑体" w:eastAsia="黑体"/>
          <w:sz w:val="32"/>
        </w:rPr>
        <w:t>四、财政拨款收入支出决算总体情况说明</w:t>
      </w:r>
    </w:p>
    <w:p w14:paraId="79A3B770">
      <w:pPr>
        <w:spacing w:line="580" w:lineRule="exact"/>
        <w:ind w:firstLine="640"/>
        <w:jc w:val="both"/>
      </w:pPr>
      <w:r>
        <w:rPr>
          <w:rFonts w:ascii="仿宋_GB2312" w:hAnsi="仿宋_GB2312" w:eastAsia="仿宋_GB2312"/>
          <w:b/>
          <w:sz w:val="32"/>
        </w:rPr>
        <w:t>2025年度财政拨款收入总计40.00万元，</w:t>
      </w:r>
      <w:r>
        <w:rPr>
          <w:rFonts w:ascii="仿宋_GB2312" w:hAnsi="仿宋_GB2312" w:eastAsia="仿宋_GB2312"/>
          <w:b w:val="0"/>
          <w:sz w:val="32"/>
        </w:rPr>
        <w:t>其中：年初财政拨款结转和结余0.00万元，本年财政拨款收入40.00万元。</w:t>
      </w:r>
      <w:r>
        <w:rPr>
          <w:rFonts w:ascii="仿宋_GB2312" w:hAnsi="仿宋_GB2312" w:eastAsia="仿宋_GB2312"/>
          <w:b/>
          <w:sz w:val="32"/>
        </w:rPr>
        <w:t>财政拨款支出总计40.00万元，</w:t>
      </w:r>
      <w:r>
        <w:rPr>
          <w:rFonts w:ascii="仿宋_GB2312" w:hAnsi="仿宋_GB2312" w:eastAsia="仿宋_GB2312"/>
          <w:b w:val="0"/>
          <w:sz w:val="32"/>
        </w:rPr>
        <w:t>其中：年末财政拨款结转和结余0.00万元，本年财政拨款支出40.00万元。</w:t>
      </w:r>
    </w:p>
    <w:p w14:paraId="683886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年初预算数0.00万元，决算数40.00万元，预决算差异率100.00%，主要原因是：年中追加2025年农业防灾减灾和水利救灾奖金（第四批）喀克灌区柳树沟水毁修复项目，导致预决算存在差异。</w:t>
      </w:r>
    </w:p>
    <w:p w14:paraId="17BC3E87">
      <w:pPr>
        <w:spacing w:line="640" w:lineRule="exact"/>
        <w:ind w:firstLine="640"/>
        <w:jc w:val="both"/>
        <w:outlineLvl w:val="2"/>
      </w:pPr>
      <w:r>
        <w:rPr>
          <w:rFonts w:ascii="黑体" w:hAnsi="黑体" w:eastAsia="黑体"/>
          <w:sz w:val="32"/>
        </w:rPr>
        <w:t>五、一般公共预算财政拨款支出决算情况说明</w:t>
      </w:r>
    </w:p>
    <w:p w14:paraId="558A2C4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水资源实施统一管理和监督</w:t>
      </w:r>
      <w:r>
        <w:rPr>
          <w:rFonts w:ascii="仿宋_GB2312" w:hAnsi="仿宋_GB2312" w:eastAsia="仿宋_GB2312"/>
          <w:b w:val="0"/>
          <w:sz w:val="32"/>
        </w:rPr>
        <w:t>等重点支出，体现在有关支出科目中。</w:t>
      </w:r>
    </w:p>
    <w:p w14:paraId="6BB72A9E">
      <w:pPr>
        <w:spacing w:line="580" w:lineRule="exact"/>
        <w:ind w:firstLine="640"/>
        <w:jc w:val="both"/>
      </w:pPr>
      <w:r>
        <w:rPr>
          <w:rFonts w:ascii="仿宋_GB2312" w:hAnsi="仿宋_GB2312" w:eastAsia="仿宋_GB2312"/>
          <w:b w:val="0"/>
          <w:sz w:val="32"/>
        </w:rPr>
        <w:t>按照支出功能分类，农林水支出（类）水利（款）防汛（项）的支出占本年财政拨款支出总额的比重最高，2025年度决算数为40.00万元，占比100.00%，主要用于2025年农业防灾减灾和水利救灾奖金（第四批）喀克灌区柳树沟水毁修复。</w:t>
      </w:r>
    </w:p>
    <w:p w14:paraId="7B48CB27">
      <w:pPr>
        <w:spacing w:line="640" w:lineRule="exact"/>
        <w:ind w:firstLine="640"/>
        <w:jc w:val="both"/>
        <w:outlineLvl w:val="3"/>
      </w:pPr>
      <w:r>
        <w:rPr>
          <w:rFonts w:ascii="楷体_GB2312" w:hAnsi="楷体_GB2312" w:eastAsia="楷体_GB2312"/>
          <w:b/>
          <w:sz w:val="32"/>
        </w:rPr>
        <w:t>（一）一般公共预算财政拨款支出决算总体情况</w:t>
      </w:r>
    </w:p>
    <w:p w14:paraId="06E95F02">
      <w:pPr>
        <w:spacing w:line="580" w:lineRule="exact"/>
        <w:ind w:firstLine="640"/>
        <w:jc w:val="both"/>
      </w:pPr>
      <w:r>
        <w:rPr>
          <w:rFonts w:ascii="仿宋_GB2312" w:hAnsi="仿宋_GB2312" w:eastAsia="仿宋_GB2312"/>
          <w:b/>
          <w:sz w:val="32"/>
        </w:rPr>
        <w:t>2025年度一般公共预算财政拨款支出40.00万元，</w:t>
      </w:r>
      <w:r>
        <w:rPr>
          <w:rFonts w:ascii="仿宋_GB2312" w:hAnsi="仿宋_GB2312" w:eastAsia="仿宋_GB2312"/>
          <w:b w:val="0"/>
          <w:sz w:val="32"/>
        </w:rPr>
        <w:t>占本年支出合计的0.59%。</w:t>
      </w:r>
      <w:r>
        <w:rPr>
          <w:rFonts w:ascii="仿宋_GB2312" w:hAnsi="仿宋_GB2312" w:eastAsia="仿宋_GB2312"/>
          <w:b/>
          <w:sz w:val="32"/>
        </w:rPr>
        <w:t>与上年相比，</w:t>
      </w:r>
      <w:r>
        <w:rPr>
          <w:rFonts w:ascii="仿宋_GB2312" w:hAnsi="仿宋_GB2312" w:eastAsia="仿宋_GB2312"/>
          <w:b w:val="0"/>
          <w:sz w:val="32"/>
        </w:rPr>
        <w:t>增加40.00万元，增长100.00%，主要原因是：本单位为本年新增预算单位，无上年对比数据。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年初预算数0.00万元，决算数40.00万元，预决算差异率100.00%，主要原因是：年中追加2025年农业防灾减灾和水利救灾奖金（第四批）喀克灌区柳树沟水毁修复项目。</w:t>
      </w:r>
    </w:p>
    <w:p w14:paraId="4F370D23">
      <w:pPr>
        <w:spacing w:line="640" w:lineRule="exact"/>
        <w:ind w:firstLine="640"/>
        <w:jc w:val="both"/>
        <w:outlineLvl w:val="3"/>
      </w:pPr>
      <w:r>
        <w:rPr>
          <w:rFonts w:ascii="楷体_GB2312" w:hAnsi="楷体_GB2312" w:eastAsia="楷体_GB2312"/>
          <w:b/>
          <w:sz w:val="32"/>
        </w:rPr>
        <w:t>（二）一般公共预算财政拨款支出决算结构情况</w:t>
      </w:r>
    </w:p>
    <w:p w14:paraId="050608BE">
      <w:pPr>
        <w:spacing w:line="580" w:lineRule="exact"/>
        <w:ind w:firstLine="640"/>
        <w:jc w:val="both"/>
      </w:pPr>
      <w:r>
        <w:rPr>
          <w:rFonts w:ascii="仿宋_GB2312" w:hAnsi="仿宋_GB2312" w:eastAsia="仿宋_GB2312"/>
          <w:b w:val="0"/>
          <w:sz w:val="32"/>
        </w:rPr>
        <w:t>1.农林水支出（类）40.00万元，占100.00%。</w:t>
      </w:r>
    </w:p>
    <w:p w14:paraId="54F10745">
      <w:pPr>
        <w:spacing w:line="640" w:lineRule="exact"/>
        <w:ind w:firstLine="640"/>
        <w:jc w:val="both"/>
        <w:outlineLvl w:val="3"/>
      </w:pPr>
      <w:r>
        <w:rPr>
          <w:rFonts w:ascii="楷体_GB2312" w:hAnsi="楷体_GB2312" w:eastAsia="楷体_GB2312"/>
          <w:b/>
          <w:sz w:val="32"/>
        </w:rPr>
        <w:t>（三）一般公共预算财政拨款支出决算具体情况</w:t>
      </w:r>
    </w:p>
    <w:p w14:paraId="3492C085">
      <w:pPr>
        <w:spacing w:line="580" w:lineRule="exact"/>
        <w:ind w:firstLine="640"/>
        <w:jc w:val="both"/>
      </w:pPr>
      <w:r>
        <w:rPr>
          <w:rFonts w:ascii="仿宋_GB2312" w:hAnsi="仿宋_GB2312" w:eastAsia="仿宋_GB2312"/>
          <w:b w:val="0"/>
          <w:sz w:val="32"/>
        </w:rPr>
        <w:t>1.农林水支出（类）水利（款）防汛（项）：支出决算数为40.00万元，比上年决算增加40.00万元，增长100.00%，主要原因是：本单位为本年新增预算单位，无上年对比数据。</w:t>
      </w:r>
    </w:p>
    <w:p w14:paraId="7A109403">
      <w:pPr>
        <w:spacing w:line="640" w:lineRule="exact"/>
        <w:ind w:firstLine="640"/>
        <w:jc w:val="both"/>
        <w:outlineLvl w:val="2"/>
      </w:pPr>
      <w:r>
        <w:rPr>
          <w:rFonts w:ascii="黑体" w:hAnsi="黑体" w:eastAsia="黑体"/>
          <w:sz w:val="32"/>
        </w:rPr>
        <w:t>六、一般公共预算财政拨款基本支出决算情况说明</w:t>
      </w:r>
    </w:p>
    <w:p w14:paraId="30F253E8">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13CBD89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DBC8BDA">
      <w:pPr>
        <w:spacing w:line="640" w:lineRule="exact"/>
        <w:ind w:firstLine="640"/>
        <w:jc w:val="both"/>
        <w:outlineLvl w:val="2"/>
      </w:pPr>
      <w:r>
        <w:rPr>
          <w:rFonts w:ascii="黑体" w:hAnsi="黑体" w:eastAsia="黑体"/>
          <w:sz w:val="32"/>
        </w:rPr>
        <w:t>七、政府性基金预算财政拨款收入支出决算情况说明</w:t>
      </w:r>
    </w:p>
    <w:p w14:paraId="44AEA00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C10BB6">
      <w:pPr>
        <w:spacing w:line="640" w:lineRule="exact"/>
        <w:ind w:firstLine="640"/>
        <w:jc w:val="both"/>
        <w:outlineLvl w:val="2"/>
      </w:pPr>
      <w:r>
        <w:rPr>
          <w:rFonts w:ascii="黑体" w:hAnsi="黑体" w:eastAsia="黑体"/>
          <w:sz w:val="32"/>
        </w:rPr>
        <w:t>八、国有资本经营预算财政拨款收入支出决算情况说明</w:t>
      </w:r>
    </w:p>
    <w:p w14:paraId="784ABCD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8E9AC4">
      <w:pPr>
        <w:spacing w:line="640" w:lineRule="exact"/>
        <w:ind w:firstLine="640"/>
        <w:jc w:val="both"/>
        <w:outlineLvl w:val="2"/>
      </w:pPr>
      <w:r>
        <w:rPr>
          <w:rFonts w:ascii="黑体" w:hAnsi="黑体" w:eastAsia="黑体"/>
          <w:sz w:val="32"/>
        </w:rPr>
        <w:t>九、财政拨款“三公”经费支出决算情况说明</w:t>
      </w:r>
    </w:p>
    <w:p w14:paraId="74A2F234">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1CAC27F9">
      <w:pPr>
        <w:spacing w:line="580" w:lineRule="exact"/>
        <w:ind w:firstLine="640"/>
        <w:jc w:val="both"/>
      </w:pPr>
      <w:r>
        <w:rPr>
          <w:rFonts w:ascii="仿宋_GB2312" w:hAnsi="仿宋_GB2312" w:eastAsia="仿宋_GB2312"/>
          <w:b/>
          <w:sz w:val="32"/>
        </w:rPr>
        <w:t>具体情况如下：</w:t>
      </w:r>
    </w:p>
    <w:p w14:paraId="75196DE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211F0B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04A4E33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8101C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DE27AC4">
      <w:pPr>
        <w:spacing w:line="640" w:lineRule="exact"/>
        <w:ind w:firstLine="640"/>
        <w:jc w:val="both"/>
        <w:outlineLvl w:val="2"/>
      </w:pPr>
      <w:r>
        <w:rPr>
          <w:rFonts w:ascii="黑体" w:hAnsi="黑体" w:eastAsia="黑体"/>
          <w:sz w:val="32"/>
        </w:rPr>
        <w:t>十、其他重要事项的情况说明</w:t>
      </w:r>
    </w:p>
    <w:p w14:paraId="1E72A672">
      <w:pPr>
        <w:spacing w:line="640" w:lineRule="exact"/>
        <w:ind w:firstLine="640"/>
        <w:jc w:val="both"/>
        <w:outlineLvl w:val="3"/>
      </w:pPr>
      <w:r>
        <w:rPr>
          <w:rFonts w:ascii="楷体_GB2312" w:hAnsi="楷体_GB2312" w:eastAsia="楷体_GB2312"/>
          <w:b/>
          <w:sz w:val="32"/>
        </w:rPr>
        <w:t>（一）机关运行经费及公用经费支出情况</w:t>
      </w:r>
    </w:p>
    <w:p w14:paraId="42A0019A">
      <w:pPr>
        <w:spacing w:line="580" w:lineRule="exact"/>
        <w:ind w:firstLine="640"/>
        <w:jc w:val="both"/>
      </w:pPr>
      <w:r>
        <w:rPr>
          <w:rFonts w:ascii="仿宋_GB2312" w:hAnsi="仿宋_GB2312" w:eastAsia="仿宋_GB2312"/>
          <w:b w:val="0"/>
          <w:sz w:val="32"/>
        </w:rPr>
        <w:t>2025年度新疆维吾尔自治区额尔齐斯河流域水利管理中心（事业单位）公用经费支出0.00万元，比上年增加0.00万元，增长0.00%，主要原因是：2025年本单位无公用经费支出。</w:t>
      </w:r>
    </w:p>
    <w:p w14:paraId="5E612A3C">
      <w:pPr>
        <w:spacing w:line="640" w:lineRule="exact"/>
        <w:ind w:firstLine="640"/>
        <w:jc w:val="both"/>
        <w:outlineLvl w:val="3"/>
      </w:pPr>
      <w:r>
        <w:rPr>
          <w:rFonts w:ascii="楷体_GB2312" w:hAnsi="楷体_GB2312" w:eastAsia="楷体_GB2312"/>
          <w:b/>
          <w:sz w:val="32"/>
        </w:rPr>
        <w:t>（二）政府采购情况</w:t>
      </w:r>
    </w:p>
    <w:p w14:paraId="6DF34F59">
      <w:pPr>
        <w:spacing w:line="580" w:lineRule="exact"/>
        <w:ind w:firstLine="640"/>
        <w:jc w:val="both"/>
      </w:pPr>
      <w:r>
        <w:rPr>
          <w:rFonts w:ascii="仿宋_GB2312" w:hAnsi="仿宋_GB2312" w:eastAsia="仿宋_GB2312"/>
          <w:b w:val="0"/>
          <w:sz w:val="32"/>
        </w:rPr>
        <w:t>2025年度政府采购支出总额3,830.92万元，其中：政府采购货物支出102.13万元、政府采购工程支出3,681.99万元、政府采购服务支出46.80万元。</w:t>
      </w:r>
    </w:p>
    <w:p w14:paraId="6880F783">
      <w:pPr>
        <w:spacing w:line="580" w:lineRule="exact"/>
        <w:ind w:firstLine="640"/>
        <w:jc w:val="both"/>
      </w:pPr>
      <w:r>
        <w:rPr>
          <w:rFonts w:ascii="仿宋_GB2312" w:hAnsi="仿宋_GB2312" w:eastAsia="仿宋_GB2312"/>
          <w:b w:val="0"/>
          <w:sz w:val="32"/>
        </w:rPr>
        <w:t>授予中小企业合同金额1,354.90万元，占政府采购支出总额的35.37%，其中：授予小微企业合同金额1,354.90万元，占政府采购支出总额的35.37%。</w:t>
      </w:r>
    </w:p>
    <w:p w14:paraId="5A3D42DE">
      <w:pPr>
        <w:spacing w:line="640" w:lineRule="exact"/>
        <w:ind w:firstLine="640"/>
        <w:jc w:val="both"/>
        <w:outlineLvl w:val="3"/>
      </w:pPr>
      <w:r>
        <w:rPr>
          <w:rFonts w:ascii="楷体_GB2312" w:hAnsi="楷体_GB2312" w:eastAsia="楷体_GB2312"/>
          <w:b/>
          <w:sz w:val="32"/>
        </w:rPr>
        <w:t>（三）国有资产占用情况说明</w:t>
      </w:r>
    </w:p>
    <w:p w14:paraId="24890CF0">
      <w:pPr>
        <w:spacing w:line="580" w:lineRule="exact"/>
        <w:ind w:firstLine="640"/>
        <w:jc w:val="both"/>
      </w:pPr>
      <w:r>
        <w:rPr>
          <w:rFonts w:ascii="仿宋_GB2312" w:hAnsi="仿宋_GB2312" w:eastAsia="仿宋_GB2312"/>
          <w:b w:val="0"/>
          <w:sz w:val="32"/>
        </w:rPr>
        <w:t>截至2025年12月31日，房屋2,466.06平方米，价值42.00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3B50BAD">
      <w:pPr>
        <w:spacing w:line="640" w:lineRule="exact"/>
        <w:ind w:firstLine="640"/>
        <w:jc w:val="both"/>
        <w:outlineLvl w:val="2"/>
      </w:pPr>
      <w:r>
        <w:rPr>
          <w:rFonts w:ascii="黑体" w:hAnsi="黑体" w:eastAsia="黑体"/>
          <w:sz w:val="32"/>
        </w:rPr>
        <w:t>十一、预算绩效的情况说明</w:t>
      </w:r>
    </w:p>
    <w:p w14:paraId="186E1BC7">
      <w:pPr>
        <w:spacing w:line="580" w:lineRule="exact"/>
        <w:ind w:firstLine="640"/>
        <w:jc w:val="both"/>
      </w:pPr>
      <w:r>
        <w:rPr>
          <w:rFonts w:ascii="仿宋_GB2312" w:hAnsi="仿宋_GB2312" w:eastAsia="仿宋_GB2312"/>
          <w:b w:val="0"/>
          <w:sz w:val="32"/>
        </w:rPr>
        <w:t>根据预算绩效管理要求，本单位预算绩效评价项目1个，全年预算数7,304.62万元，全年执行数6,820.42万元。预算绩效管理取得的成效：一是保障2025年人员工资福利支出及对个人和家庭补助支出按时足额发放到位；二是保障单位日常运转经费全额落实，确保机构正常履职；三是通过实施控导工程管理站基础设施提升改造、控导工程维修养护、完成灌区续建配套与现代化改造项目初步设计、水库运行、水闸控制运行设计方案、河流生态基本流量确定方案、额河重要河湖水质评估、水情预报、水资源监测</w:t>
      </w:r>
      <w:r>
        <w:rPr>
          <w:rFonts w:hint="eastAsia" w:ascii="仿宋_GB2312" w:hAnsi="仿宋_GB2312" w:eastAsia="仿宋_GB2312"/>
          <w:b w:val="0"/>
          <w:sz w:val="32"/>
          <w:lang w:eastAsia="zh-CN"/>
        </w:rPr>
        <w:t>体系</w:t>
      </w:r>
      <w:r>
        <w:rPr>
          <w:rFonts w:ascii="仿宋_GB2312" w:hAnsi="仿宋_GB2312" w:eastAsia="仿宋_GB2312"/>
          <w:b w:val="0"/>
          <w:sz w:val="32"/>
        </w:rPr>
        <w:t>建设实施方案编制等，实现水资源优化配置，有效保障水利工程设施安全运行，稳定供水、保障灌区生产安全，确保水利工程长期可靠地发挥作用，促进水资源的高效利用和可持续发展，有效维护河流生态系统稳定。发现的问题及原因：一是预算编制精准度仍有差距，部分公用经费预算测算偏粗，年度经费调剂时有发生，主要是对全年履职业务研判不够充分，预算与实际业务结合不够紧密；二是整体预算执行均衡性不足，支出存在前松后紧情况，受水利业务季节性工作特点影响，资金时序统筹管控有待加强。下一步改进措施：一是科学编制年度部门整体预算，全面研判单位全年履职业务，细化经费测算依据，提升预算编制精准性，严控预算调剂；二是强化预算执行时序管控，合理分解年度支出任务，按月调度资金，均衡推进预算执行，提高财政资金使用效益；三是树牢全员绩效意识，将绩效要求贯穿单位运行全过程，提升整体支出绩效管理水平。具体附项目支出绩效自评表。</w:t>
      </w:r>
    </w:p>
    <w:p w14:paraId="3AD22A5A">
      <w:r>
        <w:br w:type="page"/>
      </w:r>
    </w:p>
    <w:p w14:paraId="1BF46DC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411"/>
        <w:gridCol w:w="577"/>
        <w:gridCol w:w="577"/>
        <w:gridCol w:w="922"/>
        <w:gridCol w:w="521"/>
        <w:gridCol w:w="428"/>
        <w:gridCol w:w="510"/>
        <w:gridCol w:w="344"/>
        <w:gridCol w:w="377"/>
        <w:gridCol w:w="499"/>
        <w:gridCol w:w="739"/>
        <w:gridCol w:w="626"/>
        <w:gridCol w:w="514"/>
        <w:gridCol w:w="1261"/>
      </w:tblGrid>
      <w:tr w14:paraId="306E98DD">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33C6CE2">
            <w:pPr>
              <w:spacing w:before="0" w:after="0" w:line="240" w:lineRule="auto"/>
              <w:jc w:val="center"/>
            </w:pPr>
            <w:r>
              <w:rPr>
                <w:rFonts w:ascii="宋体" w:hAnsi="宋体" w:eastAsia="宋体"/>
                <w:b/>
                <w:i w:val="0"/>
                <w:sz w:val="32"/>
              </w:rPr>
              <w:t>项目支出绩效自评表</w:t>
            </w:r>
          </w:p>
        </w:tc>
      </w:tr>
      <w:tr w14:paraId="50996618">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4EC27A5">
            <w:pPr>
              <w:spacing w:before="0" w:after="0" w:line="240" w:lineRule="auto"/>
              <w:jc w:val="center"/>
            </w:pPr>
            <w:r>
              <w:rPr>
                <w:rFonts w:ascii="宋体" w:hAnsi="宋体" w:eastAsia="宋体"/>
                <w:b w:val="0"/>
                <w:i w:val="0"/>
                <w:sz w:val="22"/>
              </w:rPr>
              <w:t>(2025年度)</w:t>
            </w:r>
          </w:p>
        </w:tc>
      </w:tr>
      <w:tr w14:paraId="7596AF6C">
        <w:tblPrEx>
          <w:tblCellMar>
            <w:top w:w="36" w:type="dxa"/>
            <w:left w:w="36" w:type="dxa"/>
            <w:bottom w:w="36" w:type="dxa"/>
            <w:right w:w="36" w:type="dxa"/>
          </w:tblCellMar>
        </w:tblPrEx>
        <w:trPr>
          <w:trHeight w:val="380" w:hRule="atLeast"/>
        </w:trPr>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1409">
            <w:pPr>
              <w:spacing w:before="0" w:after="0" w:line="240" w:lineRule="auto"/>
              <w:jc w:val="center"/>
            </w:pPr>
            <w:r>
              <w:rPr>
                <w:rFonts w:ascii="宋体" w:hAnsi="宋体" w:eastAsia="宋体"/>
                <w:b/>
                <w:i w:val="0"/>
                <w:sz w:val="18"/>
              </w:rPr>
              <w:t>项目名称</w:t>
            </w:r>
          </w:p>
        </w:tc>
        <w:tc>
          <w:tcPr>
            <w:tcW w:w="7318"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B1F749D">
            <w:pPr>
              <w:spacing w:before="0" w:after="0" w:line="240" w:lineRule="auto"/>
              <w:jc w:val="center"/>
            </w:pPr>
            <w:r>
              <w:rPr>
                <w:rFonts w:ascii="宋体" w:hAnsi="宋体" w:eastAsia="宋体"/>
                <w:b w:val="0"/>
                <w:i w:val="0"/>
                <w:sz w:val="18"/>
              </w:rPr>
              <w:t>非财政项目-经营成本性项目</w:t>
            </w:r>
          </w:p>
        </w:tc>
      </w:tr>
      <w:tr w14:paraId="3C60A6D7">
        <w:tblPrEx>
          <w:tblCellMar>
            <w:top w:w="36" w:type="dxa"/>
            <w:left w:w="36" w:type="dxa"/>
            <w:bottom w:w="36" w:type="dxa"/>
            <w:right w:w="36" w:type="dxa"/>
          </w:tblCellMar>
        </w:tblPrEx>
        <w:trPr>
          <w:trHeight w:val="380" w:hRule="atLeast"/>
        </w:trPr>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C8FC2">
            <w:pPr>
              <w:spacing w:before="0" w:after="0" w:line="240" w:lineRule="auto"/>
              <w:jc w:val="center"/>
            </w:pPr>
            <w:r>
              <w:rPr>
                <w:rFonts w:ascii="宋体" w:hAnsi="宋体" w:eastAsia="宋体"/>
                <w:b/>
                <w:i w:val="0"/>
                <w:sz w:val="18"/>
              </w:rPr>
              <w:t>主管部门</w:t>
            </w:r>
          </w:p>
        </w:tc>
        <w:tc>
          <w:tcPr>
            <w:tcW w:w="29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5FC1FC">
            <w:pPr>
              <w:spacing w:before="0" w:after="0" w:line="240" w:lineRule="auto"/>
              <w:jc w:val="center"/>
            </w:pPr>
            <w:r>
              <w:rPr>
                <w:rFonts w:ascii="宋体" w:hAnsi="宋体" w:eastAsia="宋体"/>
                <w:b w:val="0"/>
                <w:i w:val="0"/>
                <w:sz w:val="18"/>
              </w:rPr>
              <w:t>自治区水利厅</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9407">
            <w:pPr>
              <w:spacing w:before="0" w:after="0" w:line="240" w:lineRule="auto"/>
              <w:jc w:val="center"/>
            </w:pPr>
            <w:r>
              <w:rPr>
                <w:rFonts w:ascii="宋体" w:hAnsi="宋体" w:eastAsia="宋体"/>
                <w:b/>
                <w:i w:val="0"/>
                <w:sz w:val="18"/>
              </w:rPr>
              <w:t>实施单位</w:t>
            </w:r>
          </w:p>
        </w:tc>
        <w:tc>
          <w:tcPr>
            <w:tcW w:w="363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422F5E">
            <w:pPr>
              <w:spacing w:before="0" w:after="0" w:line="240" w:lineRule="auto"/>
              <w:jc w:val="center"/>
            </w:pPr>
            <w:r>
              <w:rPr>
                <w:rFonts w:ascii="宋体" w:hAnsi="宋体" w:eastAsia="宋体"/>
                <w:b w:val="0"/>
                <w:i w:val="0"/>
                <w:sz w:val="18"/>
              </w:rPr>
              <w:t>新疆维吾尔自治区额尔齐斯河流域水利管理中心</w:t>
            </w:r>
          </w:p>
        </w:tc>
      </w:tr>
      <w:tr w14:paraId="71437E2D">
        <w:tblPrEx>
          <w:tblCellMar>
            <w:top w:w="36" w:type="dxa"/>
            <w:left w:w="36" w:type="dxa"/>
            <w:bottom w:w="36" w:type="dxa"/>
            <w:right w:w="36" w:type="dxa"/>
          </w:tblCellMar>
        </w:tblPrEx>
        <w:trPr>
          <w:trHeight w:val="380" w:hRule="atLeast"/>
        </w:trPr>
        <w:tc>
          <w:tcPr>
            <w:tcW w:w="98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ACD55">
            <w:pPr>
              <w:spacing w:before="0" w:after="0" w:line="240" w:lineRule="auto"/>
              <w:jc w:val="center"/>
            </w:pPr>
            <w:r>
              <w:rPr>
                <w:rFonts w:ascii="宋体" w:hAnsi="宋体" w:eastAsia="宋体"/>
                <w:b/>
                <w:i w:val="0"/>
                <w:sz w:val="18"/>
              </w:rPr>
              <w:t>项目资金
（万元）</w:t>
            </w:r>
          </w:p>
        </w:tc>
        <w:tc>
          <w:tcPr>
            <w:tcW w:w="14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D819">
            <w:pPr>
              <w:spacing w:before="0" w:after="0" w:line="240" w:lineRule="auto"/>
              <w:jc w:val="center"/>
            </w:pP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05EE24C">
            <w:pPr>
              <w:spacing w:before="0" w:after="0" w:line="240" w:lineRule="auto"/>
              <w:jc w:val="center"/>
            </w:pPr>
            <w:r>
              <w:rPr>
                <w:rFonts w:ascii="宋体" w:hAnsi="宋体" w:eastAsia="宋体"/>
                <w:b/>
                <w:i w:val="0"/>
                <w:sz w:val="18"/>
              </w:rPr>
              <w:t>年初预算数</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F0363">
            <w:pPr>
              <w:spacing w:before="0" w:after="0" w:line="240" w:lineRule="auto"/>
              <w:jc w:val="center"/>
            </w:pPr>
            <w:r>
              <w:rPr>
                <w:rFonts w:ascii="宋体" w:hAnsi="宋体" w:eastAsia="宋体"/>
                <w:b/>
                <w:i w:val="0"/>
                <w:sz w:val="18"/>
              </w:rPr>
              <w:t>全年预算数</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161D">
            <w:pPr>
              <w:spacing w:before="0" w:after="0" w:line="240" w:lineRule="auto"/>
              <w:jc w:val="center"/>
            </w:pPr>
            <w:r>
              <w:rPr>
                <w:rFonts w:ascii="宋体" w:hAnsi="宋体" w:eastAsia="宋体"/>
                <w:b/>
                <w:i w:val="0"/>
                <w:sz w:val="18"/>
              </w:rPr>
              <w:t>全年执行数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237BB">
            <w:pPr>
              <w:spacing w:before="0" w:after="0" w:line="240" w:lineRule="auto"/>
              <w:jc w:val="center"/>
            </w:pPr>
            <w:r>
              <w:rPr>
                <w:rFonts w:ascii="宋体" w:hAnsi="宋体" w:eastAsia="宋体"/>
                <w:b/>
                <w:i w:val="0"/>
                <w:sz w:val="18"/>
              </w:rPr>
              <w:t>分值</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E8F67">
            <w:pPr>
              <w:spacing w:before="0" w:after="0" w:line="240" w:lineRule="auto"/>
              <w:jc w:val="center"/>
            </w:pPr>
            <w:r>
              <w:rPr>
                <w:rFonts w:ascii="宋体" w:hAnsi="宋体" w:eastAsia="宋体"/>
                <w:b/>
                <w:i w:val="0"/>
                <w:sz w:val="18"/>
              </w:rPr>
              <w:t>执行率</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493E0D5B">
            <w:pPr>
              <w:spacing w:before="0" w:after="0" w:line="240" w:lineRule="auto"/>
              <w:jc w:val="center"/>
            </w:pPr>
            <w:r>
              <w:rPr>
                <w:rFonts w:ascii="宋体" w:hAnsi="宋体" w:eastAsia="宋体"/>
                <w:b/>
                <w:i w:val="0"/>
                <w:sz w:val="18"/>
              </w:rPr>
              <w:t>得分</w:t>
            </w:r>
          </w:p>
        </w:tc>
      </w:tr>
      <w:tr w14:paraId="6189A33D">
        <w:tblPrEx>
          <w:tblCellMar>
            <w:top w:w="36" w:type="dxa"/>
            <w:left w:w="36" w:type="dxa"/>
            <w:bottom w:w="36" w:type="dxa"/>
            <w:right w:w="36" w:type="dxa"/>
          </w:tblCellMar>
        </w:tblPrEx>
        <w:trPr>
          <w:trHeight w:val="380" w:hRule="atLeast"/>
        </w:trPr>
        <w:tc>
          <w:tcPr>
            <w:tcW w:w="9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9D8117"/>
        </w:tc>
        <w:tc>
          <w:tcPr>
            <w:tcW w:w="14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6B399">
            <w:pPr>
              <w:spacing w:before="0" w:after="0" w:line="240" w:lineRule="auto"/>
              <w:jc w:val="center"/>
            </w:pPr>
            <w:r>
              <w:rPr>
                <w:rFonts w:ascii="宋体" w:hAnsi="宋体" w:eastAsia="宋体"/>
                <w:b/>
                <w:i w:val="0"/>
                <w:sz w:val="18"/>
              </w:rPr>
              <w:t>年度资金总额</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7A90D05">
            <w:pPr>
              <w:spacing w:before="0" w:after="0" w:line="240" w:lineRule="auto"/>
              <w:jc w:val="center"/>
            </w:pPr>
            <w:r>
              <w:rPr>
                <w:rFonts w:ascii="宋体" w:hAnsi="宋体" w:eastAsia="宋体"/>
                <w:b w:val="0"/>
                <w:i w:val="0"/>
                <w:sz w:val="18"/>
              </w:rPr>
              <w:t>7,304.62</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AB42">
            <w:pPr>
              <w:spacing w:before="0" w:after="0" w:line="240" w:lineRule="auto"/>
              <w:jc w:val="center"/>
            </w:pPr>
            <w:r>
              <w:rPr>
                <w:rFonts w:ascii="宋体" w:hAnsi="宋体" w:eastAsia="宋体"/>
                <w:b w:val="0"/>
                <w:i w:val="0"/>
                <w:sz w:val="18"/>
              </w:rPr>
              <w:t>7,304.62</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F277">
            <w:pPr>
              <w:spacing w:before="0" w:after="0" w:line="240" w:lineRule="auto"/>
              <w:jc w:val="center"/>
            </w:pPr>
            <w:r>
              <w:rPr>
                <w:rFonts w:ascii="宋体" w:hAnsi="宋体" w:eastAsia="宋体"/>
                <w:b w:val="0"/>
                <w:i w:val="0"/>
                <w:sz w:val="18"/>
              </w:rPr>
              <w:t>6,820.42</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FB45">
            <w:pPr>
              <w:spacing w:before="0" w:after="0" w:line="240" w:lineRule="auto"/>
              <w:jc w:val="center"/>
            </w:pPr>
            <w:r>
              <w:rPr>
                <w:rFonts w:ascii="宋体" w:hAnsi="宋体" w:eastAsia="宋体"/>
                <w:b w:val="0"/>
                <w:i w:val="0"/>
                <w:sz w:val="18"/>
              </w:rPr>
              <w:t>10</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3F86">
            <w:pPr>
              <w:spacing w:before="0" w:after="0" w:line="240" w:lineRule="auto"/>
              <w:jc w:val="center"/>
            </w:pPr>
            <w:r>
              <w:rPr>
                <w:rFonts w:ascii="宋体" w:hAnsi="宋体" w:eastAsia="宋体"/>
                <w:b w:val="0"/>
                <w:i w:val="0"/>
                <w:sz w:val="18"/>
              </w:rPr>
              <w:t>93.37%</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4212C8CA">
            <w:pPr>
              <w:spacing w:before="0" w:after="0" w:line="240" w:lineRule="auto"/>
              <w:jc w:val="center"/>
            </w:pPr>
            <w:r>
              <w:rPr>
                <w:rFonts w:ascii="宋体" w:hAnsi="宋体" w:eastAsia="宋体"/>
                <w:b w:val="0"/>
                <w:i w:val="0"/>
                <w:sz w:val="18"/>
              </w:rPr>
              <w:t>10.00</w:t>
            </w:r>
          </w:p>
        </w:tc>
      </w:tr>
      <w:tr w14:paraId="3127FA7A">
        <w:tblPrEx>
          <w:tblCellMar>
            <w:top w:w="36" w:type="dxa"/>
            <w:left w:w="36" w:type="dxa"/>
            <w:bottom w:w="36" w:type="dxa"/>
            <w:right w:w="36" w:type="dxa"/>
          </w:tblCellMar>
        </w:tblPrEx>
        <w:trPr>
          <w:trHeight w:val="380" w:hRule="atLeast"/>
        </w:trPr>
        <w:tc>
          <w:tcPr>
            <w:tcW w:w="9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B5690F"/>
        </w:tc>
        <w:tc>
          <w:tcPr>
            <w:tcW w:w="14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F2A1">
            <w:pPr>
              <w:spacing w:before="0" w:after="0" w:line="240" w:lineRule="auto"/>
              <w:jc w:val="center"/>
            </w:pPr>
            <w:r>
              <w:rPr>
                <w:rFonts w:ascii="宋体" w:hAnsi="宋体" w:eastAsia="宋体"/>
                <w:b/>
                <w:i w:val="0"/>
                <w:sz w:val="18"/>
              </w:rPr>
              <w:t>其中：当年财政拨款</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B07DFA7">
            <w:pPr>
              <w:spacing w:before="0" w:after="0" w:line="240" w:lineRule="auto"/>
              <w:jc w:val="center"/>
            </w:pPr>
            <w:r>
              <w:rPr>
                <w:rFonts w:ascii="宋体" w:hAnsi="宋体" w:eastAsia="宋体"/>
                <w:b w:val="0"/>
                <w:i w:val="0"/>
                <w:sz w:val="18"/>
              </w:rPr>
              <w:t>0.00</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7362">
            <w:pPr>
              <w:spacing w:before="0" w:after="0" w:line="240" w:lineRule="auto"/>
              <w:jc w:val="center"/>
            </w:pPr>
            <w:r>
              <w:rPr>
                <w:rFonts w:ascii="宋体" w:hAnsi="宋体" w:eastAsia="宋体"/>
                <w:b w:val="0"/>
                <w:i w:val="0"/>
                <w:sz w:val="18"/>
              </w:rPr>
              <w:t>0.00</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1693">
            <w:pPr>
              <w:spacing w:before="0" w:after="0" w:line="240" w:lineRule="auto"/>
              <w:jc w:val="center"/>
            </w:pPr>
            <w:r>
              <w:rPr>
                <w:rFonts w:ascii="宋体" w:hAnsi="宋体" w:eastAsia="宋体"/>
                <w:b w:val="0"/>
                <w:i w:val="0"/>
                <w:sz w:val="18"/>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C8DE">
            <w:pPr>
              <w:spacing w:before="0" w:after="0" w:line="240" w:lineRule="auto"/>
              <w:jc w:val="center"/>
            </w:pPr>
            <w:r>
              <w:rPr>
                <w:rFonts w:ascii="宋体" w:hAnsi="宋体" w:eastAsia="宋体"/>
                <w:b w:val="0"/>
                <w:i w:val="0"/>
                <w:sz w:val="18"/>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6D8E">
            <w:pPr>
              <w:spacing w:before="0" w:after="0" w:line="240" w:lineRule="auto"/>
              <w:jc w:val="center"/>
            </w:pPr>
            <w:r>
              <w:rPr>
                <w:rFonts w:ascii="宋体" w:hAnsi="宋体" w:eastAsia="宋体"/>
                <w:b w:val="0"/>
                <w:i w:val="0"/>
                <w:sz w:val="18"/>
              </w:rPr>
              <w:t>-</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6EE699B7">
            <w:pPr>
              <w:spacing w:before="0" w:after="0" w:line="240" w:lineRule="auto"/>
              <w:jc w:val="center"/>
            </w:pPr>
            <w:r>
              <w:rPr>
                <w:rFonts w:ascii="宋体" w:hAnsi="宋体" w:eastAsia="宋体"/>
                <w:b w:val="0"/>
                <w:i w:val="0"/>
                <w:sz w:val="18"/>
              </w:rPr>
              <w:t>-</w:t>
            </w:r>
          </w:p>
        </w:tc>
      </w:tr>
      <w:tr w14:paraId="1D8DD4B4">
        <w:tblPrEx>
          <w:tblCellMar>
            <w:top w:w="36" w:type="dxa"/>
            <w:left w:w="36" w:type="dxa"/>
            <w:bottom w:w="36" w:type="dxa"/>
            <w:right w:w="36" w:type="dxa"/>
          </w:tblCellMar>
        </w:tblPrEx>
        <w:trPr>
          <w:trHeight w:val="380" w:hRule="atLeast"/>
        </w:trPr>
        <w:tc>
          <w:tcPr>
            <w:tcW w:w="98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9162354"/>
        </w:tc>
        <w:tc>
          <w:tcPr>
            <w:tcW w:w="14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7017A">
            <w:pPr>
              <w:spacing w:before="0" w:after="0" w:line="240" w:lineRule="auto"/>
              <w:jc w:val="center"/>
            </w:pPr>
            <w:r>
              <w:rPr>
                <w:rFonts w:ascii="宋体" w:hAnsi="宋体" w:eastAsia="宋体"/>
                <w:b/>
                <w:i w:val="0"/>
                <w:sz w:val="18"/>
              </w:rPr>
              <w:t>其他资金</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9C34373">
            <w:pPr>
              <w:spacing w:before="0" w:after="0" w:line="240" w:lineRule="auto"/>
              <w:jc w:val="center"/>
            </w:pPr>
            <w:r>
              <w:rPr>
                <w:rFonts w:ascii="宋体" w:hAnsi="宋体" w:eastAsia="宋体"/>
                <w:b w:val="0"/>
                <w:i w:val="0"/>
                <w:sz w:val="18"/>
              </w:rPr>
              <w:t>7,304.62</w:t>
            </w:r>
          </w:p>
        </w:tc>
        <w:tc>
          <w:tcPr>
            <w:tcW w:w="9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B7423">
            <w:pPr>
              <w:spacing w:before="0" w:after="0" w:line="240" w:lineRule="auto"/>
              <w:jc w:val="center"/>
            </w:pPr>
            <w:r>
              <w:rPr>
                <w:rFonts w:ascii="宋体" w:hAnsi="宋体" w:eastAsia="宋体"/>
                <w:b w:val="0"/>
                <w:i w:val="0"/>
                <w:sz w:val="18"/>
              </w:rPr>
              <w:t>7,304.62</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0FE57">
            <w:pPr>
              <w:spacing w:before="0" w:after="0" w:line="240" w:lineRule="auto"/>
              <w:jc w:val="center"/>
            </w:pPr>
            <w:r>
              <w:rPr>
                <w:rFonts w:ascii="宋体" w:hAnsi="宋体" w:eastAsia="宋体"/>
                <w:b w:val="0"/>
                <w:i w:val="0"/>
                <w:sz w:val="18"/>
              </w:rPr>
              <w:t>6,820.42</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D7B25">
            <w:pPr>
              <w:spacing w:before="0" w:after="0" w:line="240" w:lineRule="auto"/>
              <w:jc w:val="center"/>
            </w:pPr>
            <w:r>
              <w:rPr>
                <w:rFonts w:ascii="宋体" w:hAnsi="宋体" w:eastAsia="宋体"/>
                <w:b w:val="0"/>
                <w:i w:val="0"/>
                <w:sz w:val="18"/>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D0E4">
            <w:pPr>
              <w:spacing w:before="0" w:after="0" w:line="240" w:lineRule="auto"/>
              <w:jc w:val="center"/>
            </w:pPr>
            <w:r>
              <w:rPr>
                <w:rFonts w:ascii="宋体" w:hAnsi="宋体" w:eastAsia="宋体"/>
                <w:b w:val="0"/>
                <w:i w:val="0"/>
                <w:sz w:val="18"/>
              </w:rPr>
              <w:t>-</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7A635A96">
            <w:pPr>
              <w:spacing w:before="0" w:after="0" w:line="240" w:lineRule="auto"/>
              <w:jc w:val="center"/>
            </w:pPr>
            <w:r>
              <w:rPr>
                <w:rFonts w:ascii="宋体" w:hAnsi="宋体" w:eastAsia="宋体"/>
                <w:b w:val="0"/>
                <w:i w:val="0"/>
                <w:sz w:val="18"/>
              </w:rPr>
              <w:t>-</w:t>
            </w:r>
          </w:p>
        </w:tc>
      </w:tr>
      <w:tr w14:paraId="4CBD6BBE">
        <w:tblPrEx>
          <w:tblCellMar>
            <w:top w:w="36" w:type="dxa"/>
            <w:left w:w="36" w:type="dxa"/>
            <w:bottom w:w="36" w:type="dxa"/>
            <w:right w:w="36" w:type="dxa"/>
          </w:tblCellMar>
        </w:tblPrEx>
        <w:trPr>
          <w:trHeight w:val="380" w:hRule="atLeast"/>
        </w:trPr>
        <w:tc>
          <w:tcPr>
            <w:tcW w:w="4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7979B">
            <w:pPr>
              <w:spacing w:before="0" w:after="0" w:line="240" w:lineRule="auto"/>
              <w:jc w:val="center"/>
            </w:pPr>
            <w:r>
              <w:rPr>
                <w:rFonts w:ascii="宋体" w:hAnsi="宋体" w:eastAsia="宋体"/>
                <w:b/>
                <w:i w:val="0"/>
                <w:sz w:val="18"/>
              </w:rPr>
              <w:t>年度总体目标</w:t>
            </w:r>
          </w:p>
        </w:tc>
        <w:tc>
          <w:tcPr>
            <w:tcW w:w="35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493FA1">
            <w:pPr>
              <w:spacing w:before="0" w:after="0" w:line="240" w:lineRule="auto"/>
              <w:jc w:val="center"/>
            </w:pPr>
            <w:r>
              <w:rPr>
                <w:rFonts w:ascii="宋体" w:hAnsi="宋体" w:eastAsia="宋体"/>
                <w:b/>
                <w:i w:val="0"/>
                <w:sz w:val="18"/>
              </w:rPr>
              <w:t>预期目标</w:t>
            </w:r>
          </w:p>
        </w:tc>
        <w:tc>
          <w:tcPr>
            <w:tcW w:w="43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65E55">
            <w:pPr>
              <w:spacing w:before="0" w:after="0" w:line="240" w:lineRule="auto"/>
              <w:jc w:val="center"/>
            </w:pPr>
            <w:r>
              <w:rPr>
                <w:rFonts w:ascii="宋体" w:hAnsi="宋体" w:eastAsia="宋体"/>
                <w:b/>
                <w:i w:val="0"/>
                <w:sz w:val="18"/>
              </w:rPr>
              <w:t>实际完成情况</w:t>
            </w:r>
          </w:p>
        </w:tc>
      </w:tr>
      <w:tr w14:paraId="2F0F492B">
        <w:tblPrEx>
          <w:tblCellMar>
            <w:top w:w="36" w:type="dxa"/>
            <w:left w:w="36" w:type="dxa"/>
            <w:bottom w:w="36" w:type="dxa"/>
            <w:right w:w="36" w:type="dxa"/>
          </w:tblCellMar>
        </w:tblPrEx>
        <w:trPr>
          <w:trHeight w:val="70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35FD6710"/>
        </w:tc>
        <w:tc>
          <w:tcPr>
            <w:tcW w:w="35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7CEC3D">
            <w:pPr>
              <w:spacing w:before="0" w:after="0" w:line="240" w:lineRule="auto"/>
              <w:jc w:val="center"/>
            </w:pPr>
            <w:r>
              <w:rPr>
                <w:rFonts w:ascii="宋体" w:hAnsi="宋体" w:eastAsia="宋体"/>
                <w:b w:val="0"/>
                <w:i w:val="0"/>
                <w:sz w:val="18"/>
              </w:rPr>
              <w:t>根据三定方案要求，本中心主要承担额河流域管辖范围内的水资源管理、流域综合治理、</w:t>
            </w:r>
            <w:r>
              <w:rPr>
                <w:rFonts w:hint="eastAsia" w:ascii="宋体" w:hAnsi="宋体"/>
                <w:b w:val="0"/>
                <w:i w:val="0"/>
                <w:sz w:val="18"/>
                <w:lang w:eastAsia="zh-CN"/>
              </w:rPr>
              <w:t>跨流域调水</w:t>
            </w:r>
            <w:r>
              <w:rPr>
                <w:rFonts w:ascii="宋体" w:hAnsi="宋体" w:eastAsia="宋体"/>
                <w:b w:val="0"/>
                <w:i w:val="0"/>
                <w:sz w:val="18"/>
              </w:rPr>
              <w:t>及水利工程运行管理、供水发电等核心职责。为切实履行职能，2025年重点开展以下工作：1、保障2025年人员工资福利支出及对个人和家庭补助支出按时足额发放到位；2、保障单位日常运转经费全额落实，确保机构正常履职；3、通过实施控导工程管理站基础设施提升改造、控导工程维修养护、完成灌区续建配套与现代化改造项目初步设计、水库运行、水闸控制运行设计方案、EW水系河流生态基本流量确定方案、额河重要河湖水质评估、水情预报、水资源监测</w:t>
            </w:r>
            <w:r>
              <w:rPr>
                <w:rFonts w:hint="eastAsia" w:ascii="宋体" w:hAnsi="宋体"/>
                <w:b w:val="0"/>
                <w:i w:val="0"/>
                <w:sz w:val="18"/>
                <w:lang w:eastAsia="zh-CN"/>
              </w:rPr>
              <w:t>体系</w:t>
            </w:r>
            <w:r>
              <w:rPr>
                <w:rFonts w:ascii="宋体" w:hAnsi="宋体" w:eastAsia="宋体"/>
                <w:b w:val="0"/>
                <w:i w:val="0"/>
                <w:sz w:val="18"/>
              </w:rPr>
              <w:t>建设实施方案编制等，实现水资源优化配置，有效保障水利工程设施安全运行，稳定供水、保障灌区生产安全，确保水利工程长期可靠地发挥作用，促进水资源的高效利用和可持续发展，有效维护河流生态系统稳定。</w:t>
            </w:r>
          </w:p>
        </w:tc>
        <w:tc>
          <w:tcPr>
            <w:tcW w:w="43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BBFE3">
            <w:pPr>
              <w:spacing w:before="0" w:after="0" w:line="240" w:lineRule="auto"/>
              <w:jc w:val="center"/>
            </w:pPr>
            <w:r>
              <w:rPr>
                <w:rFonts w:ascii="宋体" w:hAnsi="宋体" w:eastAsia="宋体"/>
                <w:b w:val="0"/>
                <w:i w:val="0"/>
                <w:sz w:val="18"/>
              </w:rPr>
              <w:t>2025年重点完成以下工作：完成2025年1-12月人员工资福利按时足额发放</w:t>
            </w:r>
            <w:r>
              <w:rPr>
                <w:rFonts w:hint="eastAsia" w:ascii="宋体" w:hAnsi="宋体"/>
                <w:b w:val="0"/>
                <w:i w:val="0"/>
                <w:sz w:val="18"/>
                <w:lang w:eastAsia="zh-CN"/>
              </w:rPr>
              <w:t>及</w:t>
            </w:r>
            <w:r>
              <w:rPr>
                <w:rFonts w:ascii="宋体" w:hAnsi="宋体" w:eastAsia="宋体"/>
                <w:b w:val="0"/>
                <w:i w:val="0"/>
                <w:sz w:val="18"/>
              </w:rPr>
              <w:t>运转经费支出，保障了机构日常运转正常履职；完成控导工程基础设施提升改造1处；完成控导工程渠道维修养护2次；委托第三方提供技术服务支持17项；基础设施改造及维修养护工程均按时完成，验收合格率达100%；全年水费征</w:t>
            </w:r>
            <w:r>
              <w:rPr>
                <w:rFonts w:hint="eastAsia" w:ascii="宋体" w:hAnsi="宋体"/>
                <w:b w:val="0"/>
                <w:i w:val="0"/>
                <w:sz w:val="18"/>
                <w:lang w:eastAsia="zh-CN"/>
              </w:rPr>
              <w:t>取</w:t>
            </w:r>
            <w:r>
              <w:rPr>
                <w:rFonts w:ascii="宋体" w:hAnsi="宋体" w:eastAsia="宋体"/>
                <w:b w:val="0"/>
                <w:i w:val="0"/>
                <w:sz w:val="18"/>
              </w:rPr>
              <w:t>率达100%；通过开展以上工作有效实现了水资源优化配置，筑牢了水利工程设施安全防线，稳定保障了灌区生产生活用水安全。</w:t>
            </w:r>
          </w:p>
        </w:tc>
      </w:tr>
      <w:tr w14:paraId="3451F1BD">
        <w:tblPrEx>
          <w:tblCellMar>
            <w:top w:w="36" w:type="dxa"/>
            <w:left w:w="36" w:type="dxa"/>
            <w:bottom w:w="36" w:type="dxa"/>
            <w:right w:w="36" w:type="dxa"/>
          </w:tblCellMar>
        </w:tblPrEx>
        <w:tc>
          <w:tcPr>
            <w:tcW w:w="4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E1942">
            <w:pPr>
              <w:spacing w:before="0" w:after="0" w:line="240" w:lineRule="auto"/>
              <w:jc w:val="center"/>
            </w:p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60054">
            <w:pPr>
              <w:spacing w:before="0" w:after="0" w:line="240" w:lineRule="auto"/>
              <w:jc w:val="center"/>
            </w:pPr>
            <w:r>
              <w:rPr>
                <w:rFonts w:ascii="宋体" w:hAnsi="宋体" w:eastAsia="宋体"/>
                <w:b/>
                <w:i w:val="0"/>
                <w:sz w:val="18"/>
              </w:rPr>
              <w:t>一级指标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EE244">
            <w:pPr>
              <w:spacing w:before="0" w:after="0" w:line="240" w:lineRule="auto"/>
              <w:jc w:val="center"/>
            </w:pPr>
            <w:r>
              <w:rPr>
                <w:rFonts w:ascii="宋体" w:hAnsi="宋体" w:eastAsia="宋体"/>
                <w:b/>
                <w:i w:val="0"/>
                <w:sz w:val="18"/>
              </w:rPr>
              <w:t>二级指标</w:t>
            </w:r>
          </w:p>
        </w:tc>
        <w:tc>
          <w:tcPr>
            <w:tcW w:w="9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E47EC">
            <w:pPr>
              <w:spacing w:before="0" w:after="0" w:line="240" w:lineRule="auto"/>
              <w:jc w:val="center"/>
            </w:pPr>
            <w:r>
              <w:rPr>
                <w:rFonts w:ascii="宋体" w:hAnsi="宋体" w:eastAsia="宋体"/>
                <w:b/>
                <w:i w:val="0"/>
                <w:sz w:val="18"/>
              </w:rPr>
              <w:t>三级指标</w:t>
            </w:r>
          </w:p>
        </w:tc>
        <w:tc>
          <w:tcPr>
            <w:tcW w:w="5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58631">
            <w:pPr>
              <w:spacing w:before="0" w:after="0" w:line="240" w:lineRule="auto"/>
              <w:jc w:val="center"/>
            </w:pPr>
            <w:r>
              <w:rPr>
                <w:rFonts w:ascii="宋体" w:hAnsi="宋体" w:eastAsia="宋体"/>
                <w:b/>
                <w:i w:val="0"/>
                <w:sz w:val="18"/>
              </w:rPr>
              <w:t>权重</w:t>
            </w:r>
          </w:p>
        </w:tc>
        <w:tc>
          <w:tcPr>
            <w:tcW w:w="4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787C7">
            <w:pPr>
              <w:spacing w:before="0" w:after="0" w:line="240" w:lineRule="auto"/>
              <w:jc w:val="center"/>
            </w:pPr>
            <w:r>
              <w:rPr>
                <w:rFonts w:ascii="宋体" w:hAnsi="宋体" w:eastAsia="宋体"/>
                <w:b/>
                <w:i w:val="0"/>
                <w:sz w:val="18"/>
              </w:rPr>
              <w:t>目标值</w:t>
            </w:r>
          </w:p>
        </w:tc>
        <w:tc>
          <w:tcPr>
            <w:tcW w:w="5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40973">
            <w:pPr>
              <w:spacing w:before="0" w:after="0" w:line="240" w:lineRule="auto"/>
              <w:jc w:val="center"/>
            </w:pPr>
            <w:r>
              <w:rPr>
                <w:rFonts w:ascii="宋体" w:hAnsi="宋体" w:eastAsia="宋体"/>
                <w:b/>
                <w:i w:val="0"/>
                <w:sz w:val="18"/>
              </w:rPr>
              <w:t>业绩值</w:t>
            </w:r>
          </w:p>
        </w:tc>
        <w:tc>
          <w:tcPr>
            <w:tcW w:w="34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67373">
            <w:pPr>
              <w:spacing w:before="0" w:after="0" w:line="240" w:lineRule="auto"/>
              <w:jc w:val="center"/>
            </w:pPr>
            <w:r>
              <w:rPr>
                <w:rFonts w:ascii="宋体" w:hAnsi="宋体" w:eastAsia="宋体"/>
                <w:b/>
                <w:i w:val="0"/>
                <w:sz w:val="18"/>
              </w:rPr>
              <w:t>完成率</w:t>
            </w:r>
          </w:p>
        </w:tc>
        <w:tc>
          <w:tcPr>
            <w:tcW w:w="3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A9B77">
            <w:pPr>
              <w:spacing w:before="0" w:after="0" w:line="240" w:lineRule="auto"/>
              <w:jc w:val="center"/>
            </w:pPr>
            <w:r>
              <w:rPr>
                <w:rFonts w:ascii="宋体" w:hAnsi="宋体" w:eastAsia="宋体"/>
                <w:b/>
                <w:i w:val="0"/>
                <w:sz w:val="18"/>
              </w:rPr>
              <w:t>指标得分</w:t>
            </w:r>
          </w:p>
        </w:tc>
        <w:tc>
          <w:tcPr>
            <w:tcW w:w="4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D8567">
            <w:pPr>
              <w:spacing w:before="0" w:after="0" w:line="240" w:lineRule="auto"/>
              <w:jc w:val="center"/>
            </w:pPr>
            <w:r>
              <w:rPr>
                <w:rFonts w:ascii="宋体" w:hAnsi="宋体" w:eastAsia="宋体"/>
                <w:b/>
                <w:i w:val="0"/>
                <w:sz w:val="18"/>
              </w:rPr>
              <w:t>指标值设定依据</w:t>
            </w:r>
          </w:p>
        </w:tc>
        <w:tc>
          <w:tcPr>
            <w:tcW w:w="73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FD1AF">
            <w:pPr>
              <w:spacing w:before="0" w:after="0" w:line="240" w:lineRule="auto"/>
              <w:jc w:val="center"/>
            </w:pPr>
            <w:r>
              <w:rPr>
                <w:rFonts w:ascii="宋体" w:hAnsi="宋体" w:eastAsia="宋体"/>
                <w:b/>
                <w:i w:val="0"/>
                <w:sz w:val="18"/>
              </w:rPr>
              <w:t>上年完成情况</w:t>
            </w:r>
          </w:p>
        </w:tc>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B7838">
            <w:pPr>
              <w:spacing w:before="0" w:after="0" w:line="240" w:lineRule="auto"/>
              <w:jc w:val="center"/>
            </w:pPr>
            <w:r>
              <w:rPr>
                <w:rFonts w:ascii="宋体" w:hAnsi="宋体" w:eastAsia="宋体"/>
                <w:b/>
                <w:i w:val="0"/>
                <w:sz w:val="18"/>
              </w:rPr>
              <w:t>赋分规则</w:t>
            </w:r>
          </w:p>
        </w:tc>
        <w:tc>
          <w:tcPr>
            <w:tcW w:w="5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5C0EE">
            <w:pPr>
              <w:spacing w:before="0" w:after="0" w:line="240" w:lineRule="auto"/>
              <w:jc w:val="center"/>
            </w:pPr>
            <w:r>
              <w:rPr>
                <w:rFonts w:ascii="宋体" w:hAnsi="宋体" w:eastAsia="宋体"/>
                <w:b/>
                <w:i w:val="0"/>
                <w:sz w:val="18"/>
              </w:rPr>
              <w:t>佐证资料</w:t>
            </w:r>
          </w:p>
        </w:tc>
        <w:tc>
          <w:tcPr>
            <w:tcW w:w="12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D682A">
            <w:pPr>
              <w:spacing w:before="0" w:after="0" w:line="240" w:lineRule="auto"/>
              <w:jc w:val="center"/>
            </w:pPr>
            <w:r>
              <w:rPr>
                <w:rFonts w:ascii="宋体" w:hAnsi="宋体" w:eastAsia="宋体"/>
                <w:b/>
                <w:i w:val="0"/>
                <w:sz w:val="18"/>
              </w:rPr>
              <w:t>偏差原因分析及改进措施</w:t>
            </w:r>
          </w:p>
        </w:tc>
      </w:tr>
      <w:tr w14:paraId="02CF9DE0">
        <w:tblPrEx>
          <w:tblCellMar>
            <w:top w:w="36" w:type="dxa"/>
            <w:left w:w="36" w:type="dxa"/>
            <w:bottom w:w="36" w:type="dxa"/>
            <w:right w:w="36" w:type="dxa"/>
          </w:tblCellMar>
        </w:tblPrEx>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66445D86"/>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135084E"/>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036202F"/>
        </w:tc>
        <w:tc>
          <w:tcPr>
            <w:tcW w:w="92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3478"/>
        </w:tc>
        <w:tc>
          <w:tcPr>
            <w:tcW w:w="521" w:type="dxa"/>
            <w:vMerge w:val="continue"/>
            <w:tcBorders>
              <w:top w:val="single" w:color="auto" w:sz="10" w:space="0"/>
              <w:left w:val="single" w:color="auto" w:sz="10" w:space="0"/>
              <w:bottom w:val="single" w:color="auto" w:sz="10" w:space="0"/>
              <w:right w:val="single" w:color="auto" w:sz="10" w:space="0"/>
              <w:insideV w:val="single" w:sz="10" w:space="0"/>
            </w:tcBorders>
          </w:tcPr>
          <w:p w14:paraId="48EDCEA5"/>
        </w:tc>
        <w:tc>
          <w:tcPr>
            <w:tcW w:w="428" w:type="dxa"/>
            <w:vMerge w:val="continue"/>
            <w:tcBorders>
              <w:top w:val="single" w:color="auto" w:sz="10" w:space="0"/>
              <w:left w:val="single" w:color="auto" w:sz="10" w:space="0"/>
              <w:bottom w:val="single" w:color="auto" w:sz="10" w:space="0"/>
              <w:right w:val="single" w:color="auto" w:sz="10" w:space="0"/>
              <w:insideV w:val="single" w:sz="10" w:space="0"/>
            </w:tcBorders>
          </w:tcPr>
          <w:p w14:paraId="65E2AC91"/>
        </w:tc>
        <w:tc>
          <w:tcPr>
            <w:tcW w:w="510" w:type="dxa"/>
            <w:vMerge w:val="continue"/>
            <w:tcBorders>
              <w:top w:val="single" w:color="auto" w:sz="10" w:space="0"/>
              <w:left w:val="single" w:color="auto" w:sz="10" w:space="0"/>
              <w:bottom w:val="single" w:color="auto" w:sz="10" w:space="0"/>
              <w:right w:val="single" w:color="auto" w:sz="10" w:space="0"/>
              <w:insideV w:val="single" w:sz="10" w:space="0"/>
            </w:tcBorders>
          </w:tcPr>
          <w:p w14:paraId="6F42512E"/>
        </w:tc>
        <w:tc>
          <w:tcPr>
            <w:tcW w:w="344" w:type="dxa"/>
            <w:vMerge w:val="continue"/>
            <w:tcBorders>
              <w:top w:val="single" w:color="auto" w:sz="10" w:space="0"/>
              <w:left w:val="single" w:color="auto" w:sz="10" w:space="0"/>
              <w:bottom w:val="single" w:color="auto" w:sz="10" w:space="0"/>
              <w:right w:val="single" w:color="auto" w:sz="10" w:space="0"/>
              <w:insideV w:val="single" w:sz="10" w:space="0"/>
            </w:tcBorders>
          </w:tcPr>
          <w:p w14:paraId="21F79EDF"/>
        </w:tc>
        <w:tc>
          <w:tcPr>
            <w:tcW w:w="377" w:type="dxa"/>
            <w:vMerge w:val="continue"/>
            <w:tcBorders>
              <w:top w:val="single" w:color="auto" w:sz="10" w:space="0"/>
              <w:left w:val="single" w:color="auto" w:sz="10" w:space="0"/>
              <w:bottom w:val="single" w:color="auto" w:sz="10" w:space="0"/>
              <w:right w:val="single" w:color="auto" w:sz="10" w:space="0"/>
              <w:insideV w:val="single" w:sz="10" w:space="0"/>
            </w:tcBorders>
          </w:tcPr>
          <w:p w14:paraId="3F6091AB"/>
        </w:tc>
        <w:tc>
          <w:tcPr>
            <w:tcW w:w="499" w:type="dxa"/>
            <w:vMerge w:val="continue"/>
            <w:tcBorders>
              <w:top w:val="single" w:color="auto" w:sz="10" w:space="0"/>
              <w:left w:val="single" w:color="auto" w:sz="10" w:space="0"/>
              <w:bottom w:val="single" w:color="auto" w:sz="10" w:space="0"/>
              <w:right w:val="single" w:color="auto" w:sz="10" w:space="0"/>
              <w:insideV w:val="single" w:sz="10" w:space="0"/>
            </w:tcBorders>
          </w:tcPr>
          <w:p w14:paraId="3257782D"/>
        </w:tc>
        <w:tc>
          <w:tcPr>
            <w:tcW w:w="739" w:type="dxa"/>
            <w:vMerge w:val="continue"/>
            <w:tcBorders>
              <w:top w:val="single" w:color="auto" w:sz="10" w:space="0"/>
              <w:left w:val="single" w:color="auto" w:sz="10" w:space="0"/>
              <w:bottom w:val="single" w:color="auto" w:sz="10" w:space="0"/>
              <w:right w:val="single" w:color="auto" w:sz="10" w:space="0"/>
              <w:insideV w:val="single" w:sz="10" w:space="0"/>
            </w:tcBorders>
          </w:tcPr>
          <w:p w14:paraId="79243EC9"/>
        </w:tc>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839A808"/>
        </w:tc>
        <w:tc>
          <w:tcPr>
            <w:tcW w:w="514" w:type="dxa"/>
            <w:vMerge w:val="continue"/>
            <w:tcBorders>
              <w:top w:val="single" w:color="auto" w:sz="10" w:space="0"/>
              <w:left w:val="single" w:color="auto" w:sz="10" w:space="0"/>
              <w:bottom w:val="single" w:color="auto" w:sz="10" w:space="0"/>
              <w:right w:val="single" w:color="auto" w:sz="10" w:space="0"/>
              <w:insideV w:val="single" w:sz="10" w:space="0"/>
            </w:tcBorders>
          </w:tcPr>
          <w:p w14:paraId="66B682EE"/>
        </w:tc>
        <w:tc>
          <w:tcPr>
            <w:tcW w:w="1261" w:type="dxa"/>
            <w:vMerge w:val="continue"/>
            <w:tcBorders>
              <w:top w:val="single" w:color="auto" w:sz="10" w:space="0"/>
              <w:left w:val="single" w:color="auto" w:sz="10" w:space="0"/>
              <w:bottom w:val="single" w:color="auto" w:sz="10" w:space="0"/>
              <w:right w:val="single" w:color="auto" w:sz="10" w:space="0"/>
              <w:insideV w:val="single" w:sz="10" w:space="0"/>
            </w:tcBorders>
          </w:tcPr>
          <w:p w14:paraId="6AB72BDD"/>
        </w:tc>
      </w:tr>
      <w:tr w14:paraId="7276F322">
        <w:tblPrEx>
          <w:tblCellMar>
            <w:top w:w="36" w:type="dxa"/>
            <w:left w:w="36" w:type="dxa"/>
            <w:bottom w:w="36" w:type="dxa"/>
            <w:right w:w="36" w:type="dxa"/>
          </w:tblCellMar>
        </w:tblPrEx>
        <w:trPr>
          <w:trHeight w:val="380" w:hRule="atLeast"/>
        </w:trPr>
        <w:tc>
          <w:tcPr>
            <w:tcW w:w="4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D2E7D">
            <w:pPr>
              <w:spacing w:before="0" w:after="0" w:line="240" w:lineRule="auto"/>
              <w:jc w:val="center"/>
            </w:pPr>
            <w:r>
              <w:rPr>
                <w:rFonts w:ascii="宋体" w:hAnsi="宋体" w:eastAsia="宋体"/>
                <w:b/>
                <w:i w:val="0"/>
                <w:sz w:val="18"/>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F6648">
            <w:pPr>
              <w:spacing w:before="0" w:after="0" w:line="240" w:lineRule="auto"/>
              <w:jc w:val="center"/>
            </w:pPr>
            <w:r>
              <w:rPr>
                <w:rFonts w:ascii="宋体" w:hAnsi="宋体" w:eastAsia="宋体"/>
                <w:b w:val="0"/>
                <w:i w:val="0"/>
                <w:sz w:val="18"/>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CFD6D44">
            <w:pPr>
              <w:spacing w:before="0" w:after="0" w:line="240" w:lineRule="auto"/>
              <w:jc w:val="center"/>
            </w:pPr>
            <w:r>
              <w:rPr>
                <w:rFonts w:ascii="宋体" w:hAnsi="宋体" w:eastAsia="宋体"/>
                <w:b w:val="0"/>
                <w:i w:val="0"/>
                <w:sz w:val="18"/>
              </w:rPr>
              <w:t>数量指标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2C11A837">
            <w:pPr>
              <w:spacing w:before="0" w:after="0" w:line="240" w:lineRule="auto"/>
              <w:jc w:val="center"/>
            </w:pPr>
            <w:r>
              <w:rPr>
                <w:rFonts w:ascii="宋体" w:hAnsi="宋体" w:eastAsia="宋体"/>
                <w:b w:val="0"/>
                <w:i w:val="0"/>
                <w:color w:val="000000"/>
                <w:sz w:val="18"/>
              </w:rPr>
              <w:t>保障人员工资发放次数</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590B936">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407C41EE">
            <w:pPr>
              <w:spacing w:before="0" w:after="0" w:line="240" w:lineRule="auto"/>
              <w:jc w:val="center"/>
            </w:pPr>
            <w:r>
              <w:rPr>
                <w:rFonts w:ascii="宋体" w:hAnsi="宋体" w:eastAsia="宋体"/>
                <w:b w:val="0"/>
                <w:i w:val="0"/>
                <w:sz w:val="18"/>
              </w:rPr>
              <w:t>=12次</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D50EEB6">
            <w:pPr>
              <w:spacing w:before="0" w:after="0" w:line="240" w:lineRule="auto"/>
              <w:jc w:val="center"/>
            </w:pPr>
            <w:r>
              <w:rPr>
                <w:rFonts w:ascii="宋体" w:hAnsi="宋体" w:eastAsia="宋体"/>
                <w:b w:val="0"/>
                <w:i w:val="0"/>
                <w:sz w:val="18"/>
              </w:rPr>
              <w:t>=12次</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431A6CE9">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160C1C72">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7CE676E7">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CD22B70">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FC42787">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E58702F">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47AD78D9">
            <w:pPr>
              <w:spacing w:before="0" w:after="0" w:line="240" w:lineRule="auto"/>
              <w:jc w:val="center"/>
            </w:pPr>
          </w:p>
        </w:tc>
      </w:tr>
      <w:tr w14:paraId="71D94B7A">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3995549D"/>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66474E9"/>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2ED8AF8">
            <w:pPr>
              <w:spacing w:before="0" w:after="0" w:line="240" w:lineRule="auto"/>
              <w:jc w:val="center"/>
            </w:pPr>
            <w:r>
              <w:rPr>
                <w:rFonts w:ascii="宋体" w:hAnsi="宋体" w:eastAsia="宋体"/>
                <w:b w:val="0"/>
                <w:i w:val="0"/>
                <w:sz w:val="18"/>
              </w:rPr>
              <w:t>数量指标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6F4D6502">
            <w:pPr>
              <w:spacing w:before="0" w:after="0" w:line="240" w:lineRule="auto"/>
              <w:jc w:val="center"/>
            </w:pPr>
            <w:r>
              <w:rPr>
                <w:rFonts w:ascii="宋体" w:hAnsi="宋体" w:eastAsia="宋体"/>
                <w:b w:val="0"/>
                <w:i w:val="0"/>
                <w:color w:val="000000"/>
                <w:sz w:val="18"/>
              </w:rPr>
              <w:t>基础设施提升改造数量</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F18827C">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3AB57F86">
            <w:pPr>
              <w:spacing w:before="0" w:after="0" w:line="240" w:lineRule="auto"/>
              <w:jc w:val="center"/>
            </w:pPr>
            <w:r>
              <w:rPr>
                <w:rFonts w:ascii="宋体" w:hAnsi="宋体" w:eastAsia="宋体"/>
                <w:b w:val="0"/>
                <w:i w:val="0"/>
                <w:sz w:val="18"/>
              </w:rPr>
              <w:t>&gt;=1处</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6E38E304">
            <w:pPr>
              <w:spacing w:before="0" w:after="0" w:line="240" w:lineRule="auto"/>
              <w:jc w:val="center"/>
            </w:pPr>
            <w:r>
              <w:rPr>
                <w:rFonts w:ascii="宋体" w:hAnsi="宋体" w:eastAsia="宋体"/>
                <w:b w:val="0"/>
                <w:i w:val="0"/>
                <w:sz w:val="18"/>
              </w:rPr>
              <w:t>=1处</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13CDA16A">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678A4EE7">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3AC5B674">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788B88E">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07456C1">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769FBE51">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7A12A17F">
            <w:pPr>
              <w:spacing w:before="0" w:after="0" w:line="240" w:lineRule="auto"/>
              <w:jc w:val="center"/>
            </w:pPr>
          </w:p>
        </w:tc>
      </w:tr>
      <w:tr w14:paraId="560B6F6B">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01A1898C"/>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41396BC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EAC00BA">
            <w:pPr>
              <w:spacing w:before="0" w:after="0" w:line="240" w:lineRule="auto"/>
              <w:jc w:val="center"/>
            </w:pPr>
            <w:r>
              <w:rPr>
                <w:rFonts w:ascii="宋体" w:hAnsi="宋体" w:eastAsia="宋体"/>
                <w:b w:val="0"/>
                <w:i w:val="0"/>
                <w:sz w:val="18"/>
              </w:rPr>
              <w:t>数量指标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3E0E8509">
            <w:pPr>
              <w:spacing w:before="0" w:after="0" w:line="240" w:lineRule="auto"/>
              <w:jc w:val="center"/>
            </w:pPr>
            <w:r>
              <w:rPr>
                <w:rFonts w:ascii="宋体" w:hAnsi="宋体" w:eastAsia="宋体"/>
                <w:b w:val="0"/>
                <w:i w:val="0"/>
                <w:color w:val="000000"/>
                <w:sz w:val="18"/>
              </w:rPr>
              <w:t>基础设施维修养护数量</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78C7BDE">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5E6B072E">
            <w:pPr>
              <w:spacing w:before="0" w:after="0" w:line="240" w:lineRule="auto"/>
              <w:jc w:val="center"/>
            </w:pPr>
            <w:r>
              <w:rPr>
                <w:rFonts w:ascii="宋体" w:hAnsi="宋体" w:eastAsia="宋体"/>
                <w:b w:val="0"/>
                <w:i w:val="0"/>
                <w:sz w:val="18"/>
              </w:rPr>
              <w:t>&gt;=2次</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0CAD323">
            <w:pPr>
              <w:spacing w:before="0" w:after="0" w:line="240" w:lineRule="auto"/>
              <w:jc w:val="center"/>
            </w:pPr>
            <w:r>
              <w:rPr>
                <w:rFonts w:ascii="宋体" w:hAnsi="宋体" w:eastAsia="宋体"/>
                <w:b w:val="0"/>
                <w:i w:val="0"/>
                <w:sz w:val="18"/>
              </w:rPr>
              <w:t>=2次</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7FC70FD3">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28D72C6D">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5952E112">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EC73B83">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CCF5BF">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7F7C75AB">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5038AB4C">
            <w:pPr>
              <w:spacing w:before="0" w:after="0" w:line="240" w:lineRule="auto"/>
              <w:jc w:val="center"/>
            </w:pPr>
          </w:p>
        </w:tc>
      </w:tr>
      <w:tr w14:paraId="200094FC">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156B6721"/>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45E5E9B"/>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65EC029">
            <w:pPr>
              <w:spacing w:before="0" w:after="0" w:line="240" w:lineRule="auto"/>
              <w:jc w:val="center"/>
            </w:pPr>
            <w:r>
              <w:rPr>
                <w:rFonts w:ascii="宋体" w:hAnsi="宋体" w:eastAsia="宋体"/>
                <w:b w:val="0"/>
                <w:i w:val="0"/>
                <w:sz w:val="18"/>
              </w:rPr>
              <w:t>数量指标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4C9FE874">
            <w:pPr>
              <w:spacing w:before="0" w:after="0" w:line="240" w:lineRule="auto"/>
              <w:jc w:val="center"/>
            </w:pPr>
            <w:r>
              <w:rPr>
                <w:rFonts w:ascii="宋体" w:hAnsi="宋体" w:eastAsia="宋体"/>
                <w:b w:val="0"/>
                <w:i w:val="0"/>
                <w:color w:val="000000"/>
                <w:sz w:val="18"/>
              </w:rPr>
              <w:t>委托提供技术服务数量</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2AD4B32">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1F1BFBF8">
            <w:pPr>
              <w:spacing w:before="0" w:after="0" w:line="240" w:lineRule="auto"/>
              <w:jc w:val="center"/>
            </w:pPr>
            <w:r>
              <w:rPr>
                <w:rFonts w:ascii="宋体" w:hAnsi="宋体" w:eastAsia="宋体"/>
                <w:b w:val="0"/>
                <w:i w:val="0"/>
                <w:sz w:val="18"/>
              </w:rPr>
              <w:t>&gt;=17项</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ADAE467">
            <w:pPr>
              <w:spacing w:before="0" w:after="0" w:line="240" w:lineRule="auto"/>
              <w:jc w:val="center"/>
            </w:pPr>
            <w:r>
              <w:rPr>
                <w:rFonts w:ascii="宋体" w:hAnsi="宋体" w:eastAsia="宋体"/>
                <w:b w:val="0"/>
                <w:i w:val="0"/>
                <w:sz w:val="18"/>
              </w:rPr>
              <w:t>=17项</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2A077038">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6ECFA289">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1BC95BAC">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04DF40C5">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5C3421">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07B8660">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0946D565">
            <w:pPr>
              <w:spacing w:before="0" w:after="0" w:line="240" w:lineRule="auto"/>
              <w:jc w:val="center"/>
            </w:pPr>
          </w:p>
        </w:tc>
      </w:tr>
      <w:tr w14:paraId="381B7802">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4747BD50"/>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98ABCB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88C1354">
            <w:pPr>
              <w:spacing w:before="0" w:after="0" w:line="240" w:lineRule="auto"/>
              <w:jc w:val="center"/>
            </w:pPr>
            <w:r>
              <w:rPr>
                <w:rFonts w:ascii="宋体" w:hAnsi="宋体" w:eastAsia="宋体"/>
                <w:b w:val="0"/>
                <w:i w:val="0"/>
                <w:sz w:val="18"/>
              </w:rPr>
              <w:t>质量指标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6EF53B30">
            <w:pPr>
              <w:spacing w:before="0" w:after="0" w:line="240" w:lineRule="auto"/>
              <w:jc w:val="center"/>
            </w:pPr>
            <w:r>
              <w:rPr>
                <w:rFonts w:ascii="宋体" w:hAnsi="宋体" w:eastAsia="宋体"/>
                <w:b w:val="0"/>
                <w:i w:val="0"/>
                <w:color w:val="000000"/>
                <w:sz w:val="18"/>
              </w:rPr>
              <w:t>基础设施提升改造验收合格率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8BC8498">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7CB4B3CB">
            <w:pPr>
              <w:spacing w:before="0" w:after="0" w:line="240" w:lineRule="auto"/>
              <w:jc w:val="center"/>
            </w:pPr>
            <w:r>
              <w:rPr>
                <w:rFonts w:ascii="宋体" w:hAnsi="宋体" w:eastAsia="宋体"/>
                <w:b w:val="0"/>
                <w:i w:val="0"/>
                <w:sz w:val="18"/>
              </w:rPr>
              <w:t>&gt;=95%</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3A52606">
            <w:pPr>
              <w:spacing w:before="0" w:after="0" w:line="240" w:lineRule="auto"/>
              <w:jc w:val="center"/>
            </w:pPr>
            <w:r>
              <w:rPr>
                <w:rFonts w:ascii="宋体" w:hAnsi="宋体" w:eastAsia="宋体"/>
                <w:b w:val="0"/>
                <w:i w:val="0"/>
                <w:sz w:val="18"/>
              </w:rPr>
              <w:t>=95%</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68898BEC">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736F90F7">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11BED2CA">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107F5F5">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7ECC467">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0C9D5EDA">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268DB8E2">
            <w:pPr>
              <w:spacing w:before="0" w:after="0" w:line="240" w:lineRule="auto"/>
              <w:jc w:val="center"/>
            </w:pPr>
          </w:p>
        </w:tc>
      </w:tr>
      <w:tr w14:paraId="59B69451">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62138F5B"/>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299BE62"/>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BE9D7BA">
            <w:pPr>
              <w:spacing w:before="0" w:after="0" w:line="240" w:lineRule="auto"/>
              <w:jc w:val="center"/>
            </w:pPr>
            <w:r>
              <w:rPr>
                <w:rFonts w:ascii="宋体" w:hAnsi="宋体" w:eastAsia="宋体"/>
                <w:b w:val="0"/>
                <w:i w:val="0"/>
                <w:sz w:val="18"/>
              </w:rPr>
              <w:t>质量指标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72036250">
            <w:pPr>
              <w:spacing w:before="0" w:after="0" w:line="240" w:lineRule="auto"/>
              <w:jc w:val="center"/>
            </w:pPr>
            <w:r>
              <w:rPr>
                <w:rFonts w:ascii="宋体" w:hAnsi="宋体" w:eastAsia="宋体"/>
                <w:b w:val="0"/>
                <w:i w:val="0"/>
                <w:color w:val="000000"/>
                <w:sz w:val="18"/>
              </w:rPr>
              <w:t>维修养护工作验收合格率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D9E1827">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46FE1871">
            <w:pPr>
              <w:spacing w:before="0" w:after="0" w:line="240" w:lineRule="auto"/>
              <w:jc w:val="center"/>
            </w:pPr>
            <w:r>
              <w:rPr>
                <w:rFonts w:ascii="宋体" w:hAnsi="宋体" w:eastAsia="宋体"/>
                <w:b w:val="0"/>
                <w:i w:val="0"/>
                <w:sz w:val="18"/>
              </w:rPr>
              <w:t>&gt;=95%</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629C1EB">
            <w:pPr>
              <w:spacing w:before="0" w:after="0" w:line="240" w:lineRule="auto"/>
              <w:jc w:val="center"/>
            </w:pPr>
            <w:r>
              <w:rPr>
                <w:rFonts w:ascii="宋体" w:hAnsi="宋体" w:eastAsia="宋体"/>
                <w:b w:val="0"/>
                <w:i w:val="0"/>
                <w:sz w:val="18"/>
              </w:rPr>
              <w:t>=95%</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41CDA103">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1D65163E">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6460AA82">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95FBBC3">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4E30258">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10859B2A">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51FE0711">
            <w:pPr>
              <w:spacing w:before="0" w:after="0" w:line="240" w:lineRule="auto"/>
              <w:jc w:val="center"/>
            </w:pPr>
          </w:p>
        </w:tc>
      </w:tr>
      <w:tr w14:paraId="05D555F7">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0F1E12B7"/>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8D7A306"/>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B722877">
            <w:pPr>
              <w:spacing w:before="0" w:after="0" w:line="240" w:lineRule="auto"/>
              <w:jc w:val="center"/>
            </w:pPr>
            <w:r>
              <w:rPr>
                <w:rFonts w:ascii="宋体" w:hAnsi="宋体" w:eastAsia="宋体"/>
                <w:b w:val="0"/>
                <w:i w:val="0"/>
                <w:sz w:val="18"/>
              </w:rPr>
              <w:t>时效指标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6082D688">
            <w:pPr>
              <w:spacing w:before="0" w:after="0" w:line="240" w:lineRule="auto"/>
              <w:jc w:val="center"/>
            </w:pPr>
            <w:r>
              <w:rPr>
                <w:rFonts w:ascii="宋体" w:hAnsi="宋体" w:eastAsia="宋体"/>
                <w:b w:val="0"/>
                <w:i w:val="0"/>
                <w:color w:val="000000"/>
                <w:sz w:val="18"/>
              </w:rPr>
              <w:t>基础设施提升改造工作按时完成率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7957533">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6DA38FDE">
            <w:pPr>
              <w:spacing w:before="0" w:after="0" w:line="240" w:lineRule="auto"/>
              <w:jc w:val="center"/>
            </w:pPr>
            <w:r>
              <w:rPr>
                <w:rFonts w:ascii="宋体" w:hAnsi="宋体" w:eastAsia="宋体"/>
                <w:b w:val="0"/>
                <w:i w:val="0"/>
                <w:sz w:val="18"/>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9D3AF7B">
            <w:pPr>
              <w:spacing w:before="0" w:after="0" w:line="240" w:lineRule="auto"/>
              <w:jc w:val="center"/>
            </w:pPr>
            <w:r>
              <w:rPr>
                <w:rFonts w:ascii="宋体" w:hAnsi="宋体" w:eastAsia="宋体"/>
                <w:b w:val="0"/>
                <w:i w:val="0"/>
                <w:sz w:val="18"/>
              </w:rPr>
              <w:t>=100%</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64D5F5D5">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770F03AD">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4D71663C">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9A948EC">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E7A9088">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7B028AD0">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408CE42B">
            <w:pPr>
              <w:spacing w:before="0" w:after="0" w:line="240" w:lineRule="auto"/>
              <w:jc w:val="center"/>
            </w:pPr>
          </w:p>
        </w:tc>
      </w:tr>
      <w:tr w14:paraId="1A50DA45">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66BCB14D"/>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0BDAE6BD"/>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E434F79">
            <w:pPr>
              <w:spacing w:before="0" w:after="0" w:line="240" w:lineRule="auto"/>
              <w:jc w:val="center"/>
            </w:pPr>
            <w:r>
              <w:rPr>
                <w:rFonts w:ascii="宋体" w:hAnsi="宋体" w:eastAsia="宋体"/>
                <w:b w:val="0"/>
                <w:i w:val="0"/>
                <w:sz w:val="18"/>
              </w:rPr>
              <w:t>时效指标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428124E4">
            <w:pPr>
              <w:spacing w:before="0" w:after="0" w:line="240" w:lineRule="auto"/>
              <w:jc w:val="center"/>
            </w:pPr>
            <w:r>
              <w:rPr>
                <w:rFonts w:ascii="宋体" w:hAnsi="宋体" w:eastAsia="宋体"/>
                <w:b w:val="0"/>
                <w:i w:val="0"/>
                <w:color w:val="000000"/>
                <w:sz w:val="18"/>
              </w:rPr>
              <w:t>基础设施维修养护按时完成率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9CB3B11">
            <w:pPr>
              <w:spacing w:before="0" w:after="0" w:line="240" w:lineRule="auto"/>
              <w:jc w:val="center"/>
            </w:pPr>
            <w:r>
              <w:rPr>
                <w:rFonts w:ascii="宋体" w:hAnsi="宋体" w:eastAsia="宋体"/>
                <w:b w:val="0"/>
                <w:i w:val="0"/>
                <w:sz w:val="18"/>
              </w:rPr>
              <w:t>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2854FD75">
            <w:pPr>
              <w:spacing w:before="0" w:after="0" w:line="240" w:lineRule="auto"/>
              <w:jc w:val="center"/>
            </w:pPr>
            <w:r>
              <w:rPr>
                <w:rFonts w:ascii="宋体" w:hAnsi="宋体" w:eastAsia="宋体"/>
                <w:b w:val="0"/>
                <w:i w:val="0"/>
                <w:sz w:val="18"/>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37E79908">
            <w:pPr>
              <w:spacing w:before="0" w:after="0" w:line="240" w:lineRule="auto"/>
              <w:jc w:val="center"/>
            </w:pPr>
            <w:r>
              <w:rPr>
                <w:rFonts w:ascii="宋体" w:hAnsi="宋体" w:eastAsia="宋体"/>
                <w:b w:val="0"/>
                <w:i w:val="0"/>
                <w:sz w:val="18"/>
              </w:rPr>
              <w:t>=100%</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285483CC">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43BCCBB0">
            <w:pPr>
              <w:spacing w:before="0" w:after="0" w:line="240" w:lineRule="auto"/>
              <w:jc w:val="center"/>
            </w:pPr>
            <w:r>
              <w:rPr>
                <w:rFonts w:ascii="宋体" w:hAnsi="宋体" w:eastAsia="宋体"/>
                <w:b w:val="0"/>
                <w:i w:val="0"/>
                <w:sz w:val="18"/>
              </w:rPr>
              <w:t>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7E9D467A">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41329BA">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D8AB775">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1D44821">
            <w:pPr>
              <w:spacing w:before="0" w:after="0" w:line="240" w:lineRule="auto"/>
              <w:jc w:val="center"/>
            </w:pPr>
            <w:r>
              <w:rPr>
                <w:rFonts w:ascii="宋体" w:hAnsi="宋体" w:eastAsia="宋体"/>
                <w:b w:val="0"/>
                <w:i w:val="0"/>
                <w:sz w:val="18"/>
              </w:rPr>
              <w:t>工作资料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003764C6">
            <w:pPr>
              <w:spacing w:before="0" w:after="0" w:line="240" w:lineRule="auto"/>
              <w:jc w:val="center"/>
            </w:pPr>
          </w:p>
        </w:tc>
      </w:tr>
      <w:tr w14:paraId="3D82B641">
        <w:tblPrEx>
          <w:tblCellMar>
            <w:top w:w="36" w:type="dxa"/>
            <w:left w:w="36" w:type="dxa"/>
            <w:bottom w:w="36" w:type="dxa"/>
            <w:right w:w="36" w:type="dxa"/>
          </w:tblCellMar>
        </w:tblPrEx>
        <w:trPr>
          <w:trHeight w:val="76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59C24C88"/>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3DFD0">
            <w:pPr>
              <w:spacing w:before="0" w:after="0" w:line="240" w:lineRule="auto"/>
              <w:jc w:val="center"/>
            </w:pPr>
            <w:r>
              <w:rPr>
                <w:rFonts w:ascii="宋体" w:hAnsi="宋体" w:eastAsia="宋体"/>
                <w:b w:val="0"/>
                <w:i w:val="0"/>
                <w:sz w:val="18"/>
              </w:rPr>
              <w:t>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448C3D6">
            <w:pPr>
              <w:spacing w:before="0" w:after="0" w:line="240" w:lineRule="auto"/>
              <w:jc w:val="center"/>
            </w:pPr>
            <w:r>
              <w:rPr>
                <w:rFonts w:ascii="宋体" w:hAnsi="宋体" w:eastAsia="宋体"/>
                <w:b w:val="0"/>
                <w:i w:val="0"/>
                <w:sz w:val="18"/>
              </w:rPr>
              <w:t>经济成本指标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13513886">
            <w:pPr>
              <w:spacing w:before="0" w:after="0" w:line="240" w:lineRule="auto"/>
              <w:jc w:val="center"/>
            </w:pPr>
            <w:r>
              <w:rPr>
                <w:rFonts w:ascii="宋体" w:hAnsi="宋体" w:eastAsia="宋体"/>
                <w:b w:val="0"/>
                <w:i w:val="0"/>
                <w:color w:val="000000"/>
                <w:sz w:val="18"/>
              </w:rPr>
              <w:t>保障人员经费支出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31E9383">
            <w:pPr>
              <w:spacing w:before="0" w:after="0" w:line="240" w:lineRule="auto"/>
              <w:jc w:val="center"/>
            </w:pPr>
            <w:r>
              <w:rPr>
                <w:rFonts w:ascii="宋体" w:hAnsi="宋体" w:eastAsia="宋体"/>
                <w:b w:val="0"/>
                <w:i w:val="0"/>
                <w:sz w:val="18"/>
              </w:rPr>
              <w:t>4</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577799A6">
            <w:pPr>
              <w:spacing w:before="0" w:after="0" w:line="240" w:lineRule="auto"/>
              <w:jc w:val="center"/>
            </w:pPr>
            <w:r>
              <w:rPr>
                <w:rFonts w:ascii="宋体" w:hAnsi="宋体" w:eastAsia="宋体"/>
                <w:b w:val="0"/>
                <w:i w:val="0"/>
                <w:sz w:val="18"/>
              </w:rPr>
              <w:t>&lt;=1757.11万元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51ADBC42">
            <w:pPr>
              <w:spacing w:before="0" w:after="0" w:line="240" w:lineRule="auto"/>
              <w:jc w:val="center"/>
            </w:pPr>
            <w:r>
              <w:rPr>
                <w:rFonts w:ascii="宋体" w:hAnsi="宋体" w:eastAsia="宋体"/>
                <w:b w:val="0"/>
                <w:i w:val="0"/>
                <w:sz w:val="18"/>
              </w:rPr>
              <w:t>=1748.02万元</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40333F0A">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2565A2F8">
            <w:pPr>
              <w:spacing w:before="0" w:after="0" w:line="240" w:lineRule="auto"/>
              <w:jc w:val="center"/>
            </w:pPr>
            <w:r>
              <w:rPr>
                <w:rFonts w:ascii="宋体" w:hAnsi="宋体" w:eastAsia="宋体"/>
                <w:b w:val="0"/>
                <w:i w:val="0"/>
                <w:sz w:val="18"/>
              </w:rPr>
              <w:t>4</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00869B1D">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D1177C9">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AF47B7D">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04B22805">
            <w:pPr>
              <w:spacing w:before="0" w:after="0" w:line="240" w:lineRule="auto"/>
              <w:jc w:val="center"/>
            </w:pPr>
            <w:r>
              <w:rPr>
                <w:rFonts w:ascii="宋体" w:hAnsi="宋体" w:eastAsia="宋体"/>
                <w:b w:val="0"/>
                <w:i w:val="0"/>
                <w:sz w:val="18"/>
              </w:rPr>
              <w:t>原始凭证</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617311B7">
            <w:pPr>
              <w:spacing w:before="0" w:after="0" w:line="240" w:lineRule="auto"/>
              <w:jc w:val="left"/>
            </w:pPr>
            <w:r>
              <w:rPr>
                <w:rFonts w:ascii="宋体" w:hAnsi="宋体" w:eastAsia="宋体"/>
                <w:b w:val="0"/>
                <w:i w:val="0"/>
                <w:sz w:val="18"/>
              </w:rPr>
              <w:t>原因：有个别人员退休，属于正常执行波动。措施：在今后的工作中准确掌握退休人员情况</w:t>
            </w:r>
          </w:p>
        </w:tc>
      </w:tr>
      <w:tr w14:paraId="309EE73B">
        <w:tblPrEx>
          <w:tblCellMar>
            <w:top w:w="36" w:type="dxa"/>
            <w:left w:w="36" w:type="dxa"/>
            <w:bottom w:w="36" w:type="dxa"/>
            <w:right w:w="36" w:type="dxa"/>
          </w:tblCellMar>
        </w:tblPrEx>
        <w:trPr>
          <w:trHeight w:val="9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66DE119D"/>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318F5467"/>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1D54D75">
            <w:pPr>
              <w:spacing w:before="0" w:after="0" w:line="240" w:lineRule="auto"/>
              <w:jc w:val="center"/>
            </w:pPr>
            <w:r>
              <w:rPr>
                <w:rFonts w:ascii="宋体" w:hAnsi="宋体" w:eastAsia="宋体"/>
                <w:b w:val="0"/>
                <w:i w:val="0"/>
                <w:sz w:val="18"/>
              </w:rPr>
              <w:t>经济成本指标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3663C9BF">
            <w:pPr>
              <w:spacing w:before="0" w:after="0" w:line="240" w:lineRule="auto"/>
              <w:jc w:val="center"/>
            </w:pPr>
            <w:r>
              <w:rPr>
                <w:rFonts w:ascii="宋体" w:hAnsi="宋体" w:eastAsia="宋体"/>
                <w:b w:val="0"/>
                <w:i w:val="0"/>
                <w:color w:val="000000"/>
                <w:sz w:val="18"/>
              </w:rPr>
              <w:t>保障运转经费支出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3570BDF">
            <w:pPr>
              <w:spacing w:before="0" w:after="0" w:line="240" w:lineRule="auto"/>
              <w:jc w:val="center"/>
            </w:pPr>
            <w:r>
              <w:rPr>
                <w:rFonts w:ascii="宋体" w:hAnsi="宋体" w:eastAsia="宋体"/>
                <w:b w:val="0"/>
                <w:i w:val="0"/>
                <w:sz w:val="18"/>
              </w:rPr>
              <w:t>4</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14BFCBFC">
            <w:pPr>
              <w:spacing w:before="0" w:after="0" w:line="240" w:lineRule="auto"/>
              <w:jc w:val="center"/>
            </w:pPr>
            <w:r>
              <w:rPr>
                <w:rFonts w:ascii="宋体" w:hAnsi="宋体" w:eastAsia="宋体"/>
                <w:b w:val="0"/>
                <w:i w:val="0"/>
                <w:sz w:val="18"/>
              </w:rPr>
              <w:t>&lt;=1913.37万元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B765E05">
            <w:pPr>
              <w:spacing w:before="0" w:after="0" w:line="240" w:lineRule="auto"/>
              <w:jc w:val="center"/>
            </w:pPr>
            <w:r>
              <w:rPr>
                <w:rFonts w:ascii="宋体" w:hAnsi="宋体" w:eastAsia="宋体"/>
                <w:b w:val="0"/>
                <w:i w:val="0"/>
                <w:sz w:val="18"/>
              </w:rPr>
              <w:t>=1598.04万元</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4BEE84E6">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44B0D24C">
            <w:pPr>
              <w:spacing w:before="0" w:after="0" w:line="240" w:lineRule="auto"/>
              <w:jc w:val="center"/>
            </w:pPr>
            <w:r>
              <w:rPr>
                <w:rFonts w:ascii="宋体" w:hAnsi="宋体" w:eastAsia="宋体"/>
                <w:b w:val="0"/>
                <w:i w:val="0"/>
                <w:sz w:val="18"/>
              </w:rPr>
              <w:t>4</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35E13497">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FA14FDB">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9B3DF71">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35AF296">
            <w:pPr>
              <w:spacing w:before="0" w:after="0" w:line="240" w:lineRule="auto"/>
              <w:jc w:val="center"/>
            </w:pPr>
            <w:r>
              <w:rPr>
                <w:rFonts w:ascii="宋体" w:hAnsi="宋体" w:eastAsia="宋体"/>
                <w:b w:val="0"/>
                <w:i w:val="0"/>
                <w:sz w:val="18"/>
              </w:rPr>
              <w:t>原始凭证</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2ABF9E3B">
            <w:pPr>
              <w:spacing w:before="0" w:after="0" w:line="240" w:lineRule="auto"/>
              <w:jc w:val="left"/>
            </w:pPr>
            <w:r>
              <w:rPr>
                <w:rFonts w:ascii="宋体" w:hAnsi="宋体" w:eastAsia="宋体"/>
                <w:b w:val="0"/>
                <w:i w:val="0"/>
                <w:sz w:val="18"/>
              </w:rPr>
              <w:t>原因年度内对非必要业务活动进行了精简</w:t>
            </w:r>
            <w:r>
              <w:rPr>
                <w:rFonts w:hint="eastAsia" w:ascii="宋体" w:hAnsi="宋体"/>
                <w:b w:val="0"/>
                <w:i w:val="0"/>
                <w:sz w:val="18"/>
                <w:lang w:val="en-US" w:eastAsia="zh-CN"/>
              </w:rPr>
              <w:t>减少</w:t>
            </w:r>
            <w:bookmarkStart w:id="0" w:name="_GoBack"/>
            <w:bookmarkEnd w:id="0"/>
            <w:r>
              <w:rPr>
                <w:rFonts w:ascii="宋体" w:hAnsi="宋体" w:eastAsia="宋体"/>
                <w:b w:val="0"/>
                <w:i w:val="0"/>
                <w:sz w:val="18"/>
              </w:rPr>
              <w:t>，减少了不必要的运转类开支，通过集中采购、询价等方式，降低了采购成本，形成合理结余。措施：加强预算精细化管理</w:t>
            </w:r>
          </w:p>
        </w:tc>
      </w:tr>
      <w:tr w14:paraId="78AD173D">
        <w:tblPrEx>
          <w:tblCellMar>
            <w:top w:w="36" w:type="dxa"/>
            <w:left w:w="36" w:type="dxa"/>
            <w:bottom w:w="36" w:type="dxa"/>
            <w:right w:w="36" w:type="dxa"/>
          </w:tblCellMar>
        </w:tblPrEx>
        <w:trPr>
          <w:trHeight w:val="76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40FB0F49"/>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17AECDE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96BE315">
            <w:pPr>
              <w:spacing w:before="0" w:after="0" w:line="240" w:lineRule="auto"/>
              <w:jc w:val="center"/>
            </w:pPr>
            <w:r>
              <w:rPr>
                <w:rFonts w:ascii="宋体" w:hAnsi="宋体" w:eastAsia="宋体"/>
                <w:b w:val="0"/>
                <w:i w:val="0"/>
                <w:sz w:val="18"/>
              </w:rPr>
              <w:t>经济成本指标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1FDFC423">
            <w:pPr>
              <w:spacing w:before="0" w:after="0" w:line="240" w:lineRule="auto"/>
              <w:jc w:val="center"/>
            </w:pPr>
            <w:r>
              <w:rPr>
                <w:rFonts w:ascii="宋体" w:hAnsi="宋体" w:eastAsia="宋体"/>
                <w:b w:val="0"/>
                <w:i w:val="0"/>
                <w:color w:val="000000"/>
                <w:sz w:val="18"/>
              </w:rPr>
              <w:t>基础设施提升改造支出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41D2F03">
            <w:pPr>
              <w:spacing w:before="0" w:after="0" w:line="240" w:lineRule="auto"/>
              <w:jc w:val="center"/>
            </w:pPr>
            <w:r>
              <w:rPr>
                <w:rFonts w:ascii="宋体" w:hAnsi="宋体" w:eastAsia="宋体"/>
                <w:b w:val="0"/>
                <w:i w:val="0"/>
                <w:sz w:val="18"/>
              </w:rPr>
              <w:t>4</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476A5F11">
            <w:pPr>
              <w:spacing w:before="0" w:after="0" w:line="240" w:lineRule="auto"/>
              <w:jc w:val="center"/>
            </w:pPr>
            <w:r>
              <w:rPr>
                <w:rFonts w:ascii="宋体" w:hAnsi="宋体" w:eastAsia="宋体"/>
                <w:b w:val="0"/>
                <w:i w:val="0"/>
                <w:sz w:val="18"/>
              </w:rPr>
              <w:t>&lt;=2206.22万元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FA31B06">
            <w:pPr>
              <w:spacing w:before="0" w:after="0" w:line="240" w:lineRule="auto"/>
              <w:jc w:val="center"/>
            </w:pPr>
            <w:r>
              <w:rPr>
                <w:rFonts w:ascii="宋体" w:hAnsi="宋体" w:eastAsia="宋体"/>
                <w:b w:val="0"/>
                <w:i w:val="0"/>
                <w:sz w:val="18"/>
              </w:rPr>
              <w:t>=2066.4万元</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75C76990">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08504E63">
            <w:pPr>
              <w:spacing w:before="0" w:after="0" w:line="240" w:lineRule="auto"/>
              <w:jc w:val="center"/>
            </w:pPr>
            <w:r>
              <w:rPr>
                <w:rFonts w:ascii="宋体" w:hAnsi="宋体" w:eastAsia="宋体"/>
                <w:b w:val="0"/>
                <w:i w:val="0"/>
                <w:sz w:val="18"/>
              </w:rPr>
              <w:t>4</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351C1252">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044983E">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F7881C2">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D1C3454">
            <w:pPr>
              <w:spacing w:before="0" w:after="0" w:line="240" w:lineRule="auto"/>
              <w:jc w:val="center"/>
            </w:pPr>
            <w:r>
              <w:rPr>
                <w:rFonts w:ascii="宋体" w:hAnsi="宋体" w:eastAsia="宋体"/>
                <w:b w:val="0"/>
                <w:i w:val="0"/>
                <w:sz w:val="18"/>
              </w:rPr>
              <w:t>原始凭证</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118F397A">
            <w:pPr>
              <w:spacing w:before="0" w:after="0" w:line="240" w:lineRule="auto"/>
              <w:jc w:val="left"/>
            </w:pPr>
            <w:r>
              <w:rPr>
                <w:rFonts w:ascii="宋体" w:hAnsi="宋体" w:eastAsia="宋体"/>
                <w:b w:val="0"/>
                <w:i w:val="0"/>
                <w:sz w:val="18"/>
              </w:rPr>
              <w:t>实际改造范围与工程量略少于年初预判，未出现超标准建设情况。</w:t>
            </w:r>
          </w:p>
        </w:tc>
      </w:tr>
      <w:tr w14:paraId="35362AD9">
        <w:tblPrEx>
          <w:tblCellMar>
            <w:top w:w="36" w:type="dxa"/>
            <w:left w:w="36" w:type="dxa"/>
            <w:bottom w:w="36" w:type="dxa"/>
            <w:right w:w="36" w:type="dxa"/>
          </w:tblCellMar>
        </w:tblPrEx>
        <w:trPr>
          <w:trHeight w:val="76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1EB50F50"/>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235A39C9"/>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9FC18AC">
            <w:pPr>
              <w:spacing w:before="0" w:after="0" w:line="240" w:lineRule="auto"/>
              <w:jc w:val="center"/>
            </w:pPr>
            <w:r>
              <w:rPr>
                <w:rFonts w:ascii="宋体" w:hAnsi="宋体" w:eastAsia="宋体"/>
                <w:b w:val="0"/>
                <w:i w:val="0"/>
                <w:sz w:val="18"/>
              </w:rPr>
              <w:t>经济成本指标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5CB9884D">
            <w:pPr>
              <w:spacing w:before="0" w:after="0" w:line="240" w:lineRule="auto"/>
              <w:jc w:val="center"/>
            </w:pPr>
            <w:r>
              <w:rPr>
                <w:rFonts w:ascii="宋体" w:hAnsi="宋体" w:eastAsia="宋体"/>
                <w:b w:val="0"/>
                <w:i w:val="0"/>
                <w:color w:val="000000"/>
                <w:sz w:val="18"/>
              </w:rPr>
              <w:t>维修养护支出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F16D0D6">
            <w:pPr>
              <w:spacing w:before="0" w:after="0" w:line="240" w:lineRule="auto"/>
              <w:jc w:val="center"/>
            </w:pPr>
            <w:r>
              <w:rPr>
                <w:rFonts w:ascii="宋体" w:hAnsi="宋体" w:eastAsia="宋体"/>
                <w:b w:val="0"/>
                <w:i w:val="0"/>
                <w:sz w:val="18"/>
              </w:rPr>
              <w:t>4</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248CE74F">
            <w:pPr>
              <w:spacing w:before="0" w:after="0" w:line="240" w:lineRule="auto"/>
              <w:jc w:val="center"/>
            </w:pPr>
            <w:r>
              <w:rPr>
                <w:rFonts w:ascii="宋体" w:hAnsi="宋体" w:eastAsia="宋体"/>
                <w:b w:val="0"/>
                <w:i w:val="0"/>
                <w:sz w:val="18"/>
              </w:rPr>
              <w:t>&lt;=644.29万元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BC19AC0">
            <w:pPr>
              <w:spacing w:before="0" w:after="0" w:line="240" w:lineRule="auto"/>
              <w:jc w:val="center"/>
            </w:pPr>
            <w:r>
              <w:rPr>
                <w:rFonts w:ascii="宋体" w:hAnsi="宋体" w:eastAsia="宋体"/>
                <w:b w:val="0"/>
                <w:i w:val="0"/>
                <w:sz w:val="18"/>
              </w:rPr>
              <w:t>=630.51万元</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3162E429">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08D377CB">
            <w:pPr>
              <w:spacing w:before="0" w:after="0" w:line="240" w:lineRule="auto"/>
              <w:jc w:val="center"/>
            </w:pPr>
            <w:r>
              <w:rPr>
                <w:rFonts w:ascii="宋体" w:hAnsi="宋体" w:eastAsia="宋体"/>
                <w:b w:val="0"/>
                <w:i w:val="0"/>
                <w:sz w:val="18"/>
              </w:rPr>
              <w:t>4</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169BC8E4">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D35576C">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173BDDF">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E06C209">
            <w:pPr>
              <w:spacing w:before="0" w:after="0" w:line="240" w:lineRule="auto"/>
              <w:jc w:val="center"/>
            </w:pPr>
            <w:r>
              <w:rPr>
                <w:rFonts w:ascii="宋体" w:hAnsi="宋体" w:eastAsia="宋体"/>
                <w:b w:val="0"/>
                <w:i w:val="0"/>
                <w:sz w:val="18"/>
              </w:rPr>
              <w:t>原始凭证</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2E530A5B">
            <w:pPr>
              <w:spacing w:before="0" w:after="0" w:line="240" w:lineRule="auto"/>
              <w:jc w:val="left"/>
            </w:pPr>
            <w:r>
              <w:rPr>
                <w:rFonts w:ascii="宋体" w:hAnsi="宋体" w:eastAsia="宋体"/>
                <w:b w:val="0"/>
                <w:i w:val="0"/>
                <w:sz w:val="18"/>
              </w:rPr>
              <w:t>实施设备运行状况良好，常规养护频次低于预期，且应急维修需求少于年初预判，形成小幅结余。</w:t>
            </w:r>
          </w:p>
        </w:tc>
      </w:tr>
      <w:tr w14:paraId="2B110EF7">
        <w:tblPrEx>
          <w:tblCellMar>
            <w:top w:w="36" w:type="dxa"/>
            <w:left w:w="36" w:type="dxa"/>
            <w:bottom w:w="36" w:type="dxa"/>
            <w:right w:w="36" w:type="dxa"/>
          </w:tblCellMar>
        </w:tblPrEx>
        <w:trPr>
          <w:trHeight w:val="76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55771215"/>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50FCEBF"/>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20FB61A8">
            <w:pPr>
              <w:spacing w:before="0" w:after="0" w:line="240" w:lineRule="auto"/>
              <w:jc w:val="center"/>
            </w:pPr>
            <w:r>
              <w:rPr>
                <w:rFonts w:ascii="宋体" w:hAnsi="宋体" w:eastAsia="宋体"/>
                <w:b w:val="0"/>
                <w:i w:val="0"/>
                <w:sz w:val="18"/>
              </w:rPr>
              <w:t>经济成本指标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5F98F50B">
            <w:pPr>
              <w:spacing w:before="0" w:after="0" w:line="240" w:lineRule="auto"/>
              <w:jc w:val="center"/>
            </w:pPr>
            <w:r>
              <w:rPr>
                <w:rFonts w:ascii="宋体" w:hAnsi="宋体" w:eastAsia="宋体"/>
                <w:b w:val="0"/>
                <w:i w:val="0"/>
                <w:color w:val="000000"/>
                <w:sz w:val="18"/>
              </w:rPr>
              <w:t>委托提供技术服务支出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8054262">
            <w:pPr>
              <w:spacing w:before="0" w:after="0" w:line="240" w:lineRule="auto"/>
              <w:jc w:val="center"/>
            </w:pPr>
            <w:r>
              <w:rPr>
                <w:rFonts w:ascii="宋体" w:hAnsi="宋体" w:eastAsia="宋体"/>
                <w:b w:val="0"/>
                <w:i w:val="0"/>
                <w:sz w:val="18"/>
              </w:rPr>
              <w:t>4</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522FAFBB">
            <w:pPr>
              <w:spacing w:before="0" w:after="0" w:line="240" w:lineRule="auto"/>
              <w:jc w:val="center"/>
            </w:pPr>
            <w:r>
              <w:rPr>
                <w:rFonts w:ascii="宋体" w:hAnsi="宋体" w:eastAsia="宋体"/>
                <w:b w:val="0"/>
                <w:i w:val="0"/>
                <w:sz w:val="18"/>
              </w:rPr>
              <w:t>&lt;=783.63万元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2F76CE6">
            <w:pPr>
              <w:spacing w:before="0" w:after="0" w:line="240" w:lineRule="auto"/>
              <w:jc w:val="center"/>
            </w:pPr>
            <w:r>
              <w:rPr>
                <w:rFonts w:ascii="宋体" w:hAnsi="宋体" w:eastAsia="宋体"/>
                <w:b w:val="0"/>
                <w:i w:val="0"/>
                <w:sz w:val="18"/>
              </w:rPr>
              <w:t>=777.45万元</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2FD6E699">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74F8CA31">
            <w:pPr>
              <w:spacing w:before="0" w:after="0" w:line="240" w:lineRule="auto"/>
              <w:jc w:val="center"/>
            </w:pPr>
            <w:r>
              <w:rPr>
                <w:rFonts w:ascii="宋体" w:hAnsi="宋体" w:eastAsia="宋体"/>
                <w:b w:val="0"/>
                <w:i w:val="0"/>
                <w:sz w:val="18"/>
              </w:rPr>
              <w:t>4</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57C23607">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2637C15">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A3FD355">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EAB32B7">
            <w:pPr>
              <w:spacing w:before="0" w:after="0" w:line="240" w:lineRule="auto"/>
              <w:jc w:val="center"/>
            </w:pPr>
            <w:r>
              <w:rPr>
                <w:rFonts w:ascii="宋体" w:hAnsi="宋体" w:eastAsia="宋体"/>
                <w:b w:val="0"/>
                <w:i w:val="0"/>
                <w:sz w:val="18"/>
              </w:rPr>
              <w:t>原始凭证</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35E5777C">
            <w:pPr>
              <w:spacing w:before="0" w:after="0" w:line="240" w:lineRule="auto"/>
              <w:jc w:val="left"/>
            </w:pPr>
            <w:r>
              <w:rPr>
                <w:rFonts w:ascii="宋体" w:hAnsi="宋体" w:eastAsia="宋体"/>
                <w:b w:val="0"/>
                <w:i w:val="0"/>
                <w:sz w:val="18"/>
              </w:rPr>
              <w:t>部分技术服务项目简化了流程，按实际需求结算服务时长与费用，未达到预算额度，属于精准控费的正常结果。</w:t>
            </w:r>
          </w:p>
        </w:tc>
      </w:tr>
      <w:tr w14:paraId="31E8CC6F">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3E4E1B4F"/>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2DE0C">
            <w:pPr>
              <w:spacing w:before="0" w:after="0" w:line="240" w:lineRule="auto"/>
              <w:jc w:val="center"/>
            </w:pPr>
            <w:r>
              <w:rPr>
                <w:rFonts w:ascii="宋体" w:hAnsi="宋体" w:eastAsia="宋体"/>
                <w:b w:val="0"/>
                <w:i w:val="0"/>
                <w:sz w:val="18"/>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5D03BFB">
            <w:pPr>
              <w:spacing w:before="0" w:after="0" w:line="240" w:lineRule="auto"/>
              <w:jc w:val="center"/>
            </w:pPr>
            <w:r>
              <w:rPr>
                <w:rFonts w:ascii="宋体" w:hAnsi="宋体" w:eastAsia="宋体"/>
                <w:b w:val="0"/>
                <w:i w:val="0"/>
                <w:sz w:val="18"/>
              </w:rPr>
              <w:t>经济效益指标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0436A1BE">
            <w:pPr>
              <w:spacing w:before="0" w:after="0" w:line="240" w:lineRule="auto"/>
              <w:jc w:val="center"/>
            </w:pPr>
            <w:r>
              <w:rPr>
                <w:rFonts w:ascii="宋体" w:hAnsi="宋体" w:eastAsia="宋体"/>
                <w:b w:val="0"/>
                <w:i w:val="0"/>
                <w:color w:val="000000"/>
                <w:sz w:val="18"/>
              </w:rPr>
              <w:t>水费回收率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E9C8CA4">
            <w:pPr>
              <w:spacing w:before="0" w:after="0" w:line="240" w:lineRule="auto"/>
              <w:jc w:val="center"/>
            </w:pPr>
            <w:r>
              <w:rPr>
                <w:rFonts w:ascii="宋体" w:hAnsi="宋体" w:eastAsia="宋体"/>
                <w:b w:val="0"/>
                <w:i w:val="0"/>
                <w:sz w:val="18"/>
              </w:rPr>
              <w:t>15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09DF6D99">
            <w:pPr>
              <w:spacing w:before="0" w:after="0" w:line="240" w:lineRule="auto"/>
              <w:jc w:val="center"/>
            </w:pPr>
            <w:r>
              <w:rPr>
                <w:rFonts w:ascii="宋体" w:hAnsi="宋体" w:eastAsia="宋体"/>
                <w:b w:val="0"/>
                <w:i w:val="0"/>
                <w:sz w:val="18"/>
              </w:rPr>
              <w:t>&gt;=90%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6042E585">
            <w:pPr>
              <w:spacing w:before="0" w:after="0" w:line="240" w:lineRule="auto"/>
              <w:jc w:val="center"/>
            </w:pPr>
            <w:r>
              <w:rPr>
                <w:rFonts w:ascii="宋体" w:hAnsi="宋体" w:eastAsia="宋体"/>
                <w:b w:val="0"/>
                <w:i w:val="0"/>
                <w:sz w:val="18"/>
              </w:rPr>
              <w:t>=90%</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07A0303E">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6755A40F">
            <w:pPr>
              <w:spacing w:before="0" w:after="0" w:line="240" w:lineRule="auto"/>
              <w:jc w:val="center"/>
            </w:pPr>
            <w:r>
              <w:rPr>
                <w:rFonts w:ascii="宋体" w:hAnsi="宋体" w:eastAsia="宋体"/>
                <w:b w:val="0"/>
                <w:i w:val="0"/>
                <w:sz w:val="18"/>
              </w:rPr>
              <w:t>15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04436DE0">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2E621CD">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8A0DBF4">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2E75834">
            <w:pPr>
              <w:spacing w:before="0" w:after="0" w:line="240" w:lineRule="auto"/>
              <w:jc w:val="center"/>
            </w:pPr>
            <w:r>
              <w:rPr>
                <w:rFonts w:ascii="宋体" w:hAnsi="宋体" w:eastAsia="宋体"/>
                <w:b w:val="0"/>
                <w:i w:val="0"/>
                <w:sz w:val="18"/>
              </w:rPr>
              <w:t>说明材料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7E8FEF3F">
            <w:pPr>
              <w:spacing w:before="0" w:after="0" w:line="240" w:lineRule="auto"/>
              <w:jc w:val="center"/>
            </w:pPr>
          </w:p>
        </w:tc>
      </w:tr>
      <w:tr w14:paraId="04E5567F">
        <w:tblPrEx>
          <w:tblCellMar>
            <w:top w:w="36" w:type="dxa"/>
            <w:left w:w="36" w:type="dxa"/>
            <w:bottom w:w="36" w:type="dxa"/>
            <w:right w:w="36" w:type="dxa"/>
          </w:tblCellMar>
        </w:tblPrEx>
        <w:trPr>
          <w:trHeight w:val="380" w:hRule="atLeast"/>
        </w:trPr>
        <w:tc>
          <w:tcPr>
            <w:tcW w:w="411" w:type="dxa"/>
            <w:vMerge w:val="continue"/>
            <w:tcBorders>
              <w:top w:val="single" w:color="auto" w:sz="10" w:space="0"/>
              <w:left w:val="single" w:color="auto" w:sz="10" w:space="0"/>
              <w:bottom w:val="single" w:color="auto" w:sz="10" w:space="0"/>
              <w:right w:val="single" w:color="auto" w:sz="10" w:space="0"/>
              <w:insideV w:val="single" w:sz="10" w:space="0"/>
            </w:tcBorders>
          </w:tcPr>
          <w:p w14:paraId="016BD69F"/>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14:paraId="752448AC"/>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458F8AE">
            <w:pPr>
              <w:spacing w:before="0" w:after="0" w:line="240" w:lineRule="auto"/>
              <w:jc w:val="center"/>
            </w:pPr>
            <w:r>
              <w:rPr>
                <w:rFonts w:ascii="宋体" w:hAnsi="宋体" w:eastAsia="宋体"/>
                <w:b w:val="0"/>
                <w:i w:val="0"/>
                <w:sz w:val="18"/>
              </w:rPr>
              <w:t>社会效益指标</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27C34479">
            <w:pPr>
              <w:spacing w:before="0" w:after="0" w:line="240" w:lineRule="auto"/>
              <w:jc w:val="center"/>
            </w:pPr>
            <w:r>
              <w:rPr>
                <w:rFonts w:ascii="宋体" w:hAnsi="宋体" w:eastAsia="宋体"/>
                <w:b w:val="0"/>
                <w:i w:val="0"/>
                <w:color w:val="000000"/>
                <w:sz w:val="18"/>
              </w:rPr>
              <w:t>水利设施工程正常运转率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6B1ED97">
            <w:pPr>
              <w:spacing w:before="0" w:after="0" w:line="240" w:lineRule="auto"/>
              <w:jc w:val="center"/>
            </w:pPr>
            <w:r>
              <w:rPr>
                <w:rFonts w:ascii="宋体" w:hAnsi="宋体" w:eastAsia="宋体"/>
                <w:b w:val="0"/>
                <w:i w:val="0"/>
                <w:sz w:val="18"/>
              </w:rPr>
              <w:t>15</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15BA494B">
            <w:pPr>
              <w:spacing w:before="0" w:after="0" w:line="240" w:lineRule="auto"/>
              <w:jc w:val="center"/>
            </w:pPr>
            <w:r>
              <w:rPr>
                <w:rFonts w:ascii="宋体" w:hAnsi="宋体" w:eastAsia="宋体"/>
                <w:b w:val="0"/>
                <w:i w:val="0"/>
                <w:sz w:val="18"/>
              </w:rPr>
              <w:t>&gt;=98%</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97EB392">
            <w:pPr>
              <w:spacing w:before="0" w:after="0" w:line="240" w:lineRule="auto"/>
              <w:jc w:val="center"/>
            </w:pPr>
            <w:r>
              <w:rPr>
                <w:rFonts w:ascii="宋体" w:hAnsi="宋体" w:eastAsia="宋体"/>
                <w:b w:val="0"/>
                <w:i w:val="0"/>
                <w:sz w:val="18"/>
              </w:rPr>
              <w:t>=98%</w:t>
            </w: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3FFCFC54">
            <w:pPr>
              <w:spacing w:before="0" w:after="0" w:line="240" w:lineRule="auto"/>
              <w:jc w:val="center"/>
            </w:pPr>
            <w:r>
              <w:rPr>
                <w:rFonts w:ascii="宋体" w:hAnsi="宋体" w:eastAsia="宋体"/>
                <w:b w:val="0"/>
                <w:i w:val="0"/>
                <w:sz w:val="18"/>
              </w:rPr>
              <w:t>100%</w:t>
            </w: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22AEFC9C">
            <w:pPr>
              <w:spacing w:before="0" w:after="0" w:line="240" w:lineRule="auto"/>
              <w:jc w:val="center"/>
            </w:pPr>
            <w:r>
              <w:rPr>
                <w:rFonts w:ascii="宋体" w:hAnsi="宋体" w:eastAsia="宋体"/>
                <w:b w:val="0"/>
                <w:i w:val="0"/>
                <w:sz w:val="18"/>
              </w:rPr>
              <w:t>15</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7D600B28">
            <w:pPr>
              <w:spacing w:before="0" w:after="0" w:line="240" w:lineRule="auto"/>
              <w:jc w:val="center"/>
            </w:pPr>
            <w:r>
              <w:rPr>
                <w:rFonts w:ascii="宋体" w:hAnsi="宋体" w:eastAsia="宋体"/>
                <w:b w:val="0"/>
                <w:i w:val="0"/>
                <w:sz w:val="18"/>
              </w:rPr>
              <w:t>计划标准</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CB0A1BF">
            <w:pPr>
              <w:spacing w:before="0" w:after="0" w:line="240" w:lineRule="auto"/>
              <w:jc w:val="center"/>
            </w:pPr>
            <w:r>
              <w:rPr>
                <w:rFonts w:ascii="宋体" w:hAnsi="宋体" w:eastAsia="宋体"/>
                <w:b w:val="0"/>
                <w:i w:val="0"/>
                <w:sz w:val="18"/>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F458505">
            <w:pPr>
              <w:spacing w:before="0" w:after="0" w:line="240" w:lineRule="auto"/>
              <w:jc w:val="center"/>
            </w:pPr>
            <w:r>
              <w:rPr>
                <w:rFonts w:ascii="宋体" w:hAnsi="宋体" w:eastAsia="宋体"/>
                <w:b w:val="0"/>
                <w:i w:val="0"/>
                <w:sz w:val="18"/>
              </w:rPr>
              <w:t>按照完成比例赋分</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5B0F8604">
            <w:pPr>
              <w:spacing w:before="0" w:after="0" w:line="240" w:lineRule="auto"/>
              <w:jc w:val="center"/>
            </w:pPr>
            <w:r>
              <w:rPr>
                <w:rFonts w:ascii="宋体" w:hAnsi="宋体" w:eastAsia="宋体"/>
                <w:b w:val="0"/>
                <w:i w:val="0"/>
                <w:sz w:val="18"/>
              </w:rPr>
              <w:t>说明材料</w:t>
            </w: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26F516C6">
            <w:pPr>
              <w:spacing w:before="0" w:after="0" w:line="240" w:lineRule="auto"/>
              <w:jc w:val="center"/>
            </w:pPr>
          </w:p>
        </w:tc>
      </w:tr>
      <w:tr w14:paraId="1B1FEC77">
        <w:tblPrEx>
          <w:tblCellMar>
            <w:top w:w="36" w:type="dxa"/>
            <w:left w:w="36" w:type="dxa"/>
            <w:bottom w:w="36" w:type="dxa"/>
            <w:right w:w="36" w:type="dxa"/>
          </w:tblCellMar>
        </w:tblPrEx>
        <w:trPr>
          <w:trHeight w:val="380" w:hRule="atLeast"/>
        </w:trPr>
        <w:tc>
          <w:tcPr>
            <w:tcW w:w="248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23A98E">
            <w:pPr>
              <w:spacing w:before="0" w:after="0" w:line="240" w:lineRule="auto"/>
              <w:jc w:val="center"/>
            </w:pPr>
            <w:r>
              <w:rPr>
                <w:rFonts w:ascii="宋体" w:hAnsi="宋体" w:eastAsia="宋体"/>
                <w:b/>
                <w:i w:val="0"/>
                <w:color w:val="000000"/>
                <w:sz w:val="18"/>
              </w:rPr>
              <w:t>总分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CB8A642">
            <w:pPr>
              <w:spacing w:before="0" w:after="0" w:line="240" w:lineRule="auto"/>
              <w:jc w:val="center"/>
            </w:pPr>
            <w:r>
              <w:rPr>
                <w:rFonts w:ascii="宋体" w:hAnsi="宋体" w:eastAsia="宋体"/>
                <w:b w:val="0"/>
                <w:i w:val="0"/>
                <w:color w:val="000000"/>
                <w:sz w:val="18"/>
              </w:rPr>
              <w:t>100</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14:paraId="0856FEAF">
            <w:pPr>
              <w:spacing w:before="0" w:after="0" w:line="240" w:lineRule="auto"/>
              <w:jc w:val="center"/>
            </w:pP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5456E666">
            <w:pPr>
              <w:spacing w:before="0" w:after="0" w:line="240" w:lineRule="auto"/>
              <w:jc w:val="center"/>
            </w:pPr>
          </w:p>
        </w:tc>
        <w:tc>
          <w:tcPr>
            <w:tcW w:w="344" w:type="dxa"/>
            <w:tcBorders>
              <w:top w:val="single" w:color="auto" w:sz="10" w:space="0"/>
              <w:left w:val="single" w:color="auto" w:sz="10" w:space="0"/>
              <w:bottom w:val="single" w:color="auto" w:sz="10" w:space="0"/>
              <w:right w:val="single" w:color="auto" w:sz="10" w:space="0"/>
              <w:insideV w:val="single" w:sz="10" w:space="0"/>
            </w:tcBorders>
            <w:vAlign w:val="center"/>
          </w:tcPr>
          <w:p w14:paraId="2D7256E6">
            <w:pPr>
              <w:spacing w:before="0" w:after="0" w:line="240" w:lineRule="auto"/>
              <w:jc w:val="center"/>
            </w:pPr>
          </w:p>
        </w:tc>
        <w:tc>
          <w:tcPr>
            <w:tcW w:w="377" w:type="dxa"/>
            <w:tcBorders>
              <w:top w:val="single" w:color="auto" w:sz="10" w:space="0"/>
              <w:left w:val="single" w:color="auto" w:sz="10" w:space="0"/>
              <w:bottom w:val="single" w:color="auto" w:sz="10" w:space="0"/>
              <w:right w:val="single" w:color="auto" w:sz="10" w:space="0"/>
              <w:insideV w:val="single" w:sz="10" w:space="0"/>
            </w:tcBorders>
            <w:vAlign w:val="center"/>
          </w:tcPr>
          <w:p w14:paraId="4EDAE3B6">
            <w:pPr>
              <w:spacing w:before="0" w:after="0" w:line="240" w:lineRule="auto"/>
              <w:jc w:val="center"/>
            </w:pPr>
            <w:r>
              <w:rPr>
                <w:rFonts w:ascii="宋体" w:hAnsi="宋体" w:eastAsia="宋体"/>
                <w:b w:val="0"/>
                <w:i w:val="0"/>
                <w:color w:val="000000"/>
                <w:sz w:val="18"/>
              </w:rPr>
              <w:t>100.00</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14:paraId="7EF1BCB5">
            <w:pPr>
              <w:spacing w:before="0" w:after="0" w:line="240" w:lineRule="auto"/>
              <w:jc w:val="center"/>
            </w:pP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C2D1D0E">
            <w:pPr>
              <w:spacing w:before="0" w:after="0" w:line="240" w:lineRule="auto"/>
              <w:jc w:val="center"/>
            </w:p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52E30E7">
            <w:pPr>
              <w:spacing w:before="0" w:after="0" w:line="240" w:lineRule="auto"/>
              <w:jc w:val="center"/>
            </w:pP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B005920">
            <w:pPr>
              <w:spacing w:before="0" w:after="0" w:line="240" w:lineRule="auto"/>
              <w:jc w:val="center"/>
            </w:pPr>
          </w:p>
        </w:tc>
        <w:tc>
          <w:tcPr>
            <w:tcW w:w="1261" w:type="dxa"/>
            <w:tcBorders>
              <w:top w:val="single" w:color="auto" w:sz="10" w:space="0"/>
              <w:left w:val="single" w:color="auto" w:sz="10" w:space="0"/>
              <w:bottom w:val="single" w:color="auto" w:sz="10" w:space="0"/>
              <w:right w:val="single" w:color="auto" w:sz="10" w:space="0"/>
              <w:insideV w:val="single" w:sz="10" w:space="0"/>
            </w:tcBorders>
            <w:vAlign w:val="center"/>
          </w:tcPr>
          <w:p w14:paraId="14EA7F07">
            <w:pPr>
              <w:spacing w:before="0" w:after="0" w:line="240" w:lineRule="auto"/>
              <w:jc w:val="center"/>
            </w:pPr>
          </w:p>
        </w:tc>
      </w:tr>
    </w:tbl>
    <w:p w14:paraId="08C93C3F">
      <w:r>
        <w:br w:type="page"/>
      </w:r>
    </w:p>
    <w:p w14:paraId="206469B6">
      <w:pPr>
        <w:sectPr>
          <w:type w:val="continuous"/>
          <w:pgSz w:w="11906" w:h="16838"/>
          <w:pgMar w:top="1440" w:right="1800" w:bottom="1440" w:left="1800" w:header="851" w:footer="992" w:gutter="0"/>
          <w:cols w:space="720" w:num="1"/>
          <w:docGrid w:type="lines" w:linePitch="312" w:charSpace="0"/>
        </w:sectPr>
      </w:pPr>
    </w:p>
    <w:p w14:paraId="433DD374">
      <w:pPr>
        <w:spacing w:line="640" w:lineRule="exact"/>
        <w:ind w:firstLine="640"/>
        <w:jc w:val="both"/>
        <w:outlineLvl w:val="2"/>
      </w:pPr>
      <w:r>
        <w:rPr>
          <w:rFonts w:ascii="黑体" w:hAnsi="黑体" w:eastAsia="黑体"/>
          <w:sz w:val="32"/>
        </w:rPr>
        <w:t>十二、其他需说明的事项</w:t>
      </w:r>
    </w:p>
    <w:p w14:paraId="5D479A12">
      <w:pPr>
        <w:spacing w:line="580" w:lineRule="exact"/>
        <w:ind w:firstLine="640"/>
        <w:jc w:val="both"/>
      </w:pPr>
      <w:r>
        <w:rPr>
          <w:rFonts w:ascii="仿宋_GB2312" w:hAnsi="仿宋_GB2312" w:eastAsia="仿宋_GB2312"/>
          <w:b w:val="0"/>
          <w:sz w:val="32"/>
        </w:rPr>
        <w:t>本单位无其他需说明的事项。</w:t>
      </w:r>
    </w:p>
    <w:p w14:paraId="68EA46F2">
      <w:r>
        <w:br w:type="page"/>
      </w:r>
    </w:p>
    <w:p w14:paraId="386D1ADB">
      <w:pPr>
        <w:spacing w:line="600" w:lineRule="exact"/>
        <w:jc w:val="center"/>
        <w:outlineLvl w:val="0"/>
      </w:pPr>
      <w:r>
        <w:rPr>
          <w:rFonts w:ascii="黑体" w:hAnsi="黑体" w:eastAsia="黑体"/>
          <w:sz w:val="32"/>
        </w:rPr>
        <w:t>第三部分 专业名词解释</w:t>
      </w:r>
    </w:p>
    <w:p w14:paraId="0BBBEC0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BCACEC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FAD8D8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4CFAD2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FA1BC3">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2E4D79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274890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D72080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28E7AF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D5041E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3044932">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CCB323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6EB33E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5ACE735">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17169E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61A777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9DB7CD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1CBC220">
      <w:r>
        <w:br w:type="page"/>
      </w:r>
    </w:p>
    <w:p w14:paraId="05030CC9">
      <w:pPr>
        <w:spacing w:line="240" w:lineRule="auto"/>
        <w:jc w:val="center"/>
        <w:outlineLvl w:val="1"/>
      </w:pPr>
      <w:r>
        <w:rPr>
          <w:rFonts w:ascii="黑体" w:hAnsi="黑体" w:eastAsia="黑体"/>
          <w:sz w:val="32"/>
        </w:rPr>
        <w:t>第四部分 部门决算报表（见附表）</w:t>
      </w:r>
    </w:p>
    <w:p w14:paraId="73E8B0B7">
      <w:pPr>
        <w:autoSpaceDE w:val="0"/>
        <w:autoSpaceDN w:val="0"/>
        <w:spacing w:line="600" w:lineRule="exact"/>
        <w:ind w:firstLine="640" w:firstLineChars="200"/>
      </w:pPr>
      <w:r>
        <w:rPr>
          <w:rFonts w:ascii="仿宋_GB2312" w:hAnsi="仿宋_GB2312" w:eastAsia="仿宋_GB2312"/>
          <w:b w:val="0"/>
          <w:sz w:val="32"/>
        </w:rPr>
        <w:t>一、《收入支出决算总表》</w:t>
      </w:r>
    </w:p>
    <w:p w14:paraId="2D8F11E2">
      <w:pPr>
        <w:autoSpaceDE w:val="0"/>
        <w:autoSpaceDN w:val="0"/>
        <w:spacing w:line="600" w:lineRule="exact"/>
        <w:ind w:firstLine="640" w:firstLineChars="200"/>
      </w:pPr>
      <w:r>
        <w:rPr>
          <w:rFonts w:ascii="仿宋_GB2312" w:hAnsi="仿宋_GB2312" w:eastAsia="仿宋_GB2312"/>
          <w:b w:val="0"/>
          <w:sz w:val="32"/>
        </w:rPr>
        <w:t>二、《收入决算表》</w:t>
      </w:r>
    </w:p>
    <w:p w14:paraId="6F4D0F74">
      <w:pPr>
        <w:autoSpaceDE w:val="0"/>
        <w:autoSpaceDN w:val="0"/>
        <w:spacing w:line="600" w:lineRule="exact"/>
        <w:ind w:firstLine="640" w:firstLineChars="200"/>
      </w:pPr>
      <w:r>
        <w:rPr>
          <w:rFonts w:ascii="仿宋_GB2312" w:hAnsi="仿宋_GB2312" w:eastAsia="仿宋_GB2312"/>
          <w:b w:val="0"/>
          <w:sz w:val="32"/>
        </w:rPr>
        <w:t>三、《支出决算表》</w:t>
      </w:r>
    </w:p>
    <w:p w14:paraId="61000B4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A27381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C98451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8A3A6D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49F708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91F402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AEEFAE3">
      <w:pPr>
        <w:autoSpaceDE w:val="0"/>
        <w:autoSpaceDN w:val="0"/>
        <w:spacing w:line="600" w:lineRule="exact"/>
        <w:ind w:firstLine="640" w:firstLineChars="200"/>
      </w:pPr>
    </w:p>
    <w:p w14:paraId="4F13897E">
      <w:pPr>
        <w:autoSpaceDE w:val="0"/>
        <w:autoSpaceDN w:val="0"/>
        <w:spacing w:line="600" w:lineRule="exact"/>
        <w:ind w:firstLine="640" w:firstLineChars="200"/>
      </w:pPr>
    </w:p>
    <w:p w14:paraId="2A039E5A">
      <w:pPr>
        <w:autoSpaceDE w:val="0"/>
        <w:autoSpaceDN w:val="0"/>
        <w:spacing w:line="600" w:lineRule="exact"/>
        <w:ind w:firstLine="640" w:firstLineChars="200"/>
      </w:pPr>
    </w:p>
    <w:p w14:paraId="20164023">
      <w:pPr>
        <w:autoSpaceDE w:val="0"/>
        <w:autoSpaceDN w:val="0"/>
        <w:spacing w:line="600" w:lineRule="exact"/>
        <w:ind w:firstLine="640" w:firstLineChars="200"/>
      </w:pPr>
    </w:p>
    <w:p w14:paraId="633D22B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A89983-41F7-4943-A1AF-A9CA33F8F4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3EC2D639-24E0-4AC5-8CD1-1E12DDF1A362}"/>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2DC24D8D-AC2C-451C-A4DD-8D83384F1B22}"/>
  </w:font>
  <w:font w:name="楷体_GB2312">
    <w:altName w:val="楷体"/>
    <w:panose1 w:val="00000000000000000000"/>
    <w:charset w:val="00"/>
    <w:family w:val="auto"/>
    <w:pitch w:val="default"/>
    <w:sig w:usb0="00000000" w:usb1="00000000" w:usb2="00000000" w:usb3="00000000" w:csb0="00000000" w:csb1="00000000"/>
    <w:embedRegular r:id="rId4" w:fontKey="{4297ABDD-5B15-4EB9-AB5C-1D1E167E4B55}"/>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25C5547"/>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B450F0D"/>
    <w:rsid w:val="7EAC4FE1"/>
    <w:rsid w:val="7F05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bec4078c-be7f-409d-9a67-836d9f9074a3</errorID>
      <errorWord>体</errorWord>
      <group>L1_Word</group>
      <groupName>字词问题</groupName>
      <ability>L2_Typo</ability>
      <abilityName>字词错误</abilityName>
      <candidateList>
        <item>体系</item>
      </candidateList>
      <explain/>
      <paraID>186E1BC7</paraID>
      <start>234</start>
      <end>236</end>
      <status>modified</status>
      <modifiedWord>体系</modifiedWord>
      <trackRevisions>false</trackRevisions>
    </reviewItem>
    <reviewItem>
      <errorID>4026bd9b-86ca-4174-ac6a-1f87578adb0d</errorID>
      <errorWord>跨流域供水</errorWord>
      <group>L1_Political</group>
      <groupName>政治性问题</groupName>
      <ability>L2_Keyword</ability>
      <abilityName>固定表述</abilityName>
      <candidateList>
        <item>跨流域调水</item>
      </candidateList>
      <explain>词汇“跨流域调水”在特定场景下为固定表述形式，请确认此处的“跨流域供水”是否存在不当。</explain>
      <paraID>127CEC3D</paraID>
      <start>39</start>
      <end>44</end>
      <status>modified</status>
      <modifiedWord>跨流域调水</modifiedWord>
      <trackRevisions>false</trackRevisions>
    </reviewItem>
    <reviewItem>
      <errorID>aa5045ab-28f4-4554-a4d6-dcb85dd6b860</errorID>
      <errorWord>体</errorWord>
      <group>L1_Word</group>
      <groupName>字词问题</groupName>
      <ability>L2_Typo</ability>
      <abilityName>字词错误</abilityName>
      <candidateList>
        <item>体系</item>
      </candidateList>
      <explain/>
      <paraID>127CEC3D</paraID>
      <start>255</start>
      <end>257</end>
      <status>modified</status>
      <modifiedWord>体系</modifiedWord>
      <trackRevisions>false</trackRevisions>
    </reviewItem>
    <reviewItem>
      <errorID>0fbb9be6-e3ae-4c19-950c-7af051f96dd4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5FEBBFE3</paraID>
      <start>22</start>
      <end>23</end>
      <status>unmodified</status>
      <modifiedWord/>
      <trackRevisions>false</trackRevisions>
    </reviewItem>
    <reviewItem>
      <errorID>07e7c25b-475f-4d97-9a0f-66cacd2fa03a</errorID>
      <errorWord>、及</errorWord>
      <group>L1_Other</group>
      <groupName>其他问题</groupName>
      <ability>L2_UserTypo</ability>
      <abilityName>自定义错误</abilityName>
      <candidateList>
        <item>及</item>
      </candidateList>
      <explain>来自自定义错词库。</explain>
      <paraID>5FEBBFE3</paraID>
      <start>38</start>
      <end>39</end>
      <status>modified</status>
      <modifiedWord>及</modifiedWord>
      <trackRevisions>false</trackRevisions>
    </reviewItem>
    <reviewItem>
      <errorID>414bee15-006f-4392-8e8d-9689c3ccc315</errorID>
      <errorWord>求</errorWord>
      <group>L1_Word</group>
      <groupName>字词问题</groupName>
      <ability>L2_Typo</ability>
      <abilityName>字词错误</abilityName>
      <candidateList>
        <item>取</item>
      </candidateList>
      <explain>存在发音相近字词的误用。</explain>
      <paraID>5FEBBFE3</paraID>
      <start>144</start>
      <end>145</end>
      <status>modified</status>
      <modifiedWord>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93183037-36e7-459f-ab04-fb22a9924a17}">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4329</Words>
  <Characters>4888</Characters>
  <Lines>10</Lines>
  <Paragraphs>2</Paragraphs>
  <TotalTime>4</TotalTime>
  <ScaleCrop>false</ScaleCrop>
  <LinksUpToDate>false</LinksUpToDate>
  <CharactersWithSpaces>4896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2026-08-28T09:48:20Z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